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5.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6.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drawings/drawing7.xml" ContentType="application/vnd.openxmlformats-officedocument.drawingml.chartshapes+xml"/>
  <Override PartName="/word/charts/chart15.xml" ContentType="application/vnd.openxmlformats-officedocument.drawingml.chart+xml"/>
  <Override PartName="/word/drawings/drawing8.xml" ContentType="application/vnd.openxmlformats-officedocument.drawingml.chartshapes+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rawings/drawing9.xml" ContentType="application/vnd.openxmlformats-officedocument.drawingml.chartshapes+xml"/>
  <Override PartName="/word/charts/chart19.xml" ContentType="application/vnd.openxmlformats-officedocument.drawingml.chart+xml"/>
  <Override PartName="/word/charts/chart20.xml" ContentType="application/vnd.openxmlformats-officedocument.drawingml.chart+xml"/>
  <Override PartName="/word/drawings/drawing10.xml" ContentType="application/vnd.openxmlformats-officedocument.drawingml.chartshapes+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drawings/drawing11.xml" ContentType="application/vnd.openxmlformats-officedocument.drawingml.chartshapes+xml"/>
  <Override PartName="/word/charts/chart24.xml" ContentType="application/vnd.openxmlformats-officedocument.drawingml.chart+xml"/>
  <Override PartName="/word/drawings/drawing12.xml" ContentType="application/vnd.openxmlformats-officedocument.drawingml.chartshapes+xml"/>
  <Override PartName="/word/charts/chart25.xml" ContentType="application/vnd.openxmlformats-officedocument.drawingml.chart+xml"/>
  <Override PartName="/word/charts/chart26.xml" ContentType="application/vnd.openxmlformats-officedocument.drawingml.chart+xml"/>
  <Override PartName="/word/drawings/drawing13.xml" ContentType="application/vnd.openxmlformats-officedocument.drawingml.chartshapes+xml"/>
  <Override PartName="/word/charts/chart27.xml" ContentType="application/vnd.openxmlformats-officedocument.drawingml.chart+xml"/>
  <Override PartName="/word/drawings/drawing14.xml" ContentType="application/vnd.openxmlformats-officedocument.drawingml.chartshapes+xml"/>
  <Override PartName="/word/charts/chart28.xml" ContentType="application/vnd.openxmlformats-officedocument.drawingml.chart+xml"/>
  <Override PartName="/word/drawings/drawing15.xml" ContentType="application/vnd.openxmlformats-officedocument.drawingml.chartshapes+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drawings/drawing16.xml" ContentType="application/vnd.openxmlformats-officedocument.drawingml.chartshapes+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drawings/drawing17.xml" ContentType="application/vnd.openxmlformats-officedocument.drawingml.chartshapes+xml"/>
  <Override PartName="/word/charts/chart36.xml" ContentType="application/vnd.openxmlformats-officedocument.drawingml.chart+xml"/>
  <Override PartName="/word/drawings/drawing18.xml" ContentType="application/vnd.openxmlformats-officedocument.drawingml.chartshapes+xml"/>
  <Override PartName="/word/charts/chart37.xml" ContentType="application/vnd.openxmlformats-officedocument.drawingml.chart+xml"/>
  <Override PartName="/word/drawings/drawing19.xml" ContentType="application/vnd.openxmlformats-officedocument.drawingml.chartshapes+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drawings/drawing20.xml" ContentType="application/vnd.openxmlformats-officedocument.drawingml.chartshapes+xml"/>
  <Override PartName="/word/charts/chart41.xml" ContentType="application/vnd.openxmlformats-officedocument.drawingml.chart+xml"/>
  <Override PartName="/word/drawings/drawing21.xml" ContentType="application/vnd.openxmlformats-officedocument.drawingml.chartshapes+xml"/>
  <Override PartName="/word/charts/chart42.xml" ContentType="application/vnd.openxmlformats-officedocument.drawingml.chart+xml"/>
  <Override PartName="/word/drawings/drawing22.xml" ContentType="application/vnd.openxmlformats-officedocument.drawingml.chartshapes+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drawings/drawing23.xml" ContentType="application/vnd.openxmlformats-officedocument.drawingml.chartshapes+xml"/>
  <Override PartName="/word/charts/chart46.xml" ContentType="application/vnd.openxmlformats-officedocument.drawingml.chart+xml"/>
  <Override PartName="/word/drawings/drawing24.xml" ContentType="application/vnd.openxmlformats-officedocument.drawingml.chartshapes+xml"/>
  <Override PartName="/word/charts/chart47.xml" ContentType="application/vnd.openxmlformats-officedocument.drawingml.chart+xml"/>
  <Override PartName="/word/charts/chart48.xml" ContentType="application/vnd.openxmlformats-officedocument.drawingml.chart+xml"/>
  <Override PartName="/word/drawings/drawing25.xml" ContentType="application/vnd.openxmlformats-officedocument.drawingml.chartshapes+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drawings/drawing26.xml" ContentType="application/vnd.openxmlformats-officedocument.drawingml.chartshapes+xml"/>
  <Override PartName="/word/charts/chart52.xml" ContentType="application/vnd.openxmlformats-officedocument.drawingml.chart+xml"/>
  <Override PartName="/word/charts/chart53.xml" ContentType="application/vnd.openxmlformats-officedocument.drawingml.chart+xml"/>
  <Override PartName="/word/drawings/drawing27.xml" ContentType="application/vnd.openxmlformats-officedocument.drawingml.chartshapes+xml"/>
  <Override PartName="/word/charts/chart54.xml" ContentType="application/vnd.openxmlformats-officedocument.drawingml.chart+xml"/>
  <Override PartName="/word/drawings/drawing28.xml" ContentType="application/vnd.openxmlformats-officedocument.drawingml.chartshapes+xml"/>
  <Override PartName="/word/charts/chart55.xml" ContentType="application/vnd.openxmlformats-officedocument.drawingml.chart+xml"/>
  <Override PartName="/word/charts/chart56.xml" ContentType="application/vnd.openxmlformats-officedocument.drawingml.chart+xml"/>
  <Override PartName="/word/drawings/drawing29.xml" ContentType="application/vnd.openxmlformats-officedocument.drawingml.chartshapes+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drawings/drawing30.xml" ContentType="application/vnd.openxmlformats-officedocument.drawingml.chartshapes+xml"/>
  <Override PartName="/word/charts/chart61.xml" ContentType="application/vnd.openxmlformats-officedocument.drawingml.chart+xml"/>
  <Override PartName="/word/drawings/drawing31.xml" ContentType="application/vnd.openxmlformats-officedocument.drawingml.chartshapes+xml"/>
  <Override PartName="/word/charts/chart62.xml" ContentType="application/vnd.openxmlformats-officedocument.drawingml.chart+xml"/>
  <Override PartName="/word/drawings/drawing32.xml" ContentType="application/vnd.openxmlformats-officedocument.drawingml.chartshapes+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drawings/drawing33.xml" ContentType="application/vnd.openxmlformats-officedocument.drawingml.chartshapes+xml"/>
  <Override PartName="/word/charts/chart68.xml" ContentType="application/vnd.openxmlformats-officedocument.drawingml.chart+xml"/>
  <Override PartName="/word/drawings/drawing34.xml" ContentType="application/vnd.openxmlformats-officedocument.drawingml.chartshapes+xml"/>
  <Override PartName="/word/charts/chart69.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drawings/drawing35.xml" ContentType="application/vnd.openxmlformats-officedocument.drawingml.chartshapes+xml"/>
  <Override PartName="/word/charts/chart72.xml" ContentType="application/vnd.openxmlformats-officedocument.drawingml.chart+xml"/>
  <Override PartName="/word/charts/chart73.xml" ContentType="application/vnd.openxmlformats-officedocument.drawingml.chart+xml"/>
  <Override PartName="/word/drawings/drawing36.xml" ContentType="application/vnd.openxmlformats-officedocument.drawingml.chartshapes+xml"/>
  <Override PartName="/word/charts/chart74.xml" ContentType="application/vnd.openxmlformats-officedocument.drawingml.chart+xml"/>
  <Override PartName="/word/charts/chart75.xml" ContentType="application/vnd.openxmlformats-officedocument.drawingml.chart+xml"/>
  <Override PartName="/word/drawings/drawing37.xml" ContentType="application/vnd.openxmlformats-officedocument.drawingml.chartshapes+xml"/>
  <Override PartName="/word/charts/chart76.xml" ContentType="application/vnd.openxmlformats-officedocument.drawingml.chart+xml"/>
  <Override PartName="/word/drawings/drawing38.xml" ContentType="application/vnd.openxmlformats-officedocument.drawingml.chartshapes+xml"/>
  <Override PartName="/word/charts/chart77.xml" ContentType="application/vnd.openxmlformats-officedocument.drawingml.chart+xml"/>
  <Override PartName="/word/drawings/drawing39.xml" ContentType="application/vnd.openxmlformats-officedocument.drawingml.chartshapes+xml"/>
  <Override PartName="/word/charts/chart7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imes New Roman"/>
          <w:b w:val="0"/>
          <w:bCs w:val="0"/>
          <w:sz w:val="18"/>
          <w:szCs w:val="18"/>
        </w:rPr>
        <w:id w:val="-2035020464"/>
        <w:docPartObj>
          <w:docPartGallery w:val="Table of Contents"/>
          <w:docPartUnique/>
        </w:docPartObj>
      </w:sdtPr>
      <w:sdtEndPr>
        <w:rPr>
          <w:sz w:val="22"/>
          <w:szCs w:val="22"/>
        </w:rPr>
      </w:sdtEndPr>
      <w:sdtContent>
        <w:p w:rsidR="00577939" w:rsidRPr="0099541A" w:rsidRDefault="00A86420" w:rsidP="00577939">
          <w:pPr>
            <w:pStyle w:val="Hlavikaobsahu"/>
            <w:spacing w:line="360" w:lineRule="auto"/>
            <w:rPr>
              <w:rFonts w:cs="Times New Roman"/>
              <w:sz w:val="24"/>
              <w:szCs w:val="24"/>
            </w:rPr>
          </w:pPr>
          <w:r w:rsidRPr="0099541A">
            <w:rPr>
              <w:rFonts w:cs="Times New Roman"/>
              <w:sz w:val="24"/>
              <w:szCs w:val="24"/>
            </w:rPr>
            <w:t>Obsah</w:t>
          </w:r>
        </w:p>
        <w:p w:rsidR="00900892" w:rsidRPr="00900892" w:rsidRDefault="00ED4670">
          <w:pPr>
            <w:pStyle w:val="Obsah1"/>
            <w:rPr>
              <w:rFonts w:ascii="Times New Roman" w:hAnsi="Times New Roman" w:cs="Times New Roman"/>
              <w:b w:val="0"/>
              <w:bCs w:val="0"/>
              <w:caps w:val="0"/>
              <w:noProof/>
              <w:sz w:val="18"/>
              <w:szCs w:val="18"/>
            </w:rPr>
          </w:pPr>
          <w:r w:rsidRPr="00900892">
            <w:rPr>
              <w:rFonts w:ascii="Times New Roman" w:hAnsi="Times New Roman" w:cs="Times New Roman"/>
              <w:b w:val="0"/>
              <w:caps w:val="0"/>
              <w:sz w:val="18"/>
              <w:szCs w:val="18"/>
            </w:rPr>
            <w:fldChar w:fldCharType="begin"/>
          </w:r>
          <w:r w:rsidR="00A86420" w:rsidRPr="00900892">
            <w:rPr>
              <w:rFonts w:ascii="Times New Roman" w:hAnsi="Times New Roman" w:cs="Times New Roman"/>
              <w:b w:val="0"/>
              <w:caps w:val="0"/>
              <w:sz w:val="18"/>
              <w:szCs w:val="18"/>
            </w:rPr>
            <w:instrText xml:space="preserve"> TOC \o "1-3" \h \z \u </w:instrText>
          </w:r>
          <w:r w:rsidRPr="00900892">
            <w:rPr>
              <w:rFonts w:ascii="Times New Roman" w:hAnsi="Times New Roman" w:cs="Times New Roman"/>
              <w:b w:val="0"/>
              <w:caps w:val="0"/>
              <w:sz w:val="18"/>
              <w:szCs w:val="18"/>
            </w:rPr>
            <w:fldChar w:fldCharType="separate"/>
          </w:r>
          <w:hyperlink w:anchor="_Toc359550623" w:history="1">
            <w:r w:rsidR="00900892" w:rsidRPr="00900892">
              <w:rPr>
                <w:rStyle w:val="Hypertextovprepojenie"/>
                <w:rFonts w:ascii="Times New Roman" w:hAnsi="Times New Roman"/>
                <w:smallCaps/>
                <w:noProof/>
                <w:sz w:val="18"/>
                <w:szCs w:val="18"/>
              </w:rPr>
              <w:t>1</w:t>
            </w:r>
            <w:r w:rsidR="00900892" w:rsidRPr="00900892">
              <w:rPr>
                <w:rFonts w:ascii="Times New Roman" w:hAnsi="Times New Roman" w:cs="Times New Roman"/>
                <w:b w:val="0"/>
                <w:bCs w:val="0"/>
                <w:caps w:val="0"/>
                <w:noProof/>
                <w:sz w:val="18"/>
                <w:szCs w:val="18"/>
              </w:rPr>
              <w:tab/>
            </w:r>
            <w:r w:rsidR="00900892" w:rsidRPr="00900892">
              <w:rPr>
                <w:rStyle w:val="Hypertextovprepojenie"/>
                <w:rFonts w:ascii="Times New Roman" w:hAnsi="Times New Roman"/>
                <w:noProof/>
                <w:sz w:val="18"/>
                <w:szCs w:val="18"/>
              </w:rPr>
              <w:t>Základné východiská koncepcie</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_Toc359550623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3</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1"/>
            <w:rPr>
              <w:rFonts w:ascii="Times New Roman" w:hAnsi="Times New Roman" w:cs="Times New Roman"/>
              <w:b w:val="0"/>
              <w:bCs w:val="0"/>
              <w:caps w:val="0"/>
              <w:noProof/>
              <w:sz w:val="18"/>
              <w:szCs w:val="18"/>
            </w:rPr>
          </w:pPr>
          <w:hyperlink w:anchor="_Toc359550624" w:history="1">
            <w:r w:rsidR="00900892" w:rsidRPr="00900892">
              <w:rPr>
                <w:rStyle w:val="Hypertextovprepojenie"/>
                <w:rFonts w:ascii="Times New Roman" w:hAnsi="Times New Roman"/>
                <w:noProof/>
                <w:sz w:val="18"/>
                <w:szCs w:val="18"/>
              </w:rPr>
              <w:t>2</w:t>
            </w:r>
            <w:r w:rsidR="00900892" w:rsidRPr="00900892">
              <w:rPr>
                <w:rFonts w:ascii="Times New Roman" w:hAnsi="Times New Roman" w:cs="Times New Roman"/>
                <w:b w:val="0"/>
                <w:bCs w:val="0"/>
                <w:caps w:val="0"/>
                <w:noProof/>
                <w:sz w:val="18"/>
                <w:szCs w:val="18"/>
              </w:rPr>
              <w:tab/>
            </w:r>
            <w:r w:rsidR="00900892" w:rsidRPr="00900892">
              <w:rPr>
                <w:rStyle w:val="Hypertextovprepojenie"/>
                <w:rFonts w:ascii="Times New Roman" w:hAnsi="Times New Roman"/>
                <w:noProof/>
                <w:sz w:val="18"/>
                <w:szCs w:val="18"/>
              </w:rPr>
              <w:t>Charakteristika a vývoj základných výrobných faktorov v pôdohospodárstve</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_Toc359550624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8</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25" w:history="1">
            <w:r w:rsidR="00900892" w:rsidRPr="00900892">
              <w:rPr>
                <w:rStyle w:val="Hypertextovprepojenie"/>
                <w:rFonts w:ascii="Times New Roman" w:hAnsi="Times New Roman"/>
                <w:noProof/>
                <w:sz w:val="18"/>
                <w:szCs w:val="18"/>
              </w:rPr>
              <w:t>2.1</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hAnsi="Times New Roman"/>
                <w:noProof/>
                <w:sz w:val="18"/>
                <w:szCs w:val="18"/>
              </w:rPr>
              <w:t>Poľnohospodársky pôdny fond SR</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_Toc359550625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8</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26" w:history="1">
            <w:r w:rsidR="00900892" w:rsidRPr="00900892">
              <w:rPr>
                <w:rStyle w:val="Hypertextovprepojenie"/>
                <w:rFonts w:ascii="Times New Roman" w:hAnsi="Times New Roman"/>
                <w:noProof/>
                <w:sz w:val="18"/>
                <w:szCs w:val="18"/>
              </w:rPr>
              <w:t>2.2</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hAnsi="Times New Roman"/>
                <w:noProof/>
                <w:sz w:val="18"/>
                <w:szCs w:val="18"/>
              </w:rPr>
              <w:t>Súčasný stav zamestnanosti v pôdohospodárstve</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_Toc359550626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9</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27" w:history="1">
            <w:r w:rsidR="00900892" w:rsidRPr="00900892">
              <w:rPr>
                <w:rStyle w:val="Hypertextovprepojenie"/>
                <w:rFonts w:ascii="Times New Roman" w:eastAsia="Calibri" w:hAnsi="Times New Roman"/>
                <w:i w:val="0"/>
                <w:noProof/>
                <w:sz w:val="18"/>
                <w:szCs w:val="18"/>
              </w:rPr>
              <w:t>2.2.1</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eastAsia="Calibri" w:hAnsi="Times New Roman"/>
                <w:i w:val="0"/>
                <w:noProof/>
                <w:sz w:val="18"/>
                <w:szCs w:val="18"/>
              </w:rPr>
              <w:t>Súčasný stav zamestnanosti v poľnohospodárstve</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_Toc359550627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9</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28" w:history="1">
            <w:r w:rsidR="00900892" w:rsidRPr="00900892">
              <w:rPr>
                <w:rStyle w:val="Hypertextovprepojenie"/>
                <w:rFonts w:ascii="Times New Roman" w:eastAsia="Calibri" w:hAnsi="Times New Roman"/>
                <w:i w:val="0"/>
                <w:noProof/>
                <w:sz w:val="18"/>
                <w:szCs w:val="18"/>
              </w:rPr>
              <w:t>2.2.2</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eastAsia="Calibri" w:hAnsi="Times New Roman"/>
                <w:i w:val="0"/>
                <w:noProof/>
                <w:sz w:val="18"/>
                <w:szCs w:val="18"/>
              </w:rPr>
              <w:t>Súčasný stav zamestnanosti v potravinárstve</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_Toc359550628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11</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29" w:history="1">
            <w:r w:rsidR="00900892" w:rsidRPr="00900892">
              <w:rPr>
                <w:rStyle w:val="Hypertextovprepojenie"/>
                <w:rFonts w:ascii="Times New Roman" w:hAnsi="Times New Roman"/>
                <w:i w:val="0"/>
                <w:noProof/>
                <w:sz w:val="18"/>
                <w:szCs w:val="18"/>
              </w:rPr>
              <w:t>2.2.3</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eastAsia="Calibri" w:hAnsi="Times New Roman"/>
                <w:i w:val="0"/>
                <w:noProof/>
                <w:sz w:val="18"/>
                <w:szCs w:val="18"/>
              </w:rPr>
              <w:t>Súčasný stav zamestnanosti v lesníctve</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_Toc359550629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13</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30" w:history="1">
            <w:r w:rsidR="00900892" w:rsidRPr="00900892">
              <w:rPr>
                <w:rStyle w:val="Hypertextovprepojenie"/>
                <w:rFonts w:ascii="Times New Roman" w:hAnsi="Times New Roman"/>
                <w:noProof/>
                <w:sz w:val="18"/>
                <w:szCs w:val="18"/>
              </w:rPr>
              <w:t>2.3</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hAnsi="Times New Roman"/>
                <w:noProof/>
                <w:sz w:val="18"/>
                <w:szCs w:val="18"/>
              </w:rPr>
              <w:t>Financovanie podnikov pôsobiacich v pôdohospodárstve</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_Toc359550630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14</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31" w:history="1">
            <w:r w:rsidR="00900892" w:rsidRPr="00900892">
              <w:rPr>
                <w:rStyle w:val="Hypertextovprepojenie"/>
                <w:rFonts w:ascii="Times New Roman" w:eastAsia="Calibri" w:hAnsi="Times New Roman"/>
                <w:i w:val="0"/>
                <w:noProof/>
                <w:sz w:val="18"/>
                <w:szCs w:val="18"/>
              </w:rPr>
              <w:t>2.3.1</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eastAsia="Calibri" w:hAnsi="Times New Roman"/>
                <w:i w:val="0"/>
                <w:noProof/>
                <w:sz w:val="18"/>
                <w:szCs w:val="18"/>
              </w:rPr>
              <w:t>Súčasný stav financovania podnikov v poľnohospodárstve</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_Toc359550631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14</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32" w:history="1">
            <w:r w:rsidR="00900892" w:rsidRPr="00900892">
              <w:rPr>
                <w:rStyle w:val="Hypertextovprepojenie"/>
                <w:rFonts w:ascii="Times New Roman" w:eastAsia="Calibri" w:hAnsi="Times New Roman"/>
                <w:i w:val="0"/>
                <w:noProof/>
                <w:sz w:val="18"/>
                <w:szCs w:val="18"/>
              </w:rPr>
              <w:t>2.3.2</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eastAsia="Calibri" w:hAnsi="Times New Roman"/>
                <w:i w:val="0"/>
                <w:noProof/>
                <w:sz w:val="18"/>
                <w:szCs w:val="18"/>
              </w:rPr>
              <w:t>Súčasný stav financovania podnikov v potravinárstve</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_Toc359550632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16</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33" w:history="1">
            <w:r w:rsidR="00900892" w:rsidRPr="00900892">
              <w:rPr>
                <w:rStyle w:val="Hypertextovprepojenie"/>
                <w:rFonts w:ascii="Times New Roman" w:eastAsia="Calibri" w:hAnsi="Times New Roman"/>
                <w:i w:val="0"/>
                <w:noProof/>
                <w:sz w:val="18"/>
                <w:szCs w:val="18"/>
              </w:rPr>
              <w:t>2.3.3</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eastAsia="Calibri" w:hAnsi="Times New Roman"/>
                <w:i w:val="0"/>
                <w:noProof/>
                <w:sz w:val="18"/>
                <w:szCs w:val="18"/>
              </w:rPr>
              <w:t>Súčasný stav financovania podnikov v lesníctve</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_Toc359550633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16</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34" w:history="1">
            <w:r w:rsidR="00900892" w:rsidRPr="00900892">
              <w:rPr>
                <w:rStyle w:val="Hypertextovprepojenie"/>
                <w:rFonts w:ascii="Times New Roman" w:hAnsi="Times New Roman"/>
                <w:noProof/>
                <w:sz w:val="18"/>
                <w:szCs w:val="18"/>
              </w:rPr>
              <w:t>2.4</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hAnsi="Times New Roman"/>
                <w:noProof/>
                <w:sz w:val="18"/>
                <w:szCs w:val="18"/>
              </w:rPr>
              <w:t>Identifikované riziká vybavenosti základnými výrobnými (produkčnými) faktormi pre potreby naplnenia cieľov a zámerov koncepcie rozvoja pôdohospodárstva</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_Toc359550634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18</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1"/>
            <w:rPr>
              <w:rFonts w:ascii="Times New Roman" w:hAnsi="Times New Roman" w:cs="Times New Roman"/>
              <w:b w:val="0"/>
              <w:bCs w:val="0"/>
              <w:caps w:val="0"/>
              <w:noProof/>
              <w:sz w:val="18"/>
              <w:szCs w:val="18"/>
            </w:rPr>
          </w:pPr>
          <w:hyperlink w:anchor="_Toc359550635" w:history="1">
            <w:r w:rsidR="00900892" w:rsidRPr="00900892">
              <w:rPr>
                <w:rStyle w:val="Hypertextovprepojenie"/>
                <w:rFonts w:ascii="Times New Roman" w:hAnsi="Times New Roman"/>
                <w:noProof/>
                <w:sz w:val="18"/>
                <w:szCs w:val="18"/>
              </w:rPr>
              <w:t>3</w:t>
            </w:r>
            <w:r w:rsidR="00900892" w:rsidRPr="00900892">
              <w:rPr>
                <w:rFonts w:ascii="Times New Roman" w:hAnsi="Times New Roman" w:cs="Times New Roman"/>
                <w:b w:val="0"/>
                <w:bCs w:val="0"/>
                <w:caps w:val="0"/>
                <w:noProof/>
                <w:sz w:val="18"/>
                <w:szCs w:val="18"/>
              </w:rPr>
              <w:tab/>
            </w:r>
            <w:r w:rsidR="00900892" w:rsidRPr="00900892">
              <w:rPr>
                <w:rStyle w:val="Hypertextovprepojenie"/>
                <w:rFonts w:ascii="Times New Roman" w:hAnsi="Times New Roman"/>
                <w:noProof/>
                <w:sz w:val="18"/>
                <w:szCs w:val="18"/>
              </w:rPr>
              <w:t>Analýza celkovej konkurencieschopnosti slovenského pôdohospodárstva</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_Toc359550635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20</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36" w:history="1">
            <w:r w:rsidR="00900892" w:rsidRPr="00900892">
              <w:rPr>
                <w:rStyle w:val="Hypertextovprepojenie"/>
                <w:rFonts w:ascii="Times New Roman" w:hAnsi="Times New Roman"/>
                <w:noProof/>
                <w:sz w:val="18"/>
                <w:szCs w:val="18"/>
              </w:rPr>
              <w:t>3.1</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hAnsi="Times New Roman"/>
                <w:noProof/>
                <w:sz w:val="18"/>
                <w:szCs w:val="18"/>
              </w:rPr>
              <w:t>Analýza konkurencieschopnosti poľnohospodárstva</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_Toc359550636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20</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37" w:history="1">
            <w:r w:rsidR="00900892" w:rsidRPr="00900892">
              <w:rPr>
                <w:rStyle w:val="Hypertextovprepojenie"/>
                <w:rFonts w:ascii="Times New Roman" w:hAnsi="Times New Roman"/>
                <w:noProof/>
                <w:sz w:val="18"/>
                <w:szCs w:val="18"/>
              </w:rPr>
              <w:t>3.2</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hAnsi="Times New Roman"/>
                <w:noProof/>
                <w:sz w:val="18"/>
                <w:szCs w:val="18"/>
              </w:rPr>
              <w:t>Analýza konkurencieschopnosti potravinárstva</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_Toc359550637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23</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38" w:history="1">
            <w:r w:rsidR="00900892" w:rsidRPr="00900892">
              <w:rPr>
                <w:rStyle w:val="Hypertextovprepojenie"/>
                <w:rFonts w:ascii="Times New Roman" w:hAnsi="Times New Roman"/>
                <w:noProof/>
                <w:sz w:val="18"/>
                <w:szCs w:val="18"/>
              </w:rPr>
              <w:t>3.3</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hAnsi="Times New Roman"/>
                <w:noProof/>
                <w:sz w:val="18"/>
                <w:szCs w:val="18"/>
              </w:rPr>
              <w:t>Analýza konkurencieschopnosti lesnícko-drevárskeho komplexu</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_Toc359550638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30</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1"/>
            <w:rPr>
              <w:rFonts w:ascii="Times New Roman" w:hAnsi="Times New Roman" w:cs="Times New Roman"/>
              <w:b w:val="0"/>
              <w:bCs w:val="0"/>
              <w:caps w:val="0"/>
              <w:noProof/>
              <w:sz w:val="18"/>
              <w:szCs w:val="18"/>
            </w:rPr>
          </w:pPr>
          <w:hyperlink w:anchor="_Toc359550639" w:history="1">
            <w:r w:rsidR="00900892" w:rsidRPr="00900892">
              <w:rPr>
                <w:rStyle w:val="Hypertextovprepojenie"/>
                <w:rFonts w:ascii="Times New Roman" w:hAnsi="Times New Roman"/>
                <w:noProof/>
                <w:sz w:val="18"/>
                <w:szCs w:val="18"/>
              </w:rPr>
              <w:t>4</w:t>
            </w:r>
            <w:r w:rsidR="00900892" w:rsidRPr="00900892">
              <w:rPr>
                <w:rFonts w:ascii="Times New Roman" w:hAnsi="Times New Roman" w:cs="Times New Roman"/>
                <w:b w:val="0"/>
                <w:bCs w:val="0"/>
                <w:caps w:val="0"/>
                <w:noProof/>
                <w:sz w:val="18"/>
                <w:szCs w:val="18"/>
              </w:rPr>
              <w:tab/>
            </w:r>
            <w:r w:rsidR="00900892" w:rsidRPr="00900892">
              <w:rPr>
                <w:rStyle w:val="Hypertextovprepojenie"/>
                <w:rFonts w:ascii="Times New Roman" w:hAnsi="Times New Roman"/>
                <w:noProof/>
                <w:sz w:val="18"/>
                <w:szCs w:val="18"/>
              </w:rPr>
              <w:t>Zvýšenie produkčnej výkonnosti v nosných poľnohospodárskych komoditách       na úroveň 80% súčasnej spotreby obyvateľstva na Slovensku</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_Toc359550639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33</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40" w:history="1">
            <w:r w:rsidR="00900892" w:rsidRPr="00900892">
              <w:rPr>
                <w:rStyle w:val="Hypertextovprepojenie"/>
                <w:rFonts w:ascii="Times New Roman" w:hAnsi="Times New Roman"/>
                <w:noProof/>
                <w:sz w:val="18"/>
                <w:szCs w:val="18"/>
              </w:rPr>
              <w:t>4.1</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hAnsi="Times New Roman"/>
                <w:noProof/>
                <w:sz w:val="18"/>
                <w:szCs w:val="18"/>
              </w:rPr>
              <w:t>Živočíšna výroba</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_Toc359550640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34</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41" w:history="1">
            <w:r w:rsidR="00900892" w:rsidRPr="00900892">
              <w:rPr>
                <w:rStyle w:val="Hypertextovprepojenie"/>
                <w:rFonts w:ascii="Times New Roman" w:hAnsi="Times New Roman"/>
                <w:i w:val="0"/>
                <w:noProof/>
                <w:sz w:val="18"/>
                <w:szCs w:val="18"/>
              </w:rPr>
              <w:t>4.1.1</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Hovädzie a teľacie mäso</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_Toc359550641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35</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42" w:history="1">
            <w:r w:rsidR="00900892" w:rsidRPr="00900892">
              <w:rPr>
                <w:rStyle w:val="Hypertextovprepojenie"/>
                <w:rFonts w:ascii="Times New Roman" w:hAnsi="Times New Roman"/>
                <w:i w:val="0"/>
                <w:noProof/>
                <w:sz w:val="18"/>
                <w:szCs w:val="18"/>
              </w:rPr>
              <w:t>4.1.2</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Bravčové mäso</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_Toc359550642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38</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43" w:history="1">
            <w:r w:rsidR="00900892" w:rsidRPr="00900892">
              <w:rPr>
                <w:rStyle w:val="Hypertextovprepojenie"/>
                <w:rFonts w:ascii="Times New Roman" w:hAnsi="Times New Roman"/>
                <w:i w:val="0"/>
                <w:noProof/>
                <w:sz w:val="18"/>
                <w:szCs w:val="18"/>
              </w:rPr>
              <w:t>4.1.3</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Hydinové mäso</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_Toc359550643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43</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44" w:history="1">
            <w:r w:rsidR="00900892" w:rsidRPr="00900892">
              <w:rPr>
                <w:rStyle w:val="Hypertextovprepojenie"/>
                <w:rFonts w:ascii="Times New Roman" w:hAnsi="Times New Roman"/>
                <w:i w:val="0"/>
                <w:noProof/>
                <w:sz w:val="18"/>
                <w:szCs w:val="18"/>
              </w:rPr>
              <w:t>4.1.4</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Ovčie mäso</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_Toc359550644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46</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45" w:history="1">
            <w:r w:rsidR="00900892" w:rsidRPr="00900892">
              <w:rPr>
                <w:rStyle w:val="Hypertextovprepojenie"/>
                <w:rFonts w:ascii="Times New Roman" w:hAnsi="Times New Roman"/>
                <w:i w:val="0"/>
                <w:noProof/>
                <w:sz w:val="18"/>
                <w:szCs w:val="18"/>
              </w:rPr>
              <w:t>4.1.5</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Kozie mäso</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_Toc359550645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49</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46" w:history="1">
            <w:r w:rsidR="00900892" w:rsidRPr="00900892">
              <w:rPr>
                <w:rStyle w:val="Hypertextovprepojenie"/>
                <w:rFonts w:ascii="Times New Roman" w:hAnsi="Times New Roman"/>
                <w:i w:val="0"/>
                <w:noProof/>
                <w:sz w:val="18"/>
                <w:szCs w:val="18"/>
              </w:rPr>
              <w:t>4.1.6</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Mlieko a mliečne výrobky</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_Toc359550646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50</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47" w:history="1">
            <w:r w:rsidR="00900892" w:rsidRPr="00900892">
              <w:rPr>
                <w:rStyle w:val="Hypertextovprepojenie"/>
                <w:rFonts w:ascii="Times New Roman" w:hAnsi="Times New Roman"/>
                <w:i w:val="0"/>
                <w:noProof/>
                <w:sz w:val="18"/>
                <w:szCs w:val="18"/>
              </w:rPr>
              <w:t>4.1.7</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Konzumné vajcia</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_Toc359550647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53</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48" w:history="1">
            <w:r w:rsidR="00900892" w:rsidRPr="00900892">
              <w:rPr>
                <w:rStyle w:val="Hypertextovprepojenie"/>
                <w:rFonts w:ascii="Times New Roman" w:hAnsi="Times New Roman"/>
                <w:i w:val="0"/>
                <w:noProof/>
                <w:sz w:val="18"/>
                <w:szCs w:val="18"/>
              </w:rPr>
              <w:t>4.1.8</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Identifikované scenáre vývoja z hľadiska zabezpečenia produkčnej výkonnosti v nosných komoditách živočíšnej výroby na úrovni 80 % súčasnej spotreby obyvateľstva SR</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_Toc359550648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55</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49" w:history="1">
            <w:r w:rsidR="00900892" w:rsidRPr="00900892">
              <w:rPr>
                <w:rStyle w:val="Hypertextovprepojenie"/>
                <w:rFonts w:ascii="Times New Roman" w:hAnsi="Times New Roman"/>
                <w:noProof/>
                <w:sz w:val="18"/>
                <w:szCs w:val="18"/>
              </w:rPr>
              <w:t>4.2</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hAnsi="Times New Roman"/>
                <w:noProof/>
                <w:sz w:val="18"/>
                <w:szCs w:val="18"/>
              </w:rPr>
              <w:t>Krmoviny a kŕmne zmesi</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_Toc359550649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57</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50" w:history="1">
            <w:r w:rsidR="00900892" w:rsidRPr="00900892">
              <w:rPr>
                <w:rStyle w:val="Hypertextovprepojenie"/>
                <w:rFonts w:ascii="Times New Roman" w:hAnsi="Times New Roman"/>
                <w:i w:val="0"/>
                <w:noProof/>
                <w:sz w:val="18"/>
                <w:szCs w:val="18"/>
              </w:rPr>
              <w:t>4.2.1</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Krmoviny</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_Toc359550650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57</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51" w:history="1">
            <w:r w:rsidR="00900892" w:rsidRPr="00900892">
              <w:rPr>
                <w:rStyle w:val="Hypertextovprepojenie"/>
                <w:rFonts w:ascii="Times New Roman" w:hAnsi="Times New Roman"/>
                <w:i w:val="0"/>
                <w:noProof/>
                <w:sz w:val="18"/>
                <w:szCs w:val="18"/>
              </w:rPr>
              <w:t>4.2.2</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Kŕmne zmesi</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_Toc359550651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59</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52" w:history="1">
            <w:r w:rsidR="00900892" w:rsidRPr="00900892">
              <w:rPr>
                <w:rStyle w:val="Hypertextovprepojenie"/>
                <w:rFonts w:ascii="Times New Roman" w:hAnsi="Times New Roman"/>
                <w:i w:val="0"/>
                <w:noProof/>
                <w:sz w:val="18"/>
                <w:szCs w:val="18"/>
              </w:rPr>
              <w:t>4.2.3</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Kvantifikácia dodatočnej potreby krmovín a kŕmnych zmesí pre plánované zvyšovanie stavov       hospodárskych zvierat</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_Toc359550652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60</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53" w:history="1">
            <w:r w:rsidR="00900892" w:rsidRPr="00900892">
              <w:rPr>
                <w:rStyle w:val="Hypertextovprepojenie"/>
                <w:rFonts w:ascii="Times New Roman" w:hAnsi="Times New Roman"/>
                <w:noProof/>
                <w:sz w:val="18"/>
                <w:szCs w:val="18"/>
              </w:rPr>
              <w:t>4.3</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hAnsi="Times New Roman"/>
                <w:noProof/>
                <w:sz w:val="18"/>
                <w:szCs w:val="18"/>
              </w:rPr>
              <w:t>Rastlinná výroba</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_Toc359550653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61</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54" w:history="1">
            <w:r w:rsidR="00900892" w:rsidRPr="00900892">
              <w:rPr>
                <w:rStyle w:val="Hypertextovprepojenie"/>
                <w:rFonts w:ascii="Times New Roman" w:hAnsi="Times New Roman"/>
                <w:i w:val="0"/>
                <w:noProof/>
                <w:sz w:val="18"/>
                <w:szCs w:val="18"/>
              </w:rPr>
              <w:t>4.3.1</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Cukor</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_Toc359550654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62</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55" w:history="1">
            <w:r w:rsidR="00900892" w:rsidRPr="00900892">
              <w:rPr>
                <w:rStyle w:val="Hypertextovprepojenie"/>
                <w:rFonts w:ascii="Times New Roman" w:hAnsi="Times New Roman"/>
                <w:i w:val="0"/>
                <w:noProof/>
                <w:sz w:val="18"/>
                <w:szCs w:val="18"/>
              </w:rPr>
              <w:t>4.3.2</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Pšenica</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_Toc359550655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65</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56" w:history="1">
            <w:r w:rsidR="00900892" w:rsidRPr="00900892">
              <w:rPr>
                <w:rStyle w:val="Hypertextovprepojenie"/>
                <w:rFonts w:ascii="Times New Roman" w:hAnsi="Times New Roman"/>
                <w:i w:val="0"/>
                <w:noProof/>
                <w:sz w:val="18"/>
                <w:szCs w:val="18"/>
              </w:rPr>
              <w:t>4.3.3</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Raž</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_Toc359550656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69</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57" w:history="1">
            <w:r w:rsidR="00900892" w:rsidRPr="00900892">
              <w:rPr>
                <w:rStyle w:val="Hypertextovprepojenie"/>
                <w:rFonts w:ascii="Times New Roman" w:hAnsi="Times New Roman"/>
                <w:i w:val="0"/>
                <w:noProof/>
                <w:sz w:val="18"/>
                <w:szCs w:val="18"/>
              </w:rPr>
              <w:t>4.3.4</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Rastlinné jedlé tuky a oleje</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_Toc359550657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71</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58" w:history="1">
            <w:r w:rsidR="00900892" w:rsidRPr="00900892">
              <w:rPr>
                <w:rStyle w:val="Hypertextovprepojenie"/>
                <w:rFonts w:ascii="Times New Roman" w:hAnsi="Times New Roman"/>
                <w:i w:val="0"/>
                <w:noProof/>
                <w:sz w:val="18"/>
                <w:szCs w:val="18"/>
              </w:rPr>
              <w:t>4.3.5</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Zemiaky</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_Toc359550658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74</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59" w:history="1">
            <w:r w:rsidR="00900892" w:rsidRPr="00900892">
              <w:rPr>
                <w:rStyle w:val="Hypertextovprepojenie"/>
                <w:rFonts w:ascii="Times New Roman" w:hAnsi="Times New Roman"/>
                <w:i w:val="0"/>
                <w:noProof/>
                <w:sz w:val="18"/>
                <w:szCs w:val="18"/>
              </w:rPr>
              <w:t>4.3.6</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Zelenina</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_Toc359550659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76</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60" w:history="1">
            <w:r w:rsidR="00900892" w:rsidRPr="00900892">
              <w:rPr>
                <w:rStyle w:val="Hypertextovprepojenie"/>
                <w:rFonts w:ascii="Times New Roman" w:hAnsi="Times New Roman"/>
                <w:i w:val="0"/>
                <w:noProof/>
                <w:sz w:val="18"/>
                <w:szCs w:val="18"/>
              </w:rPr>
              <w:t>4.3.7</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Ovocie mierneho pásma</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_Toc359550660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79</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61" w:history="1">
            <w:r w:rsidR="00900892" w:rsidRPr="00900892">
              <w:rPr>
                <w:rStyle w:val="Hypertextovprepojenie"/>
                <w:rFonts w:ascii="Times New Roman" w:hAnsi="Times New Roman"/>
                <w:i w:val="0"/>
                <w:noProof/>
                <w:sz w:val="18"/>
                <w:szCs w:val="18"/>
              </w:rPr>
              <w:t>4.3.8</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Identifikované scenáre vývoja z hľadiska zabezpečenia produkčnej výkonnosti v nosných komoditách živočíšnej výroby na úrovni 80 % súčasnej spotreby obyvateľstva SR</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_Toc359550661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81</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1"/>
            <w:rPr>
              <w:rFonts w:ascii="Times New Roman" w:hAnsi="Times New Roman" w:cs="Times New Roman"/>
              <w:b w:val="0"/>
              <w:bCs w:val="0"/>
              <w:caps w:val="0"/>
              <w:noProof/>
              <w:sz w:val="18"/>
              <w:szCs w:val="18"/>
            </w:rPr>
          </w:pPr>
          <w:hyperlink w:anchor="_Toc359550662" w:history="1">
            <w:r w:rsidR="00900892" w:rsidRPr="00900892">
              <w:rPr>
                <w:rStyle w:val="Hypertextovprepojenie"/>
                <w:rFonts w:ascii="Times New Roman" w:hAnsi="Times New Roman"/>
                <w:noProof/>
                <w:sz w:val="18"/>
                <w:szCs w:val="18"/>
              </w:rPr>
              <w:t>5</w:t>
            </w:r>
            <w:r w:rsidR="00900892" w:rsidRPr="00900892">
              <w:rPr>
                <w:rFonts w:ascii="Times New Roman" w:hAnsi="Times New Roman" w:cs="Times New Roman"/>
                <w:b w:val="0"/>
                <w:bCs w:val="0"/>
                <w:caps w:val="0"/>
                <w:noProof/>
                <w:sz w:val="18"/>
                <w:szCs w:val="18"/>
              </w:rPr>
              <w:tab/>
            </w:r>
            <w:r w:rsidR="00900892" w:rsidRPr="00900892">
              <w:rPr>
                <w:rStyle w:val="Hypertextovprepojenie"/>
                <w:rFonts w:ascii="Times New Roman" w:hAnsi="Times New Roman"/>
                <w:noProof/>
                <w:sz w:val="18"/>
                <w:szCs w:val="18"/>
              </w:rPr>
              <w:t>Zabezpečenie trvalo udržateľného obhospodarovania lesov</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_Toc359550662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83</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63" w:history="1">
            <w:r w:rsidR="00900892" w:rsidRPr="00900892">
              <w:rPr>
                <w:rStyle w:val="Hypertextovprepojenie"/>
                <w:rFonts w:ascii="Times New Roman" w:hAnsi="Times New Roman"/>
                <w:noProof/>
                <w:sz w:val="18"/>
                <w:szCs w:val="18"/>
              </w:rPr>
              <w:t>5.1</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hAnsi="Times New Roman"/>
                <w:noProof/>
                <w:sz w:val="18"/>
                <w:szCs w:val="18"/>
              </w:rPr>
              <w:t>Ekonomický aspekt trvalo udržateľného obhospodarovania lesov</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_Toc359550663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93</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64" w:history="1">
            <w:r w:rsidR="00900892" w:rsidRPr="00900892">
              <w:rPr>
                <w:rStyle w:val="Hypertextovprepojenie"/>
                <w:rFonts w:ascii="Times New Roman" w:hAnsi="Times New Roman"/>
                <w:i w:val="0"/>
                <w:noProof/>
                <w:sz w:val="18"/>
                <w:szCs w:val="18"/>
              </w:rPr>
              <w:t>5.1.1</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eastAsia="Calibri" w:hAnsi="Times New Roman"/>
                <w:i w:val="0"/>
                <w:noProof/>
                <w:sz w:val="18"/>
                <w:szCs w:val="18"/>
              </w:rPr>
              <w:t>Príprava techniky a technológií obhospodarovateľov lesov</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_Toc359550664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93</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65" w:history="1">
            <w:r w:rsidR="00900892" w:rsidRPr="00900892">
              <w:rPr>
                <w:rStyle w:val="Hypertextovprepojenie"/>
                <w:rFonts w:ascii="Times New Roman" w:eastAsia="Calibri" w:hAnsi="Times New Roman"/>
                <w:i w:val="0"/>
                <w:noProof/>
                <w:sz w:val="18"/>
                <w:szCs w:val="18"/>
              </w:rPr>
              <w:t>5.1.2</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eastAsia="Calibri" w:hAnsi="Times New Roman"/>
                <w:i w:val="0"/>
                <w:noProof/>
                <w:sz w:val="18"/>
                <w:szCs w:val="18"/>
              </w:rPr>
              <w:t>Podpora využívania lesnej biomasy na výrobu energie</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_Toc359550665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94</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66" w:history="1">
            <w:r w:rsidR="00900892" w:rsidRPr="00900892">
              <w:rPr>
                <w:rStyle w:val="Hypertextovprepojenie"/>
                <w:rFonts w:ascii="Times New Roman" w:eastAsia="Calibri" w:hAnsi="Times New Roman"/>
                <w:i w:val="0"/>
                <w:noProof/>
                <w:sz w:val="18"/>
                <w:szCs w:val="18"/>
              </w:rPr>
              <w:t>5.1.3</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eastAsia="Calibri" w:hAnsi="Times New Roman"/>
                <w:i w:val="0"/>
                <w:noProof/>
                <w:sz w:val="18"/>
                <w:szCs w:val="18"/>
              </w:rPr>
              <w:t>Podpora usporiadania vlastníckych a užívacích práv k lesným nehnuteľnostiam</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_Toc359550666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95</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67" w:history="1">
            <w:r w:rsidR="00900892" w:rsidRPr="00900892">
              <w:rPr>
                <w:rStyle w:val="Hypertextovprepojenie"/>
                <w:rFonts w:ascii="Times New Roman" w:hAnsi="Times New Roman"/>
                <w:noProof/>
                <w:sz w:val="18"/>
                <w:szCs w:val="18"/>
              </w:rPr>
              <w:t>5.2</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hAnsi="Times New Roman"/>
                <w:noProof/>
                <w:sz w:val="18"/>
                <w:szCs w:val="18"/>
              </w:rPr>
              <w:t>Ekologický aspekt trvalo udržateľného obhospodarovania lesov</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_Toc359550667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96</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68" w:history="1">
            <w:r w:rsidR="00900892" w:rsidRPr="00900892">
              <w:rPr>
                <w:rStyle w:val="Hypertextovprepojenie"/>
                <w:rFonts w:ascii="Times New Roman" w:eastAsia="Calibri" w:hAnsi="Times New Roman"/>
                <w:i w:val="0"/>
                <w:noProof/>
                <w:sz w:val="18"/>
                <w:szCs w:val="18"/>
              </w:rPr>
              <w:t>5.2.1</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eastAsia="Calibri" w:hAnsi="Times New Roman"/>
                <w:i w:val="0"/>
                <w:noProof/>
                <w:sz w:val="18"/>
                <w:szCs w:val="18"/>
              </w:rPr>
              <w:t>Zabezpečenie starostlivosti o drobné vodné toky v pôsobnosti MPRV SR</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_Toc359550668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96</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69" w:history="1">
            <w:r w:rsidR="00900892" w:rsidRPr="00900892">
              <w:rPr>
                <w:rStyle w:val="Hypertextovprepojenie"/>
                <w:rFonts w:ascii="Times New Roman" w:eastAsia="Calibri" w:hAnsi="Times New Roman"/>
                <w:i w:val="0"/>
                <w:noProof/>
                <w:sz w:val="18"/>
                <w:szCs w:val="18"/>
              </w:rPr>
              <w:t>5.2.2</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eastAsia="Calibri" w:hAnsi="Times New Roman"/>
                <w:i w:val="0"/>
                <w:noProof/>
                <w:sz w:val="18"/>
                <w:szCs w:val="18"/>
              </w:rPr>
              <w:t>Podpora ochrany a trvalého využívania genetických zdrojov lesných drevín</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_Toc359550669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97</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70" w:history="1">
            <w:r w:rsidR="00900892" w:rsidRPr="00900892">
              <w:rPr>
                <w:rStyle w:val="Hypertextovprepojenie"/>
                <w:rFonts w:ascii="Times New Roman" w:eastAsia="Calibri" w:hAnsi="Times New Roman"/>
                <w:i w:val="0"/>
                <w:noProof/>
                <w:sz w:val="18"/>
                <w:szCs w:val="18"/>
              </w:rPr>
              <w:t>5.2.3</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eastAsia="Calibri" w:hAnsi="Times New Roman"/>
                <w:i w:val="0"/>
                <w:noProof/>
                <w:sz w:val="18"/>
                <w:szCs w:val="18"/>
              </w:rPr>
              <w:t>Obnova funkcií lesov na plochách postihnutých kalamitou a zvýšenie stability lesných porastov</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_Toc359550670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98</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71" w:history="1">
            <w:r w:rsidR="00900892" w:rsidRPr="00900892">
              <w:rPr>
                <w:rStyle w:val="Hypertextovprepojenie"/>
                <w:rFonts w:ascii="Times New Roman" w:hAnsi="Times New Roman"/>
                <w:noProof/>
                <w:sz w:val="18"/>
                <w:szCs w:val="18"/>
              </w:rPr>
              <w:t>5.3</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hAnsi="Times New Roman"/>
                <w:noProof/>
                <w:sz w:val="18"/>
                <w:szCs w:val="18"/>
              </w:rPr>
              <w:t>Sociálny aspekt trvalo udržateľného obhospodarovania lesov</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_Toc359550671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99</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72" w:history="1">
            <w:r w:rsidR="00900892" w:rsidRPr="00900892">
              <w:rPr>
                <w:rStyle w:val="Hypertextovprepojenie"/>
                <w:rFonts w:ascii="Times New Roman" w:eastAsia="Calibri" w:hAnsi="Times New Roman"/>
                <w:i w:val="0"/>
                <w:noProof/>
                <w:sz w:val="18"/>
                <w:szCs w:val="18"/>
              </w:rPr>
              <w:t>5.3.1</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eastAsia="Calibri" w:hAnsi="Times New Roman"/>
                <w:i w:val="0"/>
                <w:noProof/>
                <w:sz w:val="18"/>
                <w:szCs w:val="18"/>
              </w:rPr>
              <w:t>Práca s verejnosťou a lesná pedagogika</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_Toc359550672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99</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73" w:history="1">
            <w:r w:rsidR="00900892" w:rsidRPr="00900892">
              <w:rPr>
                <w:rStyle w:val="Hypertextovprepojenie"/>
                <w:rFonts w:ascii="Times New Roman" w:eastAsia="Calibri" w:hAnsi="Times New Roman"/>
                <w:i w:val="0"/>
                <w:noProof/>
                <w:sz w:val="18"/>
                <w:szCs w:val="18"/>
              </w:rPr>
              <w:t>5.3.2</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eastAsia="Calibri" w:hAnsi="Times New Roman"/>
                <w:i w:val="0"/>
                <w:noProof/>
                <w:sz w:val="18"/>
                <w:szCs w:val="18"/>
              </w:rPr>
              <w:t xml:space="preserve">Podpora existujúcich kultúrnych a historických pamiatok spojených s lesným hospodárstvom a </w:t>
            </w:r>
            <w:r w:rsidR="00900892">
              <w:rPr>
                <w:rStyle w:val="Hypertextovprepojenie"/>
                <w:rFonts w:ascii="Times New Roman" w:eastAsia="Calibri" w:hAnsi="Times New Roman"/>
                <w:i w:val="0"/>
                <w:noProof/>
                <w:sz w:val="18"/>
                <w:szCs w:val="18"/>
              </w:rPr>
              <w:t xml:space="preserve">   </w:t>
            </w:r>
            <w:r w:rsidR="00900892" w:rsidRPr="00900892">
              <w:rPr>
                <w:rStyle w:val="Hypertextovprepojenie"/>
                <w:rFonts w:ascii="Times New Roman" w:eastAsia="Calibri" w:hAnsi="Times New Roman"/>
                <w:i w:val="0"/>
                <w:noProof/>
                <w:sz w:val="18"/>
                <w:szCs w:val="18"/>
              </w:rPr>
              <w:t>poľovníctvom</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_Toc359550673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100</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74" w:history="1">
            <w:r w:rsidR="00900892" w:rsidRPr="00900892">
              <w:rPr>
                <w:rStyle w:val="Hypertextovprepojenie"/>
                <w:rFonts w:ascii="Times New Roman" w:hAnsi="Times New Roman"/>
                <w:noProof/>
                <w:sz w:val="18"/>
                <w:szCs w:val="18"/>
              </w:rPr>
              <w:t>5.4</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hAnsi="Times New Roman"/>
                <w:noProof/>
                <w:sz w:val="18"/>
                <w:szCs w:val="18"/>
              </w:rPr>
              <w:t xml:space="preserve">Identifikované scenáre vývoja z hľadiska zabezpečenia trvalo udržateľného obhospodarovania </w:t>
            </w:r>
            <w:r w:rsidR="00900892">
              <w:rPr>
                <w:rStyle w:val="Hypertextovprepojenie"/>
                <w:rFonts w:ascii="Times New Roman" w:hAnsi="Times New Roman"/>
                <w:noProof/>
                <w:sz w:val="18"/>
                <w:szCs w:val="18"/>
              </w:rPr>
              <w:t xml:space="preserve">  </w:t>
            </w:r>
            <w:r w:rsidR="00900892" w:rsidRPr="00900892">
              <w:rPr>
                <w:rStyle w:val="Hypertextovprepojenie"/>
                <w:rFonts w:ascii="Times New Roman" w:hAnsi="Times New Roman"/>
                <w:noProof/>
                <w:sz w:val="18"/>
                <w:szCs w:val="18"/>
              </w:rPr>
              <w:t>lesov</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_Toc359550674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101</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1"/>
            <w:rPr>
              <w:rFonts w:ascii="Times New Roman" w:hAnsi="Times New Roman" w:cs="Times New Roman"/>
              <w:b w:val="0"/>
              <w:bCs w:val="0"/>
              <w:caps w:val="0"/>
              <w:noProof/>
              <w:sz w:val="18"/>
              <w:szCs w:val="18"/>
            </w:rPr>
          </w:pPr>
          <w:hyperlink w:anchor="_Toc359550675" w:history="1">
            <w:r w:rsidR="00900892" w:rsidRPr="00900892">
              <w:rPr>
                <w:rStyle w:val="Hypertextovprepojenie"/>
                <w:rFonts w:ascii="Times New Roman" w:hAnsi="Times New Roman"/>
                <w:noProof/>
                <w:sz w:val="18"/>
                <w:szCs w:val="18"/>
              </w:rPr>
              <w:t>6</w:t>
            </w:r>
            <w:r w:rsidR="00900892" w:rsidRPr="00900892">
              <w:rPr>
                <w:rFonts w:ascii="Times New Roman" w:hAnsi="Times New Roman" w:cs="Times New Roman"/>
                <w:b w:val="0"/>
                <w:bCs w:val="0"/>
                <w:caps w:val="0"/>
                <w:noProof/>
                <w:sz w:val="18"/>
                <w:szCs w:val="18"/>
              </w:rPr>
              <w:tab/>
            </w:r>
            <w:r w:rsidR="00900892" w:rsidRPr="00900892">
              <w:rPr>
                <w:rStyle w:val="Hypertextovprepojenie"/>
                <w:rFonts w:ascii="Times New Roman" w:hAnsi="Times New Roman"/>
                <w:noProof/>
                <w:sz w:val="18"/>
                <w:szCs w:val="18"/>
              </w:rPr>
              <w:t>Rozvoj vidieka a zlepšovanie životných podmienok a zamestnanosti vidieckeho obyvateľstva, predovšetkým prostredníctvom podpory sektorov, ktoré sú potenciálnymi zdrojmi zamestnanosti</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_Toc359550675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102</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76" w:history="1">
            <w:r w:rsidR="00900892" w:rsidRPr="00900892">
              <w:rPr>
                <w:rStyle w:val="Hypertextovprepojenie"/>
                <w:rFonts w:ascii="Times New Roman" w:hAnsi="Times New Roman"/>
                <w:noProof/>
                <w:sz w:val="18"/>
                <w:szCs w:val="18"/>
              </w:rPr>
              <w:t>6.1</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hAnsi="Times New Roman"/>
                <w:noProof/>
                <w:sz w:val="18"/>
                <w:szCs w:val="18"/>
              </w:rPr>
              <w:t>Rozvoj zamestnanosti v produkčne významných oblastiach pôdohospodárstva</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_Toc359550676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103</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77" w:history="1">
            <w:r w:rsidR="00900892" w:rsidRPr="00900892">
              <w:rPr>
                <w:rStyle w:val="Hypertextovprepojenie"/>
                <w:rFonts w:ascii="Times New Roman" w:hAnsi="Times New Roman"/>
                <w:i w:val="0"/>
                <w:noProof/>
                <w:sz w:val="18"/>
                <w:szCs w:val="18"/>
              </w:rPr>
              <w:t>6.1.1</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Rozvoj zamestnanosti v hlavnej živočíšnej výrobe</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_Toc359550677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103</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78" w:history="1">
            <w:r w:rsidR="00900892" w:rsidRPr="00900892">
              <w:rPr>
                <w:rStyle w:val="Hypertextovprepojenie"/>
                <w:rFonts w:ascii="Times New Roman" w:hAnsi="Times New Roman"/>
                <w:i w:val="0"/>
                <w:noProof/>
                <w:sz w:val="18"/>
                <w:szCs w:val="18"/>
              </w:rPr>
              <w:t>6.1.2</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Rozvoj zamestnanosti v hlavnej rastlinnej výrobe</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_Toc359550678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105</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79" w:history="1">
            <w:r w:rsidR="00900892" w:rsidRPr="00900892">
              <w:rPr>
                <w:rStyle w:val="Hypertextovprepojenie"/>
                <w:rFonts w:ascii="Times New Roman" w:hAnsi="Times New Roman"/>
                <w:i w:val="0"/>
                <w:noProof/>
                <w:sz w:val="18"/>
                <w:szCs w:val="18"/>
              </w:rPr>
              <w:t>6.1.3</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Rozvoj zamestnanosti pri zabezpečení  hlavných lesníckych činností</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_Toc359550679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107</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80" w:history="1">
            <w:r w:rsidR="00900892" w:rsidRPr="00900892">
              <w:rPr>
                <w:rStyle w:val="Hypertextovprepojenie"/>
                <w:rFonts w:ascii="Times New Roman" w:hAnsi="Times New Roman"/>
                <w:i w:val="0"/>
                <w:noProof/>
                <w:sz w:val="18"/>
                <w:szCs w:val="18"/>
              </w:rPr>
              <w:t>6.1.4</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Identifikované scenáre vývoja vplyvov hlavných oblastí pôdohospodárstva na rozvoj zamestnanosti</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_Toc359550680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108</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81" w:history="1">
            <w:r w:rsidR="00900892" w:rsidRPr="00900892">
              <w:rPr>
                <w:rStyle w:val="Hypertextovprepojenie"/>
                <w:rFonts w:ascii="Times New Roman" w:hAnsi="Times New Roman"/>
                <w:noProof/>
                <w:sz w:val="18"/>
                <w:szCs w:val="18"/>
              </w:rPr>
              <w:t>6.2</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hAnsi="Times New Roman"/>
                <w:noProof/>
                <w:sz w:val="18"/>
                <w:szCs w:val="18"/>
              </w:rPr>
              <w:t>Rozvoj vidieka v oblastiach pôdohospodárstva, ktoré aktivujú vnútroregionálny dopyt po špecifických tovaroch a službách</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_Toc359550681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109</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82" w:history="1">
            <w:r w:rsidR="00900892" w:rsidRPr="00900892">
              <w:rPr>
                <w:rStyle w:val="Hypertextovprepojenie"/>
                <w:rFonts w:ascii="Times New Roman" w:hAnsi="Times New Roman"/>
                <w:i w:val="0"/>
                <w:noProof/>
                <w:sz w:val="18"/>
                <w:szCs w:val="18"/>
              </w:rPr>
              <w:t>6.2.1</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Rozvoj vidieka v špecializovanej živočíšnej výrobe</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_Toc359550682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110</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83" w:history="1">
            <w:r w:rsidR="00900892" w:rsidRPr="00900892">
              <w:rPr>
                <w:rStyle w:val="Hypertextovprepojenie"/>
                <w:rFonts w:ascii="Times New Roman" w:hAnsi="Times New Roman"/>
                <w:i w:val="0"/>
                <w:noProof/>
                <w:sz w:val="18"/>
                <w:szCs w:val="18"/>
              </w:rPr>
              <w:t>6.2.1.1</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Ovčie mlieko a výrobky z neho</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_Toc359550683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110</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84" w:history="1">
            <w:r w:rsidR="00900892" w:rsidRPr="00900892">
              <w:rPr>
                <w:rStyle w:val="Hypertextovprepojenie"/>
                <w:rFonts w:ascii="Times New Roman" w:hAnsi="Times New Roman"/>
                <w:i w:val="0"/>
                <w:noProof/>
                <w:sz w:val="18"/>
                <w:szCs w:val="18"/>
              </w:rPr>
              <w:t>6.2.1.2</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Kozie mlieko</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_Toc359550684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112</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85" w:history="1">
            <w:r w:rsidR="00900892" w:rsidRPr="00900892">
              <w:rPr>
                <w:rStyle w:val="Hypertextovprepojenie"/>
                <w:rFonts w:ascii="Times New Roman" w:hAnsi="Times New Roman"/>
                <w:i w:val="0"/>
                <w:noProof/>
                <w:sz w:val="18"/>
                <w:szCs w:val="18"/>
              </w:rPr>
              <w:t>6.2.1.3</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Chov králikov a produkty z nich</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_Toc359550685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113</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86" w:history="1">
            <w:r w:rsidR="00900892" w:rsidRPr="00900892">
              <w:rPr>
                <w:rStyle w:val="Hypertextovprepojenie"/>
                <w:rFonts w:ascii="Times New Roman" w:hAnsi="Times New Roman"/>
                <w:i w:val="0"/>
                <w:noProof/>
                <w:sz w:val="18"/>
                <w:szCs w:val="18"/>
              </w:rPr>
              <w:t>6.2.1.4</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Hospodársky chov rýb</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_Toc359550686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113</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87" w:history="1">
            <w:r w:rsidR="00900892" w:rsidRPr="00900892">
              <w:rPr>
                <w:rStyle w:val="Hypertextovprepojenie"/>
                <w:rFonts w:ascii="Times New Roman" w:hAnsi="Times New Roman"/>
                <w:i w:val="0"/>
                <w:noProof/>
                <w:sz w:val="18"/>
                <w:szCs w:val="18"/>
              </w:rPr>
              <w:t>6.2.2</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Rozvoj vidieka v špecializovanej rastlinnej výrobe</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_Toc359550687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116</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88" w:history="1">
            <w:r w:rsidR="00900892" w:rsidRPr="00900892">
              <w:rPr>
                <w:rStyle w:val="Hypertextovprepojenie"/>
                <w:rFonts w:ascii="Times New Roman" w:hAnsi="Times New Roman"/>
                <w:i w:val="0"/>
                <w:noProof/>
                <w:sz w:val="18"/>
                <w:szCs w:val="18"/>
              </w:rPr>
              <w:t>6.2.2.1</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Vinohradníctvo</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_Toc359550688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116</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89" w:history="1">
            <w:r w:rsidR="00900892" w:rsidRPr="00900892">
              <w:rPr>
                <w:rStyle w:val="Hypertextovprepojenie"/>
                <w:rFonts w:ascii="Times New Roman" w:hAnsi="Times New Roman"/>
                <w:i w:val="0"/>
                <w:noProof/>
                <w:sz w:val="18"/>
                <w:szCs w:val="18"/>
              </w:rPr>
              <w:t>6.2.2.2</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Pestovanie chmeľu</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_Toc359550689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117</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90" w:history="1">
            <w:r w:rsidR="00900892" w:rsidRPr="00900892">
              <w:rPr>
                <w:rStyle w:val="Hypertextovprepojenie"/>
                <w:rFonts w:ascii="Times New Roman" w:hAnsi="Times New Roman"/>
                <w:i w:val="0"/>
                <w:noProof/>
                <w:sz w:val="18"/>
                <w:szCs w:val="18"/>
              </w:rPr>
              <w:t>6.2.3</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Rozvoj vidieka pri zabezpečení špecializovaných lesníckych činností</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_Toc359550690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118</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3"/>
            <w:rPr>
              <w:rFonts w:ascii="Times New Roman" w:hAnsi="Times New Roman" w:cs="Times New Roman"/>
              <w:i w:val="0"/>
              <w:iCs w:val="0"/>
              <w:noProof/>
              <w:sz w:val="18"/>
              <w:szCs w:val="18"/>
            </w:rPr>
          </w:pPr>
          <w:hyperlink w:anchor="_Toc359550691" w:history="1">
            <w:r w:rsidR="00900892" w:rsidRPr="00900892">
              <w:rPr>
                <w:rStyle w:val="Hypertextovprepojenie"/>
                <w:rFonts w:ascii="Times New Roman" w:hAnsi="Times New Roman"/>
                <w:i w:val="0"/>
                <w:noProof/>
                <w:sz w:val="18"/>
                <w:szCs w:val="18"/>
              </w:rPr>
              <w:t>6.2.4</w:t>
            </w:r>
            <w:r w:rsidR="00900892" w:rsidRPr="00900892">
              <w:rPr>
                <w:rFonts w:ascii="Times New Roman" w:hAnsi="Times New Roman" w:cs="Times New Roman"/>
                <w:i w:val="0"/>
                <w:iCs w:val="0"/>
                <w:noProof/>
                <w:sz w:val="18"/>
                <w:szCs w:val="18"/>
              </w:rPr>
              <w:tab/>
            </w:r>
            <w:r w:rsidR="00900892" w:rsidRPr="00900892">
              <w:rPr>
                <w:rStyle w:val="Hypertextovprepojenie"/>
                <w:rFonts w:ascii="Times New Roman" w:hAnsi="Times New Roman"/>
                <w:i w:val="0"/>
                <w:noProof/>
                <w:sz w:val="18"/>
                <w:szCs w:val="18"/>
              </w:rPr>
              <w:t>Identifikované scenáre vývoja vplyvov špecializovaných oblastí pôdohospodárstva na rozvoj vidieka</w:t>
            </w:r>
            <w:r w:rsidR="00900892" w:rsidRPr="00900892">
              <w:rPr>
                <w:rFonts w:ascii="Times New Roman" w:hAnsi="Times New Roman" w:cs="Times New Roman"/>
                <w:i w:val="0"/>
                <w:noProof/>
                <w:webHidden/>
                <w:sz w:val="18"/>
                <w:szCs w:val="18"/>
              </w:rPr>
              <w:tab/>
            </w:r>
            <w:r w:rsidR="00900892" w:rsidRPr="00900892">
              <w:rPr>
                <w:rFonts w:ascii="Times New Roman" w:hAnsi="Times New Roman" w:cs="Times New Roman"/>
                <w:i w:val="0"/>
                <w:noProof/>
                <w:webHidden/>
                <w:sz w:val="18"/>
                <w:szCs w:val="18"/>
              </w:rPr>
              <w:fldChar w:fldCharType="begin"/>
            </w:r>
            <w:r w:rsidR="00900892" w:rsidRPr="00900892">
              <w:rPr>
                <w:rFonts w:ascii="Times New Roman" w:hAnsi="Times New Roman" w:cs="Times New Roman"/>
                <w:i w:val="0"/>
                <w:noProof/>
                <w:webHidden/>
                <w:sz w:val="18"/>
                <w:szCs w:val="18"/>
              </w:rPr>
              <w:instrText xml:space="preserve"> PAGEREF _Toc359550691 \h </w:instrText>
            </w:r>
            <w:r w:rsidR="00900892" w:rsidRPr="00900892">
              <w:rPr>
                <w:rFonts w:ascii="Times New Roman" w:hAnsi="Times New Roman" w:cs="Times New Roman"/>
                <w:i w:val="0"/>
                <w:noProof/>
                <w:webHidden/>
                <w:sz w:val="18"/>
                <w:szCs w:val="18"/>
              </w:rPr>
            </w:r>
            <w:r w:rsidR="00900892" w:rsidRPr="00900892">
              <w:rPr>
                <w:rFonts w:ascii="Times New Roman" w:hAnsi="Times New Roman" w:cs="Times New Roman"/>
                <w:i w:val="0"/>
                <w:noProof/>
                <w:webHidden/>
                <w:sz w:val="18"/>
                <w:szCs w:val="18"/>
              </w:rPr>
              <w:fldChar w:fldCharType="separate"/>
            </w:r>
            <w:r w:rsidR="00900892" w:rsidRPr="00900892">
              <w:rPr>
                <w:rFonts w:ascii="Times New Roman" w:hAnsi="Times New Roman" w:cs="Times New Roman"/>
                <w:i w:val="0"/>
                <w:noProof/>
                <w:webHidden/>
                <w:sz w:val="18"/>
                <w:szCs w:val="18"/>
              </w:rPr>
              <w:t>119</w:t>
            </w:r>
            <w:r w:rsidR="00900892" w:rsidRPr="00900892">
              <w:rPr>
                <w:rFonts w:ascii="Times New Roman" w:hAnsi="Times New Roman" w:cs="Times New Roman"/>
                <w:i w:val="0"/>
                <w:noProof/>
                <w:webHidden/>
                <w:sz w:val="18"/>
                <w:szCs w:val="18"/>
              </w:rPr>
              <w:fldChar w:fldCharType="end"/>
            </w:r>
          </w:hyperlink>
        </w:p>
        <w:p w:rsidR="00900892" w:rsidRPr="00900892" w:rsidRDefault="00123294">
          <w:pPr>
            <w:pStyle w:val="Obsah1"/>
            <w:rPr>
              <w:rFonts w:ascii="Times New Roman" w:hAnsi="Times New Roman" w:cs="Times New Roman"/>
              <w:b w:val="0"/>
              <w:bCs w:val="0"/>
              <w:caps w:val="0"/>
              <w:noProof/>
              <w:sz w:val="18"/>
              <w:szCs w:val="18"/>
            </w:rPr>
          </w:pPr>
          <w:hyperlink w:anchor="_Toc359550692" w:history="1">
            <w:r w:rsidR="00900892" w:rsidRPr="00900892">
              <w:rPr>
                <w:rStyle w:val="Hypertextovprepojenie"/>
                <w:rFonts w:ascii="Times New Roman" w:hAnsi="Times New Roman"/>
                <w:noProof/>
                <w:sz w:val="18"/>
                <w:szCs w:val="18"/>
              </w:rPr>
              <w:t>7</w:t>
            </w:r>
            <w:r w:rsidR="00900892" w:rsidRPr="00900892">
              <w:rPr>
                <w:rFonts w:ascii="Times New Roman" w:hAnsi="Times New Roman" w:cs="Times New Roman"/>
                <w:b w:val="0"/>
                <w:bCs w:val="0"/>
                <w:caps w:val="0"/>
                <w:noProof/>
                <w:sz w:val="18"/>
                <w:szCs w:val="18"/>
              </w:rPr>
              <w:tab/>
            </w:r>
            <w:r w:rsidR="00900892" w:rsidRPr="00900892">
              <w:rPr>
                <w:rStyle w:val="Hypertextovprepojenie"/>
                <w:rFonts w:ascii="Times New Roman" w:hAnsi="Times New Roman"/>
                <w:noProof/>
                <w:sz w:val="18"/>
                <w:szCs w:val="18"/>
              </w:rPr>
              <w:t xml:space="preserve">Štúdia realizovateľnosti pre naplnenie stanovených cieľov a prioritných </w:t>
            </w:r>
            <w:r w:rsidR="00900892">
              <w:rPr>
                <w:rStyle w:val="Hypertextovprepojenie"/>
                <w:rFonts w:ascii="Times New Roman" w:hAnsi="Times New Roman"/>
                <w:noProof/>
                <w:sz w:val="18"/>
                <w:szCs w:val="18"/>
              </w:rPr>
              <w:t xml:space="preserve">       </w:t>
            </w:r>
            <w:r w:rsidR="00900892" w:rsidRPr="00900892">
              <w:rPr>
                <w:rStyle w:val="Hypertextovprepojenie"/>
                <w:rFonts w:ascii="Times New Roman" w:hAnsi="Times New Roman"/>
                <w:noProof/>
                <w:sz w:val="18"/>
                <w:szCs w:val="18"/>
              </w:rPr>
              <w:t>úloh</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_Toc359550692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121</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93" w:history="1">
            <w:r w:rsidR="00900892" w:rsidRPr="00900892">
              <w:rPr>
                <w:rStyle w:val="Hypertextovprepojenie"/>
                <w:rFonts w:ascii="Times New Roman" w:eastAsia="Calibri" w:hAnsi="Times New Roman"/>
                <w:noProof/>
                <w:sz w:val="18"/>
                <w:szCs w:val="18"/>
              </w:rPr>
              <w:t>7.1</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eastAsia="Calibri" w:hAnsi="Times New Roman"/>
                <w:noProof/>
                <w:sz w:val="18"/>
                <w:szCs w:val="18"/>
              </w:rPr>
              <w:t>Rezortný výskum</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_Toc359550693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121</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94" w:history="1">
            <w:r w:rsidR="00900892" w:rsidRPr="00900892">
              <w:rPr>
                <w:rStyle w:val="Hypertextovprepojenie"/>
                <w:rFonts w:ascii="Times New Roman" w:eastAsia="Calibri" w:hAnsi="Times New Roman"/>
                <w:noProof/>
                <w:sz w:val="18"/>
                <w:szCs w:val="18"/>
              </w:rPr>
              <w:t>7.2</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eastAsia="Calibri" w:hAnsi="Times New Roman"/>
                <w:noProof/>
                <w:sz w:val="18"/>
                <w:szCs w:val="18"/>
              </w:rPr>
              <w:t>Zvýšenie konkurencieschopnosti všetkých typov poľnohospodárstva a životaschopnosti fariem</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_Toc359550694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124</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95" w:history="1">
            <w:r w:rsidR="00900892" w:rsidRPr="00900892">
              <w:rPr>
                <w:rStyle w:val="Hypertextovprepojenie"/>
                <w:rFonts w:ascii="Times New Roman" w:eastAsia="Calibri" w:hAnsi="Times New Roman"/>
                <w:noProof/>
                <w:sz w:val="18"/>
                <w:szCs w:val="18"/>
              </w:rPr>
              <w:t>7.3</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eastAsia="Calibri" w:hAnsi="Times New Roman"/>
                <w:noProof/>
                <w:sz w:val="18"/>
                <w:szCs w:val="18"/>
              </w:rPr>
              <w:t>Podpora organizácie v rámci potravinového reťazca a riadenie rizík</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_Toc359550695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131</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96" w:history="1">
            <w:r w:rsidR="00900892" w:rsidRPr="00900892">
              <w:rPr>
                <w:rStyle w:val="Hypertextovprepojenie"/>
                <w:rFonts w:ascii="Times New Roman" w:eastAsia="Calibri" w:hAnsi="Times New Roman"/>
                <w:noProof/>
                <w:sz w:val="18"/>
                <w:szCs w:val="18"/>
              </w:rPr>
              <w:t>7.4</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eastAsia="Calibri" w:hAnsi="Times New Roman"/>
                <w:noProof/>
                <w:sz w:val="18"/>
                <w:szCs w:val="18"/>
              </w:rPr>
              <w:t>Agro-environmentálne operácie súvisiace s klímou</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_Toc359550696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133</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97" w:history="1">
            <w:r w:rsidR="00900892" w:rsidRPr="00900892">
              <w:rPr>
                <w:rStyle w:val="Hypertextovprepojenie"/>
                <w:rFonts w:ascii="Times New Roman" w:eastAsia="Calibri" w:hAnsi="Times New Roman"/>
                <w:noProof/>
                <w:sz w:val="18"/>
                <w:szCs w:val="18"/>
                <w:highlight w:val="yellow"/>
              </w:rPr>
              <w:t>7.5</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eastAsia="Calibri" w:hAnsi="Times New Roman"/>
                <w:noProof/>
                <w:sz w:val="18"/>
                <w:szCs w:val="18"/>
                <w:highlight w:val="yellow"/>
              </w:rPr>
              <w:t>Dobré životné podmienky zvierat</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_Toc359550697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134</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98" w:history="1">
            <w:r w:rsidR="00900892" w:rsidRPr="00900892">
              <w:rPr>
                <w:rStyle w:val="Hypertextovprepojenie"/>
                <w:rFonts w:ascii="Times New Roman" w:eastAsia="Calibri" w:hAnsi="Times New Roman"/>
                <w:noProof/>
                <w:sz w:val="18"/>
                <w:szCs w:val="18"/>
              </w:rPr>
              <w:t>7.6</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eastAsia="Calibri" w:hAnsi="Times New Roman"/>
                <w:noProof/>
                <w:sz w:val="18"/>
                <w:szCs w:val="18"/>
              </w:rPr>
              <w:t>Investície do rozvoja lesných oblastí a zlepšenia životaschopnosti lesov</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_Toc359550698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134</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699" w:history="1">
            <w:r w:rsidR="00900892" w:rsidRPr="00900892">
              <w:rPr>
                <w:rStyle w:val="Hypertextovprepojenie"/>
                <w:rFonts w:ascii="Times New Roman" w:eastAsia="Calibri" w:hAnsi="Times New Roman"/>
                <w:noProof/>
                <w:sz w:val="18"/>
                <w:szCs w:val="18"/>
              </w:rPr>
              <w:t>7.7</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eastAsia="Calibri" w:hAnsi="Times New Roman"/>
                <w:noProof/>
                <w:sz w:val="18"/>
                <w:szCs w:val="18"/>
              </w:rPr>
              <w:t xml:space="preserve">Obnova potenciálu poľnohospodárskej výroby zničeného prírodnými katastrofami a </w:t>
            </w:r>
            <w:r w:rsidR="00900892">
              <w:rPr>
                <w:rStyle w:val="Hypertextovprepojenie"/>
                <w:rFonts w:ascii="Times New Roman" w:eastAsia="Calibri" w:hAnsi="Times New Roman"/>
                <w:noProof/>
                <w:sz w:val="18"/>
                <w:szCs w:val="18"/>
              </w:rPr>
              <w:t xml:space="preserve">    </w:t>
            </w:r>
            <w:r w:rsidR="00900892" w:rsidRPr="00900892">
              <w:rPr>
                <w:rStyle w:val="Hypertextovprepojenie"/>
                <w:rFonts w:ascii="Times New Roman" w:eastAsia="Calibri" w:hAnsi="Times New Roman"/>
                <w:noProof/>
                <w:sz w:val="18"/>
                <w:szCs w:val="18"/>
              </w:rPr>
              <w:t>katastrofickými udalosťami a zavedenie vhodných preventívnych opatrení</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_Toc359550699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135</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700" w:history="1">
            <w:r w:rsidR="00900892" w:rsidRPr="00900892">
              <w:rPr>
                <w:rStyle w:val="Hypertextovprepojenie"/>
                <w:rFonts w:ascii="Times New Roman" w:hAnsi="Times New Roman"/>
                <w:noProof/>
                <w:sz w:val="18"/>
                <w:szCs w:val="18"/>
              </w:rPr>
              <w:t>7.8</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hAnsi="Times New Roman"/>
                <w:noProof/>
                <w:sz w:val="18"/>
                <w:szCs w:val="18"/>
              </w:rPr>
              <w:t>Podporné opatrenia národného záujmu na realizáciu priorít koncepcie</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_Toc359550700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136</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701" w:history="1">
            <w:r w:rsidR="00900892" w:rsidRPr="00900892">
              <w:rPr>
                <w:rStyle w:val="Hypertextovprepojenie"/>
                <w:rFonts w:ascii="Times New Roman" w:eastAsia="Calibri" w:hAnsi="Times New Roman"/>
                <w:noProof/>
                <w:sz w:val="18"/>
                <w:szCs w:val="18"/>
              </w:rPr>
              <w:t>7.9</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eastAsia="Calibri" w:hAnsi="Times New Roman"/>
                <w:noProof/>
                <w:sz w:val="18"/>
                <w:szCs w:val="18"/>
              </w:rPr>
              <w:t>Identifikácia vplyvov navrhovaných opatrení a prioritných úloh na štátny rozpočet</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_Toc359550701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138</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1"/>
            <w:rPr>
              <w:rFonts w:ascii="Times New Roman" w:hAnsi="Times New Roman" w:cs="Times New Roman"/>
              <w:b w:val="0"/>
              <w:bCs w:val="0"/>
              <w:caps w:val="0"/>
              <w:noProof/>
              <w:sz w:val="18"/>
              <w:szCs w:val="18"/>
            </w:rPr>
          </w:pPr>
          <w:hyperlink w:anchor="_Toc359550702" w:history="1">
            <w:r w:rsidR="00900892" w:rsidRPr="00900892">
              <w:rPr>
                <w:rStyle w:val="Hypertextovprepojenie"/>
                <w:rFonts w:ascii="Times New Roman" w:hAnsi="Times New Roman"/>
                <w:noProof/>
                <w:sz w:val="18"/>
                <w:szCs w:val="18"/>
              </w:rPr>
              <w:t>8</w:t>
            </w:r>
            <w:r w:rsidR="00900892" w:rsidRPr="00900892">
              <w:rPr>
                <w:rFonts w:ascii="Times New Roman" w:hAnsi="Times New Roman" w:cs="Times New Roman"/>
                <w:b w:val="0"/>
                <w:bCs w:val="0"/>
                <w:caps w:val="0"/>
                <w:noProof/>
                <w:sz w:val="18"/>
                <w:szCs w:val="18"/>
              </w:rPr>
              <w:tab/>
            </w:r>
            <w:r w:rsidR="00900892" w:rsidRPr="00900892">
              <w:rPr>
                <w:rStyle w:val="Hypertextovprepojenie"/>
                <w:rFonts w:ascii="Times New Roman" w:hAnsi="Times New Roman"/>
                <w:noProof/>
                <w:sz w:val="18"/>
                <w:szCs w:val="18"/>
              </w:rPr>
              <w:t>Prognózy budúceho vývoja</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_Toc359550702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142</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703" w:history="1">
            <w:r w:rsidR="00900892" w:rsidRPr="00900892">
              <w:rPr>
                <w:rStyle w:val="Hypertextovprepojenie"/>
                <w:rFonts w:ascii="Times New Roman" w:eastAsia="Calibri" w:hAnsi="Times New Roman"/>
                <w:noProof/>
                <w:sz w:val="18"/>
                <w:szCs w:val="18"/>
              </w:rPr>
              <w:t>8.1</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eastAsia="Calibri" w:hAnsi="Times New Roman"/>
                <w:noProof/>
                <w:sz w:val="18"/>
                <w:szCs w:val="18"/>
              </w:rPr>
              <w:t>Základný scenár</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_Toc359550703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142</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704" w:history="1">
            <w:r w:rsidR="00900892" w:rsidRPr="00900892">
              <w:rPr>
                <w:rStyle w:val="Hypertextovprepojenie"/>
                <w:rFonts w:ascii="Times New Roman" w:eastAsia="Calibri" w:hAnsi="Times New Roman"/>
                <w:noProof/>
                <w:sz w:val="18"/>
                <w:szCs w:val="18"/>
              </w:rPr>
              <w:t>8.2</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eastAsia="Calibri" w:hAnsi="Times New Roman"/>
                <w:noProof/>
                <w:sz w:val="18"/>
                <w:szCs w:val="18"/>
              </w:rPr>
              <w:t>Pesimistický scenár</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_Toc359550704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143</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2"/>
            <w:rPr>
              <w:rFonts w:ascii="Times New Roman" w:hAnsi="Times New Roman" w:cs="Times New Roman"/>
              <w:smallCaps w:val="0"/>
              <w:noProof/>
              <w:sz w:val="18"/>
              <w:szCs w:val="18"/>
            </w:rPr>
          </w:pPr>
          <w:hyperlink w:anchor="_Toc359550705" w:history="1">
            <w:r w:rsidR="00900892" w:rsidRPr="00900892">
              <w:rPr>
                <w:rStyle w:val="Hypertextovprepojenie"/>
                <w:rFonts w:ascii="Times New Roman" w:eastAsia="Calibri" w:hAnsi="Times New Roman"/>
                <w:noProof/>
                <w:sz w:val="18"/>
                <w:szCs w:val="18"/>
              </w:rPr>
              <w:t>8.3</w:t>
            </w:r>
            <w:r w:rsidR="00900892" w:rsidRPr="00900892">
              <w:rPr>
                <w:rFonts w:ascii="Times New Roman" w:hAnsi="Times New Roman" w:cs="Times New Roman"/>
                <w:smallCaps w:val="0"/>
                <w:noProof/>
                <w:sz w:val="18"/>
                <w:szCs w:val="18"/>
              </w:rPr>
              <w:tab/>
            </w:r>
            <w:r w:rsidR="00900892" w:rsidRPr="00900892">
              <w:rPr>
                <w:rStyle w:val="Hypertextovprepojenie"/>
                <w:rFonts w:ascii="Times New Roman" w:eastAsia="Calibri" w:hAnsi="Times New Roman"/>
                <w:noProof/>
                <w:sz w:val="18"/>
                <w:szCs w:val="18"/>
              </w:rPr>
              <w:t>Optimistický scenár</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_Toc359550705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144</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1"/>
            <w:rPr>
              <w:rFonts w:ascii="Times New Roman" w:hAnsi="Times New Roman" w:cs="Times New Roman"/>
              <w:b w:val="0"/>
              <w:bCs w:val="0"/>
              <w:caps w:val="0"/>
              <w:noProof/>
              <w:sz w:val="18"/>
              <w:szCs w:val="18"/>
            </w:rPr>
          </w:pPr>
          <w:hyperlink w:anchor="_Toc359550706" w:history="1">
            <w:r w:rsidR="00900892" w:rsidRPr="00900892">
              <w:rPr>
                <w:rStyle w:val="Hypertextovprepojenie"/>
                <w:rFonts w:ascii="Times New Roman" w:hAnsi="Times New Roman"/>
                <w:noProof/>
                <w:sz w:val="18"/>
                <w:szCs w:val="18"/>
              </w:rPr>
              <w:t>9</w:t>
            </w:r>
            <w:r w:rsidR="00900892" w:rsidRPr="00900892">
              <w:rPr>
                <w:rFonts w:ascii="Times New Roman" w:hAnsi="Times New Roman" w:cs="Times New Roman"/>
                <w:b w:val="0"/>
                <w:bCs w:val="0"/>
                <w:caps w:val="0"/>
                <w:noProof/>
                <w:sz w:val="18"/>
                <w:szCs w:val="18"/>
              </w:rPr>
              <w:tab/>
            </w:r>
            <w:r w:rsidR="00900892" w:rsidRPr="00900892">
              <w:rPr>
                <w:rStyle w:val="Hypertextovprepojenie"/>
                <w:rFonts w:ascii="Times New Roman" w:hAnsi="Times New Roman"/>
                <w:noProof/>
                <w:sz w:val="18"/>
                <w:szCs w:val="18"/>
              </w:rPr>
              <w:t>Závery a vyhlásenia</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_Toc359550706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145</w:t>
            </w:r>
            <w:r w:rsidR="00900892" w:rsidRPr="00900892">
              <w:rPr>
                <w:rFonts w:ascii="Times New Roman" w:hAnsi="Times New Roman" w:cs="Times New Roman"/>
                <w:noProof/>
                <w:webHidden/>
                <w:sz w:val="18"/>
                <w:szCs w:val="18"/>
              </w:rPr>
              <w:fldChar w:fldCharType="end"/>
            </w:r>
          </w:hyperlink>
        </w:p>
        <w:p w:rsidR="00900892" w:rsidRPr="00900892" w:rsidRDefault="00123294">
          <w:pPr>
            <w:pStyle w:val="Obsah1"/>
            <w:rPr>
              <w:rFonts w:ascii="Times New Roman" w:hAnsi="Times New Roman" w:cs="Times New Roman"/>
              <w:b w:val="0"/>
              <w:bCs w:val="0"/>
              <w:caps w:val="0"/>
              <w:noProof/>
              <w:sz w:val="18"/>
              <w:szCs w:val="18"/>
            </w:rPr>
          </w:pPr>
          <w:hyperlink w:anchor="_Toc359550707" w:history="1">
            <w:r w:rsidR="00900892" w:rsidRPr="00900892">
              <w:rPr>
                <w:rStyle w:val="Hypertextovprepojenie"/>
                <w:rFonts w:ascii="Times New Roman" w:hAnsi="Times New Roman"/>
                <w:noProof/>
                <w:sz w:val="18"/>
                <w:szCs w:val="18"/>
              </w:rPr>
              <w:t>10</w:t>
            </w:r>
            <w:r w:rsidR="00900892" w:rsidRPr="00900892">
              <w:rPr>
                <w:rFonts w:ascii="Times New Roman" w:hAnsi="Times New Roman" w:cs="Times New Roman"/>
                <w:b w:val="0"/>
                <w:bCs w:val="0"/>
                <w:caps w:val="0"/>
                <w:noProof/>
                <w:sz w:val="18"/>
                <w:szCs w:val="18"/>
              </w:rPr>
              <w:tab/>
            </w:r>
            <w:r w:rsidR="00900892" w:rsidRPr="00900892">
              <w:rPr>
                <w:rStyle w:val="Hypertextovprepojenie"/>
                <w:rFonts w:ascii="Times New Roman" w:hAnsi="Times New Roman"/>
                <w:noProof/>
                <w:sz w:val="18"/>
                <w:szCs w:val="18"/>
              </w:rPr>
              <w:t>Prílohy</w:t>
            </w:r>
            <w:r w:rsidR="00900892" w:rsidRPr="00900892">
              <w:rPr>
                <w:rFonts w:ascii="Times New Roman" w:hAnsi="Times New Roman" w:cs="Times New Roman"/>
                <w:noProof/>
                <w:webHidden/>
                <w:sz w:val="18"/>
                <w:szCs w:val="18"/>
              </w:rPr>
              <w:tab/>
            </w:r>
            <w:r w:rsidR="00900892" w:rsidRPr="00900892">
              <w:rPr>
                <w:rFonts w:ascii="Times New Roman" w:hAnsi="Times New Roman" w:cs="Times New Roman"/>
                <w:noProof/>
                <w:webHidden/>
                <w:sz w:val="18"/>
                <w:szCs w:val="18"/>
              </w:rPr>
              <w:fldChar w:fldCharType="begin"/>
            </w:r>
            <w:r w:rsidR="00900892" w:rsidRPr="00900892">
              <w:rPr>
                <w:rFonts w:ascii="Times New Roman" w:hAnsi="Times New Roman" w:cs="Times New Roman"/>
                <w:noProof/>
                <w:webHidden/>
                <w:sz w:val="18"/>
                <w:szCs w:val="18"/>
              </w:rPr>
              <w:instrText xml:space="preserve"> PAGEREF _Toc359550707 \h </w:instrText>
            </w:r>
            <w:r w:rsidR="00900892" w:rsidRPr="00900892">
              <w:rPr>
                <w:rFonts w:ascii="Times New Roman" w:hAnsi="Times New Roman" w:cs="Times New Roman"/>
                <w:noProof/>
                <w:webHidden/>
                <w:sz w:val="18"/>
                <w:szCs w:val="18"/>
              </w:rPr>
            </w:r>
            <w:r w:rsidR="00900892" w:rsidRPr="00900892">
              <w:rPr>
                <w:rFonts w:ascii="Times New Roman" w:hAnsi="Times New Roman" w:cs="Times New Roman"/>
                <w:noProof/>
                <w:webHidden/>
                <w:sz w:val="18"/>
                <w:szCs w:val="18"/>
              </w:rPr>
              <w:fldChar w:fldCharType="separate"/>
            </w:r>
            <w:r w:rsidR="00900892" w:rsidRPr="00900892">
              <w:rPr>
                <w:rFonts w:ascii="Times New Roman" w:hAnsi="Times New Roman" w:cs="Times New Roman"/>
                <w:noProof/>
                <w:webHidden/>
                <w:sz w:val="18"/>
                <w:szCs w:val="18"/>
              </w:rPr>
              <w:t>148</w:t>
            </w:r>
            <w:r w:rsidR="00900892" w:rsidRPr="00900892">
              <w:rPr>
                <w:rFonts w:ascii="Times New Roman" w:hAnsi="Times New Roman" w:cs="Times New Roman"/>
                <w:noProof/>
                <w:webHidden/>
                <w:sz w:val="18"/>
                <w:szCs w:val="18"/>
              </w:rPr>
              <w:fldChar w:fldCharType="end"/>
            </w:r>
          </w:hyperlink>
        </w:p>
        <w:p w:rsidR="00623056" w:rsidRDefault="00ED4670" w:rsidP="00577939">
          <w:pPr>
            <w:spacing w:line="360" w:lineRule="auto"/>
            <w:rPr>
              <w:rFonts w:ascii="Times New Roman" w:hAnsi="Times New Roman" w:cs="Times New Roman"/>
            </w:rPr>
          </w:pPr>
          <w:r w:rsidRPr="00900892">
            <w:rPr>
              <w:rFonts w:ascii="Times New Roman" w:hAnsi="Times New Roman" w:cs="Times New Roman"/>
              <w:bCs/>
              <w:sz w:val="18"/>
              <w:szCs w:val="18"/>
            </w:rPr>
            <w:fldChar w:fldCharType="end"/>
          </w:r>
        </w:p>
      </w:sdtContent>
    </w:sdt>
    <w:p w:rsidR="00012C30" w:rsidRDefault="00012C30" w:rsidP="00012C30">
      <w:pPr>
        <w:rPr>
          <w:rFonts w:ascii="Times New Roman" w:eastAsiaTheme="majorEastAsia" w:hAnsi="Times New Roman" w:cstheme="majorBidi"/>
          <w:b/>
          <w:bCs/>
          <w:smallCaps/>
          <w:sz w:val="28"/>
          <w:szCs w:val="28"/>
        </w:rPr>
      </w:pPr>
      <w:bookmarkStart w:id="0" w:name="_Ref337114306"/>
    </w:p>
    <w:p w:rsidR="00DB10C2" w:rsidRPr="00C1511A" w:rsidRDefault="00DB10C2" w:rsidP="000D68DC">
      <w:pPr>
        <w:pStyle w:val="Nadpis1"/>
        <w:numPr>
          <w:ilvl w:val="0"/>
          <w:numId w:val="8"/>
        </w:numPr>
        <w:rPr>
          <w:smallCaps/>
        </w:rPr>
      </w:pPr>
      <w:bookmarkStart w:id="1" w:name="_Toc359550623"/>
      <w:r w:rsidRPr="007C6F17">
        <w:lastRenderedPageBreak/>
        <w:t>Základné východiská koncepcie</w:t>
      </w:r>
      <w:bookmarkEnd w:id="0"/>
      <w:bookmarkEnd w:id="1"/>
    </w:p>
    <w:p w:rsidR="00A81EBA" w:rsidRDefault="00A81EBA" w:rsidP="00A81EBA">
      <w:pPr>
        <w:spacing w:after="0" w:line="240" w:lineRule="auto"/>
        <w:jc w:val="both"/>
        <w:rPr>
          <w:rFonts w:ascii="Times New Roman" w:hAnsi="Times New Roman"/>
          <w:sz w:val="24"/>
          <w:szCs w:val="24"/>
        </w:rPr>
      </w:pPr>
    </w:p>
    <w:p w:rsidR="00A060F2" w:rsidRDefault="00A060F2" w:rsidP="00A060F2">
      <w:pPr>
        <w:spacing w:after="0" w:line="240" w:lineRule="auto"/>
        <w:jc w:val="both"/>
        <w:rPr>
          <w:rFonts w:ascii="Times New Roman" w:hAnsi="Times New Roman" w:cs="Times New Roman"/>
          <w:sz w:val="24"/>
          <w:szCs w:val="24"/>
        </w:rPr>
      </w:pPr>
      <w:r>
        <w:rPr>
          <w:rFonts w:ascii="Times New Roman" w:hAnsi="Times New Roman"/>
          <w:sz w:val="24"/>
          <w:szCs w:val="24"/>
        </w:rPr>
        <w:t xml:space="preserve">Rozvoj produkčne výkonného pôdohospodárstva, zabezpečujúceho </w:t>
      </w:r>
      <w:r>
        <w:rPr>
          <w:rFonts w:ascii="Times New Roman" w:hAnsi="Times New Roman" w:cs="Times New Roman"/>
          <w:sz w:val="24"/>
          <w:szCs w:val="24"/>
        </w:rPr>
        <w:t>hospodárne využívanie po</w:t>
      </w:r>
      <w:r>
        <w:rPr>
          <w:rFonts w:ascii="TimesNewRoman" w:hAnsi="TimesNewRoman" w:cs="TimesNewRoman"/>
          <w:sz w:val="24"/>
          <w:szCs w:val="24"/>
        </w:rPr>
        <w:t>ľ</w:t>
      </w:r>
      <w:r>
        <w:rPr>
          <w:rFonts w:ascii="Times New Roman" w:hAnsi="Times New Roman" w:cs="Times New Roman"/>
          <w:sz w:val="24"/>
          <w:szCs w:val="24"/>
        </w:rPr>
        <w:t xml:space="preserve">nohospodárskeho pôdneho fondu krajiny,  </w:t>
      </w:r>
      <w:r w:rsidR="006B5EAD">
        <w:rPr>
          <w:rFonts w:ascii="Times New Roman" w:hAnsi="Times New Roman" w:cs="Times New Roman"/>
          <w:sz w:val="24"/>
          <w:szCs w:val="24"/>
        </w:rPr>
        <w:t>dostatočnú produkčnú schopnosť poľnohospodárstva</w:t>
      </w:r>
      <w:r>
        <w:rPr>
          <w:rFonts w:ascii="Times New Roman" w:hAnsi="Times New Roman" w:cs="Times New Roman"/>
          <w:sz w:val="24"/>
          <w:szCs w:val="24"/>
        </w:rPr>
        <w:t xml:space="preserve"> Slovenskej republiky v základných potravinách, potravinovú bezpečnosť a dostupnosť pre obyvateľstvo, ako aj zabezpečenie trvalo udržate</w:t>
      </w:r>
      <w:r>
        <w:rPr>
          <w:rFonts w:ascii="TimesNewRoman" w:hAnsi="TimesNewRoman" w:cs="TimesNewRoman"/>
          <w:sz w:val="24"/>
          <w:szCs w:val="24"/>
        </w:rPr>
        <w:t>ľ</w:t>
      </w:r>
      <w:r>
        <w:rPr>
          <w:rFonts w:ascii="Times New Roman" w:hAnsi="Times New Roman" w:cs="Times New Roman"/>
          <w:sz w:val="24"/>
          <w:szCs w:val="24"/>
        </w:rPr>
        <w:t>ného obhospodarovania lesov je nosným štátnym záujmom.</w:t>
      </w:r>
    </w:p>
    <w:p w:rsidR="00D21AC0" w:rsidRDefault="00D21AC0" w:rsidP="00A060F2">
      <w:pPr>
        <w:spacing w:after="0" w:line="240" w:lineRule="auto"/>
        <w:jc w:val="both"/>
        <w:rPr>
          <w:rFonts w:ascii="Times New Roman" w:hAnsi="Times New Roman" w:cs="Times New Roman"/>
          <w:sz w:val="24"/>
          <w:szCs w:val="24"/>
        </w:rPr>
      </w:pPr>
    </w:p>
    <w:p w:rsidR="00A060F2" w:rsidRPr="00D21AC0" w:rsidRDefault="00D21AC0" w:rsidP="00A06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súčasnosti musíme konštatovať, že podiel poľnohospodárstva a lesníctva na hrubom domácom produkte Slovenska ako aj na zamestnanosti klesá. Na vidieku je však pôdohospodárstvo jedným z mála odvetví, ktoré vytvára pracovné miesta. Význam pôdohospodárstva spočíva aj v tom, že zamestnáva veľa starších a menej kvalifikovaných zamestnancov, ktorí by sa inde nemohli dobre uplatniť. </w:t>
      </w:r>
      <w:r w:rsidR="00A060F2" w:rsidRPr="00C814AB">
        <w:rPr>
          <w:rFonts w:ascii="Times New Roman" w:hAnsi="Times New Roman"/>
          <w:sz w:val="24"/>
          <w:szCs w:val="24"/>
        </w:rPr>
        <w:t>V slovenskom pôdohospodárstve podobne ako v celej ekonomike prebiehajú rozsiahle zmeny</w:t>
      </w:r>
      <w:r w:rsidR="00A060F2">
        <w:rPr>
          <w:rFonts w:ascii="Times New Roman" w:hAnsi="Times New Roman"/>
          <w:sz w:val="24"/>
          <w:szCs w:val="24"/>
        </w:rPr>
        <w:t>, ktoré ho postavili pred nové výzvy</w:t>
      </w:r>
      <w:r w:rsidR="00A060F2" w:rsidRPr="00C814AB">
        <w:rPr>
          <w:rFonts w:ascii="Times New Roman" w:hAnsi="Times New Roman"/>
          <w:sz w:val="24"/>
          <w:szCs w:val="24"/>
        </w:rPr>
        <w:t xml:space="preserve">. Integrácia do Európskej únie vystavila slovenských </w:t>
      </w:r>
      <w:r w:rsidR="00A060F2">
        <w:rPr>
          <w:rFonts w:ascii="Times New Roman" w:hAnsi="Times New Roman"/>
          <w:sz w:val="24"/>
          <w:szCs w:val="24"/>
        </w:rPr>
        <w:t>pôdohospodárov</w:t>
      </w:r>
      <w:r w:rsidR="00A060F2" w:rsidRPr="00C814AB">
        <w:rPr>
          <w:rFonts w:ascii="Times New Roman" w:hAnsi="Times New Roman"/>
          <w:sz w:val="24"/>
          <w:szCs w:val="24"/>
        </w:rPr>
        <w:t xml:space="preserve"> väčšej konkurencii na domácom trhu, ale aj rozšírila možností našich podnikov jednoduchšie realizovať výsledky svojej produkcie na spoločnom európskom trhu.</w:t>
      </w:r>
    </w:p>
    <w:p w:rsidR="00D21AC0" w:rsidRDefault="00D21AC0" w:rsidP="00A060F2">
      <w:pPr>
        <w:spacing w:after="0" w:line="240" w:lineRule="auto"/>
        <w:jc w:val="both"/>
        <w:rPr>
          <w:rFonts w:ascii="Times New Roman" w:hAnsi="Times New Roman" w:cs="Times New Roman"/>
          <w:sz w:val="24"/>
          <w:szCs w:val="24"/>
        </w:rPr>
      </w:pPr>
    </w:p>
    <w:p w:rsidR="00D21AC0" w:rsidRDefault="00D21AC0" w:rsidP="00D21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Slovenské poľnohospodárstvo je integrálnou súčasťou európskej a svetovej ekonomiky, kde v ostatnom období prebiehajú rozsiahle štrukturálne zmeny, </w:t>
      </w:r>
      <w:r w:rsidRPr="00034CFC">
        <w:rPr>
          <w:rFonts w:ascii="Times New Roman" w:hAnsi="Times New Roman" w:cs="Times New Roman"/>
          <w:sz w:val="24"/>
          <w:szCs w:val="24"/>
        </w:rPr>
        <w:t>ktoré podstatne vplývajú na slovenskú poľnohospodársku produkciu, vývoj domácich cien potravín a</w:t>
      </w:r>
      <w:r>
        <w:rPr>
          <w:rFonts w:ascii="Times New Roman" w:hAnsi="Times New Roman" w:cs="Times New Roman"/>
          <w:sz w:val="24"/>
          <w:szCs w:val="24"/>
        </w:rPr>
        <w:t>j</w:t>
      </w:r>
      <w:r w:rsidRPr="00034CFC">
        <w:rPr>
          <w:rFonts w:ascii="Times New Roman" w:hAnsi="Times New Roman" w:cs="Times New Roman"/>
          <w:sz w:val="24"/>
          <w:szCs w:val="24"/>
        </w:rPr>
        <w:t xml:space="preserve"> rozvoj vidieka</w:t>
      </w:r>
      <w:r>
        <w:rPr>
          <w:rFonts w:ascii="Times New Roman" w:hAnsi="Times New Roman" w:cs="Times New Roman"/>
          <w:sz w:val="24"/>
          <w:szCs w:val="24"/>
        </w:rPr>
        <w:t xml:space="preserve">. Ekonomický rozvoj a rast populácie v rozvojových štátoch zvýšil dopyt po poľnohospodárskych komoditách produkovaných v miernom klimatickom pásme a zároveň v dôsledku energetických politík štátov rastie aj dopyt po poľnohospodárskych aj lesníckych komoditách na výrobu energie, hlavne </w:t>
      </w:r>
      <w:proofErr w:type="spellStart"/>
      <w:r>
        <w:rPr>
          <w:rFonts w:ascii="Times New Roman" w:hAnsi="Times New Roman" w:cs="Times New Roman"/>
          <w:sz w:val="24"/>
          <w:szCs w:val="24"/>
        </w:rPr>
        <w:t>biopalív</w:t>
      </w:r>
      <w:proofErr w:type="spellEnd"/>
      <w:r>
        <w:rPr>
          <w:rFonts w:ascii="Times New Roman" w:hAnsi="Times New Roman" w:cs="Times New Roman"/>
          <w:sz w:val="24"/>
          <w:szCs w:val="24"/>
        </w:rPr>
        <w:t>. Výkyvy počasia, ktoré sa spájajú s klimatickými zmenami, zas negatívne vplývajú na ponuku poľnohospodárskych komodít a riziko podnikania. Globálne agrárne trhy prudko reagujú aj na zmeny makroekonomických ukazovateľov v rozvinutých štátoch, ktoré sa od roku 2008 nevyvíjajú veľmi priaznivo.</w:t>
      </w:r>
    </w:p>
    <w:p w:rsidR="00D21AC0" w:rsidRDefault="00D21AC0" w:rsidP="00A060F2">
      <w:pPr>
        <w:spacing w:after="0" w:line="240" w:lineRule="auto"/>
        <w:jc w:val="both"/>
        <w:rPr>
          <w:rFonts w:ascii="Times New Roman" w:hAnsi="Times New Roman" w:cs="Times New Roman"/>
          <w:sz w:val="24"/>
          <w:szCs w:val="24"/>
        </w:rPr>
      </w:pPr>
    </w:p>
    <w:p w:rsidR="00D21AC0" w:rsidRDefault="00D21AC0" w:rsidP="00D21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Podstatné zmeny nastali za ostatné obdobie v štruktúre spracovateľského priemyslu a v maloobchode. V dôsledku globalizácie a vstupu do EÚ sa zvýšila v oboch odvetviach koncentrácia, čo zásadne ovplyvňuje celú potravinovú vertikálu na Slovensku. </w:t>
      </w:r>
      <w:r w:rsidR="00962995">
        <w:rPr>
          <w:rFonts w:ascii="Times New Roman" w:hAnsi="Times New Roman" w:cs="Times New Roman"/>
          <w:sz w:val="24"/>
          <w:szCs w:val="24"/>
        </w:rPr>
        <w:t>Malé a stredné</w:t>
      </w:r>
      <w:r>
        <w:rPr>
          <w:rFonts w:ascii="Times New Roman" w:hAnsi="Times New Roman" w:cs="Times New Roman"/>
          <w:sz w:val="24"/>
          <w:szCs w:val="24"/>
        </w:rPr>
        <w:t xml:space="preserve"> poľnohospodárske podniky Slovenska čelia veľkým dodávateľom vstupov aj odberateľom ich produkcie. Vyjednávacia pozícia </w:t>
      </w:r>
      <w:r w:rsidR="00962995">
        <w:rPr>
          <w:rFonts w:ascii="Times New Roman" w:hAnsi="Times New Roman" w:cs="Times New Roman"/>
          <w:sz w:val="24"/>
          <w:szCs w:val="24"/>
        </w:rPr>
        <w:t>prvovýrobcov a spracovateľov</w:t>
      </w:r>
      <w:r>
        <w:rPr>
          <w:rFonts w:ascii="Times New Roman" w:hAnsi="Times New Roman" w:cs="Times New Roman"/>
          <w:sz w:val="24"/>
          <w:szCs w:val="24"/>
        </w:rPr>
        <w:t xml:space="preserve"> takto v potravinovej vertikále postupne klesá. Navyše, spotrebitelia slovenských potravín sú čoraz náročnejší. Na jednej strane vyžadujú nízke ceny, ale zároveň aj vysokú kvalitu produktov. Týmto nárokom sa </w:t>
      </w:r>
      <w:r w:rsidR="00962995">
        <w:rPr>
          <w:rFonts w:ascii="Times New Roman" w:hAnsi="Times New Roman" w:cs="Times New Roman"/>
          <w:sz w:val="24"/>
          <w:szCs w:val="24"/>
        </w:rPr>
        <w:t>slovenskí</w:t>
      </w:r>
      <w:r>
        <w:rPr>
          <w:rFonts w:ascii="Times New Roman" w:hAnsi="Times New Roman" w:cs="Times New Roman"/>
          <w:sz w:val="24"/>
          <w:szCs w:val="24"/>
        </w:rPr>
        <w:t xml:space="preserve"> producenti musia prispôsobiť, hoci často sú vystavení nekalej súťaži zo strany dovozcov nekvalitných potravín, ktorí zneužívajú nedokonalé informácie kupujúcich a medzery v legislatíve.</w:t>
      </w:r>
    </w:p>
    <w:p w:rsidR="00D21AC0" w:rsidRDefault="00D21AC0" w:rsidP="00A060F2">
      <w:pPr>
        <w:spacing w:after="0" w:line="240" w:lineRule="auto"/>
        <w:jc w:val="both"/>
        <w:rPr>
          <w:rFonts w:ascii="Times New Roman" w:hAnsi="Times New Roman" w:cs="Times New Roman"/>
          <w:sz w:val="24"/>
          <w:szCs w:val="24"/>
        </w:rPr>
      </w:pPr>
    </w:p>
    <w:p w:rsidR="00A060F2" w:rsidRDefault="00D21AC0" w:rsidP="00A06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Čo sa týka sektoru lesníctva, spracovania dreva a poľovníctva, je potrebné uvedomiť si, že v</w:t>
      </w:r>
      <w:r w:rsidR="00A060F2" w:rsidRPr="00D21AC0">
        <w:rPr>
          <w:rFonts w:ascii="Times New Roman" w:hAnsi="Times New Roman" w:cs="Times New Roman"/>
          <w:sz w:val="24"/>
          <w:szCs w:val="24"/>
        </w:rPr>
        <w:t>ďaka racionálnemu a modernému trvalo udržate</w:t>
      </w:r>
      <w:r>
        <w:rPr>
          <w:rFonts w:ascii="Times New Roman" w:hAnsi="Times New Roman" w:cs="Times New Roman"/>
          <w:sz w:val="24"/>
          <w:szCs w:val="24"/>
        </w:rPr>
        <w:t xml:space="preserve">ľnému obhospodarovaniu nám lesy </w:t>
      </w:r>
      <w:r w:rsidR="00A060F2" w:rsidRPr="00D21AC0">
        <w:rPr>
          <w:rFonts w:ascii="Times New Roman" w:hAnsi="Times New Roman" w:cs="Times New Roman"/>
          <w:sz w:val="24"/>
          <w:szCs w:val="24"/>
        </w:rPr>
        <w:t xml:space="preserve">poskytujú dostatok suroviny pre súčasnosť, aj pre budúce generácie. </w:t>
      </w:r>
      <w:r>
        <w:rPr>
          <w:rFonts w:ascii="Times New Roman" w:hAnsi="Times New Roman" w:cs="Times New Roman"/>
          <w:sz w:val="24"/>
          <w:szCs w:val="24"/>
        </w:rPr>
        <w:t>D</w:t>
      </w:r>
      <w:r w:rsidR="00A060F2" w:rsidRPr="00D21AC0">
        <w:rPr>
          <w:rFonts w:ascii="Times New Roman" w:hAnsi="Times New Roman" w:cs="Times New Roman"/>
          <w:sz w:val="24"/>
          <w:szCs w:val="24"/>
        </w:rPr>
        <w:t xml:space="preserve">revo </w:t>
      </w:r>
      <w:r>
        <w:rPr>
          <w:rFonts w:ascii="Times New Roman" w:hAnsi="Times New Roman" w:cs="Times New Roman"/>
          <w:sz w:val="24"/>
          <w:szCs w:val="24"/>
        </w:rPr>
        <w:t xml:space="preserve">je potrebné vnímať </w:t>
      </w:r>
      <w:r w:rsidR="00A060F2" w:rsidRPr="00D21AC0">
        <w:rPr>
          <w:rFonts w:ascii="Times New Roman" w:hAnsi="Times New Roman" w:cs="Times New Roman"/>
          <w:sz w:val="24"/>
          <w:szCs w:val="24"/>
        </w:rPr>
        <w:t>ako strategickú suro</w:t>
      </w:r>
      <w:r>
        <w:rPr>
          <w:rFonts w:ascii="Times New Roman" w:hAnsi="Times New Roman" w:cs="Times New Roman"/>
          <w:sz w:val="24"/>
          <w:szCs w:val="24"/>
        </w:rPr>
        <w:t xml:space="preserve">vinu, ktorej rozumné využívanie </w:t>
      </w:r>
      <w:r w:rsidR="00A060F2" w:rsidRPr="00D21AC0">
        <w:rPr>
          <w:rFonts w:ascii="Times New Roman" w:hAnsi="Times New Roman" w:cs="Times New Roman"/>
          <w:sz w:val="24"/>
          <w:szCs w:val="24"/>
        </w:rPr>
        <w:t>a spracovanie podporuje regionálny priemysel</w:t>
      </w:r>
      <w:r w:rsidR="006C32F9">
        <w:rPr>
          <w:rFonts w:ascii="Times New Roman" w:hAnsi="Times New Roman" w:cs="Times New Roman"/>
          <w:sz w:val="24"/>
          <w:szCs w:val="24"/>
        </w:rPr>
        <w:t xml:space="preserve"> a zvyšuje zamestnanosť. Domáci </w:t>
      </w:r>
      <w:r w:rsidR="00A060F2" w:rsidRPr="00D21AC0">
        <w:rPr>
          <w:rFonts w:ascii="Times New Roman" w:hAnsi="Times New Roman" w:cs="Times New Roman"/>
          <w:sz w:val="24"/>
          <w:szCs w:val="24"/>
        </w:rPr>
        <w:t xml:space="preserve">drevospracujúci priemysel má ambíciu a podmienky stať sa jedným z pilierov </w:t>
      </w:r>
      <w:r w:rsidR="006C32F9">
        <w:rPr>
          <w:rFonts w:ascii="Times New Roman" w:hAnsi="Times New Roman" w:cs="Times New Roman"/>
          <w:sz w:val="24"/>
          <w:szCs w:val="24"/>
        </w:rPr>
        <w:t xml:space="preserve">slovenskej </w:t>
      </w:r>
      <w:r w:rsidR="00A060F2" w:rsidRPr="00D21AC0">
        <w:rPr>
          <w:rFonts w:ascii="Times New Roman" w:hAnsi="Times New Roman" w:cs="Times New Roman"/>
          <w:sz w:val="24"/>
          <w:szCs w:val="24"/>
        </w:rPr>
        <w:t>ekonomiky. Navyše ukladaním uhlíka v lesoch, v produ</w:t>
      </w:r>
      <w:r w:rsidR="006C32F9">
        <w:rPr>
          <w:rFonts w:ascii="Times New Roman" w:hAnsi="Times New Roman" w:cs="Times New Roman"/>
          <w:sz w:val="24"/>
          <w:szCs w:val="24"/>
        </w:rPr>
        <w:t>ktoch z vyťaženého dreva a jeho n</w:t>
      </w:r>
      <w:r w:rsidR="00A060F2" w:rsidRPr="00D21AC0">
        <w:rPr>
          <w:rFonts w:ascii="Times New Roman" w:hAnsi="Times New Roman" w:cs="Times New Roman"/>
          <w:sz w:val="24"/>
          <w:szCs w:val="24"/>
        </w:rPr>
        <w:t>áhradou za neobnoviteľné suroviny a energiu lesn</w:t>
      </w:r>
      <w:r w:rsidR="006C32F9">
        <w:rPr>
          <w:rFonts w:ascii="Times New Roman" w:hAnsi="Times New Roman" w:cs="Times New Roman"/>
          <w:sz w:val="24"/>
          <w:szCs w:val="24"/>
        </w:rPr>
        <w:t xml:space="preserve">ícko-drevársky sektor významnou </w:t>
      </w:r>
      <w:r w:rsidR="00A060F2" w:rsidRPr="00D21AC0">
        <w:rPr>
          <w:rFonts w:ascii="Times New Roman" w:hAnsi="Times New Roman" w:cs="Times New Roman"/>
          <w:sz w:val="24"/>
          <w:szCs w:val="24"/>
        </w:rPr>
        <w:t>mierou prispieva k zmierňovaniu klimatickej zmeny.</w:t>
      </w:r>
    </w:p>
    <w:p w:rsidR="006C32F9" w:rsidRDefault="006C32F9" w:rsidP="00A060F2">
      <w:pPr>
        <w:spacing w:after="0" w:line="240" w:lineRule="auto"/>
        <w:jc w:val="both"/>
        <w:rPr>
          <w:rFonts w:ascii="Times New Roman" w:hAnsi="Times New Roman" w:cs="Times New Roman"/>
          <w:sz w:val="24"/>
          <w:szCs w:val="24"/>
        </w:rPr>
      </w:pPr>
    </w:p>
    <w:p w:rsidR="006C32F9" w:rsidRPr="00D21AC0" w:rsidRDefault="006C32F9" w:rsidP="00A06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Koncepcia rozvoja pôdohospodárstva na roky 20</w:t>
      </w:r>
      <w:r w:rsidR="0071708E">
        <w:rPr>
          <w:rFonts w:ascii="Times New Roman" w:hAnsi="Times New Roman" w:cs="Times New Roman"/>
          <w:sz w:val="24"/>
          <w:szCs w:val="24"/>
        </w:rPr>
        <w:t>13</w:t>
      </w:r>
      <w:r>
        <w:rPr>
          <w:rFonts w:ascii="Times New Roman" w:hAnsi="Times New Roman" w:cs="Times New Roman"/>
          <w:sz w:val="24"/>
          <w:szCs w:val="24"/>
        </w:rPr>
        <w:t xml:space="preserve"> – 20</w:t>
      </w:r>
      <w:r w:rsidR="006D0C40">
        <w:rPr>
          <w:rFonts w:ascii="Times New Roman" w:hAnsi="Times New Roman" w:cs="Times New Roman"/>
          <w:sz w:val="24"/>
          <w:szCs w:val="24"/>
        </w:rPr>
        <w:t>20</w:t>
      </w:r>
      <w:r>
        <w:rPr>
          <w:rFonts w:ascii="Times New Roman" w:hAnsi="Times New Roman" w:cs="Times New Roman"/>
          <w:sz w:val="24"/>
          <w:szCs w:val="24"/>
        </w:rPr>
        <w:t xml:space="preserve">, vo väzbe na vyššie uvedené vychádza </w:t>
      </w:r>
      <w:r w:rsidR="00D25DF5">
        <w:rPr>
          <w:rFonts w:ascii="Times New Roman" w:hAnsi="Times New Roman" w:cs="Times New Roman"/>
          <w:sz w:val="24"/>
          <w:szCs w:val="24"/>
        </w:rPr>
        <w:t xml:space="preserve">prioritne zo </w:t>
      </w:r>
      <w:r w:rsidR="00CA5FC9">
        <w:rPr>
          <w:rFonts w:ascii="Times New Roman" w:hAnsi="Times New Roman" w:cs="Times New Roman"/>
          <w:sz w:val="24"/>
          <w:szCs w:val="24"/>
        </w:rPr>
        <w:t>S</w:t>
      </w:r>
      <w:r>
        <w:rPr>
          <w:rFonts w:ascii="Times New Roman" w:hAnsi="Times New Roman" w:cs="Times New Roman"/>
          <w:sz w:val="24"/>
          <w:szCs w:val="24"/>
        </w:rPr>
        <w:t>poločnej poľnohospodárskej politiky</w:t>
      </w:r>
      <w:r w:rsidR="00D25DF5">
        <w:rPr>
          <w:rFonts w:ascii="Times New Roman" w:hAnsi="Times New Roman" w:cs="Times New Roman"/>
          <w:sz w:val="24"/>
          <w:szCs w:val="24"/>
        </w:rPr>
        <w:t xml:space="preserve"> a</w:t>
      </w:r>
      <w:r>
        <w:rPr>
          <w:rFonts w:ascii="Times New Roman" w:hAnsi="Times New Roman" w:cs="Times New Roman"/>
          <w:sz w:val="24"/>
          <w:szCs w:val="24"/>
        </w:rPr>
        <w:t xml:space="preserve"> programového vyhlásenia vlády Slovenskej republiky na roky 2012 –</w:t>
      </w:r>
      <w:r w:rsidR="00D25DF5">
        <w:rPr>
          <w:rFonts w:ascii="Times New Roman" w:hAnsi="Times New Roman" w:cs="Times New Roman"/>
          <w:sz w:val="24"/>
          <w:szCs w:val="24"/>
        </w:rPr>
        <w:t xml:space="preserve"> 2016.</w:t>
      </w:r>
    </w:p>
    <w:p w:rsidR="00A060F2" w:rsidRDefault="00A060F2" w:rsidP="00A81EBA">
      <w:pPr>
        <w:spacing w:after="0" w:line="240" w:lineRule="auto"/>
        <w:jc w:val="both"/>
        <w:rPr>
          <w:rFonts w:ascii="Times New Roman" w:hAnsi="Times New Roman"/>
          <w:sz w:val="24"/>
          <w:szCs w:val="24"/>
        </w:rPr>
      </w:pPr>
    </w:p>
    <w:p w:rsidR="00D25DF5" w:rsidRPr="00B64EA7" w:rsidRDefault="00D25DF5" w:rsidP="00B64EA7">
      <w:pPr>
        <w:spacing w:after="0" w:line="240" w:lineRule="auto"/>
        <w:jc w:val="both"/>
        <w:rPr>
          <w:rFonts w:ascii="Times New Roman" w:hAnsi="Times New Roman" w:cs="Times New Roman"/>
          <w:sz w:val="24"/>
          <w:szCs w:val="24"/>
          <w:u w:val="single"/>
        </w:rPr>
      </w:pPr>
      <w:r w:rsidRPr="00B64EA7">
        <w:rPr>
          <w:rFonts w:ascii="Times New Roman" w:hAnsi="Times New Roman" w:cs="Times New Roman"/>
          <w:sz w:val="24"/>
          <w:szCs w:val="24"/>
          <w:u w:val="single"/>
        </w:rPr>
        <w:t>Spoločná poľnohospodárska politika</w:t>
      </w:r>
    </w:p>
    <w:p w:rsidR="00CA5FC9" w:rsidRPr="00CA5FC9" w:rsidRDefault="00CA5FC9" w:rsidP="00CA5FC9">
      <w:pPr>
        <w:spacing w:after="0" w:line="240" w:lineRule="auto"/>
        <w:jc w:val="both"/>
        <w:rPr>
          <w:rFonts w:ascii="Times New Roman" w:hAnsi="Times New Roman" w:cs="Times New Roman"/>
          <w:sz w:val="24"/>
          <w:szCs w:val="24"/>
        </w:rPr>
      </w:pPr>
    </w:p>
    <w:p w:rsidR="00CA5FC9" w:rsidRDefault="00CA5FC9" w:rsidP="00CA5FC9">
      <w:pPr>
        <w:spacing w:after="0" w:line="240" w:lineRule="auto"/>
        <w:jc w:val="both"/>
        <w:rPr>
          <w:rFonts w:ascii="Times New Roman" w:hAnsi="Times New Roman" w:cs="Times New Roman"/>
          <w:sz w:val="24"/>
          <w:szCs w:val="24"/>
        </w:rPr>
      </w:pPr>
      <w:r w:rsidRPr="00CA5FC9">
        <w:rPr>
          <w:rFonts w:ascii="Times New Roman" w:hAnsi="Times New Roman" w:cs="Times New Roman"/>
          <w:sz w:val="24"/>
          <w:szCs w:val="24"/>
        </w:rPr>
        <w:t>V súčasnosti sú poľnohospodári v EÚ a teda aj na Slovensku podporovaní</w:t>
      </w:r>
      <w:r>
        <w:rPr>
          <w:rFonts w:ascii="Times New Roman" w:hAnsi="Times New Roman" w:cs="Times New Roman"/>
          <w:sz w:val="24"/>
          <w:szCs w:val="24"/>
        </w:rPr>
        <w:t xml:space="preserve"> v rámci </w:t>
      </w:r>
      <w:r w:rsidR="00C36300" w:rsidRPr="00C36300">
        <w:rPr>
          <w:rFonts w:ascii="Times New Roman" w:hAnsi="Times New Roman" w:cs="Times New Roman"/>
          <w:sz w:val="24"/>
          <w:szCs w:val="24"/>
        </w:rPr>
        <w:t>spoločnej poľnohospodárskej politiky (SPP)</w:t>
      </w:r>
      <w:r>
        <w:rPr>
          <w:rFonts w:ascii="Times New Roman" w:hAnsi="Times New Roman" w:cs="Times New Roman"/>
          <w:sz w:val="24"/>
          <w:szCs w:val="24"/>
        </w:rPr>
        <w:t>z dvoch pilierov:</w:t>
      </w:r>
    </w:p>
    <w:p w:rsidR="00CA5FC9" w:rsidRDefault="00CA5FC9" w:rsidP="000D68DC">
      <w:pPr>
        <w:pStyle w:val="Odsekzoznamu"/>
        <w:numPr>
          <w:ilvl w:val="0"/>
          <w:numId w:val="1"/>
        </w:numPr>
        <w:spacing w:after="0" w:line="240" w:lineRule="auto"/>
        <w:jc w:val="both"/>
        <w:rPr>
          <w:rFonts w:ascii="Times New Roman" w:hAnsi="Times New Roman" w:cs="Times New Roman"/>
          <w:sz w:val="24"/>
          <w:szCs w:val="24"/>
        </w:rPr>
      </w:pPr>
      <w:r w:rsidRPr="003C03F6">
        <w:rPr>
          <w:rFonts w:ascii="Times New Roman" w:hAnsi="Times New Roman" w:cs="Times New Roman"/>
          <w:sz w:val="24"/>
          <w:szCs w:val="24"/>
          <w:u w:val="single"/>
        </w:rPr>
        <w:t>Pilier 1</w:t>
      </w:r>
      <w:r w:rsidRPr="00CA5FC9">
        <w:rPr>
          <w:rFonts w:ascii="Times New Roman" w:hAnsi="Times New Roman" w:cs="Times New Roman"/>
          <w:sz w:val="24"/>
          <w:szCs w:val="24"/>
        </w:rPr>
        <w:t xml:space="preserve"> pokrýva priame platby (jednotná platba na plochu – SAPS a viazané podpory</w:t>
      </w:r>
      <w:r>
        <w:rPr>
          <w:rFonts w:ascii="Times New Roman" w:hAnsi="Times New Roman" w:cs="Times New Roman"/>
          <w:sz w:val="24"/>
          <w:szCs w:val="24"/>
        </w:rPr>
        <w:t>) a spoločnú organizáciu trhov</w:t>
      </w:r>
      <w:r w:rsidR="003C03F6">
        <w:rPr>
          <w:rFonts w:ascii="Times New Roman" w:hAnsi="Times New Roman" w:cs="Times New Roman"/>
          <w:sz w:val="24"/>
          <w:szCs w:val="24"/>
        </w:rPr>
        <w:t xml:space="preserve">. </w:t>
      </w:r>
      <w:r w:rsidR="003C03F6" w:rsidRPr="003C03F6">
        <w:rPr>
          <w:rFonts w:ascii="Times New Roman" w:hAnsi="Times New Roman" w:cs="Times New Roman"/>
          <w:sz w:val="24"/>
          <w:szCs w:val="24"/>
        </w:rPr>
        <w:t>Poskytovanie jednotnej platby a ďalších priamych podpôr je podmienené rešpektovaním noriem v oblasti životného prostredia, zdravia ľudí, zvierat a rastlín (bezpečnosť potravín) a životných podmienok zvierat. Okrem toho musia členské štáty zabezpečiť, aby poľnohospodárska pôda bola udržiavaná v dobrom stave z hľadiska poľnohospodárskych postupov a ochrany životného prostredia. Minimálne požiadavky sú koncipované na úrovni každého členského štátu, pri zohľadnení špecifických charakteristík príslušných oblastí, vrátane pôdnych a klimatických podmienok, existujúcich systémov hospodárenia, využitia pôdy, rotácie plodín, metód hospodárenia a štruktúry fariem. Opatrenia 1. pilieru sú, okrem trhových opatrení, pre členské štáty povinné a nevyžadujú spolufinancovanie.</w:t>
      </w:r>
    </w:p>
    <w:p w:rsidR="00CA5FC9" w:rsidRDefault="00CA5FC9" w:rsidP="000D68DC">
      <w:pPr>
        <w:pStyle w:val="Odsekzoznamu"/>
        <w:numPr>
          <w:ilvl w:val="0"/>
          <w:numId w:val="1"/>
        </w:numPr>
        <w:spacing w:after="0" w:line="240" w:lineRule="auto"/>
        <w:jc w:val="both"/>
        <w:rPr>
          <w:rFonts w:ascii="Times New Roman" w:hAnsi="Times New Roman" w:cs="Times New Roman"/>
          <w:sz w:val="24"/>
          <w:szCs w:val="24"/>
        </w:rPr>
      </w:pPr>
      <w:r w:rsidRPr="003C03F6">
        <w:rPr>
          <w:rFonts w:ascii="Times New Roman" w:hAnsi="Times New Roman" w:cs="Times New Roman"/>
          <w:sz w:val="24"/>
          <w:szCs w:val="24"/>
          <w:u w:val="single"/>
        </w:rPr>
        <w:t>Pilier 2</w:t>
      </w:r>
      <w:r w:rsidRPr="00CA5FC9">
        <w:rPr>
          <w:rFonts w:ascii="Times New Roman" w:hAnsi="Times New Roman" w:cs="Times New Roman"/>
          <w:sz w:val="24"/>
          <w:szCs w:val="24"/>
        </w:rPr>
        <w:t xml:space="preserve"> zabezpečuje zdroje poľnohospodárom</w:t>
      </w:r>
      <w:r w:rsidR="00472E46">
        <w:rPr>
          <w:rFonts w:ascii="Times New Roman" w:hAnsi="Times New Roman" w:cs="Times New Roman"/>
          <w:sz w:val="24"/>
          <w:szCs w:val="24"/>
        </w:rPr>
        <w:t>, potravinárom</w:t>
      </w:r>
      <w:r w:rsidRPr="00CA5FC9">
        <w:rPr>
          <w:rFonts w:ascii="Times New Roman" w:hAnsi="Times New Roman" w:cs="Times New Roman"/>
          <w:sz w:val="24"/>
          <w:szCs w:val="24"/>
        </w:rPr>
        <w:t xml:space="preserve"> a lesníkom prostredníctvom Programu rozvoja vidieka</w:t>
      </w:r>
      <w:r w:rsidR="00F9486B">
        <w:rPr>
          <w:rFonts w:ascii="Times New Roman" w:hAnsi="Times New Roman" w:cs="Times New Roman"/>
          <w:sz w:val="24"/>
          <w:szCs w:val="24"/>
        </w:rPr>
        <w:t xml:space="preserve"> (PRV)</w:t>
      </w:r>
      <w:r>
        <w:rPr>
          <w:rFonts w:ascii="Times New Roman" w:hAnsi="Times New Roman" w:cs="Times New Roman"/>
          <w:sz w:val="24"/>
          <w:szCs w:val="24"/>
        </w:rPr>
        <w:t>.</w:t>
      </w:r>
      <w:r w:rsidR="003C03F6">
        <w:rPr>
          <w:rFonts w:ascii="Times New Roman" w:hAnsi="Times New Roman" w:cs="Times New Roman"/>
          <w:sz w:val="24"/>
          <w:szCs w:val="24"/>
        </w:rPr>
        <w:t>C</w:t>
      </w:r>
      <w:r w:rsidR="003C03F6" w:rsidRPr="003C03F6">
        <w:rPr>
          <w:rFonts w:ascii="Times New Roman" w:hAnsi="Times New Roman" w:cs="Times New Roman"/>
          <w:sz w:val="24"/>
          <w:szCs w:val="24"/>
        </w:rPr>
        <w:t xml:space="preserve">ieľom </w:t>
      </w:r>
      <w:r w:rsidR="003C03F6">
        <w:rPr>
          <w:rFonts w:ascii="Times New Roman" w:hAnsi="Times New Roman" w:cs="Times New Roman"/>
          <w:sz w:val="24"/>
          <w:szCs w:val="24"/>
        </w:rPr>
        <w:t>je zvýšenie</w:t>
      </w:r>
      <w:r w:rsidR="003C03F6" w:rsidRPr="003C03F6">
        <w:rPr>
          <w:rFonts w:ascii="Times New Roman" w:hAnsi="Times New Roman" w:cs="Times New Roman"/>
          <w:sz w:val="24"/>
          <w:szCs w:val="24"/>
        </w:rPr>
        <w:t xml:space="preserve"> konkurencieschopno</w:t>
      </w:r>
      <w:r w:rsidR="003C03F6">
        <w:rPr>
          <w:rFonts w:ascii="Times New Roman" w:hAnsi="Times New Roman" w:cs="Times New Roman"/>
          <w:sz w:val="24"/>
          <w:szCs w:val="24"/>
        </w:rPr>
        <w:t>sti pôdohospodárstva, poskytovanie špecifických environmentálnych verejných statkov a podpora</w:t>
      </w:r>
      <w:r w:rsidR="003C03F6" w:rsidRPr="003C03F6">
        <w:rPr>
          <w:rFonts w:ascii="Times New Roman" w:hAnsi="Times New Roman" w:cs="Times New Roman"/>
          <w:sz w:val="24"/>
          <w:szCs w:val="24"/>
        </w:rPr>
        <w:t xml:space="preserve"> diverzifikáci</w:t>
      </w:r>
      <w:r w:rsidR="003C03F6">
        <w:rPr>
          <w:rFonts w:ascii="Times New Roman" w:hAnsi="Times New Roman" w:cs="Times New Roman"/>
          <w:sz w:val="24"/>
          <w:szCs w:val="24"/>
        </w:rPr>
        <w:t>e výroby a kvality</w:t>
      </w:r>
      <w:r w:rsidR="003C03F6" w:rsidRPr="003C03F6">
        <w:rPr>
          <w:rFonts w:ascii="Times New Roman" w:hAnsi="Times New Roman" w:cs="Times New Roman"/>
          <w:sz w:val="24"/>
          <w:szCs w:val="24"/>
        </w:rPr>
        <w:t xml:space="preserve"> života na vidieku. Opatrenia 2. Pilieru, s výnimkou niektorých opatrení osi 2, sú  dobrovoľné</w:t>
      </w:r>
      <w:r w:rsidR="003C03F6">
        <w:rPr>
          <w:rFonts w:ascii="Times New Roman" w:hAnsi="Times New Roman" w:cs="Times New Roman"/>
          <w:sz w:val="24"/>
          <w:szCs w:val="24"/>
        </w:rPr>
        <w:t xml:space="preserve">, </w:t>
      </w:r>
      <w:r w:rsidR="003C03F6" w:rsidRPr="003C03F6">
        <w:rPr>
          <w:rFonts w:ascii="Times New Roman" w:hAnsi="Times New Roman" w:cs="Times New Roman"/>
          <w:sz w:val="24"/>
          <w:szCs w:val="24"/>
        </w:rPr>
        <w:t>založené na projektovom princípe a spolufinancované z národnej úrovne.</w:t>
      </w:r>
    </w:p>
    <w:p w:rsidR="00C36300" w:rsidRPr="00C36300" w:rsidRDefault="00C36300" w:rsidP="00C36300">
      <w:pPr>
        <w:spacing w:after="0" w:line="240" w:lineRule="auto"/>
        <w:jc w:val="both"/>
        <w:rPr>
          <w:rFonts w:ascii="Times New Roman" w:hAnsi="Times New Roman" w:cs="Times New Roman"/>
          <w:sz w:val="24"/>
          <w:szCs w:val="24"/>
        </w:rPr>
      </w:pPr>
    </w:p>
    <w:p w:rsidR="00C36300" w:rsidRPr="00C36300" w:rsidRDefault="00C36300" w:rsidP="00C36300">
      <w:pPr>
        <w:spacing w:after="0" w:line="240" w:lineRule="auto"/>
        <w:jc w:val="both"/>
        <w:rPr>
          <w:rFonts w:ascii="Times New Roman" w:hAnsi="Times New Roman" w:cs="Times New Roman"/>
          <w:sz w:val="24"/>
          <w:szCs w:val="24"/>
        </w:rPr>
      </w:pPr>
      <w:r w:rsidRPr="00C36300">
        <w:rPr>
          <w:rFonts w:ascii="Times New Roman" w:hAnsi="Times New Roman" w:cs="Times New Roman"/>
          <w:sz w:val="24"/>
          <w:szCs w:val="24"/>
        </w:rPr>
        <w:t xml:space="preserve">Návrh reformy </w:t>
      </w:r>
      <w:r>
        <w:rPr>
          <w:rFonts w:ascii="Times New Roman" w:hAnsi="Times New Roman" w:cs="Times New Roman"/>
          <w:sz w:val="24"/>
          <w:szCs w:val="24"/>
        </w:rPr>
        <w:t>SPP</w:t>
      </w:r>
      <w:r w:rsidRPr="00C36300">
        <w:rPr>
          <w:rFonts w:ascii="Times New Roman" w:hAnsi="Times New Roman" w:cs="Times New Roman"/>
          <w:sz w:val="24"/>
          <w:szCs w:val="24"/>
        </w:rPr>
        <w:t xml:space="preserve"> na obdobie 2014-2020 vychádza z budúceho plnenia nasledovných cieľov: </w:t>
      </w:r>
    </w:p>
    <w:p w:rsidR="00C36300" w:rsidRPr="00C36300" w:rsidRDefault="00C36300" w:rsidP="000D68DC">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ž</w:t>
      </w:r>
      <w:r w:rsidRPr="00C36300">
        <w:rPr>
          <w:rFonts w:ascii="Times New Roman" w:hAnsi="Times New Roman" w:cs="Times New Roman"/>
          <w:sz w:val="24"/>
          <w:szCs w:val="24"/>
        </w:rPr>
        <w:t>ivotaschopná výroba potravín</w:t>
      </w:r>
      <w:r>
        <w:rPr>
          <w:rFonts w:ascii="Times New Roman" w:hAnsi="Times New Roman" w:cs="Times New Roman"/>
          <w:sz w:val="24"/>
          <w:szCs w:val="24"/>
        </w:rPr>
        <w:t>;</w:t>
      </w:r>
    </w:p>
    <w:p w:rsidR="00C36300" w:rsidRPr="00C36300" w:rsidRDefault="00C36300" w:rsidP="000D68DC">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C36300">
        <w:rPr>
          <w:rFonts w:ascii="Times New Roman" w:hAnsi="Times New Roman" w:cs="Times New Roman"/>
          <w:sz w:val="24"/>
          <w:szCs w:val="24"/>
        </w:rPr>
        <w:t>držateľné hospodárenie s prírodnými zdrojmi a opatrenia proti zmene klímy</w:t>
      </w:r>
      <w:r>
        <w:rPr>
          <w:rFonts w:ascii="Times New Roman" w:hAnsi="Times New Roman" w:cs="Times New Roman"/>
          <w:sz w:val="24"/>
          <w:szCs w:val="24"/>
        </w:rPr>
        <w:t>; a</w:t>
      </w:r>
    </w:p>
    <w:p w:rsidR="00C36300" w:rsidRDefault="00C36300" w:rsidP="000D68DC">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C36300">
        <w:rPr>
          <w:rFonts w:ascii="Times New Roman" w:hAnsi="Times New Roman" w:cs="Times New Roman"/>
          <w:sz w:val="24"/>
          <w:szCs w:val="24"/>
        </w:rPr>
        <w:t>yvážený územný rozvoj</w:t>
      </w:r>
      <w:r>
        <w:rPr>
          <w:rFonts w:ascii="Times New Roman" w:hAnsi="Times New Roman" w:cs="Times New Roman"/>
          <w:sz w:val="24"/>
          <w:szCs w:val="24"/>
        </w:rPr>
        <w:t>.</w:t>
      </w:r>
    </w:p>
    <w:p w:rsidR="00C36300" w:rsidRDefault="00C36300" w:rsidP="00C36300">
      <w:pPr>
        <w:spacing w:after="0" w:line="240" w:lineRule="auto"/>
        <w:jc w:val="both"/>
        <w:rPr>
          <w:rFonts w:ascii="Times New Roman" w:hAnsi="Times New Roman" w:cs="Times New Roman"/>
          <w:sz w:val="24"/>
          <w:szCs w:val="24"/>
        </w:rPr>
      </w:pPr>
    </w:p>
    <w:p w:rsidR="00C36300" w:rsidRDefault="00C36300" w:rsidP="00C36300">
      <w:pPr>
        <w:spacing w:after="0" w:line="240" w:lineRule="auto"/>
        <w:jc w:val="both"/>
        <w:rPr>
          <w:rFonts w:ascii="Times New Roman" w:hAnsi="Times New Roman" w:cs="Times New Roman"/>
          <w:sz w:val="24"/>
          <w:szCs w:val="24"/>
        </w:rPr>
      </w:pPr>
      <w:r w:rsidRPr="00C36300">
        <w:rPr>
          <w:rFonts w:ascii="Times New Roman" w:hAnsi="Times New Roman" w:cs="Times New Roman"/>
          <w:sz w:val="24"/>
          <w:szCs w:val="24"/>
        </w:rPr>
        <w:t xml:space="preserve">V súlade so stratégiou Európa 2020 vzišla potreba podporovať efektívnosť využívania zdrojov v záujme inteligentného, udržateľného a </w:t>
      </w:r>
      <w:proofErr w:type="spellStart"/>
      <w:r w:rsidRPr="00C36300">
        <w:rPr>
          <w:rFonts w:ascii="Times New Roman" w:hAnsi="Times New Roman" w:cs="Times New Roman"/>
          <w:sz w:val="24"/>
          <w:szCs w:val="24"/>
        </w:rPr>
        <w:t>inkluzívneho</w:t>
      </w:r>
      <w:proofErr w:type="spellEnd"/>
      <w:r w:rsidRPr="00C36300">
        <w:rPr>
          <w:rFonts w:ascii="Times New Roman" w:hAnsi="Times New Roman" w:cs="Times New Roman"/>
          <w:sz w:val="24"/>
          <w:szCs w:val="24"/>
        </w:rPr>
        <w:t xml:space="preserve"> rastu poľnohospodárstva a vidieckych oblastí EÚ a zároveň zachovať štruktúru SPP s dvoma piliermi, ktoré pri dosahovaní tých istých cieľov využívajú vzájomne sa doplňujúce nástroje. Od poľnohospodárstva a vidieckych oblastí sa očakáva že naplnia ambiciózne ciele v oblasti klímy, energie a zavedú stratégiu pre biodiverzitu. </w:t>
      </w:r>
    </w:p>
    <w:p w:rsidR="00C36300" w:rsidRPr="00C36300" w:rsidRDefault="00C36300" w:rsidP="00C36300">
      <w:pPr>
        <w:spacing w:after="0" w:line="240" w:lineRule="auto"/>
        <w:jc w:val="both"/>
        <w:rPr>
          <w:rFonts w:ascii="Times New Roman" w:hAnsi="Times New Roman" w:cs="Times New Roman"/>
          <w:sz w:val="24"/>
          <w:szCs w:val="24"/>
        </w:rPr>
      </w:pPr>
    </w:p>
    <w:p w:rsidR="00C36300" w:rsidRDefault="00C36300" w:rsidP="00C36300">
      <w:pPr>
        <w:spacing w:after="0" w:line="240" w:lineRule="auto"/>
        <w:jc w:val="both"/>
        <w:rPr>
          <w:rFonts w:ascii="Times New Roman" w:hAnsi="Times New Roman" w:cs="Times New Roman"/>
          <w:sz w:val="24"/>
          <w:szCs w:val="24"/>
        </w:rPr>
      </w:pPr>
      <w:r w:rsidRPr="00C36300">
        <w:rPr>
          <w:rFonts w:ascii="Times New Roman" w:hAnsi="Times New Roman" w:cs="Times New Roman"/>
          <w:sz w:val="24"/>
          <w:szCs w:val="24"/>
        </w:rPr>
        <w:t xml:space="preserve">Cieľom reformy je zrýchliť proces integrácie environmentálnych požiadaviek. Po prvý raz sa do I. piliera zavádza </w:t>
      </w:r>
      <w:proofErr w:type="spellStart"/>
      <w:r w:rsidRPr="00C36300">
        <w:rPr>
          <w:rFonts w:ascii="Times New Roman" w:hAnsi="Times New Roman" w:cs="Times New Roman"/>
          <w:sz w:val="24"/>
          <w:szCs w:val="24"/>
        </w:rPr>
        <w:t>ekologizujúca</w:t>
      </w:r>
      <w:proofErr w:type="spellEnd"/>
      <w:r w:rsidRPr="00C36300">
        <w:rPr>
          <w:rFonts w:ascii="Times New Roman" w:hAnsi="Times New Roman" w:cs="Times New Roman"/>
          <w:sz w:val="24"/>
          <w:szCs w:val="24"/>
        </w:rPr>
        <w:t xml:space="preserve"> zložka, čím sa zaistí, že všetci poľnohospodári EÚ, príjemcovia podpory, budú hospodáriť nad rámec požiadaviek krížového plnenia a výsledok ich činností bude prospešný pre životné prostredie a klímu. Navrhuje sa, aby 30 % všetkých priamych platieb bolo viazaných na ekologizáciu, a tým činnosť všetkých poľnohospodárov bude prospešná pre životné prostredie a klímu prostredníctvom sekvestrácie uhlíka, biotopov trávnych porastov a trvalých pasienkov, zlepší sa stabilita </w:t>
      </w:r>
      <w:proofErr w:type="spellStart"/>
      <w:r w:rsidRPr="00C36300">
        <w:rPr>
          <w:rFonts w:ascii="Times New Roman" w:hAnsi="Times New Roman" w:cs="Times New Roman"/>
          <w:sz w:val="24"/>
          <w:szCs w:val="24"/>
        </w:rPr>
        <w:t>agroekosystémov</w:t>
      </w:r>
      <w:proofErr w:type="spellEnd"/>
      <w:r w:rsidRPr="00C36300">
        <w:rPr>
          <w:rFonts w:ascii="Times New Roman" w:hAnsi="Times New Roman" w:cs="Times New Roman"/>
          <w:sz w:val="24"/>
          <w:szCs w:val="24"/>
        </w:rPr>
        <w:t xml:space="preserve"> prostredníctvom diverzifikácie plodín, zabezpečí sa ochrana vodných zdrojov a biotopov vytvorením oblastí ekologického záujmu. </w:t>
      </w:r>
    </w:p>
    <w:p w:rsidR="00C36300" w:rsidRDefault="00C36300" w:rsidP="00C36300">
      <w:pPr>
        <w:spacing w:after="0" w:line="240" w:lineRule="auto"/>
        <w:jc w:val="both"/>
        <w:rPr>
          <w:rFonts w:ascii="Times New Roman" w:hAnsi="Times New Roman" w:cs="Times New Roman"/>
          <w:sz w:val="24"/>
          <w:szCs w:val="24"/>
        </w:rPr>
      </w:pPr>
      <w:r w:rsidRPr="00C36300">
        <w:rPr>
          <w:rFonts w:ascii="Times New Roman" w:hAnsi="Times New Roman" w:cs="Times New Roman"/>
          <w:sz w:val="24"/>
          <w:szCs w:val="24"/>
        </w:rPr>
        <w:lastRenderedPageBreak/>
        <w:t xml:space="preserve">Priamymi platbami by sa mala podporovať udržateľná výroba tak, že sa 30 % ich rozpočtových prostriedkov vyčlení na povinné opatrenia, ktoré predstavujú prínos pre klímu a životné prostredie. Úrovne platieb by sa mali postupne medzi členskými štátmi zbližovať. </w:t>
      </w:r>
    </w:p>
    <w:p w:rsidR="00C36300" w:rsidRPr="00C36300" w:rsidRDefault="00C36300" w:rsidP="00C36300">
      <w:pPr>
        <w:spacing w:after="0" w:line="240" w:lineRule="auto"/>
        <w:jc w:val="both"/>
        <w:rPr>
          <w:rFonts w:ascii="Times New Roman" w:hAnsi="Times New Roman" w:cs="Times New Roman"/>
          <w:sz w:val="24"/>
          <w:szCs w:val="24"/>
        </w:rPr>
      </w:pPr>
    </w:p>
    <w:p w:rsidR="00C36300" w:rsidRPr="00C36300" w:rsidRDefault="00C36300" w:rsidP="00C36300">
      <w:pPr>
        <w:spacing w:after="0" w:line="240" w:lineRule="auto"/>
        <w:jc w:val="both"/>
        <w:rPr>
          <w:rFonts w:ascii="Times New Roman" w:hAnsi="Times New Roman" w:cs="Times New Roman"/>
          <w:sz w:val="24"/>
          <w:szCs w:val="24"/>
        </w:rPr>
      </w:pPr>
      <w:r w:rsidRPr="00C36300">
        <w:rPr>
          <w:rFonts w:ascii="Times New Roman" w:hAnsi="Times New Roman" w:cs="Times New Roman"/>
          <w:sz w:val="24"/>
          <w:szCs w:val="24"/>
        </w:rPr>
        <w:t>Od roku 2014 sa plánuje</w:t>
      </w:r>
      <w:r w:rsidR="00E80D96">
        <w:rPr>
          <w:rFonts w:ascii="Times New Roman" w:hAnsi="Times New Roman" w:cs="Times New Roman"/>
          <w:sz w:val="24"/>
          <w:szCs w:val="24"/>
        </w:rPr>
        <w:t>, v zmysle návrhu Spoločnej poľnohospodárskej politiky na roky 2014 – 2020,</w:t>
      </w:r>
      <w:r w:rsidRPr="00C36300">
        <w:rPr>
          <w:rFonts w:ascii="Times New Roman" w:hAnsi="Times New Roman" w:cs="Times New Roman"/>
          <w:sz w:val="24"/>
          <w:szCs w:val="24"/>
        </w:rPr>
        <w:t xml:space="preserve"> režim jednotnej platby a režim jednotnej platby na plochu (SAPS) nahradiť režimom základnej platby, ktorý bude jednotný v celej EÚ</w:t>
      </w:r>
      <w:r>
        <w:rPr>
          <w:rFonts w:ascii="Times New Roman" w:hAnsi="Times New Roman" w:cs="Times New Roman"/>
          <w:sz w:val="24"/>
          <w:szCs w:val="24"/>
        </w:rPr>
        <w:t xml:space="preserve">.  </w:t>
      </w:r>
      <w:r w:rsidRPr="00C36300">
        <w:rPr>
          <w:rFonts w:ascii="Times New Roman" w:hAnsi="Times New Roman" w:cs="Times New Roman"/>
          <w:sz w:val="24"/>
          <w:szCs w:val="24"/>
        </w:rPr>
        <w:t>Režim bude fungovať na základe platobných nárokov, pridelených poľnohospodárom na vnútroštátnej alebo regionálnej úrovni v závislosti od ich hektárov, na ktoré možno poskytnúť pod</w:t>
      </w:r>
      <w:r w:rsidR="00DF6DE9">
        <w:rPr>
          <w:rFonts w:ascii="Times New Roman" w:hAnsi="Times New Roman" w:cs="Times New Roman"/>
          <w:sz w:val="24"/>
          <w:szCs w:val="24"/>
        </w:rPr>
        <w:t>poru v prvom roku uplatňovania a od ich výkonnosti.</w:t>
      </w:r>
      <w:r w:rsidR="007167B4">
        <w:rPr>
          <w:rFonts w:ascii="Times New Roman" w:hAnsi="Times New Roman" w:cs="Times New Roman"/>
          <w:sz w:val="24"/>
          <w:szCs w:val="24"/>
        </w:rPr>
        <w:t xml:space="preserve"> Predpokladáme, že tento systém bude mať priamy pozitívny dopad na skutočnú výkonnosť poľnohospodárskych podnikov, efektívnejšie rozdeľovanie dotačných prostriedkov v rámci jednotlivých titulov a zvýšenie potravinovej bezpečnosti, zamestnanosti a zlepšenie celkovej životnej úrovne vidieckeho obyvateľstva.</w:t>
      </w:r>
    </w:p>
    <w:p w:rsidR="00C36300" w:rsidRDefault="00C36300" w:rsidP="00C36300">
      <w:pPr>
        <w:spacing w:after="0" w:line="240" w:lineRule="auto"/>
        <w:jc w:val="both"/>
        <w:rPr>
          <w:rFonts w:ascii="Times New Roman" w:hAnsi="Times New Roman" w:cs="Times New Roman"/>
          <w:sz w:val="24"/>
          <w:szCs w:val="24"/>
        </w:rPr>
      </w:pPr>
    </w:p>
    <w:p w:rsidR="00C36300" w:rsidRDefault="00C36300" w:rsidP="00C36300">
      <w:pPr>
        <w:spacing w:after="0" w:line="240" w:lineRule="auto"/>
        <w:jc w:val="both"/>
        <w:rPr>
          <w:rFonts w:ascii="Times New Roman" w:hAnsi="Times New Roman" w:cs="Times New Roman"/>
          <w:sz w:val="24"/>
          <w:szCs w:val="24"/>
        </w:rPr>
      </w:pPr>
      <w:r w:rsidRPr="00C36300">
        <w:rPr>
          <w:rFonts w:ascii="Times New Roman" w:hAnsi="Times New Roman" w:cs="Times New Roman"/>
          <w:sz w:val="24"/>
          <w:szCs w:val="24"/>
        </w:rPr>
        <w:t xml:space="preserve">Z hľadiska celkového rozpočtu </w:t>
      </w:r>
      <w:r w:rsidR="00472E46">
        <w:rPr>
          <w:rFonts w:ascii="Times New Roman" w:hAnsi="Times New Roman" w:cs="Times New Roman"/>
          <w:sz w:val="24"/>
          <w:szCs w:val="24"/>
        </w:rPr>
        <w:t xml:space="preserve">EÚ </w:t>
      </w:r>
      <w:r w:rsidRPr="00C36300">
        <w:rPr>
          <w:rFonts w:ascii="Times New Roman" w:hAnsi="Times New Roman" w:cs="Times New Roman"/>
          <w:sz w:val="24"/>
          <w:szCs w:val="24"/>
        </w:rPr>
        <w:t xml:space="preserve">sa navrhuje, aby sa v súčasných cenách na </w:t>
      </w:r>
      <w:r>
        <w:rPr>
          <w:rFonts w:ascii="Times New Roman" w:hAnsi="Times New Roman" w:cs="Times New Roman"/>
          <w:sz w:val="24"/>
          <w:szCs w:val="24"/>
        </w:rPr>
        <w:t>Pilier 1</w:t>
      </w:r>
      <w:r w:rsidRPr="00C36300">
        <w:rPr>
          <w:rFonts w:ascii="Times New Roman" w:hAnsi="Times New Roman" w:cs="Times New Roman"/>
          <w:sz w:val="24"/>
          <w:szCs w:val="24"/>
        </w:rPr>
        <w:t xml:space="preserve"> vyčlenilo 317,2 </w:t>
      </w:r>
      <w:r>
        <w:rPr>
          <w:rFonts w:ascii="Times New Roman" w:hAnsi="Times New Roman" w:cs="Times New Roman"/>
          <w:sz w:val="24"/>
          <w:szCs w:val="24"/>
        </w:rPr>
        <w:t>mld.</w:t>
      </w:r>
      <w:r w:rsidR="003748EC">
        <w:rPr>
          <w:rFonts w:ascii="Times New Roman" w:hAnsi="Times New Roman" w:cs="Times New Roman"/>
          <w:sz w:val="24"/>
          <w:szCs w:val="24"/>
        </w:rPr>
        <w:t xml:space="preserve"> </w:t>
      </w:r>
      <w:r>
        <w:rPr>
          <w:rFonts w:ascii="Times New Roman" w:hAnsi="Times New Roman" w:cs="Times New Roman"/>
          <w:sz w:val="24"/>
          <w:szCs w:val="24"/>
        </w:rPr>
        <w:t>EUR</w:t>
      </w:r>
      <w:r w:rsidRPr="00C36300">
        <w:rPr>
          <w:rFonts w:ascii="Times New Roman" w:hAnsi="Times New Roman" w:cs="Times New Roman"/>
          <w:sz w:val="24"/>
          <w:szCs w:val="24"/>
        </w:rPr>
        <w:t xml:space="preserve"> a na Pilier</w:t>
      </w:r>
      <w:r>
        <w:rPr>
          <w:rFonts w:ascii="Times New Roman" w:hAnsi="Times New Roman" w:cs="Times New Roman"/>
          <w:sz w:val="24"/>
          <w:szCs w:val="24"/>
        </w:rPr>
        <w:t xml:space="preserve"> 2</w:t>
      </w:r>
      <w:r w:rsidR="00E80D96">
        <w:rPr>
          <w:rFonts w:ascii="Times New Roman" w:hAnsi="Times New Roman" w:cs="Times New Roman"/>
          <w:sz w:val="24"/>
          <w:szCs w:val="24"/>
        </w:rPr>
        <w:t xml:space="preserve"> vo výške</w:t>
      </w:r>
      <w:r w:rsidRPr="00C36300">
        <w:rPr>
          <w:rFonts w:ascii="Times New Roman" w:hAnsi="Times New Roman" w:cs="Times New Roman"/>
          <w:sz w:val="24"/>
          <w:szCs w:val="24"/>
        </w:rPr>
        <w:t xml:space="preserve"> 101,2 </w:t>
      </w:r>
      <w:r>
        <w:rPr>
          <w:rFonts w:ascii="Times New Roman" w:hAnsi="Times New Roman" w:cs="Times New Roman"/>
          <w:sz w:val="24"/>
          <w:szCs w:val="24"/>
        </w:rPr>
        <w:t>mld.</w:t>
      </w:r>
      <w:r w:rsidR="003748EC">
        <w:rPr>
          <w:rFonts w:ascii="Times New Roman" w:hAnsi="Times New Roman" w:cs="Times New Roman"/>
          <w:sz w:val="24"/>
          <w:szCs w:val="24"/>
        </w:rPr>
        <w:t xml:space="preserve"> </w:t>
      </w:r>
      <w:r>
        <w:rPr>
          <w:rFonts w:ascii="Times New Roman" w:hAnsi="Times New Roman" w:cs="Times New Roman"/>
          <w:sz w:val="24"/>
          <w:szCs w:val="24"/>
        </w:rPr>
        <w:t xml:space="preserve">EUR. </w:t>
      </w:r>
      <w:r w:rsidRPr="00C36300">
        <w:rPr>
          <w:rFonts w:ascii="Times New Roman" w:hAnsi="Times New Roman" w:cs="Times New Roman"/>
          <w:sz w:val="24"/>
          <w:szCs w:val="24"/>
        </w:rPr>
        <w:t xml:space="preserve">Financovanie oboch pilierov dopĺňa dodatočné financovanie vo výške 17.1 </w:t>
      </w:r>
      <w:r>
        <w:rPr>
          <w:rFonts w:ascii="Times New Roman" w:hAnsi="Times New Roman" w:cs="Times New Roman"/>
          <w:sz w:val="24"/>
          <w:szCs w:val="24"/>
        </w:rPr>
        <w:t>mld.</w:t>
      </w:r>
      <w:r w:rsidR="003748EC">
        <w:rPr>
          <w:rFonts w:ascii="Times New Roman" w:hAnsi="Times New Roman" w:cs="Times New Roman"/>
          <w:sz w:val="24"/>
          <w:szCs w:val="24"/>
        </w:rPr>
        <w:t xml:space="preserve"> </w:t>
      </w:r>
      <w:r>
        <w:rPr>
          <w:rFonts w:ascii="Times New Roman" w:hAnsi="Times New Roman" w:cs="Times New Roman"/>
          <w:sz w:val="24"/>
          <w:szCs w:val="24"/>
        </w:rPr>
        <w:t>EUR</w:t>
      </w:r>
      <w:r w:rsidRPr="00C36300">
        <w:rPr>
          <w:rFonts w:ascii="Times New Roman" w:hAnsi="Times New Roman" w:cs="Times New Roman"/>
          <w:sz w:val="24"/>
          <w:szCs w:val="24"/>
        </w:rPr>
        <w:t xml:space="preserve">, z toho 5,1 </w:t>
      </w:r>
      <w:r>
        <w:rPr>
          <w:rFonts w:ascii="Times New Roman" w:hAnsi="Times New Roman" w:cs="Times New Roman"/>
          <w:sz w:val="24"/>
          <w:szCs w:val="24"/>
        </w:rPr>
        <w:t>mld.</w:t>
      </w:r>
      <w:r w:rsidR="003748EC">
        <w:rPr>
          <w:rFonts w:ascii="Times New Roman" w:hAnsi="Times New Roman" w:cs="Times New Roman"/>
          <w:sz w:val="24"/>
          <w:szCs w:val="24"/>
        </w:rPr>
        <w:t xml:space="preserve"> </w:t>
      </w:r>
      <w:r>
        <w:rPr>
          <w:rFonts w:ascii="Times New Roman" w:hAnsi="Times New Roman" w:cs="Times New Roman"/>
          <w:sz w:val="24"/>
          <w:szCs w:val="24"/>
        </w:rPr>
        <w:t>EUR</w:t>
      </w:r>
      <w:r w:rsidRPr="00C36300">
        <w:rPr>
          <w:rFonts w:ascii="Times New Roman" w:hAnsi="Times New Roman" w:cs="Times New Roman"/>
          <w:sz w:val="24"/>
          <w:szCs w:val="24"/>
        </w:rPr>
        <w:t xml:space="preserve"> na výskum a inovácie, 2,5 </w:t>
      </w:r>
      <w:r>
        <w:rPr>
          <w:rFonts w:ascii="Times New Roman" w:hAnsi="Times New Roman" w:cs="Times New Roman"/>
          <w:sz w:val="24"/>
          <w:szCs w:val="24"/>
        </w:rPr>
        <w:t>mld.</w:t>
      </w:r>
      <w:r w:rsidR="003748EC">
        <w:rPr>
          <w:rFonts w:ascii="Times New Roman" w:hAnsi="Times New Roman" w:cs="Times New Roman"/>
          <w:sz w:val="24"/>
          <w:szCs w:val="24"/>
        </w:rPr>
        <w:t xml:space="preserve"> </w:t>
      </w:r>
      <w:r>
        <w:rPr>
          <w:rFonts w:ascii="Times New Roman" w:hAnsi="Times New Roman" w:cs="Times New Roman"/>
          <w:sz w:val="24"/>
          <w:szCs w:val="24"/>
        </w:rPr>
        <w:t>EUR</w:t>
      </w:r>
      <w:r w:rsidRPr="00C36300">
        <w:rPr>
          <w:rFonts w:ascii="Times New Roman" w:hAnsi="Times New Roman" w:cs="Times New Roman"/>
          <w:sz w:val="24"/>
          <w:szCs w:val="24"/>
        </w:rPr>
        <w:t xml:space="preserve"> na bezpečnosť potravín, 2,8 </w:t>
      </w:r>
      <w:r>
        <w:rPr>
          <w:rFonts w:ascii="Times New Roman" w:hAnsi="Times New Roman" w:cs="Times New Roman"/>
          <w:sz w:val="24"/>
          <w:szCs w:val="24"/>
        </w:rPr>
        <w:t>mld.</w:t>
      </w:r>
      <w:r w:rsidR="003748EC">
        <w:rPr>
          <w:rFonts w:ascii="Times New Roman" w:hAnsi="Times New Roman" w:cs="Times New Roman"/>
          <w:sz w:val="24"/>
          <w:szCs w:val="24"/>
        </w:rPr>
        <w:t xml:space="preserve"> </w:t>
      </w:r>
      <w:r>
        <w:rPr>
          <w:rFonts w:ascii="Times New Roman" w:hAnsi="Times New Roman" w:cs="Times New Roman"/>
          <w:sz w:val="24"/>
          <w:szCs w:val="24"/>
        </w:rPr>
        <w:t>EUR</w:t>
      </w:r>
      <w:r w:rsidRPr="00C36300">
        <w:rPr>
          <w:rFonts w:ascii="Times New Roman" w:hAnsi="Times New Roman" w:cs="Times New Roman"/>
          <w:sz w:val="24"/>
          <w:szCs w:val="24"/>
        </w:rPr>
        <w:t xml:space="preserve"> na potravinovú podporu osobám v najväčšej hmotnej núdzi ako aj 3,9 </w:t>
      </w:r>
      <w:r>
        <w:rPr>
          <w:rFonts w:ascii="Times New Roman" w:hAnsi="Times New Roman" w:cs="Times New Roman"/>
          <w:sz w:val="24"/>
          <w:szCs w:val="24"/>
        </w:rPr>
        <w:t>mld. EUR</w:t>
      </w:r>
      <w:r w:rsidRPr="00C36300">
        <w:rPr>
          <w:rFonts w:ascii="Times New Roman" w:hAnsi="Times New Roman" w:cs="Times New Roman"/>
          <w:sz w:val="24"/>
          <w:szCs w:val="24"/>
        </w:rPr>
        <w:t xml:space="preserve"> v novej rezerve pre krízy v poľnohospodárskom sektore a maximálne 2,8 </w:t>
      </w:r>
      <w:r>
        <w:rPr>
          <w:rFonts w:ascii="Times New Roman" w:hAnsi="Times New Roman" w:cs="Times New Roman"/>
          <w:sz w:val="24"/>
          <w:szCs w:val="24"/>
        </w:rPr>
        <w:t>mld.</w:t>
      </w:r>
      <w:r w:rsidR="003748EC">
        <w:rPr>
          <w:rFonts w:ascii="Times New Roman" w:hAnsi="Times New Roman" w:cs="Times New Roman"/>
          <w:sz w:val="24"/>
          <w:szCs w:val="24"/>
        </w:rPr>
        <w:t xml:space="preserve"> </w:t>
      </w:r>
      <w:r>
        <w:rPr>
          <w:rFonts w:ascii="Times New Roman" w:hAnsi="Times New Roman" w:cs="Times New Roman"/>
          <w:sz w:val="24"/>
          <w:szCs w:val="24"/>
        </w:rPr>
        <w:t>EUR</w:t>
      </w:r>
      <w:r w:rsidRPr="00C36300">
        <w:rPr>
          <w:rFonts w:ascii="Times New Roman" w:hAnsi="Times New Roman" w:cs="Times New Roman"/>
          <w:sz w:val="24"/>
          <w:szCs w:val="24"/>
        </w:rPr>
        <w:t xml:space="preserve"> v Európskom fonde na prispôsobenie sa globalizá</w:t>
      </w:r>
      <w:r>
        <w:rPr>
          <w:rFonts w:ascii="Times New Roman" w:hAnsi="Times New Roman" w:cs="Times New Roman"/>
          <w:sz w:val="24"/>
          <w:szCs w:val="24"/>
        </w:rPr>
        <w:t xml:space="preserve">cii.  </w:t>
      </w:r>
      <w:r w:rsidRPr="00C36300">
        <w:rPr>
          <w:rFonts w:ascii="Times New Roman" w:hAnsi="Times New Roman" w:cs="Times New Roman"/>
          <w:sz w:val="24"/>
          <w:szCs w:val="24"/>
        </w:rPr>
        <w:t xml:space="preserve">Celkový rozpočet by predstavoval 435,6 </w:t>
      </w:r>
      <w:r>
        <w:rPr>
          <w:rFonts w:ascii="Times New Roman" w:hAnsi="Times New Roman" w:cs="Times New Roman"/>
          <w:sz w:val="24"/>
          <w:szCs w:val="24"/>
        </w:rPr>
        <w:t>mld.</w:t>
      </w:r>
      <w:r w:rsidR="003748EC">
        <w:rPr>
          <w:rFonts w:ascii="Times New Roman" w:hAnsi="Times New Roman" w:cs="Times New Roman"/>
          <w:sz w:val="24"/>
          <w:szCs w:val="24"/>
        </w:rPr>
        <w:t xml:space="preserve"> </w:t>
      </w:r>
      <w:r>
        <w:rPr>
          <w:rFonts w:ascii="Times New Roman" w:hAnsi="Times New Roman" w:cs="Times New Roman"/>
          <w:sz w:val="24"/>
          <w:szCs w:val="24"/>
        </w:rPr>
        <w:t>EUR</w:t>
      </w:r>
      <w:r w:rsidRPr="00C36300">
        <w:rPr>
          <w:rFonts w:ascii="Times New Roman" w:hAnsi="Times New Roman" w:cs="Times New Roman"/>
          <w:sz w:val="24"/>
          <w:szCs w:val="24"/>
        </w:rPr>
        <w:t>.</w:t>
      </w:r>
    </w:p>
    <w:p w:rsidR="00C36300" w:rsidRDefault="00C36300" w:rsidP="00C36300">
      <w:pPr>
        <w:spacing w:after="0" w:line="240" w:lineRule="auto"/>
        <w:jc w:val="both"/>
        <w:rPr>
          <w:rFonts w:ascii="Times New Roman" w:hAnsi="Times New Roman" w:cs="Times New Roman"/>
          <w:sz w:val="24"/>
          <w:szCs w:val="24"/>
        </w:rPr>
      </w:pPr>
    </w:p>
    <w:p w:rsidR="00C36300" w:rsidRDefault="00C36300" w:rsidP="00C36300">
      <w:pPr>
        <w:spacing w:after="0" w:line="240" w:lineRule="auto"/>
        <w:jc w:val="both"/>
        <w:rPr>
          <w:rFonts w:ascii="Times New Roman" w:hAnsi="Times New Roman" w:cs="Times New Roman"/>
          <w:sz w:val="24"/>
          <w:szCs w:val="24"/>
        </w:rPr>
      </w:pPr>
      <w:r w:rsidRPr="00C36300">
        <w:rPr>
          <w:rFonts w:ascii="Times New Roman" w:hAnsi="Times New Roman" w:cs="Times New Roman"/>
          <w:sz w:val="24"/>
          <w:szCs w:val="24"/>
        </w:rPr>
        <w:t>Priama podpora by sa medzi členské štáty mala prerozdeliť rovnomernejšie, a to obmedzením viazanosti na historické údaje a zohľadnením celkových súvislostí v rámci rozpočtu EÚ. Všetky členské štáty s priamymi platbami pod úrovňou 90 % priemeru EÚ by mali znížiť rozdiel medzi ich súčasnou úrovňou a touto úrovňou o tretinu. Toto zblíženie by mali pomerným dielom financovať všetky členské štáty s priamymi platbami nad priemer EÚ.</w:t>
      </w:r>
    </w:p>
    <w:p w:rsidR="00A81EBA" w:rsidRDefault="00A81EBA" w:rsidP="00A81EBA">
      <w:pPr>
        <w:spacing w:after="0" w:line="240" w:lineRule="auto"/>
        <w:jc w:val="both"/>
        <w:rPr>
          <w:rFonts w:ascii="Times New Roman" w:hAnsi="Times New Roman" w:cs="Times New Roman"/>
          <w:sz w:val="24"/>
          <w:szCs w:val="24"/>
        </w:rPr>
      </w:pPr>
    </w:p>
    <w:p w:rsidR="007F119F" w:rsidRPr="0067255D" w:rsidRDefault="007F119F" w:rsidP="00B64EA7">
      <w:pPr>
        <w:spacing w:after="0" w:line="240" w:lineRule="auto"/>
        <w:jc w:val="both"/>
        <w:rPr>
          <w:rFonts w:ascii="Times New Roman" w:hAnsi="Times New Roman" w:cs="Times New Roman"/>
          <w:b/>
          <w:sz w:val="24"/>
          <w:szCs w:val="24"/>
        </w:rPr>
      </w:pPr>
      <w:r w:rsidRPr="00B64EA7">
        <w:rPr>
          <w:rFonts w:ascii="Times New Roman" w:hAnsi="Times New Roman" w:cs="Times New Roman"/>
          <w:sz w:val="24"/>
          <w:szCs w:val="24"/>
          <w:u w:val="single"/>
        </w:rPr>
        <w:t>Programové vyhlásenie vlády</w:t>
      </w:r>
    </w:p>
    <w:p w:rsidR="0067255D" w:rsidRDefault="0067255D" w:rsidP="0067255D">
      <w:pPr>
        <w:spacing w:after="0" w:line="240" w:lineRule="auto"/>
        <w:jc w:val="both"/>
        <w:rPr>
          <w:rFonts w:ascii="Times New Roman" w:hAnsi="Times New Roman" w:cs="Times New Roman"/>
          <w:sz w:val="24"/>
          <w:szCs w:val="24"/>
        </w:rPr>
      </w:pPr>
    </w:p>
    <w:p w:rsidR="0067255D" w:rsidRDefault="0067255D" w:rsidP="006725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Vláda Slovenskej republiky, na základe svojho programového vyhlásenia, vníma p</w:t>
      </w:r>
      <w:r w:rsidR="007F119F">
        <w:rPr>
          <w:rFonts w:ascii="Times New Roman" w:hAnsi="Times New Roman" w:cs="Times New Roman"/>
          <w:sz w:val="24"/>
          <w:szCs w:val="24"/>
        </w:rPr>
        <w:t xml:space="preserve">ôdohospodárstvo </w:t>
      </w:r>
      <w:r>
        <w:rPr>
          <w:rFonts w:ascii="Times New Roman" w:hAnsi="Times New Roman" w:cs="Times New Roman"/>
          <w:sz w:val="24"/>
          <w:szCs w:val="24"/>
        </w:rPr>
        <w:t>ako</w:t>
      </w:r>
      <w:r w:rsidR="007F119F">
        <w:rPr>
          <w:rFonts w:ascii="Times New Roman" w:hAnsi="Times New Roman" w:cs="Times New Roman"/>
          <w:sz w:val="24"/>
          <w:szCs w:val="24"/>
        </w:rPr>
        <w:t xml:space="preserve"> komplexný celok so spolo</w:t>
      </w:r>
      <w:r w:rsidR="007F119F" w:rsidRPr="007F119F">
        <w:rPr>
          <w:rFonts w:ascii="Times New Roman" w:hAnsi="Times New Roman" w:cs="Times New Roman"/>
          <w:sz w:val="24"/>
          <w:szCs w:val="24"/>
        </w:rPr>
        <w:t>č</w:t>
      </w:r>
      <w:r w:rsidR="007F119F">
        <w:rPr>
          <w:rFonts w:ascii="Times New Roman" w:hAnsi="Times New Roman" w:cs="Times New Roman"/>
          <w:sz w:val="24"/>
          <w:szCs w:val="24"/>
        </w:rPr>
        <w:t>nou stratégiou štátu pre po</w:t>
      </w:r>
      <w:r w:rsidR="007F119F" w:rsidRPr="007F119F">
        <w:rPr>
          <w:rFonts w:ascii="Times New Roman" w:hAnsi="Times New Roman" w:cs="Times New Roman"/>
          <w:sz w:val="24"/>
          <w:szCs w:val="24"/>
        </w:rPr>
        <w:t>ľ</w:t>
      </w:r>
      <w:r w:rsidR="007F119F">
        <w:rPr>
          <w:rFonts w:ascii="Times New Roman" w:hAnsi="Times New Roman" w:cs="Times New Roman"/>
          <w:sz w:val="24"/>
          <w:szCs w:val="24"/>
        </w:rPr>
        <w:t xml:space="preserve">nohospodárstvo, potravinárstvo, lesné hospodárstvo a nadväzujúci drevospracujúci priemysel. Rovnako </w:t>
      </w:r>
      <w:r>
        <w:rPr>
          <w:rFonts w:ascii="Times New Roman" w:hAnsi="Times New Roman" w:cs="Times New Roman"/>
          <w:sz w:val="24"/>
          <w:szCs w:val="24"/>
        </w:rPr>
        <w:t xml:space="preserve">vníma jeho nezastupiteľnú úlohu z hľadiska </w:t>
      </w:r>
      <w:r w:rsidR="007F119F">
        <w:rPr>
          <w:rFonts w:ascii="Times New Roman" w:hAnsi="Times New Roman" w:cs="Times New Roman"/>
          <w:sz w:val="24"/>
          <w:szCs w:val="24"/>
        </w:rPr>
        <w:t xml:space="preserve">tvorby hospodárskej a sociálnej politiky. </w:t>
      </w:r>
      <w:r>
        <w:rPr>
          <w:rFonts w:ascii="Times New Roman" w:hAnsi="Times New Roman" w:cs="Times New Roman"/>
          <w:sz w:val="24"/>
          <w:szCs w:val="24"/>
        </w:rPr>
        <w:t xml:space="preserve">Na základe toho sa zaviazala, že: </w:t>
      </w:r>
    </w:p>
    <w:p w:rsidR="0067255D" w:rsidRDefault="0067255D" w:rsidP="000D68DC">
      <w:pPr>
        <w:pStyle w:val="Odsekzoznamu"/>
        <w:numPr>
          <w:ilvl w:val="0"/>
          <w:numId w:val="2"/>
        </w:numPr>
        <w:spacing w:after="0" w:line="240" w:lineRule="auto"/>
        <w:jc w:val="both"/>
        <w:rPr>
          <w:rFonts w:ascii="Times New Roman" w:hAnsi="Times New Roman" w:cs="Times New Roman"/>
          <w:sz w:val="24"/>
          <w:szCs w:val="24"/>
        </w:rPr>
      </w:pPr>
      <w:r w:rsidRPr="0067255D">
        <w:rPr>
          <w:rFonts w:ascii="Times New Roman" w:hAnsi="Times New Roman" w:cs="Times New Roman"/>
          <w:sz w:val="24"/>
          <w:szCs w:val="24"/>
        </w:rPr>
        <w:t>podporí rozvoj vidieka a zlepšovanie životných podmienok vidieckeho obyvateľstva</w:t>
      </w:r>
      <w:r>
        <w:rPr>
          <w:rFonts w:ascii="Times New Roman" w:hAnsi="Times New Roman" w:cs="Times New Roman"/>
          <w:sz w:val="24"/>
          <w:szCs w:val="24"/>
        </w:rPr>
        <w:t>;</w:t>
      </w:r>
    </w:p>
    <w:p w:rsidR="0067255D" w:rsidRDefault="0067255D" w:rsidP="000D68DC">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bude presadzova</w:t>
      </w:r>
      <w:r w:rsidRPr="007F119F">
        <w:rPr>
          <w:rFonts w:ascii="Times New Roman" w:hAnsi="Times New Roman" w:cs="Times New Roman"/>
          <w:sz w:val="24"/>
          <w:szCs w:val="24"/>
        </w:rPr>
        <w:t xml:space="preserve">ť </w:t>
      </w:r>
      <w:r>
        <w:rPr>
          <w:rFonts w:ascii="Times New Roman" w:hAnsi="Times New Roman" w:cs="Times New Roman"/>
          <w:sz w:val="24"/>
          <w:szCs w:val="24"/>
        </w:rPr>
        <w:t>zjednodušenie pravidiel krížového plnenia a celkové zjednodušenie spolo</w:t>
      </w:r>
      <w:r w:rsidRPr="007F119F">
        <w:rPr>
          <w:rFonts w:ascii="Times New Roman" w:hAnsi="Times New Roman" w:cs="Times New Roman"/>
          <w:sz w:val="24"/>
          <w:szCs w:val="24"/>
        </w:rPr>
        <w:t>č</w:t>
      </w:r>
      <w:r>
        <w:rPr>
          <w:rFonts w:ascii="Times New Roman" w:hAnsi="Times New Roman" w:cs="Times New Roman"/>
          <w:sz w:val="24"/>
          <w:szCs w:val="24"/>
        </w:rPr>
        <w:t>nej po</w:t>
      </w:r>
      <w:r w:rsidRPr="007F119F">
        <w:rPr>
          <w:rFonts w:ascii="Times New Roman" w:hAnsi="Times New Roman" w:cs="Times New Roman"/>
          <w:sz w:val="24"/>
          <w:szCs w:val="24"/>
        </w:rPr>
        <w:t>ľ</w:t>
      </w:r>
      <w:r>
        <w:rPr>
          <w:rFonts w:ascii="Times New Roman" w:hAnsi="Times New Roman" w:cs="Times New Roman"/>
          <w:sz w:val="24"/>
          <w:szCs w:val="24"/>
        </w:rPr>
        <w:t>nohospodárskej politiky EÚ;</w:t>
      </w:r>
    </w:p>
    <w:p w:rsidR="0067255D" w:rsidRDefault="0067255D" w:rsidP="000D68DC">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zintenzívni podporu sektorov, ktoré sú potenciálnymi zdrojmi zamestnanosti, najmä živo</w:t>
      </w:r>
      <w:r w:rsidRPr="007F119F">
        <w:rPr>
          <w:rFonts w:ascii="Times New Roman" w:hAnsi="Times New Roman" w:cs="Times New Roman"/>
          <w:sz w:val="24"/>
          <w:szCs w:val="24"/>
        </w:rPr>
        <w:t>č</w:t>
      </w:r>
      <w:r>
        <w:rPr>
          <w:rFonts w:ascii="Times New Roman" w:hAnsi="Times New Roman" w:cs="Times New Roman"/>
          <w:sz w:val="24"/>
          <w:szCs w:val="24"/>
        </w:rPr>
        <w:t>íšnej výroby, ovocinárstva, zeleninárstva, vinohradníctva, ale aj potravinárskeho priemyslu;</w:t>
      </w:r>
    </w:p>
    <w:p w:rsidR="0067255D" w:rsidRDefault="0067255D" w:rsidP="000D68DC">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bude podporova</w:t>
      </w:r>
      <w:r w:rsidRPr="007F119F">
        <w:rPr>
          <w:rFonts w:ascii="Times New Roman" w:hAnsi="Times New Roman" w:cs="Times New Roman"/>
          <w:sz w:val="24"/>
          <w:szCs w:val="24"/>
        </w:rPr>
        <w:t xml:space="preserve">ť </w:t>
      </w:r>
      <w:r>
        <w:rPr>
          <w:rFonts w:ascii="Times New Roman" w:hAnsi="Times New Roman" w:cs="Times New Roman"/>
          <w:sz w:val="24"/>
          <w:szCs w:val="24"/>
        </w:rPr>
        <w:t>prípravu opatrení súvisiacich s adaptáciou po</w:t>
      </w:r>
      <w:r w:rsidRPr="007F119F">
        <w:rPr>
          <w:rFonts w:ascii="Times New Roman" w:hAnsi="Times New Roman" w:cs="Times New Roman"/>
          <w:sz w:val="24"/>
          <w:szCs w:val="24"/>
        </w:rPr>
        <w:t>ľ</w:t>
      </w:r>
      <w:r>
        <w:rPr>
          <w:rFonts w:ascii="Times New Roman" w:hAnsi="Times New Roman" w:cs="Times New Roman"/>
          <w:sz w:val="24"/>
          <w:szCs w:val="24"/>
        </w:rPr>
        <w:t>nohospodárstva na zmenu klímy prostredníctvom takých spôsobov hospodárenia, ktorými sa zvýši zadržiavanie vody v krajine a prípravou ú</w:t>
      </w:r>
      <w:r w:rsidRPr="007F119F">
        <w:rPr>
          <w:rFonts w:ascii="Times New Roman" w:hAnsi="Times New Roman" w:cs="Times New Roman"/>
          <w:sz w:val="24"/>
          <w:szCs w:val="24"/>
        </w:rPr>
        <w:t>č</w:t>
      </w:r>
      <w:r>
        <w:rPr>
          <w:rFonts w:ascii="Times New Roman" w:hAnsi="Times New Roman" w:cs="Times New Roman"/>
          <w:sz w:val="24"/>
          <w:szCs w:val="24"/>
        </w:rPr>
        <w:t xml:space="preserve">innej politiky zachovania a rozvoja </w:t>
      </w:r>
      <w:proofErr w:type="spellStart"/>
      <w:r>
        <w:rPr>
          <w:rFonts w:ascii="Times New Roman" w:hAnsi="Times New Roman" w:cs="Times New Roman"/>
          <w:sz w:val="24"/>
          <w:szCs w:val="24"/>
        </w:rPr>
        <w:t>hydromeliora</w:t>
      </w:r>
      <w:r w:rsidRPr="007F119F">
        <w:rPr>
          <w:rFonts w:ascii="Times New Roman" w:hAnsi="Times New Roman" w:cs="Times New Roman"/>
          <w:sz w:val="24"/>
          <w:szCs w:val="24"/>
        </w:rPr>
        <w:t>č</w:t>
      </w:r>
      <w:r>
        <w:rPr>
          <w:rFonts w:ascii="Times New Roman" w:hAnsi="Times New Roman" w:cs="Times New Roman"/>
          <w:sz w:val="24"/>
          <w:szCs w:val="24"/>
        </w:rPr>
        <w:t>ných</w:t>
      </w:r>
      <w:proofErr w:type="spellEnd"/>
      <w:r>
        <w:rPr>
          <w:rFonts w:ascii="Times New Roman" w:hAnsi="Times New Roman" w:cs="Times New Roman"/>
          <w:sz w:val="24"/>
          <w:szCs w:val="24"/>
        </w:rPr>
        <w:t xml:space="preserve"> zariadení (závlah a odvodnení);</w:t>
      </w:r>
    </w:p>
    <w:p w:rsidR="0067255D" w:rsidRDefault="0067255D" w:rsidP="000D68DC">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podporí obnovu a modernizáciu domáceho potravinárskeho priemyslu, s možnou majetkovou ú</w:t>
      </w:r>
      <w:r w:rsidRPr="007F119F">
        <w:rPr>
          <w:rFonts w:ascii="Times New Roman" w:hAnsi="Times New Roman" w:cs="Times New Roman"/>
          <w:sz w:val="24"/>
          <w:szCs w:val="24"/>
        </w:rPr>
        <w:t>č</w:t>
      </w:r>
      <w:r>
        <w:rPr>
          <w:rFonts w:ascii="Times New Roman" w:hAnsi="Times New Roman" w:cs="Times New Roman"/>
          <w:sz w:val="24"/>
          <w:szCs w:val="24"/>
        </w:rPr>
        <w:t>as</w:t>
      </w:r>
      <w:r w:rsidRPr="007F119F">
        <w:rPr>
          <w:rFonts w:ascii="Times New Roman" w:hAnsi="Times New Roman" w:cs="Times New Roman"/>
          <w:sz w:val="24"/>
          <w:szCs w:val="24"/>
        </w:rPr>
        <w:t>ť</w:t>
      </w:r>
      <w:r>
        <w:rPr>
          <w:rFonts w:ascii="Times New Roman" w:hAnsi="Times New Roman" w:cs="Times New Roman"/>
          <w:sz w:val="24"/>
          <w:szCs w:val="24"/>
        </w:rPr>
        <w:t>ou prvovýrobcov, s významným prínosom pre zamestnanos</w:t>
      </w:r>
      <w:r w:rsidRPr="007F119F">
        <w:rPr>
          <w:rFonts w:ascii="Times New Roman" w:hAnsi="Times New Roman" w:cs="Times New Roman"/>
          <w:sz w:val="24"/>
          <w:szCs w:val="24"/>
        </w:rPr>
        <w:t>ť</w:t>
      </w:r>
      <w:r>
        <w:rPr>
          <w:rFonts w:ascii="Times New Roman" w:hAnsi="Times New Roman" w:cs="Times New Roman"/>
          <w:sz w:val="24"/>
          <w:szCs w:val="24"/>
        </w:rPr>
        <w:t>, tvorbu pridanej hodnoty a zvýšenie podielu domácich výrobkov v obchodnej sieti;</w:t>
      </w:r>
    </w:p>
    <w:p w:rsidR="0067255D" w:rsidRDefault="0067255D" w:rsidP="000D68DC">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podporí spracovanie a finalizáciu produktov z domácej výroby, okrem iného aj zvýšením propagácie a podpory predaja domácich potravín;</w:t>
      </w:r>
    </w:p>
    <w:p w:rsidR="0067255D" w:rsidRDefault="0067255D" w:rsidP="000D68DC">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vytvorí legislatívne a ekonomické podmienky na zabezpe</w:t>
      </w:r>
      <w:r w:rsidRPr="007F119F">
        <w:rPr>
          <w:rFonts w:ascii="Times New Roman" w:hAnsi="Times New Roman" w:cs="Times New Roman"/>
          <w:sz w:val="24"/>
          <w:szCs w:val="24"/>
        </w:rPr>
        <w:t>č</w:t>
      </w:r>
      <w:r>
        <w:rPr>
          <w:rFonts w:ascii="Times New Roman" w:hAnsi="Times New Roman" w:cs="Times New Roman"/>
          <w:sz w:val="24"/>
          <w:szCs w:val="24"/>
        </w:rPr>
        <w:t>enie</w:t>
      </w:r>
      <w:r w:rsidR="00360B21">
        <w:rPr>
          <w:rFonts w:ascii="Times New Roman" w:hAnsi="Times New Roman" w:cs="Times New Roman"/>
          <w:sz w:val="24"/>
          <w:szCs w:val="24"/>
        </w:rPr>
        <w:t xml:space="preserve"> </w:t>
      </w:r>
      <w:r>
        <w:rPr>
          <w:rFonts w:ascii="Times New Roman" w:hAnsi="Times New Roman" w:cs="Times New Roman"/>
          <w:sz w:val="24"/>
          <w:szCs w:val="24"/>
        </w:rPr>
        <w:t>kompenzácie pre vlastníkov a správcov lesného majetku za environmentálne služby</w:t>
      </w:r>
      <w:r w:rsidR="00360B21">
        <w:rPr>
          <w:rFonts w:ascii="Times New Roman" w:hAnsi="Times New Roman" w:cs="Times New Roman"/>
          <w:sz w:val="24"/>
          <w:szCs w:val="24"/>
        </w:rPr>
        <w:t xml:space="preserve"> </w:t>
      </w:r>
      <w:r>
        <w:rPr>
          <w:rFonts w:ascii="Times New Roman" w:hAnsi="Times New Roman" w:cs="Times New Roman"/>
          <w:sz w:val="24"/>
          <w:szCs w:val="24"/>
        </w:rPr>
        <w:t>poskytované pre verejnos</w:t>
      </w:r>
      <w:r w:rsidRPr="007F119F">
        <w:rPr>
          <w:rFonts w:ascii="Times New Roman" w:hAnsi="Times New Roman" w:cs="Times New Roman"/>
          <w:sz w:val="24"/>
          <w:szCs w:val="24"/>
        </w:rPr>
        <w:t>ť</w:t>
      </w:r>
      <w:r>
        <w:rPr>
          <w:rFonts w:ascii="Times New Roman" w:hAnsi="Times New Roman" w:cs="Times New Roman"/>
          <w:sz w:val="24"/>
          <w:szCs w:val="24"/>
        </w:rPr>
        <w:t>;</w:t>
      </w:r>
    </w:p>
    <w:p w:rsidR="0067255D" w:rsidRDefault="0067255D" w:rsidP="000D68DC">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pripraví mechanizmy pre dobudovanie systému hospodárskej úpravy lesov,</w:t>
      </w:r>
      <w:r w:rsidR="00360B21">
        <w:rPr>
          <w:rFonts w:ascii="Times New Roman" w:hAnsi="Times New Roman" w:cs="Times New Roman"/>
          <w:sz w:val="24"/>
          <w:szCs w:val="24"/>
        </w:rPr>
        <w:t xml:space="preserve"> </w:t>
      </w:r>
      <w:r>
        <w:rPr>
          <w:rFonts w:ascii="Times New Roman" w:hAnsi="Times New Roman" w:cs="Times New Roman"/>
          <w:sz w:val="24"/>
          <w:szCs w:val="24"/>
        </w:rPr>
        <w:t>vrátane trvalého financovania vyhotovenia programov starostlivosti o lesy a prijme systémové</w:t>
      </w:r>
      <w:r w:rsidR="00360B21">
        <w:rPr>
          <w:rFonts w:ascii="Times New Roman" w:hAnsi="Times New Roman" w:cs="Times New Roman"/>
          <w:sz w:val="24"/>
          <w:szCs w:val="24"/>
        </w:rPr>
        <w:t xml:space="preserve"> </w:t>
      </w:r>
      <w:r>
        <w:rPr>
          <w:rFonts w:ascii="Times New Roman" w:hAnsi="Times New Roman" w:cs="Times New Roman"/>
          <w:sz w:val="24"/>
          <w:szCs w:val="24"/>
        </w:rPr>
        <w:t>opatrenia v oblasti inštitucionálneho zabezpe</w:t>
      </w:r>
      <w:r w:rsidRPr="007F119F">
        <w:rPr>
          <w:rFonts w:ascii="Times New Roman" w:hAnsi="Times New Roman" w:cs="Times New Roman"/>
          <w:sz w:val="24"/>
          <w:szCs w:val="24"/>
        </w:rPr>
        <w:t>č</w:t>
      </w:r>
      <w:r>
        <w:rPr>
          <w:rFonts w:ascii="Times New Roman" w:hAnsi="Times New Roman" w:cs="Times New Roman"/>
          <w:sz w:val="24"/>
          <w:szCs w:val="24"/>
        </w:rPr>
        <w:t xml:space="preserve">enia týchto </w:t>
      </w:r>
      <w:r w:rsidRPr="007F119F">
        <w:rPr>
          <w:rFonts w:ascii="Times New Roman" w:hAnsi="Times New Roman" w:cs="Times New Roman"/>
          <w:sz w:val="24"/>
          <w:szCs w:val="24"/>
        </w:rPr>
        <w:t>č</w:t>
      </w:r>
      <w:r>
        <w:rPr>
          <w:rFonts w:ascii="Times New Roman" w:hAnsi="Times New Roman" w:cs="Times New Roman"/>
          <w:sz w:val="24"/>
          <w:szCs w:val="24"/>
        </w:rPr>
        <w:t>inností;</w:t>
      </w:r>
    </w:p>
    <w:p w:rsidR="00B64EA7" w:rsidRDefault="00B64EA7" w:rsidP="000D68DC">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podporí rozvoj kapacít na spracovania dreva ako najvýznamnejšej domácej, ekologickej a trvalo sa obnovujúcej suroviny na finálne výrobky;</w:t>
      </w:r>
    </w:p>
    <w:p w:rsidR="00B64EA7" w:rsidRDefault="00B64EA7" w:rsidP="000D68DC">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podporí rozvoj produkcie biologických zdrojov v po</w:t>
      </w:r>
      <w:r w:rsidRPr="007F119F">
        <w:rPr>
          <w:rFonts w:ascii="Times New Roman" w:hAnsi="Times New Roman" w:cs="Times New Roman"/>
          <w:sz w:val="24"/>
          <w:szCs w:val="24"/>
        </w:rPr>
        <w:t>ľ</w:t>
      </w:r>
      <w:r>
        <w:rPr>
          <w:rFonts w:ascii="Times New Roman" w:hAnsi="Times New Roman" w:cs="Times New Roman"/>
          <w:sz w:val="24"/>
          <w:szCs w:val="24"/>
        </w:rPr>
        <w:t>nohospodárstve, lesnom</w:t>
      </w:r>
      <w:r w:rsidR="00360B21">
        <w:rPr>
          <w:rFonts w:ascii="Times New Roman" w:hAnsi="Times New Roman" w:cs="Times New Roman"/>
          <w:sz w:val="24"/>
          <w:szCs w:val="24"/>
        </w:rPr>
        <w:t xml:space="preserve"> </w:t>
      </w:r>
      <w:r>
        <w:rPr>
          <w:rFonts w:ascii="Times New Roman" w:hAnsi="Times New Roman" w:cs="Times New Roman"/>
          <w:sz w:val="24"/>
          <w:szCs w:val="24"/>
        </w:rPr>
        <w:t>a vodnom hospodárstve pre tradi</w:t>
      </w:r>
      <w:r w:rsidRPr="007F119F">
        <w:rPr>
          <w:rFonts w:ascii="Times New Roman" w:hAnsi="Times New Roman" w:cs="Times New Roman"/>
          <w:sz w:val="24"/>
          <w:szCs w:val="24"/>
        </w:rPr>
        <w:t>č</w:t>
      </w:r>
      <w:r>
        <w:rPr>
          <w:rFonts w:ascii="Times New Roman" w:hAnsi="Times New Roman" w:cs="Times New Roman"/>
          <w:sz w:val="24"/>
          <w:szCs w:val="24"/>
        </w:rPr>
        <w:t>né spracovate</w:t>
      </w:r>
      <w:r w:rsidRPr="007F119F">
        <w:rPr>
          <w:rFonts w:ascii="Times New Roman" w:hAnsi="Times New Roman" w:cs="Times New Roman"/>
          <w:sz w:val="24"/>
          <w:szCs w:val="24"/>
        </w:rPr>
        <w:t>ľ</w:t>
      </w:r>
      <w:r>
        <w:rPr>
          <w:rFonts w:ascii="Times New Roman" w:hAnsi="Times New Roman" w:cs="Times New Roman"/>
          <w:sz w:val="24"/>
          <w:szCs w:val="24"/>
        </w:rPr>
        <w:t>ské odvetvia potravinárstva,</w:t>
      </w:r>
      <w:r w:rsidR="00360B21">
        <w:rPr>
          <w:rFonts w:ascii="Times New Roman" w:hAnsi="Times New Roman" w:cs="Times New Roman"/>
          <w:sz w:val="24"/>
          <w:szCs w:val="24"/>
        </w:rPr>
        <w:t xml:space="preserve"> </w:t>
      </w:r>
      <w:r>
        <w:rPr>
          <w:rFonts w:ascii="Times New Roman" w:hAnsi="Times New Roman" w:cs="Times New Roman"/>
          <w:sz w:val="24"/>
          <w:szCs w:val="24"/>
        </w:rPr>
        <w:t>drevospracujúceho priemyslu, ale aj pre nové odvetvia biotechnológií, energetiky</w:t>
      </w:r>
      <w:r w:rsidR="00360B21">
        <w:rPr>
          <w:rFonts w:ascii="Times New Roman" w:hAnsi="Times New Roman" w:cs="Times New Roman"/>
          <w:sz w:val="24"/>
          <w:szCs w:val="24"/>
        </w:rPr>
        <w:t xml:space="preserve"> </w:t>
      </w:r>
      <w:r>
        <w:rPr>
          <w:rFonts w:ascii="Times New Roman" w:hAnsi="Times New Roman" w:cs="Times New Roman"/>
          <w:sz w:val="24"/>
          <w:szCs w:val="24"/>
        </w:rPr>
        <w:t>a chemického priemyslu; a</w:t>
      </w:r>
    </w:p>
    <w:p w:rsidR="0067255D" w:rsidRPr="0067255D" w:rsidRDefault="00B64EA7" w:rsidP="000D68DC">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podporí verejno-súkromné partnerstvá zamerané hlavne na inovácie v po</w:t>
      </w:r>
      <w:r w:rsidRPr="007F119F">
        <w:rPr>
          <w:rFonts w:ascii="Times New Roman" w:hAnsi="Times New Roman" w:cs="Times New Roman"/>
          <w:sz w:val="24"/>
          <w:szCs w:val="24"/>
        </w:rPr>
        <w:t>ľ</w:t>
      </w:r>
      <w:r>
        <w:rPr>
          <w:rFonts w:ascii="Times New Roman" w:hAnsi="Times New Roman" w:cs="Times New Roman"/>
          <w:sz w:val="24"/>
          <w:szCs w:val="24"/>
        </w:rPr>
        <w:t>nohospodárstve, potravinárstve a lesníctve.</w:t>
      </w:r>
    </w:p>
    <w:p w:rsidR="0067255D" w:rsidRDefault="0067255D" w:rsidP="007F119F">
      <w:pPr>
        <w:spacing w:after="0" w:line="240" w:lineRule="auto"/>
        <w:jc w:val="both"/>
        <w:rPr>
          <w:rFonts w:ascii="Times New Roman" w:hAnsi="Times New Roman" w:cs="Times New Roman"/>
          <w:sz w:val="24"/>
          <w:szCs w:val="24"/>
        </w:rPr>
      </w:pPr>
    </w:p>
    <w:p w:rsidR="00B64EA7" w:rsidRPr="00B64EA7" w:rsidRDefault="00B64EA7" w:rsidP="00B64E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Programové vyhlásenie vlády Slovenskej republiky takto plne zohľadňuje a rešpektuje</w:t>
      </w:r>
      <w:r w:rsidRPr="00B64EA7">
        <w:rPr>
          <w:rFonts w:ascii="Times New Roman" w:hAnsi="Times New Roman" w:cs="Times New Roman"/>
          <w:sz w:val="24"/>
          <w:szCs w:val="24"/>
        </w:rPr>
        <w:t xml:space="preserve"> programové dokumenty EÚ zamerané na podporu hospodárskeho rastu a ekonomickej výkonnosti v poľnohospodárstve a lesníctve pri dodržiavaní zásad vyváženosti medzi ekonomickým a ekologickým spôsobom hospodárenia</w:t>
      </w:r>
      <w:r>
        <w:rPr>
          <w:rFonts w:ascii="Times New Roman" w:hAnsi="Times New Roman" w:cs="Times New Roman"/>
          <w:sz w:val="24"/>
          <w:szCs w:val="24"/>
        </w:rPr>
        <w:t>.</w:t>
      </w:r>
    </w:p>
    <w:p w:rsidR="0067255D" w:rsidRDefault="0067255D" w:rsidP="007F119F">
      <w:pPr>
        <w:spacing w:after="0" w:line="240" w:lineRule="auto"/>
        <w:jc w:val="both"/>
        <w:rPr>
          <w:rFonts w:ascii="Times New Roman" w:hAnsi="Times New Roman" w:cs="Times New Roman"/>
          <w:sz w:val="24"/>
          <w:szCs w:val="24"/>
        </w:rPr>
      </w:pPr>
    </w:p>
    <w:p w:rsidR="0067255D" w:rsidRDefault="00B64EA7" w:rsidP="007F1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 väzbe na priority reformy spoločnej poľnohospodárskej politiky na roky 2014 – 2020 a programového vyhlásenia vlády Slovenskej republiky na roky 2012 – 2016 sa </w:t>
      </w:r>
      <w:r w:rsidRPr="00D916AA">
        <w:rPr>
          <w:rFonts w:ascii="Times New Roman" w:hAnsi="Times New Roman" w:cs="Times New Roman"/>
          <w:sz w:val="24"/>
          <w:szCs w:val="24"/>
          <w:u w:val="single"/>
        </w:rPr>
        <w:t>Koncepcia rozvo</w:t>
      </w:r>
      <w:r w:rsidR="000C7503">
        <w:rPr>
          <w:rFonts w:ascii="Times New Roman" w:hAnsi="Times New Roman" w:cs="Times New Roman"/>
          <w:sz w:val="24"/>
          <w:szCs w:val="24"/>
          <w:u w:val="single"/>
        </w:rPr>
        <w:t>ja pôdohospodárstva na roky 2013</w:t>
      </w:r>
      <w:r w:rsidRPr="00D916AA">
        <w:rPr>
          <w:rFonts w:ascii="Times New Roman" w:hAnsi="Times New Roman" w:cs="Times New Roman"/>
          <w:sz w:val="24"/>
          <w:szCs w:val="24"/>
          <w:u w:val="single"/>
        </w:rPr>
        <w:t xml:space="preserve"> – 2020</w:t>
      </w:r>
      <w:r w:rsidR="00D916AA" w:rsidRPr="00D916AA">
        <w:rPr>
          <w:rFonts w:ascii="Times New Roman" w:hAnsi="Times New Roman" w:cs="Times New Roman"/>
          <w:sz w:val="24"/>
          <w:szCs w:val="24"/>
          <w:u w:val="single"/>
        </w:rPr>
        <w:t xml:space="preserve"> zameriava na splnenie týchto strategických cieľov</w:t>
      </w:r>
      <w:r w:rsidR="00D916AA">
        <w:rPr>
          <w:rFonts w:ascii="Times New Roman" w:hAnsi="Times New Roman" w:cs="Times New Roman"/>
          <w:sz w:val="24"/>
          <w:szCs w:val="24"/>
        </w:rPr>
        <w:t>:</w:t>
      </w:r>
    </w:p>
    <w:p w:rsidR="00D916AA" w:rsidRDefault="00D916AA" w:rsidP="007F119F">
      <w:pPr>
        <w:spacing w:after="0" w:line="240" w:lineRule="auto"/>
        <w:jc w:val="both"/>
        <w:rPr>
          <w:rFonts w:ascii="Times New Roman" w:hAnsi="Times New Roman" w:cs="Times New Roman"/>
          <w:sz w:val="24"/>
          <w:szCs w:val="24"/>
        </w:rPr>
      </w:pPr>
    </w:p>
    <w:p w:rsidR="00D916AA" w:rsidRDefault="00D916AA" w:rsidP="000D68DC">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zvýšenie </w:t>
      </w:r>
      <w:r w:rsidR="00AD2093">
        <w:rPr>
          <w:rFonts w:ascii="Times New Roman" w:hAnsi="Times New Roman" w:cs="Times New Roman"/>
          <w:sz w:val="24"/>
          <w:szCs w:val="24"/>
        </w:rPr>
        <w:t>produkčnej výkonnosti</w:t>
      </w:r>
      <w:r>
        <w:rPr>
          <w:rFonts w:ascii="Times New Roman" w:hAnsi="Times New Roman" w:cs="Times New Roman"/>
          <w:sz w:val="24"/>
          <w:szCs w:val="24"/>
        </w:rPr>
        <w:t xml:space="preserve"> v nosných poľnohospodárs</w:t>
      </w:r>
      <w:r w:rsidR="008A0B34">
        <w:rPr>
          <w:rFonts w:ascii="Times New Roman" w:hAnsi="Times New Roman" w:cs="Times New Roman"/>
          <w:sz w:val="24"/>
          <w:szCs w:val="24"/>
        </w:rPr>
        <w:t>kych komoditách na úroveň 80%</w:t>
      </w:r>
      <w:r w:rsidR="00B02771">
        <w:rPr>
          <w:rFonts w:ascii="Times New Roman" w:hAnsi="Times New Roman" w:cs="Times New Roman"/>
          <w:sz w:val="24"/>
          <w:szCs w:val="24"/>
        </w:rPr>
        <w:t xml:space="preserve"> súčasnej spotreby obyvateľstva </w:t>
      </w:r>
      <w:r w:rsidR="00AD2093">
        <w:rPr>
          <w:rFonts w:ascii="Times New Roman" w:hAnsi="Times New Roman" w:cs="Times New Roman"/>
          <w:sz w:val="24"/>
          <w:szCs w:val="24"/>
        </w:rPr>
        <w:t>na Slovensku</w:t>
      </w:r>
      <w:r w:rsidR="008A0B34">
        <w:rPr>
          <w:rFonts w:ascii="Times New Roman" w:hAnsi="Times New Roman" w:cs="Times New Roman"/>
          <w:sz w:val="24"/>
          <w:szCs w:val="24"/>
        </w:rPr>
        <w:t xml:space="preserve">; </w:t>
      </w:r>
    </w:p>
    <w:p w:rsidR="00AD2093" w:rsidRPr="00D916AA" w:rsidRDefault="00AD2093" w:rsidP="000D68DC">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zabezpečenie trvalo udržate</w:t>
      </w:r>
      <w:r>
        <w:rPr>
          <w:rFonts w:ascii="TimesNewRoman" w:hAnsi="TimesNewRoman" w:cs="TimesNewRoman"/>
          <w:sz w:val="24"/>
          <w:szCs w:val="24"/>
        </w:rPr>
        <w:t>ľ</w:t>
      </w:r>
      <w:r>
        <w:rPr>
          <w:rFonts w:ascii="Times New Roman" w:hAnsi="Times New Roman" w:cs="Times New Roman"/>
          <w:sz w:val="24"/>
          <w:szCs w:val="24"/>
        </w:rPr>
        <w:t>ného obhospodarovania lesov; a</w:t>
      </w:r>
    </w:p>
    <w:p w:rsidR="00D916AA" w:rsidRDefault="00D916AA" w:rsidP="000D68DC">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rozvoj vidieka a</w:t>
      </w:r>
      <w:r w:rsidRPr="0067255D">
        <w:rPr>
          <w:rFonts w:ascii="Times New Roman" w:hAnsi="Times New Roman" w:cs="Times New Roman"/>
          <w:sz w:val="24"/>
          <w:szCs w:val="24"/>
        </w:rPr>
        <w:t xml:space="preserve"> zlepšovanie životných podmienok </w:t>
      </w:r>
      <w:r>
        <w:rPr>
          <w:rFonts w:ascii="Times New Roman" w:hAnsi="Times New Roman" w:cs="Times New Roman"/>
          <w:sz w:val="24"/>
          <w:szCs w:val="24"/>
        </w:rPr>
        <w:t xml:space="preserve">a zamestnanosti </w:t>
      </w:r>
      <w:r w:rsidRPr="0067255D">
        <w:rPr>
          <w:rFonts w:ascii="Times New Roman" w:hAnsi="Times New Roman" w:cs="Times New Roman"/>
          <w:sz w:val="24"/>
          <w:szCs w:val="24"/>
        </w:rPr>
        <w:t>vidieckeho obyvateľstva</w:t>
      </w:r>
      <w:r>
        <w:rPr>
          <w:rFonts w:ascii="Times New Roman" w:hAnsi="Times New Roman" w:cs="Times New Roman"/>
          <w:sz w:val="24"/>
          <w:szCs w:val="24"/>
        </w:rPr>
        <w:t>, predovšetkým prostredníctvom podpory sektorov, ktoré sú pote</w:t>
      </w:r>
      <w:r w:rsidR="00D56BB8">
        <w:rPr>
          <w:rFonts w:ascii="Times New Roman" w:hAnsi="Times New Roman" w:cs="Times New Roman"/>
          <w:sz w:val="24"/>
          <w:szCs w:val="24"/>
        </w:rPr>
        <w:t>nciálnymi zdrojmi zamestnanosti</w:t>
      </w:r>
      <w:r w:rsidR="00AD2093">
        <w:rPr>
          <w:rFonts w:ascii="Times New Roman" w:hAnsi="Times New Roman" w:cs="Times New Roman"/>
          <w:sz w:val="24"/>
          <w:szCs w:val="24"/>
        </w:rPr>
        <w:t>.</w:t>
      </w:r>
    </w:p>
    <w:p w:rsidR="00760C0E" w:rsidRDefault="00760C0E">
      <w:r>
        <w:br w:type="page"/>
      </w:r>
    </w:p>
    <w:p w:rsidR="0045357B" w:rsidRPr="00E35F7D" w:rsidRDefault="0045357B" w:rsidP="0045357B">
      <w:pPr>
        <w:pStyle w:val="Nadpis1"/>
        <w:numPr>
          <w:ilvl w:val="0"/>
          <w:numId w:val="8"/>
        </w:numPr>
        <w:rPr>
          <w:rFonts w:cs="Times New Roman"/>
        </w:rPr>
      </w:pPr>
      <w:bookmarkStart w:id="2" w:name="_Toc359550624"/>
      <w:r>
        <w:rPr>
          <w:rFonts w:cs="Times New Roman"/>
        </w:rPr>
        <w:lastRenderedPageBreak/>
        <w:t>Charakteristika a vývoj základných výrobných faktorov v pôdohospodárstve</w:t>
      </w:r>
      <w:bookmarkEnd w:id="2"/>
    </w:p>
    <w:p w:rsidR="0045357B" w:rsidRDefault="0045357B" w:rsidP="0045357B">
      <w:pPr>
        <w:spacing w:after="0" w:line="240" w:lineRule="auto"/>
        <w:rPr>
          <w:rFonts w:cs="Times New Roman"/>
        </w:rPr>
      </w:pPr>
    </w:p>
    <w:p w:rsidR="00AC3B37" w:rsidRDefault="00AC3B37" w:rsidP="00AC3B37">
      <w:pPr>
        <w:spacing w:after="0" w:line="240" w:lineRule="auto"/>
        <w:jc w:val="both"/>
        <w:rPr>
          <w:rFonts w:ascii="Times New Roman" w:hAnsi="Times New Roman" w:cs="Times New Roman"/>
          <w:sz w:val="24"/>
          <w:szCs w:val="24"/>
        </w:rPr>
      </w:pPr>
      <w:r w:rsidRPr="00AC3B37">
        <w:rPr>
          <w:rFonts w:ascii="Times New Roman" w:hAnsi="Times New Roman" w:cs="Times New Roman"/>
          <w:sz w:val="24"/>
          <w:szCs w:val="24"/>
        </w:rPr>
        <w:t>Špecifické postavenie pôdohospodárstva v rámci ekonomických odvetví vyplýva z funkcií, ktoré plní pre spoločnosť. V pôdohospodárstve ide nielen o produkciu potravín, ale tiež výrazne formuje tvár krajiny, zasahuje do kvality životného prostredia</w:t>
      </w:r>
      <w:r w:rsidR="007167B4">
        <w:rPr>
          <w:rFonts w:ascii="Times New Roman" w:hAnsi="Times New Roman" w:cs="Times New Roman"/>
          <w:sz w:val="24"/>
          <w:szCs w:val="24"/>
        </w:rPr>
        <w:t>, má nenahraditeľnú environmentálnu funkciu</w:t>
      </w:r>
      <w:r w:rsidRPr="00AC3B37">
        <w:rPr>
          <w:rFonts w:ascii="Times New Roman" w:hAnsi="Times New Roman" w:cs="Times New Roman"/>
          <w:sz w:val="24"/>
          <w:szCs w:val="24"/>
        </w:rPr>
        <w:t xml:space="preserve"> a predstavuje cestu na zvyšovanie potenciálu pre rozvoj cestovného ruchu.</w:t>
      </w:r>
      <w:r>
        <w:rPr>
          <w:rFonts w:ascii="Times New Roman" w:hAnsi="Times New Roman" w:cs="Times New Roman"/>
          <w:sz w:val="24"/>
          <w:szCs w:val="24"/>
        </w:rPr>
        <w:t xml:space="preserve">  V tejto súvislosti je analýza základných výrobných faktorov v pôdohospodárstve základom pre stanovenie cieľových hodnôt parametrov základných trhových ukazovateľov</w:t>
      </w:r>
      <w:r w:rsidR="00E8164C">
        <w:rPr>
          <w:rFonts w:ascii="Times New Roman" w:hAnsi="Times New Roman" w:cs="Times New Roman"/>
          <w:sz w:val="24"/>
          <w:szCs w:val="24"/>
        </w:rPr>
        <w:t xml:space="preserve"> v jednotlivých odvetviach pôdohospodárstva</w:t>
      </w:r>
      <w:r>
        <w:rPr>
          <w:rFonts w:ascii="Times New Roman" w:hAnsi="Times New Roman" w:cs="Times New Roman"/>
          <w:sz w:val="24"/>
          <w:szCs w:val="24"/>
        </w:rPr>
        <w:t>. Je takto základom pre definovanie súčasného i budúceho postavenia pôdohospodárstva v rámci hospodárstva Slovenskej republiky.</w:t>
      </w:r>
      <w:r w:rsidR="003748EC">
        <w:rPr>
          <w:rFonts w:ascii="Times New Roman" w:hAnsi="Times New Roman" w:cs="Times New Roman"/>
          <w:sz w:val="24"/>
          <w:szCs w:val="24"/>
        </w:rPr>
        <w:t xml:space="preserve"> </w:t>
      </w:r>
      <w:r w:rsidR="006D0C40">
        <w:rPr>
          <w:rFonts w:ascii="Times New Roman" w:hAnsi="Times New Roman" w:cs="Times New Roman"/>
          <w:sz w:val="24"/>
          <w:szCs w:val="24"/>
        </w:rPr>
        <w:t xml:space="preserve">Východiskom pre stanovenie cieľových hodnôt parametrov základných trhových ukazovateľov v jednotlivých odvetviach pôdohospodárstva je analýza základných produkčných faktorov a popis ich súčasného stavu. </w:t>
      </w:r>
      <w:r w:rsidR="00F65476">
        <w:rPr>
          <w:rFonts w:ascii="Times New Roman" w:hAnsi="Times New Roman" w:cs="Times New Roman"/>
          <w:sz w:val="24"/>
          <w:szCs w:val="24"/>
        </w:rPr>
        <w:t>Základne výrobné (produkčné) faktory v pôdohospodárstve (tak ako v celej ekonomike) sú pôda, práca a kapitál.</w:t>
      </w:r>
    </w:p>
    <w:p w:rsidR="00F65476" w:rsidRDefault="00F65476" w:rsidP="00AC3B37">
      <w:pPr>
        <w:spacing w:after="0" w:line="240" w:lineRule="auto"/>
        <w:jc w:val="both"/>
        <w:rPr>
          <w:rFonts w:ascii="Times New Roman" w:hAnsi="Times New Roman" w:cs="Times New Roman"/>
          <w:sz w:val="24"/>
          <w:szCs w:val="24"/>
        </w:rPr>
      </w:pPr>
    </w:p>
    <w:p w:rsidR="00F65476" w:rsidRPr="00F65476" w:rsidRDefault="001E1D98" w:rsidP="00F65476">
      <w:pPr>
        <w:pStyle w:val="Nadpis2"/>
        <w:numPr>
          <w:ilvl w:val="1"/>
          <w:numId w:val="8"/>
        </w:numPr>
      </w:pPr>
      <w:bookmarkStart w:id="3" w:name="_Toc359550625"/>
      <w:r>
        <w:t>Poľnohospodársky</w:t>
      </w:r>
      <w:r w:rsidR="00F65476" w:rsidRPr="00F65476">
        <w:t xml:space="preserve"> pôdny fond SR</w:t>
      </w:r>
      <w:bookmarkEnd w:id="3"/>
    </w:p>
    <w:p w:rsidR="00F65476" w:rsidRDefault="00F65476" w:rsidP="00F65476">
      <w:pPr>
        <w:spacing w:after="0" w:line="240" w:lineRule="auto"/>
        <w:jc w:val="both"/>
        <w:rPr>
          <w:rFonts w:ascii="Times New Roman" w:hAnsi="Times New Roman" w:cs="Times New Roman"/>
          <w:sz w:val="24"/>
          <w:szCs w:val="24"/>
        </w:rPr>
      </w:pPr>
    </w:p>
    <w:p w:rsidR="00F65476" w:rsidRPr="00F65476" w:rsidRDefault="00F65476" w:rsidP="00F65476">
      <w:pPr>
        <w:spacing w:after="0" w:line="240" w:lineRule="auto"/>
        <w:jc w:val="both"/>
        <w:rPr>
          <w:rFonts w:ascii="Times New Roman" w:hAnsi="Times New Roman" w:cs="Times New Roman"/>
          <w:sz w:val="24"/>
          <w:szCs w:val="24"/>
        </w:rPr>
      </w:pPr>
      <w:r w:rsidRPr="00F65476">
        <w:rPr>
          <w:rFonts w:ascii="Times New Roman" w:hAnsi="Times New Roman" w:cs="Times New Roman"/>
          <w:sz w:val="24"/>
          <w:szCs w:val="24"/>
        </w:rPr>
        <w:t>Pôda je obmedzeným prírodným zdrojom, ktorý limituje a reguluje produkciu potravy i potravín a súčasne v krajine zabezpečuje jej ekologickú stabilitu. Možno ju preto označiť za bohatstvo jedinca, národa, štátu, ľudstva. Za posledných 60 rokov je tu badateľný postupný úbytok pôd poľnohospodárskych a nárast plôch lesných i urbanizovaných. K 1. 1. 2012 zaberajú, podľa údajov Slovenského štatistického úradu, z celkovej výmery SR  49,2 % pôdy poľnohospodárske, 41,0 % lesy a 9,8 % nepoľnohospodárske a nelesné pozemky (vodné plochy, zastavané plochy, ostatné plochy).</w:t>
      </w:r>
    </w:p>
    <w:p w:rsidR="00F65476" w:rsidRPr="00F65476" w:rsidRDefault="00F65476" w:rsidP="00F65476">
      <w:pPr>
        <w:spacing w:after="0" w:line="240" w:lineRule="auto"/>
        <w:jc w:val="both"/>
        <w:rPr>
          <w:rFonts w:ascii="Times New Roman" w:hAnsi="Times New Roman" w:cs="Times New Roman"/>
          <w:sz w:val="24"/>
          <w:szCs w:val="24"/>
        </w:rPr>
      </w:pPr>
    </w:p>
    <w:p w:rsidR="00F65476" w:rsidRPr="00F65476" w:rsidRDefault="00F65476" w:rsidP="00F654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č.1:</w:t>
      </w:r>
      <w:r w:rsidRPr="00F65476">
        <w:rPr>
          <w:rFonts w:ascii="Times New Roman" w:hAnsi="Times New Roman" w:cs="Times New Roman"/>
          <w:sz w:val="20"/>
          <w:szCs w:val="20"/>
        </w:rPr>
        <w:t xml:space="preserve"> Stav </w:t>
      </w:r>
      <w:r w:rsidR="001E1D98">
        <w:rPr>
          <w:rFonts w:ascii="Times New Roman" w:hAnsi="Times New Roman" w:cs="Times New Roman"/>
          <w:sz w:val="20"/>
          <w:szCs w:val="20"/>
        </w:rPr>
        <w:t>poľnohospodárskeho</w:t>
      </w:r>
      <w:r>
        <w:rPr>
          <w:rFonts w:ascii="Times New Roman" w:hAnsi="Times New Roman" w:cs="Times New Roman"/>
          <w:sz w:val="20"/>
          <w:szCs w:val="20"/>
        </w:rPr>
        <w:t xml:space="preserve"> pôdneho fondu </w:t>
      </w:r>
      <w:r w:rsidRPr="00F65476">
        <w:rPr>
          <w:rFonts w:ascii="Times New Roman" w:hAnsi="Times New Roman" w:cs="Times New Roman"/>
          <w:sz w:val="20"/>
          <w:szCs w:val="20"/>
        </w:rPr>
        <w:t xml:space="preserve">podľa druhov pozemkov k 1.1.2012 </w:t>
      </w:r>
    </w:p>
    <w:tbl>
      <w:tblPr>
        <w:tblW w:w="9072" w:type="dxa"/>
        <w:tblInd w:w="108" w:type="dxa"/>
        <w:tblLook w:val="00A0" w:firstRow="1" w:lastRow="0" w:firstColumn="1" w:lastColumn="0" w:noHBand="0" w:noVBand="0"/>
      </w:tblPr>
      <w:tblGrid>
        <w:gridCol w:w="6345"/>
        <w:gridCol w:w="2727"/>
      </w:tblGrid>
      <w:tr w:rsidR="00F65476" w:rsidRPr="00C05A1C" w:rsidTr="00C05A1C">
        <w:tc>
          <w:tcPr>
            <w:tcW w:w="6345" w:type="dxa"/>
            <w:tcBorders>
              <w:top w:val="single" w:sz="4" w:space="0" w:color="auto"/>
              <w:bottom w:val="single" w:sz="4" w:space="0" w:color="auto"/>
              <w:right w:val="single" w:sz="4" w:space="0" w:color="auto"/>
            </w:tcBorders>
            <w:shd w:val="clear" w:color="auto" w:fill="D9D9D9" w:themeFill="background1" w:themeFillShade="D9"/>
          </w:tcPr>
          <w:p w:rsidR="00F65476" w:rsidRPr="00C05A1C" w:rsidRDefault="00F65476" w:rsidP="00F65476">
            <w:pPr>
              <w:spacing w:after="0" w:line="240" w:lineRule="auto"/>
              <w:jc w:val="both"/>
              <w:rPr>
                <w:rFonts w:ascii="Times New Roman" w:hAnsi="Times New Roman" w:cs="Times New Roman"/>
                <w:b/>
                <w:sz w:val="20"/>
                <w:szCs w:val="20"/>
              </w:rPr>
            </w:pPr>
            <w:r w:rsidRPr="00C05A1C">
              <w:rPr>
                <w:rFonts w:ascii="Times New Roman" w:hAnsi="Times New Roman" w:cs="Times New Roman"/>
                <w:b/>
                <w:sz w:val="20"/>
                <w:szCs w:val="20"/>
              </w:rPr>
              <w:t>Druh pozemku</w:t>
            </w:r>
          </w:p>
        </w:tc>
        <w:tc>
          <w:tcPr>
            <w:tcW w:w="2727" w:type="dxa"/>
            <w:tcBorders>
              <w:top w:val="single" w:sz="4" w:space="0" w:color="auto"/>
              <w:left w:val="single" w:sz="4" w:space="0" w:color="auto"/>
              <w:bottom w:val="single" w:sz="4" w:space="0" w:color="auto"/>
            </w:tcBorders>
            <w:shd w:val="clear" w:color="auto" w:fill="D9D9D9" w:themeFill="background1" w:themeFillShade="D9"/>
          </w:tcPr>
          <w:p w:rsidR="00F65476" w:rsidRPr="00C05A1C" w:rsidRDefault="00F65476" w:rsidP="00C05A1C">
            <w:pPr>
              <w:spacing w:after="0" w:line="240" w:lineRule="auto"/>
              <w:jc w:val="center"/>
              <w:rPr>
                <w:rFonts w:ascii="Times New Roman" w:hAnsi="Times New Roman" w:cs="Times New Roman"/>
                <w:b/>
                <w:sz w:val="20"/>
                <w:szCs w:val="20"/>
              </w:rPr>
            </w:pPr>
            <w:r w:rsidRPr="00C05A1C">
              <w:rPr>
                <w:rFonts w:ascii="Times New Roman" w:hAnsi="Times New Roman" w:cs="Times New Roman"/>
                <w:b/>
                <w:sz w:val="20"/>
                <w:szCs w:val="20"/>
              </w:rPr>
              <w:t>Výmera v ha</w:t>
            </w:r>
          </w:p>
        </w:tc>
      </w:tr>
      <w:tr w:rsidR="00F65476" w:rsidRPr="00C05A1C" w:rsidTr="00C05A1C">
        <w:tc>
          <w:tcPr>
            <w:tcW w:w="6345" w:type="dxa"/>
            <w:tcBorders>
              <w:top w:val="single" w:sz="4" w:space="0" w:color="auto"/>
              <w:right w:val="single" w:sz="4" w:space="0" w:color="auto"/>
            </w:tcBorders>
            <w:shd w:val="clear" w:color="auto" w:fill="F2F2F2" w:themeFill="background1" w:themeFillShade="F2"/>
          </w:tcPr>
          <w:p w:rsidR="00F65476" w:rsidRPr="00C05A1C" w:rsidRDefault="00F65476" w:rsidP="00F65476">
            <w:pPr>
              <w:spacing w:after="0" w:line="240" w:lineRule="auto"/>
              <w:jc w:val="both"/>
              <w:rPr>
                <w:rFonts w:ascii="Times New Roman" w:hAnsi="Times New Roman" w:cs="Times New Roman"/>
                <w:sz w:val="20"/>
                <w:szCs w:val="20"/>
              </w:rPr>
            </w:pPr>
            <w:r w:rsidRPr="00C05A1C">
              <w:rPr>
                <w:rFonts w:ascii="Times New Roman" w:hAnsi="Times New Roman" w:cs="Times New Roman"/>
                <w:sz w:val="20"/>
                <w:szCs w:val="20"/>
              </w:rPr>
              <w:t>poľnohospodárska pôda</w:t>
            </w:r>
          </w:p>
        </w:tc>
        <w:tc>
          <w:tcPr>
            <w:tcW w:w="2727" w:type="dxa"/>
            <w:tcBorders>
              <w:top w:val="single" w:sz="4" w:space="0" w:color="auto"/>
              <w:left w:val="single" w:sz="4" w:space="0" w:color="auto"/>
            </w:tcBorders>
            <w:shd w:val="clear" w:color="auto" w:fill="F2F2F2" w:themeFill="background1" w:themeFillShade="F2"/>
          </w:tcPr>
          <w:p w:rsidR="00F65476" w:rsidRPr="00C05A1C" w:rsidRDefault="00F65476" w:rsidP="00C05A1C">
            <w:pPr>
              <w:spacing w:after="0" w:line="240" w:lineRule="auto"/>
              <w:jc w:val="right"/>
              <w:rPr>
                <w:rFonts w:ascii="Times New Roman" w:hAnsi="Times New Roman" w:cs="Times New Roman"/>
                <w:sz w:val="20"/>
                <w:szCs w:val="20"/>
              </w:rPr>
            </w:pPr>
            <w:r w:rsidRPr="00C05A1C">
              <w:rPr>
                <w:rFonts w:ascii="Times New Roman" w:hAnsi="Times New Roman" w:cs="Times New Roman"/>
                <w:sz w:val="20"/>
                <w:szCs w:val="20"/>
              </w:rPr>
              <w:t>2 410 812</w:t>
            </w:r>
          </w:p>
        </w:tc>
      </w:tr>
      <w:tr w:rsidR="00F65476" w:rsidRPr="00C05A1C" w:rsidTr="00C05A1C">
        <w:tc>
          <w:tcPr>
            <w:tcW w:w="6345" w:type="dxa"/>
            <w:tcBorders>
              <w:right w:val="single" w:sz="4" w:space="0" w:color="auto"/>
            </w:tcBorders>
          </w:tcPr>
          <w:p w:rsidR="00F65476" w:rsidRPr="00C05A1C" w:rsidRDefault="00F65476" w:rsidP="00F65476">
            <w:pPr>
              <w:spacing w:after="0" w:line="240" w:lineRule="auto"/>
              <w:jc w:val="both"/>
              <w:rPr>
                <w:rFonts w:ascii="Times New Roman" w:hAnsi="Times New Roman" w:cs="Times New Roman"/>
                <w:sz w:val="20"/>
                <w:szCs w:val="20"/>
              </w:rPr>
            </w:pPr>
            <w:r w:rsidRPr="00C05A1C">
              <w:rPr>
                <w:rFonts w:ascii="Times New Roman" w:hAnsi="Times New Roman" w:cs="Times New Roman"/>
                <w:sz w:val="20"/>
                <w:szCs w:val="20"/>
              </w:rPr>
              <w:t xml:space="preserve">              z nej - orná pôda </w:t>
            </w:r>
          </w:p>
        </w:tc>
        <w:tc>
          <w:tcPr>
            <w:tcW w:w="2727" w:type="dxa"/>
            <w:tcBorders>
              <w:left w:val="single" w:sz="4" w:space="0" w:color="auto"/>
            </w:tcBorders>
          </w:tcPr>
          <w:p w:rsidR="00F65476" w:rsidRPr="00C05A1C" w:rsidRDefault="00F65476" w:rsidP="00C05A1C">
            <w:pPr>
              <w:spacing w:after="0" w:line="240" w:lineRule="auto"/>
              <w:jc w:val="right"/>
              <w:rPr>
                <w:rFonts w:ascii="Times New Roman" w:hAnsi="Times New Roman" w:cs="Times New Roman"/>
                <w:sz w:val="20"/>
                <w:szCs w:val="20"/>
              </w:rPr>
            </w:pPr>
            <w:r w:rsidRPr="00C05A1C">
              <w:rPr>
                <w:rFonts w:ascii="Times New Roman" w:hAnsi="Times New Roman" w:cs="Times New Roman"/>
                <w:sz w:val="20"/>
                <w:szCs w:val="20"/>
              </w:rPr>
              <w:t>1 415 653</w:t>
            </w:r>
          </w:p>
        </w:tc>
      </w:tr>
      <w:tr w:rsidR="00F65476" w:rsidRPr="00C05A1C" w:rsidTr="00C05A1C">
        <w:tc>
          <w:tcPr>
            <w:tcW w:w="6345" w:type="dxa"/>
            <w:tcBorders>
              <w:right w:val="single" w:sz="4" w:space="0" w:color="auto"/>
            </w:tcBorders>
            <w:shd w:val="clear" w:color="auto" w:fill="F2F2F2" w:themeFill="background1" w:themeFillShade="F2"/>
          </w:tcPr>
          <w:p w:rsidR="00F65476" w:rsidRPr="00C05A1C" w:rsidRDefault="00F65476" w:rsidP="00C05A1C">
            <w:pPr>
              <w:tabs>
                <w:tab w:val="left" w:pos="1560"/>
              </w:tabs>
              <w:spacing w:after="0" w:line="240" w:lineRule="auto"/>
              <w:jc w:val="both"/>
              <w:rPr>
                <w:rFonts w:ascii="Times New Roman" w:hAnsi="Times New Roman" w:cs="Times New Roman"/>
                <w:sz w:val="20"/>
                <w:szCs w:val="20"/>
              </w:rPr>
            </w:pPr>
            <w:r w:rsidRPr="00C05A1C">
              <w:rPr>
                <w:rFonts w:ascii="Times New Roman" w:hAnsi="Times New Roman" w:cs="Times New Roman"/>
                <w:sz w:val="20"/>
                <w:szCs w:val="20"/>
              </w:rPr>
              <w:t>chmeľnice</w:t>
            </w:r>
          </w:p>
        </w:tc>
        <w:tc>
          <w:tcPr>
            <w:tcW w:w="2727" w:type="dxa"/>
            <w:tcBorders>
              <w:left w:val="single" w:sz="4" w:space="0" w:color="auto"/>
            </w:tcBorders>
            <w:shd w:val="clear" w:color="auto" w:fill="F2F2F2" w:themeFill="background1" w:themeFillShade="F2"/>
          </w:tcPr>
          <w:p w:rsidR="00F65476" w:rsidRPr="00C05A1C" w:rsidRDefault="00F65476" w:rsidP="00C05A1C">
            <w:pPr>
              <w:spacing w:after="0" w:line="240" w:lineRule="auto"/>
              <w:jc w:val="right"/>
              <w:rPr>
                <w:rFonts w:ascii="Times New Roman" w:hAnsi="Times New Roman" w:cs="Times New Roman"/>
                <w:sz w:val="20"/>
                <w:szCs w:val="20"/>
              </w:rPr>
            </w:pPr>
            <w:r w:rsidRPr="00C05A1C">
              <w:rPr>
                <w:rFonts w:ascii="Times New Roman" w:hAnsi="Times New Roman" w:cs="Times New Roman"/>
                <w:sz w:val="20"/>
                <w:szCs w:val="20"/>
              </w:rPr>
              <w:t>520</w:t>
            </w:r>
          </w:p>
        </w:tc>
      </w:tr>
      <w:tr w:rsidR="00F65476" w:rsidRPr="00C05A1C" w:rsidTr="00C05A1C">
        <w:tc>
          <w:tcPr>
            <w:tcW w:w="6345" w:type="dxa"/>
            <w:tcBorders>
              <w:right w:val="single" w:sz="4" w:space="0" w:color="auto"/>
            </w:tcBorders>
          </w:tcPr>
          <w:p w:rsidR="00F65476" w:rsidRPr="00C05A1C" w:rsidRDefault="00F65476" w:rsidP="00F65476">
            <w:pPr>
              <w:spacing w:after="0" w:line="240" w:lineRule="auto"/>
              <w:jc w:val="both"/>
              <w:rPr>
                <w:rFonts w:ascii="Times New Roman" w:hAnsi="Times New Roman" w:cs="Times New Roman"/>
                <w:sz w:val="20"/>
                <w:szCs w:val="20"/>
              </w:rPr>
            </w:pPr>
            <w:r w:rsidRPr="00C05A1C">
              <w:rPr>
                <w:rFonts w:ascii="Times New Roman" w:hAnsi="Times New Roman" w:cs="Times New Roman"/>
                <w:sz w:val="20"/>
                <w:szCs w:val="20"/>
              </w:rPr>
              <w:t>vinice</w:t>
            </w:r>
          </w:p>
        </w:tc>
        <w:tc>
          <w:tcPr>
            <w:tcW w:w="2727" w:type="dxa"/>
            <w:tcBorders>
              <w:left w:val="single" w:sz="4" w:space="0" w:color="auto"/>
            </w:tcBorders>
          </w:tcPr>
          <w:p w:rsidR="00F65476" w:rsidRPr="00C05A1C" w:rsidRDefault="00F65476" w:rsidP="00C05A1C">
            <w:pPr>
              <w:spacing w:after="0" w:line="240" w:lineRule="auto"/>
              <w:jc w:val="right"/>
              <w:rPr>
                <w:rFonts w:ascii="Times New Roman" w:hAnsi="Times New Roman" w:cs="Times New Roman"/>
                <w:sz w:val="20"/>
                <w:szCs w:val="20"/>
              </w:rPr>
            </w:pPr>
            <w:r w:rsidRPr="00C05A1C">
              <w:rPr>
                <w:rFonts w:ascii="Times New Roman" w:hAnsi="Times New Roman" w:cs="Times New Roman"/>
                <w:sz w:val="20"/>
                <w:szCs w:val="20"/>
              </w:rPr>
              <w:t>26 997</w:t>
            </w:r>
          </w:p>
        </w:tc>
      </w:tr>
      <w:tr w:rsidR="00F65476" w:rsidRPr="00C05A1C" w:rsidTr="00C05A1C">
        <w:tc>
          <w:tcPr>
            <w:tcW w:w="6345" w:type="dxa"/>
            <w:tcBorders>
              <w:right w:val="single" w:sz="4" w:space="0" w:color="auto"/>
            </w:tcBorders>
            <w:shd w:val="clear" w:color="auto" w:fill="F2F2F2" w:themeFill="background1" w:themeFillShade="F2"/>
          </w:tcPr>
          <w:p w:rsidR="00F65476" w:rsidRPr="00C05A1C" w:rsidRDefault="00F65476" w:rsidP="00C05A1C">
            <w:pPr>
              <w:tabs>
                <w:tab w:val="left" w:pos="1560"/>
              </w:tabs>
              <w:spacing w:after="0" w:line="240" w:lineRule="auto"/>
              <w:jc w:val="both"/>
              <w:rPr>
                <w:rFonts w:ascii="Times New Roman" w:hAnsi="Times New Roman" w:cs="Times New Roman"/>
                <w:sz w:val="20"/>
                <w:szCs w:val="20"/>
              </w:rPr>
            </w:pPr>
            <w:r w:rsidRPr="00C05A1C">
              <w:rPr>
                <w:rFonts w:ascii="Times New Roman" w:hAnsi="Times New Roman" w:cs="Times New Roman"/>
                <w:sz w:val="20"/>
                <w:szCs w:val="20"/>
              </w:rPr>
              <w:t>záhrady</w:t>
            </w:r>
          </w:p>
        </w:tc>
        <w:tc>
          <w:tcPr>
            <w:tcW w:w="2727" w:type="dxa"/>
            <w:tcBorders>
              <w:left w:val="single" w:sz="4" w:space="0" w:color="auto"/>
            </w:tcBorders>
            <w:shd w:val="clear" w:color="auto" w:fill="F2F2F2" w:themeFill="background1" w:themeFillShade="F2"/>
          </w:tcPr>
          <w:p w:rsidR="00F65476" w:rsidRPr="00C05A1C" w:rsidRDefault="00F65476" w:rsidP="00C05A1C">
            <w:pPr>
              <w:tabs>
                <w:tab w:val="left" w:pos="1560"/>
              </w:tabs>
              <w:spacing w:after="0" w:line="240" w:lineRule="auto"/>
              <w:jc w:val="right"/>
              <w:rPr>
                <w:rFonts w:ascii="Times New Roman" w:hAnsi="Times New Roman" w:cs="Times New Roman"/>
                <w:sz w:val="20"/>
                <w:szCs w:val="20"/>
              </w:rPr>
            </w:pPr>
            <w:r w:rsidRPr="00C05A1C">
              <w:rPr>
                <w:rFonts w:ascii="Times New Roman" w:hAnsi="Times New Roman" w:cs="Times New Roman"/>
                <w:sz w:val="20"/>
                <w:szCs w:val="20"/>
              </w:rPr>
              <w:t>76 563</w:t>
            </w:r>
          </w:p>
        </w:tc>
      </w:tr>
      <w:tr w:rsidR="00F65476" w:rsidRPr="00C05A1C" w:rsidTr="00C05A1C">
        <w:tc>
          <w:tcPr>
            <w:tcW w:w="6345" w:type="dxa"/>
            <w:tcBorders>
              <w:right w:val="single" w:sz="4" w:space="0" w:color="auto"/>
            </w:tcBorders>
          </w:tcPr>
          <w:p w:rsidR="00F65476" w:rsidRPr="00C05A1C" w:rsidRDefault="00F65476" w:rsidP="00F65476">
            <w:pPr>
              <w:spacing w:after="0" w:line="240" w:lineRule="auto"/>
              <w:jc w:val="both"/>
              <w:rPr>
                <w:rFonts w:ascii="Times New Roman" w:hAnsi="Times New Roman" w:cs="Times New Roman"/>
                <w:sz w:val="20"/>
                <w:szCs w:val="20"/>
              </w:rPr>
            </w:pPr>
            <w:r w:rsidRPr="00C05A1C">
              <w:rPr>
                <w:rFonts w:ascii="Times New Roman" w:hAnsi="Times New Roman" w:cs="Times New Roman"/>
                <w:sz w:val="20"/>
                <w:szCs w:val="20"/>
              </w:rPr>
              <w:t>ovocné sady</w:t>
            </w:r>
          </w:p>
        </w:tc>
        <w:tc>
          <w:tcPr>
            <w:tcW w:w="2727" w:type="dxa"/>
            <w:tcBorders>
              <w:left w:val="single" w:sz="4" w:space="0" w:color="auto"/>
            </w:tcBorders>
          </w:tcPr>
          <w:p w:rsidR="00F65476" w:rsidRPr="00C05A1C" w:rsidRDefault="00F65476" w:rsidP="00C05A1C">
            <w:pPr>
              <w:spacing w:after="0" w:line="240" w:lineRule="auto"/>
              <w:jc w:val="right"/>
              <w:rPr>
                <w:rFonts w:ascii="Times New Roman" w:hAnsi="Times New Roman" w:cs="Times New Roman"/>
                <w:sz w:val="20"/>
                <w:szCs w:val="20"/>
              </w:rPr>
            </w:pPr>
            <w:r w:rsidRPr="00C05A1C">
              <w:rPr>
                <w:rFonts w:ascii="Times New Roman" w:hAnsi="Times New Roman" w:cs="Times New Roman"/>
                <w:sz w:val="20"/>
                <w:szCs w:val="20"/>
              </w:rPr>
              <w:t>16 858</w:t>
            </w:r>
          </w:p>
        </w:tc>
      </w:tr>
      <w:tr w:rsidR="00F65476" w:rsidRPr="00C05A1C" w:rsidTr="00C05A1C">
        <w:tc>
          <w:tcPr>
            <w:tcW w:w="6345" w:type="dxa"/>
            <w:tcBorders>
              <w:bottom w:val="single" w:sz="4" w:space="0" w:color="auto"/>
              <w:right w:val="single" w:sz="4" w:space="0" w:color="auto"/>
            </w:tcBorders>
            <w:shd w:val="clear" w:color="auto" w:fill="F2F2F2" w:themeFill="background1" w:themeFillShade="F2"/>
          </w:tcPr>
          <w:p w:rsidR="00F65476" w:rsidRPr="00C05A1C" w:rsidRDefault="00F65476" w:rsidP="00F65476">
            <w:pPr>
              <w:spacing w:after="0" w:line="240" w:lineRule="auto"/>
              <w:jc w:val="both"/>
              <w:rPr>
                <w:rFonts w:ascii="Times New Roman" w:hAnsi="Times New Roman" w:cs="Times New Roman"/>
                <w:sz w:val="20"/>
                <w:szCs w:val="20"/>
              </w:rPr>
            </w:pPr>
            <w:r w:rsidRPr="00C05A1C">
              <w:rPr>
                <w:rFonts w:ascii="Times New Roman" w:hAnsi="Times New Roman" w:cs="Times New Roman"/>
                <w:sz w:val="20"/>
                <w:szCs w:val="20"/>
              </w:rPr>
              <w:t>trvalé trávne porasty</w:t>
            </w:r>
          </w:p>
        </w:tc>
        <w:tc>
          <w:tcPr>
            <w:tcW w:w="2727" w:type="dxa"/>
            <w:tcBorders>
              <w:left w:val="single" w:sz="4" w:space="0" w:color="auto"/>
              <w:bottom w:val="single" w:sz="4" w:space="0" w:color="auto"/>
            </w:tcBorders>
            <w:shd w:val="clear" w:color="auto" w:fill="F2F2F2" w:themeFill="background1" w:themeFillShade="F2"/>
          </w:tcPr>
          <w:p w:rsidR="00F65476" w:rsidRPr="00C05A1C" w:rsidRDefault="00F65476" w:rsidP="00C05A1C">
            <w:pPr>
              <w:spacing w:after="0" w:line="240" w:lineRule="auto"/>
              <w:jc w:val="right"/>
              <w:rPr>
                <w:rFonts w:ascii="Times New Roman" w:hAnsi="Times New Roman" w:cs="Times New Roman"/>
                <w:sz w:val="20"/>
                <w:szCs w:val="20"/>
              </w:rPr>
            </w:pPr>
            <w:r w:rsidRPr="00C05A1C">
              <w:rPr>
                <w:rFonts w:ascii="Times New Roman" w:hAnsi="Times New Roman" w:cs="Times New Roman"/>
                <w:sz w:val="20"/>
                <w:szCs w:val="20"/>
              </w:rPr>
              <w:t>874 224</w:t>
            </w:r>
          </w:p>
        </w:tc>
      </w:tr>
      <w:tr w:rsidR="00F65476" w:rsidRPr="00C05A1C" w:rsidTr="00C05A1C">
        <w:tc>
          <w:tcPr>
            <w:tcW w:w="6345" w:type="dxa"/>
            <w:tcBorders>
              <w:top w:val="single" w:sz="4" w:space="0" w:color="auto"/>
              <w:bottom w:val="single" w:sz="4" w:space="0" w:color="auto"/>
              <w:right w:val="single" w:sz="4" w:space="0" w:color="auto"/>
            </w:tcBorders>
          </w:tcPr>
          <w:p w:rsidR="00F65476" w:rsidRPr="00C05A1C" w:rsidRDefault="00F65476" w:rsidP="00C05A1C">
            <w:pPr>
              <w:spacing w:after="0" w:line="240" w:lineRule="auto"/>
              <w:jc w:val="both"/>
              <w:rPr>
                <w:rFonts w:ascii="Times New Roman" w:hAnsi="Times New Roman" w:cs="Times New Roman"/>
                <w:sz w:val="20"/>
                <w:szCs w:val="20"/>
              </w:rPr>
            </w:pPr>
            <w:r w:rsidRPr="00C05A1C">
              <w:rPr>
                <w:rFonts w:ascii="Times New Roman" w:hAnsi="Times New Roman" w:cs="Times New Roman"/>
                <w:sz w:val="20"/>
                <w:szCs w:val="20"/>
              </w:rPr>
              <w:t>lesné pozemky</w:t>
            </w:r>
          </w:p>
        </w:tc>
        <w:tc>
          <w:tcPr>
            <w:tcW w:w="2727" w:type="dxa"/>
            <w:tcBorders>
              <w:top w:val="single" w:sz="4" w:space="0" w:color="auto"/>
              <w:left w:val="single" w:sz="4" w:space="0" w:color="auto"/>
              <w:bottom w:val="single" w:sz="4" w:space="0" w:color="auto"/>
            </w:tcBorders>
          </w:tcPr>
          <w:p w:rsidR="00F65476" w:rsidRPr="00C05A1C" w:rsidRDefault="00F65476" w:rsidP="00C05A1C">
            <w:pPr>
              <w:spacing w:after="0" w:line="240" w:lineRule="auto"/>
              <w:jc w:val="right"/>
              <w:rPr>
                <w:rFonts w:ascii="Times New Roman" w:hAnsi="Times New Roman" w:cs="Times New Roman"/>
                <w:sz w:val="20"/>
                <w:szCs w:val="20"/>
              </w:rPr>
            </w:pPr>
            <w:r w:rsidRPr="00C05A1C">
              <w:rPr>
                <w:rFonts w:ascii="Times New Roman" w:hAnsi="Times New Roman" w:cs="Times New Roman"/>
                <w:sz w:val="20"/>
                <w:szCs w:val="20"/>
              </w:rPr>
              <w:t>2 012 336</w:t>
            </w:r>
          </w:p>
        </w:tc>
      </w:tr>
      <w:tr w:rsidR="00F65476" w:rsidRPr="00C05A1C" w:rsidTr="00C05A1C">
        <w:tc>
          <w:tcPr>
            <w:tcW w:w="6345" w:type="dxa"/>
            <w:tcBorders>
              <w:top w:val="single" w:sz="4" w:space="0" w:color="auto"/>
              <w:bottom w:val="single" w:sz="4" w:space="0" w:color="auto"/>
              <w:right w:val="single" w:sz="4" w:space="0" w:color="auto"/>
            </w:tcBorders>
            <w:shd w:val="clear" w:color="auto" w:fill="F2F2F2" w:themeFill="background1" w:themeFillShade="F2"/>
          </w:tcPr>
          <w:p w:rsidR="00F65476" w:rsidRPr="00C05A1C" w:rsidRDefault="00F65476" w:rsidP="00F65476">
            <w:pPr>
              <w:spacing w:after="0" w:line="240" w:lineRule="auto"/>
              <w:jc w:val="both"/>
              <w:rPr>
                <w:rFonts w:ascii="Times New Roman" w:hAnsi="Times New Roman" w:cs="Times New Roman"/>
                <w:sz w:val="20"/>
                <w:szCs w:val="20"/>
              </w:rPr>
            </w:pPr>
            <w:r w:rsidRPr="00C05A1C">
              <w:rPr>
                <w:rFonts w:ascii="Times New Roman" w:hAnsi="Times New Roman" w:cs="Times New Roman"/>
                <w:sz w:val="20"/>
                <w:szCs w:val="20"/>
              </w:rPr>
              <w:t>vodné plochy</w:t>
            </w:r>
          </w:p>
        </w:tc>
        <w:tc>
          <w:tcPr>
            <w:tcW w:w="2727" w:type="dxa"/>
            <w:tcBorders>
              <w:top w:val="single" w:sz="4" w:space="0" w:color="auto"/>
              <w:left w:val="single" w:sz="4" w:space="0" w:color="auto"/>
              <w:bottom w:val="single" w:sz="4" w:space="0" w:color="auto"/>
            </w:tcBorders>
            <w:shd w:val="clear" w:color="auto" w:fill="F2F2F2" w:themeFill="background1" w:themeFillShade="F2"/>
          </w:tcPr>
          <w:p w:rsidR="00F65476" w:rsidRPr="00C05A1C" w:rsidRDefault="00F65476" w:rsidP="00C05A1C">
            <w:pPr>
              <w:spacing w:after="0" w:line="240" w:lineRule="auto"/>
              <w:jc w:val="right"/>
              <w:rPr>
                <w:rFonts w:ascii="Times New Roman" w:hAnsi="Times New Roman" w:cs="Times New Roman"/>
                <w:sz w:val="20"/>
                <w:szCs w:val="20"/>
              </w:rPr>
            </w:pPr>
            <w:r w:rsidRPr="00C05A1C">
              <w:rPr>
                <w:rFonts w:ascii="Times New Roman" w:hAnsi="Times New Roman" w:cs="Times New Roman"/>
                <w:sz w:val="20"/>
                <w:szCs w:val="20"/>
              </w:rPr>
              <w:t>94 764</w:t>
            </w:r>
          </w:p>
        </w:tc>
      </w:tr>
      <w:tr w:rsidR="00F65476" w:rsidRPr="00C05A1C" w:rsidTr="00C05A1C">
        <w:tc>
          <w:tcPr>
            <w:tcW w:w="6345" w:type="dxa"/>
            <w:tcBorders>
              <w:top w:val="single" w:sz="4" w:space="0" w:color="auto"/>
              <w:bottom w:val="single" w:sz="4" w:space="0" w:color="auto"/>
              <w:right w:val="single" w:sz="4" w:space="0" w:color="auto"/>
            </w:tcBorders>
          </w:tcPr>
          <w:p w:rsidR="00F65476" w:rsidRPr="00C05A1C" w:rsidRDefault="00F65476" w:rsidP="00F65476">
            <w:pPr>
              <w:spacing w:after="0" w:line="240" w:lineRule="auto"/>
              <w:jc w:val="both"/>
              <w:rPr>
                <w:rFonts w:ascii="Times New Roman" w:hAnsi="Times New Roman" w:cs="Times New Roman"/>
                <w:sz w:val="20"/>
                <w:szCs w:val="20"/>
              </w:rPr>
            </w:pPr>
            <w:r w:rsidRPr="00C05A1C">
              <w:rPr>
                <w:rFonts w:ascii="Times New Roman" w:hAnsi="Times New Roman" w:cs="Times New Roman"/>
                <w:sz w:val="20"/>
                <w:szCs w:val="20"/>
              </w:rPr>
              <w:t>zastavané plochy a nádvoria</w:t>
            </w:r>
          </w:p>
        </w:tc>
        <w:tc>
          <w:tcPr>
            <w:tcW w:w="2727" w:type="dxa"/>
            <w:tcBorders>
              <w:top w:val="single" w:sz="4" w:space="0" w:color="auto"/>
              <w:left w:val="single" w:sz="4" w:space="0" w:color="auto"/>
              <w:bottom w:val="single" w:sz="4" w:space="0" w:color="auto"/>
            </w:tcBorders>
          </w:tcPr>
          <w:p w:rsidR="00F65476" w:rsidRPr="00C05A1C" w:rsidRDefault="00F65476" w:rsidP="00C05A1C">
            <w:pPr>
              <w:spacing w:after="0" w:line="240" w:lineRule="auto"/>
              <w:jc w:val="right"/>
              <w:rPr>
                <w:rFonts w:ascii="Times New Roman" w:hAnsi="Times New Roman" w:cs="Times New Roman"/>
                <w:sz w:val="20"/>
                <w:szCs w:val="20"/>
              </w:rPr>
            </w:pPr>
            <w:r w:rsidRPr="00C05A1C">
              <w:rPr>
                <w:rFonts w:ascii="Times New Roman" w:hAnsi="Times New Roman" w:cs="Times New Roman"/>
                <w:sz w:val="20"/>
                <w:szCs w:val="20"/>
              </w:rPr>
              <w:t>231 967</w:t>
            </w:r>
          </w:p>
        </w:tc>
      </w:tr>
      <w:tr w:rsidR="00F65476" w:rsidRPr="00C05A1C" w:rsidTr="00C05A1C">
        <w:tc>
          <w:tcPr>
            <w:tcW w:w="6345" w:type="dxa"/>
            <w:tcBorders>
              <w:top w:val="single" w:sz="4" w:space="0" w:color="auto"/>
              <w:bottom w:val="single" w:sz="4" w:space="0" w:color="auto"/>
              <w:right w:val="single" w:sz="4" w:space="0" w:color="auto"/>
            </w:tcBorders>
            <w:shd w:val="clear" w:color="auto" w:fill="F2F2F2" w:themeFill="background1" w:themeFillShade="F2"/>
          </w:tcPr>
          <w:p w:rsidR="00F65476" w:rsidRPr="00C05A1C" w:rsidRDefault="00F65476" w:rsidP="00C05A1C">
            <w:pPr>
              <w:spacing w:after="0" w:line="240" w:lineRule="auto"/>
              <w:jc w:val="both"/>
              <w:rPr>
                <w:rFonts w:ascii="Times New Roman" w:hAnsi="Times New Roman" w:cs="Times New Roman"/>
                <w:sz w:val="20"/>
                <w:szCs w:val="20"/>
              </w:rPr>
            </w:pPr>
            <w:r w:rsidRPr="00C05A1C">
              <w:rPr>
                <w:rFonts w:ascii="Times New Roman" w:hAnsi="Times New Roman" w:cs="Times New Roman"/>
                <w:sz w:val="20"/>
                <w:szCs w:val="20"/>
              </w:rPr>
              <w:t>ostatné plochy</w:t>
            </w:r>
          </w:p>
        </w:tc>
        <w:tc>
          <w:tcPr>
            <w:tcW w:w="2727" w:type="dxa"/>
            <w:tcBorders>
              <w:top w:val="single" w:sz="4" w:space="0" w:color="auto"/>
              <w:left w:val="single" w:sz="4" w:space="0" w:color="auto"/>
              <w:bottom w:val="single" w:sz="4" w:space="0" w:color="auto"/>
            </w:tcBorders>
            <w:shd w:val="clear" w:color="auto" w:fill="F2F2F2" w:themeFill="background1" w:themeFillShade="F2"/>
          </w:tcPr>
          <w:p w:rsidR="00F65476" w:rsidRPr="00C05A1C" w:rsidRDefault="00F65476" w:rsidP="00C05A1C">
            <w:pPr>
              <w:spacing w:after="0" w:line="240" w:lineRule="auto"/>
              <w:jc w:val="right"/>
              <w:rPr>
                <w:rFonts w:ascii="Times New Roman" w:hAnsi="Times New Roman" w:cs="Times New Roman"/>
                <w:sz w:val="20"/>
                <w:szCs w:val="20"/>
              </w:rPr>
            </w:pPr>
            <w:r w:rsidRPr="00C05A1C">
              <w:rPr>
                <w:rFonts w:ascii="Times New Roman" w:hAnsi="Times New Roman" w:cs="Times New Roman"/>
                <w:sz w:val="20"/>
                <w:szCs w:val="20"/>
              </w:rPr>
              <w:t>153 733</w:t>
            </w:r>
          </w:p>
        </w:tc>
      </w:tr>
      <w:tr w:rsidR="00C05A1C" w:rsidRPr="00C05A1C" w:rsidTr="00C05A1C">
        <w:tc>
          <w:tcPr>
            <w:tcW w:w="6345" w:type="dxa"/>
            <w:tcBorders>
              <w:top w:val="single" w:sz="4" w:space="0" w:color="auto"/>
              <w:bottom w:val="single" w:sz="4" w:space="0" w:color="auto"/>
              <w:right w:val="single" w:sz="4" w:space="0" w:color="auto"/>
            </w:tcBorders>
            <w:shd w:val="clear" w:color="auto" w:fill="D9D9D9" w:themeFill="background1" w:themeFillShade="D9"/>
          </w:tcPr>
          <w:p w:rsidR="00C05A1C" w:rsidRPr="00C05A1C" w:rsidRDefault="00C05A1C" w:rsidP="00B86750">
            <w:pPr>
              <w:spacing w:after="0" w:line="240" w:lineRule="auto"/>
              <w:jc w:val="both"/>
              <w:rPr>
                <w:rFonts w:ascii="Times New Roman" w:hAnsi="Times New Roman" w:cs="Times New Roman"/>
                <w:b/>
                <w:sz w:val="20"/>
                <w:szCs w:val="20"/>
              </w:rPr>
            </w:pPr>
            <w:r w:rsidRPr="00C05A1C">
              <w:rPr>
                <w:rFonts w:ascii="Times New Roman" w:hAnsi="Times New Roman" w:cs="Times New Roman"/>
                <w:b/>
                <w:sz w:val="20"/>
                <w:szCs w:val="20"/>
              </w:rPr>
              <w:t>Celková výmera Slovenskej republiky</w:t>
            </w:r>
          </w:p>
        </w:tc>
        <w:tc>
          <w:tcPr>
            <w:tcW w:w="2727" w:type="dxa"/>
            <w:tcBorders>
              <w:top w:val="single" w:sz="4" w:space="0" w:color="auto"/>
              <w:left w:val="single" w:sz="4" w:space="0" w:color="auto"/>
              <w:bottom w:val="single" w:sz="4" w:space="0" w:color="auto"/>
            </w:tcBorders>
            <w:shd w:val="clear" w:color="auto" w:fill="D9D9D9" w:themeFill="background1" w:themeFillShade="D9"/>
          </w:tcPr>
          <w:p w:rsidR="00C05A1C" w:rsidRPr="00C05A1C" w:rsidRDefault="00C05A1C" w:rsidP="00B86750">
            <w:pPr>
              <w:spacing w:after="0" w:line="240" w:lineRule="auto"/>
              <w:jc w:val="right"/>
              <w:rPr>
                <w:rFonts w:ascii="Times New Roman" w:hAnsi="Times New Roman" w:cs="Times New Roman"/>
                <w:b/>
                <w:sz w:val="20"/>
                <w:szCs w:val="20"/>
              </w:rPr>
            </w:pPr>
            <w:r w:rsidRPr="00C05A1C">
              <w:rPr>
                <w:rFonts w:ascii="Times New Roman" w:hAnsi="Times New Roman" w:cs="Times New Roman"/>
                <w:b/>
                <w:sz w:val="20"/>
                <w:szCs w:val="20"/>
              </w:rPr>
              <w:t>4 903 613</w:t>
            </w:r>
          </w:p>
        </w:tc>
      </w:tr>
    </w:tbl>
    <w:p w:rsidR="00C05A1C" w:rsidRDefault="00C05A1C" w:rsidP="00C05A1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VÚPOP</w:t>
      </w:r>
    </w:p>
    <w:p w:rsidR="00C05A1C" w:rsidRPr="00C05A1C" w:rsidRDefault="00C05A1C" w:rsidP="00C05A1C">
      <w:pPr>
        <w:spacing w:after="0" w:line="240" w:lineRule="auto"/>
        <w:jc w:val="right"/>
        <w:rPr>
          <w:rFonts w:ascii="Times New Roman" w:hAnsi="Times New Roman" w:cs="Times New Roman"/>
          <w:sz w:val="20"/>
          <w:szCs w:val="20"/>
        </w:rPr>
      </w:pPr>
    </w:p>
    <w:p w:rsidR="009A4AE5" w:rsidRPr="009A4AE5" w:rsidRDefault="009A4AE5" w:rsidP="009A4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kvalitatívneho hľadiska je dôležité presne určiť ich produkčný potenciál a kvalitu. </w:t>
      </w:r>
      <w:r w:rsidRPr="009A4AE5">
        <w:rPr>
          <w:rFonts w:ascii="Times New Roman" w:hAnsi="Times New Roman" w:cs="Times New Roman"/>
          <w:sz w:val="24"/>
          <w:szCs w:val="24"/>
        </w:rPr>
        <w:t xml:space="preserve">Produkčný potenciál pôd SR sa hodnotí bodovými hodnotami relatívnej bonity, od 1 do 100 bodov, pričom produkčne kvalitnejšie pôdy majú vyššiu bodovú hodnotu. Maximálnym počtom 100 bodov je ohodnotená hlinitá </w:t>
      </w:r>
      <w:proofErr w:type="spellStart"/>
      <w:r w:rsidRPr="009A4AE5">
        <w:rPr>
          <w:rFonts w:ascii="Times New Roman" w:hAnsi="Times New Roman" w:cs="Times New Roman"/>
          <w:sz w:val="24"/>
          <w:szCs w:val="24"/>
        </w:rPr>
        <w:t>čiernica</w:t>
      </w:r>
      <w:proofErr w:type="spellEnd"/>
      <w:r w:rsidRPr="009A4AE5">
        <w:rPr>
          <w:rFonts w:ascii="Times New Roman" w:hAnsi="Times New Roman" w:cs="Times New Roman"/>
          <w:sz w:val="24"/>
          <w:szCs w:val="24"/>
        </w:rPr>
        <w:t xml:space="preserve"> modálna, najmenej bodov (2) majú veľmi plytké pôdy na zrázoch nad 25°. Priemerná bodová hodnota poľnohospodárskych pôd Slovenska je 53,9 </w:t>
      </w:r>
      <w:r>
        <w:rPr>
          <w:rFonts w:ascii="Times New Roman" w:hAnsi="Times New Roman" w:cs="Times New Roman"/>
          <w:sz w:val="24"/>
          <w:szCs w:val="24"/>
        </w:rPr>
        <w:t>bodov. Najvyššiu bodovú hodnotu</w:t>
      </w:r>
      <w:r w:rsidRPr="009A4AE5">
        <w:rPr>
          <w:rFonts w:ascii="Times New Roman" w:hAnsi="Times New Roman" w:cs="Times New Roman"/>
          <w:sz w:val="24"/>
          <w:szCs w:val="24"/>
        </w:rPr>
        <w:t xml:space="preserve"> má kraj Trnavský (76,9 bodov), nasledujú kraje Nitriansky (75,5) Bratislavský (72,4), Košický (54,2), Trenčiansky (45,7), Banskobystrický (43,2), Prešovský (36,3) a Žilinský (29,9). </w:t>
      </w:r>
    </w:p>
    <w:p w:rsidR="009A4AE5" w:rsidRDefault="009A4AE5" w:rsidP="001E1D98">
      <w:pPr>
        <w:spacing w:after="0" w:line="240" w:lineRule="auto"/>
        <w:jc w:val="both"/>
        <w:rPr>
          <w:rFonts w:ascii="Times New Roman" w:hAnsi="Times New Roman" w:cs="Times New Roman"/>
          <w:sz w:val="24"/>
          <w:szCs w:val="24"/>
        </w:rPr>
      </w:pPr>
    </w:p>
    <w:p w:rsidR="001E1D98" w:rsidRPr="001E1D98" w:rsidRDefault="001E1D98" w:rsidP="001E1D98">
      <w:pPr>
        <w:spacing w:after="0" w:line="240" w:lineRule="auto"/>
        <w:jc w:val="both"/>
        <w:rPr>
          <w:rFonts w:ascii="Times New Roman" w:hAnsi="Times New Roman" w:cs="Times New Roman"/>
          <w:sz w:val="24"/>
          <w:szCs w:val="24"/>
        </w:rPr>
      </w:pPr>
      <w:r w:rsidRPr="001E1D98">
        <w:rPr>
          <w:rFonts w:ascii="Times New Roman" w:hAnsi="Times New Roman" w:cs="Times New Roman"/>
          <w:sz w:val="24"/>
          <w:szCs w:val="24"/>
        </w:rPr>
        <w:lastRenderedPageBreak/>
        <w:t xml:space="preserve">Kvalita poľnohospodárskych pôd sa hodnotí podľa 9 stupňov (tried) kvality. </w:t>
      </w:r>
      <w:r w:rsidR="00727C68" w:rsidRPr="00727C68">
        <w:rPr>
          <w:rFonts w:ascii="Times New Roman" w:hAnsi="Times New Roman" w:cs="Times New Roman"/>
          <w:sz w:val="24"/>
          <w:szCs w:val="24"/>
        </w:rPr>
        <w:t>Najúrodnejšie poľnohospodárske pôdy pred záberom na nepoľnohospodárske účely</w:t>
      </w:r>
      <w:r w:rsidR="00727C68">
        <w:rPr>
          <w:rFonts w:ascii="Times New Roman" w:hAnsi="Times New Roman" w:cs="Times New Roman"/>
          <w:sz w:val="24"/>
          <w:szCs w:val="24"/>
        </w:rPr>
        <w:t xml:space="preserve"> chráni zákon č. 220/2004 Z. z.</w:t>
      </w:r>
      <w:r w:rsidR="00727C68" w:rsidRPr="00727C68">
        <w:rPr>
          <w:rFonts w:ascii="Times New Roman" w:hAnsi="Times New Roman" w:cs="Times New Roman"/>
          <w:sz w:val="24"/>
          <w:szCs w:val="24"/>
        </w:rPr>
        <w:t xml:space="preserve"> </w:t>
      </w:r>
      <w:r w:rsidR="00727C68" w:rsidRPr="00D87694">
        <w:rPr>
          <w:rFonts w:ascii="Times New Roman" w:hAnsi="Times New Roman" w:cs="Times New Roman"/>
          <w:sz w:val="24"/>
          <w:szCs w:val="24"/>
          <w:highlight w:val="yellow"/>
        </w:rPr>
        <w:t xml:space="preserve">a jeho novela zákon č. 57/2013. V zmysle uvedených zákonov treba pôdu chrániť pred neodôvodnenými zábermi a pred degradačnými činiteľmi ako je: erózia, zhutnenie, </w:t>
      </w:r>
      <w:proofErr w:type="spellStart"/>
      <w:r w:rsidR="00727C68" w:rsidRPr="00D87694">
        <w:rPr>
          <w:rFonts w:ascii="Times New Roman" w:hAnsi="Times New Roman" w:cs="Times New Roman"/>
          <w:sz w:val="24"/>
          <w:szCs w:val="24"/>
          <w:highlight w:val="yellow"/>
        </w:rPr>
        <w:t>acidifikácia</w:t>
      </w:r>
      <w:proofErr w:type="spellEnd"/>
      <w:r w:rsidR="00727C68" w:rsidRPr="00D87694">
        <w:rPr>
          <w:rFonts w:ascii="Times New Roman" w:hAnsi="Times New Roman" w:cs="Times New Roman"/>
          <w:sz w:val="24"/>
          <w:szCs w:val="24"/>
          <w:highlight w:val="yellow"/>
        </w:rPr>
        <w:t>, kontaminácia a zasolenie</w:t>
      </w:r>
      <w:r w:rsidR="00727C68" w:rsidRPr="00727C68">
        <w:rPr>
          <w:rFonts w:ascii="Times New Roman" w:hAnsi="Times New Roman" w:cs="Times New Roman"/>
          <w:sz w:val="24"/>
          <w:szCs w:val="24"/>
        </w:rPr>
        <w:t>.</w:t>
      </w:r>
      <w:r w:rsidRPr="001E1D98">
        <w:rPr>
          <w:rFonts w:ascii="Times New Roman" w:hAnsi="Times New Roman" w:cs="Times New Roman"/>
          <w:sz w:val="24"/>
          <w:szCs w:val="24"/>
        </w:rPr>
        <w:t xml:space="preserve"> Podľa kategorizácie poľnohospodárskych pôd do príslušných stupňov kvality je ich zastúpenie nasledovné:</w:t>
      </w:r>
    </w:p>
    <w:p w:rsidR="001E1D98" w:rsidRPr="001E1D98" w:rsidRDefault="001E1D98" w:rsidP="001E1D98">
      <w:pPr>
        <w:spacing w:after="0" w:line="240" w:lineRule="auto"/>
        <w:jc w:val="both"/>
        <w:rPr>
          <w:rFonts w:ascii="Times New Roman" w:hAnsi="Times New Roman" w:cs="Times New Roman"/>
          <w:sz w:val="24"/>
          <w:szCs w:val="24"/>
        </w:rPr>
      </w:pPr>
    </w:p>
    <w:p w:rsidR="001E1D98" w:rsidRPr="001E1D98" w:rsidRDefault="001E1D98" w:rsidP="001E1D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w:t>
      </w:r>
      <w:r w:rsidRPr="001E1D98">
        <w:rPr>
          <w:rFonts w:ascii="Times New Roman" w:hAnsi="Times New Roman" w:cs="Times New Roman"/>
          <w:sz w:val="20"/>
          <w:szCs w:val="20"/>
        </w:rPr>
        <w:t>.</w:t>
      </w:r>
      <w:r>
        <w:rPr>
          <w:rFonts w:ascii="Times New Roman" w:hAnsi="Times New Roman" w:cs="Times New Roman"/>
          <w:sz w:val="20"/>
          <w:szCs w:val="20"/>
        </w:rPr>
        <w:t>2:</w:t>
      </w:r>
      <w:r w:rsidRPr="001E1D98">
        <w:rPr>
          <w:rFonts w:ascii="Times New Roman" w:hAnsi="Times New Roman" w:cs="Times New Roman"/>
          <w:sz w:val="20"/>
          <w:szCs w:val="20"/>
        </w:rPr>
        <w:t xml:space="preserve"> Zastúpenie poľnohospodárskych pôd podľa stupňov kvality v %</w:t>
      </w:r>
    </w:p>
    <w:tbl>
      <w:tblPr>
        <w:tblW w:w="0" w:type="auto"/>
        <w:tblInd w:w="108" w:type="dxa"/>
        <w:tblLook w:val="00A0" w:firstRow="1" w:lastRow="0" w:firstColumn="1" w:lastColumn="0" w:noHBand="0" w:noVBand="0"/>
      </w:tblPr>
      <w:tblGrid>
        <w:gridCol w:w="1004"/>
        <w:gridCol w:w="1004"/>
        <w:gridCol w:w="1005"/>
        <w:gridCol w:w="1004"/>
        <w:gridCol w:w="1004"/>
        <w:gridCol w:w="1005"/>
        <w:gridCol w:w="1004"/>
        <w:gridCol w:w="1004"/>
        <w:gridCol w:w="1005"/>
      </w:tblGrid>
      <w:tr w:rsidR="001E1D98" w:rsidRPr="001E1D98" w:rsidTr="001E1D98">
        <w:tc>
          <w:tcPr>
            <w:tcW w:w="9039" w:type="dxa"/>
            <w:gridSpan w:val="9"/>
            <w:tcBorders>
              <w:top w:val="single" w:sz="4" w:space="0" w:color="auto"/>
              <w:bottom w:val="single" w:sz="4" w:space="0" w:color="auto"/>
            </w:tcBorders>
            <w:shd w:val="clear" w:color="auto" w:fill="D9D9D9" w:themeFill="background1" w:themeFillShade="D9"/>
          </w:tcPr>
          <w:p w:rsidR="001E1D98" w:rsidRPr="001E1D98" w:rsidRDefault="001E1D98" w:rsidP="001E1D98">
            <w:pPr>
              <w:spacing w:after="0" w:line="240" w:lineRule="auto"/>
              <w:rPr>
                <w:rFonts w:ascii="Times New Roman" w:hAnsi="Times New Roman" w:cs="Times New Roman"/>
                <w:b/>
                <w:sz w:val="20"/>
                <w:szCs w:val="20"/>
              </w:rPr>
            </w:pPr>
            <w:r w:rsidRPr="001E1D98">
              <w:rPr>
                <w:rFonts w:ascii="Times New Roman" w:hAnsi="Times New Roman" w:cs="Times New Roman"/>
                <w:b/>
                <w:sz w:val="20"/>
                <w:szCs w:val="20"/>
              </w:rPr>
              <w:t>Stupeň kvality</w:t>
            </w:r>
          </w:p>
        </w:tc>
      </w:tr>
      <w:tr w:rsidR="001E1D98" w:rsidRPr="001E1D98" w:rsidTr="001E1D98">
        <w:tc>
          <w:tcPr>
            <w:tcW w:w="1004" w:type="dxa"/>
            <w:tcBorders>
              <w:top w:val="single" w:sz="4" w:space="0" w:color="auto"/>
            </w:tcBorders>
          </w:tcPr>
          <w:p w:rsidR="001E1D98" w:rsidRPr="001E1D98" w:rsidRDefault="001E1D98" w:rsidP="001E1D98">
            <w:pPr>
              <w:spacing w:after="0" w:line="240" w:lineRule="auto"/>
              <w:jc w:val="center"/>
              <w:rPr>
                <w:rFonts w:ascii="Times New Roman" w:hAnsi="Times New Roman" w:cs="Times New Roman"/>
                <w:sz w:val="20"/>
                <w:szCs w:val="20"/>
              </w:rPr>
            </w:pPr>
            <w:r w:rsidRPr="001E1D98">
              <w:rPr>
                <w:rFonts w:ascii="Times New Roman" w:hAnsi="Times New Roman" w:cs="Times New Roman"/>
                <w:sz w:val="20"/>
                <w:szCs w:val="20"/>
              </w:rPr>
              <w:t>1</w:t>
            </w:r>
          </w:p>
        </w:tc>
        <w:tc>
          <w:tcPr>
            <w:tcW w:w="1004" w:type="dxa"/>
            <w:tcBorders>
              <w:top w:val="single" w:sz="4" w:space="0" w:color="auto"/>
            </w:tcBorders>
          </w:tcPr>
          <w:p w:rsidR="001E1D98" w:rsidRPr="001E1D98" w:rsidRDefault="001E1D98" w:rsidP="001E1D98">
            <w:pPr>
              <w:spacing w:after="0" w:line="240" w:lineRule="auto"/>
              <w:jc w:val="center"/>
              <w:rPr>
                <w:rFonts w:ascii="Times New Roman" w:hAnsi="Times New Roman" w:cs="Times New Roman"/>
                <w:sz w:val="20"/>
                <w:szCs w:val="20"/>
              </w:rPr>
            </w:pPr>
            <w:r w:rsidRPr="001E1D98">
              <w:rPr>
                <w:rFonts w:ascii="Times New Roman" w:hAnsi="Times New Roman" w:cs="Times New Roman"/>
                <w:sz w:val="20"/>
                <w:szCs w:val="20"/>
              </w:rPr>
              <w:t>2</w:t>
            </w:r>
          </w:p>
        </w:tc>
        <w:tc>
          <w:tcPr>
            <w:tcW w:w="1005" w:type="dxa"/>
            <w:tcBorders>
              <w:top w:val="single" w:sz="4" w:space="0" w:color="auto"/>
            </w:tcBorders>
          </w:tcPr>
          <w:p w:rsidR="001E1D98" w:rsidRPr="001E1D98" w:rsidRDefault="001E1D98" w:rsidP="001E1D98">
            <w:pPr>
              <w:spacing w:after="0" w:line="240" w:lineRule="auto"/>
              <w:jc w:val="center"/>
              <w:rPr>
                <w:rFonts w:ascii="Times New Roman" w:hAnsi="Times New Roman" w:cs="Times New Roman"/>
                <w:sz w:val="20"/>
                <w:szCs w:val="20"/>
              </w:rPr>
            </w:pPr>
            <w:r w:rsidRPr="001E1D98">
              <w:rPr>
                <w:rFonts w:ascii="Times New Roman" w:hAnsi="Times New Roman" w:cs="Times New Roman"/>
                <w:sz w:val="20"/>
                <w:szCs w:val="20"/>
              </w:rPr>
              <w:t>3</w:t>
            </w:r>
          </w:p>
        </w:tc>
        <w:tc>
          <w:tcPr>
            <w:tcW w:w="1004" w:type="dxa"/>
            <w:tcBorders>
              <w:top w:val="single" w:sz="4" w:space="0" w:color="auto"/>
            </w:tcBorders>
          </w:tcPr>
          <w:p w:rsidR="001E1D98" w:rsidRPr="001E1D98" w:rsidRDefault="001E1D98" w:rsidP="001E1D98">
            <w:pPr>
              <w:spacing w:after="0" w:line="240" w:lineRule="auto"/>
              <w:jc w:val="center"/>
              <w:rPr>
                <w:rFonts w:ascii="Times New Roman" w:hAnsi="Times New Roman" w:cs="Times New Roman"/>
                <w:sz w:val="20"/>
                <w:szCs w:val="20"/>
              </w:rPr>
            </w:pPr>
            <w:r w:rsidRPr="001E1D98">
              <w:rPr>
                <w:rFonts w:ascii="Times New Roman" w:hAnsi="Times New Roman" w:cs="Times New Roman"/>
                <w:sz w:val="20"/>
                <w:szCs w:val="20"/>
              </w:rPr>
              <w:t>4</w:t>
            </w:r>
          </w:p>
        </w:tc>
        <w:tc>
          <w:tcPr>
            <w:tcW w:w="1004" w:type="dxa"/>
            <w:tcBorders>
              <w:top w:val="single" w:sz="4" w:space="0" w:color="auto"/>
            </w:tcBorders>
          </w:tcPr>
          <w:p w:rsidR="001E1D98" w:rsidRPr="001E1D98" w:rsidRDefault="001E1D98" w:rsidP="001E1D98">
            <w:pPr>
              <w:spacing w:after="0" w:line="240" w:lineRule="auto"/>
              <w:jc w:val="center"/>
              <w:rPr>
                <w:rFonts w:ascii="Times New Roman" w:hAnsi="Times New Roman" w:cs="Times New Roman"/>
                <w:sz w:val="20"/>
                <w:szCs w:val="20"/>
              </w:rPr>
            </w:pPr>
            <w:r w:rsidRPr="001E1D98">
              <w:rPr>
                <w:rFonts w:ascii="Times New Roman" w:hAnsi="Times New Roman" w:cs="Times New Roman"/>
                <w:sz w:val="20"/>
                <w:szCs w:val="20"/>
              </w:rPr>
              <w:t>5</w:t>
            </w:r>
          </w:p>
        </w:tc>
        <w:tc>
          <w:tcPr>
            <w:tcW w:w="1005" w:type="dxa"/>
            <w:tcBorders>
              <w:top w:val="single" w:sz="4" w:space="0" w:color="auto"/>
            </w:tcBorders>
          </w:tcPr>
          <w:p w:rsidR="001E1D98" w:rsidRPr="001E1D98" w:rsidRDefault="001E1D98" w:rsidP="001E1D98">
            <w:pPr>
              <w:spacing w:after="0" w:line="240" w:lineRule="auto"/>
              <w:jc w:val="center"/>
              <w:rPr>
                <w:rFonts w:ascii="Times New Roman" w:hAnsi="Times New Roman" w:cs="Times New Roman"/>
                <w:sz w:val="20"/>
                <w:szCs w:val="20"/>
              </w:rPr>
            </w:pPr>
            <w:r w:rsidRPr="001E1D98">
              <w:rPr>
                <w:rFonts w:ascii="Times New Roman" w:hAnsi="Times New Roman" w:cs="Times New Roman"/>
                <w:sz w:val="20"/>
                <w:szCs w:val="20"/>
              </w:rPr>
              <w:t>6</w:t>
            </w:r>
          </w:p>
        </w:tc>
        <w:tc>
          <w:tcPr>
            <w:tcW w:w="1004" w:type="dxa"/>
            <w:tcBorders>
              <w:top w:val="single" w:sz="4" w:space="0" w:color="auto"/>
            </w:tcBorders>
          </w:tcPr>
          <w:p w:rsidR="001E1D98" w:rsidRPr="001E1D98" w:rsidRDefault="001E1D98" w:rsidP="001E1D98">
            <w:pPr>
              <w:spacing w:after="0" w:line="240" w:lineRule="auto"/>
              <w:jc w:val="center"/>
              <w:rPr>
                <w:rFonts w:ascii="Times New Roman" w:hAnsi="Times New Roman" w:cs="Times New Roman"/>
                <w:sz w:val="20"/>
                <w:szCs w:val="20"/>
              </w:rPr>
            </w:pPr>
            <w:r w:rsidRPr="001E1D98">
              <w:rPr>
                <w:rFonts w:ascii="Times New Roman" w:hAnsi="Times New Roman" w:cs="Times New Roman"/>
                <w:sz w:val="20"/>
                <w:szCs w:val="20"/>
              </w:rPr>
              <w:t>7</w:t>
            </w:r>
          </w:p>
        </w:tc>
        <w:tc>
          <w:tcPr>
            <w:tcW w:w="1004" w:type="dxa"/>
            <w:tcBorders>
              <w:top w:val="single" w:sz="4" w:space="0" w:color="auto"/>
            </w:tcBorders>
          </w:tcPr>
          <w:p w:rsidR="001E1D98" w:rsidRPr="001E1D98" w:rsidRDefault="001E1D98" w:rsidP="001E1D98">
            <w:pPr>
              <w:spacing w:after="0" w:line="240" w:lineRule="auto"/>
              <w:jc w:val="center"/>
              <w:rPr>
                <w:rFonts w:ascii="Times New Roman" w:hAnsi="Times New Roman" w:cs="Times New Roman"/>
                <w:sz w:val="20"/>
                <w:szCs w:val="20"/>
              </w:rPr>
            </w:pPr>
            <w:r w:rsidRPr="001E1D98">
              <w:rPr>
                <w:rFonts w:ascii="Times New Roman" w:hAnsi="Times New Roman" w:cs="Times New Roman"/>
                <w:sz w:val="20"/>
                <w:szCs w:val="20"/>
              </w:rPr>
              <w:t>8</w:t>
            </w:r>
          </w:p>
        </w:tc>
        <w:tc>
          <w:tcPr>
            <w:tcW w:w="1005" w:type="dxa"/>
            <w:tcBorders>
              <w:top w:val="single" w:sz="4" w:space="0" w:color="auto"/>
            </w:tcBorders>
          </w:tcPr>
          <w:p w:rsidR="001E1D98" w:rsidRPr="001E1D98" w:rsidRDefault="001E1D98" w:rsidP="001E1D98">
            <w:pPr>
              <w:spacing w:after="0" w:line="240" w:lineRule="auto"/>
              <w:jc w:val="center"/>
              <w:rPr>
                <w:rFonts w:ascii="Times New Roman" w:hAnsi="Times New Roman" w:cs="Times New Roman"/>
                <w:sz w:val="20"/>
                <w:szCs w:val="20"/>
              </w:rPr>
            </w:pPr>
            <w:r w:rsidRPr="001E1D98">
              <w:rPr>
                <w:rFonts w:ascii="Times New Roman" w:hAnsi="Times New Roman" w:cs="Times New Roman"/>
                <w:sz w:val="20"/>
                <w:szCs w:val="20"/>
              </w:rPr>
              <w:t>9</w:t>
            </w:r>
          </w:p>
        </w:tc>
      </w:tr>
      <w:tr w:rsidR="001E1D98" w:rsidRPr="001E1D98" w:rsidTr="001E1D98">
        <w:tc>
          <w:tcPr>
            <w:tcW w:w="1004" w:type="dxa"/>
            <w:tcBorders>
              <w:bottom w:val="single" w:sz="4" w:space="0" w:color="auto"/>
            </w:tcBorders>
            <w:shd w:val="clear" w:color="auto" w:fill="F2F2F2" w:themeFill="background1" w:themeFillShade="F2"/>
          </w:tcPr>
          <w:p w:rsidR="001E1D98" w:rsidRPr="001E1D98" w:rsidRDefault="001E1D98" w:rsidP="001E1D98">
            <w:pPr>
              <w:spacing w:after="0" w:line="240" w:lineRule="auto"/>
              <w:jc w:val="center"/>
              <w:rPr>
                <w:rFonts w:ascii="Times New Roman" w:hAnsi="Times New Roman" w:cs="Times New Roman"/>
                <w:sz w:val="20"/>
                <w:szCs w:val="20"/>
              </w:rPr>
            </w:pPr>
            <w:r w:rsidRPr="001E1D98">
              <w:rPr>
                <w:rFonts w:ascii="Times New Roman" w:hAnsi="Times New Roman" w:cs="Times New Roman"/>
                <w:sz w:val="20"/>
                <w:szCs w:val="20"/>
              </w:rPr>
              <w:t>3,9</w:t>
            </w:r>
            <w:r>
              <w:rPr>
                <w:rFonts w:ascii="Times New Roman" w:hAnsi="Times New Roman" w:cs="Times New Roman"/>
                <w:sz w:val="20"/>
                <w:szCs w:val="20"/>
              </w:rPr>
              <w:t>%</w:t>
            </w:r>
          </w:p>
        </w:tc>
        <w:tc>
          <w:tcPr>
            <w:tcW w:w="1004" w:type="dxa"/>
            <w:tcBorders>
              <w:bottom w:val="single" w:sz="4" w:space="0" w:color="auto"/>
            </w:tcBorders>
            <w:shd w:val="clear" w:color="auto" w:fill="F2F2F2" w:themeFill="background1" w:themeFillShade="F2"/>
          </w:tcPr>
          <w:p w:rsidR="001E1D98" w:rsidRPr="001E1D98" w:rsidRDefault="001E1D98" w:rsidP="001E1D98">
            <w:pPr>
              <w:spacing w:after="0" w:line="240" w:lineRule="auto"/>
              <w:jc w:val="center"/>
              <w:rPr>
                <w:rFonts w:ascii="Times New Roman" w:hAnsi="Times New Roman" w:cs="Times New Roman"/>
                <w:sz w:val="20"/>
                <w:szCs w:val="20"/>
              </w:rPr>
            </w:pPr>
            <w:r w:rsidRPr="001E1D98">
              <w:rPr>
                <w:rFonts w:ascii="Times New Roman" w:hAnsi="Times New Roman" w:cs="Times New Roman"/>
                <w:sz w:val="20"/>
                <w:szCs w:val="20"/>
              </w:rPr>
              <w:t>8,5</w:t>
            </w:r>
            <w:r>
              <w:rPr>
                <w:rFonts w:ascii="Times New Roman" w:hAnsi="Times New Roman" w:cs="Times New Roman"/>
                <w:sz w:val="20"/>
                <w:szCs w:val="20"/>
              </w:rPr>
              <w:t>%</w:t>
            </w:r>
          </w:p>
        </w:tc>
        <w:tc>
          <w:tcPr>
            <w:tcW w:w="1005" w:type="dxa"/>
            <w:tcBorders>
              <w:bottom w:val="single" w:sz="4" w:space="0" w:color="auto"/>
            </w:tcBorders>
            <w:shd w:val="clear" w:color="auto" w:fill="F2F2F2" w:themeFill="background1" w:themeFillShade="F2"/>
          </w:tcPr>
          <w:p w:rsidR="001E1D98" w:rsidRPr="001E1D98" w:rsidRDefault="001E1D98" w:rsidP="001E1D98">
            <w:pPr>
              <w:spacing w:after="0" w:line="240" w:lineRule="auto"/>
              <w:jc w:val="center"/>
              <w:rPr>
                <w:rFonts w:ascii="Times New Roman" w:hAnsi="Times New Roman" w:cs="Times New Roman"/>
                <w:sz w:val="20"/>
                <w:szCs w:val="20"/>
              </w:rPr>
            </w:pPr>
            <w:r w:rsidRPr="001E1D98">
              <w:rPr>
                <w:rFonts w:ascii="Times New Roman" w:hAnsi="Times New Roman" w:cs="Times New Roman"/>
                <w:sz w:val="20"/>
                <w:szCs w:val="20"/>
              </w:rPr>
              <w:t>5,9</w:t>
            </w:r>
            <w:r>
              <w:rPr>
                <w:rFonts w:ascii="Times New Roman" w:hAnsi="Times New Roman" w:cs="Times New Roman"/>
                <w:sz w:val="20"/>
                <w:szCs w:val="20"/>
              </w:rPr>
              <w:t>%</w:t>
            </w:r>
          </w:p>
        </w:tc>
        <w:tc>
          <w:tcPr>
            <w:tcW w:w="1004" w:type="dxa"/>
            <w:tcBorders>
              <w:bottom w:val="single" w:sz="4" w:space="0" w:color="auto"/>
            </w:tcBorders>
            <w:shd w:val="clear" w:color="auto" w:fill="F2F2F2" w:themeFill="background1" w:themeFillShade="F2"/>
          </w:tcPr>
          <w:p w:rsidR="001E1D98" w:rsidRPr="001E1D98" w:rsidRDefault="001E1D98" w:rsidP="001E1D98">
            <w:pPr>
              <w:spacing w:after="0" w:line="240" w:lineRule="auto"/>
              <w:jc w:val="center"/>
              <w:rPr>
                <w:rFonts w:ascii="Times New Roman" w:hAnsi="Times New Roman" w:cs="Times New Roman"/>
                <w:sz w:val="20"/>
                <w:szCs w:val="20"/>
              </w:rPr>
            </w:pPr>
            <w:r w:rsidRPr="001E1D98">
              <w:rPr>
                <w:rFonts w:ascii="Times New Roman" w:hAnsi="Times New Roman" w:cs="Times New Roman"/>
                <w:sz w:val="20"/>
                <w:szCs w:val="20"/>
              </w:rPr>
              <w:t>2,9</w:t>
            </w:r>
            <w:r>
              <w:rPr>
                <w:rFonts w:ascii="Times New Roman" w:hAnsi="Times New Roman" w:cs="Times New Roman"/>
                <w:sz w:val="20"/>
                <w:szCs w:val="20"/>
              </w:rPr>
              <w:t>%</w:t>
            </w:r>
          </w:p>
        </w:tc>
        <w:tc>
          <w:tcPr>
            <w:tcW w:w="1004" w:type="dxa"/>
            <w:tcBorders>
              <w:bottom w:val="single" w:sz="4" w:space="0" w:color="auto"/>
            </w:tcBorders>
            <w:shd w:val="clear" w:color="auto" w:fill="F2F2F2" w:themeFill="background1" w:themeFillShade="F2"/>
          </w:tcPr>
          <w:p w:rsidR="001E1D98" w:rsidRPr="001E1D98" w:rsidRDefault="001E1D98" w:rsidP="001E1D98">
            <w:pPr>
              <w:spacing w:after="0" w:line="240" w:lineRule="auto"/>
              <w:jc w:val="center"/>
              <w:rPr>
                <w:rFonts w:ascii="Times New Roman" w:hAnsi="Times New Roman" w:cs="Times New Roman"/>
                <w:sz w:val="20"/>
                <w:szCs w:val="20"/>
              </w:rPr>
            </w:pPr>
            <w:r w:rsidRPr="001E1D98">
              <w:rPr>
                <w:rFonts w:ascii="Times New Roman" w:hAnsi="Times New Roman" w:cs="Times New Roman"/>
                <w:sz w:val="20"/>
                <w:szCs w:val="20"/>
              </w:rPr>
              <w:t>12,6</w:t>
            </w:r>
            <w:r>
              <w:rPr>
                <w:rFonts w:ascii="Times New Roman" w:hAnsi="Times New Roman" w:cs="Times New Roman"/>
                <w:sz w:val="20"/>
                <w:szCs w:val="20"/>
              </w:rPr>
              <w:t>%</w:t>
            </w:r>
          </w:p>
        </w:tc>
        <w:tc>
          <w:tcPr>
            <w:tcW w:w="1005" w:type="dxa"/>
            <w:tcBorders>
              <w:bottom w:val="single" w:sz="4" w:space="0" w:color="auto"/>
            </w:tcBorders>
            <w:shd w:val="clear" w:color="auto" w:fill="F2F2F2" w:themeFill="background1" w:themeFillShade="F2"/>
          </w:tcPr>
          <w:p w:rsidR="001E1D98" w:rsidRPr="001E1D98" w:rsidRDefault="001E1D98" w:rsidP="001E1D98">
            <w:pPr>
              <w:spacing w:after="0" w:line="240" w:lineRule="auto"/>
              <w:jc w:val="center"/>
              <w:rPr>
                <w:rFonts w:ascii="Times New Roman" w:hAnsi="Times New Roman" w:cs="Times New Roman"/>
                <w:sz w:val="20"/>
                <w:szCs w:val="20"/>
              </w:rPr>
            </w:pPr>
            <w:r w:rsidRPr="001E1D98">
              <w:rPr>
                <w:rFonts w:ascii="Times New Roman" w:hAnsi="Times New Roman" w:cs="Times New Roman"/>
                <w:sz w:val="20"/>
                <w:szCs w:val="20"/>
              </w:rPr>
              <w:t>21,8</w:t>
            </w:r>
            <w:r>
              <w:rPr>
                <w:rFonts w:ascii="Times New Roman" w:hAnsi="Times New Roman" w:cs="Times New Roman"/>
                <w:sz w:val="20"/>
                <w:szCs w:val="20"/>
              </w:rPr>
              <w:t>%</w:t>
            </w:r>
          </w:p>
        </w:tc>
        <w:tc>
          <w:tcPr>
            <w:tcW w:w="1004" w:type="dxa"/>
            <w:tcBorders>
              <w:bottom w:val="single" w:sz="4" w:space="0" w:color="auto"/>
            </w:tcBorders>
            <w:shd w:val="clear" w:color="auto" w:fill="F2F2F2" w:themeFill="background1" w:themeFillShade="F2"/>
          </w:tcPr>
          <w:p w:rsidR="001E1D98" w:rsidRPr="001E1D98" w:rsidRDefault="001E1D98" w:rsidP="001E1D98">
            <w:pPr>
              <w:spacing w:after="0" w:line="240" w:lineRule="auto"/>
              <w:jc w:val="center"/>
              <w:rPr>
                <w:rFonts w:ascii="Times New Roman" w:hAnsi="Times New Roman" w:cs="Times New Roman"/>
                <w:sz w:val="20"/>
                <w:szCs w:val="20"/>
              </w:rPr>
            </w:pPr>
            <w:r w:rsidRPr="001E1D98">
              <w:rPr>
                <w:rFonts w:ascii="Times New Roman" w:hAnsi="Times New Roman" w:cs="Times New Roman"/>
                <w:sz w:val="20"/>
                <w:szCs w:val="20"/>
              </w:rPr>
              <w:t>15,2</w:t>
            </w:r>
            <w:r>
              <w:rPr>
                <w:rFonts w:ascii="Times New Roman" w:hAnsi="Times New Roman" w:cs="Times New Roman"/>
                <w:sz w:val="20"/>
                <w:szCs w:val="20"/>
              </w:rPr>
              <w:t>%</w:t>
            </w:r>
          </w:p>
        </w:tc>
        <w:tc>
          <w:tcPr>
            <w:tcW w:w="1004" w:type="dxa"/>
            <w:tcBorders>
              <w:bottom w:val="single" w:sz="4" w:space="0" w:color="auto"/>
            </w:tcBorders>
            <w:shd w:val="clear" w:color="auto" w:fill="F2F2F2" w:themeFill="background1" w:themeFillShade="F2"/>
          </w:tcPr>
          <w:p w:rsidR="001E1D98" w:rsidRPr="001E1D98" w:rsidRDefault="001E1D98" w:rsidP="001E1D98">
            <w:pPr>
              <w:spacing w:after="0" w:line="240" w:lineRule="auto"/>
              <w:jc w:val="center"/>
              <w:rPr>
                <w:rFonts w:ascii="Times New Roman" w:hAnsi="Times New Roman" w:cs="Times New Roman"/>
                <w:sz w:val="20"/>
                <w:szCs w:val="20"/>
              </w:rPr>
            </w:pPr>
            <w:r w:rsidRPr="001E1D98">
              <w:rPr>
                <w:rFonts w:ascii="Times New Roman" w:hAnsi="Times New Roman" w:cs="Times New Roman"/>
                <w:sz w:val="20"/>
                <w:szCs w:val="20"/>
              </w:rPr>
              <w:t>8,8</w:t>
            </w:r>
            <w:r>
              <w:rPr>
                <w:rFonts w:ascii="Times New Roman" w:hAnsi="Times New Roman" w:cs="Times New Roman"/>
                <w:sz w:val="20"/>
                <w:szCs w:val="20"/>
              </w:rPr>
              <w:t>%</w:t>
            </w:r>
          </w:p>
        </w:tc>
        <w:tc>
          <w:tcPr>
            <w:tcW w:w="1005" w:type="dxa"/>
            <w:tcBorders>
              <w:bottom w:val="single" w:sz="4" w:space="0" w:color="auto"/>
            </w:tcBorders>
            <w:shd w:val="clear" w:color="auto" w:fill="F2F2F2" w:themeFill="background1" w:themeFillShade="F2"/>
          </w:tcPr>
          <w:p w:rsidR="001E1D98" w:rsidRPr="001E1D98" w:rsidRDefault="001E1D98" w:rsidP="001E1D98">
            <w:pPr>
              <w:spacing w:after="0" w:line="240" w:lineRule="auto"/>
              <w:jc w:val="center"/>
              <w:rPr>
                <w:rFonts w:ascii="Times New Roman" w:hAnsi="Times New Roman" w:cs="Times New Roman"/>
                <w:sz w:val="20"/>
                <w:szCs w:val="20"/>
              </w:rPr>
            </w:pPr>
            <w:r w:rsidRPr="001E1D98">
              <w:rPr>
                <w:rFonts w:ascii="Times New Roman" w:hAnsi="Times New Roman" w:cs="Times New Roman"/>
                <w:sz w:val="20"/>
                <w:szCs w:val="20"/>
              </w:rPr>
              <w:t>20,4</w:t>
            </w:r>
            <w:r>
              <w:rPr>
                <w:rFonts w:ascii="Times New Roman" w:hAnsi="Times New Roman" w:cs="Times New Roman"/>
                <w:sz w:val="20"/>
                <w:szCs w:val="20"/>
              </w:rPr>
              <w:t>%</w:t>
            </w:r>
          </w:p>
        </w:tc>
      </w:tr>
    </w:tbl>
    <w:p w:rsidR="001E1D98" w:rsidRDefault="001E1D98" w:rsidP="001E1D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VÚPOP</w:t>
      </w:r>
    </w:p>
    <w:p w:rsidR="001E1D98" w:rsidRPr="001E1D98" w:rsidRDefault="001E1D98" w:rsidP="001E1D98">
      <w:pPr>
        <w:spacing w:after="0" w:line="240" w:lineRule="auto"/>
        <w:jc w:val="both"/>
        <w:rPr>
          <w:rFonts w:ascii="Times New Roman" w:hAnsi="Times New Roman" w:cs="Times New Roman"/>
          <w:sz w:val="20"/>
          <w:szCs w:val="20"/>
        </w:rPr>
      </w:pPr>
    </w:p>
    <w:p w:rsidR="006D0C40" w:rsidRDefault="001E1D98" w:rsidP="001E1D98">
      <w:pPr>
        <w:spacing w:after="0" w:line="240" w:lineRule="auto"/>
        <w:jc w:val="both"/>
        <w:rPr>
          <w:rFonts w:ascii="Times New Roman" w:hAnsi="Times New Roman" w:cs="Times New Roman"/>
          <w:sz w:val="24"/>
          <w:szCs w:val="24"/>
        </w:rPr>
      </w:pPr>
      <w:r w:rsidRPr="001E1D98">
        <w:rPr>
          <w:rFonts w:ascii="Times New Roman" w:hAnsi="Times New Roman" w:cs="Times New Roman"/>
          <w:sz w:val="24"/>
          <w:szCs w:val="24"/>
        </w:rPr>
        <w:t xml:space="preserve">Porovnanie úrovne produkčného potenciálu poľnohospodárskych pôd s inými štátmi Európy vyznieva pre Slovensko vcelku priaznivo. Približne rovnaký potenciál pôd ako má Slovensko je v Českej republike, Chorvátsku, Maďarsku. Mierne nižší je produkčný potenciál napr. v Bulharsku (asi o 17 %), či Poľsku (asi o 18 %). Podstatne nižší je Portugalsku (o 77 %), Španielsku (68 %) i Litve (43 %). Na druhej strane Holandsko má oproti Slovensku produkčný potenciál vyšší o 102 %, Anglicko o 75 %, Belgicko, Dánsko i Nemecko </w:t>
      </w:r>
      <w:r w:rsidR="00AA2FAA">
        <w:rPr>
          <w:rFonts w:ascii="Times New Roman" w:hAnsi="Times New Roman" w:cs="Times New Roman"/>
          <w:sz w:val="24"/>
          <w:szCs w:val="24"/>
        </w:rPr>
        <w:t>asi o 60</w:t>
      </w:r>
      <w:r w:rsidR="00990228">
        <w:rPr>
          <w:rFonts w:ascii="Times New Roman" w:hAnsi="Times New Roman" w:cs="Times New Roman"/>
          <w:sz w:val="24"/>
          <w:szCs w:val="24"/>
        </w:rPr>
        <w:t xml:space="preserve">% a Francúzsko o 48 %. </w:t>
      </w:r>
      <w:r w:rsidRPr="001E1D98">
        <w:rPr>
          <w:rFonts w:ascii="Times New Roman" w:hAnsi="Times New Roman" w:cs="Times New Roman"/>
          <w:sz w:val="24"/>
          <w:szCs w:val="24"/>
        </w:rPr>
        <w:t>Slovenská republika má vzhľadom na existujúci stav v počte obyvateľov zatiaľ dost</w:t>
      </w:r>
      <w:r w:rsidR="00990228">
        <w:rPr>
          <w:rFonts w:ascii="Times New Roman" w:hAnsi="Times New Roman" w:cs="Times New Roman"/>
          <w:sz w:val="24"/>
          <w:szCs w:val="24"/>
        </w:rPr>
        <w:t>atok pôd na zabezpečenie potravinovej</w:t>
      </w:r>
      <w:r w:rsidR="003748EC">
        <w:rPr>
          <w:rFonts w:ascii="Times New Roman" w:hAnsi="Times New Roman" w:cs="Times New Roman"/>
          <w:sz w:val="24"/>
          <w:szCs w:val="24"/>
        </w:rPr>
        <w:t xml:space="preserve"> </w:t>
      </w:r>
      <w:r w:rsidR="00990228">
        <w:rPr>
          <w:rFonts w:ascii="Times New Roman" w:hAnsi="Times New Roman" w:cs="Times New Roman"/>
          <w:sz w:val="24"/>
          <w:szCs w:val="24"/>
        </w:rPr>
        <w:t>bezpečnosti</w:t>
      </w:r>
      <w:r w:rsidRPr="001E1D98">
        <w:rPr>
          <w:rFonts w:ascii="Times New Roman" w:hAnsi="Times New Roman" w:cs="Times New Roman"/>
          <w:sz w:val="24"/>
          <w:szCs w:val="24"/>
        </w:rPr>
        <w:t xml:space="preserve"> z vlastných zdrojov. Na Slovensku v súčasnosti pripadá na jedného obyvateľa 0,44 ha poľnohospodárskych a 0,26 ha orných pôd. Vo svete je tento pomer 0,80, resp. 0,27 ha. </w:t>
      </w:r>
    </w:p>
    <w:p w:rsidR="006D0C40" w:rsidRDefault="006D0C40" w:rsidP="001E1D98">
      <w:pPr>
        <w:spacing w:after="0" w:line="240" w:lineRule="auto"/>
        <w:jc w:val="both"/>
        <w:rPr>
          <w:rFonts w:ascii="Times New Roman" w:hAnsi="Times New Roman" w:cs="Times New Roman"/>
          <w:sz w:val="24"/>
          <w:szCs w:val="24"/>
        </w:rPr>
      </w:pPr>
    </w:p>
    <w:p w:rsidR="001E1D98" w:rsidRDefault="001E1D98" w:rsidP="001E1D98">
      <w:pPr>
        <w:spacing w:after="0" w:line="240" w:lineRule="auto"/>
        <w:jc w:val="both"/>
        <w:rPr>
          <w:rFonts w:ascii="Times New Roman" w:hAnsi="Times New Roman" w:cs="Times New Roman"/>
          <w:sz w:val="24"/>
          <w:szCs w:val="24"/>
        </w:rPr>
      </w:pPr>
      <w:r w:rsidRPr="001E1D98">
        <w:rPr>
          <w:rFonts w:ascii="Times New Roman" w:hAnsi="Times New Roman" w:cs="Times New Roman"/>
          <w:sz w:val="24"/>
          <w:szCs w:val="24"/>
        </w:rPr>
        <w:t>Súčasný produkčný potenciál našich pôd postačuje na krytie potravinovej dostatočnosti asi pre 6,2 mil. obyvateľov.</w:t>
      </w:r>
      <w:r w:rsidR="003748EC">
        <w:rPr>
          <w:rFonts w:ascii="Times New Roman" w:hAnsi="Times New Roman" w:cs="Times New Roman"/>
          <w:sz w:val="24"/>
          <w:szCs w:val="24"/>
        </w:rPr>
        <w:t xml:space="preserve"> </w:t>
      </w:r>
      <w:r w:rsidRPr="001E1D98">
        <w:rPr>
          <w:rFonts w:ascii="Times New Roman" w:hAnsi="Times New Roman" w:cs="Times New Roman"/>
          <w:sz w:val="24"/>
          <w:szCs w:val="24"/>
        </w:rPr>
        <w:t>K</w:t>
      </w:r>
      <w:r w:rsidR="007E08FC">
        <w:rPr>
          <w:rFonts w:ascii="Times New Roman" w:hAnsi="Times New Roman" w:cs="Times New Roman"/>
          <w:sz w:val="24"/>
          <w:szCs w:val="24"/>
        </w:rPr>
        <w:t> zachovaniu potenciálu produkčnej výkonnosti na úrovni cielených hodnôt parametrov základných trhových ukazovateľov z hľadiska cieľov a zámerov koncepcie</w:t>
      </w:r>
      <w:r w:rsidRPr="001E1D98">
        <w:rPr>
          <w:rFonts w:ascii="Times New Roman" w:hAnsi="Times New Roman" w:cs="Times New Roman"/>
          <w:sz w:val="24"/>
          <w:szCs w:val="24"/>
        </w:rPr>
        <w:t xml:space="preserve"> musíme disponovať minimálne výmerou 1 367 853 ha, čo predstavuje asi </w:t>
      </w:r>
      <w:r>
        <w:rPr>
          <w:rFonts w:ascii="Times New Roman" w:hAnsi="Times New Roman" w:cs="Times New Roman"/>
          <w:sz w:val="24"/>
          <w:szCs w:val="24"/>
        </w:rPr>
        <w:t xml:space="preserve">56,7 % v súčasnosti evidovaných </w:t>
      </w:r>
      <w:r w:rsidRPr="001E1D98">
        <w:rPr>
          <w:rFonts w:ascii="Times New Roman" w:hAnsi="Times New Roman" w:cs="Times New Roman"/>
          <w:sz w:val="24"/>
          <w:szCs w:val="24"/>
        </w:rPr>
        <w:t xml:space="preserve">poľnohospodárskych pôd Slovenska. </w:t>
      </w:r>
      <w:r w:rsidR="007167B4">
        <w:rPr>
          <w:rFonts w:ascii="Times New Roman" w:hAnsi="Times New Roman" w:cs="Times New Roman"/>
          <w:sz w:val="24"/>
          <w:szCs w:val="24"/>
        </w:rPr>
        <w:t>Navyše je potrebné efektívne regulovať výmery energetických plodín a uprednostňovať ekologické funkcie pôd pre výrobnými.</w:t>
      </w:r>
      <w:r w:rsidR="00630E06">
        <w:rPr>
          <w:rFonts w:ascii="Times New Roman" w:hAnsi="Times New Roman" w:cs="Times New Roman"/>
          <w:sz w:val="24"/>
          <w:szCs w:val="24"/>
        </w:rPr>
        <w:t xml:space="preserve"> Dôležitým nástrojom optimalizácie produkčnej výkonnosti poľnohospodárskej pôdy je taktiež pokračovanie pozemkových úprav.</w:t>
      </w:r>
    </w:p>
    <w:p w:rsidR="009A4AE5" w:rsidRDefault="009A4AE5" w:rsidP="001E1D98">
      <w:pPr>
        <w:spacing w:after="0" w:line="240" w:lineRule="auto"/>
        <w:jc w:val="both"/>
        <w:rPr>
          <w:rFonts w:ascii="Times New Roman" w:hAnsi="Times New Roman" w:cs="Times New Roman"/>
          <w:sz w:val="24"/>
          <w:szCs w:val="24"/>
        </w:rPr>
      </w:pPr>
    </w:p>
    <w:p w:rsidR="009A4AE5" w:rsidRDefault="009A4AE5" w:rsidP="001E1D98">
      <w:pPr>
        <w:spacing w:after="0" w:line="240" w:lineRule="auto"/>
        <w:jc w:val="both"/>
        <w:rPr>
          <w:rFonts w:ascii="Times New Roman" w:hAnsi="Times New Roman" w:cs="Times New Roman"/>
          <w:sz w:val="24"/>
          <w:szCs w:val="24"/>
        </w:rPr>
      </w:pPr>
    </w:p>
    <w:p w:rsidR="009A4AE5" w:rsidRPr="00440A22" w:rsidRDefault="009A4AE5" w:rsidP="009A4AE5">
      <w:pPr>
        <w:pStyle w:val="Nadpis2"/>
        <w:numPr>
          <w:ilvl w:val="1"/>
          <w:numId w:val="8"/>
        </w:numPr>
        <w:ind w:left="426" w:hanging="426"/>
        <w:rPr>
          <w:rFonts w:cs="Times New Roman"/>
          <w:szCs w:val="24"/>
        </w:rPr>
      </w:pPr>
      <w:bookmarkStart w:id="4" w:name="_Toc359550626"/>
      <w:r>
        <w:rPr>
          <w:rFonts w:cs="Times New Roman"/>
          <w:szCs w:val="24"/>
        </w:rPr>
        <w:t>Súčasný stav</w:t>
      </w:r>
      <w:r w:rsidRPr="00440A22">
        <w:rPr>
          <w:rFonts w:cs="Times New Roman"/>
          <w:szCs w:val="24"/>
        </w:rPr>
        <w:t xml:space="preserve"> zamestnanosti v </w:t>
      </w:r>
      <w:r>
        <w:rPr>
          <w:rFonts w:cs="Times New Roman"/>
          <w:szCs w:val="24"/>
        </w:rPr>
        <w:t>pôdohospodárstve</w:t>
      </w:r>
      <w:bookmarkEnd w:id="4"/>
    </w:p>
    <w:p w:rsidR="009A4AE5" w:rsidRDefault="009A4AE5" w:rsidP="009A4AE5">
      <w:pPr>
        <w:spacing w:after="0" w:line="240" w:lineRule="auto"/>
        <w:jc w:val="both"/>
        <w:rPr>
          <w:rFonts w:ascii="Times New Roman" w:eastAsia="Calibri" w:hAnsi="Times New Roman"/>
          <w:sz w:val="24"/>
          <w:szCs w:val="24"/>
        </w:rPr>
      </w:pPr>
    </w:p>
    <w:p w:rsidR="00C34EF2" w:rsidRDefault="009A4AE5" w:rsidP="00C34EF2">
      <w:pPr>
        <w:pStyle w:val="Nadpis3"/>
        <w:numPr>
          <w:ilvl w:val="2"/>
          <w:numId w:val="8"/>
        </w:numPr>
        <w:rPr>
          <w:rFonts w:eastAsia="Calibri"/>
          <w:szCs w:val="24"/>
        </w:rPr>
      </w:pPr>
      <w:bookmarkStart w:id="5" w:name="_Toc359550627"/>
      <w:r>
        <w:rPr>
          <w:rFonts w:eastAsia="Calibri"/>
          <w:szCs w:val="24"/>
        </w:rPr>
        <w:t>Súčasný stav zamestnanosti v</w:t>
      </w:r>
      <w:r w:rsidR="00C34EF2">
        <w:rPr>
          <w:rFonts w:eastAsia="Calibri"/>
          <w:szCs w:val="24"/>
        </w:rPr>
        <w:t> </w:t>
      </w:r>
      <w:r>
        <w:rPr>
          <w:rFonts w:eastAsia="Calibri"/>
          <w:szCs w:val="24"/>
        </w:rPr>
        <w:t>poľnohospodárstve</w:t>
      </w:r>
      <w:bookmarkEnd w:id="5"/>
    </w:p>
    <w:p w:rsidR="00C34EF2" w:rsidRDefault="00C34EF2" w:rsidP="009A4AE5">
      <w:pPr>
        <w:spacing w:after="0" w:line="240" w:lineRule="auto"/>
        <w:jc w:val="both"/>
      </w:pPr>
    </w:p>
    <w:p w:rsidR="009A4AE5" w:rsidRPr="00036C47" w:rsidRDefault="009A4AE5" w:rsidP="009A4AE5">
      <w:pPr>
        <w:spacing w:after="0" w:line="240" w:lineRule="auto"/>
        <w:jc w:val="both"/>
        <w:rPr>
          <w:rFonts w:ascii="Times New Roman" w:eastAsia="Calibri" w:hAnsi="Times New Roman"/>
          <w:sz w:val="24"/>
          <w:szCs w:val="24"/>
        </w:rPr>
      </w:pPr>
      <w:r w:rsidRPr="00036C47">
        <w:rPr>
          <w:rFonts w:ascii="Times New Roman" w:eastAsia="Calibri" w:hAnsi="Times New Roman"/>
          <w:sz w:val="24"/>
          <w:szCs w:val="24"/>
        </w:rPr>
        <w:t>Od roku 2002 došlo v poľnohospodárskej prvovýrobe k výraznému úbytku pracovníkov v hlavnom zamestnaní. Zo 108,9 tis. pracujúcich sa znížil počet osôb viac ako o</w:t>
      </w:r>
      <w:r>
        <w:rPr>
          <w:rFonts w:ascii="Times New Roman" w:eastAsia="Calibri" w:hAnsi="Times New Roman"/>
          <w:sz w:val="24"/>
          <w:szCs w:val="24"/>
        </w:rPr>
        <w:t> </w:t>
      </w:r>
      <w:r w:rsidRPr="00036C47">
        <w:rPr>
          <w:rFonts w:ascii="Times New Roman" w:eastAsia="Calibri" w:hAnsi="Times New Roman"/>
          <w:sz w:val="24"/>
          <w:szCs w:val="24"/>
        </w:rPr>
        <w:t>polovicu</w:t>
      </w:r>
      <w:r>
        <w:rPr>
          <w:rFonts w:ascii="Times New Roman" w:eastAsia="Calibri" w:hAnsi="Times New Roman"/>
          <w:sz w:val="24"/>
          <w:szCs w:val="24"/>
        </w:rPr>
        <w:t xml:space="preserve">, a to </w:t>
      </w:r>
      <w:r w:rsidRPr="00036C47">
        <w:rPr>
          <w:rFonts w:ascii="Times New Roman" w:eastAsia="Calibri" w:hAnsi="Times New Roman"/>
          <w:sz w:val="24"/>
          <w:szCs w:val="24"/>
        </w:rPr>
        <w:t xml:space="preserve"> na 51,6 tis. (z toho 74 % mužov a 26 % žien). Príčina poklesu zamestnanosti</w:t>
      </w:r>
      <w:r>
        <w:rPr>
          <w:rFonts w:ascii="Times New Roman" w:eastAsia="Calibri" w:hAnsi="Times New Roman"/>
          <w:sz w:val="24"/>
          <w:szCs w:val="24"/>
        </w:rPr>
        <w:t xml:space="preserve">, </w:t>
      </w:r>
      <w:r w:rsidRPr="00036C47">
        <w:rPr>
          <w:rFonts w:ascii="Times New Roman" w:eastAsia="Calibri" w:hAnsi="Times New Roman"/>
          <w:sz w:val="24"/>
          <w:szCs w:val="24"/>
        </w:rPr>
        <w:t xml:space="preserve">v podmienkach Slovenska, </w:t>
      </w:r>
      <w:r>
        <w:rPr>
          <w:rFonts w:ascii="Times New Roman" w:eastAsia="Calibri" w:hAnsi="Times New Roman"/>
          <w:sz w:val="24"/>
          <w:szCs w:val="24"/>
        </w:rPr>
        <w:t>spočíva vo výraznom útlme</w:t>
      </w:r>
      <w:r w:rsidRPr="00036C47">
        <w:rPr>
          <w:rFonts w:ascii="Times New Roman" w:eastAsia="Calibri" w:hAnsi="Times New Roman"/>
          <w:sz w:val="24"/>
          <w:szCs w:val="24"/>
        </w:rPr>
        <w:t xml:space="preserve"> poľnohospodárskej výroby spojenej s odbytovou krízou na domácom trhu, transformáciou, zánikom nepoľnohospodárskych aktivít a následne i nízkym podielom diverzifikačných aktivít, mzdovou </w:t>
      </w:r>
      <w:proofErr w:type="spellStart"/>
      <w:r w:rsidRPr="00036C47">
        <w:rPr>
          <w:rFonts w:ascii="Times New Roman" w:eastAsia="Calibri" w:hAnsi="Times New Roman"/>
          <w:sz w:val="24"/>
          <w:szCs w:val="24"/>
        </w:rPr>
        <w:t>neatraktivitou</w:t>
      </w:r>
      <w:proofErr w:type="spellEnd"/>
      <w:r w:rsidRPr="00036C47">
        <w:rPr>
          <w:rFonts w:ascii="Times New Roman" w:eastAsia="Calibri" w:hAnsi="Times New Roman"/>
          <w:sz w:val="24"/>
          <w:szCs w:val="24"/>
        </w:rPr>
        <w:t xml:space="preserve"> a v poslednom období aj ekonomickou a finančnou krízou.</w:t>
      </w:r>
    </w:p>
    <w:p w:rsidR="009A4AE5" w:rsidRDefault="009A4AE5" w:rsidP="009A4AE5">
      <w:pPr>
        <w:spacing w:after="0" w:line="240" w:lineRule="auto"/>
        <w:jc w:val="both"/>
        <w:rPr>
          <w:rFonts w:ascii="Times New Roman" w:eastAsia="Calibri" w:hAnsi="Times New Roman"/>
          <w:sz w:val="24"/>
          <w:szCs w:val="24"/>
        </w:rPr>
      </w:pPr>
    </w:p>
    <w:p w:rsidR="009C321A" w:rsidRDefault="009C321A" w:rsidP="009A4AE5">
      <w:pPr>
        <w:spacing w:after="0" w:line="240" w:lineRule="auto"/>
        <w:jc w:val="both"/>
        <w:rPr>
          <w:rFonts w:ascii="Times New Roman" w:eastAsia="Calibri" w:hAnsi="Times New Roman"/>
          <w:sz w:val="24"/>
          <w:szCs w:val="24"/>
        </w:rPr>
      </w:pPr>
    </w:p>
    <w:p w:rsidR="009C321A" w:rsidRDefault="009C321A" w:rsidP="009A4AE5">
      <w:pPr>
        <w:spacing w:after="0" w:line="240" w:lineRule="auto"/>
        <w:jc w:val="both"/>
        <w:rPr>
          <w:rFonts w:ascii="Times New Roman" w:eastAsia="Calibri" w:hAnsi="Times New Roman"/>
          <w:sz w:val="24"/>
          <w:szCs w:val="24"/>
        </w:rPr>
      </w:pPr>
    </w:p>
    <w:p w:rsidR="009C321A" w:rsidRDefault="009C321A" w:rsidP="009A4AE5">
      <w:pPr>
        <w:spacing w:after="0" w:line="240" w:lineRule="auto"/>
        <w:jc w:val="both"/>
        <w:rPr>
          <w:rFonts w:ascii="Times New Roman" w:eastAsia="Calibri" w:hAnsi="Times New Roman"/>
          <w:sz w:val="24"/>
          <w:szCs w:val="24"/>
        </w:rPr>
      </w:pPr>
    </w:p>
    <w:p w:rsidR="009C321A" w:rsidRDefault="009C321A" w:rsidP="009A4AE5">
      <w:pPr>
        <w:spacing w:after="0" w:line="240" w:lineRule="auto"/>
        <w:jc w:val="both"/>
        <w:rPr>
          <w:rFonts w:ascii="Times New Roman" w:eastAsia="Calibri" w:hAnsi="Times New Roman"/>
          <w:sz w:val="24"/>
          <w:szCs w:val="24"/>
        </w:rPr>
      </w:pPr>
    </w:p>
    <w:p w:rsidR="009A4AE5" w:rsidRPr="005035C8" w:rsidRDefault="009A4AE5" w:rsidP="009A4A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Graf č. 1</w:t>
      </w:r>
      <w:r w:rsidRPr="00155936">
        <w:rPr>
          <w:rFonts w:ascii="Times New Roman" w:hAnsi="Times New Roman" w:cs="Times New Roman"/>
          <w:sz w:val="20"/>
          <w:szCs w:val="20"/>
        </w:rPr>
        <w:t>:</w:t>
      </w:r>
      <w:r w:rsidRPr="00207E2B">
        <w:rPr>
          <w:rFonts w:ascii="Times New Roman" w:hAnsi="Times New Roman" w:cs="Times New Roman"/>
          <w:sz w:val="20"/>
          <w:szCs w:val="20"/>
        </w:rPr>
        <w:t xml:space="preserve">Vývoj </w:t>
      </w:r>
      <w:r>
        <w:rPr>
          <w:rFonts w:ascii="Times New Roman" w:hAnsi="Times New Roman" w:cs="Times New Roman"/>
          <w:sz w:val="20"/>
          <w:szCs w:val="20"/>
        </w:rPr>
        <w:t>počtu pracujúcich v poľnohospodárstve (v tis. osôb)</w:t>
      </w:r>
    </w:p>
    <w:p w:rsidR="009A4AE5" w:rsidRDefault="009A4AE5" w:rsidP="009A4AE5">
      <w:pPr>
        <w:spacing w:after="0" w:line="240" w:lineRule="auto"/>
        <w:jc w:val="both"/>
        <w:rPr>
          <w:rFonts w:ascii="Times New Roman" w:eastAsia="Calibri" w:hAnsi="Times New Roman"/>
          <w:sz w:val="24"/>
          <w:szCs w:val="24"/>
        </w:rPr>
      </w:pPr>
      <w:r>
        <w:rPr>
          <w:noProof/>
        </w:rPr>
        <w:drawing>
          <wp:inline distT="0" distB="0" distL="0" distR="0" wp14:anchorId="6161B182" wp14:editId="7BE3A86E">
            <wp:extent cx="5757062" cy="2033625"/>
            <wp:effectExtent l="0" t="0" r="0" b="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4AE5" w:rsidRPr="009A4AE5" w:rsidRDefault="009A4AE5" w:rsidP="009A4A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ŠÚSR</w:t>
      </w:r>
    </w:p>
    <w:p w:rsidR="00727C68" w:rsidRDefault="00727C68" w:rsidP="009A4AE5">
      <w:pPr>
        <w:spacing w:after="0" w:line="240" w:lineRule="auto"/>
        <w:jc w:val="both"/>
        <w:rPr>
          <w:rFonts w:ascii="Times New Roman" w:eastAsia="Calibri" w:hAnsi="Times New Roman"/>
          <w:sz w:val="24"/>
          <w:szCs w:val="24"/>
        </w:rPr>
      </w:pPr>
    </w:p>
    <w:p w:rsidR="009A4AE5" w:rsidRPr="000272FF" w:rsidRDefault="009A4AE5" w:rsidP="009A4AE5">
      <w:pPr>
        <w:spacing w:after="0" w:line="240" w:lineRule="auto"/>
        <w:jc w:val="both"/>
        <w:rPr>
          <w:rFonts w:ascii="Times New Roman" w:eastAsia="Calibri" w:hAnsi="Times New Roman"/>
          <w:sz w:val="24"/>
          <w:szCs w:val="24"/>
        </w:rPr>
      </w:pPr>
      <w:r w:rsidRPr="000272FF">
        <w:rPr>
          <w:rFonts w:ascii="Times New Roman" w:eastAsia="Calibri" w:hAnsi="Times New Roman"/>
          <w:sz w:val="24"/>
          <w:szCs w:val="24"/>
        </w:rPr>
        <w:t xml:space="preserve">Relatívna zamestnanosť u právnických osôb </w:t>
      </w:r>
      <w:r>
        <w:rPr>
          <w:rFonts w:ascii="Times New Roman" w:eastAsia="Calibri" w:hAnsi="Times New Roman"/>
          <w:sz w:val="24"/>
          <w:szCs w:val="24"/>
        </w:rPr>
        <w:t>činí</w:t>
      </w:r>
      <w:r w:rsidRPr="000272FF">
        <w:rPr>
          <w:rFonts w:ascii="Times New Roman" w:eastAsia="Calibri" w:hAnsi="Times New Roman"/>
          <w:sz w:val="24"/>
          <w:szCs w:val="24"/>
        </w:rPr>
        <w:t xml:space="preserve"> už len </w:t>
      </w:r>
      <w:r>
        <w:rPr>
          <w:rFonts w:ascii="Times New Roman" w:eastAsia="Calibri" w:hAnsi="Times New Roman"/>
          <w:sz w:val="24"/>
          <w:szCs w:val="24"/>
        </w:rPr>
        <w:t xml:space="preserve">cca </w:t>
      </w:r>
      <w:r w:rsidRPr="000272FF">
        <w:rPr>
          <w:rFonts w:ascii="Times New Roman" w:eastAsia="Calibri" w:hAnsi="Times New Roman"/>
          <w:sz w:val="24"/>
          <w:szCs w:val="24"/>
        </w:rPr>
        <w:t>2,79 pracovníka na 100 ha. Z pohľadu produktivity práce resp. zaťaženosťou pracovníkov na 100 ha p. p. právnické osoby vykazujú o polovicu nižšiu zamestnanosť na 100 ha pôdy ako registrované fyzické osoby, tzn. že by mali mať i o polovicu nižšie náklady na ľudskú prácu.  Na druhej strane ale v roku 2010 (údaje za rok 2011 zatiaľ nie sú k dispozícii) u právnických osôb pracovalo 22,3 tis. osôb mimo pracovného pomeru. To naznačuje, že objem práce vyjadrovaný počtom pracovníkov je v poľnohospodárstve značne relatívny, pretože v obdobiach sezónneho zvýšenia práce tu vy</w:t>
      </w:r>
      <w:r>
        <w:rPr>
          <w:rFonts w:ascii="Times New Roman" w:eastAsia="Calibri" w:hAnsi="Times New Roman"/>
          <w:sz w:val="24"/>
          <w:szCs w:val="24"/>
        </w:rPr>
        <w:t>pomáha značný počet brigádnikov, pracujúcich v pracovnom pomere na dohodu,</w:t>
      </w:r>
      <w:r w:rsidRPr="000272FF">
        <w:rPr>
          <w:rFonts w:ascii="Times New Roman" w:eastAsia="Calibri" w:hAnsi="Times New Roman"/>
          <w:sz w:val="24"/>
          <w:szCs w:val="24"/>
        </w:rPr>
        <w:t xml:space="preserve"> vrátane štatisticky nezachytenej práce za naturálnu protislužbu.</w:t>
      </w:r>
    </w:p>
    <w:p w:rsidR="009A4AE5" w:rsidRDefault="009A4AE5" w:rsidP="009A4AE5">
      <w:pPr>
        <w:spacing w:after="0" w:line="240" w:lineRule="auto"/>
        <w:jc w:val="both"/>
        <w:rPr>
          <w:rFonts w:ascii="Times New Roman" w:hAnsi="Times New Roman" w:cs="Times New Roman"/>
          <w:sz w:val="24"/>
          <w:szCs w:val="24"/>
        </w:rPr>
      </w:pPr>
    </w:p>
    <w:p w:rsidR="009A4AE5" w:rsidRDefault="009A4AE5" w:rsidP="009A4AE5">
      <w:pPr>
        <w:spacing w:after="0" w:line="240" w:lineRule="auto"/>
        <w:jc w:val="both"/>
        <w:rPr>
          <w:rFonts w:ascii="Times New Roman" w:eastAsia="Calibri" w:hAnsi="Times New Roman"/>
          <w:sz w:val="24"/>
          <w:szCs w:val="24"/>
        </w:rPr>
      </w:pPr>
      <w:r>
        <w:rPr>
          <w:rFonts w:ascii="Times New Roman" w:eastAsia="Calibri" w:hAnsi="Times New Roman"/>
          <w:sz w:val="24"/>
          <w:szCs w:val="24"/>
        </w:rPr>
        <w:t>Čo sa týka vekovej štruktúry pracujúcich v poľnohospodárstve v</w:t>
      </w:r>
      <w:r w:rsidRPr="000272FF">
        <w:rPr>
          <w:rFonts w:ascii="Times New Roman" w:eastAsia="Calibri" w:hAnsi="Times New Roman"/>
          <w:sz w:val="24"/>
          <w:szCs w:val="24"/>
        </w:rPr>
        <w:t xml:space="preserve"> rokoch 2002-2004 bola najsilnejšou vekovou kategóriou skupina pracovníkov vo veku 40-49 rokov. Od roku 2005 dominuje veková</w:t>
      </w:r>
      <w:r>
        <w:rPr>
          <w:rFonts w:ascii="Times New Roman" w:eastAsia="Calibri" w:hAnsi="Times New Roman"/>
          <w:sz w:val="24"/>
          <w:szCs w:val="24"/>
        </w:rPr>
        <w:t xml:space="preserve"> kategória vo veku 50-59 rokov, pričom v roku 2011 táto skupina tvorí až 40,3 % všetkých pracujúcich v poľnohospodárstve. Z dlhodobého hľadiska</w:t>
      </w:r>
      <w:r w:rsidRPr="000272FF">
        <w:rPr>
          <w:rFonts w:ascii="Times New Roman" w:eastAsia="Calibri" w:hAnsi="Times New Roman"/>
          <w:sz w:val="24"/>
          <w:szCs w:val="24"/>
        </w:rPr>
        <w:t xml:space="preserve"> dochádza v štruktúre pracovníkov podľa veku </w:t>
      </w:r>
      <w:r>
        <w:rPr>
          <w:rFonts w:ascii="Times New Roman" w:eastAsia="Calibri" w:hAnsi="Times New Roman"/>
          <w:sz w:val="24"/>
          <w:szCs w:val="24"/>
        </w:rPr>
        <w:t xml:space="preserve">takmer </w:t>
      </w:r>
      <w:r w:rsidRPr="000272FF">
        <w:rPr>
          <w:rFonts w:ascii="Times New Roman" w:eastAsia="Calibri" w:hAnsi="Times New Roman"/>
          <w:sz w:val="24"/>
          <w:szCs w:val="24"/>
        </w:rPr>
        <w:t xml:space="preserve">vo všetkých vekových kategóriách k poklesu stavov s výnimkou kategórie 60 a viac ročných pracovníkov, kde dochádza k miernemu nárastu. </w:t>
      </w:r>
      <w:r>
        <w:rPr>
          <w:rFonts w:ascii="Times New Roman" w:eastAsia="Calibri" w:hAnsi="Times New Roman"/>
          <w:sz w:val="24"/>
          <w:szCs w:val="24"/>
        </w:rPr>
        <w:t>P</w:t>
      </w:r>
      <w:r w:rsidRPr="000272FF">
        <w:rPr>
          <w:rFonts w:ascii="Times New Roman" w:eastAsia="Calibri" w:hAnsi="Times New Roman"/>
          <w:sz w:val="24"/>
          <w:szCs w:val="24"/>
        </w:rPr>
        <w:t xml:space="preserve">roporcionálne </w:t>
      </w:r>
      <w:r>
        <w:rPr>
          <w:rFonts w:ascii="Times New Roman" w:eastAsia="Calibri" w:hAnsi="Times New Roman"/>
          <w:sz w:val="24"/>
          <w:szCs w:val="24"/>
        </w:rPr>
        <w:t>teda</w:t>
      </w:r>
      <w:r w:rsidRPr="000272FF">
        <w:rPr>
          <w:rFonts w:ascii="Times New Roman" w:eastAsia="Calibri" w:hAnsi="Times New Roman"/>
          <w:sz w:val="24"/>
          <w:szCs w:val="24"/>
        </w:rPr>
        <w:t xml:space="preserve"> dlhodobo výrazne klesá podiel pracovníkov v nižších vekových kategóriách a mierne i v stredných kategóriách a naopak zvyšuje sa podiel osôb v starších vekových skupinách nad 50 rokov. Takmer tri štvrtiny pracovníkov v poľnohospodárstve malo v roku 2011 nad 40 rokov a necelá polovica mala nad 50 rokov. </w:t>
      </w:r>
    </w:p>
    <w:p w:rsidR="009A4AE5" w:rsidRDefault="009A4AE5" w:rsidP="009A4AE5">
      <w:pPr>
        <w:spacing w:after="0" w:line="240" w:lineRule="auto"/>
        <w:jc w:val="both"/>
        <w:rPr>
          <w:rFonts w:ascii="Times New Roman" w:eastAsia="Calibri" w:hAnsi="Times New Roman"/>
          <w:sz w:val="24"/>
          <w:szCs w:val="24"/>
        </w:rPr>
      </w:pPr>
    </w:p>
    <w:p w:rsidR="009A4AE5" w:rsidRPr="00227738" w:rsidRDefault="009A4AE5" w:rsidP="009A4AE5">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 3</w:t>
      </w:r>
      <w:r w:rsidRPr="00A855A4">
        <w:rPr>
          <w:rFonts w:ascii="Times New Roman" w:hAnsi="Times New Roman" w:cs="Times New Roman"/>
          <w:sz w:val="20"/>
          <w:szCs w:val="20"/>
        </w:rPr>
        <w:t xml:space="preserve">: </w:t>
      </w:r>
      <w:r>
        <w:rPr>
          <w:rFonts w:ascii="Times New Roman" w:hAnsi="Times New Roman" w:cs="Times New Roman"/>
          <w:sz w:val="20"/>
          <w:szCs w:val="20"/>
        </w:rPr>
        <w:tab/>
        <w:t>Veková štruktúra pracujúcich v poľnohospodárstve</w:t>
      </w:r>
    </w:p>
    <w:tbl>
      <w:tblPr>
        <w:tblW w:w="9087" w:type="dxa"/>
        <w:tblInd w:w="55" w:type="dxa"/>
        <w:tblCellMar>
          <w:left w:w="70" w:type="dxa"/>
          <w:right w:w="70" w:type="dxa"/>
        </w:tblCellMar>
        <w:tblLook w:val="04A0" w:firstRow="1" w:lastRow="0" w:firstColumn="1" w:lastColumn="0" w:noHBand="0" w:noVBand="1"/>
      </w:tblPr>
      <w:tblGrid>
        <w:gridCol w:w="2283"/>
        <w:gridCol w:w="1134"/>
        <w:gridCol w:w="1134"/>
        <w:gridCol w:w="1134"/>
        <w:gridCol w:w="1134"/>
        <w:gridCol w:w="1134"/>
        <w:gridCol w:w="1134"/>
      </w:tblGrid>
      <w:tr w:rsidR="009A4AE5" w:rsidRPr="00227738" w:rsidTr="00B86750">
        <w:trPr>
          <w:trHeight w:val="315"/>
        </w:trPr>
        <w:tc>
          <w:tcPr>
            <w:tcW w:w="2283" w:type="dxa"/>
            <w:tcBorders>
              <w:top w:val="nil"/>
              <w:left w:val="nil"/>
              <w:bottom w:val="single" w:sz="4" w:space="0" w:color="auto"/>
              <w:right w:val="single" w:sz="4" w:space="0" w:color="auto"/>
            </w:tcBorders>
            <w:shd w:val="clear" w:color="000000" w:fill="D9D9D9"/>
            <w:vAlign w:val="center"/>
            <w:hideMark/>
          </w:tcPr>
          <w:p w:rsidR="009A4AE5" w:rsidRPr="00227738" w:rsidRDefault="009A4AE5" w:rsidP="00B86750">
            <w:pPr>
              <w:spacing w:after="0" w:line="240" w:lineRule="auto"/>
              <w:jc w:val="both"/>
              <w:rPr>
                <w:rFonts w:ascii="Times New Roman" w:eastAsia="Times New Roman" w:hAnsi="Times New Roman" w:cs="Times New Roman"/>
                <w:b/>
                <w:bCs/>
                <w:color w:val="000000"/>
                <w:sz w:val="20"/>
                <w:szCs w:val="20"/>
              </w:rPr>
            </w:pPr>
            <w:r w:rsidRPr="00227738">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000000" w:fill="D9D9D9"/>
            <w:vAlign w:val="center"/>
            <w:hideMark/>
          </w:tcPr>
          <w:p w:rsidR="009A4AE5" w:rsidRPr="00227738" w:rsidRDefault="009A4AE5" w:rsidP="00B86750">
            <w:pPr>
              <w:spacing w:after="0" w:line="240" w:lineRule="auto"/>
              <w:jc w:val="center"/>
              <w:rPr>
                <w:rFonts w:ascii="Times New Roman" w:eastAsia="Times New Roman" w:hAnsi="Times New Roman" w:cs="Times New Roman"/>
                <w:b/>
                <w:bCs/>
                <w:color w:val="000000"/>
                <w:sz w:val="20"/>
                <w:szCs w:val="20"/>
              </w:rPr>
            </w:pPr>
            <w:r w:rsidRPr="00227738">
              <w:rPr>
                <w:rFonts w:ascii="Times New Roman" w:eastAsia="Times New Roman" w:hAnsi="Times New Roman" w:cs="Times New Roman"/>
                <w:b/>
                <w:bCs/>
                <w:color w:val="000000"/>
                <w:sz w:val="20"/>
                <w:szCs w:val="20"/>
              </w:rPr>
              <w:t>2002</w:t>
            </w:r>
          </w:p>
        </w:tc>
        <w:tc>
          <w:tcPr>
            <w:tcW w:w="1134" w:type="dxa"/>
            <w:tcBorders>
              <w:top w:val="nil"/>
              <w:left w:val="nil"/>
              <w:bottom w:val="single" w:sz="4" w:space="0" w:color="auto"/>
              <w:right w:val="nil"/>
            </w:tcBorders>
            <w:shd w:val="clear" w:color="000000" w:fill="D9D9D9"/>
            <w:vAlign w:val="center"/>
            <w:hideMark/>
          </w:tcPr>
          <w:p w:rsidR="009A4AE5" w:rsidRPr="00227738" w:rsidRDefault="009A4AE5" w:rsidP="00B86750">
            <w:pPr>
              <w:spacing w:after="0" w:line="240" w:lineRule="auto"/>
              <w:jc w:val="center"/>
              <w:rPr>
                <w:rFonts w:ascii="Times New Roman" w:eastAsia="Times New Roman" w:hAnsi="Times New Roman" w:cs="Times New Roman"/>
                <w:b/>
                <w:bCs/>
                <w:color w:val="000000"/>
                <w:sz w:val="20"/>
                <w:szCs w:val="20"/>
              </w:rPr>
            </w:pPr>
            <w:r w:rsidRPr="00227738">
              <w:rPr>
                <w:rFonts w:ascii="Times New Roman" w:eastAsia="Times New Roman" w:hAnsi="Times New Roman" w:cs="Times New Roman"/>
                <w:b/>
                <w:bCs/>
                <w:color w:val="000000"/>
                <w:sz w:val="20"/>
                <w:szCs w:val="20"/>
              </w:rPr>
              <w:t>2007</w:t>
            </w:r>
          </w:p>
        </w:tc>
        <w:tc>
          <w:tcPr>
            <w:tcW w:w="1134" w:type="dxa"/>
            <w:tcBorders>
              <w:top w:val="nil"/>
              <w:left w:val="nil"/>
              <w:bottom w:val="single" w:sz="4" w:space="0" w:color="auto"/>
              <w:right w:val="nil"/>
            </w:tcBorders>
            <w:shd w:val="clear" w:color="000000" w:fill="D9D9D9"/>
            <w:vAlign w:val="center"/>
            <w:hideMark/>
          </w:tcPr>
          <w:p w:rsidR="009A4AE5" w:rsidRPr="00227738" w:rsidRDefault="009A4AE5" w:rsidP="00B86750">
            <w:pPr>
              <w:spacing w:after="0" w:line="240" w:lineRule="auto"/>
              <w:jc w:val="center"/>
              <w:rPr>
                <w:rFonts w:ascii="Times New Roman" w:eastAsia="Times New Roman" w:hAnsi="Times New Roman" w:cs="Times New Roman"/>
                <w:b/>
                <w:bCs/>
                <w:color w:val="000000"/>
                <w:sz w:val="20"/>
                <w:szCs w:val="20"/>
              </w:rPr>
            </w:pPr>
            <w:r w:rsidRPr="00227738">
              <w:rPr>
                <w:rFonts w:ascii="Times New Roman" w:eastAsia="Times New Roman" w:hAnsi="Times New Roman" w:cs="Times New Roman"/>
                <w:b/>
                <w:bCs/>
                <w:color w:val="000000"/>
                <w:sz w:val="20"/>
                <w:szCs w:val="20"/>
              </w:rPr>
              <w:t>2008</w:t>
            </w:r>
          </w:p>
        </w:tc>
        <w:tc>
          <w:tcPr>
            <w:tcW w:w="1134" w:type="dxa"/>
            <w:tcBorders>
              <w:top w:val="nil"/>
              <w:left w:val="nil"/>
              <w:bottom w:val="single" w:sz="4" w:space="0" w:color="auto"/>
              <w:right w:val="nil"/>
            </w:tcBorders>
            <w:shd w:val="clear" w:color="000000" w:fill="D9D9D9"/>
            <w:vAlign w:val="center"/>
            <w:hideMark/>
          </w:tcPr>
          <w:p w:rsidR="009A4AE5" w:rsidRPr="00227738" w:rsidRDefault="009A4AE5" w:rsidP="00B86750">
            <w:pPr>
              <w:spacing w:after="0" w:line="240" w:lineRule="auto"/>
              <w:jc w:val="center"/>
              <w:rPr>
                <w:rFonts w:ascii="Times New Roman" w:eastAsia="Times New Roman" w:hAnsi="Times New Roman" w:cs="Times New Roman"/>
                <w:b/>
                <w:bCs/>
                <w:color w:val="000000"/>
                <w:sz w:val="20"/>
                <w:szCs w:val="20"/>
              </w:rPr>
            </w:pPr>
            <w:r w:rsidRPr="00227738">
              <w:rPr>
                <w:rFonts w:ascii="Times New Roman" w:eastAsia="Times New Roman" w:hAnsi="Times New Roman" w:cs="Times New Roman"/>
                <w:b/>
                <w:bCs/>
                <w:color w:val="000000"/>
                <w:sz w:val="20"/>
                <w:szCs w:val="20"/>
              </w:rPr>
              <w:t>2009</w:t>
            </w:r>
          </w:p>
        </w:tc>
        <w:tc>
          <w:tcPr>
            <w:tcW w:w="1134" w:type="dxa"/>
            <w:tcBorders>
              <w:top w:val="nil"/>
              <w:left w:val="nil"/>
              <w:bottom w:val="single" w:sz="4" w:space="0" w:color="auto"/>
              <w:right w:val="nil"/>
            </w:tcBorders>
            <w:shd w:val="clear" w:color="000000" w:fill="D9D9D9"/>
            <w:vAlign w:val="center"/>
            <w:hideMark/>
          </w:tcPr>
          <w:p w:rsidR="009A4AE5" w:rsidRPr="00227738" w:rsidRDefault="009A4AE5" w:rsidP="00B86750">
            <w:pPr>
              <w:spacing w:after="0" w:line="240" w:lineRule="auto"/>
              <w:jc w:val="center"/>
              <w:rPr>
                <w:rFonts w:ascii="Times New Roman" w:eastAsia="Times New Roman" w:hAnsi="Times New Roman" w:cs="Times New Roman"/>
                <w:b/>
                <w:bCs/>
                <w:color w:val="000000"/>
                <w:sz w:val="20"/>
                <w:szCs w:val="20"/>
              </w:rPr>
            </w:pPr>
            <w:r w:rsidRPr="00227738">
              <w:rPr>
                <w:rFonts w:ascii="Times New Roman" w:eastAsia="Times New Roman" w:hAnsi="Times New Roman" w:cs="Times New Roman"/>
                <w:b/>
                <w:bCs/>
                <w:color w:val="000000"/>
                <w:sz w:val="20"/>
                <w:szCs w:val="20"/>
              </w:rPr>
              <w:t>2010</w:t>
            </w:r>
          </w:p>
        </w:tc>
        <w:tc>
          <w:tcPr>
            <w:tcW w:w="1134" w:type="dxa"/>
            <w:tcBorders>
              <w:top w:val="nil"/>
              <w:left w:val="nil"/>
              <w:bottom w:val="single" w:sz="4" w:space="0" w:color="auto"/>
              <w:right w:val="nil"/>
            </w:tcBorders>
            <w:shd w:val="clear" w:color="000000" w:fill="D9D9D9"/>
            <w:vAlign w:val="center"/>
            <w:hideMark/>
          </w:tcPr>
          <w:p w:rsidR="009A4AE5" w:rsidRPr="00227738" w:rsidRDefault="009A4AE5" w:rsidP="00B86750">
            <w:pPr>
              <w:spacing w:after="0" w:line="240" w:lineRule="auto"/>
              <w:jc w:val="center"/>
              <w:rPr>
                <w:rFonts w:ascii="Times New Roman" w:eastAsia="Times New Roman" w:hAnsi="Times New Roman" w:cs="Times New Roman"/>
                <w:b/>
                <w:bCs/>
                <w:color w:val="000000"/>
                <w:sz w:val="20"/>
                <w:szCs w:val="20"/>
              </w:rPr>
            </w:pPr>
            <w:r w:rsidRPr="00227738">
              <w:rPr>
                <w:rFonts w:ascii="Times New Roman" w:eastAsia="Times New Roman" w:hAnsi="Times New Roman" w:cs="Times New Roman"/>
                <w:b/>
                <w:bCs/>
                <w:color w:val="000000"/>
                <w:sz w:val="20"/>
                <w:szCs w:val="20"/>
              </w:rPr>
              <w:t>2011</w:t>
            </w:r>
          </w:p>
        </w:tc>
      </w:tr>
      <w:tr w:rsidR="009A4AE5" w:rsidRPr="00227738" w:rsidTr="00B86750">
        <w:trPr>
          <w:trHeight w:val="300"/>
        </w:trPr>
        <w:tc>
          <w:tcPr>
            <w:tcW w:w="2283" w:type="dxa"/>
            <w:tcBorders>
              <w:top w:val="nil"/>
              <w:left w:val="nil"/>
              <w:bottom w:val="nil"/>
              <w:right w:val="single" w:sz="4" w:space="0" w:color="auto"/>
            </w:tcBorders>
            <w:shd w:val="clear" w:color="auto" w:fill="auto"/>
            <w:vAlign w:val="center"/>
            <w:hideMark/>
          </w:tcPr>
          <w:p w:rsidR="009A4AE5" w:rsidRPr="00227738" w:rsidRDefault="009A4AE5" w:rsidP="00B86750">
            <w:pPr>
              <w:spacing w:after="0" w:line="240" w:lineRule="auto"/>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do 29 rokov</w:t>
            </w:r>
          </w:p>
        </w:tc>
        <w:tc>
          <w:tcPr>
            <w:tcW w:w="1134" w:type="dxa"/>
            <w:tcBorders>
              <w:top w:val="nil"/>
              <w:left w:val="nil"/>
              <w:bottom w:val="nil"/>
              <w:right w:val="single" w:sz="4" w:space="0" w:color="auto"/>
            </w:tcBorders>
            <w:shd w:val="clear" w:color="auto" w:fill="auto"/>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12,80%</w:t>
            </w:r>
          </w:p>
        </w:tc>
        <w:tc>
          <w:tcPr>
            <w:tcW w:w="1134" w:type="dxa"/>
            <w:tcBorders>
              <w:top w:val="nil"/>
              <w:left w:val="nil"/>
              <w:bottom w:val="nil"/>
              <w:right w:val="nil"/>
            </w:tcBorders>
            <w:shd w:val="clear" w:color="auto" w:fill="auto"/>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9,40%</w:t>
            </w:r>
          </w:p>
        </w:tc>
        <w:tc>
          <w:tcPr>
            <w:tcW w:w="1134" w:type="dxa"/>
            <w:tcBorders>
              <w:top w:val="nil"/>
              <w:left w:val="nil"/>
              <w:bottom w:val="nil"/>
              <w:right w:val="nil"/>
            </w:tcBorders>
            <w:shd w:val="clear" w:color="auto" w:fill="auto"/>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8,60%</w:t>
            </w:r>
          </w:p>
        </w:tc>
        <w:tc>
          <w:tcPr>
            <w:tcW w:w="1134" w:type="dxa"/>
            <w:tcBorders>
              <w:top w:val="nil"/>
              <w:left w:val="nil"/>
              <w:bottom w:val="nil"/>
              <w:right w:val="nil"/>
            </w:tcBorders>
            <w:shd w:val="clear" w:color="auto" w:fill="auto"/>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11,00%</w:t>
            </w:r>
          </w:p>
        </w:tc>
        <w:tc>
          <w:tcPr>
            <w:tcW w:w="1134" w:type="dxa"/>
            <w:tcBorders>
              <w:top w:val="nil"/>
              <w:left w:val="nil"/>
              <w:bottom w:val="nil"/>
              <w:right w:val="nil"/>
            </w:tcBorders>
            <w:shd w:val="clear" w:color="auto" w:fill="auto"/>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8,50%</w:t>
            </w:r>
          </w:p>
        </w:tc>
        <w:tc>
          <w:tcPr>
            <w:tcW w:w="1134" w:type="dxa"/>
            <w:tcBorders>
              <w:top w:val="nil"/>
              <w:left w:val="nil"/>
              <w:bottom w:val="nil"/>
              <w:right w:val="nil"/>
            </w:tcBorders>
            <w:shd w:val="clear" w:color="auto" w:fill="auto"/>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9,10%</w:t>
            </w:r>
          </w:p>
        </w:tc>
      </w:tr>
      <w:tr w:rsidR="009A4AE5" w:rsidRPr="00227738" w:rsidTr="00B86750">
        <w:trPr>
          <w:trHeight w:val="300"/>
        </w:trPr>
        <w:tc>
          <w:tcPr>
            <w:tcW w:w="2283" w:type="dxa"/>
            <w:tcBorders>
              <w:top w:val="nil"/>
              <w:left w:val="nil"/>
              <w:bottom w:val="nil"/>
              <w:right w:val="single" w:sz="4" w:space="0" w:color="auto"/>
            </w:tcBorders>
            <w:shd w:val="clear" w:color="000000" w:fill="F2F2F2"/>
            <w:vAlign w:val="center"/>
            <w:hideMark/>
          </w:tcPr>
          <w:p w:rsidR="009A4AE5" w:rsidRPr="00227738" w:rsidRDefault="009A4AE5" w:rsidP="00B86750">
            <w:pPr>
              <w:spacing w:after="0" w:line="240" w:lineRule="auto"/>
              <w:jc w:val="both"/>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30-39</w:t>
            </w:r>
          </w:p>
        </w:tc>
        <w:tc>
          <w:tcPr>
            <w:tcW w:w="1134" w:type="dxa"/>
            <w:tcBorders>
              <w:top w:val="nil"/>
              <w:left w:val="nil"/>
              <w:bottom w:val="nil"/>
              <w:right w:val="single" w:sz="4" w:space="0" w:color="auto"/>
            </w:tcBorders>
            <w:shd w:val="clear" w:color="000000" w:fill="F2F2F2"/>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26,40%</w:t>
            </w:r>
          </w:p>
        </w:tc>
        <w:tc>
          <w:tcPr>
            <w:tcW w:w="1134" w:type="dxa"/>
            <w:tcBorders>
              <w:top w:val="nil"/>
              <w:left w:val="nil"/>
              <w:bottom w:val="nil"/>
              <w:right w:val="nil"/>
            </w:tcBorders>
            <w:shd w:val="clear" w:color="000000" w:fill="F2F2F2"/>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18,90%</w:t>
            </w:r>
          </w:p>
        </w:tc>
        <w:tc>
          <w:tcPr>
            <w:tcW w:w="1134" w:type="dxa"/>
            <w:tcBorders>
              <w:top w:val="nil"/>
              <w:left w:val="nil"/>
              <w:bottom w:val="nil"/>
              <w:right w:val="nil"/>
            </w:tcBorders>
            <w:shd w:val="clear" w:color="000000" w:fill="F2F2F2"/>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14,00%</w:t>
            </w:r>
          </w:p>
        </w:tc>
        <w:tc>
          <w:tcPr>
            <w:tcW w:w="1134" w:type="dxa"/>
            <w:tcBorders>
              <w:top w:val="nil"/>
              <w:left w:val="nil"/>
              <w:bottom w:val="nil"/>
              <w:right w:val="nil"/>
            </w:tcBorders>
            <w:shd w:val="clear" w:color="000000" w:fill="F2F2F2"/>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15,30%</w:t>
            </w:r>
          </w:p>
        </w:tc>
        <w:tc>
          <w:tcPr>
            <w:tcW w:w="1134" w:type="dxa"/>
            <w:tcBorders>
              <w:top w:val="nil"/>
              <w:left w:val="nil"/>
              <w:bottom w:val="nil"/>
              <w:right w:val="nil"/>
            </w:tcBorders>
            <w:shd w:val="clear" w:color="000000" w:fill="F2F2F2"/>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17,20%</w:t>
            </w:r>
          </w:p>
        </w:tc>
        <w:tc>
          <w:tcPr>
            <w:tcW w:w="1134" w:type="dxa"/>
            <w:tcBorders>
              <w:top w:val="nil"/>
              <w:left w:val="nil"/>
              <w:bottom w:val="nil"/>
              <w:right w:val="nil"/>
            </w:tcBorders>
            <w:shd w:val="clear" w:color="000000" w:fill="F2F2F2"/>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17,60%</w:t>
            </w:r>
          </w:p>
        </w:tc>
      </w:tr>
      <w:tr w:rsidR="009A4AE5" w:rsidRPr="00227738" w:rsidTr="00B86750">
        <w:trPr>
          <w:trHeight w:val="300"/>
        </w:trPr>
        <w:tc>
          <w:tcPr>
            <w:tcW w:w="2283" w:type="dxa"/>
            <w:tcBorders>
              <w:top w:val="nil"/>
              <w:left w:val="nil"/>
              <w:bottom w:val="nil"/>
              <w:right w:val="single" w:sz="4" w:space="0" w:color="auto"/>
            </w:tcBorders>
            <w:shd w:val="clear" w:color="auto" w:fill="auto"/>
            <w:vAlign w:val="center"/>
            <w:hideMark/>
          </w:tcPr>
          <w:p w:rsidR="009A4AE5" w:rsidRPr="00227738" w:rsidRDefault="009A4AE5" w:rsidP="00B86750">
            <w:pPr>
              <w:spacing w:after="0" w:line="240" w:lineRule="auto"/>
              <w:jc w:val="both"/>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40-49</w:t>
            </w:r>
          </w:p>
        </w:tc>
        <w:tc>
          <w:tcPr>
            <w:tcW w:w="1134" w:type="dxa"/>
            <w:tcBorders>
              <w:top w:val="nil"/>
              <w:left w:val="nil"/>
              <w:bottom w:val="nil"/>
              <w:right w:val="single" w:sz="4" w:space="0" w:color="auto"/>
            </w:tcBorders>
            <w:shd w:val="clear" w:color="auto" w:fill="auto"/>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33,50%</w:t>
            </w:r>
          </w:p>
        </w:tc>
        <w:tc>
          <w:tcPr>
            <w:tcW w:w="1134" w:type="dxa"/>
            <w:tcBorders>
              <w:top w:val="nil"/>
              <w:left w:val="nil"/>
              <w:bottom w:val="nil"/>
              <w:right w:val="nil"/>
            </w:tcBorders>
            <w:shd w:val="clear" w:color="auto" w:fill="auto"/>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31,40%</w:t>
            </w:r>
          </w:p>
        </w:tc>
        <w:tc>
          <w:tcPr>
            <w:tcW w:w="1134" w:type="dxa"/>
            <w:tcBorders>
              <w:top w:val="nil"/>
              <w:left w:val="nil"/>
              <w:bottom w:val="nil"/>
              <w:right w:val="nil"/>
            </w:tcBorders>
            <w:shd w:val="clear" w:color="auto" w:fill="auto"/>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35,50%</w:t>
            </w:r>
          </w:p>
        </w:tc>
        <w:tc>
          <w:tcPr>
            <w:tcW w:w="1134" w:type="dxa"/>
            <w:tcBorders>
              <w:top w:val="nil"/>
              <w:left w:val="nil"/>
              <w:bottom w:val="nil"/>
              <w:right w:val="nil"/>
            </w:tcBorders>
            <w:shd w:val="clear" w:color="auto" w:fill="auto"/>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29,70%</w:t>
            </w:r>
          </w:p>
        </w:tc>
        <w:tc>
          <w:tcPr>
            <w:tcW w:w="1134" w:type="dxa"/>
            <w:tcBorders>
              <w:top w:val="nil"/>
              <w:left w:val="nil"/>
              <w:bottom w:val="nil"/>
              <w:right w:val="nil"/>
            </w:tcBorders>
            <w:shd w:val="clear" w:color="auto" w:fill="auto"/>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28,10%</w:t>
            </w:r>
          </w:p>
        </w:tc>
        <w:tc>
          <w:tcPr>
            <w:tcW w:w="1134" w:type="dxa"/>
            <w:tcBorders>
              <w:top w:val="nil"/>
              <w:left w:val="nil"/>
              <w:bottom w:val="nil"/>
              <w:right w:val="nil"/>
            </w:tcBorders>
            <w:shd w:val="clear" w:color="auto" w:fill="auto"/>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27,30%</w:t>
            </w:r>
          </w:p>
        </w:tc>
      </w:tr>
      <w:tr w:rsidR="009A4AE5" w:rsidRPr="00227738" w:rsidTr="00B86750">
        <w:trPr>
          <w:trHeight w:val="300"/>
        </w:trPr>
        <w:tc>
          <w:tcPr>
            <w:tcW w:w="2283" w:type="dxa"/>
            <w:tcBorders>
              <w:top w:val="nil"/>
              <w:left w:val="nil"/>
              <w:bottom w:val="nil"/>
              <w:right w:val="single" w:sz="4" w:space="0" w:color="auto"/>
            </w:tcBorders>
            <w:shd w:val="clear" w:color="000000" w:fill="F2F2F2"/>
            <w:vAlign w:val="center"/>
            <w:hideMark/>
          </w:tcPr>
          <w:p w:rsidR="009A4AE5" w:rsidRPr="00227738" w:rsidRDefault="009A4AE5" w:rsidP="00B86750">
            <w:pPr>
              <w:spacing w:after="0" w:line="240" w:lineRule="auto"/>
              <w:jc w:val="both"/>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50-59</w:t>
            </w:r>
          </w:p>
        </w:tc>
        <w:tc>
          <w:tcPr>
            <w:tcW w:w="1134" w:type="dxa"/>
            <w:tcBorders>
              <w:top w:val="nil"/>
              <w:left w:val="nil"/>
              <w:bottom w:val="nil"/>
              <w:right w:val="single" w:sz="4" w:space="0" w:color="auto"/>
            </w:tcBorders>
            <w:shd w:val="clear" w:color="000000" w:fill="F2F2F2"/>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26,30%</w:t>
            </w:r>
          </w:p>
        </w:tc>
        <w:tc>
          <w:tcPr>
            <w:tcW w:w="1134" w:type="dxa"/>
            <w:tcBorders>
              <w:top w:val="nil"/>
              <w:left w:val="nil"/>
              <w:bottom w:val="nil"/>
              <w:right w:val="nil"/>
            </w:tcBorders>
            <w:shd w:val="clear" w:color="000000" w:fill="F2F2F2"/>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35,50%</w:t>
            </w:r>
          </w:p>
        </w:tc>
        <w:tc>
          <w:tcPr>
            <w:tcW w:w="1134" w:type="dxa"/>
            <w:tcBorders>
              <w:top w:val="nil"/>
              <w:left w:val="nil"/>
              <w:bottom w:val="nil"/>
              <w:right w:val="nil"/>
            </w:tcBorders>
            <w:shd w:val="clear" w:color="000000" w:fill="F2F2F2"/>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36,50%</w:t>
            </w:r>
          </w:p>
        </w:tc>
        <w:tc>
          <w:tcPr>
            <w:tcW w:w="1134" w:type="dxa"/>
            <w:tcBorders>
              <w:top w:val="nil"/>
              <w:left w:val="nil"/>
              <w:bottom w:val="nil"/>
              <w:right w:val="nil"/>
            </w:tcBorders>
            <w:shd w:val="clear" w:color="000000" w:fill="F2F2F2"/>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39,20%</w:t>
            </w:r>
          </w:p>
        </w:tc>
        <w:tc>
          <w:tcPr>
            <w:tcW w:w="1134" w:type="dxa"/>
            <w:tcBorders>
              <w:top w:val="nil"/>
              <w:left w:val="nil"/>
              <w:bottom w:val="nil"/>
              <w:right w:val="nil"/>
            </w:tcBorders>
            <w:shd w:val="clear" w:color="000000" w:fill="F2F2F2"/>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41,90%</w:t>
            </w:r>
          </w:p>
        </w:tc>
        <w:tc>
          <w:tcPr>
            <w:tcW w:w="1134" w:type="dxa"/>
            <w:tcBorders>
              <w:top w:val="nil"/>
              <w:left w:val="nil"/>
              <w:bottom w:val="nil"/>
              <w:right w:val="nil"/>
            </w:tcBorders>
            <w:shd w:val="clear" w:color="000000" w:fill="F2F2F2"/>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40,30%</w:t>
            </w:r>
          </w:p>
        </w:tc>
      </w:tr>
      <w:tr w:rsidR="009A4AE5" w:rsidRPr="00227738" w:rsidTr="00B86750">
        <w:trPr>
          <w:trHeight w:val="300"/>
        </w:trPr>
        <w:tc>
          <w:tcPr>
            <w:tcW w:w="2283" w:type="dxa"/>
            <w:tcBorders>
              <w:top w:val="nil"/>
              <w:left w:val="nil"/>
              <w:bottom w:val="nil"/>
              <w:right w:val="single" w:sz="4" w:space="0" w:color="auto"/>
            </w:tcBorders>
            <w:shd w:val="clear" w:color="auto" w:fill="auto"/>
            <w:vAlign w:val="center"/>
            <w:hideMark/>
          </w:tcPr>
          <w:p w:rsidR="009A4AE5" w:rsidRPr="00227738" w:rsidRDefault="009A4AE5" w:rsidP="00B86750">
            <w:pPr>
              <w:spacing w:after="0" w:line="240" w:lineRule="auto"/>
              <w:jc w:val="both"/>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60 a viac rokov</w:t>
            </w:r>
          </w:p>
        </w:tc>
        <w:tc>
          <w:tcPr>
            <w:tcW w:w="1134" w:type="dxa"/>
            <w:tcBorders>
              <w:top w:val="nil"/>
              <w:left w:val="nil"/>
              <w:bottom w:val="nil"/>
              <w:right w:val="single" w:sz="4" w:space="0" w:color="auto"/>
            </w:tcBorders>
            <w:shd w:val="clear" w:color="auto" w:fill="auto"/>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1,00%</w:t>
            </w:r>
          </w:p>
        </w:tc>
        <w:tc>
          <w:tcPr>
            <w:tcW w:w="1134" w:type="dxa"/>
            <w:tcBorders>
              <w:top w:val="nil"/>
              <w:left w:val="nil"/>
              <w:bottom w:val="nil"/>
              <w:right w:val="nil"/>
            </w:tcBorders>
            <w:shd w:val="clear" w:color="auto" w:fill="auto"/>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4,80%</w:t>
            </w:r>
          </w:p>
        </w:tc>
        <w:tc>
          <w:tcPr>
            <w:tcW w:w="1134" w:type="dxa"/>
            <w:tcBorders>
              <w:top w:val="nil"/>
              <w:left w:val="nil"/>
              <w:bottom w:val="nil"/>
              <w:right w:val="nil"/>
            </w:tcBorders>
            <w:shd w:val="clear" w:color="auto" w:fill="auto"/>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5,50%</w:t>
            </w:r>
          </w:p>
        </w:tc>
        <w:tc>
          <w:tcPr>
            <w:tcW w:w="1134" w:type="dxa"/>
            <w:tcBorders>
              <w:top w:val="nil"/>
              <w:left w:val="nil"/>
              <w:bottom w:val="nil"/>
              <w:right w:val="nil"/>
            </w:tcBorders>
            <w:shd w:val="clear" w:color="auto" w:fill="auto"/>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4,70%</w:t>
            </w:r>
          </w:p>
        </w:tc>
        <w:tc>
          <w:tcPr>
            <w:tcW w:w="1134" w:type="dxa"/>
            <w:tcBorders>
              <w:top w:val="nil"/>
              <w:left w:val="nil"/>
              <w:bottom w:val="nil"/>
              <w:right w:val="nil"/>
            </w:tcBorders>
            <w:shd w:val="clear" w:color="auto" w:fill="auto"/>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4,20%</w:t>
            </w:r>
          </w:p>
        </w:tc>
        <w:tc>
          <w:tcPr>
            <w:tcW w:w="1134" w:type="dxa"/>
            <w:tcBorders>
              <w:top w:val="nil"/>
              <w:left w:val="nil"/>
              <w:bottom w:val="nil"/>
              <w:right w:val="nil"/>
            </w:tcBorders>
            <w:shd w:val="clear" w:color="auto" w:fill="auto"/>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5,60%</w:t>
            </w:r>
          </w:p>
        </w:tc>
      </w:tr>
      <w:tr w:rsidR="009A4AE5" w:rsidRPr="00227738" w:rsidTr="00B86750">
        <w:trPr>
          <w:trHeight w:val="300"/>
        </w:trPr>
        <w:tc>
          <w:tcPr>
            <w:tcW w:w="2283" w:type="dxa"/>
            <w:tcBorders>
              <w:top w:val="nil"/>
              <w:left w:val="nil"/>
              <w:bottom w:val="single" w:sz="4" w:space="0" w:color="auto"/>
              <w:right w:val="single" w:sz="4" w:space="0" w:color="auto"/>
            </w:tcBorders>
            <w:shd w:val="clear" w:color="000000" w:fill="F2F2F2"/>
            <w:vAlign w:val="center"/>
            <w:hideMark/>
          </w:tcPr>
          <w:p w:rsidR="009A4AE5" w:rsidRPr="00227738" w:rsidRDefault="009A4AE5" w:rsidP="00B86750">
            <w:pPr>
              <w:spacing w:after="0" w:line="240" w:lineRule="auto"/>
              <w:jc w:val="both"/>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Spolu</w:t>
            </w:r>
          </w:p>
        </w:tc>
        <w:tc>
          <w:tcPr>
            <w:tcW w:w="1134" w:type="dxa"/>
            <w:tcBorders>
              <w:top w:val="nil"/>
              <w:left w:val="nil"/>
              <w:bottom w:val="single" w:sz="4" w:space="0" w:color="auto"/>
              <w:right w:val="single" w:sz="4" w:space="0" w:color="auto"/>
            </w:tcBorders>
            <w:shd w:val="clear" w:color="000000" w:fill="F2F2F2"/>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100,00%</w:t>
            </w:r>
          </w:p>
        </w:tc>
        <w:tc>
          <w:tcPr>
            <w:tcW w:w="1134" w:type="dxa"/>
            <w:tcBorders>
              <w:top w:val="nil"/>
              <w:left w:val="nil"/>
              <w:bottom w:val="single" w:sz="4" w:space="0" w:color="auto"/>
              <w:right w:val="nil"/>
            </w:tcBorders>
            <w:shd w:val="clear" w:color="000000" w:fill="F2F2F2"/>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100,00%</w:t>
            </w:r>
          </w:p>
        </w:tc>
        <w:tc>
          <w:tcPr>
            <w:tcW w:w="1134" w:type="dxa"/>
            <w:tcBorders>
              <w:top w:val="nil"/>
              <w:left w:val="nil"/>
              <w:bottom w:val="single" w:sz="4" w:space="0" w:color="auto"/>
              <w:right w:val="nil"/>
            </w:tcBorders>
            <w:shd w:val="clear" w:color="000000" w:fill="F2F2F2"/>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100,00%</w:t>
            </w:r>
          </w:p>
        </w:tc>
        <w:tc>
          <w:tcPr>
            <w:tcW w:w="1134" w:type="dxa"/>
            <w:tcBorders>
              <w:top w:val="nil"/>
              <w:left w:val="nil"/>
              <w:bottom w:val="single" w:sz="4" w:space="0" w:color="auto"/>
              <w:right w:val="nil"/>
            </w:tcBorders>
            <w:shd w:val="clear" w:color="000000" w:fill="F2F2F2"/>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100,00%</w:t>
            </w:r>
          </w:p>
        </w:tc>
        <w:tc>
          <w:tcPr>
            <w:tcW w:w="1134" w:type="dxa"/>
            <w:tcBorders>
              <w:top w:val="nil"/>
              <w:left w:val="nil"/>
              <w:bottom w:val="single" w:sz="4" w:space="0" w:color="auto"/>
              <w:right w:val="nil"/>
            </w:tcBorders>
            <w:shd w:val="clear" w:color="000000" w:fill="F2F2F2"/>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100,00%</w:t>
            </w:r>
          </w:p>
        </w:tc>
        <w:tc>
          <w:tcPr>
            <w:tcW w:w="1134" w:type="dxa"/>
            <w:tcBorders>
              <w:top w:val="nil"/>
              <w:left w:val="nil"/>
              <w:bottom w:val="single" w:sz="4" w:space="0" w:color="auto"/>
              <w:right w:val="nil"/>
            </w:tcBorders>
            <w:shd w:val="clear" w:color="000000" w:fill="F2F2F2"/>
            <w:vAlign w:val="center"/>
            <w:hideMark/>
          </w:tcPr>
          <w:p w:rsidR="009A4AE5" w:rsidRPr="00227738" w:rsidRDefault="009A4AE5" w:rsidP="00B86750">
            <w:pPr>
              <w:spacing w:after="0" w:line="240" w:lineRule="auto"/>
              <w:jc w:val="right"/>
              <w:rPr>
                <w:rFonts w:ascii="Times New Roman" w:eastAsia="Times New Roman" w:hAnsi="Times New Roman" w:cs="Times New Roman"/>
                <w:color w:val="000000"/>
                <w:sz w:val="20"/>
                <w:szCs w:val="20"/>
              </w:rPr>
            </w:pPr>
            <w:r w:rsidRPr="00227738">
              <w:rPr>
                <w:rFonts w:ascii="Times New Roman" w:eastAsia="Times New Roman" w:hAnsi="Times New Roman" w:cs="Times New Roman"/>
                <w:color w:val="000000"/>
                <w:sz w:val="20"/>
                <w:szCs w:val="20"/>
              </w:rPr>
              <w:t>100,00%</w:t>
            </w:r>
          </w:p>
        </w:tc>
      </w:tr>
    </w:tbl>
    <w:p w:rsidR="009A4AE5" w:rsidRPr="00C431FF" w:rsidRDefault="009A4AE5" w:rsidP="009A4A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ŠÚSR</w:t>
      </w:r>
    </w:p>
    <w:p w:rsidR="009A4AE5" w:rsidRDefault="009A4AE5" w:rsidP="009A4AE5">
      <w:pPr>
        <w:spacing w:after="0" w:line="240" w:lineRule="auto"/>
        <w:jc w:val="both"/>
        <w:rPr>
          <w:rFonts w:ascii="Times New Roman" w:eastAsia="Calibri" w:hAnsi="Times New Roman"/>
          <w:sz w:val="24"/>
          <w:szCs w:val="24"/>
        </w:rPr>
      </w:pPr>
    </w:p>
    <w:p w:rsidR="009A4AE5" w:rsidRPr="000272FF" w:rsidRDefault="009A4AE5" w:rsidP="009A4AE5">
      <w:pPr>
        <w:spacing w:after="0" w:line="240" w:lineRule="auto"/>
        <w:jc w:val="both"/>
        <w:rPr>
          <w:rFonts w:ascii="Times New Roman" w:eastAsia="Calibri" w:hAnsi="Times New Roman"/>
          <w:sz w:val="24"/>
          <w:szCs w:val="24"/>
        </w:rPr>
      </w:pPr>
      <w:r>
        <w:rPr>
          <w:rFonts w:ascii="Times New Roman" w:eastAsia="Calibri" w:hAnsi="Times New Roman"/>
          <w:sz w:val="24"/>
          <w:szCs w:val="24"/>
        </w:rPr>
        <w:t>P</w:t>
      </w:r>
      <w:r w:rsidRPr="000272FF">
        <w:rPr>
          <w:rFonts w:ascii="Times New Roman" w:eastAsia="Calibri" w:hAnsi="Times New Roman"/>
          <w:sz w:val="24"/>
          <w:szCs w:val="24"/>
        </w:rPr>
        <w:t xml:space="preserve">riemerný vek </w:t>
      </w:r>
      <w:r>
        <w:rPr>
          <w:rFonts w:ascii="Times New Roman" w:eastAsia="Calibri" w:hAnsi="Times New Roman"/>
          <w:sz w:val="24"/>
          <w:szCs w:val="24"/>
        </w:rPr>
        <w:t>pracujúcich</w:t>
      </w:r>
      <w:r w:rsidRPr="000272FF">
        <w:rPr>
          <w:rFonts w:ascii="Times New Roman" w:eastAsia="Calibri" w:hAnsi="Times New Roman"/>
          <w:sz w:val="24"/>
          <w:szCs w:val="24"/>
        </w:rPr>
        <w:t xml:space="preserve"> v poľnohospodárstve v roku 2011 činil 45,9 roka a u žien až 46,8. Najmä u žien je priemerný vek od roku 1970 historicky najvyšší. To naznačuje, že v  poľnohospodárstve nedochádza k  reprodukcii pracovných síl najmä u ženskej pracovnej </w:t>
      </w:r>
      <w:r w:rsidRPr="000272FF">
        <w:rPr>
          <w:rFonts w:ascii="Times New Roman" w:eastAsia="Calibri" w:hAnsi="Times New Roman"/>
          <w:sz w:val="24"/>
          <w:szCs w:val="24"/>
        </w:rPr>
        <w:lastRenderedPageBreak/>
        <w:t xml:space="preserve">sily, resp. že je vytláčaná mužskou pracovnou silou. Pre poľnohospodársku prvovýrobu bude pre budúce obdobie nevyhnutná potreba generačnej obmeny pracovných síl (predovšetkým v manuálnych profesiách). </w:t>
      </w:r>
    </w:p>
    <w:p w:rsidR="009C321A" w:rsidRDefault="009C321A" w:rsidP="009A4AE5">
      <w:pPr>
        <w:spacing w:after="0" w:line="240" w:lineRule="auto"/>
        <w:jc w:val="both"/>
        <w:rPr>
          <w:rFonts w:ascii="Times New Roman" w:hAnsi="Times New Roman" w:cs="Times New Roman"/>
          <w:sz w:val="24"/>
          <w:szCs w:val="24"/>
        </w:rPr>
      </w:pPr>
    </w:p>
    <w:p w:rsidR="009A4AE5" w:rsidRPr="00966597" w:rsidRDefault="009A4AE5" w:rsidP="009A4AE5">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 4:</w:t>
      </w:r>
      <w:r>
        <w:rPr>
          <w:rFonts w:ascii="Times New Roman" w:hAnsi="Times New Roman" w:cs="Times New Roman"/>
          <w:sz w:val="20"/>
          <w:szCs w:val="20"/>
        </w:rPr>
        <w:tab/>
        <w:t>Priemerný vek pracujúcich v poľnohospodárstve</w:t>
      </w:r>
    </w:p>
    <w:tbl>
      <w:tblPr>
        <w:tblW w:w="9036" w:type="dxa"/>
        <w:tblInd w:w="55" w:type="dxa"/>
        <w:tblCellMar>
          <w:left w:w="70" w:type="dxa"/>
          <w:right w:w="70" w:type="dxa"/>
        </w:tblCellMar>
        <w:tblLook w:val="04A0" w:firstRow="1" w:lastRow="0" w:firstColumn="1" w:lastColumn="0" w:noHBand="0" w:noVBand="1"/>
      </w:tblPr>
      <w:tblGrid>
        <w:gridCol w:w="3276"/>
        <w:gridCol w:w="960"/>
        <w:gridCol w:w="960"/>
        <w:gridCol w:w="960"/>
        <w:gridCol w:w="960"/>
        <w:gridCol w:w="960"/>
        <w:gridCol w:w="960"/>
      </w:tblGrid>
      <w:tr w:rsidR="009A4AE5" w:rsidRPr="00F45A41" w:rsidTr="00B86750">
        <w:trPr>
          <w:trHeight w:val="510"/>
        </w:trPr>
        <w:tc>
          <w:tcPr>
            <w:tcW w:w="3276" w:type="dxa"/>
            <w:tcBorders>
              <w:top w:val="nil"/>
              <w:left w:val="nil"/>
              <w:bottom w:val="single" w:sz="4" w:space="0" w:color="auto"/>
              <w:right w:val="nil"/>
            </w:tcBorders>
            <w:shd w:val="clear" w:color="000000" w:fill="D9D9D9"/>
            <w:vAlign w:val="center"/>
            <w:hideMark/>
          </w:tcPr>
          <w:p w:rsidR="009A4AE5" w:rsidRPr="00F45A41" w:rsidRDefault="009A4AE5" w:rsidP="00B86750">
            <w:pPr>
              <w:spacing w:after="0" w:line="240" w:lineRule="auto"/>
              <w:rPr>
                <w:rFonts w:ascii="Times New Roman" w:eastAsia="Times New Roman" w:hAnsi="Times New Roman" w:cs="Times New Roman"/>
                <w:b/>
                <w:bCs/>
                <w:color w:val="000000"/>
                <w:sz w:val="20"/>
                <w:szCs w:val="20"/>
              </w:rPr>
            </w:pPr>
            <w:r w:rsidRPr="00F45A41">
              <w:rPr>
                <w:rFonts w:ascii="Times New Roman" w:eastAsia="Times New Roman" w:hAnsi="Times New Roman" w:cs="Times New Roman"/>
                <w:b/>
                <w:bCs/>
                <w:color w:val="000000"/>
                <w:sz w:val="20"/>
                <w:szCs w:val="20"/>
              </w:rPr>
              <w:t> </w:t>
            </w:r>
          </w:p>
        </w:tc>
        <w:tc>
          <w:tcPr>
            <w:tcW w:w="960" w:type="dxa"/>
            <w:tcBorders>
              <w:top w:val="nil"/>
              <w:left w:val="single" w:sz="4" w:space="0" w:color="auto"/>
              <w:bottom w:val="single" w:sz="4" w:space="0" w:color="auto"/>
              <w:right w:val="single" w:sz="4" w:space="0" w:color="auto"/>
            </w:tcBorders>
            <w:shd w:val="clear" w:color="000000" w:fill="D9D9D9"/>
            <w:vAlign w:val="center"/>
            <w:hideMark/>
          </w:tcPr>
          <w:p w:rsidR="009A4AE5" w:rsidRPr="00F45A41" w:rsidRDefault="009A4AE5" w:rsidP="00B86750">
            <w:pPr>
              <w:spacing w:after="0" w:line="240" w:lineRule="auto"/>
              <w:jc w:val="center"/>
              <w:rPr>
                <w:rFonts w:ascii="Times New Roman" w:eastAsia="Times New Roman" w:hAnsi="Times New Roman" w:cs="Times New Roman"/>
                <w:b/>
                <w:bCs/>
                <w:color w:val="000000"/>
                <w:sz w:val="20"/>
                <w:szCs w:val="20"/>
              </w:rPr>
            </w:pPr>
            <w:r w:rsidRPr="00F45A41">
              <w:rPr>
                <w:rFonts w:ascii="Times New Roman" w:eastAsia="Times New Roman" w:hAnsi="Times New Roman" w:cs="Times New Roman"/>
                <w:b/>
                <w:bCs/>
                <w:color w:val="000000"/>
                <w:sz w:val="20"/>
                <w:szCs w:val="20"/>
              </w:rPr>
              <w:t>2002</w:t>
            </w:r>
          </w:p>
        </w:tc>
        <w:tc>
          <w:tcPr>
            <w:tcW w:w="960" w:type="dxa"/>
            <w:tcBorders>
              <w:top w:val="nil"/>
              <w:left w:val="nil"/>
              <w:bottom w:val="single" w:sz="4" w:space="0" w:color="auto"/>
              <w:right w:val="nil"/>
            </w:tcBorders>
            <w:shd w:val="clear" w:color="000000" w:fill="D9D9D9"/>
            <w:vAlign w:val="center"/>
            <w:hideMark/>
          </w:tcPr>
          <w:p w:rsidR="009A4AE5" w:rsidRPr="00F45A41" w:rsidRDefault="009A4AE5" w:rsidP="00B86750">
            <w:pPr>
              <w:spacing w:after="0" w:line="240" w:lineRule="auto"/>
              <w:jc w:val="center"/>
              <w:rPr>
                <w:rFonts w:ascii="Times New Roman" w:eastAsia="Times New Roman" w:hAnsi="Times New Roman" w:cs="Times New Roman"/>
                <w:b/>
                <w:bCs/>
                <w:color w:val="000000"/>
                <w:sz w:val="20"/>
                <w:szCs w:val="20"/>
              </w:rPr>
            </w:pPr>
            <w:r w:rsidRPr="00F45A41">
              <w:rPr>
                <w:rFonts w:ascii="Times New Roman" w:eastAsia="Times New Roman" w:hAnsi="Times New Roman" w:cs="Times New Roman"/>
                <w:b/>
                <w:bCs/>
                <w:color w:val="000000"/>
                <w:sz w:val="20"/>
                <w:szCs w:val="20"/>
              </w:rPr>
              <w:t>2008</w:t>
            </w:r>
          </w:p>
        </w:tc>
        <w:tc>
          <w:tcPr>
            <w:tcW w:w="960" w:type="dxa"/>
            <w:tcBorders>
              <w:top w:val="nil"/>
              <w:left w:val="nil"/>
              <w:bottom w:val="single" w:sz="4" w:space="0" w:color="auto"/>
              <w:right w:val="nil"/>
            </w:tcBorders>
            <w:shd w:val="clear" w:color="000000" w:fill="D9D9D9"/>
            <w:vAlign w:val="center"/>
            <w:hideMark/>
          </w:tcPr>
          <w:p w:rsidR="009A4AE5" w:rsidRPr="00F45A41" w:rsidRDefault="009A4AE5" w:rsidP="00B86750">
            <w:pPr>
              <w:spacing w:after="0" w:line="240" w:lineRule="auto"/>
              <w:jc w:val="center"/>
              <w:rPr>
                <w:rFonts w:ascii="Times New Roman" w:eastAsia="Times New Roman" w:hAnsi="Times New Roman" w:cs="Times New Roman"/>
                <w:b/>
                <w:bCs/>
                <w:color w:val="000000"/>
                <w:sz w:val="20"/>
                <w:szCs w:val="20"/>
              </w:rPr>
            </w:pPr>
            <w:r w:rsidRPr="00F45A41">
              <w:rPr>
                <w:rFonts w:ascii="Times New Roman" w:eastAsia="Times New Roman" w:hAnsi="Times New Roman" w:cs="Times New Roman"/>
                <w:b/>
                <w:bCs/>
                <w:color w:val="000000"/>
                <w:sz w:val="20"/>
                <w:szCs w:val="20"/>
              </w:rPr>
              <w:t>2009</w:t>
            </w:r>
          </w:p>
        </w:tc>
        <w:tc>
          <w:tcPr>
            <w:tcW w:w="960" w:type="dxa"/>
            <w:tcBorders>
              <w:top w:val="nil"/>
              <w:left w:val="nil"/>
              <w:bottom w:val="single" w:sz="4" w:space="0" w:color="auto"/>
              <w:right w:val="nil"/>
            </w:tcBorders>
            <w:shd w:val="clear" w:color="000000" w:fill="D9D9D9"/>
            <w:vAlign w:val="center"/>
            <w:hideMark/>
          </w:tcPr>
          <w:p w:rsidR="009A4AE5" w:rsidRPr="00F45A41" w:rsidRDefault="009A4AE5" w:rsidP="00B86750">
            <w:pPr>
              <w:spacing w:after="0" w:line="240" w:lineRule="auto"/>
              <w:jc w:val="center"/>
              <w:rPr>
                <w:rFonts w:ascii="Times New Roman" w:eastAsia="Times New Roman" w:hAnsi="Times New Roman" w:cs="Times New Roman"/>
                <w:b/>
                <w:bCs/>
                <w:color w:val="000000"/>
                <w:sz w:val="20"/>
                <w:szCs w:val="20"/>
              </w:rPr>
            </w:pPr>
            <w:r w:rsidRPr="00F45A41">
              <w:rPr>
                <w:rFonts w:ascii="Times New Roman" w:eastAsia="Times New Roman" w:hAnsi="Times New Roman" w:cs="Times New Roman"/>
                <w:b/>
                <w:bCs/>
                <w:color w:val="000000"/>
                <w:sz w:val="20"/>
                <w:szCs w:val="20"/>
              </w:rPr>
              <w:t>2010</w:t>
            </w:r>
          </w:p>
        </w:tc>
        <w:tc>
          <w:tcPr>
            <w:tcW w:w="960" w:type="dxa"/>
            <w:tcBorders>
              <w:top w:val="nil"/>
              <w:left w:val="nil"/>
              <w:bottom w:val="single" w:sz="4" w:space="0" w:color="auto"/>
              <w:right w:val="nil"/>
            </w:tcBorders>
            <w:shd w:val="clear" w:color="000000" w:fill="D9D9D9"/>
            <w:vAlign w:val="center"/>
            <w:hideMark/>
          </w:tcPr>
          <w:p w:rsidR="009A4AE5" w:rsidRPr="00F45A41" w:rsidRDefault="009A4AE5" w:rsidP="00B86750">
            <w:pPr>
              <w:spacing w:after="0" w:line="240" w:lineRule="auto"/>
              <w:jc w:val="center"/>
              <w:rPr>
                <w:rFonts w:ascii="Times New Roman" w:eastAsia="Times New Roman" w:hAnsi="Times New Roman" w:cs="Times New Roman"/>
                <w:b/>
                <w:bCs/>
                <w:color w:val="000000"/>
                <w:sz w:val="20"/>
                <w:szCs w:val="20"/>
              </w:rPr>
            </w:pPr>
            <w:r w:rsidRPr="00F45A41">
              <w:rPr>
                <w:rFonts w:ascii="Times New Roman" w:eastAsia="Times New Roman" w:hAnsi="Times New Roman" w:cs="Times New Roman"/>
                <w:b/>
                <w:bCs/>
                <w:color w:val="000000"/>
                <w:sz w:val="20"/>
                <w:szCs w:val="20"/>
              </w:rPr>
              <w:t>2011</w:t>
            </w:r>
          </w:p>
        </w:tc>
        <w:tc>
          <w:tcPr>
            <w:tcW w:w="960" w:type="dxa"/>
            <w:tcBorders>
              <w:top w:val="nil"/>
              <w:left w:val="nil"/>
              <w:bottom w:val="single" w:sz="4" w:space="0" w:color="auto"/>
              <w:right w:val="nil"/>
            </w:tcBorders>
            <w:shd w:val="clear" w:color="000000" w:fill="D9D9D9"/>
            <w:vAlign w:val="center"/>
            <w:hideMark/>
          </w:tcPr>
          <w:p w:rsidR="009A4AE5" w:rsidRPr="00F45A41" w:rsidRDefault="009A4AE5" w:rsidP="00B86750">
            <w:pPr>
              <w:spacing w:after="0" w:line="240" w:lineRule="auto"/>
              <w:jc w:val="both"/>
              <w:rPr>
                <w:rFonts w:ascii="Times New Roman" w:eastAsia="Times New Roman" w:hAnsi="Times New Roman" w:cs="Times New Roman"/>
                <w:b/>
                <w:bCs/>
                <w:color w:val="000000"/>
                <w:sz w:val="20"/>
                <w:szCs w:val="20"/>
              </w:rPr>
            </w:pPr>
            <w:r w:rsidRPr="00F45A41">
              <w:rPr>
                <w:rFonts w:ascii="Times New Roman" w:eastAsia="Times New Roman" w:hAnsi="Times New Roman" w:cs="Times New Roman"/>
                <w:b/>
                <w:bCs/>
                <w:color w:val="000000"/>
                <w:sz w:val="20"/>
                <w:szCs w:val="20"/>
              </w:rPr>
              <w:t>Rozdiel 2011 - 02</w:t>
            </w:r>
          </w:p>
        </w:tc>
      </w:tr>
      <w:tr w:rsidR="009A4AE5" w:rsidRPr="00F45A41" w:rsidTr="00B86750">
        <w:trPr>
          <w:trHeight w:val="300"/>
        </w:trPr>
        <w:tc>
          <w:tcPr>
            <w:tcW w:w="3276" w:type="dxa"/>
            <w:tcBorders>
              <w:top w:val="nil"/>
              <w:left w:val="nil"/>
              <w:bottom w:val="nil"/>
              <w:right w:val="nil"/>
            </w:tcBorders>
            <w:shd w:val="clear" w:color="auto" w:fill="auto"/>
            <w:vAlign w:val="center"/>
            <w:hideMark/>
          </w:tcPr>
          <w:p w:rsidR="009A4AE5" w:rsidRPr="00F45A41" w:rsidRDefault="009A4AE5" w:rsidP="00B86750">
            <w:pPr>
              <w:spacing w:after="0" w:line="240" w:lineRule="auto"/>
              <w:jc w:val="both"/>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Trvalo činní spolu</w:t>
            </w:r>
          </w:p>
        </w:tc>
        <w:tc>
          <w:tcPr>
            <w:tcW w:w="960" w:type="dxa"/>
            <w:tcBorders>
              <w:top w:val="nil"/>
              <w:left w:val="single" w:sz="4" w:space="0" w:color="auto"/>
              <w:bottom w:val="nil"/>
              <w:right w:val="single" w:sz="4" w:space="0" w:color="auto"/>
            </w:tcBorders>
            <w:shd w:val="clear" w:color="auto" w:fill="auto"/>
            <w:vAlign w:val="center"/>
            <w:hideMark/>
          </w:tcPr>
          <w:p w:rsidR="009A4AE5" w:rsidRPr="00F45A41" w:rsidRDefault="009A4AE5" w:rsidP="00B86750">
            <w:pPr>
              <w:spacing w:after="0" w:line="240" w:lineRule="auto"/>
              <w:jc w:val="center"/>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42</w:t>
            </w:r>
          </w:p>
        </w:tc>
        <w:tc>
          <w:tcPr>
            <w:tcW w:w="960" w:type="dxa"/>
            <w:tcBorders>
              <w:top w:val="nil"/>
              <w:left w:val="nil"/>
              <w:bottom w:val="nil"/>
              <w:right w:val="nil"/>
            </w:tcBorders>
            <w:shd w:val="clear" w:color="auto" w:fill="auto"/>
            <w:vAlign w:val="center"/>
            <w:hideMark/>
          </w:tcPr>
          <w:p w:rsidR="009A4AE5" w:rsidRPr="00F45A41" w:rsidRDefault="009A4AE5" w:rsidP="00B86750">
            <w:pPr>
              <w:spacing w:after="0" w:line="240" w:lineRule="auto"/>
              <w:jc w:val="center"/>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46</w:t>
            </w:r>
          </w:p>
        </w:tc>
        <w:tc>
          <w:tcPr>
            <w:tcW w:w="960" w:type="dxa"/>
            <w:tcBorders>
              <w:top w:val="nil"/>
              <w:left w:val="nil"/>
              <w:bottom w:val="nil"/>
              <w:right w:val="nil"/>
            </w:tcBorders>
            <w:shd w:val="clear" w:color="auto" w:fill="auto"/>
            <w:vAlign w:val="center"/>
            <w:hideMark/>
          </w:tcPr>
          <w:p w:rsidR="009A4AE5" w:rsidRPr="00F45A41" w:rsidRDefault="009A4AE5" w:rsidP="00B86750">
            <w:pPr>
              <w:spacing w:after="0" w:line="240" w:lineRule="auto"/>
              <w:jc w:val="center"/>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45,7</w:t>
            </w:r>
          </w:p>
        </w:tc>
        <w:tc>
          <w:tcPr>
            <w:tcW w:w="960" w:type="dxa"/>
            <w:tcBorders>
              <w:top w:val="nil"/>
              <w:left w:val="nil"/>
              <w:bottom w:val="nil"/>
              <w:right w:val="nil"/>
            </w:tcBorders>
            <w:shd w:val="clear" w:color="auto" w:fill="auto"/>
            <w:vAlign w:val="center"/>
            <w:hideMark/>
          </w:tcPr>
          <w:p w:rsidR="009A4AE5" w:rsidRPr="00F45A41" w:rsidRDefault="009A4AE5" w:rsidP="00B86750">
            <w:pPr>
              <w:spacing w:after="0" w:line="240" w:lineRule="auto"/>
              <w:jc w:val="center"/>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46,1</w:t>
            </w:r>
          </w:p>
        </w:tc>
        <w:tc>
          <w:tcPr>
            <w:tcW w:w="960" w:type="dxa"/>
            <w:tcBorders>
              <w:top w:val="nil"/>
              <w:left w:val="nil"/>
              <w:bottom w:val="nil"/>
              <w:right w:val="nil"/>
            </w:tcBorders>
            <w:shd w:val="clear" w:color="auto" w:fill="auto"/>
            <w:vAlign w:val="center"/>
            <w:hideMark/>
          </w:tcPr>
          <w:p w:rsidR="009A4AE5" w:rsidRPr="00F45A41" w:rsidRDefault="009A4AE5" w:rsidP="00B86750">
            <w:pPr>
              <w:spacing w:after="0" w:line="240" w:lineRule="auto"/>
              <w:jc w:val="center"/>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45,9</w:t>
            </w:r>
          </w:p>
        </w:tc>
        <w:tc>
          <w:tcPr>
            <w:tcW w:w="960" w:type="dxa"/>
            <w:tcBorders>
              <w:top w:val="nil"/>
              <w:left w:val="nil"/>
              <w:bottom w:val="nil"/>
              <w:right w:val="nil"/>
            </w:tcBorders>
            <w:shd w:val="clear" w:color="auto" w:fill="auto"/>
            <w:vAlign w:val="center"/>
            <w:hideMark/>
          </w:tcPr>
          <w:p w:rsidR="009A4AE5" w:rsidRPr="00F45A41" w:rsidRDefault="009A4AE5" w:rsidP="00B86750">
            <w:pPr>
              <w:spacing w:after="0" w:line="240" w:lineRule="auto"/>
              <w:jc w:val="center"/>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3,9</w:t>
            </w:r>
          </w:p>
        </w:tc>
      </w:tr>
      <w:tr w:rsidR="009A4AE5" w:rsidRPr="00F45A41" w:rsidTr="00B86750">
        <w:trPr>
          <w:trHeight w:val="300"/>
        </w:trPr>
        <w:tc>
          <w:tcPr>
            <w:tcW w:w="3276" w:type="dxa"/>
            <w:tcBorders>
              <w:top w:val="nil"/>
              <w:left w:val="nil"/>
              <w:bottom w:val="nil"/>
              <w:right w:val="nil"/>
            </w:tcBorders>
            <w:shd w:val="clear" w:color="000000" w:fill="F2F2F2"/>
            <w:vAlign w:val="center"/>
            <w:hideMark/>
          </w:tcPr>
          <w:p w:rsidR="009A4AE5" w:rsidRPr="00F45A41" w:rsidRDefault="009A4AE5" w:rsidP="00B86750">
            <w:pPr>
              <w:spacing w:after="0" w:line="240" w:lineRule="auto"/>
              <w:jc w:val="both"/>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 xml:space="preserve"> -z toho ženy</w:t>
            </w:r>
          </w:p>
        </w:tc>
        <w:tc>
          <w:tcPr>
            <w:tcW w:w="960" w:type="dxa"/>
            <w:tcBorders>
              <w:top w:val="nil"/>
              <w:left w:val="single" w:sz="4" w:space="0" w:color="auto"/>
              <w:bottom w:val="nil"/>
              <w:right w:val="single" w:sz="4" w:space="0" w:color="auto"/>
            </w:tcBorders>
            <w:shd w:val="clear" w:color="000000" w:fill="F2F2F2"/>
            <w:vAlign w:val="center"/>
            <w:hideMark/>
          </w:tcPr>
          <w:p w:rsidR="009A4AE5" w:rsidRPr="00F45A41" w:rsidRDefault="009A4AE5" w:rsidP="00B86750">
            <w:pPr>
              <w:spacing w:after="0" w:line="240" w:lineRule="auto"/>
              <w:jc w:val="center"/>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42,6</w:t>
            </w:r>
          </w:p>
        </w:tc>
        <w:tc>
          <w:tcPr>
            <w:tcW w:w="960" w:type="dxa"/>
            <w:tcBorders>
              <w:top w:val="nil"/>
              <w:left w:val="nil"/>
              <w:bottom w:val="nil"/>
              <w:right w:val="nil"/>
            </w:tcBorders>
            <w:shd w:val="clear" w:color="000000" w:fill="F2F2F2"/>
            <w:vAlign w:val="center"/>
            <w:hideMark/>
          </w:tcPr>
          <w:p w:rsidR="009A4AE5" w:rsidRPr="00F45A41" w:rsidRDefault="009A4AE5" w:rsidP="00B86750">
            <w:pPr>
              <w:spacing w:after="0" w:line="240" w:lineRule="auto"/>
              <w:jc w:val="center"/>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44,5</w:t>
            </w:r>
          </w:p>
        </w:tc>
        <w:tc>
          <w:tcPr>
            <w:tcW w:w="960" w:type="dxa"/>
            <w:tcBorders>
              <w:top w:val="nil"/>
              <w:left w:val="nil"/>
              <w:bottom w:val="nil"/>
              <w:right w:val="nil"/>
            </w:tcBorders>
            <w:shd w:val="clear" w:color="000000" w:fill="F2F2F2"/>
            <w:vAlign w:val="center"/>
            <w:hideMark/>
          </w:tcPr>
          <w:p w:rsidR="009A4AE5" w:rsidRPr="00F45A41" w:rsidRDefault="009A4AE5" w:rsidP="00B86750">
            <w:pPr>
              <w:spacing w:after="0" w:line="240" w:lineRule="auto"/>
              <w:jc w:val="center"/>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45</w:t>
            </w:r>
          </w:p>
        </w:tc>
        <w:tc>
          <w:tcPr>
            <w:tcW w:w="960" w:type="dxa"/>
            <w:tcBorders>
              <w:top w:val="nil"/>
              <w:left w:val="nil"/>
              <w:bottom w:val="nil"/>
              <w:right w:val="nil"/>
            </w:tcBorders>
            <w:shd w:val="clear" w:color="000000" w:fill="F2F2F2"/>
            <w:vAlign w:val="center"/>
            <w:hideMark/>
          </w:tcPr>
          <w:p w:rsidR="009A4AE5" w:rsidRPr="00F45A41" w:rsidRDefault="009A4AE5" w:rsidP="00B86750">
            <w:pPr>
              <w:spacing w:after="0" w:line="240" w:lineRule="auto"/>
              <w:jc w:val="center"/>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45,8</w:t>
            </w:r>
          </w:p>
        </w:tc>
        <w:tc>
          <w:tcPr>
            <w:tcW w:w="960" w:type="dxa"/>
            <w:tcBorders>
              <w:top w:val="nil"/>
              <w:left w:val="nil"/>
              <w:bottom w:val="nil"/>
              <w:right w:val="nil"/>
            </w:tcBorders>
            <w:shd w:val="clear" w:color="000000" w:fill="F2F2F2"/>
            <w:vAlign w:val="center"/>
            <w:hideMark/>
          </w:tcPr>
          <w:p w:rsidR="009A4AE5" w:rsidRPr="00F45A41" w:rsidRDefault="009A4AE5" w:rsidP="00B86750">
            <w:pPr>
              <w:spacing w:after="0" w:line="240" w:lineRule="auto"/>
              <w:jc w:val="center"/>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46,8</w:t>
            </w:r>
          </w:p>
        </w:tc>
        <w:tc>
          <w:tcPr>
            <w:tcW w:w="960" w:type="dxa"/>
            <w:tcBorders>
              <w:top w:val="nil"/>
              <w:left w:val="nil"/>
              <w:bottom w:val="nil"/>
              <w:right w:val="nil"/>
            </w:tcBorders>
            <w:shd w:val="clear" w:color="000000" w:fill="F2F2F2"/>
            <w:vAlign w:val="center"/>
            <w:hideMark/>
          </w:tcPr>
          <w:p w:rsidR="009A4AE5" w:rsidRPr="00F45A41" w:rsidRDefault="009A4AE5" w:rsidP="00B86750">
            <w:pPr>
              <w:spacing w:after="0" w:line="240" w:lineRule="auto"/>
              <w:jc w:val="center"/>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4,2</w:t>
            </w:r>
          </w:p>
        </w:tc>
      </w:tr>
      <w:tr w:rsidR="009A4AE5" w:rsidRPr="00F45A41" w:rsidTr="00B86750">
        <w:trPr>
          <w:trHeight w:val="300"/>
        </w:trPr>
        <w:tc>
          <w:tcPr>
            <w:tcW w:w="3276" w:type="dxa"/>
            <w:tcBorders>
              <w:top w:val="nil"/>
              <w:left w:val="nil"/>
              <w:bottom w:val="single" w:sz="4" w:space="0" w:color="auto"/>
              <w:right w:val="nil"/>
            </w:tcBorders>
            <w:shd w:val="clear" w:color="auto" w:fill="auto"/>
            <w:vAlign w:val="center"/>
            <w:hideMark/>
          </w:tcPr>
          <w:p w:rsidR="009A4AE5" w:rsidRPr="00F45A41" w:rsidRDefault="009A4AE5" w:rsidP="00B86750">
            <w:pPr>
              <w:spacing w:after="0" w:line="240" w:lineRule="auto"/>
              <w:jc w:val="both"/>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 xml:space="preserve"> -z toho muži</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A4AE5" w:rsidRPr="00F45A41" w:rsidRDefault="009A4AE5" w:rsidP="00B86750">
            <w:pPr>
              <w:spacing w:after="0" w:line="240" w:lineRule="auto"/>
              <w:jc w:val="center"/>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40</w:t>
            </w:r>
          </w:p>
        </w:tc>
        <w:tc>
          <w:tcPr>
            <w:tcW w:w="960" w:type="dxa"/>
            <w:tcBorders>
              <w:top w:val="nil"/>
              <w:left w:val="nil"/>
              <w:bottom w:val="single" w:sz="4" w:space="0" w:color="auto"/>
              <w:right w:val="nil"/>
            </w:tcBorders>
            <w:shd w:val="clear" w:color="auto" w:fill="auto"/>
            <w:vAlign w:val="center"/>
            <w:hideMark/>
          </w:tcPr>
          <w:p w:rsidR="009A4AE5" w:rsidRPr="00F45A41" w:rsidRDefault="009A4AE5" w:rsidP="00B86750">
            <w:pPr>
              <w:spacing w:after="0" w:line="240" w:lineRule="auto"/>
              <w:jc w:val="center"/>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46,5</w:t>
            </w:r>
          </w:p>
        </w:tc>
        <w:tc>
          <w:tcPr>
            <w:tcW w:w="960" w:type="dxa"/>
            <w:tcBorders>
              <w:top w:val="nil"/>
              <w:left w:val="nil"/>
              <w:bottom w:val="single" w:sz="4" w:space="0" w:color="auto"/>
              <w:right w:val="nil"/>
            </w:tcBorders>
            <w:shd w:val="clear" w:color="auto" w:fill="auto"/>
            <w:vAlign w:val="center"/>
            <w:hideMark/>
          </w:tcPr>
          <w:p w:rsidR="009A4AE5" w:rsidRPr="00F45A41" w:rsidRDefault="009A4AE5" w:rsidP="00B86750">
            <w:pPr>
              <w:spacing w:after="0" w:line="240" w:lineRule="auto"/>
              <w:jc w:val="center"/>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45,9</w:t>
            </w:r>
          </w:p>
        </w:tc>
        <w:tc>
          <w:tcPr>
            <w:tcW w:w="960" w:type="dxa"/>
            <w:tcBorders>
              <w:top w:val="nil"/>
              <w:left w:val="nil"/>
              <w:bottom w:val="single" w:sz="4" w:space="0" w:color="auto"/>
              <w:right w:val="nil"/>
            </w:tcBorders>
            <w:shd w:val="clear" w:color="auto" w:fill="auto"/>
            <w:vAlign w:val="center"/>
            <w:hideMark/>
          </w:tcPr>
          <w:p w:rsidR="009A4AE5" w:rsidRPr="00F45A41" w:rsidRDefault="009A4AE5" w:rsidP="00B86750">
            <w:pPr>
              <w:spacing w:after="0" w:line="240" w:lineRule="auto"/>
              <w:jc w:val="center"/>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46,1</w:t>
            </w:r>
          </w:p>
        </w:tc>
        <w:tc>
          <w:tcPr>
            <w:tcW w:w="960" w:type="dxa"/>
            <w:tcBorders>
              <w:top w:val="nil"/>
              <w:left w:val="nil"/>
              <w:bottom w:val="single" w:sz="4" w:space="0" w:color="auto"/>
              <w:right w:val="nil"/>
            </w:tcBorders>
            <w:shd w:val="clear" w:color="auto" w:fill="auto"/>
            <w:vAlign w:val="center"/>
            <w:hideMark/>
          </w:tcPr>
          <w:p w:rsidR="009A4AE5" w:rsidRPr="00F45A41" w:rsidRDefault="009A4AE5" w:rsidP="00B86750">
            <w:pPr>
              <w:spacing w:after="0" w:line="240" w:lineRule="auto"/>
              <w:jc w:val="center"/>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45,7</w:t>
            </w:r>
          </w:p>
        </w:tc>
        <w:tc>
          <w:tcPr>
            <w:tcW w:w="960" w:type="dxa"/>
            <w:tcBorders>
              <w:top w:val="nil"/>
              <w:left w:val="nil"/>
              <w:bottom w:val="single" w:sz="4" w:space="0" w:color="auto"/>
              <w:right w:val="nil"/>
            </w:tcBorders>
            <w:shd w:val="clear" w:color="auto" w:fill="auto"/>
            <w:vAlign w:val="center"/>
            <w:hideMark/>
          </w:tcPr>
          <w:p w:rsidR="009A4AE5" w:rsidRPr="00F45A41" w:rsidRDefault="009A4AE5" w:rsidP="00B86750">
            <w:pPr>
              <w:spacing w:after="0" w:line="240" w:lineRule="auto"/>
              <w:jc w:val="center"/>
              <w:rPr>
                <w:rFonts w:ascii="Times New Roman" w:eastAsia="Times New Roman" w:hAnsi="Times New Roman" w:cs="Times New Roman"/>
                <w:color w:val="000000"/>
                <w:sz w:val="20"/>
                <w:szCs w:val="20"/>
              </w:rPr>
            </w:pPr>
            <w:r w:rsidRPr="00F45A41">
              <w:rPr>
                <w:rFonts w:ascii="Times New Roman" w:eastAsia="Times New Roman" w:hAnsi="Times New Roman" w:cs="Times New Roman"/>
                <w:color w:val="000000"/>
                <w:sz w:val="20"/>
                <w:szCs w:val="20"/>
              </w:rPr>
              <w:t>5,7</w:t>
            </w:r>
          </w:p>
        </w:tc>
      </w:tr>
    </w:tbl>
    <w:p w:rsidR="009A4AE5" w:rsidRPr="00C431FF" w:rsidRDefault="009A4AE5" w:rsidP="009A4A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ŠÚSR</w:t>
      </w:r>
    </w:p>
    <w:p w:rsidR="009A4AE5" w:rsidRDefault="009A4AE5" w:rsidP="009A4AE5">
      <w:pPr>
        <w:spacing w:after="0" w:line="240" w:lineRule="auto"/>
        <w:jc w:val="both"/>
        <w:rPr>
          <w:rFonts w:ascii="Times New Roman" w:hAnsi="Times New Roman" w:cs="Times New Roman"/>
          <w:sz w:val="24"/>
          <w:szCs w:val="24"/>
        </w:rPr>
      </w:pPr>
    </w:p>
    <w:p w:rsidR="009A4AE5" w:rsidRPr="002571BB" w:rsidRDefault="009A4AE5" w:rsidP="009A4AE5">
      <w:pPr>
        <w:spacing w:after="0" w:line="240" w:lineRule="auto"/>
        <w:jc w:val="both"/>
        <w:rPr>
          <w:rFonts w:ascii="Times New Roman" w:eastAsia="Calibri" w:hAnsi="Times New Roman"/>
          <w:sz w:val="24"/>
          <w:szCs w:val="24"/>
        </w:rPr>
      </w:pPr>
      <w:r w:rsidRPr="002571BB">
        <w:rPr>
          <w:rFonts w:ascii="Times New Roman" w:eastAsia="Calibri" w:hAnsi="Times New Roman"/>
          <w:sz w:val="24"/>
          <w:szCs w:val="24"/>
        </w:rPr>
        <w:t>Štruktúra zamest</w:t>
      </w:r>
      <w:r>
        <w:rPr>
          <w:rFonts w:ascii="Times New Roman" w:eastAsia="Calibri" w:hAnsi="Times New Roman"/>
          <w:sz w:val="24"/>
          <w:szCs w:val="24"/>
        </w:rPr>
        <w:t>nancov z hľadiska vzdelania sa za sledované obdobie</w:t>
      </w:r>
      <w:r w:rsidR="003748EC">
        <w:rPr>
          <w:rFonts w:ascii="Times New Roman" w:eastAsia="Calibri" w:hAnsi="Times New Roman"/>
          <w:sz w:val="24"/>
          <w:szCs w:val="24"/>
        </w:rPr>
        <w:t xml:space="preserve"> </w:t>
      </w:r>
      <w:r>
        <w:rPr>
          <w:rFonts w:ascii="Times New Roman" w:eastAsia="Calibri" w:hAnsi="Times New Roman"/>
          <w:sz w:val="24"/>
          <w:szCs w:val="24"/>
        </w:rPr>
        <w:t>vyvíjala v</w:t>
      </w:r>
      <w:r w:rsidR="00B044A9">
        <w:rPr>
          <w:rFonts w:ascii="Times New Roman" w:eastAsia="Calibri" w:hAnsi="Times New Roman"/>
          <w:sz w:val="24"/>
          <w:szCs w:val="24"/>
        </w:rPr>
        <w:t> </w:t>
      </w:r>
      <w:r>
        <w:rPr>
          <w:rFonts w:ascii="Times New Roman" w:eastAsia="Calibri" w:hAnsi="Times New Roman"/>
          <w:sz w:val="24"/>
          <w:szCs w:val="24"/>
        </w:rPr>
        <w:t>smere</w:t>
      </w:r>
      <w:r w:rsidR="00B044A9">
        <w:rPr>
          <w:rFonts w:ascii="Times New Roman" w:eastAsia="Calibri" w:hAnsi="Times New Roman"/>
          <w:sz w:val="24"/>
          <w:szCs w:val="24"/>
        </w:rPr>
        <w:t xml:space="preserve"> </w:t>
      </w:r>
      <w:r>
        <w:rPr>
          <w:rFonts w:ascii="Times New Roman" w:eastAsia="Calibri" w:hAnsi="Times New Roman"/>
          <w:sz w:val="24"/>
          <w:szCs w:val="24"/>
        </w:rPr>
        <w:t xml:space="preserve">poklesu percentuálneho zastúpenia pracujúcich so základným a učňovským vzdelaním a v smere nárastu percentuálneho zastúpenia </w:t>
      </w:r>
      <w:proofErr w:type="spellStart"/>
      <w:r>
        <w:rPr>
          <w:rFonts w:ascii="Times New Roman" w:eastAsia="Calibri" w:hAnsi="Times New Roman"/>
          <w:sz w:val="24"/>
          <w:szCs w:val="24"/>
        </w:rPr>
        <w:t>stredo</w:t>
      </w:r>
      <w:proofErr w:type="spellEnd"/>
      <w:r>
        <w:rPr>
          <w:rFonts w:ascii="Times New Roman" w:eastAsia="Calibri" w:hAnsi="Times New Roman"/>
          <w:sz w:val="24"/>
          <w:szCs w:val="24"/>
        </w:rPr>
        <w:t xml:space="preserve">- a vysokoškolsky vzdelaných pracujúcich. </w:t>
      </w:r>
      <w:r w:rsidRPr="002571BB">
        <w:rPr>
          <w:rFonts w:ascii="Times New Roman" w:eastAsia="Calibri" w:hAnsi="Times New Roman"/>
          <w:sz w:val="24"/>
          <w:szCs w:val="24"/>
        </w:rPr>
        <w:t>Podiel vysokoškolsky vzdelaných pracovníkov činil v roku 2011 už 10,4 % a od roku 2002 sa zvyšuje. To znamená, že v roku 2011 bol každý desiaty pracovník v poľnohospodárstve vysokoškolsky vzdelaný. Tento trend je vzhľadom na modernizáciu tohto odvetvia jednoznačne pozitívny. Všeobecne platí, že v poľnohospodárstve sa vzdelanostná štruktúra zlepšuje.</w:t>
      </w:r>
    </w:p>
    <w:p w:rsidR="009A4AE5" w:rsidRDefault="009A4AE5" w:rsidP="009A4AE5">
      <w:pPr>
        <w:spacing w:after="0" w:line="240" w:lineRule="auto"/>
        <w:jc w:val="both"/>
        <w:rPr>
          <w:rFonts w:ascii="Times New Roman" w:hAnsi="Times New Roman" w:cs="Times New Roman"/>
          <w:sz w:val="24"/>
          <w:szCs w:val="24"/>
        </w:rPr>
      </w:pPr>
    </w:p>
    <w:p w:rsidR="009A4AE5" w:rsidRPr="006C363F" w:rsidRDefault="009A4AE5" w:rsidP="009A4AE5">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 5</w:t>
      </w:r>
      <w:r w:rsidRPr="00A855A4">
        <w:rPr>
          <w:rFonts w:ascii="Times New Roman" w:hAnsi="Times New Roman" w:cs="Times New Roman"/>
          <w:sz w:val="20"/>
          <w:szCs w:val="20"/>
        </w:rPr>
        <w:t xml:space="preserve">: </w:t>
      </w:r>
      <w:r>
        <w:rPr>
          <w:rFonts w:ascii="Times New Roman" w:hAnsi="Times New Roman" w:cs="Times New Roman"/>
          <w:sz w:val="20"/>
          <w:szCs w:val="20"/>
        </w:rPr>
        <w:tab/>
        <w:t>Vzdelanostná štruktúra pracujúcich v poľnohospodárstve</w:t>
      </w:r>
    </w:p>
    <w:tbl>
      <w:tblPr>
        <w:tblW w:w="9068" w:type="dxa"/>
        <w:tblInd w:w="55" w:type="dxa"/>
        <w:tblCellMar>
          <w:left w:w="70" w:type="dxa"/>
          <w:right w:w="70" w:type="dxa"/>
        </w:tblCellMar>
        <w:tblLook w:val="04A0" w:firstRow="1" w:lastRow="0" w:firstColumn="1" w:lastColumn="0" w:noHBand="0" w:noVBand="1"/>
      </w:tblPr>
      <w:tblGrid>
        <w:gridCol w:w="4268"/>
        <w:gridCol w:w="960"/>
        <w:gridCol w:w="960"/>
        <w:gridCol w:w="960"/>
        <w:gridCol w:w="960"/>
        <w:gridCol w:w="960"/>
      </w:tblGrid>
      <w:tr w:rsidR="009A4AE5" w:rsidRPr="006C363F" w:rsidTr="00B86750">
        <w:trPr>
          <w:trHeight w:val="300"/>
        </w:trPr>
        <w:tc>
          <w:tcPr>
            <w:tcW w:w="4268" w:type="dxa"/>
            <w:tcBorders>
              <w:top w:val="nil"/>
              <w:left w:val="nil"/>
              <w:bottom w:val="single" w:sz="4" w:space="0" w:color="auto"/>
              <w:right w:val="nil"/>
            </w:tcBorders>
            <w:shd w:val="clear" w:color="000000" w:fill="D9D9D9"/>
            <w:vAlign w:val="center"/>
            <w:hideMark/>
          </w:tcPr>
          <w:p w:rsidR="009A4AE5" w:rsidRPr="006C363F" w:rsidRDefault="009A4AE5" w:rsidP="00B86750">
            <w:pPr>
              <w:spacing w:after="0" w:line="240" w:lineRule="auto"/>
              <w:jc w:val="both"/>
              <w:rPr>
                <w:rFonts w:ascii="Times New Roman" w:eastAsia="Times New Roman" w:hAnsi="Times New Roman" w:cs="Times New Roman"/>
                <w:b/>
                <w:bCs/>
                <w:color w:val="000000"/>
                <w:sz w:val="20"/>
                <w:szCs w:val="20"/>
              </w:rPr>
            </w:pPr>
            <w:r w:rsidRPr="006C363F">
              <w:rPr>
                <w:rFonts w:ascii="Times New Roman" w:eastAsia="Times New Roman" w:hAnsi="Times New Roman" w:cs="Times New Roman"/>
                <w:b/>
                <w:bCs/>
                <w:color w:val="000000"/>
                <w:sz w:val="20"/>
                <w:szCs w:val="20"/>
              </w:rPr>
              <w:t> </w:t>
            </w:r>
          </w:p>
        </w:tc>
        <w:tc>
          <w:tcPr>
            <w:tcW w:w="960" w:type="dxa"/>
            <w:tcBorders>
              <w:top w:val="nil"/>
              <w:left w:val="single" w:sz="4" w:space="0" w:color="auto"/>
              <w:bottom w:val="single" w:sz="4" w:space="0" w:color="auto"/>
              <w:right w:val="single" w:sz="4" w:space="0" w:color="auto"/>
            </w:tcBorders>
            <w:shd w:val="clear" w:color="000000" w:fill="D9D9D9"/>
            <w:vAlign w:val="center"/>
            <w:hideMark/>
          </w:tcPr>
          <w:p w:rsidR="009A4AE5" w:rsidRPr="006C363F" w:rsidRDefault="009A4AE5" w:rsidP="00B86750">
            <w:pPr>
              <w:spacing w:after="0" w:line="240" w:lineRule="auto"/>
              <w:jc w:val="center"/>
              <w:rPr>
                <w:rFonts w:ascii="Times New Roman" w:eastAsia="Times New Roman" w:hAnsi="Times New Roman" w:cs="Times New Roman"/>
                <w:b/>
                <w:bCs/>
                <w:color w:val="000000"/>
                <w:sz w:val="20"/>
                <w:szCs w:val="20"/>
              </w:rPr>
            </w:pPr>
            <w:r w:rsidRPr="006C363F">
              <w:rPr>
                <w:rFonts w:ascii="Times New Roman" w:eastAsia="Times New Roman" w:hAnsi="Times New Roman" w:cs="Times New Roman"/>
                <w:b/>
                <w:bCs/>
                <w:color w:val="000000"/>
                <w:sz w:val="20"/>
                <w:szCs w:val="20"/>
              </w:rPr>
              <w:t>2002</w:t>
            </w:r>
          </w:p>
        </w:tc>
        <w:tc>
          <w:tcPr>
            <w:tcW w:w="960" w:type="dxa"/>
            <w:tcBorders>
              <w:top w:val="nil"/>
              <w:left w:val="nil"/>
              <w:bottom w:val="single" w:sz="4" w:space="0" w:color="auto"/>
              <w:right w:val="nil"/>
            </w:tcBorders>
            <w:shd w:val="clear" w:color="000000" w:fill="D9D9D9"/>
            <w:vAlign w:val="center"/>
            <w:hideMark/>
          </w:tcPr>
          <w:p w:rsidR="009A4AE5" w:rsidRPr="006C363F" w:rsidRDefault="009A4AE5" w:rsidP="00B86750">
            <w:pPr>
              <w:spacing w:after="0" w:line="240" w:lineRule="auto"/>
              <w:jc w:val="center"/>
              <w:rPr>
                <w:rFonts w:ascii="Times New Roman" w:eastAsia="Times New Roman" w:hAnsi="Times New Roman" w:cs="Times New Roman"/>
                <w:b/>
                <w:bCs/>
                <w:color w:val="000000"/>
                <w:sz w:val="20"/>
                <w:szCs w:val="20"/>
              </w:rPr>
            </w:pPr>
            <w:r w:rsidRPr="006C363F">
              <w:rPr>
                <w:rFonts w:ascii="Times New Roman" w:eastAsia="Times New Roman" w:hAnsi="Times New Roman" w:cs="Times New Roman"/>
                <w:b/>
                <w:bCs/>
                <w:color w:val="000000"/>
                <w:sz w:val="20"/>
                <w:szCs w:val="20"/>
              </w:rPr>
              <w:t>2008</w:t>
            </w:r>
          </w:p>
        </w:tc>
        <w:tc>
          <w:tcPr>
            <w:tcW w:w="960" w:type="dxa"/>
            <w:tcBorders>
              <w:top w:val="nil"/>
              <w:left w:val="nil"/>
              <w:bottom w:val="single" w:sz="4" w:space="0" w:color="auto"/>
              <w:right w:val="nil"/>
            </w:tcBorders>
            <w:shd w:val="clear" w:color="000000" w:fill="D9D9D9"/>
            <w:vAlign w:val="center"/>
            <w:hideMark/>
          </w:tcPr>
          <w:p w:rsidR="009A4AE5" w:rsidRPr="006C363F" w:rsidRDefault="009A4AE5" w:rsidP="00B86750">
            <w:pPr>
              <w:spacing w:after="0" w:line="240" w:lineRule="auto"/>
              <w:jc w:val="center"/>
              <w:rPr>
                <w:rFonts w:ascii="Times New Roman" w:eastAsia="Times New Roman" w:hAnsi="Times New Roman" w:cs="Times New Roman"/>
                <w:b/>
                <w:bCs/>
                <w:color w:val="000000"/>
                <w:sz w:val="20"/>
                <w:szCs w:val="20"/>
              </w:rPr>
            </w:pPr>
            <w:r w:rsidRPr="006C363F">
              <w:rPr>
                <w:rFonts w:ascii="Times New Roman" w:eastAsia="Times New Roman" w:hAnsi="Times New Roman" w:cs="Times New Roman"/>
                <w:b/>
                <w:bCs/>
                <w:color w:val="000000"/>
                <w:sz w:val="20"/>
                <w:szCs w:val="20"/>
              </w:rPr>
              <w:t>2009</w:t>
            </w:r>
          </w:p>
        </w:tc>
        <w:tc>
          <w:tcPr>
            <w:tcW w:w="960" w:type="dxa"/>
            <w:tcBorders>
              <w:top w:val="nil"/>
              <w:left w:val="nil"/>
              <w:bottom w:val="single" w:sz="4" w:space="0" w:color="auto"/>
              <w:right w:val="nil"/>
            </w:tcBorders>
            <w:shd w:val="clear" w:color="000000" w:fill="D9D9D9"/>
            <w:vAlign w:val="center"/>
            <w:hideMark/>
          </w:tcPr>
          <w:p w:rsidR="009A4AE5" w:rsidRPr="006C363F" w:rsidRDefault="009A4AE5" w:rsidP="00B86750">
            <w:pPr>
              <w:spacing w:after="0" w:line="240" w:lineRule="auto"/>
              <w:jc w:val="center"/>
              <w:rPr>
                <w:rFonts w:ascii="Times New Roman" w:eastAsia="Times New Roman" w:hAnsi="Times New Roman" w:cs="Times New Roman"/>
                <w:b/>
                <w:bCs/>
                <w:color w:val="000000"/>
                <w:sz w:val="20"/>
                <w:szCs w:val="20"/>
              </w:rPr>
            </w:pPr>
            <w:r w:rsidRPr="006C363F">
              <w:rPr>
                <w:rFonts w:ascii="Times New Roman" w:eastAsia="Times New Roman" w:hAnsi="Times New Roman" w:cs="Times New Roman"/>
                <w:b/>
                <w:bCs/>
                <w:color w:val="000000"/>
                <w:sz w:val="20"/>
                <w:szCs w:val="20"/>
              </w:rPr>
              <w:t>2010</w:t>
            </w:r>
          </w:p>
        </w:tc>
        <w:tc>
          <w:tcPr>
            <w:tcW w:w="960" w:type="dxa"/>
            <w:tcBorders>
              <w:top w:val="nil"/>
              <w:left w:val="nil"/>
              <w:bottom w:val="single" w:sz="4" w:space="0" w:color="auto"/>
              <w:right w:val="nil"/>
            </w:tcBorders>
            <w:shd w:val="clear" w:color="000000" w:fill="D9D9D9"/>
            <w:vAlign w:val="center"/>
            <w:hideMark/>
          </w:tcPr>
          <w:p w:rsidR="009A4AE5" w:rsidRPr="006C363F" w:rsidRDefault="009A4AE5" w:rsidP="00B86750">
            <w:pPr>
              <w:spacing w:after="0" w:line="240" w:lineRule="auto"/>
              <w:jc w:val="center"/>
              <w:rPr>
                <w:rFonts w:ascii="Times New Roman" w:eastAsia="Times New Roman" w:hAnsi="Times New Roman" w:cs="Times New Roman"/>
                <w:b/>
                <w:bCs/>
                <w:color w:val="000000"/>
                <w:sz w:val="20"/>
                <w:szCs w:val="20"/>
              </w:rPr>
            </w:pPr>
            <w:r w:rsidRPr="006C363F">
              <w:rPr>
                <w:rFonts w:ascii="Times New Roman" w:eastAsia="Times New Roman" w:hAnsi="Times New Roman" w:cs="Times New Roman"/>
                <w:b/>
                <w:bCs/>
                <w:color w:val="000000"/>
                <w:sz w:val="20"/>
                <w:szCs w:val="20"/>
              </w:rPr>
              <w:t>2011</w:t>
            </w:r>
          </w:p>
        </w:tc>
      </w:tr>
      <w:tr w:rsidR="009A4AE5" w:rsidRPr="006C363F" w:rsidTr="00B86750">
        <w:trPr>
          <w:trHeight w:val="300"/>
        </w:trPr>
        <w:tc>
          <w:tcPr>
            <w:tcW w:w="4268" w:type="dxa"/>
            <w:tcBorders>
              <w:top w:val="nil"/>
              <w:left w:val="nil"/>
              <w:bottom w:val="nil"/>
              <w:right w:val="nil"/>
            </w:tcBorders>
            <w:shd w:val="clear" w:color="auto" w:fill="auto"/>
            <w:vAlign w:val="center"/>
            <w:hideMark/>
          </w:tcPr>
          <w:p w:rsidR="009A4AE5" w:rsidRPr="006C363F" w:rsidRDefault="009A4AE5" w:rsidP="00B86750">
            <w:pPr>
              <w:spacing w:after="0" w:line="240" w:lineRule="auto"/>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Základné vzdelanie</w:t>
            </w:r>
          </w:p>
        </w:tc>
        <w:tc>
          <w:tcPr>
            <w:tcW w:w="960" w:type="dxa"/>
            <w:tcBorders>
              <w:top w:val="nil"/>
              <w:left w:val="single" w:sz="4" w:space="0" w:color="auto"/>
              <w:bottom w:val="nil"/>
              <w:right w:val="single" w:sz="4" w:space="0" w:color="auto"/>
            </w:tcBorders>
            <w:shd w:val="clear" w:color="auto" w:fill="auto"/>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16,30%</w:t>
            </w:r>
          </w:p>
        </w:tc>
        <w:tc>
          <w:tcPr>
            <w:tcW w:w="960" w:type="dxa"/>
            <w:tcBorders>
              <w:top w:val="nil"/>
              <w:left w:val="nil"/>
              <w:bottom w:val="nil"/>
              <w:right w:val="nil"/>
            </w:tcBorders>
            <w:shd w:val="clear" w:color="auto" w:fill="auto"/>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14,60%</w:t>
            </w:r>
          </w:p>
        </w:tc>
        <w:tc>
          <w:tcPr>
            <w:tcW w:w="960" w:type="dxa"/>
            <w:tcBorders>
              <w:top w:val="nil"/>
              <w:left w:val="nil"/>
              <w:bottom w:val="nil"/>
              <w:right w:val="nil"/>
            </w:tcBorders>
            <w:shd w:val="clear" w:color="auto" w:fill="auto"/>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14,60%</w:t>
            </w:r>
          </w:p>
        </w:tc>
        <w:tc>
          <w:tcPr>
            <w:tcW w:w="960" w:type="dxa"/>
            <w:tcBorders>
              <w:top w:val="nil"/>
              <w:left w:val="nil"/>
              <w:bottom w:val="nil"/>
              <w:right w:val="nil"/>
            </w:tcBorders>
            <w:shd w:val="clear" w:color="auto" w:fill="auto"/>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11,50%</w:t>
            </w:r>
          </w:p>
        </w:tc>
        <w:tc>
          <w:tcPr>
            <w:tcW w:w="960" w:type="dxa"/>
            <w:tcBorders>
              <w:top w:val="nil"/>
              <w:left w:val="nil"/>
              <w:bottom w:val="nil"/>
              <w:right w:val="nil"/>
            </w:tcBorders>
            <w:shd w:val="clear" w:color="auto" w:fill="auto"/>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10,30%</w:t>
            </w:r>
          </w:p>
        </w:tc>
      </w:tr>
      <w:tr w:rsidR="009A4AE5" w:rsidRPr="006C363F" w:rsidTr="00B86750">
        <w:trPr>
          <w:trHeight w:val="300"/>
        </w:trPr>
        <w:tc>
          <w:tcPr>
            <w:tcW w:w="4268" w:type="dxa"/>
            <w:tcBorders>
              <w:top w:val="nil"/>
              <w:left w:val="nil"/>
              <w:bottom w:val="nil"/>
              <w:right w:val="nil"/>
            </w:tcBorders>
            <w:shd w:val="clear" w:color="000000" w:fill="F2F2F2"/>
            <w:vAlign w:val="center"/>
            <w:hideMark/>
          </w:tcPr>
          <w:p w:rsidR="009A4AE5" w:rsidRPr="006C363F" w:rsidRDefault="009A4AE5" w:rsidP="00B86750">
            <w:pPr>
              <w:spacing w:after="0" w:line="240" w:lineRule="auto"/>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Učňovské vzdelanie</w:t>
            </w:r>
          </w:p>
        </w:tc>
        <w:tc>
          <w:tcPr>
            <w:tcW w:w="960" w:type="dxa"/>
            <w:tcBorders>
              <w:top w:val="nil"/>
              <w:left w:val="single" w:sz="4" w:space="0" w:color="auto"/>
              <w:bottom w:val="nil"/>
              <w:right w:val="single" w:sz="4" w:space="0" w:color="auto"/>
            </w:tcBorders>
            <w:shd w:val="clear" w:color="000000" w:fill="F2F2F2"/>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54,80%</w:t>
            </w:r>
          </w:p>
        </w:tc>
        <w:tc>
          <w:tcPr>
            <w:tcW w:w="960" w:type="dxa"/>
            <w:tcBorders>
              <w:top w:val="nil"/>
              <w:left w:val="nil"/>
              <w:bottom w:val="nil"/>
              <w:right w:val="nil"/>
            </w:tcBorders>
            <w:shd w:val="clear" w:color="000000" w:fill="F2F2F2"/>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55,80%</w:t>
            </w:r>
          </w:p>
        </w:tc>
        <w:tc>
          <w:tcPr>
            <w:tcW w:w="960" w:type="dxa"/>
            <w:tcBorders>
              <w:top w:val="nil"/>
              <w:left w:val="nil"/>
              <w:bottom w:val="nil"/>
              <w:right w:val="nil"/>
            </w:tcBorders>
            <w:shd w:val="clear" w:color="000000" w:fill="F2F2F2"/>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54,40%</w:t>
            </w:r>
          </w:p>
        </w:tc>
        <w:tc>
          <w:tcPr>
            <w:tcW w:w="960" w:type="dxa"/>
            <w:tcBorders>
              <w:top w:val="nil"/>
              <w:left w:val="nil"/>
              <w:bottom w:val="nil"/>
              <w:right w:val="nil"/>
            </w:tcBorders>
            <w:shd w:val="clear" w:color="000000" w:fill="F2F2F2"/>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53,30%</w:t>
            </w:r>
          </w:p>
        </w:tc>
        <w:tc>
          <w:tcPr>
            <w:tcW w:w="960" w:type="dxa"/>
            <w:tcBorders>
              <w:top w:val="nil"/>
              <w:left w:val="nil"/>
              <w:bottom w:val="nil"/>
              <w:right w:val="nil"/>
            </w:tcBorders>
            <w:shd w:val="clear" w:color="000000" w:fill="F2F2F2"/>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50,30%</w:t>
            </w:r>
          </w:p>
        </w:tc>
      </w:tr>
      <w:tr w:rsidR="009A4AE5" w:rsidRPr="006C363F" w:rsidTr="00B86750">
        <w:trPr>
          <w:trHeight w:val="300"/>
        </w:trPr>
        <w:tc>
          <w:tcPr>
            <w:tcW w:w="4268" w:type="dxa"/>
            <w:tcBorders>
              <w:top w:val="nil"/>
              <w:left w:val="nil"/>
              <w:bottom w:val="nil"/>
              <w:right w:val="nil"/>
            </w:tcBorders>
            <w:shd w:val="clear" w:color="auto" w:fill="auto"/>
            <w:vAlign w:val="center"/>
            <w:hideMark/>
          </w:tcPr>
          <w:p w:rsidR="009A4AE5" w:rsidRPr="006C363F" w:rsidRDefault="009A4AE5" w:rsidP="00B86750">
            <w:pPr>
              <w:spacing w:after="0" w:line="240" w:lineRule="auto"/>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Stredné vzdelanie</w:t>
            </w:r>
          </w:p>
        </w:tc>
        <w:tc>
          <w:tcPr>
            <w:tcW w:w="960" w:type="dxa"/>
            <w:tcBorders>
              <w:top w:val="nil"/>
              <w:left w:val="single" w:sz="4" w:space="0" w:color="auto"/>
              <w:bottom w:val="nil"/>
              <w:right w:val="single" w:sz="4" w:space="0" w:color="auto"/>
            </w:tcBorders>
            <w:shd w:val="clear" w:color="auto" w:fill="auto"/>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25,30%</w:t>
            </w:r>
          </w:p>
        </w:tc>
        <w:tc>
          <w:tcPr>
            <w:tcW w:w="960" w:type="dxa"/>
            <w:tcBorders>
              <w:top w:val="nil"/>
              <w:left w:val="nil"/>
              <w:bottom w:val="nil"/>
              <w:right w:val="nil"/>
            </w:tcBorders>
            <w:shd w:val="clear" w:color="auto" w:fill="auto"/>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23,40%</w:t>
            </w:r>
          </w:p>
        </w:tc>
        <w:tc>
          <w:tcPr>
            <w:tcW w:w="960" w:type="dxa"/>
            <w:tcBorders>
              <w:top w:val="nil"/>
              <w:left w:val="nil"/>
              <w:bottom w:val="nil"/>
              <w:right w:val="nil"/>
            </w:tcBorders>
            <w:shd w:val="clear" w:color="auto" w:fill="auto"/>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23,50%</w:t>
            </w:r>
          </w:p>
        </w:tc>
        <w:tc>
          <w:tcPr>
            <w:tcW w:w="960" w:type="dxa"/>
            <w:tcBorders>
              <w:top w:val="nil"/>
              <w:left w:val="nil"/>
              <w:bottom w:val="nil"/>
              <w:right w:val="nil"/>
            </w:tcBorders>
            <w:shd w:val="clear" w:color="auto" w:fill="auto"/>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27,20%</w:t>
            </w:r>
          </w:p>
        </w:tc>
        <w:tc>
          <w:tcPr>
            <w:tcW w:w="960" w:type="dxa"/>
            <w:tcBorders>
              <w:top w:val="nil"/>
              <w:left w:val="nil"/>
              <w:bottom w:val="nil"/>
              <w:right w:val="nil"/>
            </w:tcBorders>
            <w:shd w:val="clear" w:color="auto" w:fill="auto"/>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29,00%</w:t>
            </w:r>
          </w:p>
        </w:tc>
      </w:tr>
      <w:tr w:rsidR="009A4AE5" w:rsidRPr="006C363F" w:rsidTr="00B86750">
        <w:trPr>
          <w:trHeight w:val="300"/>
        </w:trPr>
        <w:tc>
          <w:tcPr>
            <w:tcW w:w="4268" w:type="dxa"/>
            <w:tcBorders>
              <w:top w:val="nil"/>
              <w:left w:val="nil"/>
              <w:bottom w:val="single" w:sz="4" w:space="0" w:color="auto"/>
              <w:right w:val="nil"/>
            </w:tcBorders>
            <w:shd w:val="clear" w:color="000000" w:fill="F2F2F2"/>
            <w:vAlign w:val="center"/>
            <w:hideMark/>
          </w:tcPr>
          <w:p w:rsidR="009A4AE5" w:rsidRPr="006C363F" w:rsidRDefault="009A4AE5" w:rsidP="00B86750">
            <w:pPr>
              <w:spacing w:after="0" w:line="240" w:lineRule="auto"/>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Vysokoškolské vzdelanie</w:t>
            </w:r>
          </w:p>
        </w:tc>
        <w:tc>
          <w:tcPr>
            <w:tcW w:w="960" w:type="dxa"/>
            <w:tcBorders>
              <w:top w:val="nil"/>
              <w:left w:val="single" w:sz="4" w:space="0" w:color="auto"/>
              <w:bottom w:val="single" w:sz="4" w:space="0" w:color="auto"/>
              <w:right w:val="single" w:sz="4" w:space="0" w:color="auto"/>
            </w:tcBorders>
            <w:shd w:val="clear" w:color="000000" w:fill="F2F2F2"/>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3,60%</w:t>
            </w:r>
          </w:p>
        </w:tc>
        <w:tc>
          <w:tcPr>
            <w:tcW w:w="960" w:type="dxa"/>
            <w:tcBorders>
              <w:top w:val="nil"/>
              <w:left w:val="nil"/>
              <w:bottom w:val="single" w:sz="4" w:space="0" w:color="auto"/>
              <w:right w:val="nil"/>
            </w:tcBorders>
            <w:shd w:val="clear" w:color="000000" w:fill="F2F2F2"/>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6,20%</w:t>
            </w:r>
          </w:p>
        </w:tc>
        <w:tc>
          <w:tcPr>
            <w:tcW w:w="960" w:type="dxa"/>
            <w:tcBorders>
              <w:top w:val="nil"/>
              <w:left w:val="nil"/>
              <w:bottom w:val="single" w:sz="4" w:space="0" w:color="auto"/>
              <w:right w:val="nil"/>
            </w:tcBorders>
            <w:shd w:val="clear" w:color="000000" w:fill="F2F2F2"/>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7,50%</w:t>
            </w:r>
          </w:p>
        </w:tc>
        <w:tc>
          <w:tcPr>
            <w:tcW w:w="960" w:type="dxa"/>
            <w:tcBorders>
              <w:top w:val="nil"/>
              <w:left w:val="nil"/>
              <w:bottom w:val="single" w:sz="4" w:space="0" w:color="auto"/>
              <w:right w:val="nil"/>
            </w:tcBorders>
            <w:shd w:val="clear" w:color="000000" w:fill="F2F2F2"/>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8,00%</w:t>
            </w:r>
          </w:p>
        </w:tc>
        <w:tc>
          <w:tcPr>
            <w:tcW w:w="960" w:type="dxa"/>
            <w:tcBorders>
              <w:top w:val="nil"/>
              <w:left w:val="nil"/>
              <w:bottom w:val="single" w:sz="4" w:space="0" w:color="auto"/>
              <w:right w:val="nil"/>
            </w:tcBorders>
            <w:shd w:val="clear" w:color="000000" w:fill="F2F2F2"/>
            <w:vAlign w:val="center"/>
            <w:hideMark/>
          </w:tcPr>
          <w:p w:rsidR="009A4AE5" w:rsidRPr="006C363F" w:rsidRDefault="009A4AE5" w:rsidP="00B86750">
            <w:pPr>
              <w:spacing w:after="0" w:line="240" w:lineRule="auto"/>
              <w:jc w:val="right"/>
              <w:rPr>
                <w:rFonts w:ascii="Times New Roman" w:eastAsia="Times New Roman" w:hAnsi="Times New Roman" w:cs="Times New Roman"/>
                <w:color w:val="000000"/>
                <w:sz w:val="20"/>
                <w:szCs w:val="20"/>
              </w:rPr>
            </w:pPr>
            <w:r w:rsidRPr="006C363F">
              <w:rPr>
                <w:rFonts w:ascii="Times New Roman" w:eastAsia="Times New Roman" w:hAnsi="Times New Roman" w:cs="Times New Roman"/>
                <w:color w:val="000000"/>
                <w:sz w:val="20"/>
                <w:szCs w:val="20"/>
              </w:rPr>
              <w:t>10,40%</w:t>
            </w:r>
          </w:p>
        </w:tc>
      </w:tr>
    </w:tbl>
    <w:p w:rsidR="009A4AE5" w:rsidRPr="00C431FF" w:rsidRDefault="009A4AE5" w:rsidP="009A4A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ŠÚSR</w:t>
      </w:r>
    </w:p>
    <w:p w:rsidR="009A4AE5" w:rsidRDefault="009A4AE5" w:rsidP="009A4AE5">
      <w:pPr>
        <w:spacing w:after="0" w:line="240" w:lineRule="auto"/>
        <w:jc w:val="both"/>
        <w:rPr>
          <w:rFonts w:ascii="Times New Roman" w:hAnsi="Times New Roman" w:cs="Times New Roman"/>
          <w:sz w:val="24"/>
          <w:szCs w:val="24"/>
        </w:rPr>
      </w:pPr>
    </w:p>
    <w:p w:rsidR="009A4AE5" w:rsidRPr="009A4AE5" w:rsidRDefault="009A4AE5" w:rsidP="009A4AE5">
      <w:pPr>
        <w:pStyle w:val="Nadpis3"/>
        <w:numPr>
          <w:ilvl w:val="2"/>
          <w:numId w:val="8"/>
        </w:numPr>
        <w:rPr>
          <w:rFonts w:eastAsia="Calibri"/>
          <w:szCs w:val="24"/>
        </w:rPr>
      </w:pPr>
      <w:bookmarkStart w:id="6" w:name="_Toc359550628"/>
      <w:r>
        <w:rPr>
          <w:rFonts w:eastAsia="Calibri"/>
          <w:szCs w:val="24"/>
        </w:rPr>
        <w:t>Súčasný stav zamestnanosti v potravinárstve</w:t>
      </w:r>
      <w:bookmarkEnd w:id="6"/>
    </w:p>
    <w:p w:rsidR="00C34EF2" w:rsidRDefault="00C34EF2" w:rsidP="009A4AE5">
      <w:pPr>
        <w:spacing w:after="0" w:line="240" w:lineRule="auto"/>
        <w:jc w:val="both"/>
        <w:rPr>
          <w:rFonts w:ascii="Times New Roman" w:eastAsia="Calibri" w:hAnsi="Times New Roman"/>
          <w:sz w:val="24"/>
          <w:szCs w:val="24"/>
        </w:rPr>
      </w:pPr>
    </w:p>
    <w:p w:rsidR="009A4AE5" w:rsidRDefault="009A4AE5" w:rsidP="009A4AE5">
      <w:pPr>
        <w:spacing w:after="0" w:line="240" w:lineRule="auto"/>
        <w:jc w:val="both"/>
        <w:rPr>
          <w:rFonts w:ascii="Times New Roman" w:eastAsia="Calibri" w:hAnsi="Times New Roman"/>
          <w:sz w:val="24"/>
          <w:szCs w:val="24"/>
        </w:rPr>
      </w:pPr>
      <w:r w:rsidRPr="000B696A">
        <w:rPr>
          <w:rFonts w:ascii="Times New Roman" w:eastAsia="Calibri" w:hAnsi="Times New Roman"/>
          <w:sz w:val="24"/>
          <w:szCs w:val="24"/>
        </w:rPr>
        <w:t>Počas rokov 2002-2011 sa počet pracujúcich v potravinárskej výrobe znížil z 66,4 tis. osôb n</w:t>
      </w:r>
      <w:r>
        <w:rPr>
          <w:rFonts w:ascii="Times New Roman" w:eastAsia="Calibri" w:hAnsi="Times New Roman"/>
          <w:sz w:val="24"/>
          <w:szCs w:val="24"/>
        </w:rPr>
        <w:t>a 49,6 tis. osôb t. j. o 25,3 %</w:t>
      </w:r>
      <w:r w:rsidRPr="000B696A">
        <w:rPr>
          <w:rFonts w:ascii="Times New Roman" w:eastAsia="Calibri" w:hAnsi="Times New Roman"/>
          <w:sz w:val="24"/>
          <w:szCs w:val="24"/>
        </w:rPr>
        <w:t xml:space="preserve">. V roku 2011 pracovalo </w:t>
      </w:r>
      <w:r>
        <w:rPr>
          <w:rFonts w:ascii="Times New Roman" w:eastAsia="Calibri" w:hAnsi="Times New Roman"/>
          <w:sz w:val="24"/>
          <w:szCs w:val="24"/>
        </w:rPr>
        <w:t xml:space="preserve">v potravinárstve </w:t>
      </w:r>
      <w:r w:rsidRPr="000B696A">
        <w:rPr>
          <w:rFonts w:ascii="Times New Roman" w:eastAsia="Calibri" w:hAnsi="Times New Roman"/>
          <w:sz w:val="24"/>
          <w:szCs w:val="24"/>
        </w:rPr>
        <w:t xml:space="preserve">50,8 % mužov a 49,2 % žien, tzn. že ide o odvetvie relatívne značne feminizované. </w:t>
      </w:r>
      <w:r>
        <w:rPr>
          <w:rFonts w:ascii="Times New Roman" w:eastAsia="Calibri" w:hAnsi="Times New Roman"/>
          <w:sz w:val="24"/>
          <w:szCs w:val="24"/>
        </w:rPr>
        <w:t xml:space="preserve">Príčinou poklesu zamestnanosti v potravinárskej výrobe je neustále znižujúci sa objem exportu produktov potravinárskej výroby, t.j. produktov s vyššou pridanou hodnotou a relatívne stúpajúci objem exportu prvovýroby. </w:t>
      </w:r>
    </w:p>
    <w:p w:rsidR="009A4AE5" w:rsidRDefault="009A4AE5" w:rsidP="009A4AE5">
      <w:pPr>
        <w:spacing w:after="0" w:line="240" w:lineRule="auto"/>
        <w:jc w:val="both"/>
        <w:rPr>
          <w:rFonts w:ascii="Times New Roman" w:eastAsia="Calibri" w:hAnsi="Times New Roman"/>
          <w:sz w:val="24"/>
          <w:szCs w:val="24"/>
        </w:rPr>
      </w:pPr>
    </w:p>
    <w:p w:rsidR="009A4AE5" w:rsidRPr="00945BCD" w:rsidRDefault="009A4AE5" w:rsidP="009A4A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2</w:t>
      </w:r>
      <w:r w:rsidRPr="00155936">
        <w:rPr>
          <w:rFonts w:ascii="Times New Roman" w:hAnsi="Times New Roman" w:cs="Times New Roman"/>
          <w:sz w:val="20"/>
          <w:szCs w:val="20"/>
        </w:rPr>
        <w:t>:</w:t>
      </w:r>
      <w:r w:rsidRPr="00207E2B">
        <w:rPr>
          <w:rFonts w:ascii="Times New Roman" w:hAnsi="Times New Roman" w:cs="Times New Roman"/>
          <w:sz w:val="20"/>
          <w:szCs w:val="20"/>
        </w:rPr>
        <w:t xml:space="preserve">Vývoj </w:t>
      </w:r>
      <w:r>
        <w:rPr>
          <w:rFonts w:ascii="Times New Roman" w:hAnsi="Times New Roman" w:cs="Times New Roman"/>
          <w:sz w:val="20"/>
          <w:szCs w:val="20"/>
        </w:rPr>
        <w:t>počtu pracujúcich v potravinárstve (v tis. osôb)</w:t>
      </w:r>
    </w:p>
    <w:p w:rsidR="009A4AE5" w:rsidRPr="000B696A" w:rsidRDefault="009A4AE5" w:rsidP="009A4AE5">
      <w:pPr>
        <w:spacing w:after="0" w:line="240" w:lineRule="auto"/>
        <w:jc w:val="both"/>
        <w:rPr>
          <w:rFonts w:ascii="Times New Roman" w:eastAsia="Calibri" w:hAnsi="Times New Roman"/>
          <w:sz w:val="24"/>
          <w:szCs w:val="24"/>
        </w:rPr>
      </w:pPr>
      <w:r>
        <w:rPr>
          <w:noProof/>
        </w:rPr>
        <w:drawing>
          <wp:inline distT="0" distB="0" distL="0" distR="0" wp14:anchorId="67C18CDA" wp14:editId="07458202">
            <wp:extent cx="5757062" cy="1667865"/>
            <wp:effectExtent l="0" t="0" r="0" b="0"/>
            <wp:docPr id="57" name="Graf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4AE5" w:rsidRPr="00C431FF" w:rsidRDefault="009A4AE5" w:rsidP="009A4A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ŠÚSR</w:t>
      </w:r>
    </w:p>
    <w:p w:rsidR="009A4AE5" w:rsidRDefault="009A4AE5" w:rsidP="009A4AE5">
      <w:pPr>
        <w:spacing w:after="0" w:line="240" w:lineRule="auto"/>
        <w:jc w:val="both"/>
        <w:rPr>
          <w:rFonts w:ascii="Times New Roman" w:eastAsia="Calibri" w:hAnsi="Times New Roman"/>
          <w:sz w:val="24"/>
          <w:szCs w:val="24"/>
        </w:rPr>
      </w:pPr>
      <w:r w:rsidRPr="00945BCD">
        <w:rPr>
          <w:rFonts w:ascii="Times New Roman" w:eastAsia="Calibri" w:hAnsi="Times New Roman"/>
          <w:sz w:val="24"/>
          <w:szCs w:val="24"/>
        </w:rPr>
        <w:lastRenderedPageBreak/>
        <w:t xml:space="preserve">V potravinárstve je na rozdiel od poľnohospodárstva z hľadiska počtu zamestnancov v mladších vekových kategóriách priaznivejšia situácia. Najsilnejšou vekovou kategóriou počas rokov 2002-2011 bola  skupina </w:t>
      </w:r>
      <w:r>
        <w:rPr>
          <w:rFonts w:ascii="Times New Roman" w:eastAsia="Calibri" w:hAnsi="Times New Roman"/>
          <w:sz w:val="24"/>
          <w:szCs w:val="24"/>
        </w:rPr>
        <w:t xml:space="preserve">pracovníkov vo veku 30-39 rokov, a to aj napriek tomu, že </w:t>
      </w:r>
      <w:r w:rsidRPr="00945BCD">
        <w:rPr>
          <w:rFonts w:ascii="Times New Roman" w:eastAsia="Calibri" w:hAnsi="Times New Roman"/>
          <w:sz w:val="24"/>
          <w:szCs w:val="24"/>
        </w:rPr>
        <w:t>sa v tejto kategórii v roku 2011 zaznamenal relatívne vysoký medziročný úbytok zamestnancov</w:t>
      </w:r>
      <w:r>
        <w:rPr>
          <w:rFonts w:ascii="Times New Roman" w:eastAsia="Calibri" w:hAnsi="Times New Roman"/>
          <w:sz w:val="24"/>
          <w:szCs w:val="24"/>
        </w:rPr>
        <w:t xml:space="preserve"> na úrovni až 18,3 %</w:t>
      </w:r>
      <w:r w:rsidRPr="00945BCD">
        <w:rPr>
          <w:rFonts w:ascii="Times New Roman" w:eastAsia="Calibri" w:hAnsi="Times New Roman"/>
          <w:sz w:val="24"/>
          <w:szCs w:val="24"/>
        </w:rPr>
        <w:t xml:space="preserve">. V posledných rokoch dochádza v podielovej štruktúre pracovníkov podľa veku k nárastu vo vyšších vekových kategóriách najmä v kategórii 50-59 rokov. </w:t>
      </w:r>
    </w:p>
    <w:p w:rsidR="009A4AE5" w:rsidRDefault="009A4AE5" w:rsidP="009A4AE5">
      <w:pPr>
        <w:spacing w:after="0" w:line="240" w:lineRule="auto"/>
        <w:jc w:val="both"/>
        <w:rPr>
          <w:rFonts w:ascii="Times New Roman" w:eastAsia="Calibri" w:hAnsi="Times New Roman"/>
          <w:sz w:val="24"/>
          <w:szCs w:val="24"/>
        </w:rPr>
      </w:pPr>
    </w:p>
    <w:p w:rsidR="009A4AE5" w:rsidRPr="00DE0E34" w:rsidRDefault="009A4AE5" w:rsidP="009A4AE5">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 6</w:t>
      </w:r>
      <w:r w:rsidRPr="00A855A4">
        <w:rPr>
          <w:rFonts w:ascii="Times New Roman" w:hAnsi="Times New Roman" w:cs="Times New Roman"/>
          <w:sz w:val="20"/>
          <w:szCs w:val="20"/>
        </w:rPr>
        <w:t xml:space="preserve">: </w:t>
      </w:r>
      <w:r>
        <w:rPr>
          <w:rFonts w:ascii="Times New Roman" w:hAnsi="Times New Roman" w:cs="Times New Roman"/>
          <w:sz w:val="20"/>
          <w:szCs w:val="20"/>
        </w:rPr>
        <w:tab/>
        <w:t>Veková štruktúra pracujúcich v potravinárstve</w:t>
      </w:r>
    </w:p>
    <w:tbl>
      <w:tblPr>
        <w:tblW w:w="9087" w:type="dxa"/>
        <w:tblInd w:w="55" w:type="dxa"/>
        <w:tblCellMar>
          <w:left w:w="70" w:type="dxa"/>
          <w:right w:w="70" w:type="dxa"/>
        </w:tblCellMar>
        <w:tblLook w:val="04A0" w:firstRow="1" w:lastRow="0" w:firstColumn="1" w:lastColumn="0" w:noHBand="0" w:noVBand="1"/>
      </w:tblPr>
      <w:tblGrid>
        <w:gridCol w:w="2283"/>
        <w:gridCol w:w="1134"/>
        <w:gridCol w:w="1134"/>
        <w:gridCol w:w="1134"/>
        <w:gridCol w:w="1134"/>
        <w:gridCol w:w="1134"/>
        <w:gridCol w:w="1134"/>
      </w:tblGrid>
      <w:tr w:rsidR="009A4AE5" w:rsidRPr="00DE0E34" w:rsidTr="00B86750">
        <w:trPr>
          <w:trHeight w:val="300"/>
        </w:trPr>
        <w:tc>
          <w:tcPr>
            <w:tcW w:w="2283" w:type="dxa"/>
            <w:tcBorders>
              <w:top w:val="nil"/>
              <w:left w:val="nil"/>
              <w:bottom w:val="single" w:sz="4" w:space="0" w:color="auto"/>
              <w:right w:val="nil"/>
            </w:tcBorders>
            <w:shd w:val="clear" w:color="000000" w:fill="D9D9D9"/>
            <w:vAlign w:val="center"/>
            <w:hideMark/>
          </w:tcPr>
          <w:p w:rsidR="009A4AE5" w:rsidRPr="00DE0E34" w:rsidRDefault="009A4AE5" w:rsidP="00B86750">
            <w:pPr>
              <w:spacing w:after="0" w:line="240" w:lineRule="auto"/>
              <w:jc w:val="both"/>
              <w:rPr>
                <w:rFonts w:ascii="Times New Roman" w:eastAsia="Times New Roman" w:hAnsi="Times New Roman" w:cs="Times New Roman"/>
                <w:b/>
                <w:bCs/>
                <w:color w:val="000000"/>
                <w:sz w:val="20"/>
                <w:szCs w:val="20"/>
              </w:rPr>
            </w:pPr>
            <w:r w:rsidRPr="00DE0E34">
              <w:rPr>
                <w:rFonts w:ascii="Times New Roman" w:eastAsia="Times New Roman" w:hAnsi="Times New Roman" w:cs="Times New Roman"/>
                <w:b/>
                <w:bCs/>
                <w:color w:val="000000"/>
                <w:sz w:val="20"/>
                <w:szCs w:val="20"/>
              </w:rPr>
              <w:t> </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rsidR="009A4AE5" w:rsidRPr="00DE0E34" w:rsidRDefault="009A4AE5" w:rsidP="00B86750">
            <w:pPr>
              <w:spacing w:after="0" w:line="240" w:lineRule="auto"/>
              <w:jc w:val="center"/>
              <w:rPr>
                <w:rFonts w:ascii="Times New Roman" w:eastAsia="Times New Roman" w:hAnsi="Times New Roman" w:cs="Times New Roman"/>
                <w:b/>
                <w:bCs/>
                <w:color w:val="000000"/>
                <w:sz w:val="20"/>
                <w:szCs w:val="20"/>
              </w:rPr>
            </w:pPr>
            <w:r w:rsidRPr="00DE0E34">
              <w:rPr>
                <w:rFonts w:ascii="Times New Roman" w:eastAsia="Times New Roman" w:hAnsi="Times New Roman" w:cs="Times New Roman"/>
                <w:b/>
                <w:bCs/>
                <w:color w:val="000000"/>
                <w:sz w:val="20"/>
                <w:szCs w:val="20"/>
              </w:rPr>
              <w:t>2002</w:t>
            </w:r>
          </w:p>
        </w:tc>
        <w:tc>
          <w:tcPr>
            <w:tcW w:w="1134" w:type="dxa"/>
            <w:tcBorders>
              <w:top w:val="nil"/>
              <w:left w:val="nil"/>
              <w:bottom w:val="single" w:sz="4" w:space="0" w:color="auto"/>
              <w:right w:val="nil"/>
            </w:tcBorders>
            <w:shd w:val="clear" w:color="000000" w:fill="D9D9D9"/>
            <w:vAlign w:val="center"/>
            <w:hideMark/>
          </w:tcPr>
          <w:p w:rsidR="009A4AE5" w:rsidRPr="00DE0E34" w:rsidRDefault="009A4AE5" w:rsidP="00B86750">
            <w:pPr>
              <w:spacing w:after="0" w:line="240" w:lineRule="auto"/>
              <w:jc w:val="center"/>
              <w:rPr>
                <w:rFonts w:ascii="Times New Roman" w:eastAsia="Times New Roman" w:hAnsi="Times New Roman" w:cs="Times New Roman"/>
                <w:b/>
                <w:bCs/>
                <w:color w:val="000000"/>
                <w:sz w:val="20"/>
                <w:szCs w:val="20"/>
              </w:rPr>
            </w:pPr>
            <w:r w:rsidRPr="00DE0E34">
              <w:rPr>
                <w:rFonts w:ascii="Times New Roman" w:eastAsia="Times New Roman" w:hAnsi="Times New Roman" w:cs="Times New Roman"/>
                <w:b/>
                <w:bCs/>
                <w:color w:val="000000"/>
                <w:sz w:val="20"/>
                <w:szCs w:val="20"/>
              </w:rPr>
              <w:t>2007</w:t>
            </w:r>
          </w:p>
        </w:tc>
        <w:tc>
          <w:tcPr>
            <w:tcW w:w="1134" w:type="dxa"/>
            <w:tcBorders>
              <w:top w:val="nil"/>
              <w:left w:val="nil"/>
              <w:bottom w:val="single" w:sz="4" w:space="0" w:color="auto"/>
              <w:right w:val="nil"/>
            </w:tcBorders>
            <w:shd w:val="clear" w:color="000000" w:fill="D9D9D9"/>
            <w:vAlign w:val="center"/>
            <w:hideMark/>
          </w:tcPr>
          <w:p w:rsidR="009A4AE5" w:rsidRPr="00DE0E34" w:rsidRDefault="009A4AE5" w:rsidP="00B86750">
            <w:pPr>
              <w:spacing w:after="0" w:line="240" w:lineRule="auto"/>
              <w:jc w:val="center"/>
              <w:rPr>
                <w:rFonts w:ascii="Times New Roman" w:eastAsia="Times New Roman" w:hAnsi="Times New Roman" w:cs="Times New Roman"/>
                <w:b/>
                <w:bCs/>
                <w:color w:val="000000"/>
                <w:sz w:val="20"/>
                <w:szCs w:val="20"/>
              </w:rPr>
            </w:pPr>
            <w:r w:rsidRPr="00DE0E34">
              <w:rPr>
                <w:rFonts w:ascii="Times New Roman" w:eastAsia="Times New Roman" w:hAnsi="Times New Roman" w:cs="Times New Roman"/>
                <w:b/>
                <w:bCs/>
                <w:color w:val="000000"/>
                <w:sz w:val="20"/>
                <w:szCs w:val="20"/>
              </w:rPr>
              <w:t>2008</w:t>
            </w:r>
          </w:p>
        </w:tc>
        <w:tc>
          <w:tcPr>
            <w:tcW w:w="1134" w:type="dxa"/>
            <w:tcBorders>
              <w:top w:val="nil"/>
              <w:left w:val="nil"/>
              <w:bottom w:val="single" w:sz="4" w:space="0" w:color="auto"/>
              <w:right w:val="nil"/>
            </w:tcBorders>
            <w:shd w:val="clear" w:color="000000" w:fill="D9D9D9"/>
            <w:vAlign w:val="center"/>
            <w:hideMark/>
          </w:tcPr>
          <w:p w:rsidR="009A4AE5" w:rsidRPr="00DE0E34" w:rsidRDefault="009A4AE5" w:rsidP="00B86750">
            <w:pPr>
              <w:spacing w:after="0" w:line="240" w:lineRule="auto"/>
              <w:jc w:val="center"/>
              <w:rPr>
                <w:rFonts w:ascii="Times New Roman" w:eastAsia="Times New Roman" w:hAnsi="Times New Roman" w:cs="Times New Roman"/>
                <w:b/>
                <w:bCs/>
                <w:color w:val="000000"/>
                <w:sz w:val="20"/>
                <w:szCs w:val="20"/>
              </w:rPr>
            </w:pPr>
            <w:r w:rsidRPr="00DE0E34">
              <w:rPr>
                <w:rFonts w:ascii="Times New Roman" w:eastAsia="Times New Roman" w:hAnsi="Times New Roman" w:cs="Times New Roman"/>
                <w:b/>
                <w:bCs/>
                <w:color w:val="000000"/>
                <w:sz w:val="20"/>
                <w:szCs w:val="20"/>
              </w:rPr>
              <w:t>2009</w:t>
            </w:r>
          </w:p>
        </w:tc>
        <w:tc>
          <w:tcPr>
            <w:tcW w:w="1134" w:type="dxa"/>
            <w:tcBorders>
              <w:top w:val="nil"/>
              <w:left w:val="nil"/>
              <w:bottom w:val="single" w:sz="4" w:space="0" w:color="auto"/>
              <w:right w:val="nil"/>
            </w:tcBorders>
            <w:shd w:val="clear" w:color="000000" w:fill="D9D9D9"/>
            <w:vAlign w:val="center"/>
            <w:hideMark/>
          </w:tcPr>
          <w:p w:rsidR="009A4AE5" w:rsidRPr="00DE0E34" w:rsidRDefault="009A4AE5" w:rsidP="00B86750">
            <w:pPr>
              <w:spacing w:after="0" w:line="240" w:lineRule="auto"/>
              <w:jc w:val="center"/>
              <w:rPr>
                <w:rFonts w:ascii="Times New Roman" w:eastAsia="Times New Roman" w:hAnsi="Times New Roman" w:cs="Times New Roman"/>
                <w:b/>
                <w:bCs/>
                <w:color w:val="000000"/>
                <w:sz w:val="20"/>
                <w:szCs w:val="20"/>
              </w:rPr>
            </w:pPr>
            <w:r w:rsidRPr="00DE0E34">
              <w:rPr>
                <w:rFonts w:ascii="Times New Roman" w:eastAsia="Times New Roman" w:hAnsi="Times New Roman" w:cs="Times New Roman"/>
                <w:b/>
                <w:bCs/>
                <w:color w:val="000000"/>
                <w:sz w:val="20"/>
                <w:szCs w:val="20"/>
              </w:rPr>
              <w:t>2010</w:t>
            </w:r>
          </w:p>
        </w:tc>
        <w:tc>
          <w:tcPr>
            <w:tcW w:w="1134" w:type="dxa"/>
            <w:tcBorders>
              <w:top w:val="nil"/>
              <w:left w:val="nil"/>
              <w:bottom w:val="single" w:sz="4" w:space="0" w:color="auto"/>
              <w:right w:val="nil"/>
            </w:tcBorders>
            <w:shd w:val="clear" w:color="000000" w:fill="D9D9D9"/>
            <w:vAlign w:val="center"/>
            <w:hideMark/>
          </w:tcPr>
          <w:p w:rsidR="009A4AE5" w:rsidRPr="00DE0E34" w:rsidRDefault="009A4AE5" w:rsidP="00B86750">
            <w:pPr>
              <w:spacing w:after="0" w:line="240" w:lineRule="auto"/>
              <w:jc w:val="center"/>
              <w:rPr>
                <w:rFonts w:ascii="Times New Roman" w:eastAsia="Times New Roman" w:hAnsi="Times New Roman" w:cs="Times New Roman"/>
                <w:b/>
                <w:bCs/>
                <w:color w:val="000000"/>
                <w:sz w:val="20"/>
                <w:szCs w:val="20"/>
              </w:rPr>
            </w:pPr>
            <w:r w:rsidRPr="00DE0E34">
              <w:rPr>
                <w:rFonts w:ascii="Times New Roman" w:eastAsia="Times New Roman" w:hAnsi="Times New Roman" w:cs="Times New Roman"/>
                <w:b/>
                <w:bCs/>
                <w:color w:val="000000"/>
                <w:sz w:val="20"/>
                <w:szCs w:val="20"/>
              </w:rPr>
              <w:t>2011</w:t>
            </w:r>
          </w:p>
        </w:tc>
      </w:tr>
      <w:tr w:rsidR="009A4AE5" w:rsidRPr="00DE0E34" w:rsidTr="00B86750">
        <w:trPr>
          <w:trHeight w:val="300"/>
        </w:trPr>
        <w:tc>
          <w:tcPr>
            <w:tcW w:w="2283" w:type="dxa"/>
            <w:tcBorders>
              <w:top w:val="nil"/>
              <w:left w:val="nil"/>
              <w:bottom w:val="nil"/>
              <w:right w:val="nil"/>
            </w:tcBorders>
            <w:shd w:val="clear" w:color="auto" w:fill="auto"/>
            <w:vAlign w:val="center"/>
            <w:hideMark/>
          </w:tcPr>
          <w:p w:rsidR="009A4AE5" w:rsidRPr="00DE0E34" w:rsidRDefault="009A4AE5" w:rsidP="00B86750">
            <w:pPr>
              <w:spacing w:after="0" w:line="240" w:lineRule="auto"/>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do 29 rokov</w:t>
            </w:r>
          </w:p>
        </w:tc>
        <w:tc>
          <w:tcPr>
            <w:tcW w:w="1134" w:type="dxa"/>
            <w:tcBorders>
              <w:top w:val="nil"/>
              <w:left w:val="single" w:sz="4" w:space="0" w:color="auto"/>
              <w:bottom w:val="nil"/>
              <w:right w:val="single" w:sz="4" w:space="0" w:color="auto"/>
            </w:tcBorders>
            <w:shd w:val="clear" w:color="auto" w:fill="auto"/>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29,10%</w:t>
            </w:r>
          </w:p>
        </w:tc>
        <w:tc>
          <w:tcPr>
            <w:tcW w:w="1134" w:type="dxa"/>
            <w:tcBorders>
              <w:top w:val="nil"/>
              <w:left w:val="nil"/>
              <w:bottom w:val="nil"/>
              <w:right w:val="nil"/>
            </w:tcBorders>
            <w:shd w:val="clear" w:color="auto" w:fill="auto"/>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24,70%</w:t>
            </w:r>
          </w:p>
        </w:tc>
        <w:tc>
          <w:tcPr>
            <w:tcW w:w="1134" w:type="dxa"/>
            <w:tcBorders>
              <w:top w:val="nil"/>
              <w:left w:val="nil"/>
              <w:bottom w:val="nil"/>
              <w:right w:val="nil"/>
            </w:tcBorders>
            <w:shd w:val="clear" w:color="auto" w:fill="auto"/>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22,70%</w:t>
            </w:r>
          </w:p>
        </w:tc>
        <w:tc>
          <w:tcPr>
            <w:tcW w:w="1134" w:type="dxa"/>
            <w:tcBorders>
              <w:top w:val="nil"/>
              <w:left w:val="nil"/>
              <w:bottom w:val="nil"/>
              <w:right w:val="nil"/>
            </w:tcBorders>
            <w:shd w:val="clear" w:color="auto" w:fill="auto"/>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19,80%</w:t>
            </w:r>
          </w:p>
        </w:tc>
        <w:tc>
          <w:tcPr>
            <w:tcW w:w="1134" w:type="dxa"/>
            <w:tcBorders>
              <w:top w:val="nil"/>
              <w:left w:val="nil"/>
              <w:bottom w:val="nil"/>
              <w:right w:val="nil"/>
            </w:tcBorders>
            <w:shd w:val="clear" w:color="auto" w:fill="auto"/>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15,70%</w:t>
            </w:r>
          </w:p>
        </w:tc>
        <w:tc>
          <w:tcPr>
            <w:tcW w:w="1134" w:type="dxa"/>
            <w:tcBorders>
              <w:top w:val="nil"/>
              <w:left w:val="nil"/>
              <w:bottom w:val="nil"/>
              <w:right w:val="nil"/>
            </w:tcBorders>
            <w:shd w:val="clear" w:color="auto" w:fill="auto"/>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15,50%</w:t>
            </w:r>
          </w:p>
        </w:tc>
      </w:tr>
      <w:tr w:rsidR="009A4AE5" w:rsidRPr="00DE0E34" w:rsidTr="00B86750">
        <w:trPr>
          <w:trHeight w:val="300"/>
        </w:trPr>
        <w:tc>
          <w:tcPr>
            <w:tcW w:w="2283" w:type="dxa"/>
            <w:tcBorders>
              <w:top w:val="nil"/>
              <w:left w:val="nil"/>
              <w:bottom w:val="nil"/>
              <w:right w:val="nil"/>
            </w:tcBorders>
            <w:shd w:val="clear" w:color="auto" w:fill="F2F2F2" w:themeFill="background1" w:themeFillShade="F2"/>
            <w:vAlign w:val="center"/>
            <w:hideMark/>
          </w:tcPr>
          <w:p w:rsidR="009A4AE5" w:rsidRPr="00DE0E34" w:rsidRDefault="009A4AE5" w:rsidP="00B86750">
            <w:pPr>
              <w:spacing w:after="0" w:line="240" w:lineRule="auto"/>
              <w:jc w:val="both"/>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30-39</w:t>
            </w:r>
          </w:p>
        </w:tc>
        <w:tc>
          <w:tcPr>
            <w:tcW w:w="1134" w:type="dxa"/>
            <w:tcBorders>
              <w:top w:val="nil"/>
              <w:left w:val="single" w:sz="4" w:space="0" w:color="auto"/>
              <w:bottom w:val="nil"/>
              <w:right w:val="single" w:sz="4" w:space="0" w:color="auto"/>
            </w:tcBorders>
            <w:shd w:val="clear" w:color="auto" w:fill="F2F2F2" w:themeFill="background1" w:themeFillShade="F2"/>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30,40%</w:t>
            </w:r>
          </w:p>
        </w:tc>
        <w:tc>
          <w:tcPr>
            <w:tcW w:w="1134" w:type="dxa"/>
            <w:tcBorders>
              <w:top w:val="nil"/>
              <w:left w:val="nil"/>
              <w:bottom w:val="nil"/>
              <w:right w:val="nil"/>
            </w:tcBorders>
            <w:shd w:val="clear" w:color="auto" w:fill="F2F2F2" w:themeFill="background1" w:themeFillShade="F2"/>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27,10%</w:t>
            </w:r>
          </w:p>
        </w:tc>
        <w:tc>
          <w:tcPr>
            <w:tcW w:w="1134" w:type="dxa"/>
            <w:tcBorders>
              <w:top w:val="nil"/>
              <w:left w:val="nil"/>
              <w:bottom w:val="nil"/>
              <w:right w:val="nil"/>
            </w:tcBorders>
            <w:shd w:val="clear" w:color="auto" w:fill="F2F2F2" w:themeFill="background1" w:themeFillShade="F2"/>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29,70%</w:t>
            </w:r>
          </w:p>
        </w:tc>
        <w:tc>
          <w:tcPr>
            <w:tcW w:w="1134" w:type="dxa"/>
            <w:tcBorders>
              <w:top w:val="nil"/>
              <w:left w:val="nil"/>
              <w:bottom w:val="nil"/>
              <w:right w:val="nil"/>
            </w:tcBorders>
            <w:shd w:val="clear" w:color="auto" w:fill="F2F2F2" w:themeFill="background1" w:themeFillShade="F2"/>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31,40%</w:t>
            </w:r>
          </w:p>
        </w:tc>
        <w:tc>
          <w:tcPr>
            <w:tcW w:w="1134" w:type="dxa"/>
            <w:tcBorders>
              <w:top w:val="nil"/>
              <w:left w:val="nil"/>
              <w:bottom w:val="nil"/>
              <w:right w:val="nil"/>
            </w:tcBorders>
            <w:shd w:val="clear" w:color="auto" w:fill="F2F2F2" w:themeFill="background1" w:themeFillShade="F2"/>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33,60%</w:t>
            </w:r>
          </w:p>
        </w:tc>
        <w:tc>
          <w:tcPr>
            <w:tcW w:w="1134" w:type="dxa"/>
            <w:tcBorders>
              <w:top w:val="nil"/>
              <w:left w:val="nil"/>
              <w:bottom w:val="nil"/>
              <w:right w:val="nil"/>
            </w:tcBorders>
            <w:shd w:val="clear" w:color="auto" w:fill="F2F2F2" w:themeFill="background1" w:themeFillShade="F2"/>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30,60%</w:t>
            </w:r>
          </w:p>
        </w:tc>
      </w:tr>
      <w:tr w:rsidR="009A4AE5" w:rsidRPr="00DE0E34" w:rsidTr="00B86750">
        <w:trPr>
          <w:trHeight w:val="300"/>
        </w:trPr>
        <w:tc>
          <w:tcPr>
            <w:tcW w:w="2283" w:type="dxa"/>
            <w:tcBorders>
              <w:top w:val="nil"/>
              <w:left w:val="nil"/>
              <w:bottom w:val="nil"/>
              <w:right w:val="nil"/>
            </w:tcBorders>
            <w:shd w:val="clear" w:color="auto" w:fill="auto"/>
            <w:vAlign w:val="center"/>
            <w:hideMark/>
          </w:tcPr>
          <w:p w:rsidR="009A4AE5" w:rsidRPr="00DE0E34" w:rsidRDefault="009A4AE5" w:rsidP="00B86750">
            <w:pPr>
              <w:spacing w:after="0" w:line="240" w:lineRule="auto"/>
              <w:jc w:val="both"/>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40-49</w:t>
            </w:r>
          </w:p>
        </w:tc>
        <w:tc>
          <w:tcPr>
            <w:tcW w:w="1134" w:type="dxa"/>
            <w:tcBorders>
              <w:top w:val="nil"/>
              <w:left w:val="single" w:sz="4" w:space="0" w:color="auto"/>
              <w:bottom w:val="nil"/>
              <w:right w:val="single" w:sz="4" w:space="0" w:color="auto"/>
            </w:tcBorders>
            <w:shd w:val="clear" w:color="auto" w:fill="auto"/>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28,60%</w:t>
            </w:r>
          </w:p>
        </w:tc>
        <w:tc>
          <w:tcPr>
            <w:tcW w:w="1134" w:type="dxa"/>
            <w:tcBorders>
              <w:top w:val="nil"/>
              <w:left w:val="nil"/>
              <w:bottom w:val="nil"/>
              <w:right w:val="nil"/>
            </w:tcBorders>
            <w:shd w:val="clear" w:color="auto" w:fill="auto"/>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27,80%</w:t>
            </w:r>
          </w:p>
        </w:tc>
        <w:tc>
          <w:tcPr>
            <w:tcW w:w="1134" w:type="dxa"/>
            <w:tcBorders>
              <w:top w:val="nil"/>
              <w:left w:val="nil"/>
              <w:bottom w:val="nil"/>
              <w:right w:val="nil"/>
            </w:tcBorders>
            <w:shd w:val="clear" w:color="auto" w:fill="auto"/>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27,00%</w:t>
            </w:r>
          </w:p>
        </w:tc>
        <w:tc>
          <w:tcPr>
            <w:tcW w:w="1134" w:type="dxa"/>
            <w:tcBorders>
              <w:top w:val="nil"/>
              <w:left w:val="nil"/>
              <w:bottom w:val="nil"/>
              <w:right w:val="nil"/>
            </w:tcBorders>
            <w:shd w:val="clear" w:color="auto" w:fill="auto"/>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26,80%</w:t>
            </w:r>
          </w:p>
        </w:tc>
        <w:tc>
          <w:tcPr>
            <w:tcW w:w="1134" w:type="dxa"/>
            <w:tcBorders>
              <w:top w:val="nil"/>
              <w:left w:val="nil"/>
              <w:bottom w:val="nil"/>
              <w:right w:val="nil"/>
            </w:tcBorders>
            <w:shd w:val="clear" w:color="auto" w:fill="auto"/>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26,90%</w:t>
            </w:r>
          </w:p>
        </w:tc>
        <w:tc>
          <w:tcPr>
            <w:tcW w:w="1134" w:type="dxa"/>
            <w:tcBorders>
              <w:top w:val="nil"/>
              <w:left w:val="nil"/>
              <w:bottom w:val="nil"/>
              <w:right w:val="nil"/>
            </w:tcBorders>
            <w:shd w:val="clear" w:color="auto" w:fill="auto"/>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27,20%</w:t>
            </w:r>
          </w:p>
        </w:tc>
      </w:tr>
      <w:tr w:rsidR="009A4AE5" w:rsidRPr="00DE0E34" w:rsidTr="00B86750">
        <w:trPr>
          <w:trHeight w:val="300"/>
        </w:trPr>
        <w:tc>
          <w:tcPr>
            <w:tcW w:w="2283" w:type="dxa"/>
            <w:tcBorders>
              <w:top w:val="nil"/>
              <w:left w:val="nil"/>
              <w:bottom w:val="nil"/>
              <w:right w:val="nil"/>
            </w:tcBorders>
            <w:shd w:val="clear" w:color="auto" w:fill="F2F2F2" w:themeFill="background1" w:themeFillShade="F2"/>
            <w:vAlign w:val="center"/>
            <w:hideMark/>
          </w:tcPr>
          <w:p w:rsidR="009A4AE5" w:rsidRPr="00DE0E34" w:rsidRDefault="009A4AE5" w:rsidP="00B86750">
            <w:pPr>
              <w:spacing w:after="0" w:line="240" w:lineRule="auto"/>
              <w:jc w:val="both"/>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50-59</w:t>
            </w:r>
          </w:p>
        </w:tc>
        <w:tc>
          <w:tcPr>
            <w:tcW w:w="1134" w:type="dxa"/>
            <w:tcBorders>
              <w:top w:val="nil"/>
              <w:left w:val="single" w:sz="4" w:space="0" w:color="auto"/>
              <w:bottom w:val="nil"/>
              <w:right w:val="single" w:sz="4" w:space="0" w:color="auto"/>
            </w:tcBorders>
            <w:shd w:val="clear" w:color="auto" w:fill="F2F2F2" w:themeFill="background1" w:themeFillShade="F2"/>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11,60%</w:t>
            </w:r>
          </w:p>
        </w:tc>
        <w:tc>
          <w:tcPr>
            <w:tcW w:w="1134" w:type="dxa"/>
            <w:tcBorders>
              <w:top w:val="nil"/>
              <w:left w:val="nil"/>
              <w:bottom w:val="nil"/>
              <w:right w:val="nil"/>
            </w:tcBorders>
            <w:shd w:val="clear" w:color="auto" w:fill="F2F2F2" w:themeFill="background1" w:themeFillShade="F2"/>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20,10%</w:t>
            </w:r>
          </w:p>
        </w:tc>
        <w:tc>
          <w:tcPr>
            <w:tcW w:w="1134" w:type="dxa"/>
            <w:tcBorders>
              <w:top w:val="nil"/>
              <w:left w:val="nil"/>
              <w:bottom w:val="nil"/>
              <w:right w:val="nil"/>
            </w:tcBorders>
            <w:shd w:val="clear" w:color="auto" w:fill="F2F2F2" w:themeFill="background1" w:themeFillShade="F2"/>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19,70%</w:t>
            </w:r>
          </w:p>
        </w:tc>
        <w:tc>
          <w:tcPr>
            <w:tcW w:w="1134" w:type="dxa"/>
            <w:tcBorders>
              <w:top w:val="nil"/>
              <w:left w:val="nil"/>
              <w:bottom w:val="nil"/>
              <w:right w:val="nil"/>
            </w:tcBorders>
            <w:shd w:val="clear" w:color="auto" w:fill="F2F2F2" w:themeFill="background1" w:themeFillShade="F2"/>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21,30%</w:t>
            </w:r>
          </w:p>
        </w:tc>
        <w:tc>
          <w:tcPr>
            <w:tcW w:w="1134" w:type="dxa"/>
            <w:tcBorders>
              <w:top w:val="nil"/>
              <w:left w:val="nil"/>
              <w:bottom w:val="nil"/>
              <w:right w:val="nil"/>
            </w:tcBorders>
            <w:shd w:val="clear" w:color="auto" w:fill="F2F2F2" w:themeFill="background1" w:themeFillShade="F2"/>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23,30%</w:t>
            </w:r>
          </w:p>
        </w:tc>
        <w:tc>
          <w:tcPr>
            <w:tcW w:w="1134" w:type="dxa"/>
            <w:tcBorders>
              <w:top w:val="nil"/>
              <w:left w:val="nil"/>
              <w:bottom w:val="nil"/>
              <w:right w:val="nil"/>
            </w:tcBorders>
            <w:shd w:val="clear" w:color="auto" w:fill="F2F2F2" w:themeFill="background1" w:themeFillShade="F2"/>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24,80%</w:t>
            </w:r>
          </w:p>
        </w:tc>
      </w:tr>
      <w:tr w:rsidR="009A4AE5" w:rsidRPr="00DE0E34" w:rsidTr="00B021D5">
        <w:trPr>
          <w:trHeight w:val="220"/>
        </w:trPr>
        <w:tc>
          <w:tcPr>
            <w:tcW w:w="2283" w:type="dxa"/>
            <w:tcBorders>
              <w:top w:val="nil"/>
              <w:left w:val="nil"/>
              <w:bottom w:val="nil"/>
              <w:right w:val="nil"/>
            </w:tcBorders>
            <w:shd w:val="clear" w:color="auto" w:fill="auto"/>
            <w:vAlign w:val="center"/>
            <w:hideMark/>
          </w:tcPr>
          <w:p w:rsidR="009A4AE5" w:rsidRPr="00DE0E34" w:rsidRDefault="009A4AE5" w:rsidP="00B86750">
            <w:pPr>
              <w:spacing w:after="0" w:line="240" w:lineRule="auto"/>
              <w:jc w:val="both"/>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60 a viac rokov</w:t>
            </w:r>
          </w:p>
        </w:tc>
        <w:tc>
          <w:tcPr>
            <w:tcW w:w="1134" w:type="dxa"/>
            <w:tcBorders>
              <w:top w:val="nil"/>
              <w:left w:val="single" w:sz="4" w:space="0" w:color="auto"/>
              <w:bottom w:val="nil"/>
              <w:right w:val="single" w:sz="4" w:space="0" w:color="auto"/>
            </w:tcBorders>
            <w:shd w:val="clear" w:color="auto" w:fill="auto"/>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0,50%</w:t>
            </w:r>
          </w:p>
        </w:tc>
        <w:tc>
          <w:tcPr>
            <w:tcW w:w="1134" w:type="dxa"/>
            <w:tcBorders>
              <w:top w:val="nil"/>
              <w:left w:val="nil"/>
              <w:bottom w:val="nil"/>
              <w:right w:val="nil"/>
            </w:tcBorders>
            <w:shd w:val="clear" w:color="auto" w:fill="auto"/>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0,70%</w:t>
            </w:r>
          </w:p>
        </w:tc>
        <w:tc>
          <w:tcPr>
            <w:tcW w:w="1134" w:type="dxa"/>
            <w:tcBorders>
              <w:top w:val="nil"/>
              <w:left w:val="nil"/>
              <w:bottom w:val="nil"/>
              <w:right w:val="nil"/>
            </w:tcBorders>
            <w:shd w:val="clear" w:color="auto" w:fill="auto"/>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1,20%</w:t>
            </w:r>
          </w:p>
        </w:tc>
        <w:tc>
          <w:tcPr>
            <w:tcW w:w="1134" w:type="dxa"/>
            <w:tcBorders>
              <w:top w:val="nil"/>
              <w:left w:val="nil"/>
              <w:bottom w:val="nil"/>
              <w:right w:val="nil"/>
            </w:tcBorders>
            <w:shd w:val="clear" w:color="auto" w:fill="auto"/>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0,80%</w:t>
            </w:r>
          </w:p>
        </w:tc>
        <w:tc>
          <w:tcPr>
            <w:tcW w:w="1134" w:type="dxa"/>
            <w:tcBorders>
              <w:top w:val="nil"/>
              <w:left w:val="nil"/>
              <w:bottom w:val="nil"/>
              <w:right w:val="nil"/>
            </w:tcBorders>
            <w:shd w:val="clear" w:color="auto" w:fill="auto"/>
            <w:vAlign w:val="center"/>
            <w:hideMark/>
          </w:tcPr>
          <w:p w:rsidR="00B021D5" w:rsidRPr="00DE0E34" w:rsidRDefault="009A4AE5" w:rsidP="00B021D5">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0,50%</w:t>
            </w:r>
          </w:p>
        </w:tc>
        <w:tc>
          <w:tcPr>
            <w:tcW w:w="1134" w:type="dxa"/>
            <w:tcBorders>
              <w:top w:val="nil"/>
              <w:left w:val="nil"/>
              <w:bottom w:val="nil"/>
              <w:right w:val="nil"/>
            </w:tcBorders>
            <w:shd w:val="clear" w:color="auto" w:fill="auto"/>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1,80%</w:t>
            </w:r>
          </w:p>
        </w:tc>
      </w:tr>
      <w:tr w:rsidR="009A4AE5" w:rsidRPr="00DE0E34" w:rsidTr="00B86750">
        <w:trPr>
          <w:trHeight w:val="300"/>
        </w:trPr>
        <w:tc>
          <w:tcPr>
            <w:tcW w:w="2283" w:type="dxa"/>
            <w:tcBorders>
              <w:top w:val="nil"/>
              <w:left w:val="nil"/>
              <w:bottom w:val="single" w:sz="4" w:space="0" w:color="auto"/>
              <w:right w:val="nil"/>
            </w:tcBorders>
            <w:shd w:val="clear" w:color="auto" w:fill="F2F2F2" w:themeFill="background1" w:themeFillShade="F2"/>
            <w:vAlign w:val="center"/>
            <w:hideMark/>
          </w:tcPr>
          <w:p w:rsidR="009A4AE5" w:rsidRPr="00DE0E34" w:rsidRDefault="009A4AE5" w:rsidP="00B86750">
            <w:pPr>
              <w:spacing w:after="0" w:line="240" w:lineRule="auto"/>
              <w:jc w:val="both"/>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Spolu</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100,00%</w:t>
            </w:r>
          </w:p>
        </w:tc>
        <w:tc>
          <w:tcPr>
            <w:tcW w:w="1134" w:type="dxa"/>
            <w:tcBorders>
              <w:top w:val="nil"/>
              <w:left w:val="nil"/>
              <w:bottom w:val="single" w:sz="4" w:space="0" w:color="auto"/>
              <w:right w:val="nil"/>
            </w:tcBorders>
            <w:shd w:val="clear" w:color="auto" w:fill="F2F2F2" w:themeFill="background1" w:themeFillShade="F2"/>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100,00%</w:t>
            </w:r>
          </w:p>
        </w:tc>
        <w:tc>
          <w:tcPr>
            <w:tcW w:w="1134" w:type="dxa"/>
            <w:tcBorders>
              <w:top w:val="nil"/>
              <w:left w:val="nil"/>
              <w:bottom w:val="single" w:sz="4" w:space="0" w:color="auto"/>
              <w:right w:val="nil"/>
            </w:tcBorders>
            <w:shd w:val="clear" w:color="auto" w:fill="F2F2F2" w:themeFill="background1" w:themeFillShade="F2"/>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100,00%</w:t>
            </w:r>
          </w:p>
        </w:tc>
        <w:tc>
          <w:tcPr>
            <w:tcW w:w="1134" w:type="dxa"/>
            <w:tcBorders>
              <w:top w:val="nil"/>
              <w:left w:val="nil"/>
              <w:bottom w:val="single" w:sz="4" w:space="0" w:color="auto"/>
              <w:right w:val="nil"/>
            </w:tcBorders>
            <w:shd w:val="clear" w:color="auto" w:fill="F2F2F2" w:themeFill="background1" w:themeFillShade="F2"/>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100,00%</w:t>
            </w:r>
          </w:p>
        </w:tc>
        <w:tc>
          <w:tcPr>
            <w:tcW w:w="1134" w:type="dxa"/>
            <w:tcBorders>
              <w:top w:val="nil"/>
              <w:left w:val="nil"/>
              <w:bottom w:val="single" w:sz="4" w:space="0" w:color="auto"/>
              <w:right w:val="nil"/>
            </w:tcBorders>
            <w:shd w:val="clear" w:color="auto" w:fill="F2F2F2" w:themeFill="background1" w:themeFillShade="F2"/>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100,00%</w:t>
            </w:r>
          </w:p>
        </w:tc>
        <w:tc>
          <w:tcPr>
            <w:tcW w:w="1134" w:type="dxa"/>
            <w:tcBorders>
              <w:top w:val="nil"/>
              <w:left w:val="nil"/>
              <w:bottom w:val="single" w:sz="4" w:space="0" w:color="auto"/>
              <w:right w:val="nil"/>
            </w:tcBorders>
            <w:shd w:val="clear" w:color="auto" w:fill="F2F2F2" w:themeFill="background1" w:themeFillShade="F2"/>
            <w:vAlign w:val="center"/>
            <w:hideMark/>
          </w:tcPr>
          <w:p w:rsidR="009A4AE5" w:rsidRPr="00DE0E34" w:rsidRDefault="009A4AE5" w:rsidP="00B86750">
            <w:pPr>
              <w:spacing w:after="0" w:line="240" w:lineRule="auto"/>
              <w:jc w:val="right"/>
              <w:rPr>
                <w:rFonts w:ascii="Times New Roman" w:eastAsia="Times New Roman" w:hAnsi="Times New Roman" w:cs="Times New Roman"/>
                <w:color w:val="000000"/>
                <w:sz w:val="20"/>
                <w:szCs w:val="20"/>
              </w:rPr>
            </w:pPr>
            <w:r w:rsidRPr="00DE0E34">
              <w:rPr>
                <w:rFonts w:ascii="Times New Roman" w:eastAsia="Times New Roman" w:hAnsi="Times New Roman" w:cs="Times New Roman"/>
                <w:color w:val="000000"/>
                <w:sz w:val="20"/>
                <w:szCs w:val="20"/>
              </w:rPr>
              <w:t>100,00%</w:t>
            </w:r>
          </w:p>
        </w:tc>
      </w:tr>
    </w:tbl>
    <w:p w:rsidR="009A4AE5" w:rsidRPr="00C431FF" w:rsidRDefault="009A4AE5" w:rsidP="009A4A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ŠÚSR</w:t>
      </w:r>
    </w:p>
    <w:p w:rsidR="00260FDC" w:rsidRDefault="00260FDC" w:rsidP="009A4AE5">
      <w:pPr>
        <w:spacing w:after="0" w:line="240" w:lineRule="auto"/>
        <w:jc w:val="both"/>
        <w:rPr>
          <w:rFonts w:ascii="Times New Roman" w:eastAsia="Calibri" w:hAnsi="Times New Roman"/>
          <w:sz w:val="24"/>
          <w:szCs w:val="24"/>
        </w:rPr>
      </w:pPr>
    </w:p>
    <w:p w:rsidR="009A4AE5" w:rsidRDefault="009A4AE5" w:rsidP="009A4AE5">
      <w:pPr>
        <w:spacing w:after="0" w:line="240" w:lineRule="auto"/>
        <w:jc w:val="both"/>
        <w:rPr>
          <w:rFonts w:ascii="Times New Roman" w:eastAsia="Calibri" w:hAnsi="Times New Roman"/>
          <w:sz w:val="24"/>
          <w:szCs w:val="24"/>
        </w:rPr>
      </w:pPr>
      <w:r w:rsidRPr="00945BCD">
        <w:rPr>
          <w:rFonts w:ascii="Times New Roman" w:eastAsia="Calibri" w:hAnsi="Times New Roman"/>
          <w:sz w:val="24"/>
          <w:szCs w:val="24"/>
        </w:rPr>
        <w:t>Pracujúca populácia v potravinárskom priemysle starne. Priemerný vek pracujúcich v potravinárskej výrobe sa v roku 2011 v porovnaní s východiskovým rokom 2002 zvýšil o 3,8 roka. V roku 2011 dosiahol 40,8 rokov, z toho u žien 41,1 rokov a u mužov 40,3 rokov.</w:t>
      </w:r>
    </w:p>
    <w:p w:rsidR="009A4AE5" w:rsidRDefault="009A4AE5" w:rsidP="009A4AE5">
      <w:pPr>
        <w:spacing w:after="0" w:line="240" w:lineRule="auto"/>
        <w:jc w:val="both"/>
        <w:rPr>
          <w:rFonts w:ascii="Times New Roman" w:eastAsia="Calibri" w:hAnsi="Times New Roman"/>
          <w:sz w:val="24"/>
          <w:szCs w:val="24"/>
        </w:rPr>
      </w:pPr>
    </w:p>
    <w:p w:rsidR="009A4AE5" w:rsidRPr="00CB66FC" w:rsidRDefault="009A4AE5" w:rsidP="009A4AE5">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 7</w:t>
      </w:r>
      <w:r w:rsidRPr="00A855A4">
        <w:rPr>
          <w:rFonts w:ascii="Times New Roman" w:hAnsi="Times New Roman" w:cs="Times New Roman"/>
          <w:sz w:val="20"/>
          <w:szCs w:val="20"/>
        </w:rPr>
        <w:t xml:space="preserve">: </w:t>
      </w:r>
      <w:r>
        <w:rPr>
          <w:rFonts w:ascii="Times New Roman" w:hAnsi="Times New Roman" w:cs="Times New Roman"/>
          <w:sz w:val="20"/>
          <w:szCs w:val="20"/>
        </w:rPr>
        <w:tab/>
        <w:t>Priemerný vek pracujúcich v potravinárstve</w:t>
      </w:r>
    </w:p>
    <w:tbl>
      <w:tblPr>
        <w:tblW w:w="9036" w:type="dxa"/>
        <w:tblInd w:w="55" w:type="dxa"/>
        <w:tblCellMar>
          <w:left w:w="70" w:type="dxa"/>
          <w:right w:w="70" w:type="dxa"/>
        </w:tblCellMar>
        <w:tblLook w:val="04A0" w:firstRow="1" w:lastRow="0" w:firstColumn="1" w:lastColumn="0" w:noHBand="0" w:noVBand="1"/>
      </w:tblPr>
      <w:tblGrid>
        <w:gridCol w:w="3276"/>
        <w:gridCol w:w="960"/>
        <w:gridCol w:w="960"/>
        <w:gridCol w:w="960"/>
        <w:gridCol w:w="960"/>
        <w:gridCol w:w="960"/>
        <w:gridCol w:w="960"/>
      </w:tblGrid>
      <w:tr w:rsidR="009A4AE5" w:rsidRPr="00CB66FC" w:rsidTr="00B86750">
        <w:trPr>
          <w:trHeight w:val="510"/>
        </w:trPr>
        <w:tc>
          <w:tcPr>
            <w:tcW w:w="3276" w:type="dxa"/>
            <w:tcBorders>
              <w:top w:val="nil"/>
              <w:left w:val="nil"/>
              <w:bottom w:val="single" w:sz="4" w:space="0" w:color="auto"/>
              <w:right w:val="nil"/>
            </w:tcBorders>
            <w:shd w:val="clear" w:color="000000" w:fill="D9D9D9"/>
            <w:vAlign w:val="center"/>
            <w:hideMark/>
          </w:tcPr>
          <w:p w:rsidR="009A4AE5" w:rsidRPr="00CB66FC" w:rsidRDefault="009A4AE5" w:rsidP="00B86750">
            <w:pPr>
              <w:spacing w:after="0" w:line="240" w:lineRule="auto"/>
              <w:jc w:val="center"/>
              <w:rPr>
                <w:rFonts w:ascii="Times New Roman" w:eastAsia="Times New Roman" w:hAnsi="Times New Roman" w:cs="Times New Roman"/>
                <w:b/>
                <w:bCs/>
                <w:color w:val="000000"/>
                <w:sz w:val="20"/>
                <w:szCs w:val="20"/>
              </w:rPr>
            </w:pPr>
            <w:r w:rsidRPr="00CB66FC">
              <w:rPr>
                <w:rFonts w:ascii="Times New Roman" w:eastAsia="Times New Roman" w:hAnsi="Times New Roman" w:cs="Times New Roman"/>
                <w:b/>
                <w:bCs/>
                <w:color w:val="000000"/>
                <w:sz w:val="20"/>
                <w:szCs w:val="20"/>
              </w:rPr>
              <w:t> </w:t>
            </w:r>
          </w:p>
        </w:tc>
        <w:tc>
          <w:tcPr>
            <w:tcW w:w="960" w:type="dxa"/>
            <w:tcBorders>
              <w:top w:val="nil"/>
              <w:left w:val="single" w:sz="4" w:space="0" w:color="auto"/>
              <w:bottom w:val="single" w:sz="4" w:space="0" w:color="auto"/>
              <w:right w:val="single" w:sz="4" w:space="0" w:color="auto"/>
            </w:tcBorders>
            <w:shd w:val="clear" w:color="000000" w:fill="D9D9D9"/>
            <w:vAlign w:val="center"/>
            <w:hideMark/>
          </w:tcPr>
          <w:p w:rsidR="009A4AE5" w:rsidRPr="00CB66FC" w:rsidRDefault="009A4AE5" w:rsidP="00B86750">
            <w:pPr>
              <w:spacing w:after="0" w:line="240" w:lineRule="auto"/>
              <w:jc w:val="center"/>
              <w:rPr>
                <w:rFonts w:ascii="Times New Roman" w:eastAsia="Times New Roman" w:hAnsi="Times New Roman" w:cs="Times New Roman"/>
                <w:b/>
                <w:bCs/>
                <w:color w:val="000000"/>
                <w:sz w:val="20"/>
                <w:szCs w:val="20"/>
              </w:rPr>
            </w:pPr>
            <w:r w:rsidRPr="00CB66FC">
              <w:rPr>
                <w:rFonts w:ascii="Times New Roman" w:eastAsia="Times New Roman" w:hAnsi="Times New Roman" w:cs="Times New Roman"/>
                <w:b/>
                <w:bCs/>
                <w:color w:val="000000"/>
                <w:sz w:val="20"/>
                <w:szCs w:val="20"/>
              </w:rPr>
              <w:t>2002</w:t>
            </w:r>
          </w:p>
        </w:tc>
        <w:tc>
          <w:tcPr>
            <w:tcW w:w="960" w:type="dxa"/>
            <w:tcBorders>
              <w:top w:val="nil"/>
              <w:left w:val="nil"/>
              <w:bottom w:val="single" w:sz="4" w:space="0" w:color="auto"/>
              <w:right w:val="nil"/>
            </w:tcBorders>
            <w:shd w:val="clear" w:color="000000" w:fill="D9D9D9"/>
            <w:vAlign w:val="center"/>
            <w:hideMark/>
          </w:tcPr>
          <w:p w:rsidR="009A4AE5" w:rsidRPr="00CB66FC" w:rsidRDefault="009A4AE5" w:rsidP="00B86750">
            <w:pPr>
              <w:spacing w:after="0" w:line="240" w:lineRule="auto"/>
              <w:jc w:val="center"/>
              <w:rPr>
                <w:rFonts w:ascii="Times New Roman" w:eastAsia="Times New Roman" w:hAnsi="Times New Roman" w:cs="Times New Roman"/>
                <w:b/>
                <w:bCs/>
                <w:color w:val="000000"/>
                <w:sz w:val="20"/>
                <w:szCs w:val="20"/>
              </w:rPr>
            </w:pPr>
            <w:r w:rsidRPr="00CB66FC">
              <w:rPr>
                <w:rFonts w:ascii="Times New Roman" w:eastAsia="Times New Roman" w:hAnsi="Times New Roman" w:cs="Times New Roman"/>
                <w:b/>
                <w:bCs/>
                <w:color w:val="000000"/>
                <w:sz w:val="20"/>
                <w:szCs w:val="20"/>
              </w:rPr>
              <w:t>2008</w:t>
            </w:r>
          </w:p>
        </w:tc>
        <w:tc>
          <w:tcPr>
            <w:tcW w:w="960" w:type="dxa"/>
            <w:tcBorders>
              <w:top w:val="nil"/>
              <w:left w:val="nil"/>
              <w:bottom w:val="single" w:sz="4" w:space="0" w:color="auto"/>
              <w:right w:val="nil"/>
            </w:tcBorders>
            <w:shd w:val="clear" w:color="000000" w:fill="D9D9D9"/>
            <w:vAlign w:val="center"/>
            <w:hideMark/>
          </w:tcPr>
          <w:p w:rsidR="009A4AE5" w:rsidRPr="00CB66FC" w:rsidRDefault="009A4AE5" w:rsidP="00B86750">
            <w:pPr>
              <w:spacing w:after="0" w:line="240" w:lineRule="auto"/>
              <w:jc w:val="center"/>
              <w:rPr>
                <w:rFonts w:ascii="Times New Roman" w:eastAsia="Times New Roman" w:hAnsi="Times New Roman" w:cs="Times New Roman"/>
                <w:b/>
                <w:bCs/>
                <w:color w:val="000000"/>
                <w:sz w:val="20"/>
                <w:szCs w:val="20"/>
              </w:rPr>
            </w:pPr>
            <w:r w:rsidRPr="00CB66FC">
              <w:rPr>
                <w:rFonts w:ascii="Times New Roman" w:eastAsia="Times New Roman" w:hAnsi="Times New Roman" w:cs="Times New Roman"/>
                <w:b/>
                <w:bCs/>
                <w:color w:val="000000"/>
                <w:sz w:val="20"/>
                <w:szCs w:val="20"/>
              </w:rPr>
              <w:t>2009</w:t>
            </w:r>
          </w:p>
        </w:tc>
        <w:tc>
          <w:tcPr>
            <w:tcW w:w="960" w:type="dxa"/>
            <w:tcBorders>
              <w:top w:val="nil"/>
              <w:left w:val="nil"/>
              <w:bottom w:val="single" w:sz="4" w:space="0" w:color="auto"/>
              <w:right w:val="nil"/>
            </w:tcBorders>
            <w:shd w:val="clear" w:color="000000" w:fill="D9D9D9"/>
            <w:vAlign w:val="center"/>
            <w:hideMark/>
          </w:tcPr>
          <w:p w:rsidR="009A4AE5" w:rsidRPr="00CB66FC" w:rsidRDefault="009A4AE5" w:rsidP="00B86750">
            <w:pPr>
              <w:spacing w:after="0" w:line="240" w:lineRule="auto"/>
              <w:jc w:val="center"/>
              <w:rPr>
                <w:rFonts w:ascii="Times New Roman" w:eastAsia="Times New Roman" w:hAnsi="Times New Roman" w:cs="Times New Roman"/>
                <w:b/>
                <w:bCs/>
                <w:color w:val="000000"/>
                <w:sz w:val="20"/>
                <w:szCs w:val="20"/>
              </w:rPr>
            </w:pPr>
            <w:r w:rsidRPr="00CB66FC">
              <w:rPr>
                <w:rFonts w:ascii="Times New Roman" w:eastAsia="Times New Roman" w:hAnsi="Times New Roman" w:cs="Times New Roman"/>
                <w:b/>
                <w:bCs/>
                <w:color w:val="000000"/>
                <w:sz w:val="20"/>
                <w:szCs w:val="20"/>
              </w:rPr>
              <w:t>2010</w:t>
            </w:r>
          </w:p>
        </w:tc>
        <w:tc>
          <w:tcPr>
            <w:tcW w:w="960" w:type="dxa"/>
            <w:tcBorders>
              <w:top w:val="nil"/>
              <w:left w:val="nil"/>
              <w:bottom w:val="single" w:sz="4" w:space="0" w:color="auto"/>
              <w:right w:val="nil"/>
            </w:tcBorders>
            <w:shd w:val="clear" w:color="000000" w:fill="D9D9D9"/>
            <w:vAlign w:val="center"/>
            <w:hideMark/>
          </w:tcPr>
          <w:p w:rsidR="009A4AE5" w:rsidRPr="00CB66FC" w:rsidRDefault="009A4AE5" w:rsidP="00B86750">
            <w:pPr>
              <w:spacing w:after="0" w:line="240" w:lineRule="auto"/>
              <w:jc w:val="center"/>
              <w:rPr>
                <w:rFonts w:ascii="Times New Roman" w:eastAsia="Times New Roman" w:hAnsi="Times New Roman" w:cs="Times New Roman"/>
                <w:b/>
                <w:bCs/>
                <w:color w:val="000000"/>
                <w:sz w:val="20"/>
                <w:szCs w:val="20"/>
              </w:rPr>
            </w:pPr>
            <w:r w:rsidRPr="00CB66FC">
              <w:rPr>
                <w:rFonts w:ascii="Times New Roman" w:eastAsia="Times New Roman" w:hAnsi="Times New Roman" w:cs="Times New Roman"/>
                <w:b/>
                <w:bCs/>
                <w:color w:val="000000"/>
                <w:sz w:val="20"/>
                <w:szCs w:val="20"/>
              </w:rPr>
              <w:t>2011</w:t>
            </w:r>
          </w:p>
        </w:tc>
        <w:tc>
          <w:tcPr>
            <w:tcW w:w="960" w:type="dxa"/>
            <w:tcBorders>
              <w:top w:val="nil"/>
              <w:left w:val="nil"/>
              <w:bottom w:val="single" w:sz="4" w:space="0" w:color="auto"/>
              <w:right w:val="nil"/>
            </w:tcBorders>
            <w:shd w:val="clear" w:color="000000" w:fill="D9D9D9"/>
            <w:vAlign w:val="center"/>
            <w:hideMark/>
          </w:tcPr>
          <w:p w:rsidR="009A4AE5" w:rsidRPr="00CB66FC" w:rsidRDefault="009A4AE5" w:rsidP="00B86750">
            <w:pPr>
              <w:spacing w:after="0" w:line="240" w:lineRule="auto"/>
              <w:jc w:val="both"/>
              <w:rPr>
                <w:rFonts w:ascii="Times New Roman" w:eastAsia="Times New Roman" w:hAnsi="Times New Roman" w:cs="Times New Roman"/>
                <w:b/>
                <w:bCs/>
                <w:color w:val="000000"/>
                <w:sz w:val="20"/>
                <w:szCs w:val="20"/>
              </w:rPr>
            </w:pPr>
            <w:r w:rsidRPr="00CB66FC">
              <w:rPr>
                <w:rFonts w:ascii="Times New Roman" w:eastAsia="Times New Roman" w:hAnsi="Times New Roman" w:cs="Times New Roman"/>
                <w:b/>
                <w:bCs/>
                <w:color w:val="000000"/>
                <w:sz w:val="20"/>
                <w:szCs w:val="20"/>
              </w:rPr>
              <w:t>Rozdiel 2011 - 02</w:t>
            </w:r>
          </w:p>
        </w:tc>
      </w:tr>
      <w:tr w:rsidR="009A4AE5" w:rsidRPr="00CB66FC" w:rsidTr="00B86750">
        <w:trPr>
          <w:trHeight w:val="300"/>
        </w:trPr>
        <w:tc>
          <w:tcPr>
            <w:tcW w:w="3276" w:type="dxa"/>
            <w:tcBorders>
              <w:top w:val="nil"/>
              <w:left w:val="nil"/>
              <w:bottom w:val="nil"/>
              <w:right w:val="nil"/>
            </w:tcBorders>
            <w:shd w:val="clear" w:color="auto" w:fill="auto"/>
            <w:vAlign w:val="center"/>
            <w:hideMark/>
          </w:tcPr>
          <w:p w:rsidR="009A4AE5" w:rsidRPr="00CB66FC" w:rsidRDefault="009A4AE5" w:rsidP="00B86750">
            <w:pPr>
              <w:spacing w:after="0" w:line="240" w:lineRule="auto"/>
              <w:jc w:val="both"/>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Trvalo činní spolu</w:t>
            </w:r>
          </w:p>
        </w:tc>
        <w:tc>
          <w:tcPr>
            <w:tcW w:w="960" w:type="dxa"/>
            <w:tcBorders>
              <w:top w:val="nil"/>
              <w:left w:val="single" w:sz="4" w:space="0" w:color="auto"/>
              <w:bottom w:val="nil"/>
              <w:right w:val="single" w:sz="4" w:space="0" w:color="auto"/>
            </w:tcBorders>
            <w:shd w:val="clear" w:color="auto" w:fill="auto"/>
            <w:vAlign w:val="center"/>
            <w:hideMark/>
          </w:tcPr>
          <w:p w:rsidR="009A4AE5" w:rsidRPr="00CB66FC" w:rsidRDefault="009A4AE5" w:rsidP="00B86750">
            <w:pPr>
              <w:spacing w:after="0" w:line="240" w:lineRule="auto"/>
              <w:jc w:val="center"/>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37</w:t>
            </w:r>
          </w:p>
        </w:tc>
        <w:tc>
          <w:tcPr>
            <w:tcW w:w="960" w:type="dxa"/>
            <w:tcBorders>
              <w:top w:val="nil"/>
              <w:left w:val="nil"/>
              <w:bottom w:val="nil"/>
              <w:right w:val="nil"/>
            </w:tcBorders>
            <w:shd w:val="clear" w:color="auto" w:fill="auto"/>
            <w:vAlign w:val="center"/>
            <w:hideMark/>
          </w:tcPr>
          <w:p w:rsidR="009A4AE5" w:rsidRPr="00CB66FC" w:rsidRDefault="009A4AE5" w:rsidP="00B86750">
            <w:pPr>
              <w:spacing w:after="0" w:line="240" w:lineRule="auto"/>
              <w:jc w:val="center"/>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39,1</w:t>
            </w:r>
          </w:p>
        </w:tc>
        <w:tc>
          <w:tcPr>
            <w:tcW w:w="960" w:type="dxa"/>
            <w:tcBorders>
              <w:top w:val="nil"/>
              <w:left w:val="nil"/>
              <w:bottom w:val="nil"/>
              <w:right w:val="nil"/>
            </w:tcBorders>
            <w:shd w:val="clear" w:color="auto" w:fill="auto"/>
            <w:vAlign w:val="center"/>
            <w:hideMark/>
          </w:tcPr>
          <w:p w:rsidR="009A4AE5" w:rsidRPr="00CB66FC" w:rsidRDefault="009A4AE5" w:rsidP="00B86750">
            <w:pPr>
              <w:spacing w:after="0" w:line="240" w:lineRule="auto"/>
              <w:jc w:val="center"/>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39,7</w:t>
            </w:r>
          </w:p>
        </w:tc>
        <w:tc>
          <w:tcPr>
            <w:tcW w:w="960" w:type="dxa"/>
            <w:tcBorders>
              <w:top w:val="nil"/>
              <w:left w:val="nil"/>
              <w:bottom w:val="nil"/>
              <w:right w:val="nil"/>
            </w:tcBorders>
            <w:shd w:val="clear" w:color="auto" w:fill="auto"/>
            <w:vAlign w:val="center"/>
            <w:hideMark/>
          </w:tcPr>
          <w:p w:rsidR="009A4AE5" w:rsidRPr="00CB66FC" w:rsidRDefault="009A4AE5" w:rsidP="00B86750">
            <w:pPr>
              <w:spacing w:after="0" w:line="240" w:lineRule="auto"/>
              <w:jc w:val="center"/>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40,3</w:t>
            </w:r>
          </w:p>
        </w:tc>
        <w:tc>
          <w:tcPr>
            <w:tcW w:w="960" w:type="dxa"/>
            <w:tcBorders>
              <w:top w:val="nil"/>
              <w:left w:val="nil"/>
              <w:bottom w:val="nil"/>
              <w:right w:val="nil"/>
            </w:tcBorders>
            <w:shd w:val="clear" w:color="auto" w:fill="auto"/>
            <w:vAlign w:val="center"/>
            <w:hideMark/>
          </w:tcPr>
          <w:p w:rsidR="009A4AE5" w:rsidRPr="00CB66FC" w:rsidRDefault="009A4AE5" w:rsidP="00B86750">
            <w:pPr>
              <w:spacing w:after="0" w:line="240" w:lineRule="auto"/>
              <w:jc w:val="center"/>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40,8</w:t>
            </w:r>
          </w:p>
        </w:tc>
        <w:tc>
          <w:tcPr>
            <w:tcW w:w="960" w:type="dxa"/>
            <w:tcBorders>
              <w:top w:val="nil"/>
              <w:left w:val="nil"/>
              <w:bottom w:val="nil"/>
              <w:right w:val="nil"/>
            </w:tcBorders>
            <w:shd w:val="clear" w:color="auto" w:fill="auto"/>
            <w:vAlign w:val="center"/>
            <w:hideMark/>
          </w:tcPr>
          <w:p w:rsidR="009A4AE5" w:rsidRPr="00CB66FC" w:rsidRDefault="009A4AE5" w:rsidP="00B86750">
            <w:pPr>
              <w:spacing w:after="0" w:line="240" w:lineRule="auto"/>
              <w:jc w:val="center"/>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3,8</w:t>
            </w:r>
          </w:p>
        </w:tc>
      </w:tr>
      <w:tr w:rsidR="009A4AE5" w:rsidRPr="00CB66FC" w:rsidTr="00B86750">
        <w:trPr>
          <w:trHeight w:val="300"/>
        </w:trPr>
        <w:tc>
          <w:tcPr>
            <w:tcW w:w="3276" w:type="dxa"/>
            <w:tcBorders>
              <w:top w:val="nil"/>
              <w:left w:val="nil"/>
              <w:bottom w:val="nil"/>
              <w:right w:val="nil"/>
            </w:tcBorders>
            <w:shd w:val="clear" w:color="000000" w:fill="F2F2F2"/>
            <w:vAlign w:val="center"/>
            <w:hideMark/>
          </w:tcPr>
          <w:p w:rsidR="009A4AE5" w:rsidRPr="00CB66FC" w:rsidRDefault="009A4AE5" w:rsidP="00B86750">
            <w:pPr>
              <w:spacing w:after="0" w:line="240" w:lineRule="auto"/>
              <w:jc w:val="both"/>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 xml:space="preserve"> -z toho ženy</w:t>
            </w:r>
          </w:p>
        </w:tc>
        <w:tc>
          <w:tcPr>
            <w:tcW w:w="960" w:type="dxa"/>
            <w:tcBorders>
              <w:top w:val="nil"/>
              <w:left w:val="single" w:sz="4" w:space="0" w:color="auto"/>
              <w:bottom w:val="nil"/>
              <w:right w:val="single" w:sz="4" w:space="0" w:color="auto"/>
            </w:tcBorders>
            <w:shd w:val="clear" w:color="000000" w:fill="F2F2F2"/>
            <w:vAlign w:val="center"/>
            <w:hideMark/>
          </w:tcPr>
          <w:p w:rsidR="009A4AE5" w:rsidRPr="00CB66FC" w:rsidRDefault="009A4AE5" w:rsidP="00B86750">
            <w:pPr>
              <w:spacing w:after="0" w:line="240" w:lineRule="auto"/>
              <w:jc w:val="center"/>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38,5</w:t>
            </w:r>
          </w:p>
        </w:tc>
        <w:tc>
          <w:tcPr>
            <w:tcW w:w="960" w:type="dxa"/>
            <w:tcBorders>
              <w:top w:val="nil"/>
              <w:left w:val="nil"/>
              <w:bottom w:val="nil"/>
              <w:right w:val="nil"/>
            </w:tcBorders>
            <w:shd w:val="clear" w:color="000000" w:fill="F2F2F2"/>
            <w:vAlign w:val="center"/>
            <w:hideMark/>
          </w:tcPr>
          <w:p w:rsidR="009A4AE5" w:rsidRPr="00CB66FC" w:rsidRDefault="009A4AE5" w:rsidP="00B86750">
            <w:pPr>
              <w:spacing w:after="0" w:line="240" w:lineRule="auto"/>
              <w:jc w:val="center"/>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40</w:t>
            </w:r>
          </w:p>
        </w:tc>
        <w:tc>
          <w:tcPr>
            <w:tcW w:w="960" w:type="dxa"/>
            <w:tcBorders>
              <w:top w:val="nil"/>
              <w:left w:val="nil"/>
              <w:bottom w:val="nil"/>
              <w:right w:val="nil"/>
            </w:tcBorders>
            <w:shd w:val="clear" w:color="000000" w:fill="F2F2F2"/>
            <w:vAlign w:val="center"/>
            <w:hideMark/>
          </w:tcPr>
          <w:p w:rsidR="009A4AE5" w:rsidRPr="00CB66FC" w:rsidRDefault="009A4AE5" w:rsidP="00B86750">
            <w:pPr>
              <w:spacing w:after="0" w:line="240" w:lineRule="auto"/>
              <w:jc w:val="center"/>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39,6</w:t>
            </w:r>
          </w:p>
        </w:tc>
        <w:tc>
          <w:tcPr>
            <w:tcW w:w="960" w:type="dxa"/>
            <w:tcBorders>
              <w:top w:val="nil"/>
              <w:left w:val="nil"/>
              <w:bottom w:val="nil"/>
              <w:right w:val="nil"/>
            </w:tcBorders>
            <w:shd w:val="clear" w:color="000000" w:fill="F2F2F2"/>
            <w:vAlign w:val="center"/>
            <w:hideMark/>
          </w:tcPr>
          <w:p w:rsidR="009A4AE5" w:rsidRPr="00CB66FC" w:rsidRDefault="009A4AE5" w:rsidP="00B86750">
            <w:pPr>
              <w:spacing w:after="0" w:line="240" w:lineRule="auto"/>
              <w:jc w:val="center"/>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40,7</w:t>
            </w:r>
          </w:p>
        </w:tc>
        <w:tc>
          <w:tcPr>
            <w:tcW w:w="960" w:type="dxa"/>
            <w:tcBorders>
              <w:top w:val="nil"/>
              <w:left w:val="nil"/>
              <w:bottom w:val="nil"/>
              <w:right w:val="nil"/>
            </w:tcBorders>
            <w:shd w:val="clear" w:color="000000" w:fill="F2F2F2"/>
            <w:vAlign w:val="center"/>
            <w:hideMark/>
          </w:tcPr>
          <w:p w:rsidR="009A4AE5" w:rsidRPr="00CB66FC" w:rsidRDefault="009A4AE5" w:rsidP="00B86750">
            <w:pPr>
              <w:spacing w:after="0" w:line="240" w:lineRule="auto"/>
              <w:jc w:val="center"/>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41,1</w:t>
            </w:r>
          </w:p>
        </w:tc>
        <w:tc>
          <w:tcPr>
            <w:tcW w:w="960" w:type="dxa"/>
            <w:tcBorders>
              <w:top w:val="nil"/>
              <w:left w:val="nil"/>
              <w:bottom w:val="nil"/>
              <w:right w:val="nil"/>
            </w:tcBorders>
            <w:shd w:val="clear" w:color="000000" w:fill="F2F2F2"/>
            <w:vAlign w:val="center"/>
            <w:hideMark/>
          </w:tcPr>
          <w:p w:rsidR="009A4AE5" w:rsidRPr="00CB66FC" w:rsidRDefault="009A4AE5" w:rsidP="00B86750">
            <w:pPr>
              <w:spacing w:after="0" w:line="240" w:lineRule="auto"/>
              <w:jc w:val="center"/>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2,6</w:t>
            </w:r>
          </w:p>
        </w:tc>
      </w:tr>
      <w:tr w:rsidR="009A4AE5" w:rsidRPr="00CB66FC" w:rsidTr="00B86750">
        <w:trPr>
          <w:trHeight w:val="300"/>
        </w:trPr>
        <w:tc>
          <w:tcPr>
            <w:tcW w:w="3276" w:type="dxa"/>
            <w:tcBorders>
              <w:top w:val="nil"/>
              <w:left w:val="nil"/>
              <w:bottom w:val="single" w:sz="4" w:space="0" w:color="auto"/>
              <w:right w:val="nil"/>
            </w:tcBorders>
            <w:shd w:val="clear" w:color="auto" w:fill="auto"/>
            <w:vAlign w:val="center"/>
            <w:hideMark/>
          </w:tcPr>
          <w:p w:rsidR="009A4AE5" w:rsidRPr="00CB66FC" w:rsidRDefault="009A4AE5" w:rsidP="00B86750">
            <w:pPr>
              <w:spacing w:after="0" w:line="240" w:lineRule="auto"/>
              <w:jc w:val="both"/>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 xml:space="preserve"> -z toho muži</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A4AE5" w:rsidRPr="00CB66FC" w:rsidRDefault="009A4AE5" w:rsidP="00B86750">
            <w:pPr>
              <w:spacing w:after="0" w:line="240" w:lineRule="auto"/>
              <w:jc w:val="center"/>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35,9</w:t>
            </w:r>
          </w:p>
        </w:tc>
        <w:tc>
          <w:tcPr>
            <w:tcW w:w="960" w:type="dxa"/>
            <w:tcBorders>
              <w:top w:val="nil"/>
              <w:left w:val="nil"/>
              <w:bottom w:val="single" w:sz="4" w:space="0" w:color="auto"/>
              <w:right w:val="nil"/>
            </w:tcBorders>
            <w:shd w:val="clear" w:color="auto" w:fill="auto"/>
            <w:vAlign w:val="center"/>
            <w:hideMark/>
          </w:tcPr>
          <w:p w:rsidR="009A4AE5" w:rsidRPr="00CB66FC" w:rsidRDefault="009A4AE5" w:rsidP="00B86750">
            <w:pPr>
              <w:spacing w:after="0" w:line="240" w:lineRule="auto"/>
              <w:jc w:val="center"/>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38,1</w:t>
            </w:r>
          </w:p>
        </w:tc>
        <w:tc>
          <w:tcPr>
            <w:tcW w:w="960" w:type="dxa"/>
            <w:tcBorders>
              <w:top w:val="nil"/>
              <w:left w:val="nil"/>
              <w:bottom w:val="single" w:sz="4" w:space="0" w:color="auto"/>
              <w:right w:val="nil"/>
            </w:tcBorders>
            <w:shd w:val="clear" w:color="auto" w:fill="auto"/>
            <w:vAlign w:val="center"/>
            <w:hideMark/>
          </w:tcPr>
          <w:p w:rsidR="009A4AE5" w:rsidRPr="00CB66FC" w:rsidRDefault="009A4AE5" w:rsidP="00B86750">
            <w:pPr>
              <w:spacing w:after="0" w:line="240" w:lineRule="auto"/>
              <w:jc w:val="center"/>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39,9</w:t>
            </w:r>
          </w:p>
        </w:tc>
        <w:tc>
          <w:tcPr>
            <w:tcW w:w="960" w:type="dxa"/>
            <w:tcBorders>
              <w:top w:val="nil"/>
              <w:left w:val="nil"/>
              <w:bottom w:val="single" w:sz="4" w:space="0" w:color="auto"/>
              <w:right w:val="nil"/>
            </w:tcBorders>
            <w:shd w:val="clear" w:color="auto" w:fill="auto"/>
            <w:vAlign w:val="center"/>
            <w:hideMark/>
          </w:tcPr>
          <w:p w:rsidR="009A4AE5" w:rsidRPr="00CB66FC" w:rsidRDefault="009A4AE5" w:rsidP="00B86750">
            <w:pPr>
              <w:spacing w:after="0" w:line="240" w:lineRule="auto"/>
              <w:jc w:val="center"/>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39,8</w:t>
            </w:r>
          </w:p>
        </w:tc>
        <w:tc>
          <w:tcPr>
            <w:tcW w:w="960" w:type="dxa"/>
            <w:tcBorders>
              <w:top w:val="nil"/>
              <w:left w:val="nil"/>
              <w:bottom w:val="single" w:sz="4" w:space="0" w:color="auto"/>
              <w:right w:val="nil"/>
            </w:tcBorders>
            <w:shd w:val="clear" w:color="auto" w:fill="auto"/>
            <w:vAlign w:val="center"/>
            <w:hideMark/>
          </w:tcPr>
          <w:p w:rsidR="009A4AE5" w:rsidRPr="00CB66FC" w:rsidRDefault="009A4AE5" w:rsidP="00B86750">
            <w:pPr>
              <w:spacing w:after="0" w:line="240" w:lineRule="auto"/>
              <w:jc w:val="center"/>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40,3</w:t>
            </w:r>
          </w:p>
        </w:tc>
        <w:tc>
          <w:tcPr>
            <w:tcW w:w="960" w:type="dxa"/>
            <w:tcBorders>
              <w:top w:val="nil"/>
              <w:left w:val="nil"/>
              <w:bottom w:val="single" w:sz="4" w:space="0" w:color="auto"/>
              <w:right w:val="nil"/>
            </w:tcBorders>
            <w:shd w:val="clear" w:color="auto" w:fill="auto"/>
            <w:vAlign w:val="center"/>
            <w:hideMark/>
          </w:tcPr>
          <w:p w:rsidR="009A4AE5" w:rsidRPr="00CB66FC" w:rsidRDefault="009A4AE5" w:rsidP="00B86750">
            <w:pPr>
              <w:spacing w:after="0" w:line="240" w:lineRule="auto"/>
              <w:jc w:val="center"/>
              <w:rPr>
                <w:rFonts w:ascii="Times New Roman" w:eastAsia="Times New Roman" w:hAnsi="Times New Roman" w:cs="Times New Roman"/>
                <w:color w:val="000000"/>
                <w:sz w:val="20"/>
                <w:szCs w:val="20"/>
              </w:rPr>
            </w:pPr>
            <w:r w:rsidRPr="00CB66FC">
              <w:rPr>
                <w:rFonts w:ascii="Times New Roman" w:eastAsia="Times New Roman" w:hAnsi="Times New Roman" w:cs="Times New Roman"/>
                <w:color w:val="000000"/>
                <w:sz w:val="20"/>
                <w:szCs w:val="20"/>
              </w:rPr>
              <w:t>4,4</w:t>
            </w:r>
          </w:p>
        </w:tc>
      </w:tr>
    </w:tbl>
    <w:p w:rsidR="009A4AE5" w:rsidRPr="00C431FF" w:rsidRDefault="009A4AE5" w:rsidP="009A4A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ŠÚSR</w:t>
      </w:r>
    </w:p>
    <w:p w:rsidR="009A4AE5" w:rsidRDefault="009A4AE5" w:rsidP="009A4AE5">
      <w:pPr>
        <w:spacing w:after="0" w:line="240" w:lineRule="auto"/>
        <w:jc w:val="both"/>
        <w:rPr>
          <w:rFonts w:ascii="Times New Roman" w:eastAsia="Calibri" w:hAnsi="Times New Roman"/>
          <w:sz w:val="24"/>
          <w:szCs w:val="24"/>
        </w:rPr>
      </w:pPr>
    </w:p>
    <w:p w:rsidR="009A4AE5" w:rsidRPr="00945BCD" w:rsidRDefault="009A4AE5" w:rsidP="009A4AE5">
      <w:pPr>
        <w:spacing w:after="0" w:line="240" w:lineRule="auto"/>
        <w:jc w:val="both"/>
        <w:rPr>
          <w:rFonts w:ascii="Times New Roman" w:eastAsia="Calibri" w:hAnsi="Times New Roman"/>
          <w:sz w:val="24"/>
          <w:szCs w:val="24"/>
        </w:rPr>
      </w:pPr>
      <w:r>
        <w:rPr>
          <w:rFonts w:ascii="Times New Roman" w:eastAsia="Calibri" w:hAnsi="Times New Roman"/>
          <w:sz w:val="24"/>
          <w:szCs w:val="24"/>
        </w:rPr>
        <w:t>Necelá polovica, t.j. 46,2 %,</w:t>
      </w:r>
      <w:r w:rsidRPr="00945BCD">
        <w:rPr>
          <w:rFonts w:ascii="Times New Roman" w:eastAsia="Calibri" w:hAnsi="Times New Roman"/>
          <w:sz w:val="24"/>
          <w:szCs w:val="24"/>
        </w:rPr>
        <w:t xml:space="preserve"> pracovníkov v potravinárstve mala v roku 2011 vek d</w:t>
      </w:r>
      <w:r>
        <w:rPr>
          <w:rFonts w:ascii="Times New Roman" w:eastAsia="Calibri" w:hAnsi="Times New Roman"/>
          <w:sz w:val="24"/>
          <w:szCs w:val="24"/>
        </w:rPr>
        <w:t>o 40 rokov a viac ako polovica, t.j. 53,8 %,</w:t>
      </w:r>
      <w:r w:rsidRPr="00945BCD">
        <w:rPr>
          <w:rFonts w:ascii="Times New Roman" w:eastAsia="Calibri" w:hAnsi="Times New Roman"/>
          <w:sz w:val="24"/>
          <w:szCs w:val="24"/>
        </w:rPr>
        <w:t xml:space="preserve"> mala nad 50 rokov. V porovnaní s poľnohospodárstvom vykazujú pracujúci v potravinárstve nižší priemerný vek o 5,1 roka ako v poľnohospodárstve, čo súvisí aj s charakterom výroby umožňujúcej väčšiu </w:t>
      </w:r>
      <w:proofErr w:type="spellStart"/>
      <w:r w:rsidRPr="00945BCD">
        <w:rPr>
          <w:rFonts w:ascii="Times New Roman" w:eastAsia="Calibri" w:hAnsi="Times New Roman"/>
          <w:sz w:val="24"/>
          <w:szCs w:val="24"/>
        </w:rPr>
        <w:t>zamestnateľnosť</w:t>
      </w:r>
      <w:proofErr w:type="spellEnd"/>
      <w:r w:rsidRPr="00945BCD">
        <w:rPr>
          <w:rFonts w:ascii="Times New Roman" w:eastAsia="Calibri" w:hAnsi="Times New Roman"/>
          <w:sz w:val="24"/>
          <w:szCs w:val="24"/>
        </w:rPr>
        <w:t xml:space="preserve"> mladších ľudí a ľudí s vyššou kvalifikáciou.</w:t>
      </w:r>
    </w:p>
    <w:p w:rsidR="009A4AE5" w:rsidRDefault="009A4AE5" w:rsidP="009A4AE5">
      <w:pPr>
        <w:spacing w:after="0" w:line="240" w:lineRule="auto"/>
        <w:jc w:val="both"/>
        <w:rPr>
          <w:rFonts w:ascii="Times New Roman" w:hAnsi="Times New Roman" w:cs="Times New Roman"/>
          <w:sz w:val="24"/>
          <w:szCs w:val="24"/>
        </w:rPr>
      </w:pPr>
    </w:p>
    <w:p w:rsidR="009A4AE5" w:rsidRPr="00BC5F46" w:rsidRDefault="009A4AE5" w:rsidP="009A4AE5">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 8</w:t>
      </w:r>
      <w:r w:rsidRPr="00A855A4">
        <w:rPr>
          <w:rFonts w:ascii="Times New Roman" w:hAnsi="Times New Roman" w:cs="Times New Roman"/>
          <w:sz w:val="20"/>
          <w:szCs w:val="20"/>
        </w:rPr>
        <w:t xml:space="preserve">: </w:t>
      </w:r>
      <w:r>
        <w:rPr>
          <w:rFonts w:ascii="Times New Roman" w:hAnsi="Times New Roman" w:cs="Times New Roman"/>
          <w:sz w:val="20"/>
          <w:szCs w:val="20"/>
        </w:rPr>
        <w:tab/>
        <w:t>Vzdelanostná štruktúra pracujúcich v potravinárstve</w:t>
      </w:r>
    </w:p>
    <w:tbl>
      <w:tblPr>
        <w:tblW w:w="9088" w:type="dxa"/>
        <w:tblInd w:w="55" w:type="dxa"/>
        <w:tblCellMar>
          <w:left w:w="70" w:type="dxa"/>
          <w:right w:w="70" w:type="dxa"/>
        </w:tblCellMar>
        <w:tblLook w:val="04A0" w:firstRow="1" w:lastRow="0" w:firstColumn="1" w:lastColumn="0" w:noHBand="0" w:noVBand="1"/>
      </w:tblPr>
      <w:tblGrid>
        <w:gridCol w:w="3276"/>
        <w:gridCol w:w="1276"/>
        <w:gridCol w:w="1134"/>
        <w:gridCol w:w="1134"/>
        <w:gridCol w:w="1134"/>
        <w:gridCol w:w="1134"/>
      </w:tblGrid>
      <w:tr w:rsidR="009A4AE5" w:rsidRPr="00BC5F46" w:rsidTr="00B86750">
        <w:trPr>
          <w:trHeight w:val="300"/>
        </w:trPr>
        <w:tc>
          <w:tcPr>
            <w:tcW w:w="3276" w:type="dxa"/>
            <w:tcBorders>
              <w:top w:val="nil"/>
              <w:left w:val="nil"/>
              <w:bottom w:val="single" w:sz="4" w:space="0" w:color="auto"/>
              <w:right w:val="nil"/>
            </w:tcBorders>
            <w:shd w:val="clear" w:color="000000" w:fill="D9D9D9"/>
            <w:vAlign w:val="center"/>
            <w:hideMark/>
          </w:tcPr>
          <w:p w:rsidR="009A4AE5" w:rsidRPr="00BC5F46" w:rsidRDefault="009A4AE5" w:rsidP="00B86750">
            <w:pPr>
              <w:spacing w:after="0" w:line="240" w:lineRule="auto"/>
              <w:jc w:val="both"/>
              <w:rPr>
                <w:rFonts w:ascii="Times New Roman" w:eastAsia="Times New Roman" w:hAnsi="Times New Roman" w:cs="Times New Roman"/>
                <w:b/>
                <w:bCs/>
                <w:color w:val="000000"/>
                <w:sz w:val="20"/>
                <w:szCs w:val="20"/>
              </w:rPr>
            </w:pPr>
            <w:r w:rsidRPr="00BC5F46">
              <w:rPr>
                <w:rFonts w:ascii="Times New Roman" w:eastAsia="Times New Roman" w:hAnsi="Times New Roman" w:cs="Times New Roman"/>
                <w:b/>
                <w:bCs/>
                <w:color w:val="000000"/>
                <w:sz w:val="20"/>
                <w:szCs w:val="20"/>
              </w:rPr>
              <w:t> </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9A4AE5" w:rsidRPr="00BC5F46" w:rsidRDefault="009A4AE5" w:rsidP="00B86750">
            <w:pPr>
              <w:spacing w:after="0" w:line="240" w:lineRule="auto"/>
              <w:jc w:val="center"/>
              <w:rPr>
                <w:rFonts w:ascii="Times New Roman" w:eastAsia="Times New Roman" w:hAnsi="Times New Roman" w:cs="Times New Roman"/>
                <w:b/>
                <w:bCs/>
                <w:color w:val="000000"/>
                <w:sz w:val="20"/>
                <w:szCs w:val="20"/>
              </w:rPr>
            </w:pPr>
            <w:r w:rsidRPr="00BC5F46">
              <w:rPr>
                <w:rFonts w:ascii="Times New Roman" w:eastAsia="Times New Roman" w:hAnsi="Times New Roman" w:cs="Times New Roman"/>
                <w:b/>
                <w:bCs/>
                <w:color w:val="000000"/>
                <w:sz w:val="20"/>
                <w:szCs w:val="20"/>
              </w:rPr>
              <w:t>2002</w:t>
            </w:r>
          </w:p>
        </w:tc>
        <w:tc>
          <w:tcPr>
            <w:tcW w:w="1134" w:type="dxa"/>
            <w:tcBorders>
              <w:top w:val="nil"/>
              <w:left w:val="nil"/>
              <w:bottom w:val="single" w:sz="4" w:space="0" w:color="auto"/>
              <w:right w:val="nil"/>
            </w:tcBorders>
            <w:shd w:val="clear" w:color="000000" w:fill="D9D9D9"/>
            <w:vAlign w:val="center"/>
            <w:hideMark/>
          </w:tcPr>
          <w:p w:rsidR="009A4AE5" w:rsidRPr="00BC5F46" w:rsidRDefault="009A4AE5" w:rsidP="00B86750">
            <w:pPr>
              <w:spacing w:after="0" w:line="240" w:lineRule="auto"/>
              <w:jc w:val="center"/>
              <w:rPr>
                <w:rFonts w:ascii="Times New Roman" w:eastAsia="Times New Roman" w:hAnsi="Times New Roman" w:cs="Times New Roman"/>
                <w:b/>
                <w:bCs/>
                <w:color w:val="000000"/>
                <w:sz w:val="20"/>
                <w:szCs w:val="20"/>
              </w:rPr>
            </w:pPr>
            <w:r w:rsidRPr="00BC5F46">
              <w:rPr>
                <w:rFonts w:ascii="Times New Roman" w:eastAsia="Times New Roman" w:hAnsi="Times New Roman" w:cs="Times New Roman"/>
                <w:b/>
                <w:bCs/>
                <w:color w:val="000000"/>
                <w:sz w:val="20"/>
                <w:szCs w:val="20"/>
              </w:rPr>
              <w:t>2008</w:t>
            </w:r>
          </w:p>
        </w:tc>
        <w:tc>
          <w:tcPr>
            <w:tcW w:w="1134" w:type="dxa"/>
            <w:tcBorders>
              <w:top w:val="nil"/>
              <w:left w:val="nil"/>
              <w:bottom w:val="single" w:sz="4" w:space="0" w:color="auto"/>
              <w:right w:val="nil"/>
            </w:tcBorders>
            <w:shd w:val="clear" w:color="000000" w:fill="D9D9D9"/>
            <w:vAlign w:val="center"/>
            <w:hideMark/>
          </w:tcPr>
          <w:p w:rsidR="009A4AE5" w:rsidRPr="00BC5F46" w:rsidRDefault="009A4AE5" w:rsidP="00B86750">
            <w:pPr>
              <w:spacing w:after="0" w:line="240" w:lineRule="auto"/>
              <w:jc w:val="center"/>
              <w:rPr>
                <w:rFonts w:ascii="Times New Roman" w:eastAsia="Times New Roman" w:hAnsi="Times New Roman" w:cs="Times New Roman"/>
                <w:b/>
                <w:bCs/>
                <w:color w:val="000000"/>
                <w:sz w:val="20"/>
                <w:szCs w:val="20"/>
              </w:rPr>
            </w:pPr>
            <w:r w:rsidRPr="00BC5F46">
              <w:rPr>
                <w:rFonts w:ascii="Times New Roman" w:eastAsia="Times New Roman" w:hAnsi="Times New Roman" w:cs="Times New Roman"/>
                <w:b/>
                <w:bCs/>
                <w:color w:val="000000"/>
                <w:sz w:val="20"/>
                <w:szCs w:val="20"/>
              </w:rPr>
              <w:t>2009</w:t>
            </w:r>
          </w:p>
        </w:tc>
        <w:tc>
          <w:tcPr>
            <w:tcW w:w="1134" w:type="dxa"/>
            <w:tcBorders>
              <w:top w:val="nil"/>
              <w:left w:val="nil"/>
              <w:bottom w:val="single" w:sz="4" w:space="0" w:color="auto"/>
              <w:right w:val="nil"/>
            </w:tcBorders>
            <w:shd w:val="clear" w:color="000000" w:fill="D9D9D9"/>
            <w:vAlign w:val="center"/>
            <w:hideMark/>
          </w:tcPr>
          <w:p w:rsidR="009A4AE5" w:rsidRPr="00BC5F46" w:rsidRDefault="009A4AE5" w:rsidP="00B86750">
            <w:pPr>
              <w:spacing w:after="0" w:line="240" w:lineRule="auto"/>
              <w:jc w:val="center"/>
              <w:rPr>
                <w:rFonts w:ascii="Times New Roman" w:eastAsia="Times New Roman" w:hAnsi="Times New Roman" w:cs="Times New Roman"/>
                <w:b/>
                <w:bCs/>
                <w:color w:val="000000"/>
                <w:sz w:val="20"/>
                <w:szCs w:val="20"/>
              </w:rPr>
            </w:pPr>
            <w:r w:rsidRPr="00BC5F46">
              <w:rPr>
                <w:rFonts w:ascii="Times New Roman" w:eastAsia="Times New Roman" w:hAnsi="Times New Roman" w:cs="Times New Roman"/>
                <w:b/>
                <w:bCs/>
                <w:color w:val="000000"/>
                <w:sz w:val="20"/>
                <w:szCs w:val="20"/>
              </w:rPr>
              <w:t>2010</w:t>
            </w:r>
          </w:p>
        </w:tc>
        <w:tc>
          <w:tcPr>
            <w:tcW w:w="1134" w:type="dxa"/>
            <w:tcBorders>
              <w:top w:val="nil"/>
              <w:left w:val="nil"/>
              <w:bottom w:val="single" w:sz="4" w:space="0" w:color="auto"/>
              <w:right w:val="nil"/>
            </w:tcBorders>
            <w:shd w:val="clear" w:color="000000" w:fill="D9D9D9"/>
            <w:vAlign w:val="center"/>
            <w:hideMark/>
          </w:tcPr>
          <w:p w:rsidR="009A4AE5" w:rsidRPr="00BC5F46" w:rsidRDefault="009A4AE5" w:rsidP="00B86750">
            <w:pPr>
              <w:spacing w:after="0" w:line="240" w:lineRule="auto"/>
              <w:jc w:val="center"/>
              <w:rPr>
                <w:rFonts w:ascii="Times New Roman" w:eastAsia="Times New Roman" w:hAnsi="Times New Roman" w:cs="Times New Roman"/>
                <w:b/>
                <w:bCs/>
                <w:color w:val="000000"/>
                <w:sz w:val="20"/>
                <w:szCs w:val="20"/>
              </w:rPr>
            </w:pPr>
            <w:r w:rsidRPr="00BC5F46">
              <w:rPr>
                <w:rFonts w:ascii="Times New Roman" w:eastAsia="Times New Roman" w:hAnsi="Times New Roman" w:cs="Times New Roman"/>
                <w:b/>
                <w:bCs/>
                <w:color w:val="000000"/>
                <w:sz w:val="20"/>
                <w:szCs w:val="20"/>
              </w:rPr>
              <w:t>2011</w:t>
            </w:r>
          </w:p>
        </w:tc>
      </w:tr>
      <w:tr w:rsidR="009A4AE5" w:rsidRPr="00BC5F46" w:rsidTr="00B86750">
        <w:trPr>
          <w:trHeight w:val="300"/>
        </w:trPr>
        <w:tc>
          <w:tcPr>
            <w:tcW w:w="3276" w:type="dxa"/>
            <w:tcBorders>
              <w:top w:val="nil"/>
              <w:left w:val="nil"/>
              <w:bottom w:val="nil"/>
              <w:right w:val="nil"/>
            </w:tcBorders>
            <w:shd w:val="clear" w:color="auto" w:fill="auto"/>
            <w:vAlign w:val="center"/>
            <w:hideMark/>
          </w:tcPr>
          <w:p w:rsidR="009A4AE5" w:rsidRPr="00BC5F46" w:rsidRDefault="009A4AE5" w:rsidP="00B86750">
            <w:pPr>
              <w:spacing w:after="0" w:line="240" w:lineRule="auto"/>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Základné vzdelanie</w:t>
            </w:r>
          </w:p>
        </w:tc>
        <w:tc>
          <w:tcPr>
            <w:tcW w:w="1276" w:type="dxa"/>
            <w:tcBorders>
              <w:top w:val="nil"/>
              <w:left w:val="single" w:sz="4" w:space="0" w:color="auto"/>
              <w:bottom w:val="nil"/>
              <w:right w:val="single" w:sz="4" w:space="0" w:color="auto"/>
            </w:tcBorders>
            <w:shd w:val="clear" w:color="auto" w:fill="auto"/>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8,20%</w:t>
            </w:r>
          </w:p>
        </w:tc>
        <w:tc>
          <w:tcPr>
            <w:tcW w:w="1134" w:type="dxa"/>
            <w:tcBorders>
              <w:top w:val="nil"/>
              <w:left w:val="nil"/>
              <w:bottom w:val="nil"/>
              <w:right w:val="nil"/>
            </w:tcBorders>
            <w:shd w:val="clear" w:color="auto" w:fill="auto"/>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6,40%</w:t>
            </w:r>
          </w:p>
        </w:tc>
        <w:tc>
          <w:tcPr>
            <w:tcW w:w="1134" w:type="dxa"/>
            <w:tcBorders>
              <w:top w:val="nil"/>
              <w:left w:val="nil"/>
              <w:bottom w:val="nil"/>
              <w:right w:val="nil"/>
            </w:tcBorders>
            <w:shd w:val="clear" w:color="auto" w:fill="auto"/>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4,50%</w:t>
            </w:r>
          </w:p>
        </w:tc>
        <w:tc>
          <w:tcPr>
            <w:tcW w:w="1134" w:type="dxa"/>
            <w:tcBorders>
              <w:top w:val="nil"/>
              <w:left w:val="nil"/>
              <w:bottom w:val="nil"/>
              <w:right w:val="nil"/>
            </w:tcBorders>
            <w:shd w:val="clear" w:color="auto" w:fill="auto"/>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5,00%</w:t>
            </w:r>
          </w:p>
        </w:tc>
        <w:tc>
          <w:tcPr>
            <w:tcW w:w="1134" w:type="dxa"/>
            <w:tcBorders>
              <w:top w:val="nil"/>
              <w:left w:val="nil"/>
              <w:bottom w:val="nil"/>
              <w:right w:val="nil"/>
            </w:tcBorders>
            <w:shd w:val="clear" w:color="auto" w:fill="auto"/>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5,60%</w:t>
            </w:r>
          </w:p>
        </w:tc>
      </w:tr>
      <w:tr w:rsidR="009A4AE5" w:rsidRPr="00BC5F46" w:rsidTr="00B86750">
        <w:trPr>
          <w:trHeight w:val="300"/>
        </w:trPr>
        <w:tc>
          <w:tcPr>
            <w:tcW w:w="3276" w:type="dxa"/>
            <w:tcBorders>
              <w:top w:val="nil"/>
              <w:left w:val="nil"/>
              <w:bottom w:val="nil"/>
              <w:right w:val="nil"/>
            </w:tcBorders>
            <w:shd w:val="clear" w:color="000000" w:fill="F2F2F2"/>
            <w:vAlign w:val="center"/>
            <w:hideMark/>
          </w:tcPr>
          <w:p w:rsidR="009A4AE5" w:rsidRPr="00BC5F46" w:rsidRDefault="009A4AE5" w:rsidP="00B86750">
            <w:pPr>
              <w:spacing w:after="0" w:line="240" w:lineRule="auto"/>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Učňovské vzdelanie</w:t>
            </w:r>
          </w:p>
        </w:tc>
        <w:tc>
          <w:tcPr>
            <w:tcW w:w="1276" w:type="dxa"/>
            <w:tcBorders>
              <w:top w:val="nil"/>
              <w:left w:val="single" w:sz="4" w:space="0" w:color="auto"/>
              <w:bottom w:val="nil"/>
              <w:right w:val="single" w:sz="4" w:space="0" w:color="auto"/>
            </w:tcBorders>
            <w:shd w:val="clear" w:color="000000" w:fill="F2F2F2"/>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53,00%</w:t>
            </w:r>
          </w:p>
        </w:tc>
        <w:tc>
          <w:tcPr>
            <w:tcW w:w="1134" w:type="dxa"/>
            <w:tcBorders>
              <w:top w:val="nil"/>
              <w:left w:val="nil"/>
              <w:bottom w:val="nil"/>
              <w:right w:val="nil"/>
            </w:tcBorders>
            <w:shd w:val="clear" w:color="000000" w:fill="F2F2F2"/>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46,50%</w:t>
            </w:r>
          </w:p>
        </w:tc>
        <w:tc>
          <w:tcPr>
            <w:tcW w:w="1134" w:type="dxa"/>
            <w:tcBorders>
              <w:top w:val="nil"/>
              <w:left w:val="nil"/>
              <w:bottom w:val="nil"/>
              <w:right w:val="nil"/>
            </w:tcBorders>
            <w:shd w:val="clear" w:color="000000" w:fill="F2F2F2"/>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47,50%</w:t>
            </w:r>
          </w:p>
        </w:tc>
        <w:tc>
          <w:tcPr>
            <w:tcW w:w="1134" w:type="dxa"/>
            <w:tcBorders>
              <w:top w:val="nil"/>
              <w:left w:val="nil"/>
              <w:bottom w:val="nil"/>
              <w:right w:val="nil"/>
            </w:tcBorders>
            <w:shd w:val="clear" w:color="000000" w:fill="F2F2F2"/>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47,00%</w:t>
            </w:r>
          </w:p>
        </w:tc>
        <w:tc>
          <w:tcPr>
            <w:tcW w:w="1134" w:type="dxa"/>
            <w:tcBorders>
              <w:top w:val="nil"/>
              <w:left w:val="nil"/>
              <w:bottom w:val="nil"/>
              <w:right w:val="nil"/>
            </w:tcBorders>
            <w:shd w:val="clear" w:color="000000" w:fill="F2F2F2"/>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45,10%</w:t>
            </w:r>
          </w:p>
        </w:tc>
      </w:tr>
      <w:tr w:rsidR="009A4AE5" w:rsidRPr="00BC5F46" w:rsidTr="00B86750">
        <w:trPr>
          <w:trHeight w:val="300"/>
        </w:trPr>
        <w:tc>
          <w:tcPr>
            <w:tcW w:w="3276" w:type="dxa"/>
            <w:tcBorders>
              <w:top w:val="nil"/>
              <w:left w:val="nil"/>
              <w:bottom w:val="nil"/>
              <w:right w:val="nil"/>
            </w:tcBorders>
            <w:shd w:val="clear" w:color="auto" w:fill="auto"/>
            <w:vAlign w:val="center"/>
            <w:hideMark/>
          </w:tcPr>
          <w:p w:rsidR="009A4AE5" w:rsidRPr="00BC5F46" w:rsidRDefault="009A4AE5" w:rsidP="00B86750">
            <w:pPr>
              <w:spacing w:after="0" w:line="240" w:lineRule="auto"/>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Stredné vzdelanie</w:t>
            </w:r>
          </w:p>
        </w:tc>
        <w:tc>
          <w:tcPr>
            <w:tcW w:w="1276" w:type="dxa"/>
            <w:tcBorders>
              <w:top w:val="nil"/>
              <w:left w:val="single" w:sz="4" w:space="0" w:color="auto"/>
              <w:bottom w:val="nil"/>
              <w:right w:val="single" w:sz="4" w:space="0" w:color="auto"/>
            </w:tcBorders>
            <w:shd w:val="clear" w:color="auto" w:fill="auto"/>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34,90%</w:t>
            </w:r>
          </w:p>
        </w:tc>
        <w:tc>
          <w:tcPr>
            <w:tcW w:w="1134" w:type="dxa"/>
            <w:tcBorders>
              <w:top w:val="nil"/>
              <w:left w:val="nil"/>
              <w:bottom w:val="nil"/>
              <w:right w:val="nil"/>
            </w:tcBorders>
            <w:shd w:val="clear" w:color="auto" w:fill="auto"/>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41,70%</w:t>
            </w:r>
          </w:p>
        </w:tc>
        <w:tc>
          <w:tcPr>
            <w:tcW w:w="1134" w:type="dxa"/>
            <w:tcBorders>
              <w:top w:val="nil"/>
              <w:left w:val="nil"/>
              <w:bottom w:val="nil"/>
              <w:right w:val="nil"/>
            </w:tcBorders>
            <w:shd w:val="clear" w:color="auto" w:fill="auto"/>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42,00%</w:t>
            </w:r>
          </w:p>
        </w:tc>
        <w:tc>
          <w:tcPr>
            <w:tcW w:w="1134" w:type="dxa"/>
            <w:tcBorders>
              <w:top w:val="nil"/>
              <w:left w:val="nil"/>
              <w:bottom w:val="nil"/>
              <w:right w:val="nil"/>
            </w:tcBorders>
            <w:shd w:val="clear" w:color="auto" w:fill="auto"/>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42,00%</w:t>
            </w:r>
          </w:p>
        </w:tc>
        <w:tc>
          <w:tcPr>
            <w:tcW w:w="1134" w:type="dxa"/>
            <w:tcBorders>
              <w:top w:val="nil"/>
              <w:left w:val="nil"/>
              <w:bottom w:val="nil"/>
              <w:right w:val="nil"/>
            </w:tcBorders>
            <w:shd w:val="clear" w:color="auto" w:fill="auto"/>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39,00%</w:t>
            </w:r>
          </w:p>
        </w:tc>
      </w:tr>
      <w:tr w:rsidR="009A4AE5" w:rsidRPr="00BC5F46" w:rsidTr="00B86750">
        <w:trPr>
          <w:trHeight w:val="300"/>
        </w:trPr>
        <w:tc>
          <w:tcPr>
            <w:tcW w:w="3276" w:type="dxa"/>
            <w:tcBorders>
              <w:top w:val="nil"/>
              <w:left w:val="nil"/>
              <w:bottom w:val="single" w:sz="4" w:space="0" w:color="auto"/>
              <w:right w:val="nil"/>
            </w:tcBorders>
            <w:shd w:val="clear" w:color="000000" w:fill="F2F2F2"/>
            <w:vAlign w:val="center"/>
            <w:hideMark/>
          </w:tcPr>
          <w:p w:rsidR="009A4AE5" w:rsidRPr="00BC5F46" w:rsidRDefault="009A4AE5" w:rsidP="00B86750">
            <w:pPr>
              <w:spacing w:after="0" w:line="240" w:lineRule="auto"/>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Vysokoškolské vzdelanie</w:t>
            </w:r>
          </w:p>
        </w:tc>
        <w:tc>
          <w:tcPr>
            <w:tcW w:w="1276" w:type="dxa"/>
            <w:tcBorders>
              <w:top w:val="nil"/>
              <w:left w:val="single" w:sz="4" w:space="0" w:color="auto"/>
              <w:bottom w:val="single" w:sz="4" w:space="0" w:color="auto"/>
              <w:right w:val="single" w:sz="4" w:space="0" w:color="auto"/>
            </w:tcBorders>
            <w:shd w:val="clear" w:color="000000" w:fill="F2F2F2"/>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3,90%</w:t>
            </w:r>
          </w:p>
        </w:tc>
        <w:tc>
          <w:tcPr>
            <w:tcW w:w="1134" w:type="dxa"/>
            <w:tcBorders>
              <w:top w:val="nil"/>
              <w:left w:val="nil"/>
              <w:bottom w:val="single" w:sz="4" w:space="0" w:color="auto"/>
              <w:right w:val="nil"/>
            </w:tcBorders>
            <w:shd w:val="clear" w:color="000000" w:fill="F2F2F2"/>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5,40%</w:t>
            </w:r>
          </w:p>
        </w:tc>
        <w:tc>
          <w:tcPr>
            <w:tcW w:w="1134" w:type="dxa"/>
            <w:tcBorders>
              <w:top w:val="nil"/>
              <w:left w:val="nil"/>
              <w:bottom w:val="single" w:sz="4" w:space="0" w:color="auto"/>
              <w:right w:val="nil"/>
            </w:tcBorders>
            <w:shd w:val="clear" w:color="000000" w:fill="F2F2F2"/>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6,00%</w:t>
            </w:r>
          </w:p>
        </w:tc>
        <w:tc>
          <w:tcPr>
            <w:tcW w:w="1134" w:type="dxa"/>
            <w:tcBorders>
              <w:top w:val="nil"/>
              <w:left w:val="nil"/>
              <w:bottom w:val="single" w:sz="4" w:space="0" w:color="auto"/>
              <w:right w:val="nil"/>
            </w:tcBorders>
            <w:shd w:val="clear" w:color="000000" w:fill="F2F2F2"/>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6,00%</w:t>
            </w:r>
          </w:p>
        </w:tc>
        <w:tc>
          <w:tcPr>
            <w:tcW w:w="1134" w:type="dxa"/>
            <w:tcBorders>
              <w:top w:val="nil"/>
              <w:left w:val="nil"/>
              <w:bottom w:val="single" w:sz="4" w:space="0" w:color="auto"/>
              <w:right w:val="nil"/>
            </w:tcBorders>
            <w:shd w:val="clear" w:color="000000" w:fill="F2F2F2"/>
            <w:vAlign w:val="center"/>
            <w:hideMark/>
          </w:tcPr>
          <w:p w:rsidR="009A4AE5" w:rsidRPr="00BC5F46" w:rsidRDefault="009A4AE5" w:rsidP="00B86750">
            <w:pPr>
              <w:spacing w:after="0" w:line="240" w:lineRule="auto"/>
              <w:jc w:val="center"/>
              <w:rPr>
                <w:rFonts w:ascii="Times New Roman" w:eastAsia="Times New Roman" w:hAnsi="Times New Roman" w:cs="Times New Roman"/>
                <w:color w:val="000000"/>
                <w:sz w:val="20"/>
                <w:szCs w:val="20"/>
              </w:rPr>
            </w:pPr>
            <w:r w:rsidRPr="00BC5F46">
              <w:rPr>
                <w:rFonts w:ascii="Times New Roman" w:eastAsia="Times New Roman" w:hAnsi="Times New Roman" w:cs="Times New Roman"/>
                <w:color w:val="000000"/>
                <w:sz w:val="20"/>
                <w:szCs w:val="20"/>
              </w:rPr>
              <w:t>10,30%</w:t>
            </w:r>
          </w:p>
        </w:tc>
      </w:tr>
    </w:tbl>
    <w:p w:rsidR="009A4AE5" w:rsidRPr="00C431FF" w:rsidRDefault="009A4AE5" w:rsidP="009A4A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ŠÚSR</w:t>
      </w:r>
    </w:p>
    <w:p w:rsidR="009A4AE5" w:rsidRDefault="009A4AE5" w:rsidP="009A4AE5">
      <w:pPr>
        <w:spacing w:after="0" w:line="240" w:lineRule="auto"/>
        <w:jc w:val="both"/>
        <w:rPr>
          <w:rFonts w:ascii="Times New Roman" w:hAnsi="Times New Roman" w:cs="Times New Roman"/>
          <w:sz w:val="24"/>
          <w:szCs w:val="24"/>
        </w:rPr>
      </w:pPr>
    </w:p>
    <w:p w:rsidR="009A4AE5" w:rsidRDefault="009A4AE5" w:rsidP="009A4AE5">
      <w:pPr>
        <w:spacing w:after="0" w:line="240" w:lineRule="auto"/>
        <w:jc w:val="both"/>
        <w:rPr>
          <w:rFonts w:ascii="Times New Roman" w:hAnsi="Times New Roman" w:cs="Times New Roman"/>
          <w:sz w:val="24"/>
          <w:szCs w:val="24"/>
        </w:rPr>
      </w:pPr>
      <w:r w:rsidRPr="002571BB">
        <w:rPr>
          <w:rFonts w:ascii="Times New Roman" w:eastAsia="Calibri" w:hAnsi="Times New Roman"/>
          <w:sz w:val="24"/>
          <w:szCs w:val="24"/>
        </w:rPr>
        <w:t>Štruktúra zamest</w:t>
      </w:r>
      <w:r>
        <w:rPr>
          <w:rFonts w:ascii="Times New Roman" w:eastAsia="Calibri" w:hAnsi="Times New Roman"/>
          <w:sz w:val="24"/>
          <w:szCs w:val="24"/>
        </w:rPr>
        <w:t xml:space="preserve">nancov z hľadiska vzdelania sa za sledované obdobie vyvíjala v smere poklesu percentuálneho zastúpenia pracujúcich so základným a učňovským vzdelaním a v smere nárastu percentuálneho zastúpenia </w:t>
      </w:r>
      <w:proofErr w:type="spellStart"/>
      <w:r>
        <w:rPr>
          <w:rFonts w:ascii="Times New Roman" w:eastAsia="Calibri" w:hAnsi="Times New Roman"/>
          <w:sz w:val="24"/>
          <w:szCs w:val="24"/>
        </w:rPr>
        <w:t>stredo</w:t>
      </w:r>
      <w:proofErr w:type="spellEnd"/>
      <w:r>
        <w:rPr>
          <w:rFonts w:ascii="Times New Roman" w:eastAsia="Calibri" w:hAnsi="Times New Roman"/>
          <w:sz w:val="24"/>
          <w:szCs w:val="24"/>
        </w:rPr>
        <w:t xml:space="preserve">- a vysokoškolsky vzdelaných pracujúcich. </w:t>
      </w:r>
      <w:r w:rsidRPr="002571BB">
        <w:rPr>
          <w:rFonts w:ascii="Times New Roman" w:eastAsia="Calibri" w:hAnsi="Times New Roman"/>
          <w:sz w:val="24"/>
          <w:szCs w:val="24"/>
        </w:rPr>
        <w:t>Podiel vysokoškolsky vzdelaných prac</w:t>
      </w:r>
      <w:r>
        <w:rPr>
          <w:rFonts w:ascii="Times New Roman" w:eastAsia="Calibri" w:hAnsi="Times New Roman"/>
          <w:sz w:val="24"/>
          <w:szCs w:val="24"/>
        </w:rPr>
        <w:t>ovníkov činil v roku 2011 už 10,3</w:t>
      </w:r>
      <w:r w:rsidRPr="002571BB">
        <w:rPr>
          <w:rFonts w:ascii="Times New Roman" w:eastAsia="Calibri" w:hAnsi="Times New Roman"/>
          <w:sz w:val="24"/>
          <w:szCs w:val="24"/>
        </w:rPr>
        <w:t xml:space="preserve"> % a od roku 2002 sa zvyšuje. To znamená, že v roku 2011 bol každý desiaty pracovník v </w:t>
      </w:r>
      <w:r>
        <w:rPr>
          <w:rFonts w:ascii="Times New Roman" w:eastAsia="Calibri" w:hAnsi="Times New Roman"/>
          <w:sz w:val="24"/>
          <w:szCs w:val="24"/>
        </w:rPr>
        <w:t>potravinárstve</w:t>
      </w:r>
      <w:r w:rsidRPr="002571BB">
        <w:rPr>
          <w:rFonts w:ascii="Times New Roman" w:eastAsia="Calibri" w:hAnsi="Times New Roman"/>
          <w:sz w:val="24"/>
          <w:szCs w:val="24"/>
        </w:rPr>
        <w:t xml:space="preserve"> vysokoškolsky vzdelaný. Tento trend je vzhľadom na modernizáciu tohto odvetvia </w:t>
      </w:r>
      <w:r w:rsidRPr="002571BB">
        <w:rPr>
          <w:rFonts w:ascii="Times New Roman" w:eastAsia="Calibri" w:hAnsi="Times New Roman"/>
          <w:sz w:val="24"/>
          <w:szCs w:val="24"/>
        </w:rPr>
        <w:lastRenderedPageBreak/>
        <w:t>jednoznačne pozitívny. Všeobecne platí, že v</w:t>
      </w:r>
      <w:r>
        <w:rPr>
          <w:rFonts w:ascii="Times New Roman" w:eastAsia="Calibri" w:hAnsi="Times New Roman"/>
          <w:sz w:val="24"/>
          <w:szCs w:val="24"/>
        </w:rPr>
        <w:t> potravinárstve, podobne ako v poľnohospodárstve,</w:t>
      </w:r>
      <w:r w:rsidRPr="002571BB">
        <w:rPr>
          <w:rFonts w:ascii="Times New Roman" w:eastAsia="Calibri" w:hAnsi="Times New Roman"/>
          <w:sz w:val="24"/>
          <w:szCs w:val="24"/>
        </w:rPr>
        <w:t xml:space="preserve"> sa vzdelanostná štruktúra zlepšuje.</w:t>
      </w:r>
    </w:p>
    <w:p w:rsidR="009A4AE5" w:rsidRDefault="009A4AE5" w:rsidP="009A4AE5">
      <w:pPr>
        <w:spacing w:after="0" w:line="240" w:lineRule="auto"/>
        <w:jc w:val="both"/>
        <w:rPr>
          <w:rFonts w:ascii="Times New Roman" w:hAnsi="Times New Roman" w:cs="Times New Roman"/>
          <w:sz w:val="24"/>
          <w:szCs w:val="24"/>
        </w:rPr>
      </w:pPr>
    </w:p>
    <w:p w:rsidR="009C321A" w:rsidRDefault="009C321A" w:rsidP="009A4AE5">
      <w:pPr>
        <w:spacing w:after="0" w:line="240" w:lineRule="auto"/>
        <w:jc w:val="both"/>
        <w:rPr>
          <w:rFonts w:ascii="Times New Roman" w:hAnsi="Times New Roman" w:cs="Times New Roman"/>
          <w:sz w:val="24"/>
          <w:szCs w:val="24"/>
        </w:rPr>
      </w:pPr>
    </w:p>
    <w:p w:rsidR="009A4AE5" w:rsidRPr="009A4AE5" w:rsidRDefault="009A4AE5" w:rsidP="009A4AE5">
      <w:pPr>
        <w:pStyle w:val="Nadpis3"/>
        <w:numPr>
          <w:ilvl w:val="2"/>
          <w:numId w:val="8"/>
        </w:numPr>
        <w:rPr>
          <w:rFonts w:cs="Times New Roman"/>
          <w:szCs w:val="24"/>
        </w:rPr>
      </w:pPr>
      <w:bookmarkStart w:id="7" w:name="_Toc359550629"/>
      <w:r>
        <w:rPr>
          <w:rFonts w:eastAsia="Calibri"/>
          <w:szCs w:val="24"/>
        </w:rPr>
        <w:t>Súčasný stav zamestnanosti v lesníctve</w:t>
      </w:r>
      <w:bookmarkEnd w:id="7"/>
    </w:p>
    <w:p w:rsidR="00C34EF2" w:rsidRDefault="00C34EF2" w:rsidP="009A4AE5">
      <w:pPr>
        <w:spacing w:after="0" w:line="240" w:lineRule="auto"/>
        <w:jc w:val="both"/>
        <w:rPr>
          <w:rFonts w:ascii="Times New Roman" w:eastAsia="Calibri" w:hAnsi="Times New Roman"/>
          <w:sz w:val="24"/>
          <w:szCs w:val="24"/>
        </w:rPr>
      </w:pPr>
    </w:p>
    <w:p w:rsidR="009A4AE5" w:rsidRDefault="009A4AE5" w:rsidP="009A4AE5">
      <w:pPr>
        <w:spacing w:after="0" w:line="240" w:lineRule="auto"/>
        <w:jc w:val="both"/>
        <w:rPr>
          <w:rFonts w:ascii="Times New Roman" w:eastAsia="Calibri" w:hAnsi="Times New Roman"/>
          <w:sz w:val="24"/>
          <w:szCs w:val="24"/>
        </w:rPr>
      </w:pPr>
      <w:r w:rsidRPr="000B696A">
        <w:rPr>
          <w:rFonts w:ascii="Times New Roman" w:eastAsia="Calibri" w:hAnsi="Times New Roman"/>
          <w:sz w:val="24"/>
          <w:szCs w:val="24"/>
        </w:rPr>
        <w:t>Počas rokov 2002-2011 sa počet pracujúcich v </w:t>
      </w:r>
      <w:r>
        <w:rPr>
          <w:rFonts w:ascii="Times New Roman" w:eastAsia="Calibri" w:hAnsi="Times New Roman"/>
          <w:sz w:val="24"/>
          <w:szCs w:val="24"/>
        </w:rPr>
        <w:t>lesníctve</w:t>
      </w:r>
      <w:r w:rsidRPr="000B696A">
        <w:rPr>
          <w:rFonts w:ascii="Times New Roman" w:eastAsia="Calibri" w:hAnsi="Times New Roman"/>
          <w:sz w:val="24"/>
          <w:szCs w:val="24"/>
        </w:rPr>
        <w:t xml:space="preserve"> znížil z</w:t>
      </w:r>
      <w:r>
        <w:rPr>
          <w:rFonts w:ascii="Times New Roman" w:eastAsia="Calibri" w:hAnsi="Times New Roman"/>
          <w:sz w:val="24"/>
          <w:szCs w:val="24"/>
        </w:rPr>
        <w:t> 20,5</w:t>
      </w:r>
      <w:r w:rsidRPr="000B696A">
        <w:rPr>
          <w:rFonts w:ascii="Times New Roman" w:eastAsia="Calibri" w:hAnsi="Times New Roman"/>
          <w:sz w:val="24"/>
          <w:szCs w:val="24"/>
        </w:rPr>
        <w:t xml:space="preserve"> tis. osôb n</w:t>
      </w:r>
      <w:r>
        <w:rPr>
          <w:rFonts w:ascii="Times New Roman" w:eastAsia="Calibri" w:hAnsi="Times New Roman"/>
          <w:sz w:val="24"/>
          <w:szCs w:val="24"/>
        </w:rPr>
        <w:t>a 10,0 tis. osôb t. j. o 52,3 %</w:t>
      </w:r>
      <w:r w:rsidRPr="000B696A">
        <w:rPr>
          <w:rFonts w:ascii="Times New Roman" w:eastAsia="Calibri" w:hAnsi="Times New Roman"/>
          <w:sz w:val="24"/>
          <w:szCs w:val="24"/>
        </w:rPr>
        <w:t xml:space="preserve">. V roku 2011 pracovalo </w:t>
      </w:r>
      <w:r>
        <w:rPr>
          <w:rFonts w:ascii="Times New Roman" w:eastAsia="Calibri" w:hAnsi="Times New Roman"/>
          <w:sz w:val="24"/>
          <w:szCs w:val="24"/>
        </w:rPr>
        <w:t>v lesníctve cca 80</w:t>
      </w:r>
      <w:r w:rsidRPr="000B696A">
        <w:rPr>
          <w:rFonts w:ascii="Times New Roman" w:eastAsia="Calibri" w:hAnsi="Times New Roman"/>
          <w:sz w:val="24"/>
          <w:szCs w:val="24"/>
        </w:rPr>
        <w:t xml:space="preserve"> % mužov a</w:t>
      </w:r>
      <w:r>
        <w:rPr>
          <w:rFonts w:ascii="Times New Roman" w:eastAsia="Calibri" w:hAnsi="Times New Roman"/>
          <w:sz w:val="24"/>
          <w:szCs w:val="24"/>
        </w:rPr>
        <w:t xml:space="preserve"> 20 % žien</w:t>
      </w:r>
      <w:r w:rsidRPr="000B696A">
        <w:rPr>
          <w:rFonts w:ascii="Times New Roman" w:eastAsia="Calibri" w:hAnsi="Times New Roman"/>
          <w:sz w:val="24"/>
          <w:szCs w:val="24"/>
        </w:rPr>
        <w:t xml:space="preserve">. </w:t>
      </w:r>
      <w:r>
        <w:rPr>
          <w:rFonts w:ascii="Times New Roman" w:eastAsia="Calibri" w:hAnsi="Times New Roman"/>
          <w:sz w:val="24"/>
          <w:szCs w:val="24"/>
        </w:rPr>
        <w:t>Príčinou poklesu zamestnanosti v lesníctve je jednak zníženie objemu tradičných lesníckych činností, nerealizovanie činností ktoré aktivujú dopyt po špecifických tovaroch a službách, t.j. hlavne činnosti na podporu lesnej turistiky, podporné činnosti na rozvoj tematického cestovného ruchu a pod., a jednak zvyšovanie produktivity práce v sektore lesníctva.</w:t>
      </w:r>
    </w:p>
    <w:p w:rsidR="006D0C40" w:rsidRDefault="006D0C40" w:rsidP="009A4AE5">
      <w:pPr>
        <w:spacing w:after="0" w:line="240" w:lineRule="auto"/>
        <w:jc w:val="both"/>
        <w:rPr>
          <w:rFonts w:ascii="Times New Roman" w:hAnsi="Times New Roman" w:cs="Times New Roman"/>
          <w:sz w:val="24"/>
          <w:szCs w:val="24"/>
        </w:rPr>
      </w:pPr>
    </w:p>
    <w:p w:rsidR="009A4AE5" w:rsidRPr="006C7EA4" w:rsidRDefault="009A4AE5" w:rsidP="009A4A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3</w:t>
      </w:r>
      <w:r w:rsidRPr="00155936">
        <w:rPr>
          <w:rFonts w:ascii="Times New Roman" w:hAnsi="Times New Roman" w:cs="Times New Roman"/>
          <w:sz w:val="20"/>
          <w:szCs w:val="20"/>
        </w:rPr>
        <w:t>:</w:t>
      </w:r>
      <w:r w:rsidRPr="00207E2B">
        <w:rPr>
          <w:rFonts w:ascii="Times New Roman" w:hAnsi="Times New Roman" w:cs="Times New Roman"/>
          <w:sz w:val="20"/>
          <w:szCs w:val="20"/>
        </w:rPr>
        <w:t xml:space="preserve">Vývoj </w:t>
      </w:r>
      <w:r>
        <w:rPr>
          <w:rFonts w:ascii="Times New Roman" w:hAnsi="Times New Roman" w:cs="Times New Roman"/>
          <w:sz w:val="20"/>
          <w:szCs w:val="20"/>
        </w:rPr>
        <w:t>počtu pracujúcich v lesníctve (v tis. osôb)</w:t>
      </w:r>
    </w:p>
    <w:p w:rsidR="009A4AE5" w:rsidRDefault="009A4AE5" w:rsidP="009A4AE5">
      <w:pPr>
        <w:spacing w:after="0" w:line="240" w:lineRule="auto"/>
        <w:jc w:val="both"/>
        <w:rPr>
          <w:rFonts w:ascii="Times New Roman" w:hAnsi="Times New Roman" w:cs="Times New Roman"/>
          <w:sz w:val="24"/>
          <w:szCs w:val="24"/>
        </w:rPr>
      </w:pPr>
      <w:r>
        <w:rPr>
          <w:noProof/>
        </w:rPr>
        <w:drawing>
          <wp:inline distT="0" distB="0" distL="0" distR="0" wp14:anchorId="10992F0B" wp14:editId="5FAE61D5">
            <wp:extent cx="5764377" cy="2443277"/>
            <wp:effectExtent l="0" t="0" r="0" b="0"/>
            <wp:docPr id="58" name="Graf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4AE5" w:rsidRPr="00C431FF" w:rsidRDefault="009A4AE5" w:rsidP="009A4A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NLC-ÚLZI Zvolen</w:t>
      </w:r>
    </w:p>
    <w:p w:rsidR="009A4AE5" w:rsidRDefault="009A4AE5" w:rsidP="009A4AE5">
      <w:pPr>
        <w:spacing w:after="0" w:line="240" w:lineRule="auto"/>
        <w:jc w:val="both"/>
        <w:rPr>
          <w:rFonts w:ascii="Times New Roman" w:hAnsi="Times New Roman" w:cs="Times New Roman"/>
          <w:sz w:val="24"/>
          <w:szCs w:val="24"/>
        </w:rPr>
      </w:pPr>
    </w:p>
    <w:p w:rsidR="009A4AE5" w:rsidRDefault="009A4AE5" w:rsidP="009A4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Znepokojujúci je aj vývoj vzdelanostnej štruktúry pracujúcich v lesníctve, keďže lesníctvo nesmeruje k rozvoju špecifických činností vo vyššie spomenutých oblastiach, ale sa sústredí len na tradičné činnosti s nízkou pridanou hodnotou.  </w:t>
      </w:r>
    </w:p>
    <w:p w:rsidR="009A4AE5" w:rsidRDefault="009A4AE5" w:rsidP="009A4AE5">
      <w:pPr>
        <w:spacing w:after="0" w:line="240" w:lineRule="auto"/>
        <w:jc w:val="both"/>
        <w:rPr>
          <w:rFonts w:ascii="Times New Roman" w:hAnsi="Times New Roman" w:cs="Times New Roman"/>
          <w:sz w:val="24"/>
          <w:szCs w:val="24"/>
        </w:rPr>
      </w:pPr>
    </w:p>
    <w:p w:rsidR="009A4AE5" w:rsidRPr="005A3A29" w:rsidRDefault="009A4AE5" w:rsidP="009A4AE5">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 9</w:t>
      </w:r>
      <w:r w:rsidRPr="00A855A4">
        <w:rPr>
          <w:rFonts w:ascii="Times New Roman" w:hAnsi="Times New Roman" w:cs="Times New Roman"/>
          <w:sz w:val="20"/>
          <w:szCs w:val="20"/>
        </w:rPr>
        <w:t xml:space="preserve">: </w:t>
      </w:r>
      <w:r>
        <w:rPr>
          <w:rFonts w:ascii="Times New Roman" w:hAnsi="Times New Roman" w:cs="Times New Roman"/>
          <w:sz w:val="20"/>
          <w:szCs w:val="20"/>
        </w:rPr>
        <w:tab/>
        <w:t>Vzdelanostná štruktúra pracujúcich v lesníctve</w:t>
      </w:r>
    </w:p>
    <w:tbl>
      <w:tblPr>
        <w:tblW w:w="9100" w:type="dxa"/>
        <w:tblInd w:w="55" w:type="dxa"/>
        <w:tblCellMar>
          <w:left w:w="70" w:type="dxa"/>
          <w:right w:w="70" w:type="dxa"/>
        </w:tblCellMar>
        <w:tblLook w:val="04A0" w:firstRow="1" w:lastRow="0" w:firstColumn="1" w:lastColumn="0" w:noHBand="0" w:noVBand="1"/>
      </w:tblPr>
      <w:tblGrid>
        <w:gridCol w:w="4100"/>
        <w:gridCol w:w="1160"/>
        <w:gridCol w:w="960"/>
        <w:gridCol w:w="960"/>
        <w:gridCol w:w="960"/>
        <w:gridCol w:w="960"/>
      </w:tblGrid>
      <w:tr w:rsidR="009A4AE5" w:rsidRPr="005A3A29" w:rsidTr="00B86750">
        <w:trPr>
          <w:trHeight w:val="315"/>
        </w:trPr>
        <w:tc>
          <w:tcPr>
            <w:tcW w:w="4100" w:type="dxa"/>
            <w:tcBorders>
              <w:top w:val="nil"/>
              <w:left w:val="nil"/>
              <w:bottom w:val="single" w:sz="4" w:space="0" w:color="auto"/>
              <w:right w:val="single" w:sz="4" w:space="0" w:color="auto"/>
            </w:tcBorders>
            <w:shd w:val="clear" w:color="000000" w:fill="D9D9D9"/>
            <w:vAlign w:val="center"/>
            <w:hideMark/>
          </w:tcPr>
          <w:p w:rsidR="009A4AE5" w:rsidRPr="005A3A29" w:rsidRDefault="009A4AE5" w:rsidP="00B86750">
            <w:pPr>
              <w:spacing w:after="0" w:line="240" w:lineRule="auto"/>
              <w:jc w:val="both"/>
              <w:rPr>
                <w:rFonts w:ascii="Times New Roman" w:eastAsia="Times New Roman" w:hAnsi="Times New Roman" w:cs="Times New Roman"/>
                <w:b/>
                <w:bCs/>
                <w:color w:val="000000"/>
                <w:sz w:val="20"/>
                <w:szCs w:val="20"/>
              </w:rPr>
            </w:pPr>
            <w:r w:rsidRPr="005A3A29">
              <w:rPr>
                <w:rFonts w:ascii="Times New Roman" w:eastAsia="Times New Roman" w:hAnsi="Times New Roman" w:cs="Times New Roman"/>
                <w:b/>
                <w:bCs/>
                <w:color w:val="000000"/>
                <w:sz w:val="20"/>
                <w:szCs w:val="20"/>
              </w:rPr>
              <w:t> </w:t>
            </w:r>
          </w:p>
        </w:tc>
        <w:tc>
          <w:tcPr>
            <w:tcW w:w="1160" w:type="dxa"/>
            <w:tcBorders>
              <w:top w:val="nil"/>
              <w:left w:val="single" w:sz="4" w:space="0" w:color="auto"/>
              <w:bottom w:val="single" w:sz="4" w:space="0" w:color="auto"/>
              <w:right w:val="single" w:sz="4" w:space="0" w:color="auto"/>
            </w:tcBorders>
            <w:shd w:val="clear" w:color="000000" w:fill="D9D9D9"/>
            <w:vAlign w:val="center"/>
            <w:hideMark/>
          </w:tcPr>
          <w:p w:rsidR="009A4AE5" w:rsidRPr="005A3A29" w:rsidRDefault="009A4AE5" w:rsidP="00B86750">
            <w:pPr>
              <w:spacing w:after="0" w:line="240" w:lineRule="auto"/>
              <w:jc w:val="center"/>
              <w:rPr>
                <w:rFonts w:ascii="Times New Roman" w:eastAsia="Times New Roman" w:hAnsi="Times New Roman" w:cs="Times New Roman"/>
                <w:b/>
                <w:bCs/>
                <w:color w:val="000000"/>
                <w:sz w:val="20"/>
                <w:szCs w:val="20"/>
              </w:rPr>
            </w:pPr>
            <w:r w:rsidRPr="005A3A29">
              <w:rPr>
                <w:rFonts w:ascii="Times New Roman" w:eastAsia="Times New Roman" w:hAnsi="Times New Roman" w:cs="Times New Roman"/>
                <w:b/>
                <w:bCs/>
                <w:color w:val="000000"/>
                <w:sz w:val="20"/>
                <w:szCs w:val="20"/>
              </w:rPr>
              <w:t>2002</w:t>
            </w:r>
          </w:p>
        </w:tc>
        <w:tc>
          <w:tcPr>
            <w:tcW w:w="960" w:type="dxa"/>
            <w:tcBorders>
              <w:top w:val="nil"/>
              <w:left w:val="single" w:sz="4" w:space="0" w:color="auto"/>
              <w:bottom w:val="single" w:sz="4" w:space="0" w:color="auto"/>
              <w:right w:val="nil"/>
            </w:tcBorders>
            <w:shd w:val="clear" w:color="000000" w:fill="D9D9D9"/>
            <w:vAlign w:val="center"/>
            <w:hideMark/>
          </w:tcPr>
          <w:p w:rsidR="009A4AE5" w:rsidRPr="005A3A29" w:rsidRDefault="009A4AE5" w:rsidP="00B86750">
            <w:pPr>
              <w:spacing w:after="0" w:line="240" w:lineRule="auto"/>
              <w:jc w:val="center"/>
              <w:rPr>
                <w:rFonts w:ascii="Times New Roman" w:eastAsia="Times New Roman" w:hAnsi="Times New Roman" w:cs="Times New Roman"/>
                <w:b/>
                <w:bCs/>
                <w:color w:val="000000"/>
                <w:sz w:val="20"/>
                <w:szCs w:val="20"/>
              </w:rPr>
            </w:pPr>
            <w:r w:rsidRPr="005A3A29">
              <w:rPr>
                <w:rFonts w:ascii="Times New Roman" w:eastAsia="Times New Roman" w:hAnsi="Times New Roman" w:cs="Times New Roman"/>
                <w:b/>
                <w:bCs/>
                <w:color w:val="000000"/>
                <w:sz w:val="20"/>
                <w:szCs w:val="20"/>
              </w:rPr>
              <w:t>2008</w:t>
            </w:r>
          </w:p>
        </w:tc>
        <w:tc>
          <w:tcPr>
            <w:tcW w:w="960" w:type="dxa"/>
            <w:tcBorders>
              <w:top w:val="nil"/>
              <w:left w:val="nil"/>
              <w:bottom w:val="single" w:sz="4" w:space="0" w:color="auto"/>
              <w:right w:val="nil"/>
            </w:tcBorders>
            <w:shd w:val="clear" w:color="000000" w:fill="D9D9D9"/>
            <w:vAlign w:val="center"/>
            <w:hideMark/>
          </w:tcPr>
          <w:p w:rsidR="009A4AE5" w:rsidRPr="005A3A29" w:rsidRDefault="009A4AE5" w:rsidP="00B86750">
            <w:pPr>
              <w:spacing w:after="0" w:line="240" w:lineRule="auto"/>
              <w:jc w:val="center"/>
              <w:rPr>
                <w:rFonts w:ascii="Times New Roman" w:eastAsia="Times New Roman" w:hAnsi="Times New Roman" w:cs="Times New Roman"/>
                <w:b/>
                <w:bCs/>
                <w:color w:val="000000"/>
                <w:sz w:val="20"/>
                <w:szCs w:val="20"/>
              </w:rPr>
            </w:pPr>
            <w:r w:rsidRPr="005A3A29">
              <w:rPr>
                <w:rFonts w:ascii="Times New Roman" w:eastAsia="Times New Roman" w:hAnsi="Times New Roman" w:cs="Times New Roman"/>
                <w:b/>
                <w:bCs/>
                <w:color w:val="000000"/>
                <w:sz w:val="20"/>
                <w:szCs w:val="20"/>
              </w:rPr>
              <w:t>2009</w:t>
            </w:r>
          </w:p>
        </w:tc>
        <w:tc>
          <w:tcPr>
            <w:tcW w:w="960" w:type="dxa"/>
            <w:tcBorders>
              <w:top w:val="nil"/>
              <w:left w:val="nil"/>
              <w:bottom w:val="single" w:sz="4" w:space="0" w:color="auto"/>
              <w:right w:val="nil"/>
            </w:tcBorders>
            <w:shd w:val="clear" w:color="000000" w:fill="D9D9D9"/>
            <w:vAlign w:val="center"/>
            <w:hideMark/>
          </w:tcPr>
          <w:p w:rsidR="009A4AE5" w:rsidRPr="005A3A29" w:rsidRDefault="009A4AE5" w:rsidP="00B86750">
            <w:pPr>
              <w:spacing w:after="0" w:line="240" w:lineRule="auto"/>
              <w:jc w:val="center"/>
              <w:rPr>
                <w:rFonts w:ascii="Times New Roman" w:eastAsia="Times New Roman" w:hAnsi="Times New Roman" w:cs="Times New Roman"/>
                <w:b/>
                <w:bCs/>
                <w:color w:val="000000"/>
                <w:sz w:val="20"/>
                <w:szCs w:val="20"/>
              </w:rPr>
            </w:pPr>
            <w:r w:rsidRPr="005A3A29">
              <w:rPr>
                <w:rFonts w:ascii="Times New Roman" w:eastAsia="Times New Roman" w:hAnsi="Times New Roman" w:cs="Times New Roman"/>
                <w:b/>
                <w:bCs/>
                <w:color w:val="000000"/>
                <w:sz w:val="20"/>
                <w:szCs w:val="20"/>
              </w:rPr>
              <w:t>2010</w:t>
            </w:r>
          </w:p>
        </w:tc>
        <w:tc>
          <w:tcPr>
            <w:tcW w:w="960" w:type="dxa"/>
            <w:tcBorders>
              <w:top w:val="nil"/>
              <w:left w:val="nil"/>
              <w:bottom w:val="single" w:sz="4" w:space="0" w:color="auto"/>
              <w:right w:val="nil"/>
            </w:tcBorders>
            <w:shd w:val="clear" w:color="000000" w:fill="D9D9D9"/>
            <w:vAlign w:val="center"/>
            <w:hideMark/>
          </w:tcPr>
          <w:p w:rsidR="009A4AE5" w:rsidRPr="005A3A29" w:rsidRDefault="009A4AE5" w:rsidP="00B86750">
            <w:pPr>
              <w:spacing w:after="0" w:line="240" w:lineRule="auto"/>
              <w:jc w:val="center"/>
              <w:rPr>
                <w:rFonts w:ascii="Times New Roman" w:eastAsia="Times New Roman" w:hAnsi="Times New Roman" w:cs="Times New Roman"/>
                <w:b/>
                <w:bCs/>
                <w:color w:val="000000"/>
                <w:sz w:val="20"/>
                <w:szCs w:val="20"/>
              </w:rPr>
            </w:pPr>
            <w:r w:rsidRPr="005A3A29">
              <w:rPr>
                <w:rFonts w:ascii="Times New Roman" w:eastAsia="Times New Roman" w:hAnsi="Times New Roman" w:cs="Times New Roman"/>
                <w:b/>
                <w:bCs/>
                <w:color w:val="000000"/>
                <w:sz w:val="20"/>
                <w:szCs w:val="20"/>
              </w:rPr>
              <w:t>2011</w:t>
            </w:r>
          </w:p>
        </w:tc>
      </w:tr>
      <w:tr w:rsidR="009A4AE5" w:rsidRPr="005A3A29" w:rsidTr="00B86750">
        <w:trPr>
          <w:trHeight w:val="300"/>
        </w:trPr>
        <w:tc>
          <w:tcPr>
            <w:tcW w:w="4100" w:type="dxa"/>
            <w:tcBorders>
              <w:top w:val="single" w:sz="4" w:space="0" w:color="auto"/>
              <w:left w:val="nil"/>
              <w:bottom w:val="nil"/>
              <w:right w:val="single" w:sz="4" w:space="0" w:color="auto"/>
            </w:tcBorders>
            <w:shd w:val="clear" w:color="auto" w:fill="auto"/>
            <w:vAlign w:val="center"/>
            <w:hideMark/>
          </w:tcPr>
          <w:p w:rsidR="009A4AE5" w:rsidRPr="005A3A29" w:rsidRDefault="009A4AE5" w:rsidP="00B86750">
            <w:pPr>
              <w:spacing w:after="0" w:line="240" w:lineRule="auto"/>
              <w:rPr>
                <w:rFonts w:ascii="Times New Roman" w:eastAsia="Times New Roman" w:hAnsi="Times New Roman" w:cs="Times New Roman"/>
                <w:color w:val="000000"/>
                <w:sz w:val="20"/>
                <w:szCs w:val="20"/>
              </w:rPr>
            </w:pPr>
            <w:r w:rsidRPr="005A3A29">
              <w:rPr>
                <w:rFonts w:ascii="Times New Roman" w:eastAsia="Times New Roman" w:hAnsi="Times New Roman" w:cs="Times New Roman"/>
                <w:color w:val="000000"/>
                <w:sz w:val="20"/>
                <w:szCs w:val="20"/>
              </w:rPr>
              <w:t>Základné vzdelanie</w:t>
            </w:r>
          </w:p>
        </w:tc>
        <w:tc>
          <w:tcPr>
            <w:tcW w:w="1160" w:type="dxa"/>
            <w:tcBorders>
              <w:top w:val="single" w:sz="4" w:space="0" w:color="auto"/>
              <w:left w:val="single" w:sz="4" w:space="0" w:color="auto"/>
              <w:bottom w:val="nil"/>
              <w:right w:val="single" w:sz="4" w:space="0" w:color="auto"/>
            </w:tcBorders>
            <w:shd w:val="clear" w:color="auto" w:fill="auto"/>
            <w:vAlign w:val="center"/>
            <w:hideMark/>
          </w:tcPr>
          <w:p w:rsidR="009A4AE5" w:rsidRPr="005A3A29" w:rsidRDefault="009A4AE5" w:rsidP="00B86750">
            <w:pPr>
              <w:spacing w:after="0" w:line="240" w:lineRule="auto"/>
              <w:jc w:val="right"/>
              <w:rPr>
                <w:rFonts w:ascii="Times New Roman" w:eastAsia="Times New Roman" w:hAnsi="Times New Roman" w:cs="Times New Roman"/>
                <w:color w:val="000000"/>
                <w:sz w:val="20"/>
                <w:szCs w:val="20"/>
              </w:rPr>
            </w:pPr>
            <w:r w:rsidRPr="005A3A29">
              <w:rPr>
                <w:rFonts w:ascii="Times New Roman" w:eastAsia="Times New Roman" w:hAnsi="Times New Roman" w:cs="Times New Roman"/>
                <w:color w:val="000000"/>
                <w:sz w:val="20"/>
                <w:szCs w:val="20"/>
              </w:rPr>
              <w:t>7,19%</w:t>
            </w:r>
          </w:p>
        </w:tc>
        <w:tc>
          <w:tcPr>
            <w:tcW w:w="960" w:type="dxa"/>
            <w:tcBorders>
              <w:top w:val="single" w:sz="4" w:space="0" w:color="auto"/>
              <w:left w:val="single" w:sz="4" w:space="0" w:color="auto"/>
              <w:bottom w:val="nil"/>
              <w:right w:val="nil"/>
            </w:tcBorders>
            <w:shd w:val="clear" w:color="auto" w:fill="auto"/>
            <w:vAlign w:val="center"/>
            <w:hideMark/>
          </w:tcPr>
          <w:p w:rsidR="009A4AE5" w:rsidRPr="005A3A29" w:rsidRDefault="009A4AE5" w:rsidP="00B86750">
            <w:pPr>
              <w:spacing w:after="0" w:line="240" w:lineRule="auto"/>
              <w:jc w:val="right"/>
              <w:rPr>
                <w:rFonts w:ascii="Times New Roman" w:eastAsia="Times New Roman" w:hAnsi="Times New Roman" w:cs="Times New Roman"/>
                <w:color w:val="000000"/>
                <w:sz w:val="20"/>
                <w:szCs w:val="20"/>
              </w:rPr>
            </w:pPr>
            <w:r w:rsidRPr="005A3A29">
              <w:rPr>
                <w:rFonts w:ascii="Times New Roman" w:eastAsia="Times New Roman" w:hAnsi="Times New Roman" w:cs="Times New Roman"/>
                <w:color w:val="000000"/>
                <w:sz w:val="20"/>
                <w:szCs w:val="20"/>
              </w:rPr>
              <w:t>8,45%</w:t>
            </w:r>
          </w:p>
        </w:tc>
        <w:tc>
          <w:tcPr>
            <w:tcW w:w="960" w:type="dxa"/>
            <w:tcBorders>
              <w:top w:val="single" w:sz="4" w:space="0" w:color="auto"/>
              <w:left w:val="nil"/>
              <w:bottom w:val="nil"/>
              <w:right w:val="nil"/>
            </w:tcBorders>
            <w:shd w:val="clear" w:color="auto" w:fill="auto"/>
            <w:vAlign w:val="center"/>
            <w:hideMark/>
          </w:tcPr>
          <w:p w:rsidR="009A4AE5" w:rsidRPr="005A3A29" w:rsidRDefault="009A4AE5" w:rsidP="00B86750">
            <w:pPr>
              <w:spacing w:after="0" w:line="240" w:lineRule="auto"/>
              <w:jc w:val="right"/>
              <w:rPr>
                <w:rFonts w:ascii="Times New Roman" w:eastAsia="Times New Roman" w:hAnsi="Times New Roman" w:cs="Times New Roman"/>
                <w:color w:val="000000"/>
                <w:sz w:val="20"/>
                <w:szCs w:val="20"/>
              </w:rPr>
            </w:pPr>
            <w:r w:rsidRPr="005A3A29">
              <w:rPr>
                <w:rFonts w:ascii="Times New Roman" w:eastAsia="Times New Roman" w:hAnsi="Times New Roman" w:cs="Times New Roman"/>
                <w:color w:val="000000"/>
                <w:sz w:val="20"/>
                <w:szCs w:val="20"/>
              </w:rPr>
              <w:t>9,17%</w:t>
            </w:r>
          </w:p>
        </w:tc>
        <w:tc>
          <w:tcPr>
            <w:tcW w:w="960" w:type="dxa"/>
            <w:tcBorders>
              <w:top w:val="single" w:sz="4" w:space="0" w:color="auto"/>
              <w:left w:val="nil"/>
              <w:bottom w:val="nil"/>
              <w:right w:val="nil"/>
            </w:tcBorders>
            <w:shd w:val="clear" w:color="auto" w:fill="auto"/>
            <w:vAlign w:val="center"/>
            <w:hideMark/>
          </w:tcPr>
          <w:p w:rsidR="009A4AE5" w:rsidRPr="005A3A29" w:rsidRDefault="009A4AE5" w:rsidP="00B86750">
            <w:pPr>
              <w:spacing w:after="0" w:line="240" w:lineRule="auto"/>
              <w:jc w:val="right"/>
              <w:rPr>
                <w:rFonts w:ascii="Times New Roman" w:eastAsia="Times New Roman" w:hAnsi="Times New Roman" w:cs="Times New Roman"/>
                <w:color w:val="000000"/>
                <w:sz w:val="20"/>
                <w:szCs w:val="20"/>
              </w:rPr>
            </w:pPr>
            <w:r w:rsidRPr="005A3A29">
              <w:rPr>
                <w:rFonts w:ascii="Times New Roman" w:eastAsia="Times New Roman" w:hAnsi="Times New Roman" w:cs="Times New Roman"/>
                <w:color w:val="000000"/>
                <w:sz w:val="20"/>
                <w:szCs w:val="20"/>
              </w:rPr>
              <w:t>12,87%</w:t>
            </w:r>
          </w:p>
        </w:tc>
        <w:tc>
          <w:tcPr>
            <w:tcW w:w="960" w:type="dxa"/>
            <w:tcBorders>
              <w:top w:val="single" w:sz="4" w:space="0" w:color="auto"/>
              <w:left w:val="nil"/>
              <w:bottom w:val="nil"/>
              <w:right w:val="nil"/>
            </w:tcBorders>
            <w:shd w:val="clear" w:color="auto" w:fill="auto"/>
            <w:vAlign w:val="center"/>
            <w:hideMark/>
          </w:tcPr>
          <w:p w:rsidR="009A4AE5" w:rsidRPr="005A3A29" w:rsidRDefault="009A4AE5" w:rsidP="00B86750">
            <w:pPr>
              <w:spacing w:after="0" w:line="240" w:lineRule="auto"/>
              <w:jc w:val="right"/>
              <w:rPr>
                <w:rFonts w:ascii="Times New Roman" w:eastAsia="Times New Roman" w:hAnsi="Times New Roman" w:cs="Times New Roman"/>
                <w:color w:val="000000"/>
                <w:sz w:val="20"/>
                <w:szCs w:val="20"/>
              </w:rPr>
            </w:pPr>
            <w:r w:rsidRPr="005A3A29">
              <w:rPr>
                <w:rFonts w:ascii="Times New Roman" w:eastAsia="Times New Roman" w:hAnsi="Times New Roman" w:cs="Times New Roman"/>
                <w:color w:val="000000"/>
                <w:sz w:val="20"/>
                <w:szCs w:val="20"/>
              </w:rPr>
              <w:t>14,01%</w:t>
            </w:r>
          </w:p>
        </w:tc>
      </w:tr>
      <w:tr w:rsidR="009A4AE5" w:rsidRPr="005A3A29" w:rsidTr="00B86750">
        <w:trPr>
          <w:trHeight w:val="300"/>
        </w:trPr>
        <w:tc>
          <w:tcPr>
            <w:tcW w:w="4100" w:type="dxa"/>
            <w:tcBorders>
              <w:top w:val="nil"/>
              <w:left w:val="nil"/>
              <w:right w:val="single" w:sz="4" w:space="0" w:color="auto"/>
            </w:tcBorders>
            <w:shd w:val="clear" w:color="000000" w:fill="F2F2F2"/>
            <w:vAlign w:val="center"/>
            <w:hideMark/>
          </w:tcPr>
          <w:p w:rsidR="009A4AE5" w:rsidRPr="005A3A29" w:rsidRDefault="009A4AE5" w:rsidP="00B86750">
            <w:pPr>
              <w:spacing w:after="0" w:line="240" w:lineRule="auto"/>
              <w:rPr>
                <w:rFonts w:ascii="Times New Roman" w:eastAsia="Times New Roman" w:hAnsi="Times New Roman" w:cs="Times New Roman"/>
                <w:color w:val="000000"/>
                <w:sz w:val="20"/>
                <w:szCs w:val="20"/>
              </w:rPr>
            </w:pPr>
            <w:r w:rsidRPr="005A3A29">
              <w:rPr>
                <w:rFonts w:ascii="Times New Roman" w:eastAsia="Times New Roman" w:hAnsi="Times New Roman" w:cs="Times New Roman"/>
                <w:color w:val="000000"/>
                <w:sz w:val="20"/>
                <w:szCs w:val="20"/>
              </w:rPr>
              <w:t>Stredné vzdelanie</w:t>
            </w:r>
          </w:p>
        </w:tc>
        <w:tc>
          <w:tcPr>
            <w:tcW w:w="1160" w:type="dxa"/>
            <w:tcBorders>
              <w:top w:val="nil"/>
              <w:left w:val="single" w:sz="4" w:space="0" w:color="auto"/>
              <w:right w:val="single" w:sz="4" w:space="0" w:color="auto"/>
            </w:tcBorders>
            <w:shd w:val="clear" w:color="000000" w:fill="F2F2F2"/>
            <w:vAlign w:val="center"/>
            <w:hideMark/>
          </w:tcPr>
          <w:p w:rsidR="009A4AE5" w:rsidRPr="005A3A29" w:rsidRDefault="009A4AE5" w:rsidP="00B86750">
            <w:pPr>
              <w:spacing w:after="0" w:line="240" w:lineRule="auto"/>
              <w:jc w:val="right"/>
              <w:rPr>
                <w:rFonts w:ascii="Times New Roman" w:eastAsia="Times New Roman" w:hAnsi="Times New Roman" w:cs="Times New Roman"/>
                <w:color w:val="000000"/>
                <w:sz w:val="20"/>
                <w:szCs w:val="20"/>
              </w:rPr>
            </w:pPr>
            <w:r w:rsidRPr="005A3A29">
              <w:rPr>
                <w:rFonts w:ascii="Times New Roman" w:eastAsia="Times New Roman" w:hAnsi="Times New Roman" w:cs="Times New Roman"/>
                <w:color w:val="000000"/>
                <w:sz w:val="20"/>
                <w:szCs w:val="20"/>
              </w:rPr>
              <w:t>70,90%</w:t>
            </w:r>
          </w:p>
        </w:tc>
        <w:tc>
          <w:tcPr>
            <w:tcW w:w="960" w:type="dxa"/>
            <w:tcBorders>
              <w:top w:val="nil"/>
              <w:left w:val="single" w:sz="4" w:space="0" w:color="auto"/>
              <w:right w:val="nil"/>
            </w:tcBorders>
            <w:shd w:val="clear" w:color="000000" w:fill="F2F2F2"/>
            <w:vAlign w:val="center"/>
            <w:hideMark/>
          </w:tcPr>
          <w:p w:rsidR="009A4AE5" w:rsidRPr="005A3A29" w:rsidRDefault="009A4AE5" w:rsidP="00B86750">
            <w:pPr>
              <w:spacing w:after="0" w:line="240" w:lineRule="auto"/>
              <w:jc w:val="right"/>
              <w:rPr>
                <w:rFonts w:ascii="Times New Roman" w:eastAsia="Times New Roman" w:hAnsi="Times New Roman" w:cs="Times New Roman"/>
                <w:color w:val="000000"/>
                <w:sz w:val="20"/>
                <w:szCs w:val="20"/>
              </w:rPr>
            </w:pPr>
            <w:r w:rsidRPr="005A3A29">
              <w:rPr>
                <w:rFonts w:ascii="Times New Roman" w:eastAsia="Times New Roman" w:hAnsi="Times New Roman" w:cs="Times New Roman"/>
                <w:color w:val="000000"/>
                <w:sz w:val="20"/>
                <w:szCs w:val="20"/>
              </w:rPr>
              <w:t>72,54%</w:t>
            </w:r>
          </w:p>
        </w:tc>
        <w:tc>
          <w:tcPr>
            <w:tcW w:w="960" w:type="dxa"/>
            <w:tcBorders>
              <w:top w:val="nil"/>
              <w:left w:val="nil"/>
              <w:right w:val="nil"/>
            </w:tcBorders>
            <w:shd w:val="clear" w:color="000000" w:fill="F2F2F2"/>
            <w:vAlign w:val="center"/>
            <w:hideMark/>
          </w:tcPr>
          <w:p w:rsidR="009A4AE5" w:rsidRPr="005A3A29" w:rsidRDefault="009A4AE5" w:rsidP="00B86750">
            <w:pPr>
              <w:spacing w:after="0" w:line="240" w:lineRule="auto"/>
              <w:jc w:val="right"/>
              <w:rPr>
                <w:rFonts w:ascii="Times New Roman" w:eastAsia="Times New Roman" w:hAnsi="Times New Roman" w:cs="Times New Roman"/>
                <w:color w:val="000000"/>
                <w:sz w:val="20"/>
                <w:szCs w:val="20"/>
              </w:rPr>
            </w:pPr>
            <w:r w:rsidRPr="005A3A29">
              <w:rPr>
                <w:rFonts w:ascii="Times New Roman" w:eastAsia="Times New Roman" w:hAnsi="Times New Roman" w:cs="Times New Roman"/>
                <w:color w:val="000000"/>
                <w:sz w:val="20"/>
                <w:szCs w:val="20"/>
              </w:rPr>
              <w:t>73,39%</w:t>
            </w:r>
          </w:p>
        </w:tc>
        <w:tc>
          <w:tcPr>
            <w:tcW w:w="960" w:type="dxa"/>
            <w:tcBorders>
              <w:top w:val="nil"/>
              <w:left w:val="nil"/>
              <w:right w:val="nil"/>
            </w:tcBorders>
            <w:shd w:val="clear" w:color="000000" w:fill="F2F2F2"/>
            <w:vAlign w:val="center"/>
            <w:hideMark/>
          </w:tcPr>
          <w:p w:rsidR="009A4AE5" w:rsidRPr="005A3A29" w:rsidRDefault="009A4AE5" w:rsidP="00B86750">
            <w:pPr>
              <w:spacing w:after="0" w:line="240" w:lineRule="auto"/>
              <w:jc w:val="right"/>
              <w:rPr>
                <w:rFonts w:ascii="Times New Roman" w:eastAsia="Times New Roman" w:hAnsi="Times New Roman" w:cs="Times New Roman"/>
                <w:color w:val="000000"/>
                <w:sz w:val="20"/>
                <w:szCs w:val="20"/>
              </w:rPr>
            </w:pPr>
            <w:r w:rsidRPr="005A3A29">
              <w:rPr>
                <w:rFonts w:ascii="Times New Roman" w:eastAsia="Times New Roman" w:hAnsi="Times New Roman" w:cs="Times New Roman"/>
                <w:color w:val="000000"/>
                <w:sz w:val="20"/>
                <w:szCs w:val="20"/>
              </w:rPr>
              <w:t>76,24%</w:t>
            </w:r>
          </w:p>
        </w:tc>
        <w:tc>
          <w:tcPr>
            <w:tcW w:w="960" w:type="dxa"/>
            <w:tcBorders>
              <w:top w:val="nil"/>
              <w:left w:val="nil"/>
              <w:right w:val="nil"/>
            </w:tcBorders>
            <w:shd w:val="clear" w:color="000000" w:fill="F2F2F2"/>
            <w:vAlign w:val="center"/>
            <w:hideMark/>
          </w:tcPr>
          <w:p w:rsidR="009A4AE5" w:rsidRPr="005A3A29" w:rsidRDefault="009A4AE5" w:rsidP="00B86750">
            <w:pPr>
              <w:spacing w:after="0" w:line="240" w:lineRule="auto"/>
              <w:jc w:val="right"/>
              <w:rPr>
                <w:rFonts w:ascii="Times New Roman" w:eastAsia="Times New Roman" w:hAnsi="Times New Roman" w:cs="Times New Roman"/>
                <w:color w:val="000000"/>
                <w:sz w:val="20"/>
                <w:szCs w:val="20"/>
              </w:rPr>
            </w:pPr>
            <w:r w:rsidRPr="005A3A29">
              <w:rPr>
                <w:rFonts w:ascii="Times New Roman" w:eastAsia="Times New Roman" w:hAnsi="Times New Roman" w:cs="Times New Roman"/>
                <w:color w:val="000000"/>
                <w:sz w:val="20"/>
                <w:szCs w:val="20"/>
              </w:rPr>
              <w:t>77,67%</w:t>
            </w:r>
          </w:p>
        </w:tc>
      </w:tr>
      <w:tr w:rsidR="009A4AE5" w:rsidRPr="005A3A29" w:rsidTr="00B86750">
        <w:trPr>
          <w:trHeight w:val="315"/>
        </w:trPr>
        <w:tc>
          <w:tcPr>
            <w:tcW w:w="4100" w:type="dxa"/>
            <w:tcBorders>
              <w:top w:val="nil"/>
              <w:left w:val="nil"/>
              <w:bottom w:val="single" w:sz="4" w:space="0" w:color="auto"/>
              <w:right w:val="single" w:sz="4" w:space="0" w:color="auto"/>
            </w:tcBorders>
            <w:shd w:val="clear" w:color="auto" w:fill="auto"/>
            <w:vAlign w:val="center"/>
            <w:hideMark/>
          </w:tcPr>
          <w:p w:rsidR="009A4AE5" w:rsidRPr="005A3A29" w:rsidRDefault="009A4AE5" w:rsidP="00B86750">
            <w:pPr>
              <w:spacing w:after="0" w:line="240" w:lineRule="auto"/>
              <w:rPr>
                <w:rFonts w:ascii="Times New Roman" w:eastAsia="Times New Roman" w:hAnsi="Times New Roman" w:cs="Times New Roman"/>
                <w:sz w:val="20"/>
                <w:szCs w:val="20"/>
              </w:rPr>
            </w:pPr>
            <w:r w:rsidRPr="005A3A29">
              <w:rPr>
                <w:rFonts w:ascii="Times New Roman" w:eastAsia="Times New Roman" w:hAnsi="Times New Roman" w:cs="Times New Roman"/>
                <w:sz w:val="20"/>
                <w:szCs w:val="20"/>
              </w:rPr>
              <w:t>Vysokoškolské vzdelanie</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A4AE5" w:rsidRPr="005A3A29" w:rsidRDefault="009A4AE5" w:rsidP="00B86750">
            <w:pPr>
              <w:spacing w:after="0" w:line="240" w:lineRule="auto"/>
              <w:jc w:val="right"/>
              <w:rPr>
                <w:rFonts w:ascii="Times New Roman" w:eastAsia="Times New Roman" w:hAnsi="Times New Roman" w:cs="Times New Roman"/>
                <w:sz w:val="20"/>
                <w:szCs w:val="20"/>
              </w:rPr>
            </w:pPr>
            <w:r w:rsidRPr="005A3A29">
              <w:rPr>
                <w:rFonts w:ascii="Times New Roman" w:eastAsia="Times New Roman" w:hAnsi="Times New Roman" w:cs="Times New Roman"/>
                <w:sz w:val="20"/>
                <w:szCs w:val="20"/>
              </w:rPr>
              <w:t>21,91%</w:t>
            </w:r>
          </w:p>
        </w:tc>
        <w:tc>
          <w:tcPr>
            <w:tcW w:w="960" w:type="dxa"/>
            <w:tcBorders>
              <w:top w:val="nil"/>
              <w:left w:val="single" w:sz="4" w:space="0" w:color="auto"/>
              <w:bottom w:val="single" w:sz="4" w:space="0" w:color="auto"/>
              <w:right w:val="nil"/>
            </w:tcBorders>
            <w:shd w:val="clear" w:color="auto" w:fill="auto"/>
            <w:vAlign w:val="center"/>
            <w:hideMark/>
          </w:tcPr>
          <w:p w:rsidR="009A4AE5" w:rsidRPr="005A3A29" w:rsidRDefault="009A4AE5" w:rsidP="00B86750">
            <w:pPr>
              <w:spacing w:after="0" w:line="240" w:lineRule="auto"/>
              <w:jc w:val="right"/>
              <w:rPr>
                <w:rFonts w:ascii="Times New Roman" w:eastAsia="Times New Roman" w:hAnsi="Times New Roman" w:cs="Times New Roman"/>
                <w:sz w:val="20"/>
                <w:szCs w:val="20"/>
              </w:rPr>
            </w:pPr>
            <w:r w:rsidRPr="005A3A29">
              <w:rPr>
                <w:rFonts w:ascii="Times New Roman" w:eastAsia="Times New Roman" w:hAnsi="Times New Roman" w:cs="Times New Roman"/>
                <w:sz w:val="20"/>
                <w:szCs w:val="20"/>
              </w:rPr>
              <w:t>19,01%</w:t>
            </w:r>
          </w:p>
        </w:tc>
        <w:tc>
          <w:tcPr>
            <w:tcW w:w="960" w:type="dxa"/>
            <w:tcBorders>
              <w:top w:val="nil"/>
              <w:left w:val="nil"/>
              <w:bottom w:val="single" w:sz="4" w:space="0" w:color="auto"/>
              <w:right w:val="nil"/>
            </w:tcBorders>
            <w:shd w:val="clear" w:color="auto" w:fill="auto"/>
            <w:vAlign w:val="center"/>
            <w:hideMark/>
          </w:tcPr>
          <w:p w:rsidR="009A4AE5" w:rsidRPr="005A3A29" w:rsidRDefault="009A4AE5" w:rsidP="00B86750">
            <w:pPr>
              <w:spacing w:after="0" w:line="240" w:lineRule="auto"/>
              <w:jc w:val="right"/>
              <w:rPr>
                <w:rFonts w:ascii="Times New Roman" w:eastAsia="Times New Roman" w:hAnsi="Times New Roman" w:cs="Times New Roman"/>
                <w:sz w:val="20"/>
                <w:szCs w:val="20"/>
              </w:rPr>
            </w:pPr>
            <w:r w:rsidRPr="005A3A29">
              <w:rPr>
                <w:rFonts w:ascii="Times New Roman" w:eastAsia="Times New Roman" w:hAnsi="Times New Roman" w:cs="Times New Roman"/>
                <w:sz w:val="20"/>
                <w:szCs w:val="20"/>
              </w:rPr>
              <w:t>17,43%</w:t>
            </w:r>
          </w:p>
        </w:tc>
        <w:tc>
          <w:tcPr>
            <w:tcW w:w="960" w:type="dxa"/>
            <w:tcBorders>
              <w:top w:val="nil"/>
              <w:left w:val="nil"/>
              <w:bottom w:val="single" w:sz="4" w:space="0" w:color="auto"/>
              <w:right w:val="nil"/>
            </w:tcBorders>
            <w:shd w:val="clear" w:color="auto" w:fill="auto"/>
            <w:vAlign w:val="center"/>
            <w:hideMark/>
          </w:tcPr>
          <w:p w:rsidR="009A4AE5" w:rsidRPr="005A3A29" w:rsidRDefault="009A4AE5" w:rsidP="00B86750">
            <w:pPr>
              <w:spacing w:after="0" w:line="240" w:lineRule="auto"/>
              <w:jc w:val="right"/>
              <w:rPr>
                <w:rFonts w:ascii="Times New Roman" w:eastAsia="Times New Roman" w:hAnsi="Times New Roman" w:cs="Times New Roman"/>
                <w:sz w:val="20"/>
                <w:szCs w:val="20"/>
              </w:rPr>
            </w:pPr>
            <w:r w:rsidRPr="005A3A29">
              <w:rPr>
                <w:rFonts w:ascii="Times New Roman" w:eastAsia="Times New Roman" w:hAnsi="Times New Roman" w:cs="Times New Roman"/>
                <w:sz w:val="20"/>
                <w:szCs w:val="20"/>
              </w:rPr>
              <w:t>10,89%</w:t>
            </w:r>
          </w:p>
        </w:tc>
        <w:tc>
          <w:tcPr>
            <w:tcW w:w="960" w:type="dxa"/>
            <w:tcBorders>
              <w:top w:val="nil"/>
              <w:left w:val="nil"/>
              <w:bottom w:val="single" w:sz="4" w:space="0" w:color="auto"/>
              <w:right w:val="nil"/>
            </w:tcBorders>
            <w:shd w:val="clear" w:color="auto" w:fill="auto"/>
            <w:vAlign w:val="center"/>
            <w:hideMark/>
          </w:tcPr>
          <w:p w:rsidR="009A4AE5" w:rsidRPr="005A3A29" w:rsidRDefault="009A4AE5" w:rsidP="00B86750">
            <w:pPr>
              <w:spacing w:after="0" w:line="240" w:lineRule="auto"/>
              <w:jc w:val="right"/>
              <w:rPr>
                <w:rFonts w:ascii="Times New Roman" w:eastAsia="Times New Roman" w:hAnsi="Times New Roman" w:cs="Times New Roman"/>
                <w:sz w:val="20"/>
                <w:szCs w:val="20"/>
              </w:rPr>
            </w:pPr>
            <w:r w:rsidRPr="005A3A29">
              <w:rPr>
                <w:rFonts w:ascii="Times New Roman" w:eastAsia="Times New Roman" w:hAnsi="Times New Roman" w:cs="Times New Roman"/>
                <w:sz w:val="20"/>
                <w:szCs w:val="20"/>
              </w:rPr>
              <w:t>8,32%</w:t>
            </w:r>
          </w:p>
        </w:tc>
      </w:tr>
    </w:tbl>
    <w:p w:rsidR="009A4AE5" w:rsidRPr="00C431FF" w:rsidRDefault="009A4AE5" w:rsidP="009A4A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NLC-ÚLZI Zvolen, odhad MPRV SR</w:t>
      </w:r>
    </w:p>
    <w:p w:rsidR="009A4AE5" w:rsidRDefault="009A4AE5" w:rsidP="009A4AE5">
      <w:pPr>
        <w:spacing w:after="0" w:line="240" w:lineRule="auto"/>
        <w:jc w:val="both"/>
        <w:rPr>
          <w:rFonts w:ascii="Times New Roman" w:hAnsi="Times New Roman" w:cs="Times New Roman"/>
          <w:sz w:val="24"/>
          <w:szCs w:val="24"/>
        </w:rPr>
      </w:pPr>
    </w:p>
    <w:p w:rsidR="009A4AE5" w:rsidRDefault="009A4AE5" w:rsidP="009A4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Výsledkom je rapídny úbytok vysokoškolsky vzdelaných ľudí, hlavne v prospech pracujúcich so základným vzdelaním. Toto je zároveň aj najvýznamnejším faktorom poklesu reálnych miezd v sektore lesníctva. </w:t>
      </w:r>
    </w:p>
    <w:p w:rsidR="009A4AE5" w:rsidRDefault="009A4AE5" w:rsidP="001E1D98">
      <w:pPr>
        <w:spacing w:after="0" w:line="240" w:lineRule="auto"/>
        <w:jc w:val="both"/>
        <w:rPr>
          <w:rFonts w:ascii="Times New Roman" w:hAnsi="Times New Roman" w:cs="Times New Roman"/>
          <w:sz w:val="24"/>
          <w:szCs w:val="24"/>
        </w:rPr>
      </w:pPr>
    </w:p>
    <w:p w:rsidR="00817EFC" w:rsidRDefault="00817EFC" w:rsidP="001E1D98">
      <w:pPr>
        <w:spacing w:after="0" w:line="240" w:lineRule="auto"/>
        <w:jc w:val="both"/>
        <w:rPr>
          <w:rFonts w:ascii="Times New Roman" w:hAnsi="Times New Roman" w:cs="Times New Roman"/>
          <w:sz w:val="24"/>
          <w:szCs w:val="24"/>
        </w:rPr>
      </w:pPr>
    </w:p>
    <w:p w:rsidR="00817EFC" w:rsidRDefault="00817EFC" w:rsidP="001E1D98">
      <w:pPr>
        <w:spacing w:after="0" w:line="240" w:lineRule="auto"/>
        <w:jc w:val="both"/>
        <w:rPr>
          <w:rFonts w:ascii="Times New Roman" w:hAnsi="Times New Roman" w:cs="Times New Roman"/>
          <w:sz w:val="24"/>
          <w:szCs w:val="24"/>
        </w:rPr>
      </w:pPr>
    </w:p>
    <w:p w:rsidR="00817EFC" w:rsidRPr="001E1D98" w:rsidRDefault="00817EFC" w:rsidP="001E1D98">
      <w:pPr>
        <w:spacing w:after="0" w:line="240" w:lineRule="auto"/>
        <w:jc w:val="both"/>
        <w:rPr>
          <w:rFonts w:ascii="Times New Roman" w:hAnsi="Times New Roman" w:cs="Times New Roman"/>
          <w:sz w:val="24"/>
          <w:szCs w:val="24"/>
        </w:rPr>
      </w:pPr>
    </w:p>
    <w:p w:rsidR="00E8164C" w:rsidRDefault="003D5BBD" w:rsidP="00711F2A">
      <w:pPr>
        <w:pStyle w:val="Nadpis2"/>
        <w:numPr>
          <w:ilvl w:val="1"/>
          <w:numId w:val="8"/>
        </w:numPr>
        <w:ind w:left="426" w:hanging="426"/>
        <w:rPr>
          <w:rFonts w:cs="Times New Roman"/>
          <w:szCs w:val="24"/>
        </w:rPr>
      </w:pPr>
      <w:bookmarkStart w:id="8" w:name="_Toc331493587"/>
      <w:bookmarkStart w:id="9" w:name="_Toc359550630"/>
      <w:r>
        <w:rPr>
          <w:rFonts w:cs="Times New Roman"/>
          <w:szCs w:val="24"/>
        </w:rPr>
        <w:lastRenderedPageBreak/>
        <w:t>F</w:t>
      </w:r>
      <w:r w:rsidR="00711F2A" w:rsidRPr="00711F2A">
        <w:rPr>
          <w:rFonts w:cs="Times New Roman"/>
          <w:szCs w:val="24"/>
        </w:rPr>
        <w:t>inancovani</w:t>
      </w:r>
      <w:r>
        <w:rPr>
          <w:rFonts w:cs="Times New Roman"/>
          <w:szCs w:val="24"/>
        </w:rPr>
        <w:t>e</w:t>
      </w:r>
      <w:r w:rsidR="00711F2A" w:rsidRPr="00711F2A">
        <w:rPr>
          <w:rFonts w:cs="Times New Roman"/>
          <w:szCs w:val="24"/>
        </w:rPr>
        <w:t xml:space="preserve"> podnikov </w:t>
      </w:r>
      <w:bookmarkEnd w:id="8"/>
      <w:r w:rsidR="00854835">
        <w:rPr>
          <w:rFonts w:cs="Times New Roman"/>
          <w:szCs w:val="24"/>
        </w:rPr>
        <w:t>pôsobiacich v pôdohospodárstve</w:t>
      </w:r>
      <w:bookmarkEnd w:id="9"/>
    </w:p>
    <w:p w:rsidR="00E8164C" w:rsidRDefault="00E8164C" w:rsidP="00AC3B37">
      <w:pPr>
        <w:spacing w:after="0" w:line="240" w:lineRule="auto"/>
        <w:jc w:val="both"/>
        <w:rPr>
          <w:rFonts w:ascii="Times New Roman" w:hAnsi="Times New Roman" w:cs="Times New Roman"/>
          <w:sz w:val="24"/>
          <w:szCs w:val="24"/>
        </w:rPr>
      </w:pPr>
    </w:p>
    <w:p w:rsidR="003D5BBD" w:rsidRPr="003D5BBD" w:rsidRDefault="00AB50F4" w:rsidP="003D5BBD">
      <w:pPr>
        <w:pStyle w:val="Nadpis3"/>
        <w:numPr>
          <w:ilvl w:val="2"/>
          <w:numId w:val="8"/>
        </w:numPr>
        <w:rPr>
          <w:rFonts w:eastAsia="Calibri"/>
          <w:szCs w:val="24"/>
        </w:rPr>
      </w:pPr>
      <w:bookmarkStart w:id="10" w:name="_Toc359550631"/>
      <w:r>
        <w:rPr>
          <w:rFonts w:eastAsia="Calibri"/>
          <w:szCs w:val="24"/>
        </w:rPr>
        <w:t>Súčasný stav financovania podnikov v poľnohospodárstve</w:t>
      </w:r>
      <w:bookmarkEnd w:id="10"/>
      <w:r>
        <w:rPr>
          <w:rFonts w:eastAsia="Calibri"/>
          <w:szCs w:val="24"/>
        </w:rPr>
        <w:t xml:space="preserve"> </w:t>
      </w:r>
    </w:p>
    <w:p w:rsidR="00C34EF2" w:rsidRDefault="00C34EF2" w:rsidP="000B35C0">
      <w:pPr>
        <w:spacing w:after="0" w:line="240" w:lineRule="auto"/>
        <w:jc w:val="both"/>
        <w:rPr>
          <w:rFonts w:ascii="Times New Roman" w:hAnsi="Times New Roman" w:cs="Times New Roman"/>
          <w:sz w:val="24"/>
          <w:szCs w:val="24"/>
        </w:rPr>
      </w:pPr>
    </w:p>
    <w:p w:rsidR="00881395" w:rsidRDefault="000B35C0" w:rsidP="000B35C0">
      <w:pPr>
        <w:spacing w:after="0" w:line="240" w:lineRule="auto"/>
        <w:jc w:val="both"/>
        <w:rPr>
          <w:rFonts w:ascii="Times New Roman" w:hAnsi="Times New Roman" w:cs="Times New Roman"/>
          <w:sz w:val="24"/>
          <w:szCs w:val="24"/>
        </w:rPr>
      </w:pPr>
      <w:r w:rsidRPr="000B35C0">
        <w:rPr>
          <w:rFonts w:ascii="Times New Roman" w:hAnsi="Times New Roman" w:cs="Times New Roman"/>
          <w:sz w:val="24"/>
          <w:szCs w:val="24"/>
        </w:rPr>
        <w:t>Charakter podnikania v poľnohospodárstve si vyžaduje využívanie cudzích zdrojov</w:t>
      </w:r>
      <w:r w:rsidR="00881395">
        <w:rPr>
          <w:rFonts w:ascii="Times New Roman" w:hAnsi="Times New Roman" w:cs="Times New Roman"/>
          <w:sz w:val="24"/>
          <w:szCs w:val="24"/>
        </w:rPr>
        <w:t xml:space="preserve"> – dotácií a úverov</w:t>
      </w:r>
      <w:r w:rsidRPr="000B35C0">
        <w:rPr>
          <w:rFonts w:ascii="Times New Roman" w:hAnsi="Times New Roman" w:cs="Times New Roman"/>
          <w:sz w:val="24"/>
          <w:szCs w:val="24"/>
        </w:rPr>
        <w:t>. Kým náklady na zakladanie úrod alebo stáda, nákup hnojív a agrochemikálií sú vynakladané zväčša na začiatku sezóny, výnosy sú realizované s veľkým časovým odstupom až po pre</w:t>
      </w:r>
      <w:r>
        <w:rPr>
          <w:rFonts w:ascii="Times New Roman" w:hAnsi="Times New Roman" w:cs="Times New Roman"/>
          <w:sz w:val="24"/>
          <w:szCs w:val="24"/>
        </w:rPr>
        <w:t xml:space="preserve">daji úrody respektíve zvierat. </w:t>
      </w:r>
    </w:p>
    <w:p w:rsidR="00881395" w:rsidRDefault="00881395" w:rsidP="000B35C0">
      <w:pPr>
        <w:spacing w:after="0" w:line="240" w:lineRule="auto"/>
        <w:jc w:val="both"/>
        <w:rPr>
          <w:rFonts w:ascii="Times New Roman" w:hAnsi="Times New Roman" w:cs="Times New Roman"/>
          <w:sz w:val="24"/>
          <w:szCs w:val="24"/>
        </w:rPr>
      </w:pPr>
    </w:p>
    <w:p w:rsidR="00881395" w:rsidRPr="00881395" w:rsidRDefault="00881395" w:rsidP="00881395">
      <w:pPr>
        <w:spacing w:after="0" w:line="240" w:lineRule="auto"/>
        <w:jc w:val="both"/>
        <w:rPr>
          <w:rFonts w:ascii="Times New Roman" w:hAnsi="Times New Roman" w:cs="Times New Roman"/>
          <w:sz w:val="24"/>
          <w:szCs w:val="24"/>
        </w:rPr>
      </w:pPr>
      <w:r w:rsidRPr="00881395">
        <w:rPr>
          <w:rFonts w:ascii="Times New Roman" w:hAnsi="Times New Roman" w:cs="Times New Roman"/>
          <w:sz w:val="24"/>
          <w:szCs w:val="24"/>
        </w:rPr>
        <w:t xml:space="preserve">V súčasnosti sú poľnohospodári v EÚ a teda aj na Slovensku podporovaní v rámci SPP z dvoch pilierov. Pilier 1 pokrýva priame platby (jednotná platba na plochu – SAPS a viazané podpory) a spoločnú organizáciu trhov. Poskytovanie jednotnej platby a ďalších priamych podpôr je podmienené rešpektovaním noriem v oblasti životného prostredia, zdravia ľudí, zvierat a rastlín (bezpečnosť potravín) a životných podmienok zvierat. Okrem toho musia členské štáty zabezpečiť, aby poľnohospodárska pôda bola udržiavaná v dobrom stave z hľadiska poľnohospodárskych postupov a ochrany životného prostredia. Minimálne požiadavky sú koncipované na úrovni každého členského štátu, pri zohľadnení špecifických charakteristík príslušných oblastí, vrátane pôdnych a klimatických podmienok, existujúcich systémov hospodárenia, využitia pôdy, rotácie plodín, metód hospodárenia a štruktúry fariem. Opatrenia 1. pilieru sú, okrem trhových opatrení, pre členské štáty povinné a nevyžadujú spolufinancovanie. </w:t>
      </w:r>
    </w:p>
    <w:p w:rsidR="003D5BBD" w:rsidRDefault="003D5BBD" w:rsidP="00881395">
      <w:pPr>
        <w:spacing w:after="0" w:line="240" w:lineRule="auto"/>
        <w:jc w:val="both"/>
        <w:rPr>
          <w:rFonts w:ascii="Times New Roman" w:hAnsi="Times New Roman" w:cs="Times New Roman"/>
          <w:sz w:val="24"/>
          <w:szCs w:val="24"/>
        </w:rPr>
      </w:pPr>
    </w:p>
    <w:p w:rsidR="00881395" w:rsidRPr="00881395" w:rsidRDefault="00881395" w:rsidP="00881395">
      <w:pPr>
        <w:spacing w:after="0" w:line="240" w:lineRule="auto"/>
        <w:jc w:val="both"/>
        <w:rPr>
          <w:rFonts w:ascii="Times New Roman" w:hAnsi="Times New Roman" w:cs="Times New Roman"/>
          <w:sz w:val="24"/>
          <w:szCs w:val="24"/>
        </w:rPr>
      </w:pPr>
      <w:r w:rsidRPr="00881395">
        <w:rPr>
          <w:rFonts w:ascii="Times New Roman" w:hAnsi="Times New Roman" w:cs="Times New Roman"/>
          <w:sz w:val="24"/>
          <w:szCs w:val="24"/>
        </w:rPr>
        <w:t>Pilier 2 zabezpečuje zdroje poľnohospodárom a lesníkom prostredníctvom Programu rozvoja vidieka s cieľom zvýšiť konkurencieschopnosti pôdohospodárstva, poskytovať špecifické environmentálne verejné statky, podporovať diverzifikáciu výroby a kvalitu života na vidieku. Opatrenia 2. Pilieru, s výnimkou niektorých opatrení osi 2, dobrovoľné</w:t>
      </w:r>
      <w:r w:rsidR="003D5BBD">
        <w:rPr>
          <w:rFonts w:ascii="Times New Roman" w:hAnsi="Times New Roman" w:cs="Times New Roman"/>
          <w:sz w:val="24"/>
          <w:szCs w:val="24"/>
        </w:rPr>
        <w:t xml:space="preserve"> a sú</w:t>
      </w:r>
      <w:r w:rsidRPr="00881395">
        <w:rPr>
          <w:rFonts w:ascii="Times New Roman" w:hAnsi="Times New Roman" w:cs="Times New Roman"/>
          <w:sz w:val="24"/>
          <w:szCs w:val="24"/>
        </w:rPr>
        <w:t xml:space="preserve"> založené na projektovom princípe a spolufinancované z národnej úrovne.</w:t>
      </w:r>
    </w:p>
    <w:p w:rsidR="00881395" w:rsidRDefault="00881395" w:rsidP="00881395">
      <w:pPr>
        <w:pStyle w:val="Zkladntext"/>
        <w:keepNext/>
        <w:spacing w:after="0" w:line="240" w:lineRule="auto"/>
        <w:rPr>
          <w:rFonts w:ascii="Times New Roman" w:hAnsi="Times New Roman" w:cs="Times New Roman"/>
          <w:sz w:val="20"/>
          <w:szCs w:val="20"/>
        </w:rPr>
      </w:pPr>
    </w:p>
    <w:p w:rsidR="00881395" w:rsidRPr="00881395" w:rsidRDefault="00881395" w:rsidP="00881395">
      <w:pPr>
        <w:pStyle w:val="Zkladntext"/>
        <w:keepNext/>
        <w:spacing w:after="0" w:line="240" w:lineRule="auto"/>
        <w:rPr>
          <w:rFonts w:ascii="Times New Roman" w:hAnsi="Times New Roman" w:cs="Times New Roman"/>
          <w:sz w:val="20"/>
          <w:szCs w:val="20"/>
        </w:rPr>
      </w:pPr>
      <w:r>
        <w:rPr>
          <w:rFonts w:ascii="Times New Roman" w:hAnsi="Times New Roman" w:cs="Times New Roman"/>
          <w:sz w:val="20"/>
          <w:szCs w:val="20"/>
        </w:rPr>
        <w:t>Tab. č. 10</w:t>
      </w:r>
      <w:r w:rsidRPr="00A855A4">
        <w:rPr>
          <w:rFonts w:ascii="Times New Roman" w:hAnsi="Times New Roman" w:cs="Times New Roman"/>
          <w:sz w:val="20"/>
          <w:szCs w:val="20"/>
        </w:rPr>
        <w:t xml:space="preserve">: </w:t>
      </w:r>
      <w:r w:rsidRPr="00881395">
        <w:rPr>
          <w:rFonts w:ascii="Times New Roman" w:hAnsi="Times New Roman" w:cs="Times New Roman"/>
          <w:sz w:val="20"/>
          <w:szCs w:val="20"/>
        </w:rPr>
        <w:t>Štruktúra a vývoj podpôr do poľnohospodárstva v rokoch 2004 – 2011 (</w:t>
      </w:r>
      <w:r>
        <w:rPr>
          <w:rFonts w:ascii="Times New Roman" w:hAnsi="Times New Roman" w:cs="Times New Roman"/>
          <w:sz w:val="20"/>
          <w:szCs w:val="20"/>
        </w:rPr>
        <w:t>v mil. EUR</w:t>
      </w:r>
      <w:r w:rsidRPr="00881395">
        <w:rPr>
          <w:rFonts w:ascii="Times New Roman" w:hAnsi="Times New Roman" w:cs="Times New Roman"/>
          <w:sz w:val="20"/>
          <w:szCs w:val="20"/>
        </w:rPr>
        <w:t>)</w:t>
      </w:r>
    </w:p>
    <w:tbl>
      <w:tblPr>
        <w:tblW w:w="9094" w:type="dxa"/>
        <w:tblInd w:w="70" w:type="dxa"/>
        <w:tblCellMar>
          <w:left w:w="70" w:type="dxa"/>
          <w:right w:w="70" w:type="dxa"/>
        </w:tblCellMar>
        <w:tblLook w:val="00A0" w:firstRow="1" w:lastRow="0" w:firstColumn="1" w:lastColumn="0" w:noHBand="0" w:noVBand="0"/>
      </w:tblPr>
      <w:tblGrid>
        <w:gridCol w:w="3544"/>
        <w:gridCol w:w="660"/>
        <w:gridCol w:w="700"/>
        <w:gridCol w:w="660"/>
        <w:gridCol w:w="720"/>
        <w:gridCol w:w="680"/>
        <w:gridCol w:w="640"/>
        <w:gridCol w:w="700"/>
        <w:gridCol w:w="790"/>
      </w:tblGrid>
      <w:tr w:rsidR="00881395" w:rsidRPr="003D5BBD" w:rsidTr="003D5BBD">
        <w:trPr>
          <w:trHeight w:val="300"/>
        </w:trPr>
        <w:tc>
          <w:tcPr>
            <w:tcW w:w="3544" w:type="dxa"/>
            <w:tcBorders>
              <w:top w:val="single" w:sz="4" w:space="0" w:color="auto"/>
              <w:bottom w:val="single" w:sz="4" w:space="0" w:color="auto"/>
              <w:right w:val="single" w:sz="4" w:space="0" w:color="auto"/>
            </w:tcBorders>
            <w:shd w:val="clear" w:color="auto" w:fill="D9D9D9" w:themeFill="background1" w:themeFillShade="D9"/>
          </w:tcPr>
          <w:p w:rsidR="00881395" w:rsidRPr="003D5BBD" w:rsidRDefault="00881395" w:rsidP="00B86750">
            <w:pPr>
              <w:keepNext/>
              <w:tabs>
                <w:tab w:val="left" w:pos="709"/>
              </w:tabs>
              <w:spacing w:after="0" w:line="240" w:lineRule="auto"/>
              <w:rPr>
                <w:rFonts w:ascii="Times New Roman" w:hAnsi="Times New Roman"/>
                <w:b/>
                <w:bCs/>
                <w:sz w:val="20"/>
                <w:szCs w:val="20"/>
              </w:rPr>
            </w:pPr>
            <w:r w:rsidRPr="003D5BBD">
              <w:rPr>
                <w:rFonts w:ascii="Times New Roman" w:hAnsi="Times New Roman"/>
                <w:b/>
                <w:bCs/>
                <w:sz w:val="20"/>
                <w:szCs w:val="20"/>
              </w:rPr>
              <w:t>Druh podpory</w:t>
            </w:r>
          </w:p>
        </w:tc>
        <w:tc>
          <w:tcPr>
            <w:tcW w:w="660" w:type="dxa"/>
            <w:tcBorders>
              <w:top w:val="single" w:sz="4" w:space="0" w:color="auto"/>
              <w:left w:val="single" w:sz="4" w:space="0" w:color="auto"/>
              <w:bottom w:val="single" w:sz="4" w:space="0" w:color="auto"/>
            </w:tcBorders>
            <w:shd w:val="clear" w:color="auto" w:fill="D9D9D9" w:themeFill="background1" w:themeFillShade="D9"/>
            <w:vAlign w:val="center"/>
          </w:tcPr>
          <w:p w:rsidR="00881395" w:rsidRPr="003D5BBD" w:rsidRDefault="00881395" w:rsidP="00B86750">
            <w:pPr>
              <w:keepNext/>
              <w:tabs>
                <w:tab w:val="left" w:pos="709"/>
              </w:tabs>
              <w:spacing w:after="0" w:line="240" w:lineRule="auto"/>
              <w:jc w:val="center"/>
              <w:rPr>
                <w:rFonts w:ascii="Times New Roman" w:hAnsi="Times New Roman"/>
                <w:b/>
                <w:bCs/>
                <w:sz w:val="20"/>
                <w:szCs w:val="20"/>
              </w:rPr>
            </w:pPr>
            <w:r w:rsidRPr="003D5BBD">
              <w:rPr>
                <w:rFonts w:ascii="Times New Roman" w:hAnsi="Times New Roman"/>
                <w:b/>
                <w:bCs/>
                <w:sz w:val="20"/>
                <w:szCs w:val="20"/>
              </w:rPr>
              <w:t>2004</w:t>
            </w:r>
          </w:p>
        </w:tc>
        <w:tc>
          <w:tcPr>
            <w:tcW w:w="700" w:type="dxa"/>
            <w:tcBorders>
              <w:top w:val="single" w:sz="4" w:space="0" w:color="auto"/>
              <w:bottom w:val="single" w:sz="4" w:space="0" w:color="auto"/>
            </w:tcBorders>
            <w:shd w:val="clear" w:color="auto" w:fill="D9D9D9" w:themeFill="background1" w:themeFillShade="D9"/>
            <w:vAlign w:val="center"/>
          </w:tcPr>
          <w:p w:rsidR="00881395" w:rsidRPr="003D5BBD" w:rsidRDefault="00881395" w:rsidP="00B86750">
            <w:pPr>
              <w:keepNext/>
              <w:tabs>
                <w:tab w:val="left" w:pos="709"/>
              </w:tabs>
              <w:spacing w:after="0" w:line="240" w:lineRule="auto"/>
              <w:jc w:val="center"/>
              <w:rPr>
                <w:rFonts w:ascii="Times New Roman" w:hAnsi="Times New Roman"/>
                <w:b/>
                <w:bCs/>
                <w:sz w:val="20"/>
                <w:szCs w:val="20"/>
              </w:rPr>
            </w:pPr>
            <w:r w:rsidRPr="003D5BBD">
              <w:rPr>
                <w:rFonts w:ascii="Times New Roman" w:hAnsi="Times New Roman"/>
                <w:b/>
                <w:bCs/>
                <w:sz w:val="20"/>
                <w:szCs w:val="20"/>
              </w:rPr>
              <w:t>2005</w:t>
            </w:r>
          </w:p>
        </w:tc>
        <w:tc>
          <w:tcPr>
            <w:tcW w:w="660" w:type="dxa"/>
            <w:tcBorders>
              <w:top w:val="single" w:sz="4" w:space="0" w:color="auto"/>
              <w:bottom w:val="single" w:sz="4" w:space="0" w:color="auto"/>
            </w:tcBorders>
            <w:shd w:val="clear" w:color="auto" w:fill="D9D9D9" w:themeFill="background1" w:themeFillShade="D9"/>
            <w:vAlign w:val="center"/>
          </w:tcPr>
          <w:p w:rsidR="00881395" w:rsidRPr="003D5BBD" w:rsidRDefault="00881395" w:rsidP="00B86750">
            <w:pPr>
              <w:keepNext/>
              <w:tabs>
                <w:tab w:val="left" w:pos="709"/>
              </w:tabs>
              <w:spacing w:after="0" w:line="240" w:lineRule="auto"/>
              <w:jc w:val="center"/>
              <w:rPr>
                <w:rFonts w:ascii="Times New Roman" w:hAnsi="Times New Roman"/>
                <w:b/>
                <w:bCs/>
                <w:sz w:val="20"/>
                <w:szCs w:val="20"/>
              </w:rPr>
            </w:pPr>
            <w:r w:rsidRPr="003D5BBD">
              <w:rPr>
                <w:rFonts w:ascii="Times New Roman" w:hAnsi="Times New Roman"/>
                <w:b/>
                <w:bCs/>
                <w:sz w:val="20"/>
                <w:szCs w:val="20"/>
              </w:rPr>
              <w:t>2006</w:t>
            </w:r>
          </w:p>
        </w:tc>
        <w:tc>
          <w:tcPr>
            <w:tcW w:w="720" w:type="dxa"/>
            <w:tcBorders>
              <w:top w:val="single" w:sz="4" w:space="0" w:color="auto"/>
              <w:bottom w:val="single" w:sz="4" w:space="0" w:color="auto"/>
            </w:tcBorders>
            <w:shd w:val="clear" w:color="auto" w:fill="D9D9D9" w:themeFill="background1" w:themeFillShade="D9"/>
            <w:vAlign w:val="center"/>
          </w:tcPr>
          <w:p w:rsidR="00881395" w:rsidRPr="003D5BBD" w:rsidRDefault="00881395" w:rsidP="00B86750">
            <w:pPr>
              <w:keepNext/>
              <w:tabs>
                <w:tab w:val="left" w:pos="709"/>
              </w:tabs>
              <w:spacing w:after="0" w:line="240" w:lineRule="auto"/>
              <w:jc w:val="center"/>
              <w:rPr>
                <w:rFonts w:ascii="Times New Roman" w:hAnsi="Times New Roman"/>
                <w:b/>
                <w:bCs/>
                <w:sz w:val="20"/>
                <w:szCs w:val="20"/>
              </w:rPr>
            </w:pPr>
            <w:r w:rsidRPr="003D5BBD">
              <w:rPr>
                <w:rFonts w:ascii="Times New Roman" w:hAnsi="Times New Roman"/>
                <w:b/>
                <w:bCs/>
                <w:sz w:val="20"/>
                <w:szCs w:val="20"/>
              </w:rPr>
              <w:t>2007</w:t>
            </w:r>
          </w:p>
        </w:tc>
        <w:tc>
          <w:tcPr>
            <w:tcW w:w="680" w:type="dxa"/>
            <w:tcBorders>
              <w:top w:val="single" w:sz="4" w:space="0" w:color="auto"/>
              <w:bottom w:val="single" w:sz="4" w:space="0" w:color="auto"/>
            </w:tcBorders>
            <w:shd w:val="clear" w:color="auto" w:fill="D9D9D9" w:themeFill="background1" w:themeFillShade="D9"/>
            <w:vAlign w:val="center"/>
          </w:tcPr>
          <w:p w:rsidR="00881395" w:rsidRPr="003D5BBD" w:rsidRDefault="00881395" w:rsidP="00B86750">
            <w:pPr>
              <w:keepNext/>
              <w:tabs>
                <w:tab w:val="left" w:pos="709"/>
              </w:tabs>
              <w:spacing w:after="0" w:line="240" w:lineRule="auto"/>
              <w:jc w:val="center"/>
              <w:rPr>
                <w:rFonts w:ascii="Times New Roman" w:hAnsi="Times New Roman"/>
                <w:b/>
                <w:bCs/>
                <w:sz w:val="20"/>
                <w:szCs w:val="20"/>
              </w:rPr>
            </w:pPr>
            <w:r w:rsidRPr="003D5BBD">
              <w:rPr>
                <w:rFonts w:ascii="Times New Roman" w:hAnsi="Times New Roman"/>
                <w:b/>
                <w:bCs/>
                <w:sz w:val="20"/>
                <w:szCs w:val="20"/>
              </w:rPr>
              <w:t>2008</w:t>
            </w:r>
          </w:p>
        </w:tc>
        <w:tc>
          <w:tcPr>
            <w:tcW w:w="640" w:type="dxa"/>
            <w:tcBorders>
              <w:top w:val="single" w:sz="4" w:space="0" w:color="auto"/>
              <w:bottom w:val="single" w:sz="4" w:space="0" w:color="auto"/>
            </w:tcBorders>
            <w:shd w:val="clear" w:color="auto" w:fill="D9D9D9" w:themeFill="background1" w:themeFillShade="D9"/>
            <w:vAlign w:val="center"/>
          </w:tcPr>
          <w:p w:rsidR="00881395" w:rsidRPr="003D5BBD" w:rsidRDefault="00881395" w:rsidP="00B86750">
            <w:pPr>
              <w:keepNext/>
              <w:tabs>
                <w:tab w:val="left" w:pos="709"/>
              </w:tabs>
              <w:spacing w:after="0" w:line="240" w:lineRule="auto"/>
              <w:jc w:val="center"/>
              <w:rPr>
                <w:rFonts w:ascii="Times New Roman" w:hAnsi="Times New Roman"/>
                <w:b/>
                <w:bCs/>
                <w:sz w:val="20"/>
                <w:szCs w:val="20"/>
              </w:rPr>
            </w:pPr>
            <w:r w:rsidRPr="003D5BBD">
              <w:rPr>
                <w:rFonts w:ascii="Times New Roman" w:hAnsi="Times New Roman"/>
                <w:b/>
                <w:bCs/>
                <w:sz w:val="20"/>
                <w:szCs w:val="20"/>
              </w:rPr>
              <w:t>2009</w:t>
            </w:r>
          </w:p>
        </w:tc>
        <w:tc>
          <w:tcPr>
            <w:tcW w:w="700" w:type="dxa"/>
            <w:tcBorders>
              <w:top w:val="single" w:sz="4" w:space="0" w:color="auto"/>
              <w:bottom w:val="single" w:sz="4" w:space="0" w:color="auto"/>
            </w:tcBorders>
            <w:shd w:val="clear" w:color="auto" w:fill="D9D9D9" w:themeFill="background1" w:themeFillShade="D9"/>
            <w:noWrap/>
            <w:vAlign w:val="center"/>
          </w:tcPr>
          <w:p w:rsidR="00881395" w:rsidRPr="003D5BBD" w:rsidRDefault="00881395" w:rsidP="00B86750">
            <w:pPr>
              <w:keepNext/>
              <w:tabs>
                <w:tab w:val="left" w:pos="709"/>
              </w:tabs>
              <w:spacing w:after="0" w:line="240" w:lineRule="auto"/>
              <w:jc w:val="center"/>
              <w:rPr>
                <w:rFonts w:ascii="Times New Roman" w:hAnsi="Times New Roman"/>
                <w:b/>
                <w:bCs/>
                <w:sz w:val="20"/>
                <w:szCs w:val="20"/>
              </w:rPr>
            </w:pPr>
            <w:r w:rsidRPr="003D5BBD">
              <w:rPr>
                <w:rFonts w:ascii="Times New Roman" w:hAnsi="Times New Roman"/>
                <w:b/>
                <w:bCs/>
                <w:sz w:val="20"/>
                <w:szCs w:val="20"/>
              </w:rPr>
              <w:t>2010</w:t>
            </w:r>
          </w:p>
        </w:tc>
        <w:tc>
          <w:tcPr>
            <w:tcW w:w="790" w:type="dxa"/>
            <w:tcBorders>
              <w:top w:val="single" w:sz="4" w:space="0" w:color="auto"/>
              <w:bottom w:val="single" w:sz="4" w:space="0" w:color="auto"/>
            </w:tcBorders>
            <w:shd w:val="clear" w:color="auto" w:fill="D9D9D9" w:themeFill="background1" w:themeFillShade="D9"/>
            <w:noWrap/>
            <w:vAlign w:val="center"/>
          </w:tcPr>
          <w:p w:rsidR="00881395" w:rsidRPr="003D5BBD" w:rsidRDefault="00590A93" w:rsidP="00B86750">
            <w:pPr>
              <w:keepNext/>
              <w:tabs>
                <w:tab w:val="left" w:pos="709"/>
              </w:tabs>
              <w:spacing w:after="0" w:line="240" w:lineRule="auto"/>
              <w:jc w:val="center"/>
              <w:rPr>
                <w:rFonts w:ascii="Times New Roman" w:hAnsi="Times New Roman"/>
                <w:b/>
                <w:bCs/>
                <w:sz w:val="20"/>
                <w:szCs w:val="20"/>
              </w:rPr>
            </w:pPr>
            <w:r>
              <w:rPr>
                <w:rFonts w:ascii="Times New Roman" w:hAnsi="Times New Roman"/>
                <w:b/>
                <w:bCs/>
                <w:sz w:val="20"/>
                <w:szCs w:val="20"/>
              </w:rPr>
              <w:t>2011</w:t>
            </w:r>
          </w:p>
        </w:tc>
      </w:tr>
      <w:tr w:rsidR="00881395" w:rsidRPr="003D5BBD" w:rsidTr="003D5BBD">
        <w:trPr>
          <w:trHeight w:val="300"/>
        </w:trPr>
        <w:tc>
          <w:tcPr>
            <w:tcW w:w="3544" w:type="dxa"/>
            <w:tcBorders>
              <w:top w:val="single" w:sz="4" w:space="0" w:color="auto"/>
              <w:right w:val="single" w:sz="4" w:space="0" w:color="auto"/>
            </w:tcBorders>
          </w:tcPr>
          <w:p w:rsidR="00881395" w:rsidRPr="003D5BBD" w:rsidRDefault="00881395" w:rsidP="00B86750">
            <w:pPr>
              <w:keepNext/>
              <w:tabs>
                <w:tab w:val="left" w:pos="709"/>
              </w:tabs>
              <w:spacing w:after="0" w:line="240" w:lineRule="auto"/>
              <w:rPr>
                <w:rFonts w:ascii="Times New Roman" w:hAnsi="Times New Roman"/>
                <w:bCs/>
                <w:sz w:val="20"/>
                <w:szCs w:val="20"/>
              </w:rPr>
            </w:pPr>
            <w:r w:rsidRPr="003D5BBD">
              <w:rPr>
                <w:rFonts w:ascii="Times New Roman" w:hAnsi="Times New Roman"/>
                <w:bCs/>
                <w:sz w:val="20"/>
                <w:szCs w:val="20"/>
              </w:rPr>
              <w:t>Trhovo orientované výdavky</w:t>
            </w:r>
          </w:p>
        </w:tc>
        <w:tc>
          <w:tcPr>
            <w:tcW w:w="660" w:type="dxa"/>
            <w:tcBorders>
              <w:top w:val="single" w:sz="4" w:space="0" w:color="auto"/>
              <w:left w:val="single" w:sz="4" w:space="0" w:color="auto"/>
            </w:tcBorders>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10,6</w:t>
            </w:r>
          </w:p>
        </w:tc>
        <w:tc>
          <w:tcPr>
            <w:tcW w:w="700" w:type="dxa"/>
            <w:tcBorders>
              <w:top w:val="single" w:sz="4" w:space="0" w:color="auto"/>
            </w:tcBorders>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127,2</w:t>
            </w:r>
          </w:p>
        </w:tc>
        <w:tc>
          <w:tcPr>
            <w:tcW w:w="660" w:type="dxa"/>
            <w:tcBorders>
              <w:top w:val="single" w:sz="4" w:space="0" w:color="auto"/>
            </w:tcBorders>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30,9</w:t>
            </w:r>
          </w:p>
        </w:tc>
        <w:tc>
          <w:tcPr>
            <w:tcW w:w="720" w:type="dxa"/>
            <w:tcBorders>
              <w:top w:val="single" w:sz="4" w:space="0" w:color="auto"/>
            </w:tcBorders>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7,7</w:t>
            </w:r>
          </w:p>
        </w:tc>
        <w:tc>
          <w:tcPr>
            <w:tcW w:w="680" w:type="dxa"/>
            <w:tcBorders>
              <w:top w:val="single" w:sz="4" w:space="0" w:color="auto"/>
            </w:tcBorders>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7,1</w:t>
            </w:r>
          </w:p>
        </w:tc>
        <w:tc>
          <w:tcPr>
            <w:tcW w:w="640" w:type="dxa"/>
            <w:tcBorders>
              <w:top w:val="single" w:sz="4" w:space="0" w:color="auto"/>
            </w:tcBorders>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39,8</w:t>
            </w:r>
          </w:p>
        </w:tc>
        <w:tc>
          <w:tcPr>
            <w:tcW w:w="700" w:type="dxa"/>
            <w:tcBorders>
              <w:top w:val="single" w:sz="4" w:space="0" w:color="auto"/>
            </w:tcBorders>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13,6</w:t>
            </w:r>
          </w:p>
        </w:tc>
        <w:tc>
          <w:tcPr>
            <w:tcW w:w="790" w:type="dxa"/>
            <w:tcBorders>
              <w:top w:val="single" w:sz="4" w:space="0" w:color="auto"/>
            </w:tcBorders>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13,1</w:t>
            </w:r>
          </w:p>
        </w:tc>
      </w:tr>
      <w:tr w:rsidR="00881395" w:rsidRPr="003D5BBD" w:rsidTr="003D5BBD">
        <w:trPr>
          <w:trHeight w:val="300"/>
        </w:trPr>
        <w:tc>
          <w:tcPr>
            <w:tcW w:w="3544" w:type="dxa"/>
            <w:tcBorders>
              <w:right w:val="single" w:sz="4" w:space="0" w:color="auto"/>
            </w:tcBorders>
            <w:shd w:val="clear" w:color="auto" w:fill="F2F2F2" w:themeFill="background1" w:themeFillShade="F2"/>
          </w:tcPr>
          <w:p w:rsidR="00881395" w:rsidRPr="003D5BBD" w:rsidRDefault="00881395" w:rsidP="00B86750">
            <w:pPr>
              <w:keepNext/>
              <w:tabs>
                <w:tab w:val="left" w:pos="709"/>
              </w:tabs>
              <w:spacing w:after="0" w:line="240" w:lineRule="auto"/>
              <w:rPr>
                <w:rFonts w:ascii="Times New Roman" w:hAnsi="Times New Roman"/>
                <w:bCs/>
                <w:sz w:val="20"/>
                <w:szCs w:val="20"/>
              </w:rPr>
            </w:pPr>
            <w:r w:rsidRPr="003D5BBD">
              <w:rPr>
                <w:rFonts w:ascii="Times New Roman" w:hAnsi="Times New Roman"/>
                <w:bCs/>
                <w:sz w:val="20"/>
                <w:szCs w:val="20"/>
              </w:rPr>
              <w:t>Intervenčné opatrenia</w:t>
            </w:r>
          </w:p>
        </w:tc>
        <w:tc>
          <w:tcPr>
            <w:tcW w:w="660" w:type="dxa"/>
            <w:tcBorders>
              <w:left w:val="single" w:sz="4" w:space="0" w:color="auto"/>
            </w:tcBorders>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c>
          <w:tcPr>
            <w:tcW w:w="70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c>
          <w:tcPr>
            <w:tcW w:w="66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111,2</w:t>
            </w:r>
          </w:p>
        </w:tc>
        <w:tc>
          <w:tcPr>
            <w:tcW w:w="72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c>
          <w:tcPr>
            <w:tcW w:w="68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c>
          <w:tcPr>
            <w:tcW w:w="64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c>
          <w:tcPr>
            <w:tcW w:w="700" w:type="dxa"/>
            <w:shd w:val="clear" w:color="auto" w:fill="F2F2F2" w:themeFill="background1" w:themeFillShade="F2"/>
            <w:noWrap/>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c>
          <w:tcPr>
            <w:tcW w:w="790" w:type="dxa"/>
            <w:shd w:val="clear" w:color="auto" w:fill="F2F2F2" w:themeFill="background1" w:themeFillShade="F2"/>
            <w:noWrap/>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r>
      <w:tr w:rsidR="00881395" w:rsidRPr="003D5BBD" w:rsidTr="003D5BBD">
        <w:trPr>
          <w:trHeight w:val="300"/>
        </w:trPr>
        <w:tc>
          <w:tcPr>
            <w:tcW w:w="3544" w:type="dxa"/>
            <w:tcBorders>
              <w:right w:val="single" w:sz="4" w:space="0" w:color="auto"/>
            </w:tcBorders>
          </w:tcPr>
          <w:p w:rsidR="00881395" w:rsidRPr="003D5BBD" w:rsidRDefault="00881395" w:rsidP="00B86750">
            <w:pPr>
              <w:keepNext/>
              <w:tabs>
                <w:tab w:val="left" w:pos="709"/>
              </w:tabs>
              <w:spacing w:after="0" w:line="240" w:lineRule="auto"/>
              <w:rPr>
                <w:rFonts w:ascii="Times New Roman" w:hAnsi="Times New Roman"/>
                <w:bCs/>
                <w:sz w:val="20"/>
                <w:szCs w:val="20"/>
              </w:rPr>
            </w:pPr>
            <w:r w:rsidRPr="003D5BBD">
              <w:rPr>
                <w:rFonts w:ascii="Times New Roman" w:hAnsi="Times New Roman"/>
                <w:bCs/>
                <w:sz w:val="20"/>
                <w:szCs w:val="20"/>
              </w:rPr>
              <w:t>Priame platby</w:t>
            </w:r>
          </w:p>
        </w:tc>
        <w:tc>
          <w:tcPr>
            <w:tcW w:w="660" w:type="dxa"/>
            <w:tcBorders>
              <w:left w:val="single" w:sz="4" w:space="0" w:color="auto"/>
            </w:tcBorders>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239,9</w:t>
            </w:r>
          </w:p>
        </w:tc>
        <w:tc>
          <w:tcPr>
            <w:tcW w:w="700" w:type="dxa"/>
            <w:noWrap/>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215,2</w:t>
            </w:r>
          </w:p>
        </w:tc>
        <w:tc>
          <w:tcPr>
            <w:tcW w:w="660" w:type="dxa"/>
            <w:noWrap/>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229,6</w:t>
            </w:r>
          </w:p>
        </w:tc>
        <w:tc>
          <w:tcPr>
            <w:tcW w:w="720" w:type="dxa"/>
            <w:noWrap/>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242,1</w:t>
            </w:r>
          </w:p>
        </w:tc>
        <w:tc>
          <w:tcPr>
            <w:tcW w:w="680" w:type="dxa"/>
            <w:noWrap/>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370,4</w:t>
            </w:r>
          </w:p>
        </w:tc>
        <w:tc>
          <w:tcPr>
            <w:tcW w:w="640" w:type="dxa"/>
            <w:noWrap/>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364,1</w:t>
            </w:r>
          </w:p>
        </w:tc>
        <w:tc>
          <w:tcPr>
            <w:tcW w:w="700" w:type="dxa"/>
            <w:noWrap/>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337,6</w:t>
            </w:r>
          </w:p>
        </w:tc>
        <w:tc>
          <w:tcPr>
            <w:tcW w:w="790" w:type="dxa"/>
            <w:noWrap/>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365,2</w:t>
            </w:r>
          </w:p>
        </w:tc>
      </w:tr>
      <w:tr w:rsidR="00881395" w:rsidRPr="003D5BBD" w:rsidTr="003D5BBD">
        <w:trPr>
          <w:trHeight w:val="300"/>
        </w:trPr>
        <w:tc>
          <w:tcPr>
            <w:tcW w:w="3544" w:type="dxa"/>
            <w:tcBorders>
              <w:right w:val="single" w:sz="4" w:space="0" w:color="auto"/>
            </w:tcBorders>
            <w:shd w:val="clear" w:color="auto" w:fill="F2F2F2" w:themeFill="background1" w:themeFillShade="F2"/>
          </w:tcPr>
          <w:p w:rsidR="00881395" w:rsidRPr="003D5BBD" w:rsidRDefault="00881395" w:rsidP="00B86750">
            <w:pPr>
              <w:keepNext/>
              <w:tabs>
                <w:tab w:val="left" w:pos="709"/>
              </w:tabs>
              <w:spacing w:after="0" w:line="240" w:lineRule="auto"/>
              <w:rPr>
                <w:rFonts w:ascii="Times New Roman" w:hAnsi="Times New Roman"/>
                <w:bCs/>
                <w:sz w:val="20"/>
                <w:szCs w:val="20"/>
              </w:rPr>
            </w:pPr>
            <w:r w:rsidRPr="003D5BBD">
              <w:rPr>
                <w:rFonts w:ascii="Times New Roman" w:hAnsi="Times New Roman"/>
                <w:bCs/>
                <w:sz w:val="20"/>
                <w:szCs w:val="20"/>
              </w:rPr>
              <w:t xml:space="preserve">Rozvoj vidieka (bez  </w:t>
            </w:r>
            <w:proofErr w:type="spellStart"/>
            <w:r w:rsidRPr="003D5BBD">
              <w:rPr>
                <w:rFonts w:ascii="Times New Roman" w:hAnsi="Times New Roman"/>
                <w:bCs/>
                <w:sz w:val="20"/>
                <w:szCs w:val="20"/>
              </w:rPr>
              <w:t>SAPARD-u</w:t>
            </w:r>
            <w:proofErr w:type="spellEnd"/>
            <w:r w:rsidRPr="003D5BBD">
              <w:rPr>
                <w:rFonts w:ascii="Times New Roman" w:hAnsi="Times New Roman"/>
                <w:bCs/>
                <w:sz w:val="20"/>
                <w:szCs w:val="20"/>
              </w:rPr>
              <w:t>)</w:t>
            </w:r>
          </w:p>
        </w:tc>
        <w:tc>
          <w:tcPr>
            <w:tcW w:w="660" w:type="dxa"/>
            <w:tcBorders>
              <w:left w:val="single" w:sz="4" w:space="0" w:color="auto"/>
            </w:tcBorders>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87,1</w:t>
            </w:r>
          </w:p>
        </w:tc>
        <w:tc>
          <w:tcPr>
            <w:tcW w:w="70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187,0</w:t>
            </w:r>
          </w:p>
        </w:tc>
        <w:tc>
          <w:tcPr>
            <w:tcW w:w="66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251,9</w:t>
            </w:r>
          </w:p>
        </w:tc>
        <w:tc>
          <w:tcPr>
            <w:tcW w:w="72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295,7</w:t>
            </w:r>
          </w:p>
        </w:tc>
        <w:tc>
          <w:tcPr>
            <w:tcW w:w="68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273,6</w:t>
            </w:r>
          </w:p>
        </w:tc>
        <w:tc>
          <w:tcPr>
            <w:tcW w:w="64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433,5</w:t>
            </w:r>
          </w:p>
        </w:tc>
        <w:tc>
          <w:tcPr>
            <w:tcW w:w="70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481,1</w:t>
            </w:r>
          </w:p>
        </w:tc>
        <w:tc>
          <w:tcPr>
            <w:tcW w:w="79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408,5</w:t>
            </w:r>
          </w:p>
        </w:tc>
      </w:tr>
      <w:tr w:rsidR="00881395" w:rsidRPr="003D5BBD" w:rsidTr="003D5BBD">
        <w:trPr>
          <w:trHeight w:val="300"/>
        </w:trPr>
        <w:tc>
          <w:tcPr>
            <w:tcW w:w="3544" w:type="dxa"/>
            <w:tcBorders>
              <w:right w:val="single" w:sz="4" w:space="0" w:color="auto"/>
            </w:tcBorders>
          </w:tcPr>
          <w:p w:rsidR="00881395" w:rsidRPr="003D5BBD" w:rsidRDefault="003D5BBD" w:rsidP="00B86750">
            <w:pPr>
              <w:keepNext/>
              <w:tabs>
                <w:tab w:val="left" w:pos="709"/>
              </w:tabs>
              <w:spacing w:after="0" w:line="240" w:lineRule="auto"/>
              <w:rPr>
                <w:rFonts w:ascii="Times New Roman" w:hAnsi="Times New Roman"/>
                <w:bCs/>
                <w:sz w:val="20"/>
                <w:szCs w:val="20"/>
              </w:rPr>
            </w:pPr>
            <w:r>
              <w:rPr>
                <w:rFonts w:ascii="Times New Roman" w:hAnsi="Times New Roman"/>
                <w:bCs/>
                <w:sz w:val="20"/>
                <w:szCs w:val="20"/>
              </w:rPr>
              <w:t>Operačný program rybné hospodárstvo</w:t>
            </w:r>
          </w:p>
        </w:tc>
        <w:tc>
          <w:tcPr>
            <w:tcW w:w="660" w:type="dxa"/>
            <w:tcBorders>
              <w:left w:val="single" w:sz="4" w:space="0" w:color="auto"/>
            </w:tcBorders>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c>
          <w:tcPr>
            <w:tcW w:w="700" w:type="dxa"/>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c>
          <w:tcPr>
            <w:tcW w:w="660" w:type="dxa"/>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c>
          <w:tcPr>
            <w:tcW w:w="720" w:type="dxa"/>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c>
          <w:tcPr>
            <w:tcW w:w="680" w:type="dxa"/>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c>
          <w:tcPr>
            <w:tcW w:w="640" w:type="dxa"/>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0,5</w:t>
            </w:r>
          </w:p>
        </w:tc>
        <w:tc>
          <w:tcPr>
            <w:tcW w:w="700" w:type="dxa"/>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2,0</w:t>
            </w:r>
          </w:p>
        </w:tc>
        <w:tc>
          <w:tcPr>
            <w:tcW w:w="790" w:type="dxa"/>
            <w:noWrap/>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1,7</w:t>
            </w:r>
          </w:p>
        </w:tc>
      </w:tr>
      <w:tr w:rsidR="00881395" w:rsidRPr="003D5BBD" w:rsidTr="003D5BBD">
        <w:trPr>
          <w:trHeight w:val="300"/>
        </w:trPr>
        <w:tc>
          <w:tcPr>
            <w:tcW w:w="3544" w:type="dxa"/>
            <w:tcBorders>
              <w:right w:val="single" w:sz="4" w:space="0" w:color="auto"/>
            </w:tcBorders>
            <w:shd w:val="clear" w:color="auto" w:fill="F2F2F2" w:themeFill="background1" w:themeFillShade="F2"/>
          </w:tcPr>
          <w:p w:rsidR="00881395" w:rsidRPr="003D5BBD" w:rsidRDefault="00881395" w:rsidP="00B86750">
            <w:pPr>
              <w:keepNext/>
              <w:tabs>
                <w:tab w:val="left" w:pos="709"/>
              </w:tabs>
              <w:spacing w:after="0" w:line="240" w:lineRule="auto"/>
              <w:rPr>
                <w:rFonts w:ascii="Times New Roman" w:hAnsi="Times New Roman"/>
                <w:bCs/>
                <w:sz w:val="20"/>
                <w:szCs w:val="20"/>
              </w:rPr>
            </w:pPr>
            <w:r w:rsidRPr="003D5BBD">
              <w:rPr>
                <w:rFonts w:ascii="Times New Roman" w:hAnsi="Times New Roman"/>
                <w:bCs/>
                <w:sz w:val="20"/>
                <w:szCs w:val="20"/>
              </w:rPr>
              <w:t>Štátna pomoc, národné podpory</w:t>
            </w:r>
          </w:p>
        </w:tc>
        <w:tc>
          <w:tcPr>
            <w:tcW w:w="660" w:type="dxa"/>
            <w:tcBorders>
              <w:left w:val="single" w:sz="4" w:space="0" w:color="auto"/>
            </w:tcBorders>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11,0</w:t>
            </w:r>
          </w:p>
        </w:tc>
        <w:tc>
          <w:tcPr>
            <w:tcW w:w="70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10,1</w:t>
            </w:r>
          </w:p>
        </w:tc>
        <w:tc>
          <w:tcPr>
            <w:tcW w:w="66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16,4</w:t>
            </w:r>
          </w:p>
        </w:tc>
        <w:tc>
          <w:tcPr>
            <w:tcW w:w="72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9,8</w:t>
            </w:r>
          </w:p>
        </w:tc>
        <w:tc>
          <w:tcPr>
            <w:tcW w:w="68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9,1</w:t>
            </w:r>
          </w:p>
        </w:tc>
        <w:tc>
          <w:tcPr>
            <w:tcW w:w="64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22,4</w:t>
            </w:r>
          </w:p>
        </w:tc>
        <w:tc>
          <w:tcPr>
            <w:tcW w:w="70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18,9</w:t>
            </w:r>
          </w:p>
        </w:tc>
        <w:tc>
          <w:tcPr>
            <w:tcW w:w="790" w:type="dxa"/>
            <w:shd w:val="clear" w:color="auto" w:fill="F2F2F2" w:themeFill="background1" w:themeFillShade="F2"/>
            <w:noWrap/>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7,9</w:t>
            </w:r>
          </w:p>
        </w:tc>
      </w:tr>
      <w:tr w:rsidR="00881395" w:rsidRPr="003D5BBD" w:rsidTr="003D5BBD">
        <w:trPr>
          <w:trHeight w:val="300"/>
        </w:trPr>
        <w:tc>
          <w:tcPr>
            <w:tcW w:w="3544" w:type="dxa"/>
            <w:tcBorders>
              <w:right w:val="single" w:sz="4" w:space="0" w:color="auto"/>
            </w:tcBorders>
          </w:tcPr>
          <w:p w:rsidR="00881395" w:rsidRPr="003D5BBD" w:rsidRDefault="00881395" w:rsidP="00B86750">
            <w:pPr>
              <w:keepNext/>
              <w:tabs>
                <w:tab w:val="left" w:pos="709"/>
              </w:tabs>
              <w:spacing w:after="0" w:line="240" w:lineRule="auto"/>
              <w:rPr>
                <w:rFonts w:ascii="Times New Roman" w:hAnsi="Times New Roman"/>
                <w:bCs/>
                <w:sz w:val="20"/>
                <w:szCs w:val="20"/>
              </w:rPr>
            </w:pPr>
            <w:r w:rsidRPr="003D5BBD">
              <w:rPr>
                <w:rFonts w:ascii="Times New Roman" w:hAnsi="Times New Roman"/>
                <w:bCs/>
                <w:sz w:val="20"/>
                <w:szCs w:val="20"/>
              </w:rPr>
              <w:t>Program SAPARD</w:t>
            </w:r>
          </w:p>
        </w:tc>
        <w:tc>
          <w:tcPr>
            <w:tcW w:w="660" w:type="dxa"/>
            <w:tcBorders>
              <w:left w:val="single" w:sz="4" w:space="0" w:color="auto"/>
            </w:tcBorders>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50,4</w:t>
            </w:r>
          </w:p>
        </w:tc>
        <w:tc>
          <w:tcPr>
            <w:tcW w:w="700" w:type="dxa"/>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54,2</w:t>
            </w:r>
          </w:p>
        </w:tc>
        <w:tc>
          <w:tcPr>
            <w:tcW w:w="660" w:type="dxa"/>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19,9</w:t>
            </w:r>
          </w:p>
        </w:tc>
        <w:tc>
          <w:tcPr>
            <w:tcW w:w="720" w:type="dxa"/>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c>
          <w:tcPr>
            <w:tcW w:w="680" w:type="dxa"/>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c>
          <w:tcPr>
            <w:tcW w:w="640" w:type="dxa"/>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c>
          <w:tcPr>
            <w:tcW w:w="700" w:type="dxa"/>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c>
          <w:tcPr>
            <w:tcW w:w="790" w:type="dxa"/>
            <w:noWrap/>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r>
      <w:tr w:rsidR="00881395" w:rsidRPr="003D5BBD" w:rsidTr="003D5BBD">
        <w:trPr>
          <w:trHeight w:val="300"/>
        </w:trPr>
        <w:tc>
          <w:tcPr>
            <w:tcW w:w="3544" w:type="dxa"/>
            <w:tcBorders>
              <w:right w:val="single" w:sz="4" w:space="0" w:color="auto"/>
            </w:tcBorders>
            <w:shd w:val="clear" w:color="auto" w:fill="F2F2F2" w:themeFill="background1" w:themeFillShade="F2"/>
          </w:tcPr>
          <w:p w:rsidR="00881395" w:rsidRPr="003D5BBD" w:rsidRDefault="00163323" w:rsidP="00B86750">
            <w:pPr>
              <w:keepNext/>
              <w:tabs>
                <w:tab w:val="left" w:pos="709"/>
              </w:tabs>
              <w:spacing w:after="0" w:line="240" w:lineRule="auto"/>
              <w:rPr>
                <w:rFonts w:ascii="Times New Roman" w:hAnsi="Times New Roman"/>
                <w:bCs/>
                <w:sz w:val="20"/>
                <w:szCs w:val="20"/>
              </w:rPr>
            </w:pPr>
            <w:r>
              <w:rPr>
                <w:rFonts w:ascii="Times New Roman" w:hAnsi="Times New Roman"/>
                <w:bCs/>
                <w:sz w:val="20"/>
                <w:szCs w:val="20"/>
              </w:rPr>
              <w:t xml:space="preserve">Všeobecné služby z </w:t>
            </w:r>
            <w:proofErr w:type="spellStart"/>
            <w:r>
              <w:rPr>
                <w:rFonts w:ascii="Times New Roman" w:hAnsi="Times New Roman"/>
                <w:bCs/>
                <w:sz w:val="20"/>
                <w:szCs w:val="20"/>
              </w:rPr>
              <w:t>rozp</w:t>
            </w:r>
            <w:proofErr w:type="spellEnd"/>
            <w:r>
              <w:rPr>
                <w:rFonts w:ascii="Times New Roman" w:hAnsi="Times New Roman"/>
                <w:bCs/>
                <w:sz w:val="20"/>
                <w:szCs w:val="20"/>
              </w:rPr>
              <w:t>. k</w:t>
            </w:r>
            <w:r w:rsidR="00881395" w:rsidRPr="003D5BBD">
              <w:rPr>
                <w:rFonts w:ascii="Times New Roman" w:hAnsi="Times New Roman"/>
                <w:bCs/>
                <w:sz w:val="20"/>
                <w:szCs w:val="20"/>
              </w:rPr>
              <w:t>apitoly</w:t>
            </w:r>
          </w:p>
        </w:tc>
        <w:tc>
          <w:tcPr>
            <w:tcW w:w="660" w:type="dxa"/>
            <w:tcBorders>
              <w:left w:val="single" w:sz="4" w:space="0" w:color="auto"/>
            </w:tcBorders>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66,5</w:t>
            </w:r>
          </w:p>
        </w:tc>
        <w:tc>
          <w:tcPr>
            <w:tcW w:w="70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81,2</w:t>
            </w:r>
          </w:p>
        </w:tc>
        <w:tc>
          <w:tcPr>
            <w:tcW w:w="66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79,9</w:t>
            </w:r>
          </w:p>
        </w:tc>
        <w:tc>
          <w:tcPr>
            <w:tcW w:w="72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76,7</w:t>
            </w:r>
          </w:p>
        </w:tc>
        <w:tc>
          <w:tcPr>
            <w:tcW w:w="68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92,9</w:t>
            </w:r>
          </w:p>
        </w:tc>
        <w:tc>
          <w:tcPr>
            <w:tcW w:w="64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86,4</w:t>
            </w:r>
          </w:p>
        </w:tc>
        <w:tc>
          <w:tcPr>
            <w:tcW w:w="700" w:type="dxa"/>
            <w:shd w:val="clear" w:color="auto" w:fill="F2F2F2" w:themeFill="background1" w:themeFillShade="F2"/>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97,6</w:t>
            </w:r>
          </w:p>
        </w:tc>
        <w:tc>
          <w:tcPr>
            <w:tcW w:w="790" w:type="dxa"/>
            <w:shd w:val="clear" w:color="auto" w:fill="F2F2F2" w:themeFill="background1" w:themeFillShade="F2"/>
            <w:noWrap/>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93,8</w:t>
            </w:r>
          </w:p>
        </w:tc>
      </w:tr>
      <w:tr w:rsidR="00881395" w:rsidRPr="003D5BBD" w:rsidTr="003D5BBD">
        <w:trPr>
          <w:trHeight w:val="300"/>
        </w:trPr>
        <w:tc>
          <w:tcPr>
            <w:tcW w:w="3544" w:type="dxa"/>
            <w:tcBorders>
              <w:bottom w:val="single" w:sz="4" w:space="0" w:color="auto"/>
              <w:right w:val="single" w:sz="4" w:space="0" w:color="auto"/>
            </w:tcBorders>
          </w:tcPr>
          <w:p w:rsidR="00881395" w:rsidRPr="003D5BBD" w:rsidRDefault="00881395" w:rsidP="00B86750">
            <w:pPr>
              <w:keepNext/>
              <w:tabs>
                <w:tab w:val="left" w:pos="709"/>
              </w:tabs>
              <w:spacing w:after="0" w:line="240" w:lineRule="auto"/>
              <w:rPr>
                <w:rFonts w:ascii="Times New Roman" w:hAnsi="Times New Roman"/>
                <w:bCs/>
                <w:sz w:val="20"/>
                <w:szCs w:val="20"/>
              </w:rPr>
            </w:pPr>
            <w:r w:rsidRPr="003D5BBD">
              <w:rPr>
                <w:rFonts w:ascii="Times New Roman" w:hAnsi="Times New Roman"/>
                <w:bCs/>
                <w:sz w:val="20"/>
                <w:szCs w:val="20"/>
              </w:rPr>
              <w:t>Program PHARE</w:t>
            </w:r>
          </w:p>
        </w:tc>
        <w:tc>
          <w:tcPr>
            <w:tcW w:w="660" w:type="dxa"/>
            <w:tcBorders>
              <w:left w:val="single" w:sz="4" w:space="0" w:color="auto"/>
              <w:bottom w:val="single" w:sz="4" w:space="0" w:color="auto"/>
            </w:tcBorders>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0,5</w:t>
            </w:r>
          </w:p>
        </w:tc>
        <w:tc>
          <w:tcPr>
            <w:tcW w:w="700" w:type="dxa"/>
            <w:tcBorders>
              <w:bottom w:val="single" w:sz="4" w:space="0" w:color="auto"/>
            </w:tcBorders>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2,1</w:t>
            </w:r>
          </w:p>
        </w:tc>
        <w:tc>
          <w:tcPr>
            <w:tcW w:w="660" w:type="dxa"/>
            <w:tcBorders>
              <w:bottom w:val="single" w:sz="4" w:space="0" w:color="auto"/>
            </w:tcBorders>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1,3</w:t>
            </w:r>
          </w:p>
        </w:tc>
        <w:tc>
          <w:tcPr>
            <w:tcW w:w="720" w:type="dxa"/>
            <w:tcBorders>
              <w:bottom w:val="single" w:sz="4" w:space="0" w:color="auto"/>
            </w:tcBorders>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c>
          <w:tcPr>
            <w:tcW w:w="680" w:type="dxa"/>
            <w:tcBorders>
              <w:bottom w:val="single" w:sz="4" w:space="0" w:color="auto"/>
            </w:tcBorders>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c>
          <w:tcPr>
            <w:tcW w:w="640" w:type="dxa"/>
            <w:tcBorders>
              <w:bottom w:val="single" w:sz="4" w:space="0" w:color="auto"/>
            </w:tcBorders>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c>
          <w:tcPr>
            <w:tcW w:w="700" w:type="dxa"/>
            <w:tcBorders>
              <w:bottom w:val="single" w:sz="4" w:space="0" w:color="auto"/>
            </w:tcBorders>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c>
          <w:tcPr>
            <w:tcW w:w="790" w:type="dxa"/>
            <w:tcBorders>
              <w:bottom w:val="single" w:sz="4" w:space="0" w:color="auto"/>
            </w:tcBorders>
            <w:noWrap/>
            <w:vAlign w:val="center"/>
          </w:tcPr>
          <w:p w:rsidR="00881395" w:rsidRPr="003D5BBD" w:rsidRDefault="00881395" w:rsidP="007961E1">
            <w:pPr>
              <w:keepNext/>
              <w:tabs>
                <w:tab w:val="left" w:pos="709"/>
              </w:tabs>
              <w:spacing w:after="0" w:line="240" w:lineRule="auto"/>
              <w:jc w:val="right"/>
              <w:rPr>
                <w:rFonts w:ascii="Times New Roman" w:hAnsi="Times New Roman"/>
                <w:bCs/>
                <w:sz w:val="20"/>
                <w:szCs w:val="20"/>
              </w:rPr>
            </w:pPr>
            <w:r w:rsidRPr="003D5BBD">
              <w:rPr>
                <w:rFonts w:ascii="Times New Roman" w:hAnsi="Times New Roman"/>
                <w:bCs/>
                <w:sz w:val="20"/>
                <w:szCs w:val="20"/>
              </w:rPr>
              <w:t>0,0</w:t>
            </w:r>
          </w:p>
        </w:tc>
      </w:tr>
      <w:tr w:rsidR="00881395" w:rsidRPr="003D5BBD" w:rsidTr="003D5BBD">
        <w:trPr>
          <w:trHeight w:val="315"/>
        </w:trPr>
        <w:tc>
          <w:tcPr>
            <w:tcW w:w="3544" w:type="dxa"/>
            <w:tcBorders>
              <w:top w:val="single" w:sz="4" w:space="0" w:color="auto"/>
              <w:bottom w:val="single" w:sz="4" w:space="0" w:color="auto"/>
              <w:right w:val="single" w:sz="4" w:space="0" w:color="auto"/>
            </w:tcBorders>
            <w:shd w:val="clear" w:color="auto" w:fill="D9D9D9" w:themeFill="background1" w:themeFillShade="D9"/>
          </w:tcPr>
          <w:p w:rsidR="00881395" w:rsidRPr="003D5BBD" w:rsidRDefault="00163323" w:rsidP="00B86750">
            <w:pPr>
              <w:keepNext/>
              <w:tabs>
                <w:tab w:val="left" w:pos="709"/>
              </w:tabs>
              <w:spacing w:after="0" w:line="240" w:lineRule="auto"/>
              <w:rPr>
                <w:rFonts w:ascii="Times New Roman" w:hAnsi="Times New Roman"/>
                <w:b/>
                <w:bCs/>
                <w:sz w:val="20"/>
                <w:szCs w:val="20"/>
              </w:rPr>
            </w:pPr>
            <w:r>
              <w:rPr>
                <w:rFonts w:ascii="Times New Roman" w:hAnsi="Times New Roman"/>
                <w:b/>
                <w:bCs/>
                <w:sz w:val="20"/>
                <w:szCs w:val="20"/>
              </w:rPr>
              <w:t>Spolu</w:t>
            </w:r>
          </w:p>
        </w:tc>
        <w:tc>
          <w:tcPr>
            <w:tcW w:w="660" w:type="dxa"/>
            <w:tcBorders>
              <w:top w:val="single" w:sz="4" w:space="0" w:color="auto"/>
              <w:left w:val="single" w:sz="4" w:space="0" w:color="auto"/>
              <w:bottom w:val="single" w:sz="4" w:space="0" w:color="auto"/>
            </w:tcBorders>
            <w:shd w:val="clear" w:color="auto" w:fill="D9D9D9" w:themeFill="background1" w:themeFillShade="D9"/>
            <w:vAlign w:val="center"/>
          </w:tcPr>
          <w:p w:rsidR="00881395" w:rsidRPr="003D5BBD" w:rsidRDefault="00881395" w:rsidP="007961E1">
            <w:pPr>
              <w:keepNext/>
              <w:tabs>
                <w:tab w:val="left" w:pos="709"/>
              </w:tabs>
              <w:spacing w:after="0" w:line="240" w:lineRule="auto"/>
              <w:jc w:val="right"/>
              <w:rPr>
                <w:rFonts w:ascii="Times New Roman" w:hAnsi="Times New Roman"/>
                <w:b/>
                <w:bCs/>
                <w:sz w:val="20"/>
                <w:szCs w:val="20"/>
              </w:rPr>
            </w:pPr>
            <w:r w:rsidRPr="003D5BBD">
              <w:rPr>
                <w:rFonts w:ascii="Times New Roman" w:hAnsi="Times New Roman"/>
                <w:b/>
                <w:bCs/>
                <w:sz w:val="20"/>
                <w:szCs w:val="20"/>
              </w:rPr>
              <w:t>465,9</w:t>
            </w:r>
          </w:p>
        </w:tc>
        <w:tc>
          <w:tcPr>
            <w:tcW w:w="700" w:type="dxa"/>
            <w:tcBorders>
              <w:top w:val="single" w:sz="4" w:space="0" w:color="auto"/>
              <w:bottom w:val="single" w:sz="4" w:space="0" w:color="auto"/>
            </w:tcBorders>
            <w:shd w:val="clear" w:color="auto" w:fill="D9D9D9" w:themeFill="background1" w:themeFillShade="D9"/>
            <w:vAlign w:val="center"/>
          </w:tcPr>
          <w:p w:rsidR="00881395" w:rsidRPr="003D5BBD" w:rsidRDefault="00881395" w:rsidP="007961E1">
            <w:pPr>
              <w:keepNext/>
              <w:tabs>
                <w:tab w:val="left" w:pos="709"/>
              </w:tabs>
              <w:spacing w:after="0" w:line="240" w:lineRule="auto"/>
              <w:jc w:val="right"/>
              <w:rPr>
                <w:rFonts w:ascii="Times New Roman" w:hAnsi="Times New Roman"/>
                <w:b/>
                <w:bCs/>
                <w:sz w:val="20"/>
                <w:szCs w:val="20"/>
              </w:rPr>
            </w:pPr>
            <w:r w:rsidRPr="003D5BBD">
              <w:rPr>
                <w:rFonts w:ascii="Times New Roman" w:hAnsi="Times New Roman"/>
                <w:b/>
                <w:bCs/>
                <w:sz w:val="20"/>
                <w:szCs w:val="20"/>
              </w:rPr>
              <w:t>676,9</w:t>
            </w:r>
          </w:p>
        </w:tc>
        <w:tc>
          <w:tcPr>
            <w:tcW w:w="660" w:type="dxa"/>
            <w:tcBorders>
              <w:top w:val="single" w:sz="4" w:space="0" w:color="auto"/>
              <w:bottom w:val="single" w:sz="4" w:space="0" w:color="auto"/>
            </w:tcBorders>
            <w:shd w:val="clear" w:color="auto" w:fill="D9D9D9" w:themeFill="background1" w:themeFillShade="D9"/>
            <w:vAlign w:val="center"/>
          </w:tcPr>
          <w:p w:rsidR="00881395" w:rsidRPr="003D5BBD" w:rsidRDefault="00881395" w:rsidP="007961E1">
            <w:pPr>
              <w:keepNext/>
              <w:tabs>
                <w:tab w:val="left" w:pos="709"/>
              </w:tabs>
              <w:spacing w:after="0" w:line="240" w:lineRule="auto"/>
              <w:jc w:val="right"/>
              <w:rPr>
                <w:rFonts w:ascii="Times New Roman" w:hAnsi="Times New Roman"/>
                <w:b/>
                <w:bCs/>
                <w:sz w:val="20"/>
                <w:szCs w:val="20"/>
              </w:rPr>
            </w:pPr>
            <w:r w:rsidRPr="003D5BBD">
              <w:rPr>
                <w:rFonts w:ascii="Times New Roman" w:hAnsi="Times New Roman"/>
                <w:b/>
                <w:bCs/>
                <w:sz w:val="20"/>
                <w:szCs w:val="20"/>
              </w:rPr>
              <w:t>741,1</w:t>
            </w:r>
          </w:p>
        </w:tc>
        <w:tc>
          <w:tcPr>
            <w:tcW w:w="720" w:type="dxa"/>
            <w:tcBorders>
              <w:top w:val="single" w:sz="4" w:space="0" w:color="auto"/>
              <w:bottom w:val="single" w:sz="4" w:space="0" w:color="auto"/>
            </w:tcBorders>
            <w:shd w:val="clear" w:color="auto" w:fill="D9D9D9" w:themeFill="background1" w:themeFillShade="D9"/>
            <w:vAlign w:val="center"/>
          </w:tcPr>
          <w:p w:rsidR="00881395" w:rsidRPr="003D5BBD" w:rsidRDefault="00881395" w:rsidP="007961E1">
            <w:pPr>
              <w:keepNext/>
              <w:tabs>
                <w:tab w:val="left" w:pos="709"/>
              </w:tabs>
              <w:spacing w:after="0" w:line="240" w:lineRule="auto"/>
              <w:jc w:val="right"/>
              <w:rPr>
                <w:rFonts w:ascii="Times New Roman" w:hAnsi="Times New Roman"/>
                <w:b/>
                <w:bCs/>
                <w:sz w:val="20"/>
                <w:szCs w:val="20"/>
              </w:rPr>
            </w:pPr>
            <w:r w:rsidRPr="003D5BBD">
              <w:rPr>
                <w:rFonts w:ascii="Times New Roman" w:hAnsi="Times New Roman"/>
                <w:b/>
                <w:bCs/>
                <w:sz w:val="20"/>
                <w:szCs w:val="20"/>
              </w:rPr>
              <w:t>633,9</w:t>
            </w:r>
          </w:p>
        </w:tc>
        <w:tc>
          <w:tcPr>
            <w:tcW w:w="680" w:type="dxa"/>
            <w:tcBorders>
              <w:top w:val="single" w:sz="4" w:space="0" w:color="auto"/>
              <w:bottom w:val="single" w:sz="4" w:space="0" w:color="auto"/>
            </w:tcBorders>
            <w:shd w:val="clear" w:color="auto" w:fill="D9D9D9" w:themeFill="background1" w:themeFillShade="D9"/>
            <w:vAlign w:val="center"/>
          </w:tcPr>
          <w:p w:rsidR="00881395" w:rsidRPr="003D5BBD" w:rsidRDefault="00881395" w:rsidP="007961E1">
            <w:pPr>
              <w:keepNext/>
              <w:tabs>
                <w:tab w:val="left" w:pos="709"/>
              </w:tabs>
              <w:spacing w:after="0" w:line="240" w:lineRule="auto"/>
              <w:jc w:val="right"/>
              <w:rPr>
                <w:rFonts w:ascii="Times New Roman" w:hAnsi="Times New Roman"/>
                <w:b/>
                <w:bCs/>
                <w:sz w:val="20"/>
                <w:szCs w:val="20"/>
              </w:rPr>
            </w:pPr>
            <w:r w:rsidRPr="003D5BBD">
              <w:rPr>
                <w:rFonts w:ascii="Times New Roman" w:hAnsi="Times New Roman"/>
                <w:b/>
                <w:bCs/>
                <w:sz w:val="20"/>
                <w:szCs w:val="20"/>
              </w:rPr>
              <w:t>754,8</w:t>
            </w:r>
          </w:p>
        </w:tc>
        <w:tc>
          <w:tcPr>
            <w:tcW w:w="640" w:type="dxa"/>
            <w:tcBorders>
              <w:top w:val="single" w:sz="4" w:space="0" w:color="auto"/>
              <w:bottom w:val="single" w:sz="4" w:space="0" w:color="auto"/>
            </w:tcBorders>
            <w:shd w:val="clear" w:color="auto" w:fill="D9D9D9" w:themeFill="background1" w:themeFillShade="D9"/>
            <w:vAlign w:val="center"/>
          </w:tcPr>
          <w:p w:rsidR="00881395" w:rsidRPr="003D5BBD" w:rsidRDefault="00881395" w:rsidP="007961E1">
            <w:pPr>
              <w:keepNext/>
              <w:tabs>
                <w:tab w:val="left" w:pos="709"/>
              </w:tabs>
              <w:spacing w:after="0" w:line="240" w:lineRule="auto"/>
              <w:jc w:val="right"/>
              <w:rPr>
                <w:rFonts w:ascii="Times New Roman" w:hAnsi="Times New Roman"/>
                <w:b/>
                <w:bCs/>
                <w:sz w:val="20"/>
                <w:szCs w:val="20"/>
              </w:rPr>
            </w:pPr>
            <w:r w:rsidRPr="003D5BBD">
              <w:rPr>
                <w:rFonts w:ascii="Times New Roman" w:hAnsi="Times New Roman"/>
                <w:b/>
                <w:bCs/>
                <w:sz w:val="20"/>
                <w:szCs w:val="20"/>
              </w:rPr>
              <w:t>946,8</w:t>
            </w:r>
          </w:p>
        </w:tc>
        <w:tc>
          <w:tcPr>
            <w:tcW w:w="700" w:type="dxa"/>
            <w:tcBorders>
              <w:top w:val="single" w:sz="4" w:space="0" w:color="auto"/>
              <w:bottom w:val="single" w:sz="4" w:space="0" w:color="auto"/>
            </w:tcBorders>
            <w:shd w:val="clear" w:color="auto" w:fill="D9D9D9" w:themeFill="background1" w:themeFillShade="D9"/>
            <w:vAlign w:val="center"/>
          </w:tcPr>
          <w:p w:rsidR="00881395" w:rsidRPr="003D5BBD" w:rsidRDefault="00881395" w:rsidP="007961E1">
            <w:pPr>
              <w:keepNext/>
              <w:tabs>
                <w:tab w:val="left" w:pos="709"/>
              </w:tabs>
              <w:spacing w:after="0" w:line="240" w:lineRule="auto"/>
              <w:jc w:val="right"/>
              <w:rPr>
                <w:rFonts w:ascii="Times New Roman" w:hAnsi="Times New Roman"/>
                <w:b/>
                <w:bCs/>
                <w:sz w:val="20"/>
                <w:szCs w:val="20"/>
              </w:rPr>
            </w:pPr>
            <w:r w:rsidRPr="003D5BBD">
              <w:rPr>
                <w:rFonts w:ascii="Times New Roman" w:hAnsi="Times New Roman"/>
                <w:b/>
                <w:bCs/>
                <w:sz w:val="20"/>
                <w:szCs w:val="20"/>
              </w:rPr>
              <w:t>950,8</w:t>
            </w:r>
          </w:p>
        </w:tc>
        <w:tc>
          <w:tcPr>
            <w:tcW w:w="790" w:type="dxa"/>
            <w:tcBorders>
              <w:top w:val="single" w:sz="4" w:space="0" w:color="auto"/>
              <w:bottom w:val="single" w:sz="4" w:space="0" w:color="auto"/>
            </w:tcBorders>
            <w:shd w:val="clear" w:color="auto" w:fill="D9D9D9" w:themeFill="background1" w:themeFillShade="D9"/>
            <w:noWrap/>
            <w:vAlign w:val="center"/>
          </w:tcPr>
          <w:p w:rsidR="00881395" w:rsidRPr="003D5BBD" w:rsidRDefault="00881395" w:rsidP="007961E1">
            <w:pPr>
              <w:keepNext/>
              <w:tabs>
                <w:tab w:val="left" w:pos="709"/>
              </w:tabs>
              <w:spacing w:after="0" w:line="240" w:lineRule="auto"/>
              <w:jc w:val="right"/>
              <w:rPr>
                <w:rFonts w:ascii="Times New Roman" w:hAnsi="Times New Roman"/>
                <w:b/>
                <w:bCs/>
                <w:sz w:val="20"/>
                <w:szCs w:val="20"/>
              </w:rPr>
            </w:pPr>
            <w:r w:rsidRPr="003D5BBD">
              <w:rPr>
                <w:rFonts w:ascii="Times New Roman" w:hAnsi="Times New Roman"/>
                <w:b/>
                <w:bCs/>
                <w:sz w:val="20"/>
                <w:szCs w:val="20"/>
              </w:rPr>
              <w:t>890,2</w:t>
            </w:r>
          </w:p>
        </w:tc>
      </w:tr>
    </w:tbl>
    <w:p w:rsidR="00881395" w:rsidRPr="003D5BBD" w:rsidRDefault="00881395" w:rsidP="003D5BBD">
      <w:pPr>
        <w:pStyle w:val="2"/>
      </w:pPr>
      <w:r w:rsidRPr="003D5BBD">
        <w:t>Pozn</w:t>
      </w:r>
      <w:r w:rsidR="00590A93">
        <w:t xml:space="preserve">.: </w:t>
      </w:r>
      <w:r w:rsidRPr="003D5BBD">
        <w:t>Rozvoj vidieka – Sektorový operačný program Poľnohospodárstvo a rozvoj vidieka 2004-2006, Plán rozvoja vidieka a Program rozvoja vidieka 2007-2013</w:t>
      </w:r>
    </w:p>
    <w:p w:rsidR="003D5BBD" w:rsidRPr="003D5BBD" w:rsidRDefault="003D5BBD" w:rsidP="003D5BBD">
      <w:pPr>
        <w:pStyle w:val="2"/>
        <w:jc w:val="right"/>
      </w:pPr>
      <w:r>
        <w:t>Zdroj</w:t>
      </w:r>
      <w:r w:rsidRPr="003D5BBD">
        <w:t>: MPRV SR</w:t>
      </w:r>
    </w:p>
    <w:p w:rsidR="00881395" w:rsidRDefault="00881395" w:rsidP="000B35C0">
      <w:pPr>
        <w:spacing w:after="0" w:line="240" w:lineRule="auto"/>
        <w:jc w:val="both"/>
        <w:rPr>
          <w:rFonts w:ascii="Times New Roman" w:hAnsi="Times New Roman" w:cs="Times New Roman"/>
          <w:sz w:val="24"/>
          <w:szCs w:val="24"/>
        </w:rPr>
      </w:pPr>
    </w:p>
    <w:p w:rsidR="00854835" w:rsidRDefault="00854835" w:rsidP="000B3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Vysoká koncentrácia </w:t>
      </w:r>
      <w:r w:rsidR="00D87141">
        <w:rPr>
          <w:rFonts w:ascii="Times New Roman" w:hAnsi="Times New Roman" w:cs="Times New Roman"/>
          <w:sz w:val="24"/>
          <w:szCs w:val="24"/>
        </w:rPr>
        <w:t xml:space="preserve">poľnohospodárskej výroby vedie v podmienkach Slovenska ku kumulácii </w:t>
      </w:r>
      <w:r w:rsidR="00647B60">
        <w:rPr>
          <w:rFonts w:ascii="Times New Roman" w:hAnsi="Times New Roman" w:cs="Times New Roman"/>
          <w:sz w:val="24"/>
          <w:szCs w:val="24"/>
        </w:rPr>
        <w:t>väčšiny</w:t>
      </w:r>
      <w:r w:rsidR="00D87141">
        <w:rPr>
          <w:rFonts w:ascii="Times New Roman" w:hAnsi="Times New Roman" w:cs="Times New Roman"/>
          <w:sz w:val="24"/>
          <w:szCs w:val="24"/>
        </w:rPr>
        <w:t xml:space="preserve"> dotačných peňazí do rúk </w:t>
      </w:r>
      <w:r w:rsidR="00647B60">
        <w:rPr>
          <w:rFonts w:ascii="Times New Roman" w:hAnsi="Times New Roman" w:cs="Times New Roman"/>
          <w:sz w:val="24"/>
          <w:szCs w:val="24"/>
        </w:rPr>
        <w:t>výraznej menšiny</w:t>
      </w:r>
      <w:r w:rsidR="00D87141">
        <w:rPr>
          <w:rFonts w:ascii="Times New Roman" w:hAnsi="Times New Roman" w:cs="Times New Roman"/>
          <w:sz w:val="24"/>
          <w:szCs w:val="24"/>
        </w:rPr>
        <w:t xml:space="preserve"> žiadateľov o ne. Tým pádom</w:t>
      </w:r>
      <w:r w:rsidR="00FE5E79">
        <w:rPr>
          <w:rFonts w:ascii="Times New Roman" w:hAnsi="Times New Roman" w:cs="Times New Roman"/>
          <w:sz w:val="24"/>
          <w:szCs w:val="24"/>
        </w:rPr>
        <w:t>,</w:t>
      </w:r>
      <w:r w:rsidR="00D87141">
        <w:rPr>
          <w:rFonts w:ascii="Times New Roman" w:hAnsi="Times New Roman" w:cs="Times New Roman"/>
          <w:sz w:val="24"/>
          <w:szCs w:val="24"/>
        </w:rPr>
        <w:t xml:space="preserve"> aj keď je možné konštatovať, že financovanie poľnohospodárskych podnikov v SR prešlo </w:t>
      </w:r>
      <w:r w:rsidR="00D87141" w:rsidRPr="000B35C0">
        <w:rPr>
          <w:rFonts w:ascii="Times New Roman" w:hAnsi="Times New Roman" w:cs="Times New Roman"/>
          <w:sz w:val="24"/>
          <w:szCs w:val="24"/>
        </w:rPr>
        <w:t>za posledných desať rokov podstatnými zmenami</w:t>
      </w:r>
      <w:r w:rsidR="00D87141">
        <w:rPr>
          <w:rFonts w:ascii="Times New Roman" w:hAnsi="Times New Roman" w:cs="Times New Roman"/>
          <w:sz w:val="24"/>
          <w:szCs w:val="24"/>
        </w:rPr>
        <w:t xml:space="preserve">, tieto zmeny nemali takmer žiadny vplyv na </w:t>
      </w:r>
      <w:r w:rsidR="00D87141">
        <w:rPr>
          <w:rFonts w:ascii="Times New Roman" w:hAnsi="Times New Roman" w:cs="Times New Roman"/>
          <w:sz w:val="24"/>
          <w:szCs w:val="24"/>
        </w:rPr>
        <w:lastRenderedPageBreak/>
        <w:t>zlepšenie ekonomickej situácie u cca 90 % poľnohospodárskych subjektov. Na makroekonomickej úrovni je však  možné identifikovať tieto zmeny:</w:t>
      </w:r>
    </w:p>
    <w:p w:rsidR="000B35C0" w:rsidRPr="000B35C0" w:rsidRDefault="000B35C0" w:rsidP="00C8344F">
      <w:pPr>
        <w:pStyle w:val="Odsekzoznamu"/>
        <w:numPr>
          <w:ilvl w:val="0"/>
          <w:numId w:val="26"/>
        </w:numPr>
        <w:spacing w:after="0" w:line="240" w:lineRule="auto"/>
        <w:jc w:val="both"/>
        <w:rPr>
          <w:rFonts w:ascii="Times New Roman" w:hAnsi="Times New Roman" w:cs="Times New Roman"/>
          <w:sz w:val="24"/>
          <w:szCs w:val="24"/>
        </w:rPr>
      </w:pPr>
      <w:r w:rsidRPr="000B35C0">
        <w:rPr>
          <w:rFonts w:ascii="Times New Roman" w:hAnsi="Times New Roman" w:cs="Times New Roman"/>
          <w:sz w:val="24"/>
          <w:szCs w:val="24"/>
        </w:rPr>
        <w:t>v dôsledku priaznivého makroekonomického vývoja sa znížili trhové úrokové sadzby,</w:t>
      </w:r>
    </w:p>
    <w:p w:rsidR="000B35C0" w:rsidRPr="000B35C0" w:rsidRDefault="000B35C0" w:rsidP="00C8344F">
      <w:pPr>
        <w:pStyle w:val="Odsekzoznamu"/>
        <w:numPr>
          <w:ilvl w:val="0"/>
          <w:numId w:val="26"/>
        </w:numPr>
        <w:spacing w:after="0" w:line="240" w:lineRule="auto"/>
        <w:jc w:val="both"/>
        <w:rPr>
          <w:rFonts w:ascii="Times New Roman" w:hAnsi="Times New Roman" w:cs="Times New Roman"/>
          <w:sz w:val="24"/>
          <w:szCs w:val="24"/>
        </w:rPr>
      </w:pPr>
      <w:r w:rsidRPr="000B35C0">
        <w:rPr>
          <w:rFonts w:ascii="Times New Roman" w:hAnsi="Times New Roman" w:cs="Times New Roman"/>
          <w:sz w:val="24"/>
          <w:szCs w:val="24"/>
        </w:rPr>
        <w:t>rast podpôr v rámci SPP zlepšil hospodárske výsledky poľnohospodárov</w:t>
      </w:r>
      <w:r w:rsidR="00FE771B">
        <w:rPr>
          <w:rFonts w:ascii="Times New Roman" w:hAnsi="Times New Roman" w:cs="Times New Roman"/>
          <w:sz w:val="24"/>
          <w:szCs w:val="24"/>
        </w:rPr>
        <w:t>;</w:t>
      </w:r>
    </w:p>
    <w:p w:rsidR="000B35C0" w:rsidRPr="000B35C0" w:rsidRDefault="000B35C0" w:rsidP="00C8344F">
      <w:pPr>
        <w:pStyle w:val="Odsekzoznamu"/>
        <w:numPr>
          <w:ilvl w:val="0"/>
          <w:numId w:val="26"/>
        </w:numPr>
        <w:spacing w:after="0" w:line="240" w:lineRule="auto"/>
        <w:jc w:val="both"/>
        <w:rPr>
          <w:rFonts w:ascii="Times New Roman" w:hAnsi="Times New Roman" w:cs="Times New Roman"/>
          <w:sz w:val="24"/>
          <w:szCs w:val="24"/>
        </w:rPr>
      </w:pPr>
      <w:r w:rsidRPr="000B35C0">
        <w:rPr>
          <w:rFonts w:ascii="Times New Roman" w:hAnsi="Times New Roman" w:cs="Times New Roman"/>
          <w:sz w:val="24"/>
          <w:szCs w:val="24"/>
        </w:rPr>
        <w:t>priame platby SPP slúžia ako záruka za poskytované úvery</w:t>
      </w:r>
      <w:r w:rsidR="00FE771B">
        <w:rPr>
          <w:rFonts w:ascii="Times New Roman" w:hAnsi="Times New Roman" w:cs="Times New Roman"/>
          <w:sz w:val="24"/>
          <w:szCs w:val="24"/>
        </w:rPr>
        <w:t>;</w:t>
      </w:r>
    </w:p>
    <w:p w:rsidR="000B35C0" w:rsidRPr="000B35C0" w:rsidRDefault="000B35C0" w:rsidP="00C8344F">
      <w:pPr>
        <w:pStyle w:val="Odsekzoznamu"/>
        <w:numPr>
          <w:ilvl w:val="0"/>
          <w:numId w:val="26"/>
        </w:numPr>
        <w:spacing w:after="0" w:line="240" w:lineRule="auto"/>
        <w:jc w:val="both"/>
        <w:rPr>
          <w:rFonts w:ascii="Times New Roman" w:hAnsi="Times New Roman" w:cs="Times New Roman"/>
          <w:sz w:val="24"/>
          <w:szCs w:val="24"/>
        </w:rPr>
      </w:pPr>
      <w:r w:rsidRPr="000B35C0">
        <w:rPr>
          <w:rFonts w:ascii="Times New Roman" w:hAnsi="Times New Roman" w:cs="Times New Roman"/>
          <w:sz w:val="24"/>
          <w:szCs w:val="24"/>
        </w:rPr>
        <w:t>odviazanie priamych platieb od produkcie znižuje riziko, keďže platby už nie sú ovplyvnené neistou úrodou a</w:t>
      </w:r>
      <w:r w:rsidR="00FE771B">
        <w:rPr>
          <w:rFonts w:ascii="Times New Roman" w:hAnsi="Times New Roman" w:cs="Times New Roman"/>
          <w:sz w:val="24"/>
          <w:szCs w:val="24"/>
        </w:rPr>
        <w:t> </w:t>
      </w:r>
      <w:r w:rsidRPr="000B35C0">
        <w:rPr>
          <w:rFonts w:ascii="Times New Roman" w:hAnsi="Times New Roman" w:cs="Times New Roman"/>
          <w:sz w:val="24"/>
          <w:szCs w:val="24"/>
        </w:rPr>
        <w:t>cenami</w:t>
      </w:r>
      <w:r w:rsidR="00FE771B">
        <w:rPr>
          <w:rFonts w:ascii="Times New Roman" w:hAnsi="Times New Roman" w:cs="Times New Roman"/>
          <w:sz w:val="24"/>
          <w:szCs w:val="24"/>
        </w:rPr>
        <w:t>;</w:t>
      </w:r>
    </w:p>
    <w:p w:rsidR="000B35C0" w:rsidRPr="000B35C0" w:rsidRDefault="000B35C0" w:rsidP="00C8344F">
      <w:pPr>
        <w:pStyle w:val="Odsekzoznamu"/>
        <w:numPr>
          <w:ilvl w:val="0"/>
          <w:numId w:val="26"/>
        </w:numPr>
        <w:spacing w:after="0" w:line="240" w:lineRule="auto"/>
        <w:jc w:val="both"/>
        <w:rPr>
          <w:rFonts w:ascii="Times New Roman" w:hAnsi="Times New Roman" w:cs="Times New Roman"/>
          <w:sz w:val="24"/>
          <w:szCs w:val="24"/>
        </w:rPr>
      </w:pPr>
      <w:r w:rsidRPr="000B35C0">
        <w:rPr>
          <w:rFonts w:ascii="Times New Roman" w:hAnsi="Times New Roman" w:cs="Times New Roman"/>
          <w:sz w:val="24"/>
          <w:szCs w:val="24"/>
        </w:rPr>
        <w:t>poľnohospodári môžu čerpať investičné zdroje z Programu rozvoja vidieka</w:t>
      </w:r>
      <w:r w:rsidR="00FE771B">
        <w:rPr>
          <w:rFonts w:ascii="Times New Roman" w:hAnsi="Times New Roman" w:cs="Times New Roman"/>
          <w:sz w:val="24"/>
          <w:szCs w:val="24"/>
        </w:rPr>
        <w:t>; a</w:t>
      </w:r>
    </w:p>
    <w:p w:rsidR="000B35C0" w:rsidRPr="000B35C0" w:rsidRDefault="000B35C0" w:rsidP="00C8344F">
      <w:pPr>
        <w:pStyle w:val="Odsekzoznamu"/>
        <w:numPr>
          <w:ilvl w:val="0"/>
          <w:numId w:val="26"/>
        </w:numPr>
        <w:spacing w:after="0" w:line="240" w:lineRule="auto"/>
        <w:jc w:val="both"/>
        <w:rPr>
          <w:rFonts w:ascii="Times New Roman" w:hAnsi="Times New Roman" w:cs="Times New Roman"/>
          <w:sz w:val="24"/>
          <w:szCs w:val="24"/>
        </w:rPr>
      </w:pPr>
      <w:r w:rsidRPr="000B35C0">
        <w:rPr>
          <w:rFonts w:ascii="Times New Roman" w:hAnsi="Times New Roman" w:cs="Times New Roman"/>
          <w:sz w:val="24"/>
          <w:szCs w:val="24"/>
        </w:rPr>
        <w:t xml:space="preserve">banky sú ochotné spolufinancovať projekty podporené z PRV a </w:t>
      </w:r>
      <w:proofErr w:type="spellStart"/>
      <w:r w:rsidRPr="000B35C0">
        <w:rPr>
          <w:rFonts w:ascii="Times New Roman" w:hAnsi="Times New Roman" w:cs="Times New Roman"/>
          <w:sz w:val="24"/>
          <w:szCs w:val="24"/>
        </w:rPr>
        <w:t>predfinancovať</w:t>
      </w:r>
      <w:proofErr w:type="spellEnd"/>
      <w:r w:rsidRPr="000B35C0">
        <w:rPr>
          <w:rFonts w:ascii="Times New Roman" w:hAnsi="Times New Roman" w:cs="Times New Roman"/>
          <w:sz w:val="24"/>
          <w:szCs w:val="24"/>
        </w:rPr>
        <w:t xml:space="preserve"> priame platby v spolupráci s</w:t>
      </w:r>
      <w:r w:rsidR="00881395">
        <w:rPr>
          <w:rFonts w:ascii="Times New Roman" w:hAnsi="Times New Roman" w:cs="Times New Roman"/>
          <w:sz w:val="24"/>
          <w:szCs w:val="24"/>
        </w:rPr>
        <w:t> Pôdohospodárskou platobnou agentúrou (PPA)</w:t>
      </w:r>
      <w:r w:rsidRPr="000B35C0">
        <w:rPr>
          <w:rFonts w:ascii="Times New Roman" w:hAnsi="Times New Roman" w:cs="Times New Roman"/>
          <w:sz w:val="24"/>
          <w:szCs w:val="24"/>
        </w:rPr>
        <w:t>.</w:t>
      </w:r>
    </w:p>
    <w:p w:rsidR="00E8164C" w:rsidRDefault="00E8164C" w:rsidP="00AC3B37">
      <w:pPr>
        <w:spacing w:after="0" w:line="240" w:lineRule="auto"/>
        <w:jc w:val="both"/>
        <w:rPr>
          <w:rFonts w:ascii="Times New Roman" w:hAnsi="Times New Roman" w:cs="Times New Roman"/>
          <w:sz w:val="24"/>
          <w:szCs w:val="24"/>
        </w:rPr>
      </w:pPr>
    </w:p>
    <w:p w:rsidR="00F169D9" w:rsidRDefault="00F169D9" w:rsidP="00881395">
      <w:pPr>
        <w:spacing w:after="0" w:line="240" w:lineRule="auto"/>
        <w:jc w:val="both"/>
        <w:rPr>
          <w:rFonts w:ascii="Times New Roman" w:hAnsi="Times New Roman" w:cs="Times New Roman"/>
          <w:sz w:val="24"/>
          <w:szCs w:val="24"/>
        </w:rPr>
      </w:pPr>
      <w:r w:rsidRPr="00881395">
        <w:rPr>
          <w:rFonts w:ascii="Times New Roman" w:hAnsi="Times New Roman" w:cs="Times New Roman"/>
          <w:sz w:val="24"/>
          <w:szCs w:val="24"/>
        </w:rPr>
        <w:t xml:space="preserve">Všetky tieto zmeny priaznivo vplývali </w:t>
      </w:r>
      <w:r w:rsidR="003D5BBD">
        <w:rPr>
          <w:rFonts w:ascii="Times New Roman" w:hAnsi="Times New Roman" w:cs="Times New Roman"/>
          <w:sz w:val="24"/>
          <w:szCs w:val="24"/>
        </w:rPr>
        <w:t xml:space="preserve">hlavne </w:t>
      </w:r>
      <w:r w:rsidRPr="00881395">
        <w:rPr>
          <w:rFonts w:ascii="Times New Roman" w:hAnsi="Times New Roman" w:cs="Times New Roman"/>
          <w:sz w:val="24"/>
          <w:szCs w:val="24"/>
        </w:rPr>
        <w:t xml:space="preserve">na </w:t>
      </w:r>
      <w:r w:rsidR="003D5BBD">
        <w:rPr>
          <w:rFonts w:ascii="Times New Roman" w:hAnsi="Times New Roman" w:cs="Times New Roman"/>
          <w:sz w:val="24"/>
          <w:szCs w:val="24"/>
        </w:rPr>
        <w:t xml:space="preserve">úverové </w:t>
      </w:r>
      <w:r w:rsidRPr="00881395">
        <w:rPr>
          <w:rFonts w:ascii="Times New Roman" w:hAnsi="Times New Roman" w:cs="Times New Roman"/>
          <w:sz w:val="24"/>
          <w:szCs w:val="24"/>
        </w:rPr>
        <w:t>financovanie investičných aj neinvestičných aktivít poľnohospodárskych podnikov. Od vstupu SR do EÚ sa zvýšil objem úverov v odvetví takmer dvojnásobne a to z 216 mil. EUR na takmer 398 mil. EUR</w:t>
      </w:r>
      <w:r w:rsidR="00F9486B" w:rsidRPr="00881395">
        <w:rPr>
          <w:rFonts w:ascii="Times New Roman" w:hAnsi="Times New Roman" w:cs="Times New Roman"/>
          <w:sz w:val="24"/>
          <w:szCs w:val="24"/>
        </w:rPr>
        <w:t>.</w:t>
      </w:r>
      <w:r w:rsidRPr="00881395">
        <w:rPr>
          <w:rFonts w:ascii="Times New Roman" w:hAnsi="Times New Roman" w:cs="Times New Roman"/>
          <w:sz w:val="24"/>
          <w:szCs w:val="24"/>
        </w:rPr>
        <w:t xml:space="preserve"> Náklady na získavanie cudzích zdrojov sa znížili a prístupnosť investičných aj neinvestičných zdrojov sa zvýšila. V ostatných rokoch však badať negatívny vplyv vývoja na svetových finančných trhoch. Svetová finančná a ekonomická kríza priniesla celosvetovo sprísnenie úverových štandardov a aj banky na Slovensku v úverovaní poľnohospodárstva vyžadujú väčšiu mieru zainteresovanosti poľnohospodárskych podnikov hlavne pri dlhodobých úveroch na financovaní projektov (viac vlastných zdrojov, resp. väčšiu mieru zabezpečenia). </w:t>
      </w:r>
    </w:p>
    <w:p w:rsidR="00881395" w:rsidRPr="00881395" w:rsidRDefault="00881395" w:rsidP="00881395">
      <w:pPr>
        <w:spacing w:after="0" w:line="240" w:lineRule="auto"/>
        <w:jc w:val="both"/>
        <w:rPr>
          <w:rFonts w:ascii="Times New Roman" w:hAnsi="Times New Roman" w:cs="Times New Roman"/>
          <w:sz w:val="24"/>
          <w:szCs w:val="24"/>
        </w:rPr>
      </w:pPr>
    </w:p>
    <w:p w:rsidR="00881395" w:rsidRDefault="00F169D9" w:rsidP="00881395">
      <w:pPr>
        <w:spacing w:after="0" w:line="240" w:lineRule="auto"/>
        <w:jc w:val="both"/>
        <w:rPr>
          <w:rFonts w:ascii="Times New Roman" w:hAnsi="Times New Roman" w:cs="Times New Roman"/>
          <w:sz w:val="24"/>
          <w:szCs w:val="24"/>
        </w:rPr>
      </w:pPr>
      <w:r w:rsidRPr="00881395">
        <w:rPr>
          <w:rFonts w:ascii="Times New Roman" w:hAnsi="Times New Roman" w:cs="Times New Roman"/>
          <w:sz w:val="24"/>
          <w:szCs w:val="24"/>
        </w:rPr>
        <w:t>Bankový sektor prispôsobil špecifikám poľnohospodárstva aj úverové nástroje. Jednou z akceptovaných záruk na poskytované úvery je aj potvrdenie nároku na priame platby. Poskytované sú investičné úvery na podporené projekty z</w:t>
      </w:r>
      <w:r w:rsidR="00F9486B" w:rsidRPr="00881395">
        <w:rPr>
          <w:rFonts w:ascii="Times New Roman" w:hAnsi="Times New Roman" w:cs="Times New Roman"/>
          <w:sz w:val="24"/>
          <w:szCs w:val="24"/>
        </w:rPr>
        <w:t> PRV</w:t>
      </w:r>
      <w:r w:rsidRPr="00881395">
        <w:rPr>
          <w:rFonts w:ascii="Times New Roman" w:hAnsi="Times New Roman" w:cs="Times New Roman"/>
          <w:sz w:val="24"/>
          <w:szCs w:val="24"/>
        </w:rPr>
        <w:t xml:space="preserve">, úvery na nákup pôdy a úvery na rastlinné komodity. Výhody z priaznivého vývoja mali hlavne väčšie a kapitálovo silnejšie poľnohospodárske podniky. U menších podnikov pretrvávajú problémy so získavaním zdrojov na rozvoj. Malé podniky majú problémy získať úvery kvôli nižšiemu vlastnému imaniu vo vzťahu k investičným potrebám, nižšiemu ekonomickému ratingu a vyššiemu zlyhávaniu splácania úverov. </w:t>
      </w:r>
    </w:p>
    <w:p w:rsidR="00881395" w:rsidRPr="00881395" w:rsidRDefault="00881395" w:rsidP="00881395">
      <w:pPr>
        <w:spacing w:after="0" w:line="240" w:lineRule="auto"/>
        <w:jc w:val="both"/>
        <w:rPr>
          <w:rFonts w:ascii="Times New Roman" w:hAnsi="Times New Roman" w:cs="Times New Roman"/>
          <w:sz w:val="24"/>
          <w:szCs w:val="24"/>
        </w:rPr>
      </w:pPr>
    </w:p>
    <w:p w:rsidR="009C321A" w:rsidRDefault="00F169D9" w:rsidP="00881395">
      <w:pPr>
        <w:spacing w:after="0" w:line="240" w:lineRule="auto"/>
        <w:jc w:val="both"/>
        <w:rPr>
          <w:rFonts w:ascii="Times New Roman" w:hAnsi="Times New Roman" w:cs="Times New Roman"/>
          <w:sz w:val="24"/>
          <w:szCs w:val="24"/>
        </w:rPr>
      </w:pPr>
      <w:r w:rsidRPr="00881395">
        <w:rPr>
          <w:rFonts w:ascii="Times New Roman" w:hAnsi="Times New Roman" w:cs="Times New Roman"/>
          <w:sz w:val="24"/>
          <w:szCs w:val="24"/>
        </w:rPr>
        <w:t>Lacnejšie a prístupnejšie finančné zdroje a lepšie podmienky na podnikanie po vstupe do EÚ sa prejavili na raste dlhodobého hmotného maje</w:t>
      </w:r>
      <w:r w:rsidR="00420D0A" w:rsidRPr="00881395">
        <w:rPr>
          <w:rFonts w:ascii="Times New Roman" w:hAnsi="Times New Roman" w:cs="Times New Roman"/>
          <w:sz w:val="24"/>
          <w:szCs w:val="24"/>
        </w:rPr>
        <w:t>tku poľnohospodárskych podnikov, ak však berieme do úvahy kvalitatívny parameter, t.j. jeho štruktúru, táto nie je ani zďaleka</w:t>
      </w:r>
      <w:r w:rsidR="00FC7EB5" w:rsidRPr="00881395">
        <w:rPr>
          <w:rFonts w:ascii="Times New Roman" w:hAnsi="Times New Roman" w:cs="Times New Roman"/>
          <w:sz w:val="24"/>
          <w:szCs w:val="24"/>
        </w:rPr>
        <w:t xml:space="preserve"> optimálna</w:t>
      </w:r>
      <w:r w:rsidR="00420D0A" w:rsidRPr="00881395">
        <w:rPr>
          <w:rFonts w:ascii="Times New Roman" w:hAnsi="Times New Roman" w:cs="Times New Roman"/>
          <w:sz w:val="24"/>
          <w:szCs w:val="24"/>
        </w:rPr>
        <w:t xml:space="preserve"> a je jednou z hlavných príčin </w:t>
      </w:r>
      <w:proofErr w:type="spellStart"/>
      <w:r w:rsidR="00420D0A" w:rsidRPr="00881395">
        <w:rPr>
          <w:rFonts w:ascii="Times New Roman" w:hAnsi="Times New Roman" w:cs="Times New Roman"/>
          <w:sz w:val="24"/>
          <w:szCs w:val="24"/>
        </w:rPr>
        <w:t>volatilít</w:t>
      </w:r>
      <w:proofErr w:type="spellEnd"/>
      <w:r w:rsidR="00420D0A" w:rsidRPr="00881395">
        <w:rPr>
          <w:rFonts w:ascii="Times New Roman" w:hAnsi="Times New Roman" w:cs="Times New Roman"/>
          <w:sz w:val="24"/>
          <w:szCs w:val="24"/>
        </w:rPr>
        <w:t xml:space="preserve"> výstupov výroby. Dlhodobý hmotný majetok rástol takmer výlučne v zložke budov a ostatných fixných aktív mimo pôdy. Hlavný výrobný faktor poľnohospodárskej produkcie, pôda, tvorí stále v priemere len okolo 5 % z celkového majetku poľnohospodárskych podnikov. </w:t>
      </w:r>
      <w:r w:rsidR="00FC7EB5" w:rsidRPr="00881395">
        <w:rPr>
          <w:rFonts w:ascii="Times New Roman" w:hAnsi="Times New Roman" w:cs="Times New Roman"/>
          <w:sz w:val="24"/>
          <w:szCs w:val="24"/>
        </w:rPr>
        <w:t xml:space="preserve">To znamená, že slovenský poľnohospodár si v priemere prenajme viac ako 90 % poľnohospodárskej pôdy, ktorú obrába. </w:t>
      </w:r>
    </w:p>
    <w:p w:rsidR="009C321A" w:rsidRDefault="009C321A" w:rsidP="00881395">
      <w:pPr>
        <w:spacing w:after="0" w:line="240" w:lineRule="auto"/>
        <w:jc w:val="both"/>
        <w:rPr>
          <w:rFonts w:ascii="Times New Roman" w:hAnsi="Times New Roman" w:cs="Times New Roman"/>
          <w:sz w:val="24"/>
          <w:szCs w:val="24"/>
        </w:rPr>
      </w:pPr>
    </w:p>
    <w:p w:rsidR="00F169D9" w:rsidRPr="00881395" w:rsidRDefault="00420D0A" w:rsidP="00881395">
      <w:pPr>
        <w:spacing w:after="0" w:line="240" w:lineRule="auto"/>
        <w:jc w:val="both"/>
        <w:rPr>
          <w:rFonts w:ascii="Times New Roman" w:hAnsi="Times New Roman" w:cs="Times New Roman"/>
          <w:sz w:val="24"/>
          <w:szCs w:val="24"/>
        </w:rPr>
      </w:pPr>
      <w:r w:rsidRPr="00881395">
        <w:rPr>
          <w:rFonts w:ascii="Times New Roman" w:hAnsi="Times New Roman" w:cs="Times New Roman"/>
          <w:sz w:val="24"/>
          <w:szCs w:val="24"/>
        </w:rPr>
        <w:t>V porovnaní s ostatnými krajinami EÚ je takýto stav ojedinelý, nakoľko  pôda ako jedna z</w:t>
      </w:r>
      <w:r w:rsidR="00FC7EB5" w:rsidRPr="00881395">
        <w:rPr>
          <w:rFonts w:ascii="Times New Roman" w:hAnsi="Times New Roman" w:cs="Times New Roman"/>
          <w:sz w:val="24"/>
          <w:szCs w:val="24"/>
        </w:rPr>
        <w:t xml:space="preserve"> hlavných</w:t>
      </w:r>
      <w:r w:rsidRPr="00881395">
        <w:rPr>
          <w:rFonts w:ascii="Times New Roman" w:hAnsi="Times New Roman" w:cs="Times New Roman"/>
          <w:sz w:val="24"/>
          <w:szCs w:val="24"/>
        </w:rPr>
        <w:t xml:space="preserve"> zložiek majetku poľnohospodárskych podnikov v ostatných členských krajinách EÚ tvorí až okolo 50 %. </w:t>
      </w:r>
      <w:r w:rsidR="00FC7EB5" w:rsidRPr="00881395">
        <w:rPr>
          <w:rFonts w:ascii="Times New Roman" w:hAnsi="Times New Roman" w:cs="Times New Roman"/>
          <w:sz w:val="24"/>
          <w:szCs w:val="24"/>
        </w:rPr>
        <w:t>Tento nepomer v porovnaní so situáciou v SR</w:t>
      </w:r>
      <w:r w:rsidRPr="00881395">
        <w:rPr>
          <w:rFonts w:ascii="Times New Roman" w:hAnsi="Times New Roman" w:cs="Times New Roman"/>
          <w:sz w:val="24"/>
          <w:szCs w:val="24"/>
        </w:rPr>
        <w:t xml:space="preserve"> je tým viac </w:t>
      </w:r>
      <w:r w:rsidR="00FC7EB5" w:rsidRPr="00881395">
        <w:rPr>
          <w:rFonts w:ascii="Times New Roman" w:hAnsi="Times New Roman" w:cs="Times New Roman"/>
          <w:sz w:val="24"/>
          <w:szCs w:val="24"/>
        </w:rPr>
        <w:t>alarmujúcejší</w:t>
      </w:r>
      <w:r w:rsidRPr="00881395">
        <w:rPr>
          <w:rFonts w:ascii="Times New Roman" w:hAnsi="Times New Roman" w:cs="Times New Roman"/>
          <w:sz w:val="24"/>
          <w:szCs w:val="24"/>
        </w:rPr>
        <w:t xml:space="preserve"> čím vyššia je priemerná výmera, na ktorej poľnohospodársky subjekt podniká.  </w:t>
      </w:r>
      <w:r w:rsidR="00FC7EB5" w:rsidRPr="00881395">
        <w:rPr>
          <w:rFonts w:ascii="Times New Roman" w:hAnsi="Times New Roman" w:cs="Times New Roman"/>
          <w:sz w:val="24"/>
          <w:szCs w:val="24"/>
        </w:rPr>
        <w:t>Priemerná výmera, na ktorej podniká poľnohospodársky subjekt v SR predstavuje viac ako 500 ha, čo je suverénne najvyššia priemerná výmera v celej EÚ.</w:t>
      </w:r>
    </w:p>
    <w:p w:rsidR="00AC3B37" w:rsidRDefault="00AC3B37" w:rsidP="00AC3B37">
      <w:pPr>
        <w:spacing w:after="0" w:line="240" w:lineRule="auto"/>
        <w:jc w:val="both"/>
        <w:rPr>
          <w:rFonts w:ascii="Times New Roman" w:hAnsi="Times New Roman" w:cs="Times New Roman"/>
          <w:sz w:val="24"/>
          <w:szCs w:val="24"/>
        </w:rPr>
      </w:pPr>
    </w:p>
    <w:p w:rsidR="00817EFC" w:rsidRDefault="00817EFC" w:rsidP="00AC3B37">
      <w:pPr>
        <w:spacing w:after="0" w:line="240" w:lineRule="auto"/>
        <w:jc w:val="both"/>
        <w:rPr>
          <w:rFonts w:ascii="Times New Roman" w:hAnsi="Times New Roman" w:cs="Times New Roman"/>
          <w:sz w:val="24"/>
          <w:szCs w:val="24"/>
        </w:rPr>
      </w:pPr>
    </w:p>
    <w:p w:rsidR="00817EFC" w:rsidRDefault="00817EFC" w:rsidP="00AC3B37">
      <w:pPr>
        <w:spacing w:after="0" w:line="240" w:lineRule="auto"/>
        <w:jc w:val="both"/>
        <w:rPr>
          <w:rFonts w:ascii="Times New Roman" w:hAnsi="Times New Roman" w:cs="Times New Roman"/>
          <w:sz w:val="24"/>
          <w:szCs w:val="24"/>
        </w:rPr>
      </w:pPr>
    </w:p>
    <w:p w:rsidR="00AC3B37" w:rsidRPr="007E6EE1" w:rsidRDefault="00854835" w:rsidP="007E6EE1">
      <w:pPr>
        <w:pStyle w:val="Nadpis3"/>
        <w:numPr>
          <w:ilvl w:val="2"/>
          <w:numId w:val="8"/>
        </w:numPr>
        <w:rPr>
          <w:rFonts w:eastAsia="Calibri"/>
          <w:szCs w:val="24"/>
        </w:rPr>
      </w:pPr>
      <w:bookmarkStart w:id="11" w:name="_Toc359550632"/>
      <w:r>
        <w:rPr>
          <w:rFonts w:eastAsia="Calibri"/>
          <w:szCs w:val="24"/>
        </w:rPr>
        <w:lastRenderedPageBreak/>
        <w:t>Súčasný stav financovania podnikov v potravinárstve</w:t>
      </w:r>
      <w:bookmarkEnd w:id="11"/>
      <w:r>
        <w:rPr>
          <w:rFonts w:eastAsia="Calibri"/>
          <w:szCs w:val="24"/>
        </w:rPr>
        <w:t xml:space="preserve"> </w:t>
      </w:r>
    </w:p>
    <w:p w:rsidR="00C34EF2" w:rsidRDefault="00C34EF2" w:rsidP="007E6EE1">
      <w:pPr>
        <w:spacing w:after="0" w:line="240" w:lineRule="auto"/>
        <w:jc w:val="both"/>
        <w:rPr>
          <w:rFonts w:ascii="Times New Roman" w:hAnsi="Times New Roman" w:cs="Times New Roman"/>
          <w:sz w:val="24"/>
          <w:szCs w:val="24"/>
        </w:rPr>
      </w:pPr>
    </w:p>
    <w:p w:rsidR="00433E42" w:rsidRDefault="00ED53BF" w:rsidP="007E6EE1">
      <w:pPr>
        <w:spacing w:after="0" w:line="240" w:lineRule="auto"/>
        <w:jc w:val="both"/>
        <w:rPr>
          <w:rFonts w:ascii="Times New Roman" w:hAnsi="Times New Roman" w:cs="Times New Roman"/>
          <w:sz w:val="24"/>
          <w:szCs w:val="24"/>
        </w:rPr>
      </w:pPr>
      <w:r w:rsidRPr="007E6EE1">
        <w:rPr>
          <w:rFonts w:ascii="Times New Roman" w:hAnsi="Times New Roman" w:cs="Times New Roman"/>
          <w:sz w:val="24"/>
          <w:szCs w:val="24"/>
        </w:rPr>
        <w:t>Potravinárske odvetvie bolo za posledných 10 rokov ziskové. Kontinuálne zvyšovanie výsledku hospodárenia sa zastavilo v roku 2007 a odvtedy bol vývoj medziročne kolísavý</w:t>
      </w:r>
      <w:r w:rsidR="007E6EE1">
        <w:rPr>
          <w:rFonts w:ascii="Times New Roman" w:hAnsi="Times New Roman" w:cs="Times New Roman"/>
          <w:sz w:val="24"/>
          <w:szCs w:val="24"/>
        </w:rPr>
        <w:t>, pričom z</w:t>
      </w:r>
      <w:r w:rsidRPr="007E6EE1">
        <w:rPr>
          <w:rFonts w:ascii="Times New Roman" w:hAnsi="Times New Roman" w:cs="Times New Roman"/>
          <w:sz w:val="24"/>
          <w:szCs w:val="24"/>
        </w:rPr>
        <w:t xml:space="preserve"> celkového počtu po</w:t>
      </w:r>
      <w:r w:rsidR="007E6EE1">
        <w:rPr>
          <w:rFonts w:ascii="Times New Roman" w:hAnsi="Times New Roman" w:cs="Times New Roman"/>
          <w:sz w:val="24"/>
          <w:szCs w:val="24"/>
        </w:rPr>
        <w:t>dnikov bolo za posledné sledované obdobie (2011) až 63% podnikov ziskových</w:t>
      </w:r>
      <w:r w:rsidRPr="007E6EE1">
        <w:rPr>
          <w:rFonts w:ascii="Times New Roman" w:hAnsi="Times New Roman" w:cs="Times New Roman"/>
          <w:sz w:val="24"/>
          <w:szCs w:val="24"/>
        </w:rPr>
        <w:t xml:space="preserve">. </w:t>
      </w:r>
    </w:p>
    <w:p w:rsidR="0078595B" w:rsidRPr="007E6EE1" w:rsidRDefault="0078595B" w:rsidP="007E6EE1">
      <w:pPr>
        <w:spacing w:after="0" w:line="240" w:lineRule="auto"/>
        <w:jc w:val="both"/>
        <w:rPr>
          <w:rFonts w:ascii="Times New Roman" w:hAnsi="Times New Roman" w:cs="Times New Roman"/>
          <w:sz w:val="24"/>
          <w:szCs w:val="24"/>
        </w:rPr>
      </w:pPr>
    </w:p>
    <w:p w:rsidR="00ED53BF" w:rsidRPr="007E6EE1" w:rsidRDefault="007E6EE1" w:rsidP="007E6EE1">
      <w:pPr>
        <w:pStyle w:val="Zkladntext"/>
        <w:keepNext/>
        <w:spacing w:after="0" w:line="240" w:lineRule="auto"/>
        <w:rPr>
          <w:rFonts w:ascii="Times New Roman" w:hAnsi="Times New Roman" w:cs="Times New Roman"/>
          <w:sz w:val="20"/>
          <w:szCs w:val="20"/>
        </w:rPr>
      </w:pPr>
      <w:r>
        <w:rPr>
          <w:rFonts w:ascii="Times New Roman" w:hAnsi="Times New Roman" w:cs="Times New Roman"/>
          <w:sz w:val="20"/>
          <w:szCs w:val="20"/>
        </w:rPr>
        <w:t>Tab. č. 11</w:t>
      </w:r>
      <w:r w:rsidRPr="00A855A4">
        <w:rPr>
          <w:rFonts w:ascii="Times New Roman" w:hAnsi="Times New Roman" w:cs="Times New Roman"/>
          <w:sz w:val="20"/>
          <w:szCs w:val="20"/>
        </w:rPr>
        <w:t xml:space="preserve">: </w:t>
      </w:r>
      <w:r w:rsidRPr="007E6EE1">
        <w:rPr>
          <w:rFonts w:ascii="Times New Roman" w:hAnsi="Times New Roman" w:cs="Times New Roman"/>
          <w:sz w:val="20"/>
          <w:szCs w:val="20"/>
        </w:rPr>
        <w:t>Ekonomické výsledky potravinárskeho priemyslu v mil. EUR</w:t>
      </w:r>
    </w:p>
    <w:tbl>
      <w:tblPr>
        <w:tblW w:w="9087" w:type="dxa"/>
        <w:tblInd w:w="55" w:type="dxa"/>
        <w:tblCellMar>
          <w:left w:w="70" w:type="dxa"/>
          <w:right w:w="70" w:type="dxa"/>
        </w:tblCellMar>
        <w:tblLook w:val="04A0" w:firstRow="1" w:lastRow="0" w:firstColumn="1" w:lastColumn="0" w:noHBand="0" w:noVBand="1"/>
      </w:tblPr>
      <w:tblGrid>
        <w:gridCol w:w="2992"/>
        <w:gridCol w:w="1120"/>
        <w:gridCol w:w="1006"/>
        <w:gridCol w:w="993"/>
        <w:gridCol w:w="992"/>
        <w:gridCol w:w="992"/>
        <w:gridCol w:w="992"/>
      </w:tblGrid>
      <w:tr w:rsidR="007E6EE1" w:rsidRPr="007E6EE1" w:rsidTr="00B86750">
        <w:trPr>
          <w:trHeight w:val="300"/>
        </w:trPr>
        <w:tc>
          <w:tcPr>
            <w:tcW w:w="2992" w:type="dxa"/>
            <w:tcBorders>
              <w:top w:val="single" w:sz="4" w:space="0" w:color="auto"/>
              <w:left w:val="nil"/>
              <w:bottom w:val="single" w:sz="4" w:space="0" w:color="auto"/>
              <w:right w:val="single" w:sz="4" w:space="0" w:color="auto"/>
            </w:tcBorders>
            <w:shd w:val="clear" w:color="000000" w:fill="D9D9D9"/>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 </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7E6EE1" w:rsidRPr="007E6EE1" w:rsidRDefault="007E6EE1" w:rsidP="007E6EE1">
            <w:pPr>
              <w:spacing w:after="0" w:line="240" w:lineRule="auto"/>
              <w:jc w:val="right"/>
              <w:rPr>
                <w:rFonts w:ascii="Times New Roman" w:eastAsia="Times New Roman" w:hAnsi="Times New Roman" w:cs="Times New Roman"/>
                <w:b/>
                <w:bCs/>
                <w:color w:val="000000"/>
                <w:sz w:val="20"/>
                <w:szCs w:val="20"/>
              </w:rPr>
            </w:pPr>
            <w:r w:rsidRPr="007E6EE1">
              <w:rPr>
                <w:rFonts w:ascii="Times New Roman" w:eastAsia="Times New Roman" w:hAnsi="Times New Roman" w:cs="Times New Roman"/>
                <w:b/>
                <w:bCs/>
                <w:color w:val="000000"/>
                <w:sz w:val="20"/>
                <w:szCs w:val="20"/>
              </w:rPr>
              <w:t>2002</w:t>
            </w:r>
          </w:p>
        </w:tc>
        <w:tc>
          <w:tcPr>
            <w:tcW w:w="1006" w:type="dxa"/>
            <w:tcBorders>
              <w:top w:val="single" w:sz="4" w:space="0" w:color="auto"/>
              <w:left w:val="nil"/>
              <w:bottom w:val="single" w:sz="4" w:space="0" w:color="auto"/>
              <w:right w:val="nil"/>
            </w:tcBorders>
            <w:shd w:val="clear" w:color="000000" w:fill="D9D9D9"/>
            <w:vAlign w:val="center"/>
            <w:hideMark/>
          </w:tcPr>
          <w:p w:rsidR="007E6EE1" w:rsidRPr="007E6EE1" w:rsidRDefault="007E6EE1" w:rsidP="007E6EE1">
            <w:pPr>
              <w:spacing w:after="0" w:line="240" w:lineRule="auto"/>
              <w:jc w:val="right"/>
              <w:rPr>
                <w:rFonts w:ascii="Times New Roman" w:eastAsia="Times New Roman" w:hAnsi="Times New Roman" w:cs="Times New Roman"/>
                <w:b/>
                <w:bCs/>
                <w:color w:val="000000"/>
                <w:sz w:val="20"/>
                <w:szCs w:val="20"/>
              </w:rPr>
            </w:pPr>
            <w:r w:rsidRPr="007E6EE1">
              <w:rPr>
                <w:rFonts w:ascii="Times New Roman" w:eastAsia="Times New Roman" w:hAnsi="Times New Roman" w:cs="Times New Roman"/>
                <w:b/>
                <w:bCs/>
                <w:color w:val="000000"/>
                <w:sz w:val="20"/>
                <w:szCs w:val="20"/>
              </w:rPr>
              <w:t>2007</w:t>
            </w:r>
          </w:p>
        </w:tc>
        <w:tc>
          <w:tcPr>
            <w:tcW w:w="993" w:type="dxa"/>
            <w:tcBorders>
              <w:top w:val="single" w:sz="4" w:space="0" w:color="auto"/>
              <w:left w:val="nil"/>
              <w:bottom w:val="single" w:sz="4" w:space="0" w:color="auto"/>
              <w:right w:val="nil"/>
            </w:tcBorders>
            <w:shd w:val="clear" w:color="000000" w:fill="D9D9D9"/>
            <w:vAlign w:val="center"/>
            <w:hideMark/>
          </w:tcPr>
          <w:p w:rsidR="007E6EE1" w:rsidRPr="007E6EE1" w:rsidRDefault="007E6EE1" w:rsidP="007E6EE1">
            <w:pPr>
              <w:spacing w:after="0" w:line="240" w:lineRule="auto"/>
              <w:jc w:val="right"/>
              <w:rPr>
                <w:rFonts w:ascii="Times New Roman" w:eastAsia="Times New Roman" w:hAnsi="Times New Roman" w:cs="Times New Roman"/>
                <w:b/>
                <w:bCs/>
                <w:color w:val="000000"/>
                <w:sz w:val="20"/>
                <w:szCs w:val="20"/>
              </w:rPr>
            </w:pPr>
            <w:r w:rsidRPr="007E6EE1">
              <w:rPr>
                <w:rFonts w:ascii="Times New Roman" w:eastAsia="Times New Roman" w:hAnsi="Times New Roman" w:cs="Times New Roman"/>
                <w:b/>
                <w:bCs/>
                <w:color w:val="000000"/>
                <w:sz w:val="20"/>
                <w:szCs w:val="20"/>
              </w:rPr>
              <w:t>2008</w:t>
            </w:r>
          </w:p>
        </w:tc>
        <w:tc>
          <w:tcPr>
            <w:tcW w:w="992" w:type="dxa"/>
            <w:tcBorders>
              <w:top w:val="single" w:sz="4" w:space="0" w:color="auto"/>
              <w:left w:val="nil"/>
              <w:bottom w:val="single" w:sz="4" w:space="0" w:color="auto"/>
              <w:right w:val="nil"/>
            </w:tcBorders>
            <w:shd w:val="clear" w:color="000000" w:fill="D9D9D9"/>
            <w:vAlign w:val="center"/>
            <w:hideMark/>
          </w:tcPr>
          <w:p w:rsidR="007E6EE1" w:rsidRPr="007E6EE1" w:rsidRDefault="007E6EE1" w:rsidP="007E6EE1">
            <w:pPr>
              <w:spacing w:after="0" w:line="240" w:lineRule="auto"/>
              <w:jc w:val="right"/>
              <w:rPr>
                <w:rFonts w:ascii="Times New Roman" w:eastAsia="Times New Roman" w:hAnsi="Times New Roman" w:cs="Times New Roman"/>
                <w:b/>
                <w:bCs/>
                <w:color w:val="000000"/>
                <w:sz w:val="20"/>
                <w:szCs w:val="20"/>
              </w:rPr>
            </w:pPr>
            <w:r w:rsidRPr="007E6EE1">
              <w:rPr>
                <w:rFonts w:ascii="Times New Roman" w:eastAsia="Times New Roman" w:hAnsi="Times New Roman" w:cs="Times New Roman"/>
                <w:b/>
                <w:bCs/>
                <w:color w:val="000000"/>
                <w:sz w:val="20"/>
                <w:szCs w:val="20"/>
              </w:rPr>
              <w:t>2009</w:t>
            </w:r>
          </w:p>
        </w:tc>
        <w:tc>
          <w:tcPr>
            <w:tcW w:w="992" w:type="dxa"/>
            <w:tcBorders>
              <w:top w:val="single" w:sz="4" w:space="0" w:color="auto"/>
              <w:left w:val="nil"/>
              <w:bottom w:val="single" w:sz="4" w:space="0" w:color="auto"/>
              <w:right w:val="nil"/>
            </w:tcBorders>
            <w:shd w:val="clear" w:color="000000" w:fill="D9D9D9"/>
            <w:vAlign w:val="center"/>
            <w:hideMark/>
          </w:tcPr>
          <w:p w:rsidR="007E6EE1" w:rsidRPr="007E6EE1" w:rsidRDefault="007E6EE1" w:rsidP="007E6EE1">
            <w:pPr>
              <w:spacing w:after="0" w:line="240" w:lineRule="auto"/>
              <w:jc w:val="right"/>
              <w:rPr>
                <w:rFonts w:ascii="Times New Roman" w:eastAsia="Times New Roman" w:hAnsi="Times New Roman" w:cs="Times New Roman"/>
                <w:b/>
                <w:bCs/>
                <w:color w:val="000000"/>
                <w:sz w:val="20"/>
                <w:szCs w:val="20"/>
              </w:rPr>
            </w:pPr>
            <w:r w:rsidRPr="007E6EE1">
              <w:rPr>
                <w:rFonts w:ascii="Times New Roman" w:eastAsia="Times New Roman" w:hAnsi="Times New Roman" w:cs="Times New Roman"/>
                <w:b/>
                <w:bCs/>
                <w:color w:val="000000"/>
                <w:sz w:val="20"/>
                <w:szCs w:val="20"/>
              </w:rPr>
              <w:t>2010</w:t>
            </w:r>
          </w:p>
        </w:tc>
        <w:tc>
          <w:tcPr>
            <w:tcW w:w="992" w:type="dxa"/>
            <w:tcBorders>
              <w:top w:val="single" w:sz="4" w:space="0" w:color="auto"/>
              <w:left w:val="nil"/>
              <w:bottom w:val="single" w:sz="4" w:space="0" w:color="auto"/>
              <w:right w:val="nil"/>
            </w:tcBorders>
            <w:shd w:val="clear" w:color="000000" w:fill="D9D9D9"/>
            <w:vAlign w:val="center"/>
            <w:hideMark/>
          </w:tcPr>
          <w:p w:rsidR="007E6EE1" w:rsidRPr="007E6EE1" w:rsidRDefault="007E6EE1" w:rsidP="007E6EE1">
            <w:pPr>
              <w:spacing w:after="0" w:line="240" w:lineRule="auto"/>
              <w:jc w:val="right"/>
              <w:rPr>
                <w:rFonts w:ascii="Times New Roman" w:eastAsia="Times New Roman" w:hAnsi="Times New Roman" w:cs="Times New Roman"/>
                <w:b/>
                <w:bCs/>
                <w:color w:val="000000"/>
                <w:sz w:val="20"/>
                <w:szCs w:val="20"/>
              </w:rPr>
            </w:pPr>
            <w:r w:rsidRPr="007E6EE1">
              <w:rPr>
                <w:rFonts w:ascii="Times New Roman" w:eastAsia="Times New Roman" w:hAnsi="Times New Roman" w:cs="Times New Roman"/>
                <w:b/>
                <w:bCs/>
                <w:color w:val="000000"/>
                <w:sz w:val="20"/>
                <w:szCs w:val="20"/>
              </w:rPr>
              <w:t>2011</w:t>
            </w:r>
          </w:p>
        </w:tc>
      </w:tr>
      <w:tr w:rsidR="007E6EE1" w:rsidRPr="007E6EE1" w:rsidTr="00B86750">
        <w:trPr>
          <w:trHeight w:val="300"/>
        </w:trPr>
        <w:tc>
          <w:tcPr>
            <w:tcW w:w="2992" w:type="dxa"/>
            <w:tcBorders>
              <w:top w:val="nil"/>
              <w:left w:val="nil"/>
              <w:bottom w:val="nil"/>
              <w:right w:val="single" w:sz="4" w:space="0" w:color="auto"/>
            </w:tcBorders>
            <w:shd w:val="clear" w:color="auto" w:fill="auto"/>
            <w:vAlign w:val="center"/>
            <w:hideMark/>
          </w:tcPr>
          <w:p w:rsidR="007E6EE1" w:rsidRPr="007E6EE1" w:rsidRDefault="007E6EE1" w:rsidP="007E6EE1">
            <w:pPr>
              <w:spacing w:after="0" w:line="240" w:lineRule="auto"/>
              <w:rPr>
                <w:rFonts w:ascii="Times New Roman" w:eastAsia="Times New Roman" w:hAnsi="Times New Roman" w:cs="Times New Roman"/>
                <w:b/>
                <w:bCs/>
                <w:color w:val="000000"/>
                <w:sz w:val="20"/>
                <w:szCs w:val="20"/>
              </w:rPr>
            </w:pPr>
            <w:r w:rsidRPr="007E6EE1">
              <w:rPr>
                <w:rFonts w:ascii="Times New Roman" w:eastAsia="Times New Roman" w:hAnsi="Times New Roman" w:cs="Times New Roman"/>
                <w:b/>
                <w:bCs/>
                <w:color w:val="000000"/>
                <w:sz w:val="20"/>
                <w:szCs w:val="20"/>
              </w:rPr>
              <w:t>Výroba</w:t>
            </w:r>
          </w:p>
        </w:tc>
        <w:tc>
          <w:tcPr>
            <w:tcW w:w="1120" w:type="dxa"/>
            <w:tcBorders>
              <w:top w:val="nil"/>
              <w:left w:val="nil"/>
              <w:bottom w:val="nil"/>
              <w:right w:val="single" w:sz="4" w:space="0" w:color="auto"/>
            </w:tcBorders>
            <w:shd w:val="clear" w:color="auto" w:fill="auto"/>
            <w:noWrap/>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3 108,6</w:t>
            </w:r>
          </w:p>
        </w:tc>
        <w:tc>
          <w:tcPr>
            <w:tcW w:w="1006" w:type="dxa"/>
            <w:tcBorders>
              <w:top w:val="nil"/>
              <w:left w:val="nil"/>
              <w:bottom w:val="nil"/>
              <w:right w:val="nil"/>
            </w:tcBorders>
            <w:shd w:val="clear" w:color="auto" w:fill="auto"/>
            <w:noWrap/>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3 053,7</w:t>
            </w:r>
          </w:p>
        </w:tc>
        <w:tc>
          <w:tcPr>
            <w:tcW w:w="993" w:type="dxa"/>
            <w:tcBorders>
              <w:top w:val="nil"/>
              <w:left w:val="nil"/>
              <w:bottom w:val="nil"/>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3 120,3</w:t>
            </w:r>
          </w:p>
        </w:tc>
        <w:tc>
          <w:tcPr>
            <w:tcW w:w="992" w:type="dxa"/>
            <w:tcBorders>
              <w:top w:val="nil"/>
              <w:left w:val="nil"/>
              <w:bottom w:val="nil"/>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2 743,5</w:t>
            </w:r>
          </w:p>
        </w:tc>
        <w:tc>
          <w:tcPr>
            <w:tcW w:w="992" w:type="dxa"/>
            <w:tcBorders>
              <w:top w:val="nil"/>
              <w:left w:val="nil"/>
              <w:bottom w:val="nil"/>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2 729,0</w:t>
            </w:r>
          </w:p>
        </w:tc>
        <w:tc>
          <w:tcPr>
            <w:tcW w:w="992" w:type="dxa"/>
            <w:tcBorders>
              <w:top w:val="nil"/>
              <w:left w:val="nil"/>
              <w:bottom w:val="nil"/>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3 054,5</w:t>
            </w:r>
          </w:p>
        </w:tc>
      </w:tr>
      <w:tr w:rsidR="007E6EE1" w:rsidRPr="007E6EE1" w:rsidTr="00B86750">
        <w:trPr>
          <w:trHeight w:val="300"/>
        </w:trPr>
        <w:tc>
          <w:tcPr>
            <w:tcW w:w="2992" w:type="dxa"/>
            <w:tcBorders>
              <w:top w:val="nil"/>
              <w:left w:val="nil"/>
              <w:bottom w:val="nil"/>
              <w:right w:val="single" w:sz="4" w:space="0" w:color="auto"/>
            </w:tcBorders>
            <w:shd w:val="clear" w:color="000000" w:fill="F2F2F2"/>
            <w:vAlign w:val="center"/>
            <w:hideMark/>
          </w:tcPr>
          <w:p w:rsidR="007E6EE1" w:rsidRPr="007E6EE1" w:rsidRDefault="007E6EE1" w:rsidP="007E6EE1">
            <w:pPr>
              <w:spacing w:after="0" w:line="240" w:lineRule="auto"/>
              <w:rPr>
                <w:rFonts w:ascii="Times New Roman" w:eastAsia="Times New Roman" w:hAnsi="Times New Roman" w:cs="Times New Roman"/>
                <w:b/>
                <w:bCs/>
                <w:color w:val="000000"/>
                <w:sz w:val="20"/>
                <w:szCs w:val="20"/>
              </w:rPr>
            </w:pPr>
            <w:r w:rsidRPr="007E6EE1">
              <w:rPr>
                <w:rFonts w:ascii="Times New Roman" w:eastAsia="Times New Roman" w:hAnsi="Times New Roman" w:cs="Times New Roman"/>
                <w:b/>
                <w:bCs/>
                <w:color w:val="000000"/>
                <w:sz w:val="20"/>
                <w:szCs w:val="20"/>
              </w:rPr>
              <w:t>Náklady</w:t>
            </w:r>
          </w:p>
        </w:tc>
        <w:tc>
          <w:tcPr>
            <w:tcW w:w="1120" w:type="dxa"/>
            <w:tcBorders>
              <w:top w:val="nil"/>
              <w:left w:val="nil"/>
              <w:bottom w:val="nil"/>
              <w:right w:val="single" w:sz="4" w:space="0" w:color="auto"/>
            </w:tcBorders>
            <w:shd w:val="clear" w:color="000000" w:fill="F2F2F2"/>
            <w:vAlign w:val="center"/>
            <w:hideMark/>
          </w:tcPr>
          <w:p w:rsidR="007E6EE1" w:rsidRPr="007E6EE1" w:rsidRDefault="00B86750" w:rsidP="007E6EE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7E6EE1" w:rsidRPr="007E6EE1">
              <w:rPr>
                <w:rFonts w:ascii="Times New Roman" w:eastAsia="Times New Roman" w:hAnsi="Times New Roman" w:cs="Times New Roman"/>
                <w:color w:val="000000"/>
                <w:sz w:val="20"/>
                <w:szCs w:val="20"/>
              </w:rPr>
              <w:t xml:space="preserve"> 622,3</w:t>
            </w:r>
          </w:p>
        </w:tc>
        <w:tc>
          <w:tcPr>
            <w:tcW w:w="1006" w:type="dxa"/>
            <w:tcBorders>
              <w:top w:val="nil"/>
              <w:left w:val="nil"/>
              <w:bottom w:val="nil"/>
              <w:right w:val="nil"/>
            </w:tcBorders>
            <w:shd w:val="clear" w:color="000000" w:fill="F2F2F2"/>
            <w:noWrap/>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4 169,8</w:t>
            </w:r>
          </w:p>
        </w:tc>
        <w:tc>
          <w:tcPr>
            <w:tcW w:w="993" w:type="dxa"/>
            <w:tcBorders>
              <w:top w:val="nil"/>
              <w:left w:val="nil"/>
              <w:bottom w:val="nil"/>
              <w:right w:val="nil"/>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4 374,8</w:t>
            </w:r>
          </w:p>
        </w:tc>
        <w:tc>
          <w:tcPr>
            <w:tcW w:w="992" w:type="dxa"/>
            <w:tcBorders>
              <w:top w:val="nil"/>
              <w:left w:val="nil"/>
              <w:bottom w:val="nil"/>
              <w:right w:val="nil"/>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3 678,3</w:t>
            </w:r>
          </w:p>
        </w:tc>
        <w:tc>
          <w:tcPr>
            <w:tcW w:w="992" w:type="dxa"/>
            <w:tcBorders>
              <w:top w:val="nil"/>
              <w:left w:val="nil"/>
              <w:bottom w:val="nil"/>
              <w:right w:val="nil"/>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3 833,8</w:t>
            </w:r>
          </w:p>
        </w:tc>
        <w:tc>
          <w:tcPr>
            <w:tcW w:w="992" w:type="dxa"/>
            <w:tcBorders>
              <w:top w:val="nil"/>
              <w:left w:val="nil"/>
              <w:bottom w:val="nil"/>
              <w:right w:val="nil"/>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4 277,5</w:t>
            </w:r>
          </w:p>
        </w:tc>
      </w:tr>
      <w:tr w:rsidR="007E6EE1" w:rsidRPr="007E6EE1" w:rsidTr="00B86750">
        <w:trPr>
          <w:trHeight w:val="300"/>
        </w:trPr>
        <w:tc>
          <w:tcPr>
            <w:tcW w:w="2992" w:type="dxa"/>
            <w:tcBorders>
              <w:top w:val="nil"/>
              <w:left w:val="nil"/>
              <w:bottom w:val="nil"/>
              <w:right w:val="single" w:sz="4" w:space="0" w:color="auto"/>
            </w:tcBorders>
            <w:shd w:val="clear" w:color="auto" w:fill="auto"/>
            <w:vAlign w:val="center"/>
            <w:hideMark/>
          </w:tcPr>
          <w:p w:rsidR="007E6EE1" w:rsidRPr="007E6EE1" w:rsidRDefault="007E6EE1" w:rsidP="007E6EE1">
            <w:pPr>
              <w:spacing w:after="0" w:line="240" w:lineRule="auto"/>
              <w:rPr>
                <w:rFonts w:ascii="Times New Roman" w:eastAsia="Times New Roman" w:hAnsi="Times New Roman" w:cs="Times New Roman"/>
                <w:b/>
                <w:bCs/>
                <w:color w:val="000000"/>
                <w:sz w:val="20"/>
                <w:szCs w:val="20"/>
              </w:rPr>
            </w:pPr>
            <w:r w:rsidRPr="007E6EE1">
              <w:rPr>
                <w:rFonts w:ascii="Times New Roman" w:eastAsia="Times New Roman" w:hAnsi="Times New Roman" w:cs="Times New Roman"/>
                <w:b/>
                <w:bCs/>
                <w:color w:val="000000"/>
                <w:sz w:val="20"/>
                <w:szCs w:val="20"/>
              </w:rPr>
              <w:t>Výnosy</w:t>
            </w:r>
          </w:p>
        </w:tc>
        <w:tc>
          <w:tcPr>
            <w:tcW w:w="1120" w:type="dxa"/>
            <w:tcBorders>
              <w:top w:val="nil"/>
              <w:left w:val="nil"/>
              <w:bottom w:val="nil"/>
              <w:right w:val="single" w:sz="4" w:space="0" w:color="auto"/>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4 114,0</w:t>
            </w:r>
          </w:p>
        </w:tc>
        <w:tc>
          <w:tcPr>
            <w:tcW w:w="1006" w:type="dxa"/>
            <w:tcBorders>
              <w:top w:val="nil"/>
              <w:left w:val="nil"/>
              <w:bottom w:val="nil"/>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4 264,0</w:t>
            </w:r>
          </w:p>
        </w:tc>
        <w:tc>
          <w:tcPr>
            <w:tcW w:w="993" w:type="dxa"/>
            <w:tcBorders>
              <w:top w:val="nil"/>
              <w:left w:val="nil"/>
              <w:bottom w:val="nil"/>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4 431,4</w:t>
            </w:r>
          </w:p>
        </w:tc>
        <w:tc>
          <w:tcPr>
            <w:tcW w:w="992" w:type="dxa"/>
            <w:tcBorders>
              <w:top w:val="nil"/>
              <w:left w:val="nil"/>
              <w:bottom w:val="nil"/>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3 793,4</w:t>
            </w:r>
          </w:p>
        </w:tc>
        <w:tc>
          <w:tcPr>
            <w:tcW w:w="992" w:type="dxa"/>
            <w:tcBorders>
              <w:top w:val="nil"/>
              <w:left w:val="nil"/>
              <w:bottom w:val="nil"/>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3 865,6</w:t>
            </w:r>
          </w:p>
        </w:tc>
        <w:tc>
          <w:tcPr>
            <w:tcW w:w="992" w:type="dxa"/>
            <w:tcBorders>
              <w:top w:val="nil"/>
              <w:left w:val="nil"/>
              <w:bottom w:val="nil"/>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4 354,2</w:t>
            </w:r>
          </w:p>
        </w:tc>
      </w:tr>
      <w:tr w:rsidR="007E6EE1" w:rsidRPr="007E6EE1" w:rsidTr="00B86750">
        <w:trPr>
          <w:trHeight w:val="300"/>
        </w:trPr>
        <w:tc>
          <w:tcPr>
            <w:tcW w:w="2992" w:type="dxa"/>
            <w:tcBorders>
              <w:top w:val="nil"/>
              <w:left w:val="nil"/>
              <w:bottom w:val="nil"/>
              <w:right w:val="single" w:sz="4" w:space="0" w:color="auto"/>
            </w:tcBorders>
            <w:shd w:val="clear" w:color="000000" w:fill="F2F2F2"/>
            <w:vAlign w:val="center"/>
            <w:hideMark/>
          </w:tcPr>
          <w:p w:rsidR="007E6EE1" w:rsidRPr="007E6EE1" w:rsidRDefault="007E6EE1" w:rsidP="007E6EE1">
            <w:pPr>
              <w:spacing w:after="0" w:line="240" w:lineRule="auto"/>
              <w:rPr>
                <w:rFonts w:ascii="Times New Roman" w:eastAsia="Times New Roman" w:hAnsi="Times New Roman" w:cs="Times New Roman"/>
                <w:b/>
                <w:bCs/>
                <w:color w:val="000000"/>
                <w:sz w:val="20"/>
                <w:szCs w:val="20"/>
              </w:rPr>
            </w:pPr>
            <w:r w:rsidRPr="007E6EE1">
              <w:rPr>
                <w:rFonts w:ascii="Times New Roman" w:eastAsia="Times New Roman" w:hAnsi="Times New Roman" w:cs="Times New Roman"/>
                <w:b/>
                <w:bCs/>
                <w:color w:val="000000"/>
                <w:sz w:val="20"/>
                <w:szCs w:val="20"/>
              </w:rPr>
              <w:t>Tržby za vlastné výrobky</w:t>
            </w:r>
          </w:p>
        </w:tc>
        <w:tc>
          <w:tcPr>
            <w:tcW w:w="1120" w:type="dxa"/>
            <w:tcBorders>
              <w:top w:val="nil"/>
              <w:left w:val="nil"/>
              <w:bottom w:val="nil"/>
              <w:right w:val="single" w:sz="4" w:space="0" w:color="auto"/>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2 957,3</w:t>
            </w:r>
          </w:p>
        </w:tc>
        <w:tc>
          <w:tcPr>
            <w:tcW w:w="1006" w:type="dxa"/>
            <w:tcBorders>
              <w:top w:val="nil"/>
              <w:left w:val="nil"/>
              <w:bottom w:val="nil"/>
              <w:right w:val="nil"/>
            </w:tcBorders>
            <w:shd w:val="clear" w:color="000000" w:fill="F2F2F2"/>
            <w:noWrap/>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3 005,9</w:t>
            </w:r>
          </w:p>
        </w:tc>
        <w:tc>
          <w:tcPr>
            <w:tcW w:w="993" w:type="dxa"/>
            <w:tcBorders>
              <w:top w:val="nil"/>
              <w:left w:val="nil"/>
              <w:bottom w:val="nil"/>
              <w:right w:val="nil"/>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3 073,1</w:t>
            </w:r>
          </w:p>
        </w:tc>
        <w:tc>
          <w:tcPr>
            <w:tcW w:w="992" w:type="dxa"/>
            <w:tcBorders>
              <w:top w:val="nil"/>
              <w:left w:val="nil"/>
              <w:bottom w:val="nil"/>
              <w:right w:val="nil"/>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2 708,4</w:t>
            </w:r>
          </w:p>
        </w:tc>
        <w:tc>
          <w:tcPr>
            <w:tcW w:w="992" w:type="dxa"/>
            <w:tcBorders>
              <w:top w:val="nil"/>
              <w:left w:val="nil"/>
              <w:bottom w:val="nil"/>
              <w:right w:val="nil"/>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2 679,8</w:t>
            </w:r>
          </w:p>
        </w:tc>
        <w:tc>
          <w:tcPr>
            <w:tcW w:w="992" w:type="dxa"/>
            <w:tcBorders>
              <w:top w:val="nil"/>
              <w:left w:val="nil"/>
              <w:bottom w:val="nil"/>
              <w:right w:val="nil"/>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2 963,2</w:t>
            </w:r>
          </w:p>
        </w:tc>
      </w:tr>
      <w:tr w:rsidR="007E6EE1" w:rsidRPr="007E6EE1" w:rsidTr="00B86750">
        <w:trPr>
          <w:trHeight w:val="300"/>
        </w:trPr>
        <w:tc>
          <w:tcPr>
            <w:tcW w:w="2992" w:type="dxa"/>
            <w:tcBorders>
              <w:top w:val="nil"/>
              <w:left w:val="nil"/>
              <w:bottom w:val="single" w:sz="4" w:space="0" w:color="auto"/>
              <w:right w:val="single" w:sz="4" w:space="0" w:color="auto"/>
            </w:tcBorders>
            <w:shd w:val="clear" w:color="auto" w:fill="auto"/>
            <w:vAlign w:val="center"/>
            <w:hideMark/>
          </w:tcPr>
          <w:p w:rsidR="007E6EE1" w:rsidRPr="007E6EE1" w:rsidRDefault="007E6EE1" w:rsidP="007E6EE1">
            <w:pPr>
              <w:spacing w:after="0" w:line="240" w:lineRule="auto"/>
              <w:rPr>
                <w:rFonts w:ascii="Times New Roman" w:eastAsia="Times New Roman" w:hAnsi="Times New Roman" w:cs="Times New Roman"/>
                <w:b/>
                <w:bCs/>
                <w:color w:val="000000"/>
                <w:sz w:val="20"/>
                <w:szCs w:val="20"/>
              </w:rPr>
            </w:pPr>
            <w:r w:rsidRPr="007E6EE1">
              <w:rPr>
                <w:rFonts w:ascii="Times New Roman" w:eastAsia="Times New Roman" w:hAnsi="Times New Roman" w:cs="Times New Roman"/>
                <w:b/>
                <w:bCs/>
                <w:color w:val="000000"/>
                <w:sz w:val="20"/>
                <w:szCs w:val="20"/>
              </w:rPr>
              <w:t>Tržby za predaj tovaru</w:t>
            </w:r>
          </w:p>
        </w:tc>
        <w:tc>
          <w:tcPr>
            <w:tcW w:w="1120" w:type="dxa"/>
            <w:tcBorders>
              <w:top w:val="nil"/>
              <w:left w:val="nil"/>
              <w:bottom w:val="single" w:sz="4" w:space="0" w:color="auto"/>
              <w:right w:val="single" w:sz="4" w:space="0" w:color="auto"/>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733,3</w:t>
            </w:r>
          </w:p>
        </w:tc>
        <w:tc>
          <w:tcPr>
            <w:tcW w:w="1006" w:type="dxa"/>
            <w:tcBorders>
              <w:top w:val="nil"/>
              <w:left w:val="nil"/>
              <w:bottom w:val="single" w:sz="4" w:space="0" w:color="auto"/>
              <w:right w:val="nil"/>
            </w:tcBorders>
            <w:shd w:val="clear" w:color="auto" w:fill="auto"/>
            <w:noWrap/>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907,2</w:t>
            </w:r>
          </w:p>
        </w:tc>
        <w:tc>
          <w:tcPr>
            <w:tcW w:w="993" w:type="dxa"/>
            <w:tcBorders>
              <w:top w:val="nil"/>
              <w:left w:val="nil"/>
              <w:bottom w:val="single" w:sz="4" w:space="0" w:color="auto"/>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886,1</w:t>
            </w:r>
          </w:p>
        </w:tc>
        <w:tc>
          <w:tcPr>
            <w:tcW w:w="992" w:type="dxa"/>
            <w:tcBorders>
              <w:top w:val="nil"/>
              <w:left w:val="nil"/>
              <w:bottom w:val="single" w:sz="4" w:space="0" w:color="auto"/>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821,7</w:t>
            </w:r>
          </w:p>
        </w:tc>
        <w:tc>
          <w:tcPr>
            <w:tcW w:w="992" w:type="dxa"/>
            <w:tcBorders>
              <w:top w:val="nil"/>
              <w:left w:val="nil"/>
              <w:bottom w:val="single" w:sz="4" w:space="0" w:color="auto"/>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667,9</w:t>
            </w:r>
          </w:p>
        </w:tc>
        <w:tc>
          <w:tcPr>
            <w:tcW w:w="992" w:type="dxa"/>
            <w:tcBorders>
              <w:top w:val="nil"/>
              <w:left w:val="nil"/>
              <w:bottom w:val="single" w:sz="4" w:space="0" w:color="auto"/>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684,8</w:t>
            </w:r>
          </w:p>
        </w:tc>
      </w:tr>
      <w:tr w:rsidR="007E6EE1" w:rsidRPr="007E6EE1" w:rsidTr="00B86750">
        <w:trPr>
          <w:trHeight w:val="300"/>
        </w:trPr>
        <w:tc>
          <w:tcPr>
            <w:tcW w:w="2992" w:type="dxa"/>
            <w:tcBorders>
              <w:top w:val="single" w:sz="4" w:space="0" w:color="auto"/>
              <w:left w:val="nil"/>
              <w:bottom w:val="single" w:sz="4" w:space="0" w:color="auto"/>
              <w:right w:val="single" w:sz="4" w:space="0" w:color="auto"/>
            </w:tcBorders>
            <w:shd w:val="clear" w:color="000000" w:fill="F2F2F2"/>
            <w:vAlign w:val="center"/>
            <w:hideMark/>
          </w:tcPr>
          <w:p w:rsidR="007E6EE1" w:rsidRPr="007E6EE1" w:rsidRDefault="007E6EE1" w:rsidP="007E6EE1">
            <w:pPr>
              <w:spacing w:after="0" w:line="240" w:lineRule="auto"/>
              <w:rPr>
                <w:rFonts w:ascii="Times New Roman" w:eastAsia="Times New Roman" w:hAnsi="Times New Roman" w:cs="Times New Roman"/>
                <w:b/>
                <w:bCs/>
                <w:color w:val="000000"/>
                <w:sz w:val="20"/>
                <w:szCs w:val="20"/>
              </w:rPr>
            </w:pPr>
            <w:r w:rsidRPr="007E6EE1">
              <w:rPr>
                <w:rFonts w:ascii="Times New Roman" w:eastAsia="Times New Roman" w:hAnsi="Times New Roman" w:cs="Times New Roman"/>
                <w:b/>
                <w:bCs/>
                <w:color w:val="000000"/>
                <w:sz w:val="20"/>
                <w:szCs w:val="20"/>
              </w:rPr>
              <w:t>Výsledok hospodárenia</w:t>
            </w:r>
          </w:p>
        </w:tc>
        <w:tc>
          <w:tcPr>
            <w:tcW w:w="1120" w:type="dxa"/>
            <w:tcBorders>
              <w:top w:val="single" w:sz="4" w:space="0" w:color="auto"/>
              <w:left w:val="nil"/>
              <w:bottom w:val="single" w:sz="4" w:space="0" w:color="auto"/>
              <w:right w:val="single" w:sz="4" w:space="0" w:color="auto"/>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51,7</w:t>
            </w:r>
          </w:p>
        </w:tc>
        <w:tc>
          <w:tcPr>
            <w:tcW w:w="1006" w:type="dxa"/>
            <w:tcBorders>
              <w:top w:val="single" w:sz="4" w:space="0" w:color="auto"/>
              <w:left w:val="nil"/>
              <w:bottom w:val="single" w:sz="4" w:space="0" w:color="auto"/>
              <w:right w:val="nil"/>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94,5</w:t>
            </w:r>
          </w:p>
        </w:tc>
        <w:tc>
          <w:tcPr>
            <w:tcW w:w="993" w:type="dxa"/>
            <w:tcBorders>
              <w:top w:val="single" w:sz="4" w:space="0" w:color="auto"/>
              <w:left w:val="nil"/>
              <w:bottom w:val="single" w:sz="4" w:space="0" w:color="auto"/>
              <w:right w:val="nil"/>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37,3</w:t>
            </w:r>
          </w:p>
        </w:tc>
        <w:tc>
          <w:tcPr>
            <w:tcW w:w="992" w:type="dxa"/>
            <w:tcBorders>
              <w:top w:val="single" w:sz="4" w:space="0" w:color="auto"/>
              <w:left w:val="nil"/>
              <w:bottom w:val="single" w:sz="4" w:space="0" w:color="auto"/>
              <w:right w:val="nil"/>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115,1</w:t>
            </w:r>
          </w:p>
        </w:tc>
        <w:tc>
          <w:tcPr>
            <w:tcW w:w="992" w:type="dxa"/>
            <w:tcBorders>
              <w:top w:val="single" w:sz="4" w:space="0" w:color="auto"/>
              <w:left w:val="nil"/>
              <w:bottom w:val="single" w:sz="4" w:space="0" w:color="auto"/>
              <w:right w:val="nil"/>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31,8</w:t>
            </w:r>
          </w:p>
        </w:tc>
        <w:tc>
          <w:tcPr>
            <w:tcW w:w="992" w:type="dxa"/>
            <w:tcBorders>
              <w:top w:val="single" w:sz="4" w:space="0" w:color="auto"/>
              <w:left w:val="nil"/>
              <w:bottom w:val="single" w:sz="4" w:space="0" w:color="auto"/>
              <w:right w:val="nil"/>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76,7</w:t>
            </w:r>
          </w:p>
        </w:tc>
      </w:tr>
      <w:tr w:rsidR="007E6EE1" w:rsidRPr="007E6EE1" w:rsidTr="00B86750">
        <w:trPr>
          <w:trHeight w:val="300"/>
        </w:trPr>
        <w:tc>
          <w:tcPr>
            <w:tcW w:w="2992" w:type="dxa"/>
            <w:tcBorders>
              <w:top w:val="single" w:sz="4" w:space="0" w:color="auto"/>
              <w:left w:val="nil"/>
              <w:bottom w:val="nil"/>
              <w:right w:val="single" w:sz="4" w:space="0" w:color="auto"/>
            </w:tcBorders>
            <w:shd w:val="clear" w:color="auto" w:fill="auto"/>
            <w:vAlign w:val="center"/>
            <w:hideMark/>
          </w:tcPr>
          <w:p w:rsidR="007E6EE1" w:rsidRPr="007E6EE1" w:rsidRDefault="007E6EE1" w:rsidP="007E6EE1">
            <w:pPr>
              <w:spacing w:after="0" w:line="240" w:lineRule="auto"/>
              <w:rPr>
                <w:rFonts w:ascii="Times New Roman" w:eastAsia="Times New Roman" w:hAnsi="Times New Roman" w:cs="Times New Roman"/>
                <w:b/>
                <w:bCs/>
                <w:color w:val="000000"/>
                <w:sz w:val="20"/>
                <w:szCs w:val="20"/>
              </w:rPr>
            </w:pPr>
            <w:r w:rsidRPr="007E6EE1">
              <w:rPr>
                <w:rFonts w:ascii="Times New Roman" w:eastAsia="Times New Roman" w:hAnsi="Times New Roman" w:cs="Times New Roman"/>
                <w:b/>
                <w:bCs/>
                <w:color w:val="000000"/>
                <w:sz w:val="20"/>
                <w:szCs w:val="20"/>
              </w:rPr>
              <w:t>Obstarané investície</w:t>
            </w:r>
          </w:p>
        </w:tc>
        <w:tc>
          <w:tcPr>
            <w:tcW w:w="1120" w:type="dxa"/>
            <w:tcBorders>
              <w:top w:val="single" w:sz="4" w:space="0" w:color="auto"/>
              <w:left w:val="nil"/>
              <w:bottom w:val="nil"/>
              <w:right w:val="single" w:sz="4" w:space="0" w:color="auto"/>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198,9</w:t>
            </w:r>
          </w:p>
        </w:tc>
        <w:tc>
          <w:tcPr>
            <w:tcW w:w="1006" w:type="dxa"/>
            <w:tcBorders>
              <w:top w:val="single" w:sz="4" w:space="0" w:color="auto"/>
              <w:left w:val="nil"/>
              <w:bottom w:val="nil"/>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348,7</w:t>
            </w:r>
          </w:p>
        </w:tc>
        <w:tc>
          <w:tcPr>
            <w:tcW w:w="993" w:type="dxa"/>
            <w:tcBorders>
              <w:top w:val="single" w:sz="4" w:space="0" w:color="auto"/>
              <w:left w:val="nil"/>
              <w:bottom w:val="nil"/>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321,4</w:t>
            </w:r>
          </w:p>
        </w:tc>
        <w:tc>
          <w:tcPr>
            <w:tcW w:w="992" w:type="dxa"/>
            <w:tcBorders>
              <w:top w:val="single" w:sz="4" w:space="0" w:color="auto"/>
              <w:left w:val="nil"/>
              <w:bottom w:val="nil"/>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341,9</w:t>
            </w:r>
          </w:p>
        </w:tc>
        <w:tc>
          <w:tcPr>
            <w:tcW w:w="992" w:type="dxa"/>
            <w:tcBorders>
              <w:top w:val="single" w:sz="4" w:space="0" w:color="auto"/>
              <w:left w:val="nil"/>
              <w:bottom w:val="nil"/>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228,4</w:t>
            </w:r>
          </w:p>
        </w:tc>
        <w:tc>
          <w:tcPr>
            <w:tcW w:w="992" w:type="dxa"/>
            <w:tcBorders>
              <w:top w:val="single" w:sz="4" w:space="0" w:color="auto"/>
              <w:left w:val="nil"/>
              <w:bottom w:val="nil"/>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204,1</w:t>
            </w:r>
          </w:p>
        </w:tc>
      </w:tr>
      <w:tr w:rsidR="007E6EE1" w:rsidRPr="007E6EE1" w:rsidTr="00B86750">
        <w:trPr>
          <w:trHeight w:val="300"/>
        </w:trPr>
        <w:tc>
          <w:tcPr>
            <w:tcW w:w="2992" w:type="dxa"/>
            <w:tcBorders>
              <w:top w:val="nil"/>
              <w:left w:val="nil"/>
              <w:bottom w:val="nil"/>
              <w:right w:val="single" w:sz="4" w:space="0" w:color="auto"/>
            </w:tcBorders>
            <w:shd w:val="clear" w:color="000000" w:fill="F2F2F2"/>
            <w:vAlign w:val="center"/>
            <w:hideMark/>
          </w:tcPr>
          <w:p w:rsidR="007E6EE1" w:rsidRPr="007E6EE1" w:rsidRDefault="007E6EE1" w:rsidP="007E6EE1">
            <w:pPr>
              <w:spacing w:after="0" w:line="240" w:lineRule="auto"/>
              <w:ind w:firstLineChars="500" w:firstLine="1000"/>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          budovy</w:t>
            </w:r>
          </w:p>
        </w:tc>
        <w:tc>
          <w:tcPr>
            <w:tcW w:w="1120" w:type="dxa"/>
            <w:tcBorders>
              <w:top w:val="nil"/>
              <w:left w:val="nil"/>
              <w:bottom w:val="nil"/>
              <w:right w:val="single" w:sz="4" w:space="0" w:color="auto"/>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36,8</w:t>
            </w:r>
          </w:p>
        </w:tc>
        <w:tc>
          <w:tcPr>
            <w:tcW w:w="1006" w:type="dxa"/>
            <w:tcBorders>
              <w:top w:val="nil"/>
              <w:left w:val="nil"/>
              <w:bottom w:val="nil"/>
              <w:right w:val="nil"/>
            </w:tcBorders>
            <w:shd w:val="clear" w:color="000000" w:fill="F2F2F2"/>
            <w:noWrap/>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83,7</w:t>
            </w:r>
          </w:p>
        </w:tc>
        <w:tc>
          <w:tcPr>
            <w:tcW w:w="993" w:type="dxa"/>
            <w:tcBorders>
              <w:top w:val="nil"/>
              <w:left w:val="nil"/>
              <w:bottom w:val="nil"/>
              <w:right w:val="nil"/>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77,2</w:t>
            </w:r>
          </w:p>
        </w:tc>
        <w:tc>
          <w:tcPr>
            <w:tcW w:w="992" w:type="dxa"/>
            <w:tcBorders>
              <w:top w:val="nil"/>
              <w:left w:val="nil"/>
              <w:bottom w:val="nil"/>
              <w:right w:val="nil"/>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94,3</w:t>
            </w:r>
          </w:p>
        </w:tc>
        <w:tc>
          <w:tcPr>
            <w:tcW w:w="992" w:type="dxa"/>
            <w:tcBorders>
              <w:top w:val="nil"/>
              <w:left w:val="nil"/>
              <w:bottom w:val="nil"/>
              <w:right w:val="nil"/>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53,0</w:t>
            </w:r>
          </w:p>
        </w:tc>
        <w:tc>
          <w:tcPr>
            <w:tcW w:w="992" w:type="dxa"/>
            <w:tcBorders>
              <w:top w:val="nil"/>
              <w:left w:val="nil"/>
              <w:bottom w:val="nil"/>
              <w:right w:val="nil"/>
            </w:tcBorders>
            <w:shd w:val="clear" w:color="000000" w:fill="F2F2F2"/>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56,7</w:t>
            </w:r>
          </w:p>
        </w:tc>
      </w:tr>
      <w:tr w:rsidR="007E6EE1" w:rsidRPr="007E6EE1" w:rsidTr="00B86750">
        <w:trPr>
          <w:trHeight w:val="300"/>
        </w:trPr>
        <w:tc>
          <w:tcPr>
            <w:tcW w:w="2992" w:type="dxa"/>
            <w:tcBorders>
              <w:top w:val="nil"/>
              <w:left w:val="nil"/>
              <w:bottom w:val="single" w:sz="4" w:space="0" w:color="auto"/>
              <w:right w:val="single" w:sz="4" w:space="0" w:color="auto"/>
            </w:tcBorders>
            <w:shd w:val="clear" w:color="auto" w:fill="auto"/>
            <w:vAlign w:val="center"/>
            <w:hideMark/>
          </w:tcPr>
          <w:p w:rsidR="007E6EE1" w:rsidRPr="007E6EE1" w:rsidRDefault="007E6EE1" w:rsidP="007E6EE1">
            <w:pPr>
              <w:spacing w:after="0" w:line="240" w:lineRule="auto"/>
              <w:ind w:firstLineChars="500" w:firstLine="1000"/>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          technológie</w:t>
            </w:r>
          </w:p>
        </w:tc>
        <w:tc>
          <w:tcPr>
            <w:tcW w:w="1120" w:type="dxa"/>
            <w:tcBorders>
              <w:top w:val="nil"/>
              <w:left w:val="nil"/>
              <w:bottom w:val="single" w:sz="4" w:space="0" w:color="auto"/>
              <w:right w:val="single" w:sz="4" w:space="0" w:color="auto"/>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128,1</w:t>
            </w:r>
          </w:p>
        </w:tc>
        <w:tc>
          <w:tcPr>
            <w:tcW w:w="1006" w:type="dxa"/>
            <w:tcBorders>
              <w:top w:val="nil"/>
              <w:left w:val="nil"/>
              <w:bottom w:val="single" w:sz="4" w:space="0" w:color="auto"/>
              <w:right w:val="nil"/>
            </w:tcBorders>
            <w:shd w:val="clear" w:color="auto" w:fill="auto"/>
            <w:noWrap/>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198,5</w:t>
            </w:r>
          </w:p>
        </w:tc>
        <w:tc>
          <w:tcPr>
            <w:tcW w:w="993" w:type="dxa"/>
            <w:tcBorders>
              <w:top w:val="nil"/>
              <w:left w:val="nil"/>
              <w:bottom w:val="single" w:sz="4" w:space="0" w:color="auto"/>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176,2</w:t>
            </w:r>
          </w:p>
        </w:tc>
        <w:tc>
          <w:tcPr>
            <w:tcW w:w="992" w:type="dxa"/>
            <w:tcBorders>
              <w:top w:val="nil"/>
              <w:left w:val="nil"/>
              <w:bottom w:val="single" w:sz="4" w:space="0" w:color="auto"/>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200,0</w:t>
            </w:r>
          </w:p>
        </w:tc>
        <w:tc>
          <w:tcPr>
            <w:tcW w:w="992" w:type="dxa"/>
            <w:tcBorders>
              <w:top w:val="nil"/>
              <w:left w:val="nil"/>
              <w:bottom w:val="single" w:sz="4" w:space="0" w:color="auto"/>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146,8</w:t>
            </w:r>
          </w:p>
        </w:tc>
        <w:tc>
          <w:tcPr>
            <w:tcW w:w="992" w:type="dxa"/>
            <w:tcBorders>
              <w:top w:val="nil"/>
              <w:left w:val="nil"/>
              <w:bottom w:val="single" w:sz="4" w:space="0" w:color="auto"/>
              <w:right w:val="nil"/>
            </w:tcBorders>
            <w:shd w:val="clear" w:color="auto" w:fill="auto"/>
            <w:vAlign w:val="center"/>
            <w:hideMark/>
          </w:tcPr>
          <w:p w:rsidR="007E6EE1" w:rsidRPr="007E6EE1" w:rsidRDefault="007E6EE1" w:rsidP="007E6EE1">
            <w:pPr>
              <w:spacing w:after="0" w:line="240" w:lineRule="auto"/>
              <w:jc w:val="right"/>
              <w:rPr>
                <w:rFonts w:ascii="Times New Roman" w:eastAsia="Times New Roman" w:hAnsi="Times New Roman" w:cs="Times New Roman"/>
                <w:color w:val="000000"/>
                <w:sz w:val="20"/>
                <w:szCs w:val="20"/>
              </w:rPr>
            </w:pPr>
            <w:r w:rsidRPr="007E6EE1">
              <w:rPr>
                <w:rFonts w:ascii="Times New Roman" w:eastAsia="Times New Roman" w:hAnsi="Times New Roman" w:cs="Times New Roman"/>
                <w:color w:val="000000"/>
                <w:sz w:val="20"/>
                <w:szCs w:val="20"/>
              </w:rPr>
              <w:t>124,1</w:t>
            </w:r>
          </w:p>
        </w:tc>
      </w:tr>
    </w:tbl>
    <w:p w:rsidR="00ED53BF" w:rsidRPr="00C814AB" w:rsidRDefault="00B86750" w:rsidP="00B86750">
      <w:pPr>
        <w:pStyle w:val="Obycajntext"/>
        <w:keepNext/>
        <w:jc w:val="right"/>
        <w:rPr>
          <w:rFonts w:ascii="Times New Roman" w:hAnsi="Times New Roman"/>
          <w:snapToGrid w:val="0"/>
          <w:lang w:val="sk-SK"/>
        </w:rPr>
      </w:pPr>
      <w:r>
        <w:rPr>
          <w:rFonts w:ascii="Times New Roman" w:hAnsi="Times New Roman"/>
          <w:snapToGrid w:val="0"/>
          <w:lang w:val="sk-SK"/>
        </w:rPr>
        <w:t>Zdroj</w:t>
      </w:r>
      <w:r w:rsidR="00ED53BF" w:rsidRPr="00C814AB">
        <w:rPr>
          <w:rFonts w:ascii="Times New Roman" w:hAnsi="Times New Roman"/>
          <w:snapToGrid w:val="0"/>
          <w:lang w:val="sk-SK"/>
        </w:rPr>
        <w:t xml:space="preserve">: POTRAV (MPRV </w:t>
      </w:r>
      <w:r w:rsidR="00ED53BF">
        <w:rPr>
          <w:rFonts w:ascii="Times New Roman" w:hAnsi="Times New Roman"/>
          <w:snapToGrid w:val="0"/>
          <w:lang w:val="sk-SK"/>
        </w:rPr>
        <w:t>SR) 1-02, CD MPRV SR</w:t>
      </w:r>
    </w:p>
    <w:p w:rsidR="007E6EE1" w:rsidRDefault="007E6EE1" w:rsidP="007E6EE1">
      <w:pPr>
        <w:spacing w:after="0" w:line="240" w:lineRule="auto"/>
        <w:jc w:val="both"/>
        <w:rPr>
          <w:rFonts w:ascii="Times New Roman" w:hAnsi="Times New Roman" w:cs="Times New Roman"/>
          <w:sz w:val="24"/>
          <w:szCs w:val="24"/>
        </w:rPr>
      </w:pPr>
    </w:p>
    <w:p w:rsidR="007E6EE1" w:rsidRDefault="007E6EE1" w:rsidP="007E6EE1">
      <w:pPr>
        <w:spacing w:after="0" w:line="240" w:lineRule="auto"/>
        <w:jc w:val="both"/>
        <w:rPr>
          <w:rFonts w:ascii="Times New Roman" w:hAnsi="Times New Roman" w:cs="Times New Roman"/>
          <w:sz w:val="24"/>
          <w:szCs w:val="24"/>
        </w:rPr>
      </w:pPr>
      <w:r w:rsidRPr="007E6EE1">
        <w:rPr>
          <w:rFonts w:ascii="Times New Roman" w:hAnsi="Times New Roman" w:cs="Times New Roman"/>
          <w:sz w:val="24"/>
          <w:szCs w:val="24"/>
        </w:rPr>
        <w:t xml:space="preserve">Výroba potravinárskeho priemyslu vzrástla v roku 2011 oproti roku 2010 o 12 %, náklady vzrástli o 16 %, ale výnosy iba o 12 %. </w:t>
      </w:r>
      <w:r w:rsidR="00B86750">
        <w:rPr>
          <w:rFonts w:ascii="Times New Roman" w:hAnsi="Times New Roman" w:cs="Times New Roman"/>
          <w:sz w:val="24"/>
          <w:szCs w:val="24"/>
        </w:rPr>
        <w:t xml:space="preserve">To znamená, že ziskovosť potravinárskych podnikov na jednotku produkcie je čiastočne pohltená nedostatočnou efektivitou výroby. </w:t>
      </w:r>
      <w:r w:rsidRPr="007E6EE1">
        <w:rPr>
          <w:rFonts w:ascii="Times New Roman" w:hAnsi="Times New Roman" w:cs="Times New Roman"/>
          <w:sz w:val="24"/>
          <w:szCs w:val="24"/>
        </w:rPr>
        <w:t>Tržby za vlastné výrobky vzrástli o 11 %</w:t>
      </w:r>
      <w:r w:rsidR="00B86750">
        <w:rPr>
          <w:rFonts w:ascii="Times New Roman" w:hAnsi="Times New Roman" w:cs="Times New Roman"/>
          <w:sz w:val="24"/>
          <w:szCs w:val="24"/>
        </w:rPr>
        <w:t>,zatiaľ čo</w:t>
      </w:r>
      <w:r w:rsidRPr="007E6EE1">
        <w:rPr>
          <w:rFonts w:ascii="Times New Roman" w:hAnsi="Times New Roman" w:cs="Times New Roman"/>
          <w:sz w:val="24"/>
          <w:szCs w:val="24"/>
        </w:rPr>
        <w:t xml:space="preserve"> tržby z predaja tovaru iba o 2,5 %. Ak porovnáme tieto ukazovatele z roku 2011 oproti roku 2002, tak výroba v roku 2011 bola nižšia o 1,7 %, náklady boli väčšie o 5,5 %, výnosy o 5,8 %, tržby za vlastné výrobky boli identické a tržby za predaj tovaru boli nižšie o 6,6 %. Z uvedeného vyplýva, že potravinársky priemysel za ostatných 10 rokov neprešiel výraznejším nárastom a rozvojom a stagnoval.</w:t>
      </w:r>
    </w:p>
    <w:p w:rsidR="007E6EE1" w:rsidRPr="007E6EE1" w:rsidRDefault="007E6EE1" w:rsidP="007E6EE1">
      <w:pPr>
        <w:spacing w:after="0" w:line="240" w:lineRule="auto"/>
        <w:jc w:val="both"/>
        <w:rPr>
          <w:rFonts w:ascii="Times New Roman" w:hAnsi="Times New Roman" w:cs="Times New Roman"/>
          <w:sz w:val="24"/>
          <w:szCs w:val="24"/>
        </w:rPr>
      </w:pPr>
    </w:p>
    <w:p w:rsidR="00ED53BF" w:rsidRDefault="007E6EE1" w:rsidP="00A350B8">
      <w:pPr>
        <w:spacing w:after="0" w:line="240" w:lineRule="auto"/>
        <w:jc w:val="both"/>
        <w:rPr>
          <w:rFonts w:ascii="Times New Roman" w:hAnsi="Times New Roman" w:cs="Times New Roman"/>
          <w:sz w:val="24"/>
          <w:szCs w:val="24"/>
        </w:rPr>
      </w:pPr>
      <w:r w:rsidRPr="007E6EE1">
        <w:rPr>
          <w:rFonts w:ascii="Times New Roman" w:hAnsi="Times New Roman" w:cs="Times New Roman"/>
          <w:sz w:val="24"/>
          <w:szCs w:val="24"/>
        </w:rPr>
        <w:t>V roku 2010 a</w:t>
      </w:r>
      <w:r w:rsidR="00B86750">
        <w:rPr>
          <w:rFonts w:ascii="Times New Roman" w:hAnsi="Times New Roman" w:cs="Times New Roman"/>
          <w:sz w:val="24"/>
          <w:szCs w:val="24"/>
        </w:rPr>
        <w:t> </w:t>
      </w:r>
      <w:r w:rsidRPr="007E6EE1">
        <w:rPr>
          <w:rFonts w:ascii="Times New Roman" w:hAnsi="Times New Roman" w:cs="Times New Roman"/>
          <w:sz w:val="24"/>
          <w:szCs w:val="24"/>
        </w:rPr>
        <w:t>2011</w:t>
      </w:r>
      <w:r w:rsidR="00B86750">
        <w:rPr>
          <w:rFonts w:ascii="Times New Roman" w:hAnsi="Times New Roman" w:cs="Times New Roman"/>
          <w:sz w:val="24"/>
          <w:szCs w:val="24"/>
        </w:rPr>
        <w:t>,</w:t>
      </w:r>
      <w:r w:rsidR="00B86750" w:rsidRPr="007E6EE1">
        <w:rPr>
          <w:rFonts w:ascii="Times New Roman" w:hAnsi="Times New Roman" w:cs="Times New Roman"/>
          <w:sz w:val="24"/>
          <w:szCs w:val="24"/>
        </w:rPr>
        <w:t>oproti rokom 2007 – 2009</w:t>
      </w:r>
      <w:r w:rsidR="00B86750">
        <w:rPr>
          <w:rFonts w:ascii="Times New Roman" w:hAnsi="Times New Roman" w:cs="Times New Roman"/>
          <w:sz w:val="24"/>
          <w:szCs w:val="24"/>
        </w:rPr>
        <w:t>, zreteľne</w:t>
      </w:r>
      <w:r w:rsidRPr="007E6EE1">
        <w:rPr>
          <w:rFonts w:ascii="Times New Roman" w:hAnsi="Times New Roman" w:cs="Times New Roman"/>
          <w:sz w:val="24"/>
          <w:szCs w:val="24"/>
        </w:rPr>
        <w:t xml:space="preserve"> poklesla miera obstarania investícií</w:t>
      </w:r>
      <w:r w:rsidR="00B86750">
        <w:rPr>
          <w:rFonts w:ascii="Times New Roman" w:hAnsi="Times New Roman" w:cs="Times New Roman"/>
          <w:sz w:val="24"/>
          <w:szCs w:val="24"/>
        </w:rPr>
        <w:t>. Príčinou tohto vývoja je končiace sa programové obdobie</w:t>
      </w:r>
      <w:r w:rsidRPr="007E6EE1">
        <w:rPr>
          <w:rFonts w:ascii="Times New Roman" w:hAnsi="Times New Roman" w:cs="Times New Roman"/>
          <w:sz w:val="24"/>
          <w:szCs w:val="24"/>
        </w:rPr>
        <w:t xml:space="preserve"> PRV 2007-2013. </w:t>
      </w:r>
      <w:r w:rsidR="00B86750">
        <w:rPr>
          <w:rFonts w:ascii="Times New Roman" w:hAnsi="Times New Roman" w:cs="Times New Roman"/>
          <w:sz w:val="24"/>
          <w:szCs w:val="24"/>
        </w:rPr>
        <w:t xml:space="preserve">Toto prepojenie s blížiacim sa koncom programového obdobia je na jednej strane logické, na druhej strane však obrovský prepad </w:t>
      </w:r>
      <w:r w:rsidR="002E2A48">
        <w:rPr>
          <w:rFonts w:ascii="Times New Roman" w:hAnsi="Times New Roman" w:cs="Times New Roman"/>
          <w:sz w:val="24"/>
          <w:szCs w:val="24"/>
        </w:rPr>
        <w:t xml:space="preserve">miery investícií </w:t>
      </w:r>
      <w:r w:rsidR="00B86750">
        <w:rPr>
          <w:rFonts w:ascii="Times New Roman" w:hAnsi="Times New Roman" w:cs="Times New Roman"/>
          <w:sz w:val="24"/>
          <w:szCs w:val="24"/>
        </w:rPr>
        <w:t xml:space="preserve">oproti začiatku programového obdobia poukazuje na nedostatočnú tvorbu kapitálu v podnikoch potravinárstva a nedostatočnú mieru priebežných reinvestícií z dosiahnutých hospodárskych výsledkov. </w:t>
      </w:r>
      <w:r w:rsidRPr="007E6EE1">
        <w:rPr>
          <w:rFonts w:ascii="Times New Roman" w:hAnsi="Times New Roman" w:cs="Times New Roman"/>
          <w:sz w:val="24"/>
          <w:szCs w:val="24"/>
        </w:rPr>
        <w:t xml:space="preserve">Potravinársky priemysel </w:t>
      </w:r>
      <w:r w:rsidR="00B86750">
        <w:rPr>
          <w:rFonts w:ascii="Times New Roman" w:hAnsi="Times New Roman" w:cs="Times New Roman"/>
          <w:sz w:val="24"/>
          <w:szCs w:val="24"/>
        </w:rPr>
        <w:t xml:space="preserve">teda na jednej strane </w:t>
      </w:r>
      <w:r w:rsidRPr="007E6EE1">
        <w:rPr>
          <w:rFonts w:ascii="Times New Roman" w:hAnsi="Times New Roman" w:cs="Times New Roman"/>
          <w:sz w:val="24"/>
          <w:szCs w:val="24"/>
        </w:rPr>
        <w:t xml:space="preserve">nie je schopný </w:t>
      </w:r>
      <w:r w:rsidR="00B86750">
        <w:rPr>
          <w:rFonts w:ascii="Times New Roman" w:hAnsi="Times New Roman" w:cs="Times New Roman"/>
          <w:sz w:val="24"/>
          <w:szCs w:val="24"/>
        </w:rPr>
        <w:t xml:space="preserve">dlhodobo efektívne </w:t>
      </w:r>
      <w:r w:rsidRPr="007E6EE1">
        <w:rPr>
          <w:rFonts w:ascii="Times New Roman" w:hAnsi="Times New Roman" w:cs="Times New Roman"/>
          <w:sz w:val="24"/>
          <w:szCs w:val="24"/>
        </w:rPr>
        <w:t>investovať finančné prostriedky z vlastných zdrojov</w:t>
      </w:r>
      <w:r w:rsidR="00B86750">
        <w:rPr>
          <w:rFonts w:ascii="Times New Roman" w:hAnsi="Times New Roman" w:cs="Times New Roman"/>
          <w:sz w:val="24"/>
          <w:szCs w:val="24"/>
        </w:rPr>
        <w:t xml:space="preserve"> a na strane druhej nie je schopný získať na reinvestície relatívne lacné cudzie zdroje</w:t>
      </w:r>
      <w:r w:rsidR="00A350B8">
        <w:rPr>
          <w:rFonts w:ascii="Times New Roman" w:hAnsi="Times New Roman" w:cs="Times New Roman"/>
          <w:sz w:val="24"/>
          <w:szCs w:val="24"/>
        </w:rPr>
        <w:t>.</w:t>
      </w:r>
    </w:p>
    <w:p w:rsidR="00A350B8" w:rsidRPr="00A350B8" w:rsidRDefault="00A350B8" w:rsidP="00A350B8">
      <w:pPr>
        <w:spacing w:after="0" w:line="240" w:lineRule="auto"/>
        <w:jc w:val="both"/>
        <w:rPr>
          <w:rFonts w:ascii="Times New Roman" w:hAnsi="Times New Roman" w:cs="Times New Roman"/>
          <w:sz w:val="24"/>
          <w:szCs w:val="24"/>
        </w:rPr>
      </w:pPr>
    </w:p>
    <w:p w:rsidR="00A350B8" w:rsidRPr="007E6EE1" w:rsidRDefault="00A350B8" w:rsidP="00A350B8">
      <w:pPr>
        <w:pStyle w:val="Nadpis3"/>
        <w:numPr>
          <w:ilvl w:val="2"/>
          <w:numId w:val="8"/>
        </w:numPr>
        <w:rPr>
          <w:rFonts w:eastAsia="Calibri"/>
          <w:szCs w:val="24"/>
        </w:rPr>
      </w:pPr>
      <w:bookmarkStart w:id="12" w:name="_Toc359550633"/>
      <w:r>
        <w:rPr>
          <w:rFonts w:eastAsia="Calibri"/>
          <w:szCs w:val="24"/>
        </w:rPr>
        <w:t>Súčasný stav financovania podnikov v lesníctve</w:t>
      </w:r>
      <w:bookmarkEnd w:id="12"/>
      <w:r>
        <w:rPr>
          <w:rFonts w:eastAsia="Calibri"/>
          <w:szCs w:val="24"/>
        </w:rPr>
        <w:t xml:space="preserve"> </w:t>
      </w:r>
    </w:p>
    <w:p w:rsidR="00817EFC" w:rsidRDefault="00B078B8" w:rsidP="00817E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Kapitálové financovanie podnikov lesného hospodárstva pochádza má dva typy zdrojov, a to dotácie </w:t>
      </w:r>
      <w:r w:rsidR="00B10F80">
        <w:rPr>
          <w:rFonts w:ascii="Times New Roman" w:hAnsi="Times New Roman" w:cs="Times New Roman"/>
          <w:sz w:val="24"/>
          <w:szCs w:val="24"/>
        </w:rPr>
        <w:t xml:space="preserve">(verejné zdroje) </w:t>
      </w:r>
      <w:r>
        <w:rPr>
          <w:rFonts w:ascii="Times New Roman" w:hAnsi="Times New Roman" w:cs="Times New Roman"/>
          <w:sz w:val="24"/>
          <w:szCs w:val="24"/>
        </w:rPr>
        <w:t>a vlastné financovanie prostredníctvom kapitálu naakumulovaného z nerozdeleného zisku a zabezpečenia cudzieho kapitálu (úverové financovanie).</w:t>
      </w:r>
    </w:p>
    <w:p w:rsidR="00817EFC" w:rsidRDefault="00817EFC" w:rsidP="00817EFC">
      <w:pPr>
        <w:spacing w:after="0" w:line="240" w:lineRule="auto"/>
        <w:jc w:val="both"/>
        <w:rPr>
          <w:rFonts w:ascii="Times New Roman" w:hAnsi="Times New Roman" w:cs="Times New Roman"/>
          <w:sz w:val="24"/>
          <w:szCs w:val="24"/>
        </w:rPr>
      </w:pPr>
    </w:p>
    <w:p w:rsidR="00817EFC" w:rsidRDefault="00817EFC" w:rsidP="00817EFC">
      <w:pPr>
        <w:spacing w:after="0" w:line="240" w:lineRule="auto"/>
        <w:jc w:val="both"/>
        <w:rPr>
          <w:rFonts w:ascii="Times New Roman" w:hAnsi="Times New Roman" w:cs="Times New Roman"/>
          <w:sz w:val="24"/>
          <w:szCs w:val="24"/>
        </w:rPr>
      </w:pPr>
    </w:p>
    <w:p w:rsidR="00817EFC" w:rsidRDefault="00817EFC" w:rsidP="00817EFC">
      <w:pPr>
        <w:spacing w:after="0" w:line="240" w:lineRule="auto"/>
        <w:jc w:val="both"/>
        <w:rPr>
          <w:rFonts w:ascii="Times New Roman" w:hAnsi="Times New Roman" w:cs="Times New Roman"/>
          <w:sz w:val="24"/>
          <w:szCs w:val="24"/>
        </w:rPr>
      </w:pPr>
    </w:p>
    <w:p w:rsidR="00817EFC" w:rsidRDefault="00817EFC" w:rsidP="00817EFC">
      <w:pPr>
        <w:spacing w:after="0" w:line="240" w:lineRule="auto"/>
        <w:jc w:val="both"/>
        <w:rPr>
          <w:rFonts w:ascii="Times New Roman" w:hAnsi="Times New Roman" w:cs="Times New Roman"/>
          <w:sz w:val="24"/>
          <w:szCs w:val="24"/>
        </w:rPr>
      </w:pPr>
    </w:p>
    <w:p w:rsidR="00817EFC" w:rsidRDefault="00817EFC" w:rsidP="00817EFC">
      <w:pPr>
        <w:spacing w:after="0" w:line="240" w:lineRule="auto"/>
        <w:jc w:val="both"/>
        <w:rPr>
          <w:rFonts w:ascii="Times New Roman" w:hAnsi="Times New Roman" w:cs="Times New Roman"/>
          <w:sz w:val="24"/>
          <w:szCs w:val="24"/>
        </w:rPr>
      </w:pPr>
    </w:p>
    <w:p w:rsidR="00817EFC" w:rsidRDefault="00817EFC" w:rsidP="00817EFC">
      <w:pPr>
        <w:spacing w:after="0" w:line="240" w:lineRule="auto"/>
        <w:jc w:val="both"/>
        <w:rPr>
          <w:rFonts w:ascii="Times New Roman" w:hAnsi="Times New Roman" w:cs="Times New Roman"/>
          <w:sz w:val="24"/>
          <w:szCs w:val="24"/>
        </w:rPr>
      </w:pPr>
    </w:p>
    <w:p w:rsidR="00817EFC" w:rsidRDefault="00817EFC" w:rsidP="00817EFC">
      <w:pPr>
        <w:spacing w:after="0" w:line="240" w:lineRule="auto"/>
        <w:jc w:val="both"/>
        <w:rPr>
          <w:rFonts w:ascii="Times New Roman" w:hAnsi="Times New Roman" w:cs="Times New Roman"/>
          <w:sz w:val="20"/>
          <w:szCs w:val="20"/>
        </w:rPr>
      </w:pPr>
    </w:p>
    <w:p w:rsidR="00B078B8" w:rsidRPr="00817EFC" w:rsidRDefault="00B078B8" w:rsidP="00817EFC">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Tab. č. 12</w:t>
      </w:r>
      <w:r w:rsidRPr="00A855A4">
        <w:rPr>
          <w:rFonts w:ascii="Times New Roman" w:hAnsi="Times New Roman" w:cs="Times New Roman"/>
          <w:sz w:val="20"/>
          <w:szCs w:val="20"/>
        </w:rPr>
        <w:t xml:space="preserve">: </w:t>
      </w:r>
      <w:r w:rsidRPr="00B078B8">
        <w:rPr>
          <w:rFonts w:ascii="Times New Roman" w:hAnsi="Times New Roman" w:cs="Times New Roman"/>
          <w:sz w:val="20"/>
          <w:szCs w:val="20"/>
        </w:rPr>
        <w:t>Podpora lesného ho</w:t>
      </w:r>
      <w:r>
        <w:rPr>
          <w:rFonts w:ascii="Times New Roman" w:hAnsi="Times New Roman" w:cs="Times New Roman"/>
          <w:sz w:val="20"/>
          <w:szCs w:val="20"/>
        </w:rPr>
        <w:t xml:space="preserve">spodárstva z verejných zdrojov </w:t>
      </w:r>
      <w:r w:rsidRPr="00B078B8">
        <w:rPr>
          <w:rFonts w:ascii="Times New Roman" w:hAnsi="Times New Roman" w:cs="Times New Roman"/>
          <w:sz w:val="20"/>
          <w:szCs w:val="20"/>
        </w:rPr>
        <w:t xml:space="preserve">v mil. </w:t>
      </w:r>
      <w:r>
        <w:rPr>
          <w:rFonts w:ascii="Times New Roman" w:hAnsi="Times New Roman" w:cs="Times New Roman"/>
          <w:sz w:val="20"/>
          <w:szCs w:val="20"/>
        </w:rPr>
        <w:t xml:space="preserve">EUR </w:t>
      </w:r>
    </w:p>
    <w:tbl>
      <w:tblPr>
        <w:tblW w:w="4898" w:type="pct"/>
        <w:tblInd w:w="108" w:type="dxa"/>
        <w:tblLook w:val="01E0" w:firstRow="1" w:lastRow="1" w:firstColumn="1" w:lastColumn="1" w:noHBand="0" w:noVBand="0"/>
      </w:tblPr>
      <w:tblGrid>
        <w:gridCol w:w="2125"/>
        <w:gridCol w:w="872"/>
        <w:gridCol w:w="872"/>
        <w:gridCol w:w="872"/>
        <w:gridCol w:w="872"/>
        <w:gridCol w:w="872"/>
        <w:gridCol w:w="872"/>
        <w:gridCol w:w="872"/>
        <w:gridCol w:w="870"/>
      </w:tblGrid>
      <w:tr w:rsidR="00B078B8" w:rsidRPr="00B078B8" w:rsidTr="001215FA">
        <w:tc>
          <w:tcPr>
            <w:tcW w:w="1168" w:type="pct"/>
            <w:tcBorders>
              <w:top w:val="single" w:sz="4" w:space="0" w:color="auto"/>
              <w:bottom w:val="single" w:sz="4" w:space="0" w:color="auto"/>
              <w:right w:val="single" w:sz="4" w:space="0" w:color="auto"/>
            </w:tcBorders>
            <w:shd w:val="clear" w:color="auto" w:fill="D9D9D9" w:themeFill="background1" w:themeFillShade="D9"/>
          </w:tcPr>
          <w:p w:rsidR="00B078B8" w:rsidRPr="00B078B8" w:rsidRDefault="00B078B8" w:rsidP="00183FDB">
            <w:pPr>
              <w:keepNext/>
              <w:spacing w:after="0" w:line="240" w:lineRule="auto"/>
              <w:jc w:val="both"/>
              <w:rPr>
                <w:rFonts w:ascii="Times New Roman" w:hAnsi="Times New Roman" w:cs="Times New Roman"/>
                <w:b/>
                <w:sz w:val="20"/>
                <w:szCs w:val="20"/>
              </w:rPr>
            </w:pPr>
            <w:r w:rsidRPr="00B078B8">
              <w:rPr>
                <w:rFonts w:ascii="Times New Roman" w:hAnsi="Times New Roman" w:cs="Times New Roman"/>
                <w:b/>
                <w:sz w:val="20"/>
                <w:szCs w:val="20"/>
              </w:rPr>
              <w:t>Zdroj podpory</w:t>
            </w:r>
          </w:p>
        </w:tc>
        <w:tc>
          <w:tcPr>
            <w:tcW w:w="479" w:type="pct"/>
            <w:tcBorders>
              <w:top w:val="single" w:sz="4" w:space="0" w:color="auto"/>
              <w:left w:val="single" w:sz="4" w:space="0" w:color="auto"/>
              <w:bottom w:val="single" w:sz="4" w:space="0" w:color="auto"/>
            </w:tcBorders>
            <w:shd w:val="clear" w:color="auto" w:fill="D9D9D9" w:themeFill="background1" w:themeFillShade="D9"/>
          </w:tcPr>
          <w:p w:rsidR="00B078B8" w:rsidRPr="00B078B8" w:rsidRDefault="00B078B8" w:rsidP="00183FDB">
            <w:pPr>
              <w:keepNext/>
              <w:spacing w:after="0" w:line="240" w:lineRule="auto"/>
              <w:jc w:val="center"/>
              <w:rPr>
                <w:rFonts w:ascii="Times New Roman" w:hAnsi="Times New Roman" w:cs="Times New Roman"/>
                <w:b/>
                <w:sz w:val="20"/>
                <w:szCs w:val="20"/>
              </w:rPr>
            </w:pPr>
            <w:r w:rsidRPr="00B078B8">
              <w:rPr>
                <w:rFonts w:ascii="Times New Roman" w:hAnsi="Times New Roman" w:cs="Times New Roman"/>
                <w:b/>
                <w:sz w:val="20"/>
                <w:szCs w:val="20"/>
              </w:rPr>
              <w:t>2004</w:t>
            </w:r>
          </w:p>
        </w:tc>
        <w:tc>
          <w:tcPr>
            <w:tcW w:w="479" w:type="pct"/>
            <w:tcBorders>
              <w:top w:val="single" w:sz="4" w:space="0" w:color="auto"/>
              <w:bottom w:val="single" w:sz="4" w:space="0" w:color="auto"/>
            </w:tcBorders>
            <w:shd w:val="clear" w:color="auto" w:fill="D9D9D9" w:themeFill="background1" w:themeFillShade="D9"/>
          </w:tcPr>
          <w:p w:rsidR="00B078B8" w:rsidRPr="00B078B8" w:rsidRDefault="00B078B8" w:rsidP="00183FDB">
            <w:pPr>
              <w:keepNext/>
              <w:spacing w:after="0" w:line="240" w:lineRule="auto"/>
              <w:jc w:val="center"/>
              <w:rPr>
                <w:rFonts w:ascii="Times New Roman" w:hAnsi="Times New Roman" w:cs="Times New Roman"/>
                <w:b/>
                <w:sz w:val="20"/>
                <w:szCs w:val="20"/>
              </w:rPr>
            </w:pPr>
            <w:r w:rsidRPr="00B078B8">
              <w:rPr>
                <w:rFonts w:ascii="Times New Roman" w:hAnsi="Times New Roman" w:cs="Times New Roman"/>
                <w:b/>
                <w:sz w:val="20"/>
                <w:szCs w:val="20"/>
              </w:rPr>
              <w:t>2005</w:t>
            </w:r>
          </w:p>
        </w:tc>
        <w:tc>
          <w:tcPr>
            <w:tcW w:w="479" w:type="pct"/>
            <w:tcBorders>
              <w:top w:val="single" w:sz="4" w:space="0" w:color="auto"/>
              <w:bottom w:val="single" w:sz="4" w:space="0" w:color="auto"/>
            </w:tcBorders>
            <w:shd w:val="clear" w:color="auto" w:fill="D9D9D9" w:themeFill="background1" w:themeFillShade="D9"/>
          </w:tcPr>
          <w:p w:rsidR="00B078B8" w:rsidRPr="00B078B8" w:rsidRDefault="00B078B8" w:rsidP="00183FDB">
            <w:pPr>
              <w:keepNext/>
              <w:spacing w:after="0" w:line="240" w:lineRule="auto"/>
              <w:jc w:val="center"/>
              <w:rPr>
                <w:rFonts w:ascii="Times New Roman" w:hAnsi="Times New Roman" w:cs="Times New Roman"/>
                <w:b/>
                <w:sz w:val="20"/>
                <w:szCs w:val="20"/>
              </w:rPr>
            </w:pPr>
            <w:r w:rsidRPr="00B078B8">
              <w:rPr>
                <w:rFonts w:ascii="Times New Roman" w:hAnsi="Times New Roman" w:cs="Times New Roman"/>
                <w:b/>
                <w:sz w:val="20"/>
                <w:szCs w:val="20"/>
              </w:rPr>
              <w:t>2006</w:t>
            </w:r>
          </w:p>
        </w:tc>
        <w:tc>
          <w:tcPr>
            <w:tcW w:w="479" w:type="pct"/>
            <w:tcBorders>
              <w:top w:val="single" w:sz="4" w:space="0" w:color="auto"/>
              <w:bottom w:val="single" w:sz="4" w:space="0" w:color="auto"/>
            </w:tcBorders>
            <w:shd w:val="clear" w:color="auto" w:fill="D9D9D9" w:themeFill="background1" w:themeFillShade="D9"/>
          </w:tcPr>
          <w:p w:rsidR="00B078B8" w:rsidRPr="00B078B8" w:rsidRDefault="00B078B8" w:rsidP="00183FDB">
            <w:pPr>
              <w:keepNext/>
              <w:spacing w:after="0" w:line="240" w:lineRule="auto"/>
              <w:jc w:val="center"/>
              <w:rPr>
                <w:rFonts w:ascii="Times New Roman" w:hAnsi="Times New Roman" w:cs="Times New Roman"/>
                <w:b/>
                <w:sz w:val="20"/>
                <w:szCs w:val="20"/>
              </w:rPr>
            </w:pPr>
            <w:r w:rsidRPr="00B078B8">
              <w:rPr>
                <w:rFonts w:ascii="Times New Roman" w:hAnsi="Times New Roman" w:cs="Times New Roman"/>
                <w:b/>
                <w:sz w:val="20"/>
                <w:szCs w:val="20"/>
              </w:rPr>
              <w:t>2007</w:t>
            </w:r>
          </w:p>
        </w:tc>
        <w:tc>
          <w:tcPr>
            <w:tcW w:w="479" w:type="pct"/>
            <w:tcBorders>
              <w:top w:val="single" w:sz="4" w:space="0" w:color="auto"/>
              <w:bottom w:val="single" w:sz="4" w:space="0" w:color="auto"/>
            </w:tcBorders>
            <w:shd w:val="clear" w:color="auto" w:fill="D9D9D9" w:themeFill="background1" w:themeFillShade="D9"/>
          </w:tcPr>
          <w:p w:rsidR="00B078B8" w:rsidRPr="00B078B8" w:rsidRDefault="00B078B8" w:rsidP="00183FDB">
            <w:pPr>
              <w:keepNext/>
              <w:spacing w:after="0" w:line="240" w:lineRule="auto"/>
              <w:jc w:val="center"/>
              <w:rPr>
                <w:rFonts w:ascii="Times New Roman" w:hAnsi="Times New Roman" w:cs="Times New Roman"/>
                <w:b/>
                <w:sz w:val="20"/>
                <w:szCs w:val="20"/>
              </w:rPr>
            </w:pPr>
            <w:r w:rsidRPr="00B078B8">
              <w:rPr>
                <w:rFonts w:ascii="Times New Roman" w:hAnsi="Times New Roman" w:cs="Times New Roman"/>
                <w:b/>
                <w:sz w:val="20"/>
                <w:szCs w:val="20"/>
              </w:rPr>
              <w:t>2008</w:t>
            </w:r>
          </w:p>
        </w:tc>
        <w:tc>
          <w:tcPr>
            <w:tcW w:w="479" w:type="pct"/>
            <w:tcBorders>
              <w:top w:val="single" w:sz="4" w:space="0" w:color="auto"/>
              <w:bottom w:val="single" w:sz="4" w:space="0" w:color="auto"/>
            </w:tcBorders>
            <w:shd w:val="clear" w:color="auto" w:fill="D9D9D9" w:themeFill="background1" w:themeFillShade="D9"/>
          </w:tcPr>
          <w:p w:rsidR="00B078B8" w:rsidRPr="00B078B8" w:rsidRDefault="00B078B8" w:rsidP="00183FDB">
            <w:pPr>
              <w:keepNext/>
              <w:spacing w:after="0" w:line="240" w:lineRule="auto"/>
              <w:jc w:val="center"/>
              <w:rPr>
                <w:rFonts w:ascii="Times New Roman" w:hAnsi="Times New Roman" w:cs="Times New Roman"/>
                <w:b/>
                <w:sz w:val="20"/>
                <w:szCs w:val="20"/>
              </w:rPr>
            </w:pPr>
            <w:r w:rsidRPr="00B078B8">
              <w:rPr>
                <w:rFonts w:ascii="Times New Roman" w:hAnsi="Times New Roman" w:cs="Times New Roman"/>
                <w:b/>
                <w:sz w:val="20"/>
                <w:szCs w:val="20"/>
              </w:rPr>
              <w:t>2009</w:t>
            </w:r>
          </w:p>
        </w:tc>
        <w:tc>
          <w:tcPr>
            <w:tcW w:w="479" w:type="pct"/>
            <w:tcBorders>
              <w:top w:val="single" w:sz="4" w:space="0" w:color="auto"/>
              <w:bottom w:val="single" w:sz="4" w:space="0" w:color="auto"/>
            </w:tcBorders>
            <w:shd w:val="clear" w:color="auto" w:fill="D9D9D9" w:themeFill="background1" w:themeFillShade="D9"/>
          </w:tcPr>
          <w:p w:rsidR="00B078B8" w:rsidRPr="00B078B8" w:rsidRDefault="00B078B8" w:rsidP="00183FDB">
            <w:pPr>
              <w:keepNext/>
              <w:spacing w:after="0" w:line="240" w:lineRule="auto"/>
              <w:jc w:val="center"/>
              <w:rPr>
                <w:rFonts w:ascii="Times New Roman" w:hAnsi="Times New Roman" w:cs="Times New Roman"/>
                <w:b/>
                <w:sz w:val="20"/>
                <w:szCs w:val="20"/>
              </w:rPr>
            </w:pPr>
            <w:r w:rsidRPr="00B078B8">
              <w:rPr>
                <w:rFonts w:ascii="Times New Roman" w:hAnsi="Times New Roman" w:cs="Times New Roman"/>
                <w:b/>
                <w:sz w:val="20"/>
                <w:szCs w:val="20"/>
              </w:rPr>
              <w:t>2010</w:t>
            </w:r>
          </w:p>
        </w:tc>
        <w:tc>
          <w:tcPr>
            <w:tcW w:w="478" w:type="pct"/>
            <w:tcBorders>
              <w:top w:val="single" w:sz="4" w:space="0" w:color="auto"/>
              <w:bottom w:val="single" w:sz="4" w:space="0" w:color="auto"/>
            </w:tcBorders>
            <w:shd w:val="clear" w:color="auto" w:fill="D9D9D9" w:themeFill="background1" w:themeFillShade="D9"/>
          </w:tcPr>
          <w:p w:rsidR="00B078B8" w:rsidRPr="00B078B8" w:rsidRDefault="00B078B8" w:rsidP="00183FDB">
            <w:pPr>
              <w:keepNext/>
              <w:spacing w:after="0" w:line="240" w:lineRule="auto"/>
              <w:jc w:val="center"/>
              <w:rPr>
                <w:rFonts w:ascii="Times New Roman" w:hAnsi="Times New Roman" w:cs="Times New Roman"/>
                <w:b/>
                <w:sz w:val="20"/>
                <w:szCs w:val="20"/>
              </w:rPr>
            </w:pPr>
            <w:r w:rsidRPr="00B078B8">
              <w:rPr>
                <w:rFonts w:ascii="Times New Roman" w:hAnsi="Times New Roman" w:cs="Times New Roman"/>
                <w:b/>
                <w:sz w:val="20"/>
                <w:szCs w:val="20"/>
              </w:rPr>
              <w:t>2011</w:t>
            </w:r>
          </w:p>
        </w:tc>
      </w:tr>
      <w:tr w:rsidR="001215FA" w:rsidRPr="001215FA" w:rsidTr="001215FA">
        <w:tc>
          <w:tcPr>
            <w:tcW w:w="1168" w:type="pct"/>
            <w:tcBorders>
              <w:top w:val="single" w:sz="4" w:space="0" w:color="auto"/>
              <w:right w:val="single" w:sz="4" w:space="0" w:color="auto"/>
            </w:tcBorders>
          </w:tcPr>
          <w:p w:rsidR="001215FA" w:rsidRPr="00B078B8" w:rsidRDefault="001215FA" w:rsidP="00183FDB">
            <w:pPr>
              <w:keepNext/>
              <w:spacing w:after="0" w:line="240" w:lineRule="auto"/>
              <w:jc w:val="both"/>
              <w:rPr>
                <w:rFonts w:ascii="Times New Roman" w:hAnsi="Times New Roman" w:cs="Times New Roman"/>
                <w:sz w:val="20"/>
                <w:szCs w:val="20"/>
              </w:rPr>
            </w:pPr>
            <w:r w:rsidRPr="00B078B8">
              <w:rPr>
                <w:rFonts w:ascii="Times New Roman" w:hAnsi="Times New Roman" w:cs="Times New Roman"/>
                <w:sz w:val="20"/>
                <w:szCs w:val="20"/>
              </w:rPr>
              <w:t>SAPARD</w:t>
            </w:r>
          </w:p>
        </w:tc>
        <w:tc>
          <w:tcPr>
            <w:tcW w:w="479" w:type="pct"/>
            <w:tcBorders>
              <w:top w:val="single" w:sz="4" w:space="0" w:color="auto"/>
              <w:left w:val="single" w:sz="4" w:space="0" w:color="auto"/>
            </w:tcBorders>
            <w:vAlign w:val="center"/>
          </w:tcPr>
          <w:p w:rsidR="001215FA" w:rsidRPr="00B078B8" w:rsidRDefault="001215FA" w:rsidP="001215FA">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1,14</w:t>
            </w:r>
          </w:p>
        </w:tc>
        <w:tc>
          <w:tcPr>
            <w:tcW w:w="479" w:type="pct"/>
            <w:tcBorders>
              <w:top w:val="single" w:sz="4" w:space="0" w:color="auto"/>
            </w:tcBorders>
            <w:vAlign w:val="center"/>
          </w:tcPr>
          <w:p w:rsidR="001215FA" w:rsidRPr="00B078B8" w:rsidRDefault="001215FA" w:rsidP="001215FA">
            <w:pPr>
              <w:keepNext/>
              <w:tabs>
                <w:tab w:val="left" w:pos="709"/>
              </w:tabs>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c>
          <w:tcPr>
            <w:tcW w:w="479" w:type="pct"/>
            <w:tcBorders>
              <w:top w:val="single" w:sz="4" w:space="0" w:color="auto"/>
            </w:tcBorders>
            <w:vAlign w:val="center"/>
          </w:tcPr>
          <w:p w:rsidR="001215FA" w:rsidRPr="00B078B8" w:rsidRDefault="001215FA" w:rsidP="001215FA">
            <w:pPr>
              <w:keepNext/>
              <w:tabs>
                <w:tab w:val="left" w:pos="709"/>
              </w:tabs>
              <w:spacing w:after="0" w:line="240" w:lineRule="auto"/>
              <w:jc w:val="right"/>
              <w:rPr>
                <w:rFonts w:ascii="Times New Roman" w:hAnsi="Times New Roman" w:cs="Times New Roman"/>
                <w:bCs/>
                <w:sz w:val="20"/>
                <w:szCs w:val="20"/>
              </w:rPr>
            </w:pPr>
            <w:r w:rsidRPr="001215FA">
              <w:rPr>
                <w:rFonts w:ascii="Times New Roman" w:hAnsi="Times New Roman" w:cs="Times New Roman"/>
                <w:bCs/>
                <w:sz w:val="20"/>
                <w:szCs w:val="20"/>
              </w:rPr>
              <w:t>0,00</w:t>
            </w:r>
          </w:p>
        </w:tc>
        <w:tc>
          <w:tcPr>
            <w:tcW w:w="479" w:type="pct"/>
            <w:tcBorders>
              <w:top w:val="single" w:sz="4" w:space="0" w:color="auto"/>
            </w:tcBorders>
            <w:vAlign w:val="center"/>
          </w:tcPr>
          <w:p w:rsidR="001215FA" w:rsidRPr="001215FA" w:rsidRDefault="001215FA" w:rsidP="001215FA">
            <w:pPr>
              <w:spacing w:after="0" w:line="240" w:lineRule="auto"/>
              <w:jc w:val="right"/>
              <w:rPr>
                <w:rFonts w:ascii="Times New Roman" w:hAnsi="Times New Roman" w:cs="Times New Roman"/>
                <w:bCs/>
                <w:sz w:val="20"/>
                <w:szCs w:val="20"/>
              </w:rPr>
            </w:pPr>
            <w:r w:rsidRPr="001215FA">
              <w:rPr>
                <w:rFonts w:ascii="Times New Roman" w:hAnsi="Times New Roman" w:cs="Times New Roman"/>
                <w:bCs/>
                <w:sz w:val="20"/>
                <w:szCs w:val="20"/>
              </w:rPr>
              <w:t>0,00</w:t>
            </w:r>
          </w:p>
        </w:tc>
        <w:tc>
          <w:tcPr>
            <w:tcW w:w="479" w:type="pct"/>
            <w:tcBorders>
              <w:top w:val="single" w:sz="4" w:space="0" w:color="auto"/>
            </w:tcBorders>
            <w:vAlign w:val="center"/>
          </w:tcPr>
          <w:p w:rsidR="001215FA" w:rsidRPr="001215FA" w:rsidRDefault="001215FA" w:rsidP="001215FA">
            <w:pPr>
              <w:spacing w:after="0" w:line="240" w:lineRule="auto"/>
              <w:jc w:val="right"/>
              <w:rPr>
                <w:rFonts w:ascii="Times New Roman" w:hAnsi="Times New Roman" w:cs="Times New Roman"/>
                <w:bCs/>
                <w:sz w:val="20"/>
                <w:szCs w:val="20"/>
              </w:rPr>
            </w:pPr>
            <w:r w:rsidRPr="001215FA">
              <w:rPr>
                <w:rFonts w:ascii="Times New Roman" w:hAnsi="Times New Roman" w:cs="Times New Roman"/>
                <w:bCs/>
                <w:sz w:val="20"/>
                <w:szCs w:val="20"/>
              </w:rPr>
              <w:t>0,00</w:t>
            </w:r>
          </w:p>
        </w:tc>
        <w:tc>
          <w:tcPr>
            <w:tcW w:w="479" w:type="pct"/>
            <w:tcBorders>
              <w:top w:val="single" w:sz="4" w:space="0" w:color="auto"/>
            </w:tcBorders>
            <w:vAlign w:val="center"/>
          </w:tcPr>
          <w:p w:rsidR="001215FA" w:rsidRPr="001215FA" w:rsidRDefault="001215FA" w:rsidP="001215FA">
            <w:pPr>
              <w:spacing w:after="0" w:line="240" w:lineRule="auto"/>
              <w:jc w:val="right"/>
              <w:rPr>
                <w:rFonts w:ascii="Times New Roman" w:hAnsi="Times New Roman" w:cs="Times New Roman"/>
                <w:bCs/>
                <w:sz w:val="20"/>
                <w:szCs w:val="20"/>
              </w:rPr>
            </w:pPr>
            <w:r w:rsidRPr="001215FA">
              <w:rPr>
                <w:rFonts w:ascii="Times New Roman" w:hAnsi="Times New Roman" w:cs="Times New Roman"/>
                <w:bCs/>
                <w:sz w:val="20"/>
                <w:szCs w:val="20"/>
              </w:rPr>
              <w:t>0,00</w:t>
            </w:r>
          </w:p>
        </w:tc>
        <w:tc>
          <w:tcPr>
            <w:tcW w:w="479" w:type="pct"/>
            <w:tcBorders>
              <w:top w:val="single" w:sz="4" w:space="0" w:color="auto"/>
            </w:tcBorders>
            <w:vAlign w:val="center"/>
          </w:tcPr>
          <w:p w:rsidR="001215FA" w:rsidRPr="001215FA" w:rsidRDefault="001215FA" w:rsidP="001215FA">
            <w:pPr>
              <w:spacing w:after="0" w:line="240" w:lineRule="auto"/>
              <w:jc w:val="right"/>
              <w:rPr>
                <w:rFonts w:ascii="Times New Roman" w:hAnsi="Times New Roman" w:cs="Times New Roman"/>
                <w:bCs/>
                <w:sz w:val="20"/>
                <w:szCs w:val="20"/>
              </w:rPr>
            </w:pPr>
            <w:r w:rsidRPr="001215FA">
              <w:rPr>
                <w:rFonts w:ascii="Times New Roman" w:hAnsi="Times New Roman" w:cs="Times New Roman"/>
                <w:bCs/>
                <w:sz w:val="20"/>
                <w:szCs w:val="20"/>
              </w:rPr>
              <w:t>0,00</w:t>
            </w:r>
          </w:p>
        </w:tc>
        <w:tc>
          <w:tcPr>
            <w:tcW w:w="478" w:type="pct"/>
            <w:tcBorders>
              <w:top w:val="single" w:sz="4" w:space="0" w:color="auto"/>
            </w:tcBorders>
            <w:vAlign w:val="center"/>
          </w:tcPr>
          <w:p w:rsidR="001215FA" w:rsidRPr="001215FA" w:rsidRDefault="001215FA" w:rsidP="001215FA">
            <w:pPr>
              <w:spacing w:after="0" w:line="240" w:lineRule="auto"/>
              <w:jc w:val="right"/>
              <w:rPr>
                <w:rFonts w:ascii="Times New Roman" w:hAnsi="Times New Roman" w:cs="Times New Roman"/>
                <w:bCs/>
                <w:sz w:val="20"/>
                <w:szCs w:val="20"/>
              </w:rPr>
            </w:pPr>
            <w:r w:rsidRPr="001215FA">
              <w:rPr>
                <w:rFonts w:ascii="Times New Roman" w:hAnsi="Times New Roman" w:cs="Times New Roman"/>
                <w:bCs/>
                <w:sz w:val="20"/>
                <w:szCs w:val="20"/>
              </w:rPr>
              <w:t>0,00</w:t>
            </w:r>
          </w:p>
        </w:tc>
      </w:tr>
      <w:tr w:rsidR="00B078B8" w:rsidRPr="00B078B8" w:rsidTr="001215FA">
        <w:tc>
          <w:tcPr>
            <w:tcW w:w="1168" w:type="pct"/>
            <w:tcBorders>
              <w:right w:val="single" w:sz="4" w:space="0" w:color="auto"/>
            </w:tcBorders>
            <w:shd w:val="clear" w:color="auto" w:fill="F2F2F2" w:themeFill="background1" w:themeFillShade="F2"/>
          </w:tcPr>
          <w:p w:rsidR="00B078B8" w:rsidRPr="00B078B8" w:rsidRDefault="00B078B8" w:rsidP="00183FDB">
            <w:pPr>
              <w:keepNext/>
              <w:spacing w:after="0" w:line="240" w:lineRule="auto"/>
              <w:jc w:val="both"/>
              <w:rPr>
                <w:rFonts w:ascii="Times New Roman" w:hAnsi="Times New Roman" w:cs="Times New Roman"/>
                <w:sz w:val="20"/>
                <w:szCs w:val="20"/>
              </w:rPr>
            </w:pPr>
            <w:r w:rsidRPr="00B078B8">
              <w:rPr>
                <w:rFonts w:ascii="Times New Roman" w:hAnsi="Times New Roman" w:cs="Times New Roman"/>
                <w:sz w:val="20"/>
                <w:szCs w:val="20"/>
              </w:rPr>
              <w:t>SOP a PRV</w:t>
            </w:r>
          </w:p>
        </w:tc>
        <w:tc>
          <w:tcPr>
            <w:tcW w:w="479" w:type="pct"/>
            <w:tcBorders>
              <w:left w:val="single" w:sz="4" w:space="0" w:color="auto"/>
            </w:tcBorders>
            <w:shd w:val="clear" w:color="auto" w:fill="F2F2F2" w:themeFill="background1" w:themeFillShade="F2"/>
            <w:vAlign w:val="bottom"/>
          </w:tcPr>
          <w:p w:rsidR="00B078B8" w:rsidRPr="00B078B8" w:rsidRDefault="001215FA" w:rsidP="00B078B8">
            <w:pPr>
              <w:keepNext/>
              <w:tabs>
                <w:tab w:val="left" w:pos="709"/>
              </w:tabs>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c>
          <w:tcPr>
            <w:tcW w:w="479" w:type="pct"/>
            <w:shd w:val="clear" w:color="auto" w:fill="F2F2F2" w:themeFill="background1" w:themeFillShade="F2"/>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0,85</w:t>
            </w:r>
          </w:p>
        </w:tc>
        <w:tc>
          <w:tcPr>
            <w:tcW w:w="479" w:type="pct"/>
            <w:shd w:val="clear" w:color="auto" w:fill="F2F2F2" w:themeFill="background1" w:themeFillShade="F2"/>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6,12</w:t>
            </w:r>
          </w:p>
        </w:tc>
        <w:tc>
          <w:tcPr>
            <w:tcW w:w="479" w:type="pct"/>
            <w:shd w:val="clear" w:color="auto" w:fill="F2F2F2" w:themeFill="background1" w:themeFillShade="F2"/>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5,15</w:t>
            </w:r>
          </w:p>
        </w:tc>
        <w:tc>
          <w:tcPr>
            <w:tcW w:w="479" w:type="pct"/>
            <w:shd w:val="clear" w:color="auto" w:fill="F2F2F2" w:themeFill="background1" w:themeFillShade="F2"/>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2,36</w:t>
            </w:r>
          </w:p>
        </w:tc>
        <w:tc>
          <w:tcPr>
            <w:tcW w:w="479" w:type="pct"/>
            <w:shd w:val="clear" w:color="auto" w:fill="F2F2F2" w:themeFill="background1" w:themeFillShade="F2"/>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3,32</w:t>
            </w:r>
          </w:p>
        </w:tc>
        <w:tc>
          <w:tcPr>
            <w:tcW w:w="479" w:type="pct"/>
            <w:shd w:val="clear" w:color="auto" w:fill="F2F2F2" w:themeFill="background1" w:themeFillShade="F2"/>
            <w:vAlign w:val="bottom"/>
          </w:tcPr>
          <w:p w:rsidR="00B078B8" w:rsidRPr="00B078B8" w:rsidRDefault="001215FA" w:rsidP="00B078B8">
            <w:pPr>
              <w:keepNext/>
              <w:tabs>
                <w:tab w:val="left" w:pos="709"/>
              </w:tabs>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c>
          <w:tcPr>
            <w:tcW w:w="478" w:type="pct"/>
            <w:shd w:val="clear" w:color="auto" w:fill="F2F2F2" w:themeFill="background1" w:themeFillShade="F2"/>
            <w:vAlign w:val="bottom"/>
          </w:tcPr>
          <w:p w:rsidR="00B078B8" w:rsidRPr="00B078B8" w:rsidRDefault="001215FA" w:rsidP="00B078B8">
            <w:pPr>
              <w:keepNext/>
              <w:tabs>
                <w:tab w:val="left" w:pos="709"/>
              </w:tabs>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r>
      <w:tr w:rsidR="00B078B8" w:rsidRPr="00B078B8" w:rsidTr="001215FA">
        <w:tc>
          <w:tcPr>
            <w:tcW w:w="1168" w:type="pct"/>
            <w:tcBorders>
              <w:right w:val="single" w:sz="4" w:space="0" w:color="auto"/>
            </w:tcBorders>
          </w:tcPr>
          <w:p w:rsidR="00B078B8" w:rsidRPr="00B078B8" w:rsidRDefault="00B078B8" w:rsidP="00183FDB">
            <w:pPr>
              <w:keepNext/>
              <w:spacing w:after="0" w:line="240" w:lineRule="auto"/>
              <w:jc w:val="both"/>
              <w:rPr>
                <w:rFonts w:ascii="Times New Roman" w:hAnsi="Times New Roman" w:cs="Times New Roman"/>
                <w:sz w:val="20"/>
                <w:szCs w:val="20"/>
              </w:rPr>
            </w:pPr>
            <w:r w:rsidRPr="00B078B8">
              <w:rPr>
                <w:rFonts w:ascii="Times New Roman" w:hAnsi="Times New Roman" w:cs="Times New Roman"/>
                <w:sz w:val="20"/>
                <w:szCs w:val="20"/>
              </w:rPr>
              <w:t>PRV 2007-2013</w:t>
            </w:r>
          </w:p>
        </w:tc>
        <w:tc>
          <w:tcPr>
            <w:tcW w:w="479" w:type="pct"/>
            <w:tcBorders>
              <w:left w:val="single" w:sz="4" w:space="0" w:color="auto"/>
            </w:tcBorders>
            <w:vAlign w:val="bottom"/>
          </w:tcPr>
          <w:p w:rsidR="00B078B8" w:rsidRPr="00B078B8" w:rsidRDefault="001215FA" w:rsidP="00B078B8">
            <w:pPr>
              <w:keepNext/>
              <w:tabs>
                <w:tab w:val="left" w:pos="709"/>
              </w:tabs>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c>
          <w:tcPr>
            <w:tcW w:w="479" w:type="pct"/>
            <w:vAlign w:val="bottom"/>
          </w:tcPr>
          <w:p w:rsidR="00B078B8" w:rsidRPr="00B078B8" w:rsidRDefault="001215FA" w:rsidP="00B078B8">
            <w:pPr>
              <w:keepNext/>
              <w:tabs>
                <w:tab w:val="left" w:pos="709"/>
              </w:tabs>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c>
          <w:tcPr>
            <w:tcW w:w="479" w:type="pct"/>
            <w:vAlign w:val="bottom"/>
          </w:tcPr>
          <w:p w:rsidR="00B078B8" w:rsidRPr="00B078B8" w:rsidRDefault="001215FA" w:rsidP="00B078B8">
            <w:pPr>
              <w:keepNext/>
              <w:tabs>
                <w:tab w:val="left" w:pos="709"/>
              </w:tabs>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c>
          <w:tcPr>
            <w:tcW w:w="479" w:type="pct"/>
            <w:vAlign w:val="bottom"/>
          </w:tcPr>
          <w:p w:rsidR="00B078B8" w:rsidRPr="00B078B8" w:rsidRDefault="001215FA" w:rsidP="00B078B8">
            <w:pPr>
              <w:keepNext/>
              <w:tabs>
                <w:tab w:val="left" w:pos="709"/>
              </w:tabs>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c>
          <w:tcPr>
            <w:tcW w:w="479" w:type="pct"/>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6,21</w:t>
            </w:r>
          </w:p>
        </w:tc>
        <w:tc>
          <w:tcPr>
            <w:tcW w:w="479" w:type="pct"/>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31,82</w:t>
            </w:r>
          </w:p>
        </w:tc>
        <w:tc>
          <w:tcPr>
            <w:tcW w:w="479" w:type="pct"/>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33,47</w:t>
            </w:r>
          </w:p>
        </w:tc>
        <w:tc>
          <w:tcPr>
            <w:tcW w:w="478" w:type="pct"/>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37,72</w:t>
            </w:r>
          </w:p>
        </w:tc>
      </w:tr>
      <w:tr w:rsidR="00B078B8" w:rsidRPr="00B078B8" w:rsidTr="001215FA">
        <w:tc>
          <w:tcPr>
            <w:tcW w:w="1168" w:type="pct"/>
            <w:tcBorders>
              <w:right w:val="single" w:sz="4" w:space="0" w:color="auto"/>
            </w:tcBorders>
            <w:shd w:val="clear" w:color="auto" w:fill="F2F2F2" w:themeFill="background1" w:themeFillShade="F2"/>
          </w:tcPr>
          <w:p w:rsidR="00B078B8" w:rsidRPr="00B078B8" w:rsidRDefault="00B078B8" w:rsidP="00183FDB">
            <w:pPr>
              <w:keepNext/>
              <w:spacing w:after="0" w:line="240" w:lineRule="auto"/>
              <w:jc w:val="both"/>
              <w:rPr>
                <w:rFonts w:ascii="Times New Roman" w:hAnsi="Times New Roman" w:cs="Times New Roman"/>
                <w:sz w:val="20"/>
                <w:szCs w:val="20"/>
              </w:rPr>
            </w:pPr>
            <w:r w:rsidRPr="00B078B8">
              <w:rPr>
                <w:rFonts w:ascii="Times New Roman" w:hAnsi="Times New Roman" w:cs="Times New Roman"/>
                <w:sz w:val="20"/>
                <w:szCs w:val="20"/>
              </w:rPr>
              <w:t>Národná podpora</w:t>
            </w:r>
          </w:p>
        </w:tc>
        <w:tc>
          <w:tcPr>
            <w:tcW w:w="479" w:type="pct"/>
            <w:tcBorders>
              <w:left w:val="single" w:sz="4" w:space="0" w:color="auto"/>
            </w:tcBorders>
            <w:shd w:val="clear" w:color="auto" w:fill="F2F2F2" w:themeFill="background1" w:themeFillShade="F2"/>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9,88</w:t>
            </w:r>
          </w:p>
        </w:tc>
        <w:tc>
          <w:tcPr>
            <w:tcW w:w="479" w:type="pct"/>
            <w:shd w:val="clear" w:color="auto" w:fill="F2F2F2" w:themeFill="background1" w:themeFillShade="F2"/>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16,27</w:t>
            </w:r>
          </w:p>
        </w:tc>
        <w:tc>
          <w:tcPr>
            <w:tcW w:w="479" w:type="pct"/>
            <w:shd w:val="clear" w:color="auto" w:fill="F2F2F2" w:themeFill="background1" w:themeFillShade="F2"/>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13,48</w:t>
            </w:r>
          </w:p>
        </w:tc>
        <w:tc>
          <w:tcPr>
            <w:tcW w:w="479" w:type="pct"/>
            <w:shd w:val="clear" w:color="auto" w:fill="F2F2F2" w:themeFill="background1" w:themeFillShade="F2"/>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15,76</w:t>
            </w:r>
          </w:p>
        </w:tc>
        <w:tc>
          <w:tcPr>
            <w:tcW w:w="479" w:type="pct"/>
            <w:shd w:val="clear" w:color="auto" w:fill="F2F2F2" w:themeFill="background1" w:themeFillShade="F2"/>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15,02</w:t>
            </w:r>
          </w:p>
        </w:tc>
        <w:tc>
          <w:tcPr>
            <w:tcW w:w="479" w:type="pct"/>
            <w:shd w:val="clear" w:color="auto" w:fill="F2F2F2" w:themeFill="background1" w:themeFillShade="F2"/>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17,37</w:t>
            </w:r>
          </w:p>
        </w:tc>
        <w:tc>
          <w:tcPr>
            <w:tcW w:w="479" w:type="pct"/>
            <w:shd w:val="clear" w:color="auto" w:fill="F2F2F2" w:themeFill="background1" w:themeFillShade="F2"/>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15,37</w:t>
            </w:r>
          </w:p>
        </w:tc>
        <w:tc>
          <w:tcPr>
            <w:tcW w:w="478" w:type="pct"/>
            <w:shd w:val="clear" w:color="auto" w:fill="F2F2F2" w:themeFill="background1" w:themeFillShade="F2"/>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15,37</w:t>
            </w:r>
          </w:p>
        </w:tc>
      </w:tr>
      <w:tr w:rsidR="00B078B8" w:rsidRPr="00B078B8" w:rsidTr="001215FA">
        <w:tc>
          <w:tcPr>
            <w:tcW w:w="1168" w:type="pct"/>
            <w:tcBorders>
              <w:bottom w:val="single" w:sz="4" w:space="0" w:color="auto"/>
              <w:right w:val="single" w:sz="4" w:space="0" w:color="auto"/>
            </w:tcBorders>
          </w:tcPr>
          <w:p w:rsidR="00B078B8" w:rsidRPr="00B078B8" w:rsidRDefault="00B078B8" w:rsidP="00183FDB">
            <w:pPr>
              <w:keepNext/>
              <w:spacing w:after="0" w:line="240" w:lineRule="auto"/>
              <w:jc w:val="both"/>
              <w:rPr>
                <w:rFonts w:ascii="Times New Roman" w:hAnsi="Times New Roman" w:cs="Times New Roman"/>
                <w:sz w:val="20"/>
                <w:szCs w:val="20"/>
              </w:rPr>
            </w:pPr>
            <w:r w:rsidRPr="00B078B8">
              <w:rPr>
                <w:rFonts w:ascii="Times New Roman" w:hAnsi="Times New Roman" w:cs="Times New Roman"/>
                <w:sz w:val="20"/>
                <w:szCs w:val="20"/>
              </w:rPr>
              <w:t>Štátna pomoc</w:t>
            </w:r>
          </w:p>
        </w:tc>
        <w:tc>
          <w:tcPr>
            <w:tcW w:w="479" w:type="pct"/>
            <w:tcBorders>
              <w:left w:val="single" w:sz="4" w:space="0" w:color="auto"/>
              <w:bottom w:val="single" w:sz="4" w:space="0" w:color="auto"/>
            </w:tcBorders>
            <w:vAlign w:val="bottom"/>
          </w:tcPr>
          <w:p w:rsidR="00B078B8" w:rsidRPr="00B078B8" w:rsidRDefault="001215FA" w:rsidP="00B078B8">
            <w:pPr>
              <w:keepNext/>
              <w:tabs>
                <w:tab w:val="left" w:pos="709"/>
              </w:tabs>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c>
          <w:tcPr>
            <w:tcW w:w="479" w:type="pct"/>
            <w:tcBorders>
              <w:bottom w:val="single" w:sz="4" w:space="0" w:color="auto"/>
            </w:tcBorders>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0,17</w:t>
            </w:r>
          </w:p>
        </w:tc>
        <w:tc>
          <w:tcPr>
            <w:tcW w:w="479" w:type="pct"/>
            <w:tcBorders>
              <w:bottom w:val="single" w:sz="4" w:space="0" w:color="auto"/>
            </w:tcBorders>
            <w:vAlign w:val="bottom"/>
          </w:tcPr>
          <w:p w:rsidR="00B078B8" w:rsidRPr="00B078B8" w:rsidRDefault="001215FA" w:rsidP="00B078B8">
            <w:pPr>
              <w:keepNext/>
              <w:tabs>
                <w:tab w:val="left" w:pos="709"/>
              </w:tabs>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c>
          <w:tcPr>
            <w:tcW w:w="479" w:type="pct"/>
            <w:tcBorders>
              <w:bottom w:val="single" w:sz="4" w:space="0" w:color="auto"/>
            </w:tcBorders>
            <w:vAlign w:val="bottom"/>
          </w:tcPr>
          <w:p w:rsidR="00B078B8" w:rsidRPr="00B078B8" w:rsidRDefault="001215FA" w:rsidP="00B078B8">
            <w:pPr>
              <w:keepNext/>
              <w:tabs>
                <w:tab w:val="left" w:pos="709"/>
              </w:tabs>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c>
          <w:tcPr>
            <w:tcW w:w="479" w:type="pct"/>
            <w:tcBorders>
              <w:bottom w:val="single" w:sz="4" w:space="0" w:color="auto"/>
            </w:tcBorders>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1,13</w:t>
            </w:r>
          </w:p>
        </w:tc>
        <w:tc>
          <w:tcPr>
            <w:tcW w:w="479" w:type="pct"/>
            <w:tcBorders>
              <w:bottom w:val="single" w:sz="4" w:space="0" w:color="auto"/>
            </w:tcBorders>
            <w:vAlign w:val="bottom"/>
          </w:tcPr>
          <w:p w:rsidR="00B078B8" w:rsidRPr="00B078B8" w:rsidRDefault="001215FA" w:rsidP="00B078B8">
            <w:pPr>
              <w:keepNext/>
              <w:tabs>
                <w:tab w:val="left" w:pos="709"/>
              </w:tabs>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c>
          <w:tcPr>
            <w:tcW w:w="479" w:type="pct"/>
            <w:tcBorders>
              <w:bottom w:val="single" w:sz="4" w:space="0" w:color="auto"/>
            </w:tcBorders>
            <w:vAlign w:val="bottom"/>
          </w:tcPr>
          <w:p w:rsidR="00B078B8" w:rsidRPr="00B078B8" w:rsidRDefault="00B078B8" w:rsidP="00B078B8">
            <w:pPr>
              <w:keepNext/>
              <w:tabs>
                <w:tab w:val="left" w:pos="709"/>
              </w:tabs>
              <w:spacing w:after="0" w:line="240" w:lineRule="auto"/>
              <w:jc w:val="right"/>
              <w:rPr>
                <w:rFonts w:ascii="Times New Roman" w:hAnsi="Times New Roman" w:cs="Times New Roman"/>
                <w:bCs/>
                <w:sz w:val="20"/>
                <w:szCs w:val="20"/>
              </w:rPr>
            </w:pPr>
            <w:r w:rsidRPr="00B078B8">
              <w:rPr>
                <w:rFonts w:ascii="Times New Roman" w:hAnsi="Times New Roman" w:cs="Times New Roman"/>
                <w:bCs/>
                <w:sz w:val="20"/>
                <w:szCs w:val="20"/>
              </w:rPr>
              <w:t>0,33</w:t>
            </w:r>
          </w:p>
        </w:tc>
        <w:tc>
          <w:tcPr>
            <w:tcW w:w="478" w:type="pct"/>
            <w:tcBorders>
              <w:bottom w:val="single" w:sz="4" w:space="0" w:color="auto"/>
            </w:tcBorders>
            <w:vAlign w:val="bottom"/>
          </w:tcPr>
          <w:p w:rsidR="00B078B8" w:rsidRPr="00B078B8" w:rsidRDefault="001215FA" w:rsidP="00B078B8">
            <w:pPr>
              <w:keepNext/>
              <w:tabs>
                <w:tab w:val="left" w:pos="709"/>
              </w:tabs>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r>
      <w:tr w:rsidR="00B078B8" w:rsidRPr="00B078B8" w:rsidTr="001215FA">
        <w:tc>
          <w:tcPr>
            <w:tcW w:w="1168" w:type="pct"/>
            <w:tcBorders>
              <w:top w:val="single" w:sz="4" w:space="0" w:color="auto"/>
              <w:bottom w:val="single" w:sz="4" w:space="0" w:color="auto"/>
              <w:right w:val="single" w:sz="4" w:space="0" w:color="auto"/>
            </w:tcBorders>
            <w:shd w:val="clear" w:color="auto" w:fill="D9D9D9" w:themeFill="background1" w:themeFillShade="D9"/>
          </w:tcPr>
          <w:p w:rsidR="00B078B8" w:rsidRPr="00B078B8" w:rsidRDefault="00B078B8" w:rsidP="00183FDB">
            <w:pPr>
              <w:keepNext/>
              <w:spacing w:after="0" w:line="240" w:lineRule="auto"/>
              <w:jc w:val="both"/>
              <w:rPr>
                <w:rFonts w:ascii="Times New Roman" w:hAnsi="Times New Roman" w:cs="Times New Roman"/>
                <w:b/>
                <w:sz w:val="20"/>
                <w:szCs w:val="20"/>
              </w:rPr>
            </w:pPr>
            <w:r w:rsidRPr="00B078B8">
              <w:rPr>
                <w:rFonts w:ascii="Times New Roman" w:hAnsi="Times New Roman" w:cs="Times New Roman"/>
                <w:b/>
                <w:sz w:val="20"/>
                <w:szCs w:val="20"/>
              </w:rPr>
              <w:t>Spolu</w:t>
            </w:r>
          </w:p>
        </w:tc>
        <w:tc>
          <w:tcPr>
            <w:tcW w:w="479" w:type="pct"/>
            <w:tcBorders>
              <w:top w:val="single" w:sz="4" w:space="0" w:color="auto"/>
              <w:left w:val="single" w:sz="4" w:space="0" w:color="auto"/>
              <w:bottom w:val="single" w:sz="4" w:space="0" w:color="auto"/>
            </w:tcBorders>
            <w:shd w:val="clear" w:color="auto" w:fill="D9D9D9" w:themeFill="background1" w:themeFillShade="D9"/>
            <w:vAlign w:val="bottom"/>
          </w:tcPr>
          <w:p w:rsidR="00B078B8" w:rsidRPr="00B078B8" w:rsidRDefault="00B078B8" w:rsidP="00B078B8">
            <w:pPr>
              <w:keepNext/>
              <w:tabs>
                <w:tab w:val="left" w:pos="709"/>
              </w:tabs>
              <w:spacing w:after="0" w:line="240" w:lineRule="auto"/>
              <w:jc w:val="right"/>
              <w:rPr>
                <w:rFonts w:ascii="Times New Roman" w:hAnsi="Times New Roman" w:cs="Times New Roman"/>
                <w:b/>
                <w:bCs/>
                <w:sz w:val="20"/>
                <w:szCs w:val="20"/>
              </w:rPr>
            </w:pPr>
            <w:r w:rsidRPr="00B078B8">
              <w:rPr>
                <w:rFonts w:ascii="Times New Roman" w:hAnsi="Times New Roman" w:cs="Times New Roman"/>
                <w:b/>
                <w:bCs/>
                <w:sz w:val="20"/>
                <w:szCs w:val="20"/>
              </w:rPr>
              <w:t>11,02</w:t>
            </w:r>
          </w:p>
        </w:tc>
        <w:tc>
          <w:tcPr>
            <w:tcW w:w="479" w:type="pct"/>
            <w:tcBorders>
              <w:top w:val="single" w:sz="4" w:space="0" w:color="auto"/>
              <w:bottom w:val="single" w:sz="4" w:space="0" w:color="auto"/>
            </w:tcBorders>
            <w:shd w:val="clear" w:color="auto" w:fill="D9D9D9" w:themeFill="background1" w:themeFillShade="D9"/>
            <w:vAlign w:val="bottom"/>
          </w:tcPr>
          <w:p w:rsidR="00B078B8" w:rsidRPr="00B078B8" w:rsidRDefault="00B078B8" w:rsidP="00B078B8">
            <w:pPr>
              <w:keepNext/>
              <w:tabs>
                <w:tab w:val="left" w:pos="709"/>
              </w:tabs>
              <w:spacing w:after="0" w:line="240" w:lineRule="auto"/>
              <w:jc w:val="right"/>
              <w:rPr>
                <w:rFonts w:ascii="Times New Roman" w:hAnsi="Times New Roman" w:cs="Times New Roman"/>
                <w:b/>
                <w:bCs/>
                <w:sz w:val="20"/>
                <w:szCs w:val="20"/>
              </w:rPr>
            </w:pPr>
            <w:r w:rsidRPr="00B078B8">
              <w:rPr>
                <w:rFonts w:ascii="Times New Roman" w:hAnsi="Times New Roman" w:cs="Times New Roman"/>
                <w:b/>
                <w:bCs/>
                <w:sz w:val="20"/>
                <w:szCs w:val="20"/>
              </w:rPr>
              <w:t>17,29</w:t>
            </w:r>
          </w:p>
        </w:tc>
        <w:tc>
          <w:tcPr>
            <w:tcW w:w="479" w:type="pct"/>
            <w:tcBorders>
              <w:top w:val="single" w:sz="4" w:space="0" w:color="auto"/>
              <w:bottom w:val="single" w:sz="4" w:space="0" w:color="auto"/>
            </w:tcBorders>
            <w:shd w:val="clear" w:color="auto" w:fill="D9D9D9" w:themeFill="background1" w:themeFillShade="D9"/>
            <w:vAlign w:val="bottom"/>
          </w:tcPr>
          <w:p w:rsidR="00B078B8" w:rsidRPr="00B078B8" w:rsidRDefault="00B078B8" w:rsidP="00B078B8">
            <w:pPr>
              <w:keepNext/>
              <w:tabs>
                <w:tab w:val="left" w:pos="709"/>
              </w:tabs>
              <w:spacing w:after="0" w:line="240" w:lineRule="auto"/>
              <w:jc w:val="right"/>
              <w:rPr>
                <w:rFonts w:ascii="Times New Roman" w:hAnsi="Times New Roman" w:cs="Times New Roman"/>
                <w:b/>
                <w:bCs/>
                <w:sz w:val="20"/>
                <w:szCs w:val="20"/>
              </w:rPr>
            </w:pPr>
            <w:r w:rsidRPr="00B078B8">
              <w:rPr>
                <w:rFonts w:ascii="Times New Roman" w:hAnsi="Times New Roman" w:cs="Times New Roman"/>
                <w:b/>
                <w:bCs/>
                <w:sz w:val="20"/>
                <w:szCs w:val="20"/>
              </w:rPr>
              <w:t>19,60</w:t>
            </w:r>
          </w:p>
        </w:tc>
        <w:tc>
          <w:tcPr>
            <w:tcW w:w="479" w:type="pct"/>
            <w:tcBorders>
              <w:top w:val="single" w:sz="4" w:space="0" w:color="auto"/>
              <w:bottom w:val="single" w:sz="4" w:space="0" w:color="auto"/>
            </w:tcBorders>
            <w:shd w:val="clear" w:color="auto" w:fill="D9D9D9" w:themeFill="background1" w:themeFillShade="D9"/>
            <w:vAlign w:val="bottom"/>
          </w:tcPr>
          <w:p w:rsidR="00B078B8" w:rsidRPr="00B078B8" w:rsidRDefault="00B078B8" w:rsidP="00B078B8">
            <w:pPr>
              <w:keepNext/>
              <w:tabs>
                <w:tab w:val="left" w:pos="709"/>
              </w:tabs>
              <w:spacing w:after="0" w:line="240" w:lineRule="auto"/>
              <w:jc w:val="right"/>
              <w:rPr>
                <w:rFonts w:ascii="Times New Roman" w:hAnsi="Times New Roman" w:cs="Times New Roman"/>
                <w:b/>
                <w:bCs/>
                <w:sz w:val="20"/>
                <w:szCs w:val="20"/>
              </w:rPr>
            </w:pPr>
            <w:r w:rsidRPr="00B078B8">
              <w:rPr>
                <w:rFonts w:ascii="Times New Roman" w:hAnsi="Times New Roman" w:cs="Times New Roman"/>
                <w:b/>
                <w:bCs/>
                <w:sz w:val="20"/>
                <w:szCs w:val="20"/>
              </w:rPr>
              <w:t>20,91</w:t>
            </w:r>
          </w:p>
        </w:tc>
        <w:tc>
          <w:tcPr>
            <w:tcW w:w="479" w:type="pct"/>
            <w:tcBorders>
              <w:top w:val="single" w:sz="4" w:space="0" w:color="auto"/>
              <w:bottom w:val="single" w:sz="4" w:space="0" w:color="auto"/>
            </w:tcBorders>
            <w:shd w:val="clear" w:color="auto" w:fill="D9D9D9" w:themeFill="background1" w:themeFillShade="D9"/>
            <w:vAlign w:val="bottom"/>
          </w:tcPr>
          <w:p w:rsidR="00B078B8" w:rsidRPr="00B078B8" w:rsidRDefault="00B078B8" w:rsidP="00B078B8">
            <w:pPr>
              <w:keepNext/>
              <w:tabs>
                <w:tab w:val="left" w:pos="709"/>
              </w:tabs>
              <w:spacing w:after="0" w:line="240" w:lineRule="auto"/>
              <w:jc w:val="right"/>
              <w:rPr>
                <w:rFonts w:ascii="Times New Roman" w:hAnsi="Times New Roman" w:cs="Times New Roman"/>
                <w:b/>
                <w:bCs/>
                <w:sz w:val="20"/>
                <w:szCs w:val="20"/>
              </w:rPr>
            </w:pPr>
            <w:r w:rsidRPr="00B078B8">
              <w:rPr>
                <w:rFonts w:ascii="Times New Roman" w:hAnsi="Times New Roman" w:cs="Times New Roman"/>
                <w:b/>
                <w:bCs/>
                <w:sz w:val="20"/>
                <w:szCs w:val="20"/>
              </w:rPr>
              <w:t>24,73</w:t>
            </w:r>
          </w:p>
        </w:tc>
        <w:tc>
          <w:tcPr>
            <w:tcW w:w="479" w:type="pct"/>
            <w:tcBorders>
              <w:top w:val="single" w:sz="4" w:space="0" w:color="auto"/>
              <w:bottom w:val="single" w:sz="4" w:space="0" w:color="auto"/>
            </w:tcBorders>
            <w:shd w:val="clear" w:color="auto" w:fill="D9D9D9" w:themeFill="background1" w:themeFillShade="D9"/>
            <w:vAlign w:val="bottom"/>
          </w:tcPr>
          <w:p w:rsidR="00B078B8" w:rsidRPr="00B078B8" w:rsidRDefault="00B078B8" w:rsidP="00B078B8">
            <w:pPr>
              <w:keepNext/>
              <w:tabs>
                <w:tab w:val="left" w:pos="709"/>
              </w:tabs>
              <w:spacing w:after="0" w:line="240" w:lineRule="auto"/>
              <w:jc w:val="right"/>
              <w:rPr>
                <w:rFonts w:ascii="Times New Roman" w:hAnsi="Times New Roman" w:cs="Times New Roman"/>
                <w:b/>
                <w:bCs/>
                <w:sz w:val="20"/>
                <w:szCs w:val="20"/>
              </w:rPr>
            </w:pPr>
            <w:r w:rsidRPr="00B078B8">
              <w:rPr>
                <w:rFonts w:ascii="Times New Roman" w:hAnsi="Times New Roman" w:cs="Times New Roman"/>
                <w:b/>
                <w:bCs/>
                <w:sz w:val="20"/>
                <w:szCs w:val="20"/>
              </w:rPr>
              <w:t>52,50</w:t>
            </w:r>
          </w:p>
        </w:tc>
        <w:tc>
          <w:tcPr>
            <w:tcW w:w="479" w:type="pct"/>
            <w:tcBorders>
              <w:top w:val="single" w:sz="4" w:space="0" w:color="auto"/>
              <w:bottom w:val="single" w:sz="4" w:space="0" w:color="auto"/>
            </w:tcBorders>
            <w:shd w:val="clear" w:color="auto" w:fill="D9D9D9" w:themeFill="background1" w:themeFillShade="D9"/>
            <w:vAlign w:val="bottom"/>
          </w:tcPr>
          <w:p w:rsidR="00B078B8" w:rsidRPr="00B078B8" w:rsidRDefault="00B078B8" w:rsidP="00B078B8">
            <w:pPr>
              <w:keepNext/>
              <w:tabs>
                <w:tab w:val="left" w:pos="709"/>
              </w:tabs>
              <w:spacing w:after="0" w:line="240" w:lineRule="auto"/>
              <w:jc w:val="right"/>
              <w:rPr>
                <w:rFonts w:ascii="Times New Roman" w:hAnsi="Times New Roman" w:cs="Times New Roman"/>
                <w:b/>
                <w:bCs/>
                <w:sz w:val="20"/>
                <w:szCs w:val="20"/>
              </w:rPr>
            </w:pPr>
            <w:r w:rsidRPr="00B078B8">
              <w:rPr>
                <w:rFonts w:ascii="Times New Roman" w:hAnsi="Times New Roman" w:cs="Times New Roman"/>
                <w:b/>
                <w:bCs/>
                <w:sz w:val="20"/>
                <w:szCs w:val="20"/>
              </w:rPr>
              <w:t>49,17</w:t>
            </w:r>
          </w:p>
        </w:tc>
        <w:tc>
          <w:tcPr>
            <w:tcW w:w="478" w:type="pct"/>
            <w:tcBorders>
              <w:top w:val="single" w:sz="4" w:space="0" w:color="auto"/>
              <w:bottom w:val="single" w:sz="4" w:space="0" w:color="auto"/>
            </w:tcBorders>
            <w:shd w:val="clear" w:color="auto" w:fill="D9D9D9" w:themeFill="background1" w:themeFillShade="D9"/>
            <w:vAlign w:val="bottom"/>
          </w:tcPr>
          <w:p w:rsidR="00B078B8" w:rsidRPr="00B078B8" w:rsidRDefault="00B078B8" w:rsidP="00B078B8">
            <w:pPr>
              <w:keepNext/>
              <w:tabs>
                <w:tab w:val="left" w:pos="709"/>
              </w:tabs>
              <w:spacing w:after="0" w:line="240" w:lineRule="auto"/>
              <w:jc w:val="right"/>
              <w:rPr>
                <w:rFonts w:ascii="Times New Roman" w:hAnsi="Times New Roman" w:cs="Times New Roman"/>
                <w:b/>
                <w:bCs/>
                <w:sz w:val="20"/>
                <w:szCs w:val="20"/>
              </w:rPr>
            </w:pPr>
            <w:r w:rsidRPr="00B078B8">
              <w:rPr>
                <w:rFonts w:ascii="Times New Roman" w:hAnsi="Times New Roman" w:cs="Times New Roman"/>
                <w:b/>
                <w:bCs/>
                <w:sz w:val="20"/>
                <w:szCs w:val="20"/>
              </w:rPr>
              <w:t>53,09</w:t>
            </w:r>
          </w:p>
        </w:tc>
      </w:tr>
    </w:tbl>
    <w:p w:rsidR="00B078B8" w:rsidRPr="00B078B8" w:rsidRDefault="00B078B8" w:rsidP="00B078B8">
      <w:pPr>
        <w:keepNext/>
        <w:spacing w:after="0" w:line="240" w:lineRule="auto"/>
        <w:jc w:val="both"/>
        <w:rPr>
          <w:rFonts w:ascii="Times New Roman" w:hAnsi="Times New Roman"/>
          <w:sz w:val="18"/>
          <w:szCs w:val="18"/>
        </w:rPr>
      </w:pPr>
      <w:r w:rsidRPr="00B078B8">
        <w:rPr>
          <w:rFonts w:ascii="Times New Roman" w:hAnsi="Times New Roman"/>
          <w:sz w:val="18"/>
          <w:szCs w:val="18"/>
        </w:rPr>
        <w:t>Poznámka: SOP a PRV – Sektorový operačný program Poľnohospodárstvo a rozvoj vidieka 20</w:t>
      </w:r>
      <w:r>
        <w:rPr>
          <w:rFonts w:ascii="Times New Roman" w:hAnsi="Times New Roman"/>
          <w:sz w:val="18"/>
          <w:szCs w:val="18"/>
        </w:rPr>
        <w:t>04-2006 a Plán rozvoja vidieka</w:t>
      </w:r>
    </w:p>
    <w:p w:rsidR="00B078B8" w:rsidRPr="00B10F80" w:rsidRDefault="00B078B8" w:rsidP="00B10F80">
      <w:pPr>
        <w:keepNext/>
        <w:spacing w:after="0" w:line="240" w:lineRule="auto"/>
        <w:jc w:val="right"/>
        <w:rPr>
          <w:rFonts w:ascii="Times New Roman" w:hAnsi="Times New Roman"/>
          <w:sz w:val="20"/>
          <w:szCs w:val="20"/>
        </w:rPr>
      </w:pPr>
      <w:r>
        <w:rPr>
          <w:rFonts w:ascii="Times New Roman" w:hAnsi="Times New Roman"/>
          <w:sz w:val="20"/>
          <w:szCs w:val="20"/>
        </w:rPr>
        <w:t>Zdroj</w:t>
      </w:r>
      <w:r w:rsidRPr="00C814AB">
        <w:rPr>
          <w:rFonts w:ascii="Times New Roman" w:hAnsi="Times New Roman"/>
          <w:sz w:val="20"/>
          <w:szCs w:val="20"/>
        </w:rPr>
        <w:t xml:space="preserve">: Zelená správa 2004-2011, </w:t>
      </w:r>
      <w:r>
        <w:rPr>
          <w:rFonts w:ascii="Times New Roman" w:hAnsi="Times New Roman"/>
          <w:sz w:val="20"/>
          <w:szCs w:val="20"/>
        </w:rPr>
        <w:t>PPA</w:t>
      </w:r>
    </w:p>
    <w:p w:rsidR="00015E85" w:rsidRDefault="00015E85" w:rsidP="00015E85">
      <w:pPr>
        <w:spacing w:after="0" w:line="240" w:lineRule="auto"/>
        <w:jc w:val="both"/>
        <w:rPr>
          <w:rFonts w:ascii="Times New Roman" w:hAnsi="Times New Roman" w:cs="Times New Roman"/>
          <w:sz w:val="24"/>
          <w:szCs w:val="24"/>
        </w:rPr>
      </w:pPr>
    </w:p>
    <w:p w:rsidR="00015E85" w:rsidRDefault="00015E85" w:rsidP="00015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w:t>
      </w:r>
      <w:r w:rsidRPr="00015E85">
        <w:rPr>
          <w:rFonts w:ascii="Times New Roman" w:hAnsi="Times New Roman" w:cs="Times New Roman"/>
          <w:sz w:val="24"/>
          <w:szCs w:val="24"/>
        </w:rPr>
        <w:t xml:space="preserve"> 2011 </w:t>
      </w:r>
      <w:r>
        <w:rPr>
          <w:rFonts w:ascii="Times New Roman" w:hAnsi="Times New Roman" w:cs="Times New Roman"/>
          <w:sz w:val="24"/>
          <w:szCs w:val="24"/>
        </w:rPr>
        <w:t xml:space="preserve">došlo k čiastočnému oživeniu lesného hospodárstva, čo </w:t>
      </w:r>
      <w:r w:rsidRPr="00015E85">
        <w:rPr>
          <w:rFonts w:ascii="Times New Roman" w:hAnsi="Times New Roman" w:cs="Times New Roman"/>
          <w:sz w:val="24"/>
          <w:szCs w:val="24"/>
        </w:rPr>
        <w:t>sa prejavilo aj v najdôležitejšom ekonomickom ukazovateli – dosiahnutom zisku za podnikateľské subjekty. Na priaznivý vývoj hospodárskeho výsledku vplývali najmä zvýšené náhodné ťažby (pokračovanie spracovania kalamitných smrekových porastov), zvýšenie priemerného speňaženia sortimentov surového dreva vplyvom zvýšeného dopytu po dreve, ako aj úsporné opatrenia v nákladových činnostiach (v oblasti režijných nákladov, opráv a údržieb a pod.). Kladný hospodársky výsledok bol dosiahnutý i znížením nákladov v </w:t>
      </w:r>
      <w:proofErr w:type="spellStart"/>
      <w:r w:rsidRPr="00015E85">
        <w:rPr>
          <w:rFonts w:ascii="Times New Roman" w:hAnsi="Times New Roman" w:cs="Times New Roman"/>
          <w:sz w:val="24"/>
          <w:szCs w:val="24"/>
        </w:rPr>
        <w:t>pestovnej</w:t>
      </w:r>
      <w:proofErr w:type="spellEnd"/>
      <w:r w:rsidRPr="00015E85">
        <w:rPr>
          <w:rFonts w:ascii="Times New Roman" w:hAnsi="Times New Roman" w:cs="Times New Roman"/>
          <w:sz w:val="24"/>
          <w:szCs w:val="24"/>
        </w:rPr>
        <w:t xml:space="preserve"> činnosti, čo však bolo na úkor lesa. </w:t>
      </w:r>
    </w:p>
    <w:p w:rsidR="00015E85" w:rsidRPr="00015E85" w:rsidRDefault="00015E85" w:rsidP="00015E85">
      <w:pPr>
        <w:spacing w:after="0" w:line="240" w:lineRule="auto"/>
        <w:jc w:val="both"/>
        <w:rPr>
          <w:rFonts w:ascii="Times New Roman" w:hAnsi="Times New Roman" w:cs="Times New Roman"/>
          <w:sz w:val="24"/>
          <w:szCs w:val="24"/>
        </w:rPr>
      </w:pPr>
    </w:p>
    <w:p w:rsidR="00DE7125" w:rsidRDefault="00DE7125" w:rsidP="00015E85">
      <w:pPr>
        <w:pStyle w:val="Popis"/>
        <w:keepNext/>
        <w:spacing w:before="0" w:after="0"/>
        <w:ind w:left="1843" w:hanging="1843"/>
        <w:rPr>
          <w:rFonts w:eastAsiaTheme="minorEastAsia"/>
          <w:b w:val="0"/>
          <w:sz w:val="20"/>
          <w:szCs w:val="20"/>
        </w:rPr>
      </w:pPr>
      <w:r>
        <w:rPr>
          <w:b w:val="0"/>
          <w:sz w:val="20"/>
          <w:szCs w:val="20"/>
        </w:rPr>
        <w:t>Graf č. 4</w:t>
      </w:r>
      <w:r w:rsidRPr="00DE7125">
        <w:rPr>
          <w:b w:val="0"/>
          <w:sz w:val="20"/>
          <w:szCs w:val="20"/>
        </w:rPr>
        <w:t>:</w:t>
      </w:r>
      <w:r w:rsidR="00015E85" w:rsidRPr="00DE7125">
        <w:rPr>
          <w:rFonts w:eastAsiaTheme="minorEastAsia"/>
          <w:b w:val="0"/>
          <w:sz w:val="20"/>
          <w:szCs w:val="20"/>
        </w:rPr>
        <w:t xml:space="preserve">Hospodársky výsledok </w:t>
      </w:r>
      <w:r w:rsidR="0001510B">
        <w:rPr>
          <w:rFonts w:eastAsiaTheme="minorEastAsia"/>
          <w:b w:val="0"/>
          <w:sz w:val="20"/>
          <w:szCs w:val="20"/>
        </w:rPr>
        <w:t xml:space="preserve">podnikov </w:t>
      </w:r>
      <w:r w:rsidR="00015E85" w:rsidRPr="00DE7125">
        <w:rPr>
          <w:rFonts w:eastAsiaTheme="minorEastAsia"/>
          <w:b w:val="0"/>
          <w:sz w:val="20"/>
          <w:szCs w:val="20"/>
        </w:rPr>
        <w:t xml:space="preserve">lesného hospodárstva SR </w:t>
      </w:r>
      <w:r>
        <w:rPr>
          <w:rFonts w:eastAsiaTheme="minorEastAsia"/>
          <w:b w:val="0"/>
          <w:sz w:val="20"/>
          <w:szCs w:val="20"/>
        </w:rPr>
        <w:t>v roku 2011</w:t>
      </w:r>
    </w:p>
    <w:p w:rsidR="00DE7125" w:rsidRDefault="00DE7125" w:rsidP="00015E85">
      <w:pPr>
        <w:keepNext/>
        <w:spacing w:after="0" w:line="240" w:lineRule="auto"/>
        <w:rPr>
          <w:rFonts w:ascii="Times New Roman" w:hAnsi="Times New Roman"/>
          <w:sz w:val="20"/>
          <w:szCs w:val="20"/>
        </w:rPr>
      </w:pPr>
      <w:r>
        <w:rPr>
          <w:noProof/>
        </w:rPr>
        <w:drawing>
          <wp:inline distT="0" distB="0" distL="0" distR="0" wp14:anchorId="3FEC01FE" wp14:editId="5C155067">
            <wp:extent cx="5757062" cy="1470356"/>
            <wp:effectExtent l="0" t="0" r="0" b="0"/>
            <wp:docPr id="296" name="Graf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5E85" w:rsidRPr="00C814AB" w:rsidRDefault="0001510B" w:rsidP="0001510B">
      <w:pPr>
        <w:keepNext/>
        <w:spacing w:after="0" w:line="240" w:lineRule="auto"/>
        <w:jc w:val="right"/>
        <w:rPr>
          <w:rFonts w:ascii="Times New Roman" w:hAnsi="Times New Roman"/>
          <w:sz w:val="20"/>
          <w:szCs w:val="20"/>
        </w:rPr>
      </w:pPr>
      <w:r>
        <w:rPr>
          <w:rFonts w:ascii="Times New Roman" w:hAnsi="Times New Roman"/>
          <w:sz w:val="20"/>
          <w:szCs w:val="20"/>
        </w:rPr>
        <w:t>Zdroj</w:t>
      </w:r>
      <w:r w:rsidR="00015E85" w:rsidRPr="00C814AB">
        <w:rPr>
          <w:rFonts w:ascii="Times New Roman" w:hAnsi="Times New Roman"/>
          <w:sz w:val="20"/>
          <w:szCs w:val="20"/>
        </w:rPr>
        <w:t>: Rezortný štatistický výkaz Les 5-01, Výkaz ziskov a strát Uč POD 2-01; Vypracoval: NLC-LVÚ Zvolen</w:t>
      </w:r>
    </w:p>
    <w:p w:rsidR="0001510B" w:rsidRDefault="0001510B" w:rsidP="00B10F80">
      <w:pPr>
        <w:tabs>
          <w:tab w:val="left" w:pos="360"/>
        </w:tabs>
        <w:spacing w:before="120" w:after="120" w:line="240" w:lineRule="auto"/>
        <w:jc w:val="both"/>
        <w:rPr>
          <w:rFonts w:ascii="Times New Roman" w:hAnsi="Times New Roman"/>
          <w:sz w:val="24"/>
          <w:szCs w:val="24"/>
        </w:rPr>
      </w:pPr>
    </w:p>
    <w:p w:rsidR="00015E85" w:rsidRDefault="00015E85" w:rsidP="0001510B">
      <w:pPr>
        <w:spacing w:after="0" w:line="240" w:lineRule="auto"/>
        <w:jc w:val="both"/>
        <w:rPr>
          <w:rFonts w:ascii="Times New Roman" w:hAnsi="Times New Roman" w:cs="Times New Roman"/>
          <w:sz w:val="24"/>
          <w:szCs w:val="24"/>
        </w:rPr>
      </w:pPr>
      <w:r w:rsidRPr="0001510B">
        <w:rPr>
          <w:rFonts w:ascii="Times New Roman" w:hAnsi="Times New Roman" w:cs="Times New Roman"/>
          <w:sz w:val="24"/>
          <w:szCs w:val="24"/>
        </w:rPr>
        <w:t xml:space="preserve">Hospodársky výsledok </w:t>
      </w:r>
      <w:r w:rsidR="0001510B">
        <w:rPr>
          <w:rFonts w:ascii="Times New Roman" w:hAnsi="Times New Roman" w:cs="Times New Roman"/>
          <w:sz w:val="24"/>
          <w:szCs w:val="24"/>
        </w:rPr>
        <w:t>podnikov lesného hospodárstva</w:t>
      </w:r>
      <w:r w:rsidRPr="0001510B">
        <w:rPr>
          <w:rFonts w:ascii="Times New Roman" w:hAnsi="Times New Roman" w:cs="Times New Roman"/>
          <w:sz w:val="24"/>
          <w:szCs w:val="24"/>
        </w:rPr>
        <w:t xml:space="preserve"> negatívne ovplyvňuje </w:t>
      </w:r>
      <w:r w:rsidR="00B10F80" w:rsidRPr="0001510B">
        <w:rPr>
          <w:rFonts w:ascii="Times New Roman" w:hAnsi="Times New Roman" w:cs="Times New Roman"/>
          <w:sz w:val="24"/>
          <w:szCs w:val="24"/>
        </w:rPr>
        <w:t xml:space="preserve">okrem iného </w:t>
      </w:r>
      <w:r w:rsidRPr="0001510B">
        <w:rPr>
          <w:rFonts w:ascii="Times New Roman" w:hAnsi="Times New Roman" w:cs="Times New Roman"/>
          <w:sz w:val="24"/>
          <w:szCs w:val="24"/>
        </w:rPr>
        <w:t xml:space="preserve">neustále sa zvyšujúci dopyt spoločnosti po ekologických a sociálnych službách. Náklady na poskytovanie týchto služieb už nedokáže lesné hospodárstvo pokrývať iba tržbami z realizovanej produkcie dreva. Preto </w:t>
      </w:r>
      <w:r w:rsidR="00B10F80" w:rsidRPr="0001510B">
        <w:rPr>
          <w:rFonts w:ascii="Times New Roman" w:hAnsi="Times New Roman" w:cs="Times New Roman"/>
          <w:sz w:val="24"/>
          <w:szCs w:val="24"/>
        </w:rPr>
        <w:t>je potrebné</w:t>
      </w:r>
      <w:r w:rsidRPr="0001510B">
        <w:rPr>
          <w:rFonts w:ascii="Times New Roman" w:hAnsi="Times New Roman" w:cs="Times New Roman"/>
          <w:sz w:val="24"/>
          <w:szCs w:val="24"/>
        </w:rPr>
        <w:t xml:space="preserve"> zaoberať </w:t>
      </w:r>
      <w:r w:rsidR="00B10F80" w:rsidRPr="0001510B">
        <w:rPr>
          <w:rFonts w:ascii="Times New Roman" w:hAnsi="Times New Roman" w:cs="Times New Roman"/>
          <w:sz w:val="24"/>
          <w:szCs w:val="24"/>
        </w:rPr>
        <w:t xml:space="preserve">sa </w:t>
      </w:r>
      <w:r w:rsidRPr="0001510B">
        <w:rPr>
          <w:rFonts w:ascii="Times New Roman" w:hAnsi="Times New Roman" w:cs="Times New Roman"/>
          <w:sz w:val="24"/>
          <w:szCs w:val="24"/>
        </w:rPr>
        <w:t xml:space="preserve">otázkou, z čoho pokrývať zvýšené náklady. </w:t>
      </w:r>
    </w:p>
    <w:p w:rsidR="0001510B" w:rsidRDefault="0001510B" w:rsidP="0001510B">
      <w:pPr>
        <w:spacing w:after="0" w:line="240" w:lineRule="auto"/>
        <w:jc w:val="both"/>
        <w:rPr>
          <w:rFonts w:ascii="Times New Roman" w:hAnsi="Times New Roman" w:cs="Times New Roman"/>
          <w:sz w:val="24"/>
          <w:szCs w:val="24"/>
        </w:rPr>
      </w:pPr>
    </w:p>
    <w:p w:rsidR="0001510B" w:rsidRPr="0001510B" w:rsidRDefault="0001510B" w:rsidP="0001510B">
      <w:pPr>
        <w:keepNext/>
        <w:spacing w:after="0" w:line="240" w:lineRule="auto"/>
        <w:rPr>
          <w:rFonts w:ascii="Times New Roman" w:hAnsi="Times New Roman" w:cs="Times New Roman"/>
          <w:sz w:val="20"/>
          <w:szCs w:val="20"/>
        </w:rPr>
      </w:pPr>
      <w:r>
        <w:rPr>
          <w:rFonts w:ascii="Times New Roman" w:hAnsi="Times New Roman" w:cs="Times New Roman"/>
          <w:sz w:val="20"/>
          <w:szCs w:val="20"/>
        </w:rPr>
        <w:t>Tab. č. 13</w:t>
      </w:r>
      <w:r w:rsidRPr="00A855A4">
        <w:rPr>
          <w:rFonts w:ascii="Times New Roman" w:hAnsi="Times New Roman" w:cs="Times New Roman"/>
          <w:sz w:val="20"/>
          <w:szCs w:val="20"/>
        </w:rPr>
        <w:t xml:space="preserve">: </w:t>
      </w:r>
      <w:r w:rsidRPr="0001510B">
        <w:rPr>
          <w:rFonts w:ascii="Times New Roman" w:hAnsi="Times New Roman" w:cs="Times New Roman"/>
          <w:sz w:val="20"/>
          <w:szCs w:val="20"/>
        </w:rPr>
        <w:t xml:space="preserve">Prehľad výmery a podielu lesov na Slovensku podľa ich hlavnej funkcie     </w:t>
      </w:r>
    </w:p>
    <w:tbl>
      <w:tblPr>
        <w:tblpPr w:leftFromText="141" w:rightFromText="141" w:vertAnchor="text" w:horzAnchor="margin" w:tblpX="108" w:tblpY="50"/>
        <w:tblW w:w="9039" w:type="dxa"/>
        <w:tblLook w:val="01E0" w:firstRow="1" w:lastRow="1" w:firstColumn="1" w:lastColumn="1" w:noHBand="0" w:noVBand="0"/>
      </w:tblPr>
      <w:tblGrid>
        <w:gridCol w:w="2093"/>
        <w:gridCol w:w="3969"/>
        <w:gridCol w:w="1246"/>
        <w:gridCol w:w="1731"/>
      </w:tblGrid>
      <w:tr w:rsidR="0001510B" w:rsidRPr="0001510B" w:rsidTr="0001510B">
        <w:tc>
          <w:tcPr>
            <w:tcW w:w="2093" w:type="dxa"/>
            <w:tcBorders>
              <w:top w:val="single" w:sz="4" w:space="0" w:color="auto"/>
              <w:bottom w:val="single" w:sz="4" w:space="0" w:color="auto"/>
            </w:tcBorders>
            <w:shd w:val="clear" w:color="auto" w:fill="D9D9D9" w:themeFill="background1" w:themeFillShade="D9"/>
          </w:tcPr>
          <w:p w:rsidR="0001510B" w:rsidRPr="0001510B" w:rsidRDefault="0001510B" w:rsidP="0001510B">
            <w:pPr>
              <w:keepNext/>
              <w:spacing w:after="0" w:line="240" w:lineRule="auto"/>
              <w:rPr>
                <w:rFonts w:ascii="Times New Roman" w:hAnsi="Times New Roman"/>
                <w:b/>
                <w:sz w:val="20"/>
                <w:szCs w:val="20"/>
              </w:rPr>
            </w:pPr>
            <w:r w:rsidRPr="0001510B">
              <w:rPr>
                <w:rFonts w:ascii="Times New Roman" w:hAnsi="Times New Roman"/>
                <w:b/>
                <w:sz w:val="20"/>
                <w:szCs w:val="20"/>
              </w:rPr>
              <w:t xml:space="preserve">Lesy </w:t>
            </w:r>
          </w:p>
        </w:tc>
        <w:tc>
          <w:tcPr>
            <w:tcW w:w="3969" w:type="dxa"/>
            <w:tcBorders>
              <w:top w:val="single" w:sz="4" w:space="0" w:color="auto"/>
              <w:bottom w:val="single" w:sz="4" w:space="0" w:color="auto"/>
            </w:tcBorders>
            <w:shd w:val="clear" w:color="auto" w:fill="D9D9D9" w:themeFill="background1" w:themeFillShade="D9"/>
          </w:tcPr>
          <w:p w:rsidR="0001510B" w:rsidRPr="0001510B" w:rsidRDefault="0001510B" w:rsidP="0001510B">
            <w:pPr>
              <w:keepNext/>
              <w:spacing w:after="0" w:line="240" w:lineRule="auto"/>
              <w:rPr>
                <w:rFonts w:ascii="Times New Roman" w:hAnsi="Times New Roman"/>
                <w:b/>
                <w:sz w:val="20"/>
                <w:szCs w:val="20"/>
              </w:rPr>
            </w:pPr>
            <w:r w:rsidRPr="0001510B">
              <w:rPr>
                <w:rFonts w:ascii="Times New Roman" w:hAnsi="Times New Roman"/>
                <w:b/>
                <w:sz w:val="20"/>
                <w:szCs w:val="20"/>
              </w:rPr>
              <w:t>Hlavná funkcia</w:t>
            </w:r>
          </w:p>
        </w:tc>
        <w:tc>
          <w:tcPr>
            <w:tcW w:w="1246" w:type="dxa"/>
            <w:tcBorders>
              <w:top w:val="single" w:sz="4" w:space="0" w:color="auto"/>
              <w:bottom w:val="single" w:sz="4" w:space="0" w:color="auto"/>
            </w:tcBorders>
            <w:shd w:val="clear" w:color="auto" w:fill="D9D9D9" w:themeFill="background1" w:themeFillShade="D9"/>
          </w:tcPr>
          <w:p w:rsidR="0001510B" w:rsidRPr="0001510B" w:rsidRDefault="0001510B" w:rsidP="0001510B">
            <w:pPr>
              <w:keepNext/>
              <w:spacing w:after="0" w:line="240" w:lineRule="auto"/>
              <w:jc w:val="center"/>
              <w:rPr>
                <w:rFonts w:ascii="Times New Roman" w:hAnsi="Times New Roman"/>
                <w:b/>
                <w:sz w:val="20"/>
                <w:szCs w:val="20"/>
              </w:rPr>
            </w:pPr>
            <w:r w:rsidRPr="0001510B">
              <w:rPr>
                <w:rFonts w:ascii="Times New Roman" w:hAnsi="Times New Roman"/>
                <w:b/>
                <w:sz w:val="20"/>
                <w:szCs w:val="20"/>
              </w:rPr>
              <w:t>Výmera (tis. ha)</w:t>
            </w:r>
          </w:p>
        </w:tc>
        <w:tc>
          <w:tcPr>
            <w:tcW w:w="1731" w:type="dxa"/>
            <w:tcBorders>
              <w:top w:val="single" w:sz="4" w:space="0" w:color="auto"/>
              <w:bottom w:val="single" w:sz="4" w:space="0" w:color="auto"/>
            </w:tcBorders>
            <w:shd w:val="clear" w:color="auto" w:fill="D9D9D9" w:themeFill="background1" w:themeFillShade="D9"/>
          </w:tcPr>
          <w:p w:rsidR="0001510B" w:rsidRPr="0001510B" w:rsidRDefault="0001510B" w:rsidP="0001510B">
            <w:pPr>
              <w:keepNext/>
              <w:spacing w:after="0" w:line="240" w:lineRule="auto"/>
              <w:jc w:val="center"/>
              <w:rPr>
                <w:rFonts w:ascii="Times New Roman" w:hAnsi="Times New Roman"/>
                <w:b/>
                <w:sz w:val="20"/>
                <w:szCs w:val="20"/>
              </w:rPr>
            </w:pPr>
            <w:r w:rsidRPr="0001510B">
              <w:rPr>
                <w:rFonts w:ascii="Times New Roman" w:hAnsi="Times New Roman"/>
                <w:b/>
                <w:sz w:val="20"/>
                <w:szCs w:val="20"/>
              </w:rPr>
              <w:t>Podiel výmery (%)</w:t>
            </w:r>
          </w:p>
        </w:tc>
      </w:tr>
      <w:tr w:rsidR="0001510B" w:rsidRPr="0001510B" w:rsidTr="0001510B">
        <w:tc>
          <w:tcPr>
            <w:tcW w:w="2093" w:type="dxa"/>
            <w:tcBorders>
              <w:top w:val="single" w:sz="4" w:space="0" w:color="auto"/>
            </w:tcBorders>
          </w:tcPr>
          <w:p w:rsidR="0001510B" w:rsidRPr="0001510B" w:rsidRDefault="0001510B" w:rsidP="0001510B">
            <w:pPr>
              <w:keepNext/>
              <w:spacing w:after="0" w:line="240" w:lineRule="auto"/>
              <w:rPr>
                <w:rFonts w:ascii="Times New Roman" w:hAnsi="Times New Roman"/>
                <w:sz w:val="20"/>
                <w:szCs w:val="20"/>
              </w:rPr>
            </w:pPr>
            <w:r w:rsidRPr="0001510B">
              <w:rPr>
                <w:rFonts w:ascii="Times New Roman" w:hAnsi="Times New Roman"/>
                <w:sz w:val="20"/>
                <w:szCs w:val="20"/>
              </w:rPr>
              <w:t>Produkčné</w:t>
            </w:r>
          </w:p>
        </w:tc>
        <w:tc>
          <w:tcPr>
            <w:tcW w:w="3969" w:type="dxa"/>
            <w:tcBorders>
              <w:top w:val="single" w:sz="4" w:space="0" w:color="auto"/>
            </w:tcBorders>
          </w:tcPr>
          <w:p w:rsidR="0001510B" w:rsidRPr="0001510B" w:rsidRDefault="0001510B" w:rsidP="0001510B">
            <w:pPr>
              <w:keepNext/>
              <w:spacing w:after="0" w:line="240" w:lineRule="auto"/>
              <w:rPr>
                <w:rFonts w:ascii="Times New Roman" w:hAnsi="Times New Roman"/>
                <w:sz w:val="20"/>
                <w:szCs w:val="20"/>
              </w:rPr>
            </w:pPr>
            <w:r w:rsidRPr="0001510B">
              <w:rPr>
                <w:rFonts w:ascii="Times New Roman" w:hAnsi="Times New Roman"/>
                <w:sz w:val="20"/>
                <w:szCs w:val="20"/>
              </w:rPr>
              <w:t>Produkčná</w:t>
            </w:r>
          </w:p>
        </w:tc>
        <w:tc>
          <w:tcPr>
            <w:tcW w:w="1246" w:type="dxa"/>
            <w:tcBorders>
              <w:top w:val="single" w:sz="4" w:space="0" w:color="auto"/>
            </w:tcBorders>
            <w:vAlign w:val="center"/>
          </w:tcPr>
          <w:p w:rsidR="0001510B" w:rsidRPr="0001510B" w:rsidRDefault="0001510B" w:rsidP="0001510B">
            <w:pPr>
              <w:keepNext/>
              <w:spacing w:after="0" w:line="240" w:lineRule="auto"/>
              <w:ind w:right="252"/>
              <w:jc w:val="right"/>
              <w:rPr>
                <w:rFonts w:ascii="Times New Roman" w:hAnsi="Times New Roman"/>
                <w:sz w:val="20"/>
                <w:szCs w:val="20"/>
              </w:rPr>
            </w:pPr>
            <w:r w:rsidRPr="0001510B">
              <w:rPr>
                <w:rFonts w:ascii="Times New Roman" w:hAnsi="Times New Roman"/>
                <w:sz w:val="20"/>
                <w:szCs w:val="20"/>
              </w:rPr>
              <w:t>125,7</w:t>
            </w:r>
          </w:p>
        </w:tc>
        <w:tc>
          <w:tcPr>
            <w:tcW w:w="1731" w:type="dxa"/>
            <w:tcBorders>
              <w:top w:val="single" w:sz="4" w:space="0" w:color="auto"/>
            </w:tcBorders>
            <w:vAlign w:val="center"/>
          </w:tcPr>
          <w:p w:rsidR="0001510B" w:rsidRPr="0001510B" w:rsidRDefault="0001510B" w:rsidP="0001510B">
            <w:pPr>
              <w:keepNext/>
              <w:spacing w:after="0" w:line="240" w:lineRule="auto"/>
              <w:ind w:right="252"/>
              <w:jc w:val="right"/>
              <w:rPr>
                <w:rFonts w:ascii="Times New Roman" w:hAnsi="Times New Roman"/>
                <w:sz w:val="20"/>
                <w:szCs w:val="20"/>
              </w:rPr>
            </w:pPr>
            <w:r w:rsidRPr="0001510B">
              <w:rPr>
                <w:rFonts w:ascii="Times New Roman" w:hAnsi="Times New Roman"/>
                <w:sz w:val="20"/>
                <w:szCs w:val="20"/>
              </w:rPr>
              <w:t>6,5</w:t>
            </w:r>
          </w:p>
        </w:tc>
      </w:tr>
      <w:tr w:rsidR="0001510B" w:rsidRPr="0001510B" w:rsidTr="0001510B">
        <w:tc>
          <w:tcPr>
            <w:tcW w:w="2093" w:type="dxa"/>
            <w:shd w:val="clear" w:color="auto" w:fill="F2F2F2" w:themeFill="background1" w:themeFillShade="F2"/>
          </w:tcPr>
          <w:p w:rsidR="0001510B" w:rsidRPr="0001510B" w:rsidRDefault="0001510B" w:rsidP="0001510B">
            <w:pPr>
              <w:keepNext/>
              <w:spacing w:after="0" w:line="240" w:lineRule="auto"/>
              <w:rPr>
                <w:rFonts w:ascii="Times New Roman" w:hAnsi="Times New Roman"/>
                <w:sz w:val="20"/>
                <w:szCs w:val="20"/>
              </w:rPr>
            </w:pPr>
            <w:r w:rsidRPr="0001510B">
              <w:rPr>
                <w:rFonts w:ascii="Times New Roman" w:hAnsi="Times New Roman"/>
                <w:sz w:val="20"/>
                <w:szCs w:val="20"/>
              </w:rPr>
              <w:t xml:space="preserve">Polyfunkčné – hospodárske </w:t>
            </w:r>
          </w:p>
        </w:tc>
        <w:tc>
          <w:tcPr>
            <w:tcW w:w="3969" w:type="dxa"/>
            <w:shd w:val="clear" w:color="auto" w:fill="F2F2F2" w:themeFill="background1" w:themeFillShade="F2"/>
          </w:tcPr>
          <w:p w:rsidR="0001510B" w:rsidRPr="0001510B" w:rsidRDefault="0001510B" w:rsidP="0001510B">
            <w:pPr>
              <w:keepNext/>
              <w:spacing w:after="0" w:line="240" w:lineRule="auto"/>
              <w:rPr>
                <w:rFonts w:ascii="Times New Roman" w:hAnsi="Times New Roman"/>
                <w:sz w:val="20"/>
                <w:szCs w:val="20"/>
              </w:rPr>
            </w:pPr>
            <w:r w:rsidRPr="0001510B">
              <w:rPr>
                <w:rFonts w:ascii="Times New Roman" w:hAnsi="Times New Roman"/>
                <w:sz w:val="20"/>
                <w:szCs w:val="20"/>
              </w:rPr>
              <w:t>Produkčná</w:t>
            </w:r>
          </w:p>
        </w:tc>
        <w:tc>
          <w:tcPr>
            <w:tcW w:w="1246" w:type="dxa"/>
            <w:shd w:val="clear" w:color="auto" w:fill="F2F2F2" w:themeFill="background1" w:themeFillShade="F2"/>
            <w:vAlign w:val="center"/>
          </w:tcPr>
          <w:p w:rsidR="0001510B" w:rsidRPr="0001510B" w:rsidRDefault="0001510B" w:rsidP="0001510B">
            <w:pPr>
              <w:keepNext/>
              <w:spacing w:after="0" w:line="240" w:lineRule="auto"/>
              <w:ind w:right="252"/>
              <w:jc w:val="right"/>
              <w:rPr>
                <w:rFonts w:ascii="Times New Roman" w:hAnsi="Times New Roman"/>
                <w:sz w:val="20"/>
                <w:szCs w:val="20"/>
              </w:rPr>
            </w:pPr>
            <w:r w:rsidRPr="0001510B">
              <w:rPr>
                <w:rFonts w:ascii="Times New Roman" w:hAnsi="Times New Roman"/>
                <w:sz w:val="20"/>
                <w:szCs w:val="20"/>
              </w:rPr>
              <w:t>1 240,2</w:t>
            </w:r>
          </w:p>
        </w:tc>
        <w:tc>
          <w:tcPr>
            <w:tcW w:w="1731" w:type="dxa"/>
            <w:shd w:val="clear" w:color="auto" w:fill="F2F2F2" w:themeFill="background1" w:themeFillShade="F2"/>
            <w:vAlign w:val="center"/>
          </w:tcPr>
          <w:p w:rsidR="0001510B" w:rsidRPr="0001510B" w:rsidRDefault="0001510B" w:rsidP="0001510B">
            <w:pPr>
              <w:keepNext/>
              <w:spacing w:after="0" w:line="240" w:lineRule="auto"/>
              <w:ind w:right="252"/>
              <w:jc w:val="right"/>
              <w:rPr>
                <w:rFonts w:ascii="Times New Roman" w:hAnsi="Times New Roman"/>
                <w:sz w:val="20"/>
                <w:szCs w:val="20"/>
              </w:rPr>
            </w:pPr>
            <w:r w:rsidRPr="0001510B">
              <w:rPr>
                <w:rFonts w:ascii="Times New Roman" w:hAnsi="Times New Roman"/>
                <w:sz w:val="20"/>
                <w:szCs w:val="20"/>
              </w:rPr>
              <w:t>63,9</w:t>
            </w:r>
          </w:p>
        </w:tc>
      </w:tr>
      <w:tr w:rsidR="0001510B" w:rsidRPr="0001510B" w:rsidTr="0001510B">
        <w:trPr>
          <w:trHeight w:val="391"/>
        </w:trPr>
        <w:tc>
          <w:tcPr>
            <w:tcW w:w="2093" w:type="dxa"/>
          </w:tcPr>
          <w:p w:rsidR="0001510B" w:rsidRPr="0001510B" w:rsidRDefault="0001510B" w:rsidP="0001510B">
            <w:pPr>
              <w:keepNext/>
              <w:spacing w:after="0" w:line="240" w:lineRule="auto"/>
              <w:rPr>
                <w:rFonts w:ascii="Times New Roman" w:hAnsi="Times New Roman"/>
                <w:sz w:val="20"/>
                <w:szCs w:val="20"/>
              </w:rPr>
            </w:pPr>
            <w:r w:rsidRPr="0001510B">
              <w:rPr>
                <w:rFonts w:ascii="Times New Roman" w:hAnsi="Times New Roman"/>
                <w:sz w:val="20"/>
                <w:szCs w:val="20"/>
              </w:rPr>
              <w:t xml:space="preserve">Polyfunkčné – ochranné </w:t>
            </w:r>
          </w:p>
        </w:tc>
        <w:tc>
          <w:tcPr>
            <w:tcW w:w="3969" w:type="dxa"/>
          </w:tcPr>
          <w:p w:rsidR="0001510B" w:rsidRPr="0001510B" w:rsidRDefault="0001510B" w:rsidP="0001510B">
            <w:pPr>
              <w:keepNext/>
              <w:spacing w:after="0" w:line="240" w:lineRule="auto"/>
              <w:rPr>
                <w:rFonts w:ascii="Times New Roman" w:hAnsi="Times New Roman"/>
                <w:sz w:val="20"/>
                <w:szCs w:val="20"/>
              </w:rPr>
            </w:pPr>
            <w:proofErr w:type="spellStart"/>
            <w:r w:rsidRPr="0001510B">
              <w:rPr>
                <w:rFonts w:ascii="Times New Roman" w:hAnsi="Times New Roman"/>
                <w:sz w:val="20"/>
                <w:szCs w:val="20"/>
              </w:rPr>
              <w:t>Pôdoochranná</w:t>
            </w:r>
            <w:proofErr w:type="spellEnd"/>
            <w:r w:rsidRPr="0001510B">
              <w:rPr>
                <w:rFonts w:ascii="Times New Roman" w:hAnsi="Times New Roman"/>
                <w:sz w:val="20"/>
                <w:szCs w:val="20"/>
              </w:rPr>
              <w:t>; Vodohospodárska</w:t>
            </w:r>
          </w:p>
        </w:tc>
        <w:tc>
          <w:tcPr>
            <w:tcW w:w="1246" w:type="dxa"/>
            <w:vAlign w:val="center"/>
          </w:tcPr>
          <w:p w:rsidR="0001510B" w:rsidRPr="0001510B" w:rsidRDefault="0001510B" w:rsidP="0001510B">
            <w:pPr>
              <w:keepNext/>
              <w:spacing w:after="0" w:line="240" w:lineRule="auto"/>
              <w:ind w:right="252"/>
              <w:jc w:val="right"/>
              <w:rPr>
                <w:rFonts w:ascii="Times New Roman" w:hAnsi="Times New Roman"/>
                <w:sz w:val="20"/>
                <w:szCs w:val="20"/>
              </w:rPr>
            </w:pPr>
            <w:r w:rsidRPr="0001510B">
              <w:rPr>
                <w:rFonts w:ascii="Times New Roman" w:hAnsi="Times New Roman"/>
                <w:sz w:val="20"/>
                <w:szCs w:val="20"/>
              </w:rPr>
              <w:t>331,7</w:t>
            </w:r>
          </w:p>
        </w:tc>
        <w:tc>
          <w:tcPr>
            <w:tcW w:w="1731" w:type="dxa"/>
            <w:vAlign w:val="center"/>
          </w:tcPr>
          <w:p w:rsidR="0001510B" w:rsidRPr="0001510B" w:rsidRDefault="0001510B" w:rsidP="0001510B">
            <w:pPr>
              <w:keepNext/>
              <w:spacing w:after="0" w:line="240" w:lineRule="auto"/>
              <w:ind w:right="252"/>
              <w:jc w:val="right"/>
              <w:rPr>
                <w:rFonts w:ascii="Times New Roman" w:hAnsi="Times New Roman"/>
                <w:sz w:val="20"/>
                <w:szCs w:val="20"/>
              </w:rPr>
            </w:pPr>
            <w:r w:rsidRPr="0001510B">
              <w:rPr>
                <w:rFonts w:ascii="Times New Roman" w:hAnsi="Times New Roman"/>
                <w:sz w:val="20"/>
                <w:szCs w:val="20"/>
              </w:rPr>
              <w:t>17,1</w:t>
            </w:r>
          </w:p>
        </w:tc>
      </w:tr>
      <w:tr w:rsidR="0001510B" w:rsidRPr="0001510B" w:rsidTr="0001510B">
        <w:trPr>
          <w:trHeight w:val="769"/>
        </w:trPr>
        <w:tc>
          <w:tcPr>
            <w:tcW w:w="2093" w:type="dxa"/>
            <w:tcBorders>
              <w:bottom w:val="single" w:sz="4" w:space="0" w:color="auto"/>
            </w:tcBorders>
            <w:shd w:val="clear" w:color="auto" w:fill="F2F2F2" w:themeFill="background1" w:themeFillShade="F2"/>
          </w:tcPr>
          <w:p w:rsidR="0001510B" w:rsidRPr="0001510B" w:rsidRDefault="0001510B" w:rsidP="0001510B">
            <w:pPr>
              <w:keepNext/>
              <w:spacing w:after="0" w:line="240" w:lineRule="auto"/>
              <w:rPr>
                <w:rFonts w:ascii="Times New Roman" w:hAnsi="Times New Roman"/>
                <w:sz w:val="20"/>
                <w:szCs w:val="20"/>
              </w:rPr>
            </w:pPr>
            <w:r w:rsidRPr="0001510B">
              <w:rPr>
                <w:rFonts w:ascii="Times New Roman" w:hAnsi="Times New Roman"/>
                <w:sz w:val="20"/>
                <w:szCs w:val="20"/>
              </w:rPr>
              <w:t>Polyfunkčné – osobitného určenia</w:t>
            </w:r>
          </w:p>
        </w:tc>
        <w:tc>
          <w:tcPr>
            <w:tcW w:w="3969" w:type="dxa"/>
            <w:tcBorders>
              <w:bottom w:val="single" w:sz="4" w:space="0" w:color="auto"/>
            </w:tcBorders>
            <w:shd w:val="clear" w:color="auto" w:fill="F2F2F2" w:themeFill="background1" w:themeFillShade="F2"/>
          </w:tcPr>
          <w:p w:rsidR="0001510B" w:rsidRPr="0001510B" w:rsidRDefault="0001510B" w:rsidP="0001510B">
            <w:pPr>
              <w:keepNext/>
              <w:spacing w:after="0" w:line="240" w:lineRule="auto"/>
              <w:rPr>
                <w:rFonts w:ascii="Times New Roman" w:hAnsi="Times New Roman"/>
                <w:sz w:val="20"/>
                <w:szCs w:val="20"/>
              </w:rPr>
            </w:pPr>
            <w:r w:rsidRPr="0001510B">
              <w:rPr>
                <w:rFonts w:ascii="Times New Roman" w:hAnsi="Times New Roman"/>
                <w:sz w:val="20"/>
                <w:szCs w:val="20"/>
              </w:rPr>
              <w:t xml:space="preserve">Vodoochranná; Rekreačná; Kúpeľno-liečebná; Prírodno-ochranná; </w:t>
            </w:r>
            <w:proofErr w:type="spellStart"/>
            <w:r w:rsidRPr="0001510B">
              <w:rPr>
                <w:rFonts w:ascii="Times New Roman" w:hAnsi="Times New Roman"/>
                <w:sz w:val="20"/>
                <w:szCs w:val="20"/>
              </w:rPr>
              <w:t>Protiimisná</w:t>
            </w:r>
            <w:proofErr w:type="spellEnd"/>
            <w:r w:rsidRPr="0001510B">
              <w:rPr>
                <w:rFonts w:ascii="Times New Roman" w:hAnsi="Times New Roman"/>
                <w:sz w:val="20"/>
                <w:szCs w:val="20"/>
              </w:rPr>
              <w:t>; Poľovná; Výchovno-výskumná; Ochrany genetických zdrojov</w:t>
            </w:r>
          </w:p>
        </w:tc>
        <w:tc>
          <w:tcPr>
            <w:tcW w:w="1246" w:type="dxa"/>
            <w:tcBorders>
              <w:bottom w:val="single" w:sz="4" w:space="0" w:color="auto"/>
            </w:tcBorders>
            <w:shd w:val="clear" w:color="auto" w:fill="F2F2F2" w:themeFill="background1" w:themeFillShade="F2"/>
            <w:vAlign w:val="center"/>
          </w:tcPr>
          <w:p w:rsidR="0001510B" w:rsidRPr="0001510B" w:rsidRDefault="0001510B" w:rsidP="0001510B">
            <w:pPr>
              <w:keepNext/>
              <w:spacing w:after="0" w:line="240" w:lineRule="auto"/>
              <w:ind w:right="252"/>
              <w:jc w:val="right"/>
              <w:rPr>
                <w:rFonts w:ascii="Times New Roman" w:hAnsi="Times New Roman"/>
                <w:sz w:val="20"/>
                <w:szCs w:val="20"/>
              </w:rPr>
            </w:pPr>
            <w:r w:rsidRPr="0001510B">
              <w:rPr>
                <w:rFonts w:ascii="Times New Roman" w:hAnsi="Times New Roman"/>
                <w:sz w:val="20"/>
                <w:szCs w:val="20"/>
              </w:rPr>
              <w:t>242,5</w:t>
            </w:r>
          </w:p>
        </w:tc>
        <w:tc>
          <w:tcPr>
            <w:tcW w:w="1731" w:type="dxa"/>
            <w:tcBorders>
              <w:bottom w:val="single" w:sz="4" w:space="0" w:color="auto"/>
            </w:tcBorders>
            <w:shd w:val="clear" w:color="auto" w:fill="F2F2F2" w:themeFill="background1" w:themeFillShade="F2"/>
            <w:vAlign w:val="center"/>
          </w:tcPr>
          <w:p w:rsidR="0001510B" w:rsidRPr="0001510B" w:rsidRDefault="0001510B" w:rsidP="0001510B">
            <w:pPr>
              <w:keepNext/>
              <w:spacing w:after="0" w:line="240" w:lineRule="auto"/>
              <w:ind w:right="252"/>
              <w:jc w:val="right"/>
              <w:rPr>
                <w:rFonts w:ascii="Times New Roman" w:hAnsi="Times New Roman"/>
                <w:sz w:val="20"/>
                <w:szCs w:val="20"/>
              </w:rPr>
            </w:pPr>
            <w:r w:rsidRPr="0001510B">
              <w:rPr>
                <w:rFonts w:ascii="Times New Roman" w:hAnsi="Times New Roman"/>
                <w:sz w:val="20"/>
                <w:szCs w:val="20"/>
              </w:rPr>
              <w:t>12,5</w:t>
            </w:r>
          </w:p>
        </w:tc>
      </w:tr>
    </w:tbl>
    <w:p w:rsidR="0001510B" w:rsidRPr="00C814AB" w:rsidRDefault="0001510B" w:rsidP="0001510B">
      <w:pPr>
        <w:keepNext/>
        <w:spacing w:after="0" w:line="240" w:lineRule="auto"/>
        <w:jc w:val="right"/>
        <w:rPr>
          <w:rFonts w:ascii="Times New Roman" w:hAnsi="Times New Roman"/>
          <w:sz w:val="20"/>
          <w:szCs w:val="20"/>
        </w:rPr>
      </w:pPr>
      <w:r>
        <w:rPr>
          <w:rFonts w:ascii="Times New Roman" w:hAnsi="Times New Roman"/>
          <w:sz w:val="20"/>
          <w:szCs w:val="20"/>
        </w:rPr>
        <w:t>Zdroj</w:t>
      </w:r>
      <w:r w:rsidRPr="00C814AB">
        <w:rPr>
          <w:rFonts w:ascii="Times New Roman" w:hAnsi="Times New Roman"/>
          <w:sz w:val="20"/>
          <w:szCs w:val="20"/>
        </w:rPr>
        <w:t>: NLC – LVÚ Zvolen</w:t>
      </w:r>
    </w:p>
    <w:p w:rsidR="0001510B" w:rsidRDefault="0001510B" w:rsidP="0001510B">
      <w:pPr>
        <w:spacing w:after="0" w:line="240" w:lineRule="auto"/>
        <w:jc w:val="both"/>
        <w:rPr>
          <w:rFonts w:ascii="Times New Roman" w:hAnsi="Times New Roman" w:cs="Times New Roman"/>
          <w:sz w:val="24"/>
          <w:szCs w:val="24"/>
        </w:rPr>
      </w:pPr>
    </w:p>
    <w:p w:rsidR="00015E85" w:rsidRDefault="00015E85" w:rsidP="0001510B">
      <w:pPr>
        <w:spacing w:after="0" w:line="240" w:lineRule="auto"/>
        <w:jc w:val="both"/>
        <w:rPr>
          <w:rFonts w:ascii="Times New Roman" w:hAnsi="Times New Roman" w:cs="Times New Roman"/>
          <w:sz w:val="24"/>
          <w:szCs w:val="24"/>
        </w:rPr>
      </w:pPr>
      <w:r w:rsidRPr="0001510B">
        <w:rPr>
          <w:rFonts w:ascii="Times New Roman" w:hAnsi="Times New Roman" w:cs="Times New Roman"/>
          <w:sz w:val="24"/>
          <w:szCs w:val="24"/>
        </w:rPr>
        <w:lastRenderedPageBreak/>
        <w:t>S ohľadom na ochranu prírody a krajiny je v súčasnosti až 1,1 mil. ha, t. j. 57% zo všetkých lesov Slovenska zaradených do niektorej z kategórií chránených území podľa zákona č. 543/2002 Z. z. Toto svedčí o ich vysokej prírodno-ochrannej hodnote, ale aj o veľmi rozsiahlych obmedzeniach týkajúcich sa obhospodarovania lesa. Hospodárska činnosť a teda aj využívanie drevoprodukčnej funkcie lesa sú v týchto lesoch obmedzované. Akákoľvek hospodársk</w:t>
      </w:r>
      <w:r w:rsidR="0001510B">
        <w:rPr>
          <w:rFonts w:ascii="Times New Roman" w:hAnsi="Times New Roman" w:cs="Times New Roman"/>
          <w:sz w:val="24"/>
          <w:szCs w:val="24"/>
        </w:rPr>
        <w:t>a činnosť je zakázaná na výmere</w:t>
      </w:r>
      <w:r w:rsidRPr="0001510B">
        <w:rPr>
          <w:rFonts w:ascii="Times New Roman" w:hAnsi="Times New Roman" w:cs="Times New Roman"/>
          <w:sz w:val="24"/>
          <w:szCs w:val="24"/>
        </w:rPr>
        <w:t xml:space="preserve"> 68,5 tisíc ha lesných pozemkov. Kompenzácie týchto obmedzení sa realizujú iba v minimálnom rozsahu.</w:t>
      </w:r>
    </w:p>
    <w:p w:rsidR="00246802" w:rsidRDefault="00246802" w:rsidP="0001510B">
      <w:pPr>
        <w:spacing w:after="0" w:line="240" w:lineRule="auto"/>
        <w:jc w:val="both"/>
        <w:rPr>
          <w:rFonts w:ascii="Times New Roman" w:hAnsi="Times New Roman" w:cs="Times New Roman"/>
          <w:sz w:val="24"/>
          <w:szCs w:val="24"/>
        </w:rPr>
      </w:pPr>
    </w:p>
    <w:p w:rsidR="007E08FC" w:rsidRPr="007E08FC" w:rsidRDefault="007E08FC" w:rsidP="007E08FC">
      <w:pPr>
        <w:pStyle w:val="Nadpis2"/>
        <w:numPr>
          <w:ilvl w:val="1"/>
          <w:numId w:val="8"/>
        </w:numPr>
        <w:ind w:left="426" w:hanging="426"/>
        <w:rPr>
          <w:rFonts w:cs="Times New Roman"/>
          <w:szCs w:val="24"/>
        </w:rPr>
      </w:pPr>
      <w:bookmarkStart w:id="13" w:name="_Toc359550634"/>
      <w:r w:rsidRPr="007E08FC">
        <w:rPr>
          <w:rFonts w:cs="Times New Roman"/>
          <w:szCs w:val="24"/>
        </w:rPr>
        <w:t xml:space="preserve">Identifikované riziká vybavenosti </w:t>
      </w:r>
      <w:r>
        <w:rPr>
          <w:rFonts w:cs="Times New Roman"/>
          <w:szCs w:val="24"/>
        </w:rPr>
        <w:t>základnými výrobnými (</w:t>
      </w:r>
      <w:r w:rsidRPr="007E08FC">
        <w:rPr>
          <w:rFonts w:cs="Times New Roman"/>
          <w:szCs w:val="24"/>
        </w:rPr>
        <w:t>produkčnými</w:t>
      </w:r>
      <w:r>
        <w:rPr>
          <w:rFonts w:cs="Times New Roman"/>
          <w:szCs w:val="24"/>
        </w:rPr>
        <w:t>)</w:t>
      </w:r>
      <w:r w:rsidRPr="007E08FC">
        <w:rPr>
          <w:rFonts w:cs="Times New Roman"/>
          <w:szCs w:val="24"/>
        </w:rPr>
        <w:t xml:space="preserve"> faktormi pre potreby naplnenia cieľov a zámerov koncepcie rozvoja pôdohospodárstva</w:t>
      </w:r>
      <w:bookmarkEnd w:id="13"/>
    </w:p>
    <w:p w:rsidR="007E08FC" w:rsidRDefault="007E08FC" w:rsidP="0001510B">
      <w:pPr>
        <w:spacing w:after="0" w:line="240" w:lineRule="auto"/>
        <w:jc w:val="both"/>
        <w:rPr>
          <w:rFonts w:ascii="Times New Roman" w:hAnsi="Times New Roman" w:cs="Times New Roman"/>
          <w:sz w:val="24"/>
          <w:szCs w:val="24"/>
        </w:rPr>
      </w:pPr>
    </w:p>
    <w:p w:rsidR="007E08FC" w:rsidRDefault="007E08FC" w:rsidP="007E0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základe vykonanej analýzy súčasnej vybavenosti základnými výrobnými faktormi boli identifikované tieto riziká z hľadiska naplnenia cieľov a zámerov koncepcie rozvoja pôdohospodárstva.</w:t>
      </w:r>
    </w:p>
    <w:p w:rsidR="007E08FC" w:rsidRDefault="007E08FC" w:rsidP="007E08FC">
      <w:pPr>
        <w:spacing w:after="0" w:line="240" w:lineRule="auto"/>
        <w:jc w:val="both"/>
        <w:rPr>
          <w:rFonts w:ascii="Times New Roman" w:hAnsi="Times New Roman" w:cs="Times New Roman"/>
          <w:sz w:val="24"/>
          <w:szCs w:val="24"/>
        </w:rPr>
      </w:pPr>
    </w:p>
    <w:p w:rsidR="007E08FC" w:rsidRPr="009B2487" w:rsidRDefault="007E08FC" w:rsidP="007E08FC">
      <w:pPr>
        <w:tabs>
          <w:tab w:val="left"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t>Tab. č. 14</w:t>
      </w:r>
      <w:r w:rsidRPr="00A855A4">
        <w:rPr>
          <w:rFonts w:ascii="Times New Roman" w:hAnsi="Times New Roman" w:cs="Times New Roman"/>
          <w:sz w:val="20"/>
          <w:szCs w:val="20"/>
        </w:rPr>
        <w:t xml:space="preserve">: </w:t>
      </w:r>
      <w:r>
        <w:rPr>
          <w:rFonts w:ascii="Times New Roman" w:hAnsi="Times New Roman" w:cs="Times New Roman"/>
          <w:sz w:val="20"/>
          <w:szCs w:val="20"/>
        </w:rPr>
        <w:tab/>
      </w:r>
      <w:r w:rsidRPr="007E08FC">
        <w:rPr>
          <w:rFonts w:ascii="Times New Roman" w:hAnsi="Times New Roman" w:cs="Times New Roman"/>
          <w:sz w:val="20"/>
          <w:szCs w:val="20"/>
        </w:rPr>
        <w:t>Identifikované riziká vybavenosti základnými výrobnými (produkčnými) faktormi pre potreby naplnenia cieľov a zámerov koncepcie rozvoja pôdohospodárstva</w:t>
      </w:r>
    </w:p>
    <w:tbl>
      <w:tblPr>
        <w:tblW w:w="9600" w:type="dxa"/>
        <w:tblInd w:w="55" w:type="dxa"/>
        <w:tblCellMar>
          <w:left w:w="70" w:type="dxa"/>
          <w:right w:w="70" w:type="dxa"/>
        </w:tblCellMar>
        <w:tblLook w:val="04A0" w:firstRow="1" w:lastRow="0" w:firstColumn="1" w:lastColumn="0" w:noHBand="0" w:noVBand="1"/>
      </w:tblPr>
      <w:tblGrid>
        <w:gridCol w:w="2740"/>
        <w:gridCol w:w="6860"/>
      </w:tblGrid>
      <w:tr w:rsidR="007E08FC" w:rsidRPr="009B2487" w:rsidTr="00183FDB">
        <w:trPr>
          <w:trHeight w:val="379"/>
        </w:trPr>
        <w:tc>
          <w:tcPr>
            <w:tcW w:w="2740" w:type="dxa"/>
            <w:tcBorders>
              <w:top w:val="single" w:sz="4" w:space="0" w:color="auto"/>
              <w:left w:val="nil"/>
              <w:right w:val="single" w:sz="4" w:space="0" w:color="auto"/>
            </w:tcBorders>
            <w:shd w:val="clear" w:color="000000" w:fill="F2F2F2"/>
            <w:noWrap/>
          </w:tcPr>
          <w:p w:rsidR="007E08FC" w:rsidRDefault="007E08FC" w:rsidP="00183FD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Pôda</w:t>
            </w:r>
          </w:p>
        </w:tc>
        <w:tc>
          <w:tcPr>
            <w:tcW w:w="6860" w:type="dxa"/>
            <w:tcBorders>
              <w:top w:val="single" w:sz="4" w:space="0" w:color="auto"/>
              <w:left w:val="nil"/>
              <w:bottom w:val="single" w:sz="4" w:space="0" w:color="auto"/>
              <w:right w:val="nil"/>
            </w:tcBorders>
            <w:shd w:val="clear" w:color="000000" w:fill="F2F2F2"/>
          </w:tcPr>
          <w:p w:rsidR="007E08FC" w:rsidRDefault="009F0D48" w:rsidP="00613EDE">
            <w:pPr>
              <w:spacing w:after="0" w:line="240" w:lineRule="auto"/>
              <w:jc w:val="both"/>
              <w:rPr>
                <w:rFonts w:ascii="Times New Roman" w:eastAsia="Times New Roman" w:hAnsi="Times New Roman" w:cs="Times New Roman"/>
                <w:color w:val="000000"/>
                <w:sz w:val="24"/>
                <w:szCs w:val="24"/>
              </w:rPr>
            </w:pPr>
            <w:r w:rsidRPr="001E1D98">
              <w:rPr>
                <w:rFonts w:ascii="Times New Roman" w:hAnsi="Times New Roman" w:cs="Times New Roman"/>
                <w:sz w:val="24"/>
                <w:szCs w:val="24"/>
              </w:rPr>
              <w:t>Súčasný produkčný potenciál našich pôd postačuje na krytie potravinovej dostatočnosti asi pre 6,2 mil. obyvateľov.</w:t>
            </w:r>
          </w:p>
        </w:tc>
      </w:tr>
      <w:tr w:rsidR="007E08FC" w:rsidRPr="009B2487" w:rsidTr="00183FDB">
        <w:trPr>
          <w:trHeight w:val="723"/>
        </w:trPr>
        <w:tc>
          <w:tcPr>
            <w:tcW w:w="2740" w:type="dxa"/>
            <w:tcBorders>
              <w:left w:val="nil"/>
              <w:right w:val="single" w:sz="4" w:space="0" w:color="auto"/>
            </w:tcBorders>
            <w:shd w:val="clear" w:color="000000" w:fill="F2F2F2"/>
            <w:noWrap/>
            <w:hideMark/>
          </w:tcPr>
          <w:p w:rsidR="007E08FC" w:rsidRPr="00DB49CD" w:rsidRDefault="007E08FC" w:rsidP="00183FDB">
            <w:pPr>
              <w:spacing w:after="0" w:line="240" w:lineRule="auto"/>
              <w:rPr>
                <w:rFonts w:ascii="Times New Roman" w:eastAsia="Times New Roman" w:hAnsi="Times New Roman" w:cs="Times New Roman"/>
                <w:b/>
                <w:bCs/>
                <w:color w:val="000000"/>
                <w:sz w:val="24"/>
                <w:szCs w:val="24"/>
              </w:rPr>
            </w:pPr>
          </w:p>
        </w:tc>
        <w:tc>
          <w:tcPr>
            <w:tcW w:w="6860" w:type="dxa"/>
            <w:tcBorders>
              <w:top w:val="single" w:sz="4" w:space="0" w:color="auto"/>
              <w:left w:val="single" w:sz="4" w:space="0" w:color="auto"/>
              <w:bottom w:val="single" w:sz="4" w:space="0" w:color="auto"/>
              <w:right w:val="nil"/>
            </w:tcBorders>
            <w:shd w:val="clear" w:color="000000" w:fill="F2F2F2"/>
            <w:hideMark/>
          </w:tcPr>
          <w:p w:rsidR="007E08FC" w:rsidRPr="00DB49CD" w:rsidRDefault="00990228" w:rsidP="00613EDE">
            <w:pPr>
              <w:spacing w:after="0" w:line="240" w:lineRule="auto"/>
              <w:jc w:val="both"/>
              <w:rPr>
                <w:rFonts w:ascii="Times New Roman" w:eastAsia="Times New Roman" w:hAnsi="Times New Roman" w:cs="Times New Roman"/>
                <w:color w:val="000000"/>
                <w:sz w:val="24"/>
                <w:szCs w:val="24"/>
              </w:rPr>
            </w:pPr>
            <w:r w:rsidRPr="001E1D98">
              <w:rPr>
                <w:rFonts w:ascii="Times New Roman" w:hAnsi="Times New Roman" w:cs="Times New Roman"/>
                <w:sz w:val="24"/>
                <w:szCs w:val="24"/>
              </w:rPr>
              <w:t>K</w:t>
            </w:r>
            <w:r>
              <w:rPr>
                <w:rFonts w:ascii="Times New Roman" w:hAnsi="Times New Roman" w:cs="Times New Roman"/>
                <w:sz w:val="24"/>
                <w:szCs w:val="24"/>
              </w:rPr>
              <w:t> zachovaniu potenciálu produkčnej výkonnosti na úrovni cielených hodnôt parametrov základných trhových ukazovateľov z hľadiska cieľov a zámerov koncepcie</w:t>
            </w:r>
            <w:r w:rsidRPr="001E1D98">
              <w:rPr>
                <w:rFonts w:ascii="Times New Roman" w:hAnsi="Times New Roman" w:cs="Times New Roman"/>
                <w:sz w:val="24"/>
                <w:szCs w:val="24"/>
              </w:rPr>
              <w:t xml:space="preserve"> musíme disponovať minimálne výmerou 1 367 853 ha, čo predstavuje asi </w:t>
            </w:r>
            <w:r>
              <w:rPr>
                <w:rFonts w:ascii="Times New Roman" w:hAnsi="Times New Roman" w:cs="Times New Roman"/>
                <w:sz w:val="24"/>
                <w:szCs w:val="24"/>
              </w:rPr>
              <w:t xml:space="preserve">56,7 % v súčasnosti evidovaných </w:t>
            </w:r>
            <w:r w:rsidRPr="001E1D98">
              <w:rPr>
                <w:rFonts w:ascii="Times New Roman" w:hAnsi="Times New Roman" w:cs="Times New Roman"/>
                <w:sz w:val="24"/>
                <w:szCs w:val="24"/>
              </w:rPr>
              <w:t>poľnohospodárskych pôd Slovenska.</w:t>
            </w:r>
          </w:p>
        </w:tc>
      </w:tr>
      <w:tr w:rsidR="00990228" w:rsidRPr="009B2487" w:rsidTr="00183FDB">
        <w:trPr>
          <w:trHeight w:val="703"/>
        </w:trPr>
        <w:tc>
          <w:tcPr>
            <w:tcW w:w="2740" w:type="dxa"/>
            <w:vMerge w:val="restart"/>
            <w:tcBorders>
              <w:left w:val="nil"/>
              <w:right w:val="single" w:sz="4" w:space="0" w:color="auto"/>
            </w:tcBorders>
            <w:shd w:val="clear" w:color="auto" w:fill="auto"/>
            <w:noWrap/>
            <w:hideMark/>
          </w:tcPr>
          <w:p w:rsidR="00990228" w:rsidRPr="00DB49CD" w:rsidRDefault="00990228" w:rsidP="00183FD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Práca</w:t>
            </w:r>
          </w:p>
        </w:tc>
        <w:tc>
          <w:tcPr>
            <w:tcW w:w="6860" w:type="dxa"/>
            <w:tcBorders>
              <w:top w:val="single" w:sz="4" w:space="0" w:color="auto"/>
              <w:left w:val="nil"/>
              <w:bottom w:val="single" w:sz="4" w:space="0" w:color="auto"/>
              <w:right w:val="nil"/>
            </w:tcBorders>
            <w:shd w:val="clear" w:color="auto" w:fill="auto"/>
          </w:tcPr>
          <w:p w:rsidR="00990228" w:rsidRPr="00DB49CD" w:rsidRDefault="00990228" w:rsidP="00613EDE">
            <w:pPr>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sz w:val="24"/>
                <w:szCs w:val="24"/>
              </w:rPr>
              <w:t>V poľnohospodárstve nedochádza k</w:t>
            </w:r>
            <w:r w:rsidRPr="000272FF">
              <w:rPr>
                <w:rFonts w:ascii="Times New Roman" w:eastAsia="Calibri" w:hAnsi="Times New Roman"/>
                <w:sz w:val="24"/>
                <w:szCs w:val="24"/>
              </w:rPr>
              <w:t xml:space="preserve"> reprodukcii pracovných síl najmä u ženskej pracovnej sily, resp. že je vytláčaná mužskou pracovnou silou. Pre poľnohospodársku prvovýrobu bude pre budúce obdobie nevyhnutná potreba generačnej obmeny pracovných síl (predovšetkým v manuálnych profesiách).</w:t>
            </w:r>
          </w:p>
        </w:tc>
      </w:tr>
      <w:tr w:rsidR="00990228" w:rsidRPr="009B2487" w:rsidTr="00183FDB">
        <w:trPr>
          <w:trHeight w:val="900"/>
        </w:trPr>
        <w:tc>
          <w:tcPr>
            <w:tcW w:w="2740" w:type="dxa"/>
            <w:vMerge/>
            <w:tcBorders>
              <w:left w:val="nil"/>
              <w:right w:val="single" w:sz="4" w:space="0" w:color="auto"/>
            </w:tcBorders>
            <w:shd w:val="clear" w:color="auto" w:fill="F2F2F2" w:themeFill="background1" w:themeFillShade="F2"/>
            <w:noWrap/>
          </w:tcPr>
          <w:p w:rsidR="00990228" w:rsidRDefault="00990228" w:rsidP="00183FDB">
            <w:pPr>
              <w:spacing w:after="0" w:line="240" w:lineRule="auto"/>
              <w:rPr>
                <w:rFonts w:ascii="Times New Roman" w:eastAsia="Times New Roman" w:hAnsi="Times New Roman" w:cs="Times New Roman"/>
                <w:b/>
                <w:bCs/>
                <w:color w:val="000000"/>
                <w:sz w:val="24"/>
                <w:szCs w:val="24"/>
              </w:rPr>
            </w:pPr>
          </w:p>
        </w:tc>
        <w:tc>
          <w:tcPr>
            <w:tcW w:w="6860" w:type="dxa"/>
            <w:tcBorders>
              <w:top w:val="single" w:sz="4" w:space="0" w:color="auto"/>
              <w:left w:val="nil"/>
              <w:bottom w:val="single" w:sz="4" w:space="0" w:color="auto"/>
              <w:right w:val="nil"/>
            </w:tcBorders>
            <w:shd w:val="clear" w:color="auto" w:fill="auto"/>
          </w:tcPr>
          <w:p w:rsidR="00990228" w:rsidRDefault="00990228" w:rsidP="00613EDE">
            <w:pPr>
              <w:spacing w:after="0" w:line="240" w:lineRule="auto"/>
              <w:jc w:val="both"/>
              <w:rPr>
                <w:rFonts w:ascii="Times New Roman" w:hAnsi="Times New Roman" w:cs="Times New Roman"/>
                <w:sz w:val="24"/>
                <w:szCs w:val="24"/>
              </w:rPr>
            </w:pPr>
            <w:r>
              <w:rPr>
                <w:rFonts w:ascii="Times New Roman" w:eastAsia="Calibri" w:hAnsi="Times New Roman"/>
                <w:sz w:val="24"/>
                <w:szCs w:val="24"/>
              </w:rPr>
              <w:t xml:space="preserve">V potravinárstve </w:t>
            </w:r>
            <w:r w:rsidR="00613EDE">
              <w:rPr>
                <w:rFonts w:ascii="Times New Roman" w:eastAsia="Calibri" w:hAnsi="Times New Roman"/>
                <w:sz w:val="24"/>
                <w:szCs w:val="24"/>
              </w:rPr>
              <w:t xml:space="preserve">je potrebné </w:t>
            </w:r>
            <w:r>
              <w:rPr>
                <w:rFonts w:ascii="Times New Roman" w:eastAsia="Calibri" w:hAnsi="Times New Roman"/>
                <w:sz w:val="24"/>
                <w:szCs w:val="24"/>
              </w:rPr>
              <w:t xml:space="preserve">zachovať trend poklesu percentuálneho zastúpenia pracujúcich so základným a učňovským vzdelaním a trend nárastu percentuálneho zastúpenia </w:t>
            </w:r>
            <w:proofErr w:type="spellStart"/>
            <w:r>
              <w:rPr>
                <w:rFonts w:ascii="Times New Roman" w:eastAsia="Calibri" w:hAnsi="Times New Roman"/>
                <w:sz w:val="24"/>
                <w:szCs w:val="24"/>
              </w:rPr>
              <w:t>stredo</w:t>
            </w:r>
            <w:proofErr w:type="spellEnd"/>
            <w:r>
              <w:rPr>
                <w:rFonts w:ascii="Times New Roman" w:eastAsia="Calibri" w:hAnsi="Times New Roman"/>
                <w:sz w:val="24"/>
                <w:szCs w:val="24"/>
              </w:rPr>
              <w:t xml:space="preserve">- a vysokoškolsky vzdelaných pracujúcich. </w:t>
            </w:r>
          </w:p>
        </w:tc>
      </w:tr>
      <w:tr w:rsidR="00990228" w:rsidRPr="009B2487" w:rsidTr="00613EDE">
        <w:trPr>
          <w:trHeight w:val="1135"/>
        </w:trPr>
        <w:tc>
          <w:tcPr>
            <w:tcW w:w="2740" w:type="dxa"/>
            <w:vMerge/>
            <w:tcBorders>
              <w:left w:val="nil"/>
              <w:bottom w:val="single" w:sz="4" w:space="0" w:color="auto"/>
              <w:right w:val="single" w:sz="4" w:space="0" w:color="auto"/>
            </w:tcBorders>
            <w:shd w:val="clear" w:color="auto" w:fill="F2F2F2" w:themeFill="background1" w:themeFillShade="F2"/>
            <w:noWrap/>
          </w:tcPr>
          <w:p w:rsidR="00990228" w:rsidRDefault="00990228" w:rsidP="00183FDB">
            <w:pPr>
              <w:spacing w:after="0" w:line="240" w:lineRule="auto"/>
              <w:rPr>
                <w:rFonts w:ascii="Times New Roman" w:eastAsia="Times New Roman" w:hAnsi="Times New Roman" w:cs="Times New Roman"/>
                <w:b/>
                <w:bCs/>
                <w:color w:val="000000"/>
                <w:sz w:val="24"/>
                <w:szCs w:val="24"/>
              </w:rPr>
            </w:pPr>
          </w:p>
        </w:tc>
        <w:tc>
          <w:tcPr>
            <w:tcW w:w="6860" w:type="dxa"/>
            <w:tcBorders>
              <w:top w:val="single" w:sz="4" w:space="0" w:color="auto"/>
              <w:left w:val="nil"/>
              <w:bottom w:val="single" w:sz="4" w:space="0" w:color="auto"/>
              <w:right w:val="nil"/>
            </w:tcBorders>
            <w:shd w:val="clear" w:color="auto" w:fill="auto"/>
          </w:tcPr>
          <w:p w:rsidR="00990228" w:rsidRDefault="00990228" w:rsidP="00613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lesníctve </w:t>
            </w:r>
            <w:r w:rsidR="00613EDE">
              <w:rPr>
                <w:rFonts w:ascii="Times New Roman" w:hAnsi="Times New Roman" w:cs="Times New Roman"/>
                <w:sz w:val="24"/>
                <w:szCs w:val="24"/>
              </w:rPr>
              <w:t>badať</w:t>
            </w:r>
            <w:r>
              <w:rPr>
                <w:rFonts w:ascii="Times New Roman" w:hAnsi="Times New Roman" w:cs="Times New Roman"/>
                <w:sz w:val="24"/>
                <w:szCs w:val="24"/>
              </w:rPr>
              <w:t xml:space="preserve"> rapídny úbytok vysokoškolsky vzdelaných ľudí, v prospech pracujúcich so základným vzdelaním. Týmto sa zároveň </w:t>
            </w:r>
            <w:r w:rsidR="00613EDE">
              <w:rPr>
                <w:rFonts w:ascii="Times New Roman" w:hAnsi="Times New Roman" w:cs="Times New Roman"/>
                <w:sz w:val="24"/>
                <w:szCs w:val="24"/>
              </w:rPr>
              <w:t>aktivuje</w:t>
            </w:r>
            <w:r>
              <w:rPr>
                <w:rFonts w:ascii="Times New Roman" w:hAnsi="Times New Roman" w:cs="Times New Roman"/>
                <w:sz w:val="24"/>
                <w:szCs w:val="24"/>
              </w:rPr>
              <w:t xml:space="preserve">  najvýznamnejší faktor poklesu reálnych miezd v sektore lesníctva.</w:t>
            </w:r>
          </w:p>
        </w:tc>
      </w:tr>
      <w:tr w:rsidR="00990228" w:rsidRPr="009B2487" w:rsidTr="00613EDE">
        <w:trPr>
          <w:trHeight w:val="1490"/>
        </w:trPr>
        <w:tc>
          <w:tcPr>
            <w:tcW w:w="2740" w:type="dxa"/>
            <w:tcBorders>
              <w:top w:val="nil"/>
              <w:left w:val="nil"/>
              <w:bottom w:val="nil"/>
              <w:right w:val="single" w:sz="4" w:space="0" w:color="auto"/>
            </w:tcBorders>
            <w:shd w:val="clear" w:color="auto" w:fill="F2F2F2" w:themeFill="background1" w:themeFillShade="F2"/>
            <w:noWrap/>
          </w:tcPr>
          <w:p w:rsidR="00990228" w:rsidRDefault="00613EDE" w:rsidP="00183FD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Kapitál</w:t>
            </w:r>
          </w:p>
        </w:tc>
        <w:tc>
          <w:tcPr>
            <w:tcW w:w="6860" w:type="dxa"/>
            <w:tcBorders>
              <w:top w:val="single" w:sz="4" w:space="0" w:color="auto"/>
              <w:left w:val="nil"/>
              <w:bottom w:val="single" w:sz="4" w:space="0" w:color="auto"/>
              <w:right w:val="nil"/>
            </w:tcBorders>
            <w:shd w:val="clear" w:color="auto" w:fill="F2F2F2" w:themeFill="background1" w:themeFillShade="F2"/>
          </w:tcPr>
          <w:p w:rsidR="00613EDE" w:rsidRDefault="00613EDE" w:rsidP="00613EDE">
            <w:pPr>
              <w:spacing w:after="0" w:line="240" w:lineRule="auto"/>
              <w:jc w:val="both"/>
              <w:rPr>
                <w:rFonts w:ascii="Times New Roman" w:hAnsi="Times New Roman" w:cs="Times New Roman"/>
                <w:sz w:val="24"/>
                <w:szCs w:val="24"/>
              </w:rPr>
            </w:pPr>
            <w:r w:rsidRPr="00881395">
              <w:rPr>
                <w:rFonts w:ascii="Times New Roman" w:hAnsi="Times New Roman" w:cs="Times New Roman"/>
                <w:sz w:val="24"/>
                <w:szCs w:val="24"/>
              </w:rPr>
              <w:t xml:space="preserve">Hlavný výrobný faktor poľnohospodárskej produkcie, pôda, tvorí stále v priemere len okolo 5 % z celkového majetku poľnohospodárskych podnikov. </w:t>
            </w:r>
          </w:p>
          <w:p w:rsidR="00990228" w:rsidRDefault="00613EDE" w:rsidP="00613EDE">
            <w:pPr>
              <w:spacing w:after="0" w:line="240" w:lineRule="auto"/>
              <w:jc w:val="both"/>
              <w:rPr>
                <w:rFonts w:ascii="Times New Roman" w:hAnsi="Times New Roman" w:cs="Times New Roman"/>
                <w:sz w:val="24"/>
                <w:szCs w:val="24"/>
              </w:rPr>
            </w:pPr>
            <w:r w:rsidRPr="00881395">
              <w:rPr>
                <w:rFonts w:ascii="Times New Roman" w:hAnsi="Times New Roman" w:cs="Times New Roman"/>
                <w:sz w:val="24"/>
                <w:szCs w:val="24"/>
              </w:rPr>
              <w:t>To znamená, že slovenský poľnohospodár si v priemere prenajme viac ako 90 % poľnohospodárskej pôdy, ktorú obrába. V porovnaní s ostatnými krajinami EÚ je takýto stav ojedinelý, nakoľko  pôda ako jedna z hlavných zložiek majetku poľnohospodárskych podnikov v ostatných členských krajinách EÚ tvorí až okolo 50 %.</w:t>
            </w:r>
          </w:p>
        </w:tc>
      </w:tr>
      <w:tr w:rsidR="00613EDE" w:rsidRPr="009B2487" w:rsidTr="00613EDE">
        <w:trPr>
          <w:trHeight w:val="1490"/>
        </w:trPr>
        <w:tc>
          <w:tcPr>
            <w:tcW w:w="2740" w:type="dxa"/>
            <w:tcBorders>
              <w:top w:val="nil"/>
              <w:left w:val="nil"/>
              <w:bottom w:val="nil"/>
              <w:right w:val="single" w:sz="4" w:space="0" w:color="auto"/>
            </w:tcBorders>
            <w:shd w:val="clear" w:color="auto" w:fill="F2F2F2" w:themeFill="background1" w:themeFillShade="F2"/>
            <w:noWrap/>
          </w:tcPr>
          <w:p w:rsidR="00613EDE" w:rsidRDefault="00613EDE" w:rsidP="00183FDB">
            <w:pPr>
              <w:spacing w:after="0" w:line="240" w:lineRule="auto"/>
              <w:rPr>
                <w:rFonts w:ascii="Times New Roman" w:eastAsia="Times New Roman" w:hAnsi="Times New Roman" w:cs="Times New Roman"/>
                <w:b/>
                <w:bCs/>
                <w:color w:val="000000"/>
                <w:sz w:val="24"/>
                <w:szCs w:val="24"/>
              </w:rPr>
            </w:pPr>
          </w:p>
        </w:tc>
        <w:tc>
          <w:tcPr>
            <w:tcW w:w="6860" w:type="dxa"/>
            <w:tcBorders>
              <w:top w:val="single" w:sz="4" w:space="0" w:color="auto"/>
              <w:left w:val="nil"/>
              <w:bottom w:val="single" w:sz="4" w:space="0" w:color="auto"/>
              <w:right w:val="nil"/>
            </w:tcBorders>
            <w:shd w:val="clear" w:color="auto" w:fill="F2F2F2" w:themeFill="background1" w:themeFillShade="F2"/>
          </w:tcPr>
          <w:p w:rsidR="00613EDE" w:rsidRDefault="00613EDE" w:rsidP="00613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Vysoká koncentrácia poľnohospodárskej výroby vedie v podmienkach Slovenska ku kumulácii vyše 80 % dotačných peňazí do rúk cca 10 % žiadateľov o ne. </w:t>
            </w:r>
          </w:p>
          <w:p w:rsidR="00613EDE" w:rsidRDefault="00613EDE" w:rsidP="00613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Tým pádom, aj keď je možné konštatovať, že financovanie poľnohospodárskych podnikov v SR prešlo </w:t>
            </w:r>
            <w:r w:rsidRPr="000B35C0">
              <w:rPr>
                <w:rFonts w:ascii="Times New Roman" w:hAnsi="Times New Roman" w:cs="Times New Roman"/>
                <w:sz w:val="24"/>
                <w:szCs w:val="24"/>
              </w:rPr>
              <w:t>za posledných desať rokov podstatnými zmenami</w:t>
            </w:r>
            <w:r>
              <w:rPr>
                <w:rFonts w:ascii="Times New Roman" w:hAnsi="Times New Roman" w:cs="Times New Roman"/>
                <w:sz w:val="24"/>
                <w:szCs w:val="24"/>
              </w:rPr>
              <w:t>, tieto zmeny nemali takmer žiadny vplyv na zlepšenie ekonomickej situácie u cca 90 % poľnohospodárskych subjektov.</w:t>
            </w:r>
          </w:p>
        </w:tc>
      </w:tr>
      <w:tr w:rsidR="00613EDE" w:rsidRPr="009B2487" w:rsidTr="00613EDE">
        <w:trPr>
          <w:trHeight w:val="1087"/>
        </w:trPr>
        <w:tc>
          <w:tcPr>
            <w:tcW w:w="2740" w:type="dxa"/>
            <w:tcBorders>
              <w:top w:val="nil"/>
              <w:left w:val="nil"/>
              <w:bottom w:val="nil"/>
              <w:right w:val="single" w:sz="4" w:space="0" w:color="auto"/>
            </w:tcBorders>
            <w:shd w:val="clear" w:color="auto" w:fill="F2F2F2" w:themeFill="background1" w:themeFillShade="F2"/>
            <w:noWrap/>
          </w:tcPr>
          <w:p w:rsidR="00613EDE" w:rsidRDefault="00613EDE" w:rsidP="00183FDB">
            <w:pPr>
              <w:spacing w:after="0" w:line="240" w:lineRule="auto"/>
              <w:rPr>
                <w:rFonts w:ascii="Times New Roman" w:eastAsia="Times New Roman" w:hAnsi="Times New Roman" w:cs="Times New Roman"/>
                <w:b/>
                <w:bCs/>
                <w:color w:val="000000"/>
                <w:sz w:val="24"/>
                <w:szCs w:val="24"/>
              </w:rPr>
            </w:pPr>
          </w:p>
        </w:tc>
        <w:tc>
          <w:tcPr>
            <w:tcW w:w="6860" w:type="dxa"/>
            <w:tcBorders>
              <w:top w:val="single" w:sz="4" w:space="0" w:color="auto"/>
              <w:left w:val="nil"/>
              <w:bottom w:val="single" w:sz="4" w:space="0" w:color="auto"/>
              <w:right w:val="nil"/>
            </w:tcBorders>
            <w:shd w:val="clear" w:color="auto" w:fill="F2F2F2" w:themeFill="background1" w:themeFillShade="F2"/>
          </w:tcPr>
          <w:p w:rsidR="00613EDE" w:rsidRDefault="00613EDE" w:rsidP="00613EDE">
            <w:pPr>
              <w:spacing w:after="0" w:line="240" w:lineRule="auto"/>
              <w:jc w:val="both"/>
              <w:rPr>
                <w:rFonts w:ascii="Times New Roman" w:hAnsi="Times New Roman" w:cs="Times New Roman"/>
                <w:sz w:val="24"/>
                <w:szCs w:val="24"/>
              </w:rPr>
            </w:pPr>
            <w:r w:rsidRPr="007E6EE1">
              <w:rPr>
                <w:rFonts w:ascii="Times New Roman" w:hAnsi="Times New Roman" w:cs="Times New Roman"/>
                <w:sz w:val="24"/>
                <w:szCs w:val="24"/>
              </w:rPr>
              <w:t xml:space="preserve">Potravinársky priemysel </w:t>
            </w:r>
            <w:r>
              <w:rPr>
                <w:rFonts w:ascii="Times New Roman" w:hAnsi="Times New Roman" w:cs="Times New Roman"/>
                <w:sz w:val="24"/>
                <w:szCs w:val="24"/>
              </w:rPr>
              <w:t xml:space="preserve">na jednej strane </w:t>
            </w:r>
            <w:r w:rsidRPr="007E6EE1">
              <w:rPr>
                <w:rFonts w:ascii="Times New Roman" w:hAnsi="Times New Roman" w:cs="Times New Roman"/>
                <w:sz w:val="24"/>
                <w:szCs w:val="24"/>
              </w:rPr>
              <w:t xml:space="preserve">nie je schopný </w:t>
            </w:r>
            <w:r>
              <w:rPr>
                <w:rFonts w:ascii="Times New Roman" w:hAnsi="Times New Roman" w:cs="Times New Roman"/>
                <w:sz w:val="24"/>
                <w:szCs w:val="24"/>
              </w:rPr>
              <w:t xml:space="preserve">dlhodobo efektívne </w:t>
            </w:r>
            <w:r w:rsidRPr="007E6EE1">
              <w:rPr>
                <w:rFonts w:ascii="Times New Roman" w:hAnsi="Times New Roman" w:cs="Times New Roman"/>
                <w:sz w:val="24"/>
                <w:szCs w:val="24"/>
              </w:rPr>
              <w:t>investovať finančné prostriedky z vlastných zdrojov</w:t>
            </w:r>
            <w:r>
              <w:rPr>
                <w:rFonts w:ascii="Times New Roman" w:hAnsi="Times New Roman" w:cs="Times New Roman"/>
                <w:sz w:val="24"/>
                <w:szCs w:val="24"/>
              </w:rPr>
              <w:t xml:space="preserve"> a na strane druhej nie je schopný získať na reinvestície relatívne lacné cudzie zdroje.</w:t>
            </w:r>
          </w:p>
        </w:tc>
      </w:tr>
      <w:tr w:rsidR="00613EDE" w:rsidRPr="009B2487" w:rsidTr="00613EDE">
        <w:trPr>
          <w:trHeight w:val="1229"/>
        </w:trPr>
        <w:tc>
          <w:tcPr>
            <w:tcW w:w="2740" w:type="dxa"/>
            <w:tcBorders>
              <w:top w:val="nil"/>
              <w:left w:val="nil"/>
              <w:bottom w:val="single" w:sz="4" w:space="0" w:color="auto"/>
              <w:right w:val="single" w:sz="4" w:space="0" w:color="auto"/>
            </w:tcBorders>
            <w:shd w:val="clear" w:color="auto" w:fill="F2F2F2" w:themeFill="background1" w:themeFillShade="F2"/>
            <w:noWrap/>
          </w:tcPr>
          <w:p w:rsidR="00613EDE" w:rsidRDefault="00613EDE" w:rsidP="00183FDB">
            <w:pPr>
              <w:spacing w:after="0" w:line="240" w:lineRule="auto"/>
              <w:rPr>
                <w:rFonts w:ascii="Times New Roman" w:eastAsia="Times New Roman" w:hAnsi="Times New Roman" w:cs="Times New Roman"/>
                <w:b/>
                <w:bCs/>
                <w:color w:val="000000"/>
                <w:sz w:val="24"/>
                <w:szCs w:val="24"/>
              </w:rPr>
            </w:pPr>
          </w:p>
        </w:tc>
        <w:tc>
          <w:tcPr>
            <w:tcW w:w="6860" w:type="dxa"/>
            <w:tcBorders>
              <w:top w:val="single" w:sz="4" w:space="0" w:color="auto"/>
              <w:left w:val="nil"/>
              <w:bottom w:val="single" w:sz="4" w:space="0" w:color="auto"/>
              <w:right w:val="nil"/>
            </w:tcBorders>
            <w:shd w:val="clear" w:color="auto" w:fill="F2F2F2" w:themeFill="background1" w:themeFillShade="F2"/>
          </w:tcPr>
          <w:p w:rsidR="00613EDE" w:rsidRPr="007E6EE1" w:rsidRDefault="00613EDE" w:rsidP="00613EDE">
            <w:pPr>
              <w:spacing w:after="0" w:line="240" w:lineRule="auto"/>
              <w:jc w:val="both"/>
              <w:rPr>
                <w:rFonts w:ascii="Times New Roman" w:hAnsi="Times New Roman" w:cs="Times New Roman"/>
                <w:sz w:val="24"/>
                <w:szCs w:val="24"/>
              </w:rPr>
            </w:pPr>
            <w:r w:rsidRPr="0001510B">
              <w:rPr>
                <w:rFonts w:ascii="Times New Roman" w:hAnsi="Times New Roman" w:cs="Times New Roman"/>
                <w:sz w:val="24"/>
                <w:szCs w:val="24"/>
              </w:rPr>
              <w:t xml:space="preserve">Hospodársky výsledok </w:t>
            </w:r>
            <w:r>
              <w:rPr>
                <w:rFonts w:ascii="Times New Roman" w:hAnsi="Times New Roman" w:cs="Times New Roman"/>
                <w:sz w:val="24"/>
                <w:szCs w:val="24"/>
              </w:rPr>
              <w:t>podnikov lesného hospodárstva</w:t>
            </w:r>
            <w:r w:rsidRPr="0001510B">
              <w:rPr>
                <w:rFonts w:ascii="Times New Roman" w:hAnsi="Times New Roman" w:cs="Times New Roman"/>
                <w:sz w:val="24"/>
                <w:szCs w:val="24"/>
              </w:rPr>
              <w:t xml:space="preserve"> negatívne ovplyvňuje okrem iného neustále sa zvyšujúci dopyt spoločnosti po ekologických a sociálnych službách. Náklady na poskytovanie týchto služieb už nedokáže lesné hospodárstvo pokrývať iba tržbami z realizovanej produkcie dreva. Preto je potrebné zaoberať sa otázkou, z čoho pokrývať zvýšené náklady.</w:t>
            </w:r>
          </w:p>
        </w:tc>
      </w:tr>
    </w:tbl>
    <w:p w:rsidR="007E08FC" w:rsidRPr="0001510B" w:rsidRDefault="007E08FC" w:rsidP="0001510B">
      <w:pPr>
        <w:spacing w:after="0" w:line="240" w:lineRule="auto"/>
        <w:jc w:val="both"/>
        <w:rPr>
          <w:rFonts w:ascii="Times New Roman" w:hAnsi="Times New Roman" w:cs="Times New Roman"/>
          <w:sz w:val="24"/>
          <w:szCs w:val="24"/>
        </w:rPr>
      </w:pPr>
    </w:p>
    <w:p w:rsidR="00015E85" w:rsidRPr="00C814AB" w:rsidRDefault="00015E85" w:rsidP="007E08FC">
      <w:pPr>
        <w:spacing w:before="120" w:after="120" w:line="240" w:lineRule="auto"/>
        <w:rPr>
          <w:rFonts w:ascii="Times New Roman" w:hAnsi="Times New Roman"/>
          <w:sz w:val="24"/>
          <w:szCs w:val="24"/>
        </w:rPr>
      </w:pPr>
    </w:p>
    <w:p w:rsidR="007C47A7" w:rsidRPr="00F65476" w:rsidRDefault="007C47A7" w:rsidP="007C47A7">
      <w:pPr>
        <w:spacing w:after="0" w:line="240" w:lineRule="auto"/>
        <w:jc w:val="both"/>
        <w:rPr>
          <w:rFonts w:ascii="Times New Roman" w:hAnsi="Times New Roman" w:cs="Times New Roman"/>
          <w:sz w:val="24"/>
          <w:szCs w:val="24"/>
        </w:rPr>
      </w:pPr>
    </w:p>
    <w:p w:rsidR="0045357B" w:rsidRPr="00F65476" w:rsidRDefault="0045357B" w:rsidP="00F65476">
      <w:pPr>
        <w:spacing w:after="0" w:line="240" w:lineRule="auto"/>
        <w:jc w:val="both"/>
        <w:rPr>
          <w:rFonts w:ascii="Times New Roman" w:hAnsi="Times New Roman" w:cs="Times New Roman"/>
          <w:sz w:val="24"/>
          <w:szCs w:val="24"/>
        </w:rPr>
      </w:pPr>
      <w:r w:rsidRPr="00F65476">
        <w:rPr>
          <w:rFonts w:ascii="Times New Roman" w:hAnsi="Times New Roman" w:cs="Times New Roman"/>
          <w:sz w:val="24"/>
          <w:szCs w:val="24"/>
        </w:rPr>
        <w:br w:type="page"/>
      </w:r>
    </w:p>
    <w:p w:rsidR="00EC6DF2" w:rsidRPr="00762F10" w:rsidRDefault="00EC6DF2" w:rsidP="00EC6DF2">
      <w:pPr>
        <w:pStyle w:val="Nadpis1"/>
        <w:numPr>
          <w:ilvl w:val="0"/>
          <w:numId w:val="8"/>
        </w:numPr>
        <w:rPr>
          <w:rFonts w:cs="Times New Roman"/>
          <w:highlight w:val="red"/>
        </w:rPr>
      </w:pPr>
      <w:bookmarkStart w:id="14" w:name="_Toc359550635"/>
      <w:r w:rsidRPr="00762F10">
        <w:rPr>
          <w:rFonts w:cs="Times New Roman"/>
          <w:highlight w:val="red"/>
        </w:rPr>
        <w:lastRenderedPageBreak/>
        <w:t>Analýza celkovej konkurencieschopnosti slovenského pôdohospodárstva</w:t>
      </w:r>
      <w:bookmarkEnd w:id="14"/>
    </w:p>
    <w:p w:rsidR="00EC6DF2" w:rsidRDefault="00EC6DF2" w:rsidP="00EC6DF2">
      <w:pPr>
        <w:spacing w:after="0" w:line="240" w:lineRule="auto"/>
        <w:jc w:val="both"/>
        <w:rPr>
          <w:rFonts w:ascii="Times New Roman" w:hAnsi="Times New Roman" w:cs="Times New Roman"/>
          <w:sz w:val="24"/>
          <w:szCs w:val="24"/>
        </w:rPr>
      </w:pPr>
    </w:p>
    <w:p w:rsidR="00F25C25" w:rsidRDefault="00F25C25" w:rsidP="00F25C2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Vo väzba na vykonanú analýzu vybavenosti subjektov pôdohospodárstva výrobnými faktormi je dôležité analyzovať aj ich postavenie na svetovom trhu z hľadiska ich konkurencieschopnosti. Slovenské pôdohospodárstvo sa nachádza v situácii neustále sa meniacich podmienok pôsobenia na trhu tak z hľadiska národného ako aj z perspektívy spoločného trhu EÚ. </w:t>
      </w:r>
    </w:p>
    <w:p w:rsidR="00F25C25" w:rsidRDefault="00F25C25" w:rsidP="00F25C25">
      <w:pPr>
        <w:autoSpaceDE w:val="0"/>
        <w:autoSpaceDN w:val="0"/>
        <w:adjustRightInd w:val="0"/>
        <w:spacing w:after="0" w:line="240" w:lineRule="auto"/>
        <w:jc w:val="both"/>
        <w:rPr>
          <w:rFonts w:ascii="TimesNewRomanPSMT" w:hAnsi="TimesNewRomanPSMT" w:cs="TimesNewRomanPSMT"/>
          <w:sz w:val="24"/>
          <w:szCs w:val="24"/>
        </w:rPr>
      </w:pPr>
    </w:p>
    <w:p w:rsidR="00F25C25" w:rsidRDefault="00F25C25" w:rsidP="00F25C2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Problematika konkurencieschopnosti slovenského pôdohospodárstva sa prvýkrát otvorila v začiatkoch transformačného procesu. </w:t>
      </w:r>
      <w:r w:rsidRPr="00F25C25">
        <w:rPr>
          <w:rFonts w:ascii="TimesNewRomanPSMT" w:hAnsi="TimesNewRomanPSMT" w:cs="TimesNewRomanPSMT"/>
          <w:sz w:val="24"/>
          <w:szCs w:val="24"/>
        </w:rPr>
        <w:t xml:space="preserve">Po politicko-hospodárskych zmenách, ktoré nastali v Slovenskej republike, a po jej otvorení sa voči vyspelým ekonomikám, sa naplno prejavilo reálne zaostávanie našej krajiny v celkovej konkurenčnej schopnosti ekonomiky, teda v úrovni technológií, v produktivite práce, v porovnateľnej cenovej hladine, v kvalite a technickej úrovni výrobkov a služieb. Vzhľadom na to, že rast celkovej konkurencieschopnosti Slovenskej republiky, ktorej základnými prvkami sú technologická a inovačná dynamika a rast produktivity práce, je proces veľmi náročný na finančné zdroje a </w:t>
      </w:r>
      <w:proofErr w:type="spellStart"/>
      <w:r w:rsidRPr="00F25C25">
        <w:rPr>
          <w:rFonts w:ascii="TimesNewRomanPSMT" w:hAnsi="TimesNewRomanPSMT" w:cs="TimesNewRomanPSMT"/>
          <w:sz w:val="24"/>
          <w:szCs w:val="24"/>
        </w:rPr>
        <w:t>know-how</w:t>
      </w:r>
      <w:proofErr w:type="spellEnd"/>
      <w:r w:rsidRPr="00F25C25">
        <w:rPr>
          <w:rFonts w:ascii="TimesNewRomanPSMT" w:hAnsi="TimesNewRomanPSMT" w:cs="TimesNewRomanPSMT"/>
          <w:sz w:val="24"/>
          <w:szCs w:val="24"/>
        </w:rPr>
        <w:t>, bolo evidentné, že Slovenská republika nedisponuje dostatočnými vlastnými zdrojmi na to, aby sa zabezpečilo efektívne približovanie sa k vyspelým krajinám EÚ. Ukázalo sa, že Slovenská republika sa neobíde bez zahraničných finančných, poznatkových a iných zdrojov, ktorých transfer sa</w:t>
      </w:r>
      <w:r>
        <w:rPr>
          <w:rFonts w:ascii="TimesNewRomanPSMT" w:hAnsi="TimesNewRomanPSMT" w:cs="TimesNewRomanPSMT"/>
          <w:sz w:val="24"/>
          <w:szCs w:val="24"/>
        </w:rPr>
        <w:t>, v sektore pôdohospodárstva, uskutočňuje</w:t>
      </w:r>
      <w:r w:rsidRPr="00F25C25">
        <w:rPr>
          <w:rFonts w:ascii="TimesNewRomanPSMT" w:hAnsi="TimesNewRomanPSMT" w:cs="TimesNewRomanPSMT"/>
          <w:sz w:val="24"/>
          <w:szCs w:val="24"/>
        </w:rPr>
        <w:t xml:space="preserve"> predovšetkým prostredníctvom </w:t>
      </w:r>
      <w:r>
        <w:rPr>
          <w:rFonts w:ascii="TimesNewRomanPSMT" w:hAnsi="TimesNewRomanPSMT" w:cs="TimesNewRomanPSMT"/>
          <w:sz w:val="24"/>
          <w:szCs w:val="24"/>
        </w:rPr>
        <w:t>finančných transferov zo štrukturálnych fondov</w:t>
      </w:r>
      <w:r w:rsidRPr="00F25C25">
        <w:rPr>
          <w:rFonts w:ascii="TimesNewRomanPSMT" w:hAnsi="TimesNewRomanPSMT" w:cs="TimesNewRomanPSMT"/>
          <w:sz w:val="24"/>
          <w:szCs w:val="24"/>
        </w:rPr>
        <w:t xml:space="preserve">. Prvým dôvodom bola skutočnosť, že slovenská ekonomika bola vo väčšine odvetví značne podkapitalizovaná. Druhým závažným dôvodom bolo, že výskumno-vývojové zázemie technologických a produktových inovácií bolo veľmi slabé, čo vyplývalo nielen z nízkej efektívnosti prostriedkov vložených do výskumu a vývoja v minulých rokoch, </w:t>
      </w:r>
      <w:r>
        <w:rPr>
          <w:rFonts w:ascii="TimesNewRomanPSMT" w:hAnsi="TimesNewRomanPSMT" w:cs="TimesNewRomanPSMT"/>
          <w:sz w:val="24"/>
          <w:szCs w:val="24"/>
        </w:rPr>
        <w:t>ako</w:t>
      </w:r>
      <w:r w:rsidRPr="00F25C25">
        <w:rPr>
          <w:rFonts w:ascii="TimesNewRomanPSMT" w:hAnsi="TimesNewRomanPSMT" w:cs="TimesNewRomanPSMT"/>
          <w:sz w:val="24"/>
          <w:szCs w:val="24"/>
        </w:rPr>
        <w:t xml:space="preserve"> aj z rapídneho poklesu výdavkov do tejto oblasti po roku 1989.</w:t>
      </w:r>
    </w:p>
    <w:p w:rsidR="00F25C25" w:rsidRDefault="00F25C25" w:rsidP="00F25C25">
      <w:pPr>
        <w:autoSpaceDE w:val="0"/>
        <w:autoSpaceDN w:val="0"/>
        <w:adjustRightInd w:val="0"/>
        <w:spacing w:after="0" w:line="240" w:lineRule="auto"/>
        <w:jc w:val="both"/>
        <w:rPr>
          <w:rFonts w:ascii="TimesNewRomanPSMT" w:hAnsi="TimesNewRomanPSMT" w:cs="TimesNewRomanPSMT"/>
          <w:sz w:val="24"/>
          <w:szCs w:val="24"/>
        </w:rPr>
      </w:pPr>
    </w:p>
    <w:p w:rsidR="00F25C25" w:rsidRDefault="00F25C25" w:rsidP="00F25C2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Konkurencieschopnosť slovenského pôdohospodárstva na spoločnom trhu EÚ je do veľkej miery ovplyvňovaná ekonomickými parametrami produkcie. </w:t>
      </w:r>
      <w:r w:rsidR="00EE7558">
        <w:rPr>
          <w:rFonts w:ascii="TimesNewRomanPSMT" w:hAnsi="TimesNewRomanPSMT" w:cs="TimesNewRomanPSMT"/>
          <w:sz w:val="24"/>
          <w:szCs w:val="24"/>
        </w:rPr>
        <w:t>Úroveň ekonomických parametrov je dôležité sledovať nielen z pohľadu ich vývoja na Slovensku, ale aj v porovnaní s geograficky blízkymi krajinami EÚ s podobnou štruktúrou produkcie. Kľúčovým parametrom konkurencieschopnosti v tomto zmysle je efektívnosť použitia výrobných faktorov a výrobnej spotreby pôdohospodárskeho sektora.</w:t>
      </w:r>
    </w:p>
    <w:p w:rsidR="00EE7558" w:rsidRDefault="00EE7558" w:rsidP="00F25C25">
      <w:pPr>
        <w:autoSpaceDE w:val="0"/>
        <w:autoSpaceDN w:val="0"/>
        <w:adjustRightInd w:val="0"/>
        <w:spacing w:after="0" w:line="240" w:lineRule="auto"/>
        <w:jc w:val="both"/>
        <w:rPr>
          <w:rFonts w:ascii="TimesNewRomanPSMT" w:hAnsi="TimesNewRomanPSMT" w:cs="TimesNewRomanPSMT"/>
          <w:sz w:val="24"/>
          <w:szCs w:val="24"/>
        </w:rPr>
      </w:pPr>
    </w:p>
    <w:p w:rsidR="00EE7558" w:rsidRDefault="00EE7558" w:rsidP="00F25C25">
      <w:pPr>
        <w:autoSpaceDE w:val="0"/>
        <w:autoSpaceDN w:val="0"/>
        <w:adjustRightInd w:val="0"/>
        <w:spacing w:after="0" w:line="240" w:lineRule="auto"/>
        <w:jc w:val="both"/>
        <w:rPr>
          <w:rFonts w:ascii="TimesNewRomanPSMT" w:hAnsi="TimesNewRomanPSMT" w:cs="TimesNewRomanPSMT"/>
          <w:sz w:val="24"/>
          <w:szCs w:val="24"/>
        </w:rPr>
      </w:pPr>
    </w:p>
    <w:p w:rsidR="00EE7558" w:rsidRPr="00ED3D23" w:rsidRDefault="00EE7558" w:rsidP="00EE7558">
      <w:pPr>
        <w:pStyle w:val="Nadpis2"/>
        <w:numPr>
          <w:ilvl w:val="1"/>
          <w:numId w:val="8"/>
        </w:numPr>
      </w:pPr>
      <w:bookmarkStart w:id="15" w:name="_Toc359550636"/>
      <w:r>
        <w:t>Analýza konkurencieschopnosti poľnohospodárstva</w:t>
      </w:r>
      <w:bookmarkEnd w:id="15"/>
    </w:p>
    <w:p w:rsidR="00EE7558" w:rsidRDefault="00EE7558" w:rsidP="00F25C25">
      <w:pPr>
        <w:autoSpaceDE w:val="0"/>
        <w:autoSpaceDN w:val="0"/>
        <w:adjustRightInd w:val="0"/>
        <w:spacing w:after="0" w:line="240" w:lineRule="auto"/>
        <w:jc w:val="both"/>
        <w:rPr>
          <w:rFonts w:ascii="TimesNewRomanPSMT" w:hAnsi="TimesNewRomanPSMT" w:cs="TimesNewRomanPSMT"/>
          <w:sz w:val="24"/>
          <w:szCs w:val="24"/>
        </w:rPr>
      </w:pPr>
    </w:p>
    <w:p w:rsidR="009C40BA" w:rsidRDefault="009C40BA" w:rsidP="009C40BA">
      <w:pPr>
        <w:autoSpaceDE w:val="0"/>
        <w:autoSpaceDN w:val="0"/>
        <w:adjustRightInd w:val="0"/>
        <w:spacing w:after="0" w:line="240" w:lineRule="auto"/>
        <w:jc w:val="both"/>
        <w:rPr>
          <w:rFonts w:ascii="TimesNewRomanPSMT" w:hAnsi="TimesNewRomanPSMT" w:cs="TimesNewRomanPSMT"/>
          <w:sz w:val="24"/>
          <w:szCs w:val="24"/>
        </w:rPr>
      </w:pPr>
      <w:r w:rsidRPr="009C40BA">
        <w:rPr>
          <w:rFonts w:ascii="TimesNewRomanPSMT" w:hAnsi="TimesNewRomanPSMT" w:cs="TimesNewRomanPSMT"/>
          <w:sz w:val="24"/>
          <w:szCs w:val="24"/>
        </w:rPr>
        <w:t xml:space="preserve">Príjmy na hektár poľnohospodárskej pôdy tvoria na Slovensku v priemere len 6,3 </w:t>
      </w:r>
      <w:r>
        <w:rPr>
          <w:rFonts w:ascii="TimesNewRomanPSMT" w:hAnsi="TimesNewRomanPSMT" w:cs="TimesNewRomanPSMT"/>
          <w:sz w:val="24"/>
          <w:szCs w:val="24"/>
        </w:rPr>
        <w:t>%</w:t>
      </w:r>
      <w:r w:rsidRPr="009C40BA">
        <w:rPr>
          <w:rFonts w:ascii="TimesNewRomanPSMT" w:hAnsi="TimesNewRomanPSMT" w:cs="TimesNewRomanPSMT"/>
          <w:sz w:val="24"/>
          <w:szCs w:val="24"/>
        </w:rPr>
        <w:t xml:space="preserve"> príjmov na hektár v štátoch EÚ-15. Dôvodom je nízka produkcia na </w:t>
      </w:r>
      <w:r>
        <w:rPr>
          <w:rFonts w:ascii="TimesNewRomanPSMT" w:hAnsi="TimesNewRomanPSMT" w:cs="TimesNewRomanPSMT"/>
          <w:sz w:val="24"/>
          <w:szCs w:val="24"/>
        </w:rPr>
        <w:t xml:space="preserve">hektár v SR, kde dosahujeme len </w:t>
      </w:r>
      <w:r w:rsidRPr="009C40BA">
        <w:rPr>
          <w:rFonts w:ascii="TimesNewRomanPSMT" w:hAnsi="TimesNewRomanPSMT" w:cs="TimesNewRomanPSMT"/>
          <w:sz w:val="24"/>
          <w:szCs w:val="24"/>
        </w:rPr>
        <w:t xml:space="preserve">40 </w:t>
      </w:r>
      <w:r>
        <w:rPr>
          <w:rFonts w:ascii="TimesNewRomanPSMT" w:hAnsi="TimesNewRomanPSMT" w:cs="TimesNewRomanPSMT"/>
          <w:sz w:val="24"/>
          <w:szCs w:val="24"/>
        </w:rPr>
        <w:t>%</w:t>
      </w:r>
      <w:r w:rsidRPr="009C40BA">
        <w:rPr>
          <w:rFonts w:ascii="TimesNewRomanPSMT" w:hAnsi="TimesNewRomanPSMT" w:cs="TimesNewRomanPSMT"/>
          <w:sz w:val="24"/>
          <w:szCs w:val="24"/>
        </w:rPr>
        <w:t xml:space="preserve"> úrovne EÚ-15 v rastlinnej výrobe a 38 </w:t>
      </w:r>
      <w:r>
        <w:rPr>
          <w:rFonts w:ascii="TimesNewRomanPSMT" w:hAnsi="TimesNewRomanPSMT" w:cs="TimesNewRomanPSMT"/>
          <w:sz w:val="24"/>
          <w:szCs w:val="24"/>
        </w:rPr>
        <w:t>%</w:t>
      </w:r>
      <w:r w:rsidRPr="009C40BA">
        <w:rPr>
          <w:rFonts w:ascii="TimesNewRomanPSMT" w:hAnsi="TimesNewRomanPSMT" w:cs="TimesNewRomanPSMT"/>
          <w:sz w:val="24"/>
          <w:szCs w:val="24"/>
        </w:rPr>
        <w:t xml:space="preserve"> v živočíšnej výrobe. Hektárová produkcia j</w:t>
      </w:r>
      <w:r>
        <w:rPr>
          <w:rFonts w:ascii="TimesNewRomanPSMT" w:hAnsi="TimesNewRomanPSMT" w:cs="TimesNewRomanPSMT"/>
          <w:sz w:val="24"/>
          <w:szCs w:val="24"/>
        </w:rPr>
        <w:t xml:space="preserve">e v SR najnižšia z krajín V-4.  </w:t>
      </w:r>
    </w:p>
    <w:p w:rsidR="009C40BA" w:rsidRDefault="009C40BA" w:rsidP="009C40BA">
      <w:pPr>
        <w:autoSpaceDE w:val="0"/>
        <w:autoSpaceDN w:val="0"/>
        <w:adjustRightInd w:val="0"/>
        <w:spacing w:after="0" w:line="240" w:lineRule="auto"/>
        <w:jc w:val="both"/>
        <w:rPr>
          <w:rFonts w:ascii="TimesNewRomanPSMT" w:hAnsi="TimesNewRomanPSMT" w:cs="TimesNewRomanPSMT"/>
          <w:sz w:val="24"/>
          <w:szCs w:val="24"/>
        </w:rPr>
      </w:pPr>
    </w:p>
    <w:p w:rsidR="009C40BA" w:rsidRDefault="009C40BA" w:rsidP="009C40BA">
      <w:pPr>
        <w:autoSpaceDE w:val="0"/>
        <w:autoSpaceDN w:val="0"/>
        <w:adjustRightInd w:val="0"/>
        <w:spacing w:after="0" w:line="240" w:lineRule="auto"/>
        <w:jc w:val="both"/>
        <w:rPr>
          <w:rFonts w:ascii="TimesNewRomanPSMT" w:hAnsi="TimesNewRomanPSMT" w:cs="TimesNewRomanPSMT"/>
          <w:sz w:val="24"/>
          <w:szCs w:val="24"/>
        </w:rPr>
      </w:pPr>
      <w:r w:rsidRPr="009C40BA">
        <w:rPr>
          <w:rFonts w:ascii="TimesNewRomanPSMT" w:hAnsi="TimesNewRomanPSMT" w:cs="TimesNewRomanPSMT"/>
          <w:sz w:val="24"/>
          <w:szCs w:val="24"/>
        </w:rPr>
        <w:t>Slovenské poľnohospodárstvo dosahuje relatívne k rozvinutým štátom EÚ nízku pridanú hodnotu  (25</w:t>
      </w:r>
      <w:r w:rsidR="003A49E7">
        <w:rPr>
          <w:rFonts w:ascii="TimesNewRomanPSMT" w:hAnsi="TimesNewRomanPSMT" w:cs="TimesNewRomanPSMT"/>
          <w:sz w:val="24"/>
          <w:szCs w:val="24"/>
        </w:rPr>
        <w:t xml:space="preserve"> </w:t>
      </w:r>
      <w:r w:rsidRPr="009C40BA">
        <w:rPr>
          <w:rFonts w:ascii="TimesNewRomanPSMT" w:hAnsi="TimesNewRomanPSMT" w:cs="TimesNewRomanPSMT"/>
          <w:sz w:val="24"/>
          <w:szCs w:val="24"/>
        </w:rPr>
        <w:t xml:space="preserve">% priemeru EÚ) a na druhej strane je zas charakterizované k úrovni produkcie </w:t>
      </w:r>
      <w:proofErr w:type="spellStart"/>
      <w:r w:rsidRPr="009C40BA">
        <w:rPr>
          <w:rFonts w:ascii="TimesNewRomanPSMT" w:hAnsi="TimesNewRomanPSMT" w:cs="TimesNewRomanPSMT"/>
          <w:sz w:val="24"/>
          <w:szCs w:val="24"/>
        </w:rPr>
        <w:t>disproporciálne</w:t>
      </w:r>
      <w:proofErr w:type="spellEnd"/>
      <w:r w:rsidRPr="009C40BA">
        <w:rPr>
          <w:rFonts w:ascii="TimesNewRomanPSMT" w:hAnsi="TimesNewRomanPSMT" w:cs="TimesNewRomanPSMT"/>
          <w:sz w:val="24"/>
          <w:szCs w:val="24"/>
        </w:rPr>
        <w:t xml:space="preserve">  vysokou medzispotrebou, ktorá je dôsledkom vysokých výdavkov slovenských poľnohospodárskych podnikov na pracovnú silu, hnojivá, energiu a palivá, služby a manažérsky servis.  </w:t>
      </w:r>
    </w:p>
    <w:p w:rsidR="009C40BA" w:rsidRPr="009C40BA" w:rsidRDefault="009C40BA" w:rsidP="009C40BA">
      <w:pPr>
        <w:autoSpaceDE w:val="0"/>
        <w:autoSpaceDN w:val="0"/>
        <w:adjustRightInd w:val="0"/>
        <w:spacing w:after="0" w:line="240" w:lineRule="auto"/>
        <w:jc w:val="both"/>
        <w:rPr>
          <w:rFonts w:ascii="TimesNewRomanPSMT" w:hAnsi="TimesNewRomanPSMT" w:cs="TimesNewRomanPSMT"/>
          <w:sz w:val="24"/>
          <w:szCs w:val="24"/>
        </w:rPr>
      </w:pPr>
    </w:p>
    <w:p w:rsidR="009C40BA" w:rsidRDefault="009C40BA" w:rsidP="009C40BA">
      <w:pPr>
        <w:autoSpaceDE w:val="0"/>
        <w:autoSpaceDN w:val="0"/>
        <w:adjustRightInd w:val="0"/>
        <w:spacing w:after="0" w:line="240" w:lineRule="auto"/>
        <w:jc w:val="both"/>
        <w:rPr>
          <w:rFonts w:ascii="TimesNewRomanPSMT" w:hAnsi="TimesNewRomanPSMT" w:cs="TimesNewRomanPSMT"/>
          <w:sz w:val="24"/>
          <w:szCs w:val="24"/>
        </w:rPr>
      </w:pPr>
      <w:r w:rsidRPr="009C40BA">
        <w:rPr>
          <w:rFonts w:ascii="TimesNewRomanPSMT" w:hAnsi="TimesNewRomanPSMT" w:cs="TimesNewRomanPSMT"/>
          <w:sz w:val="24"/>
          <w:szCs w:val="24"/>
        </w:rPr>
        <w:lastRenderedPageBreak/>
        <w:t xml:space="preserve">Pri približne 40 </w:t>
      </w:r>
      <w:r>
        <w:rPr>
          <w:rFonts w:ascii="TimesNewRomanPSMT" w:hAnsi="TimesNewRomanPSMT" w:cs="TimesNewRomanPSMT"/>
          <w:sz w:val="24"/>
          <w:szCs w:val="24"/>
        </w:rPr>
        <w:t>%-nej</w:t>
      </w:r>
      <w:r w:rsidRPr="009C40BA">
        <w:rPr>
          <w:rFonts w:ascii="TimesNewRomanPSMT" w:hAnsi="TimesNewRomanPSMT" w:cs="TimesNewRomanPSMT"/>
          <w:sz w:val="24"/>
          <w:szCs w:val="24"/>
        </w:rPr>
        <w:t xml:space="preserve"> produkcii relatívne k EÚ-15 tvoria výdavky na hnojivá až 60 </w:t>
      </w:r>
      <w:r>
        <w:rPr>
          <w:rFonts w:ascii="TimesNewRomanPSMT" w:hAnsi="TimesNewRomanPSMT" w:cs="TimesNewRomanPSMT"/>
          <w:sz w:val="24"/>
          <w:szCs w:val="24"/>
        </w:rPr>
        <w:t>%</w:t>
      </w:r>
      <w:r w:rsidRPr="009C40BA">
        <w:rPr>
          <w:rFonts w:ascii="TimesNewRomanPSMT" w:hAnsi="TimesNewRomanPSMT" w:cs="TimesNewRomanPSMT"/>
          <w:sz w:val="24"/>
          <w:szCs w:val="24"/>
        </w:rPr>
        <w:t xml:space="preserve"> výdavkov EÚ, ale výdavky na energie a palivá dokonca až 80 </w:t>
      </w:r>
      <w:r>
        <w:rPr>
          <w:rFonts w:ascii="TimesNewRomanPSMT" w:hAnsi="TimesNewRomanPSMT" w:cs="TimesNewRomanPSMT"/>
          <w:sz w:val="24"/>
          <w:szCs w:val="24"/>
        </w:rPr>
        <w:t>%</w:t>
      </w:r>
      <w:r w:rsidRPr="009C40BA">
        <w:rPr>
          <w:rFonts w:ascii="TimesNewRomanPSMT" w:hAnsi="TimesNewRomanPSMT" w:cs="TimesNewRomanPSMT"/>
          <w:sz w:val="24"/>
          <w:szCs w:val="24"/>
        </w:rPr>
        <w:t xml:space="preserve"> výdavkov EÚ-15. Platby za poľnohospodárske služby  v porovnaní s ostatnými krajinami V4 sú v SR najvyššie a platby za ostatné tovary a služby patria  medzi najvyššie dokonca v celej EÚ. </w:t>
      </w:r>
    </w:p>
    <w:p w:rsidR="009C40BA" w:rsidRPr="009C40BA" w:rsidRDefault="009C40BA" w:rsidP="009C40BA">
      <w:pPr>
        <w:autoSpaceDE w:val="0"/>
        <w:autoSpaceDN w:val="0"/>
        <w:adjustRightInd w:val="0"/>
        <w:spacing w:after="0" w:line="240" w:lineRule="auto"/>
        <w:jc w:val="both"/>
        <w:rPr>
          <w:rFonts w:ascii="TimesNewRomanPSMT" w:hAnsi="TimesNewRomanPSMT" w:cs="TimesNewRomanPSMT"/>
          <w:sz w:val="24"/>
          <w:szCs w:val="24"/>
        </w:rPr>
      </w:pPr>
    </w:p>
    <w:p w:rsidR="009C40BA" w:rsidRDefault="009C40BA" w:rsidP="009C40BA">
      <w:pPr>
        <w:autoSpaceDE w:val="0"/>
        <w:autoSpaceDN w:val="0"/>
        <w:adjustRightInd w:val="0"/>
        <w:spacing w:after="0" w:line="240" w:lineRule="auto"/>
        <w:jc w:val="both"/>
        <w:rPr>
          <w:rFonts w:ascii="TimesNewRomanPSMT" w:hAnsi="TimesNewRomanPSMT" w:cs="TimesNewRomanPSMT"/>
          <w:sz w:val="24"/>
          <w:szCs w:val="24"/>
        </w:rPr>
      </w:pPr>
      <w:r w:rsidRPr="009C40BA">
        <w:rPr>
          <w:rFonts w:ascii="TimesNewRomanPSMT" w:hAnsi="TimesNewRomanPSMT" w:cs="TimesNewRomanPSMT"/>
          <w:sz w:val="24"/>
          <w:szCs w:val="24"/>
        </w:rPr>
        <w:t xml:space="preserve">Náklady spojené s pracovnou silou a odvodové povinnosti zamestnávateľov dosahujú na Slovensku v priemere rokov 2004-2012 až 48% z celkových nákladov a sú najvyššie v regióne strednej Európy a samozrejme súvisia s nízkym využitím intenzifikačných faktorov výroby. V poslednom období je tu evidentná snaha o znižovanie týchto nákladov zamestnávaním na dohodu. Ďalšou významnou zložkou znevýhodňujúcou slovenských poľnohospodárov sú dane na produkciu. Dosahujú síce na ha </w:t>
      </w:r>
      <w:proofErr w:type="spellStart"/>
      <w:r w:rsidRPr="009C40BA">
        <w:rPr>
          <w:rFonts w:ascii="TimesNewRomanPSMT" w:hAnsi="TimesNewRomanPSMT" w:cs="TimesNewRomanPSMT"/>
          <w:sz w:val="24"/>
          <w:szCs w:val="24"/>
        </w:rPr>
        <w:t>p.p</w:t>
      </w:r>
      <w:proofErr w:type="spellEnd"/>
      <w:r w:rsidRPr="009C40BA">
        <w:rPr>
          <w:rFonts w:ascii="TimesNewRomanPSMT" w:hAnsi="TimesNewRomanPSMT" w:cs="TimesNewRomanPSMT"/>
          <w:sz w:val="24"/>
          <w:szCs w:val="24"/>
        </w:rPr>
        <w:t xml:space="preserve">. 65% priemeru EÚ-15, ale pri značne nižšom objeme produkcie ako v ostatných krajinách EÚ. Na druhej strane dotácie na produkciu na ha </w:t>
      </w:r>
      <w:proofErr w:type="spellStart"/>
      <w:r w:rsidRPr="009C40BA">
        <w:rPr>
          <w:rFonts w:ascii="TimesNewRomanPSMT" w:hAnsi="TimesNewRomanPSMT" w:cs="TimesNewRomanPSMT"/>
          <w:sz w:val="24"/>
          <w:szCs w:val="24"/>
        </w:rPr>
        <w:t>p.p</w:t>
      </w:r>
      <w:proofErr w:type="spellEnd"/>
      <w:r w:rsidRPr="009C40BA">
        <w:rPr>
          <w:rFonts w:ascii="TimesNewRomanPSMT" w:hAnsi="TimesNewRomanPSMT" w:cs="TimesNewRomanPSMT"/>
          <w:sz w:val="24"/>
          <w:szCs w:val="24"/>
        </w:rPr>
        <w:t xml:space="preserve">. dosiahli v priemere rokov 2004-2011 iba 54,7% úrovne EÚ-15  a patria najnižšie v stredoeurópskom regióne. </w:t>
      </w:r>
    </w:p>
    <w:p w:rsidR="009C40BA" w:rsidRDefault="009C40BA" w:rsidP="009C40BA">
      <w:pPr>
        <w:autoSpaceDE w:val="0"/>
        <w:autoSpaceDN w:val="0"/>
        <w:adjustRightInd w:val="0"/>
        <w:spacing w:after="0" w:line="240" w:lineRule="auto"/>
        <w:jc w:val="both"/>
        <w:rPr>
          <w:rFonts w:ascii="TimesNewRomanPSMT" w:hAnsi="TimesNewRomanPSMT" w:cs="TimesNewRomanPSMT"/>
          <w:sz w:val="24"/>
          <w:szCs w:val="24"/>
        </w:rPr>
      </w:pPr>
    </w:p>
    <w:p w:rsidR="009C40BA" w:rsidRPr="009C40BA" w:rsidRDefault="009C40BA" w:rsidP="009C40BA">
      <w:pPr>
        <w:autoSpaceDE w:val="0"/>
        <w:autoSpaceDN w:val="0"/>
        <w:adjustRightInd w:val="0"/>
        <w:spacing w:after="0" w:line="240" w:lineRule="auto"/>
        <w:jc w:val="both"/>
        <w:rPr>
          <w:rFonts w:ascii="TimesNewRomanPSMT" w:hAnsi="TimesNewRomanPSMT" w:cs="TimesNewRomanPSMT"/>
          <w:sz w:val="24"/>
          <w:szCs w:val="24"/>
        </w:rPr>
      </w:pPr>
      <w:r w:rsidRPr="009C40BA">
        <w:rPr>
          <w:rFonts w:ascii="TimesNewRomanPSMT" w:hAnsi="TimesNewRomanPSMT" w:cs="TimesNewRomanPSMT"/>
          <w:sz w:val="24"/>
          <w:szCs w:val="24"/>
        </w:rPr>
        <w:t>Podnikateľská štruktúra poľnohospodárstva na S</w:t>
      </w:r>
      <w:r>
        <w:rPr>
          <w:rFonts w:ascii="TimesNewRomanPSMT" w:hAnsi="TimesNewRomanPSMT" w:cs="TimesNewRomanPSMT"/>
          <w:sz w:val="24"/>
          <w:szCs w:val="24"/>
        </w:rPr>
        <w:t>lovensku sa líši od štruktúr v z</w:t>
      </w:r>
      <w:r w:rsidRPr="009C40BA">
        <w:rPr>
          <w:rFonts w:ascii="TimesNewRomanPSMT" w:hAnsi="TimesNewRomanPSMT" w:cs="TimesNewRomanPSMT"/>
          <w:sz w:val="24"/>
          <w:szCs w:val="24"/>
        </w:rPr>
        <w:t>ápadnej Európe, USA alebo iných rozvinutých štátoch. Na Slovensku dominujú právnické osoby (družstvá a obchodné spoločnosti), kým v ostatných štátoch prevažujú rodinné farmy, t.j. fyzické osoby. Za ostaných desať rokov rástol počet právnických osôb, hlavne akciových spoločností, kým počet rodinných fariem klesal. V rámci právnických osôb sa zvyšovali počty spoločností s ručením obmedzeným a klesali počty družstiev.  Veľké právnické osoby majú výhody pri podnikaní hlavne v dôsledku využívania ekonómie z rozsahu a v prístupe ku kapitálu. Na druhej strane rodinné farmy sú vhodnejšie na výrobu produktov náročných na prácu, lebo vedia lepšie riešiť problém monitoringu pracovnej sily, ktorý je v poľnohospodárstve zvlášť dôležitý.</w:t>
      </w:r>
    </w:p>
    <w:p w:rsidR="009C40BA" w:rsidRPr="009C40BA" w:rsidRDefault="009C40BA" w:rsidP="009C40BA">
      <w:pPr>
        <w:autoSpaceDE w:val="0"/>
        <w:autoSpaceDN w:val="0"/>
        <w:adjustRightInd w:val="0"/>
        <w:spacing w:after="0" w:line="240" w:lineRule="auto"/>
        <w:jc w:val="both"/>
        <w:rPr>
          <w:rFonts w:ascii="TimesNewRomanPSMT" w:hAnsi="TimesNewRomanPSMT" w:cs="TimesNewRomanPSMT"/>
          <w:sz w:val="24"/>
          <w:szCs w:val="24"/>
        </w:rPr>
      </w:pPr>
    </w:p>
    <w:p w:rsidR="009C40BA" w:rsidRDefault="009C40BA" w:rsidP="009C40BA">
      <w:pPr>
        <w:autoSpaceDE w:val="0"/>
        <w:autoSpaceDN w:val="0"/>
        <w:adjustRightInd w:val="0"/>
        <w:spacing w:after="0" w:line="240" w:lineRule="auto"/>
        <w:jc w:val="both"/>
        <w:rPr>
          <w:rFonts w:ascii="TimesNewRomanPSMT" w:hAnsi="TimesNewRomanPSMT" w:cs="TimesNewRomanPSMT"/>
          <w:sz w:val="24"/>
          <w:szCs w:val="24"/>
        </w:rPr>
      </w:pPr>
      <w:r w:rsidRPr="009C40BA">
        <w:rPr>
          <w:rFonts w:ascii="TimesNewRomanPSMT" w:hAnsi="TimesNewRomanPSMT" w:cs="TimesNewRomanPSMT"/>
          <w:sz w:val="24"/>
          <w:szCs w:val="24"/>
        </w:rPr>
        <w:t xml:space="preserve">Ekonomické výsledky slovenských poľnohospodárskych podnikov sú dôsledkom stavu trhu so vstupmi a výstupmi, daňovej a dotačnej politiky a štruktúry podnikov. Na slovenskom trhu sú v porovnaní s inými štátmi vyššie ceny vstupov. Slovenskí farmári kupujú drahšie palivá, energie, ale aj hnojivá a taktiež majú vyššie náklady na pracovnú silu v porovnaní so susednými štátmi. Taktiež sú slovenskí farmári znevýhodnení daňovo-dotačnou politikou, lebo platia vyššie dane na produkciu a majú relatívne nižšie dotačné príjmy. Ekonomické výsledky slovenského poľnohospodárstva odzrkadľujú aj štruktúru fariem. Veľké právnické osoby, ktoré dominujú slovenskému poľnohospodárstvu, ľahšie maximalizujú zisk znižovaním nákladov a obmedzovaním výroby, ako zvyšovaním efektívnosti podnikania. To je základný kľúčový problém </w:t>
      </w:r>
      <w:r>
        <w:rPr>
          <w:rFonts w:ascii="TimesNewRomanPSMT" w:hAnsi="TimesNewRomanPSMT" w:cs="TimesNewRomanPSMT"/>
          <w:sz w:val="24"/>
          <w:szCs w:val="24"/>
        </w:rPr>
        <w:t>slovenského poľnohospodárstva.</w:t>
      </w:r>
    </w:p>
    <w:p w:rsidR="009C40BA" w:rsidRPr="009C40BA" w:rsidRDefault="009C40BA" w:rsidP="009C40BA">
      <w:pPr>
        <w:autoSpaceDE w:val="0"/>
        <w:autoSpaceDN w:val="0"/>
        <w:adjustRightInd w:val="0"/>
        <w:spacing w:after="0" w:line="240" w:lineRule="auto"/>
        <w:jc w:val="both"/>
        <w:rPr>
          <w:rFonts w:ascii="TimesNewRomanPSMT" w:hAnsi="TimesNewRomanPSMT" w:cs="TimesNewRomanPSMT"/>
          <w:sz w:val="24"/>
          <w:szCs w:val="24"/>
        </w:rPr>
      </w:pPr>
    </w:p>
    <w:p w:rsidR="00EE7558" w:rsidRDefault="009C40BA" w:rsidP="009C40BA">
      <w:pPr>
        <w:autoSpaceDE w:val="0"/>
        <w:autoSpaceDN w:val="0"/>
        <w:adjustRightInd w:val="0"/>
        <w:spacing w:after="0" w:line="240" w:lineRule="auto"/>
        <w:jc w:val="both"/>
        <w:rPr>
          <w:rFonts w:ascii="TimesNewRomanPSMT" w:hAnsi="TimesNewRomanPSMT" w:cs="TimesNewRomanPSMT"/>
          <w:sz w:val="24"/>
          <w:szCs w:val="24"/>
        </w:rPr>
      </w:pPr>
      <w:r w:rsidRPr="009C40BA">
        <w:rPr>
          <w:rFonts w:ascii="TimesNewRomanPSMT" w:hAnsi="TimesNewRomanPSMT" w:cs="TimesNewRomanPSMT"/>
          <w:sz w:val="24"/>
          <w:szCs w:val="24"/>
        </w:rPr>
        <w:t xml:space="preserve">Porovnávanie hektárových úrod </w:t>
      </w:r>
      <w:r>
        <w:rPr>
          <w:rFonts w:ascii="TimesNewRomanPSMT" w:hAnsi="TimesNewRomanPSMT" w:cs="TimesNewRomanPSMT"/>
          <w:sz w:val="24"/>
          <w:szCs w:val="24"/>
        </w:rPr>
        <w:t>najvýznamnejších</w:t>
      </w:r>
      <w:r w:rsidRPr="009C40BA">
        <w:rPr>
          <w:rFonts w:ascii="TimesNewRomanPSMT" w:hAnsi="TimesNewRomanPSMT" w:cs="TimesNewRomanPSMT"/>
          <w:sz w:val="24"/>
          <w:szCs w:val="24"/>
        </w:rPr>
        <w:t xml:space="preserve"> poľnohospodárskych plodín ukazuje, že zásadný problém rentabili</w:t>
      </w:r>
      <w:r>
        <w:rPr>
          <w:rFonts w:ascii="TimesNewRomanPSMT" w:hAnsi="TimesNewRomanPSMT" w:cs="TimesNewRomanPSMT"/>
          <w:sz w:val="24"/>
          <w:szCs w:val="24"/>
        </w:rPr>
        <w:t>ty poľnohospodárstva Slovenska, a to, že</w:t>
      </w:r>
      <w:r w:rsidRPr="009C40BA">
        <w:rPr>
          <w:rFonts w:ascii="TimesNewRomanPSMT" w:hAnsi="TimesNewRomanPSMT" w:cs="TimesNewRomanPSMT"/>
          <w:sz w:val="24"/>
          <w:szCs w:val="24"/>
        </w:rPr>
        <w:t xml:space="preserve"> priemerné hektárové úrody za roky 2004 až 2011 obilnín v SR boli o 62,3</w:t>
      </w:r>
      <w:r>
        <w:rPr>
          <w:rFonts w:ascii="TimesNewRomanPSMT" w:hAnsi="TimesNewRomanPSMT" w:cs="TimesNewRomanPSMT"/>
          <w:sz w:val="24"/>
          <w:szCs w:val="24"/>
        </w:rPr>
        <w:t xml:space="preserve"> </w:t>
      </w:r>
      <w:r w:rsidRPr="009C40BA">
        <w:rPr>
          <w:rFonts w:ascii="TimesNewRomanPSMT" w:hAnsi="TimesNewRomanPSMT" w:cs="TimesNewRomanPSMT"/>
          <w:sz w:val="24"/>
          <w:szCs w:val="24"/>
        </w:rPr>
        <w:t>% nižšie ako vo Francúzsku, nižšie boli iba v Poľsku. U pšenice boli o</w:t>
      </w:r>
      <w:r>
        <w:rPr>
          <w:rFonts w:ascii="TimesNewRomanPSMT" w:hAnsi="TimesNewRomanPSMT" w:cs="TimesNewRomanPSMT"/>
          <w:sz w:val="24"/>
          <w:szCs w:val="24"/>
        </w:rPr>
        <w:t> </w:t>
      </w:r>
      <w:r w:rsidRPr="009C40BA">
        <w:rPr>
          <w:rFonts w:ascii="TimesNewRomanPSMT" w:hAnsi="TimesNewRomanPSMT" w:cs="TimesNewRomanPSMT"/>
          <w:sz w:val="24"/>
          <w:szCs w:val="24"/>
        </w:rPr>
        <w:t>78</w:t>
      </w:r>
      <w:r>
        <w:rPr>
          <w:rFonts w:ascii="TimesNewRomanPSMT" w:hAnsi="TimesNewRomanPSMT" w:cs="TimesNewRomanPSMT"/>
          <w:sz w:val="24"/>
          <w:szCs w:val="24"/>
        </w:rPr>
        <w:t xml:space="preserve"> </w:t>
      </w:r>
      <w:r w:rsidRPr="009C40BA">
        <w:rPr>
          <w:rFonts w:ascii="TimesNewRomanPSMT" w:hAnsi="TimesNewRomanPSMT" w:cs="TimesNewRomanPSMT"/>
          <w:sz w:val="24"/>
          <w:szCs w:val="24"/>
        </w:rPr>
        <w:t>% nižšie, ako v Nemecku a na úrovni Maďarska. U zemiakov sú dokonca 2,5 krát nižšie ako vo vyspelých krajinách. Jedine u cukrovej repy (s výnimkou Francúzska a Rakúska) a slnečnice sa blížime intenzite výroby vo vyspelých krajinách EÚ</w:t>
      </w:r>
      <w:r>
        <w:rPr>
          <w:rFonts w:ascii="TimesNewRomanPSMT" w:hAnsi="TimesNewRomanPSMT" w:cs="TimesNewRomanPSMT"/>
          <w:sz w:val="24"/>
          <w:szCs w:val="24"/>
        </w:rPr>
        <w:t>.</w:t>
      </w:r>
    </w:p>
    <w:p w:rsidR="009C40BA" w:rsidRDefault="009C40BA" w:rsidP="009C40BA">
      <w:pPr>
        <w:autoSpaceDE w:val="0"/>
        <w:autoSpaceDN w:val="0"/>
        <w:adjustRightInd w:val="0"/>
        <w:spacing w:after="0" w:line="240" w:lineRule="auto"/>
        <w:jc w:val="both"/>
        <w:rPr>
          <w:rFonts w:ascii="TimesNewRomanPSMT" w:hAnsi="TimesNewRomanPSMT" w:cs="TimesNewRomanPSMT"/>
          <w:sz w:val="24"/>
          <w:szCs w:val="24"/>
        </w:rPr>
      </w:pPr>
    </w:p>
    <w:p w:rsidR="009C40BA" w:rsidRDefault="009C40BA" w:rsidP="009C40B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Taktiež p</w:t>
      </w:r>
      <w:r w:rsidRPr="009C40BA">
        <w:rPr>
          <w:rFonts w:ascii="TimesNewRomanPSMT" w:hAnsi="TimesNewRomanPSMT" w:cs="TimesNewRomanPSMT"/>
          <w:sz w:val="24"/>
          <w:szCs w:val="24"/>
        </w:rPr>
        <w:t xml:space="preserve">orovnanie intenzity chovov hospodárskych zvierat </w:t>
      </w:r>
      <w:r>
        <w:rPr>
          <w:rFonts w:ascii="TimesNewRomanPSMT" w:hAnsi="TimesNewRomanPSMT" w:cs="TimesNewRomanPSMT"/>
          <w:sz w:val="24"/>
          <w:szCs w:val="24"/>
        </w:rPr>
        <w:t>na Slovensku voči ostatným členským krajinám EÚ ukazuje značne nízku, ak nie najnižšiu,</w:t>
      </w:r>
      <w:r w:rsidRPr="009C40BA">
        <w:rPr>
          <w:rFonts w:ascii="TimesNewRomanPSMT" w:hAnsi="TimesNewRomanPSMT" w:cs="TimesNewRomanPSMT"/>
          <w:sz w:val="24"/>
          <w:szCs w:val="24"/>
        </w:rPr>
        <w:t xml:space="preserve"> intenzitu chovu hovädzieho dobytka, oviec a kôz.  </w:t>
      </w:r>
      <w:r>
        <w:rPr>
          <w:rFonts w:ascii="TimesNewRomanPSMT" w:hAnsi="TimesNewRomanPSMT" w:cs="TimesNewRomanPSMT"/>
          <w:sz w:val="24"/>
          <w:szCs w:val="24"/>
        </w:rPr>
        <w:t>Partikulárne, j</w:t>
      </w:r>
      <w:r w:rsidRPr="009C40BA">
        <w:rPr>
          <w:rFonts w:ascii="TimesNewRomanPSMT" w:hAnsi="TimesNewRomanPSMT" w:cs="TimesNewRomanPSMT"/>
          <w:sz w:val="24"/>
          <w:szCs w:val="24"/>
        </w:rPr>
        <w:t>ednou z najnižších v regióne, ale aj oproti priemeru EÚ-15</w:t>
      </w:r>
      <w:r>
        <w:rPr>
          <w:rFonts w:ascii="TimesNewRomanPSMT" w:hAnsi="TimesNewRomanPSMT" w:cs="TimesNewRomanPSMT"/>
          <w:sz w:val="24"/>
          <w:szCs w:val="24"/>
        </w:rPr>
        <w:t>,</w:t>
      </w:r>
      <w:r w:rsidRPr="009C40BA">
        <w:rPr>
          <w:rFonts w:ascii="TimesNewRomanPSMT" w:hAnsi="TimesNewRomanPSMT" w:cs="TimesNewRomanPSMT"/>
          <w:sz w:val="24"/>
          <w:szCs w:val="24"/>
        </w:rPr>
        <w:t xml:space="preserve"> je aj úroveň dojnosti kráv. </w:t>
      </w:r>
      <w:r>
        <w:rPr>
          <w:rFonts w:ascii="TimesNewRomanPSMT" w:hAnsi="TimesNewRomanPSMT" w:cs="TimesNewRomanPSMT"/>
          <w:sz w:val="24"/>
          <w:szCs w:val="24"/>
        </w:rPr>
        <w:t>N</w:t>
      </w:r>
      <w:r w:rsidRPr="009C40BA">
        <w:rPr>
          <w:rFonts w:ascii="TimesNewRomanPSMT" w:hAnsi="TimesNewRomanPSMT" w:cs="TimesNewRomanPSMT"/>
          <w:sz w:val="24"/>
          <w:szCs w:val="24"/>
        </w:rPr>
        <w:t xml:space="preserve">ižšia </w:t>
      </w:r>
      <w:r>
        <w:rPr>
          <w:rFonts w:ascii="TimesNewRomanPSMT" w:hAnsi="TimesNewRomanPSMT" w:cs="TimesNewRomanPSMT"/>
          <w:sz w:val="24"/>
          <w:szCs w:val="24"/>
        </w:rPr>
        <w:t xml:space="preserve">priemerná úroveň dojivosti kráv je </w:t>
      </w:r>
      <w:r w:rsidRPr="009C40BA">
        <w:rPr>
          <w:rFonts w:ascii="TimesNewRomanPSMT" w:hAnsi="TimesNewRomanPSMT" w:cs="TimesNewRomanPSMT"/>
          <w:sz w:val="24"/>
          <w:szCs w:val="24"/>
        </w:rPr>
        <w:t xml:space="preserve">jedine v Poľsku, </w:t>
      </w:r>
      <w:r w:rsidRPr="009C40BA">
        <w:rPr>
          <w:rFonts w:ascii="TimesNewRomanPSMT" w:hAnsi="TimesNewRomanPSMT" w:cs="TimesNewRomanPSMT"/>
          <w:sz w:val="24"/>
          <w:szCs w:val="24"/>
        </w:rPr>
        <w:lastRenderedPageBreak/>
        <w:t>ktoré však má spolu s Českou republikou jednu z najvyšších dynamík rastu dojnosti. Podobne ako v rastlinnej výrobe je aj táto intenzita zásadnou odpoveďou na nízku ekonomickú efektívnosť, resp. neefektívnosť živočíšnej výroby na Slovensku.</w:t>
      </w:r>
    </w:p>
    <w:p w:rsidR="00EE7558" w:rsidRDefault="00EE7558" w:rsidP="00425994">
      <w:pPr>
        <w:autoSpaceDE w:val="0"/>
        <w:autoSpaceDN w:val="0"/>
        <w:adjustRightInd w:val="0"/>
        <w:spacing w:after="0" w:line="240" w:lineRule="auto"/>
        <w:rPr>
          <w:rFonts w:ascii="TimesNewRomanPSMT" w:hAnsi="TimesNewRomanPSMT" w:cs="TimesNewRomanPSMT"/>
          <w:sz w:val="24"/>
          <w:szCs w:val="24"/>
        </w:rPr>
      </w:pPr>
    </w:p>
    <w:p w:rsidR="003A49E7" w:rsidRDefault="003A49E7" w:rsidP="003A49E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Agregátne sa dá konštatovať, že r</w:t>
      </w:r>
      <w:r w:rsidRPr="003A49E7">
        <w:rPr>
          <w:rFonts w:ascii="TimesNewRomanPSMT" w:hAnsi="TimesNewRomanPSMT" w:cs="TimesNewRomanPSMT"/>
          <w:sz w:val="24"/>
          <w:szCs w:val="24"/>
        </w:rPr>
        <w:t xml:space="preserve">astlinná produkcia dosahuje na Slovensku lepšie výsledky ako živočíšna produkcia. V rastlinnej produkcii Slovensko zaznamenáva mierny rast, kým živočíšna výroba sa znižuje. Klesá objem produkcie mlieka, zatiaľ čo v okolitých krajinách (s výnimkou Maďarska) jej objem rastie. Objem produkcie hovädzieho mäsa klesol od roku 2002 až o jednu tretinu a v EÚ tento pokles patrí medzi najväčší. O tretinu sa znížil aj objem produkcie hydinového mäsa. Naopak Poľsko zaznamenáva v rovnakom čase podstatný nárast produkcie a mierny rast produkcie hydiny dosahujú aj ďalšie štáty EÚ. Ešte horšia situácia je vo výrobe bravčového mäsa, kde sme zaregistrovali pokles produkcie o hrozivých 83 </w:t>
      </w:r>
      <w:r>
        <w:rPr>
          <w:rFonts w:ascii="TimesNewRomanPSMT" w:hAnsi="TimesNewRomanPSMT" w:cs="TimesNewRomanPSMT"/>
          <w:sz w:val="24"/>
          <w:szCs w:val="24"/>
        </w:rPr>
        <w:t>%</w:t>
      </w:r>
      <w:r w:rsidRPr="003A49E7">
        <w:rPr>
          <w:rFonts w:ascii="TimesNewRomanPSMT" w:hAnsi="TimesNewRomanPSMT" w:cs="TimesNewRomanPSMT"/>
          <w:sz w:val="24"/>
          <w:szCs w:val="24"/>
        </w:rPr>
        <w:t xml:space="preserve">. Efektívnejšie farmy ošípaných v starých členských štátoch vytláčajú z trhu slovenskú produkciu bravčového mäsa.   </w:t>
      </w:r>
    </w:p>
    <w:p w:rsidR="003A49E7" w:rsidRPr="003A49E7" w:rsidRDefault="003A49E7" w:rsidP="003A49E7">
      <w:pPr>
        <w:autoSpaceDE w:val="0"/>
        <w:autoSpaceDN w:val="0"/>
        <w:adjustRightInd w:val="0"/>
        <w:spacing w:after="0" w:line="240" w:lineRule="auto"/>
        <w:jc w:val="both"/>
        <w:rPr>
          <w:rFonts w:ascii="TimesNewRomanPSMT" w:hAnsi="TimesNewRomanPSMT" w:cs="TimesNewRomanPSMT"/>
          <w:sz w:val="24"/>
          <w:szCs w:val="24"/>
        </w:rPr>
      </w:pPr>
    </w:p>
    <w:p w:rsidR="003A49E7" w:rsidRDefault="003A49E7" w:rsidP="003A49E7">
      <w:pPr>
        <w:autoSpaceDE w:val="0"/>
        <w:autoSpaceDN w:val="0"/>
        <w:adjustRightInd w:val="0"/>
        <w:spacing w:after="0" w:line="240" w:lineRule="auto"/>
        <w:jc w:val="both"/>
        <w:rPr>
          <w:rFonts w:ascii="TimesNewRomanPSMT" w:hAnsi="TimesNewRomanPSMT" w:cs="TimesNewRomanPSMT"/>
          <w:sz w:val="24"/>
          <w:szCs w:val="24"/>
        </w:rPr>
      </w:pPr>
      <w:r w:rsidRPr="003A49E7">
        <w:rPr>
          <w:rFonts w:ascii="TimesNewRomanPSMT" w:hAnsi="TimesNewRomanPSMT" w:cs="TimesNewRomanPSMT"/>
          <w:sz w:val="24"/>
          <w:szCs w:val="24"/>
        </w:rPr>
        <w:t xml:space="preserve">Dôvodom poklesu živočíšnej výroby je okrem nižšej podpory, v porovnaní so  </w:t>
      </w:r>
      <w:r>
        <w:rPr>
          <w:rFonts w:ascii="TimesNewRomanPSMT" w:hAnsi="TimesNewRomanPSMT" w:cs="TimesNewRomanPSMT"/>
          <w:sz w:val="24"/>
          <w:szCs w:val="24"/>
        </w:rPr>
        <w:t xml:space="preserve">krajinami    </w:t>
      </w:r>
      <w:r w:rsidRPr="003A49E7">
        <w:rPr>
          <w:rFonts w:ascii="TimesNewRomanPSMT" w:hAnsi="TimesNewRomanPSMT" w:cs="TimesNewRomanPSMT"/>
          <w:sz w:val="24"/>
          <w:szCs w:val="24"/>
        </w:rPr>
        <w:t>EÚ</w:t>
      </w:r>
      <w:r>
        <w:rPr>
          <w:rFonts w:ascii="TimesNewRomanPSMT" w:hAnsi="TimesNewRomanPSMT" w:cs="TimesNewRomanPSMT"/>
          <w:sz w:val="24"/>
          <w:szCs w:val="24"/>
        </w:rPr>
        <w:t>-15</w:t>
      </w:r>
      <w:r w:rsidRPr="003A49E7">
        <w:rPr>
          <w:rFonts w:ascii="TimesNewRomanPSMT" w:hAnsi="TimesNewRomanPSMT" w:cs="TimesNewRomanPSMT"/>
          <w:sz w:val="24"/>
          <w:szCs w:val="24"/>
        </w:rPr>
        <w:t>, hlavne technologické zaostávanie slovenských podnikov a nevyhovujúca štruktúra fariem. Štruktúra fariem na Slovensku je dominovaná veľkými právnickými osobami (družstvá a obchodné spoločností), ktoré majú komparatívne výhody v kapitálovo náročnej rastlinnej výrobe ako je produkcia obilnín a olejnín. Veľké právnické osoby sú menej konkurencieschopné v produkcii náročnej na prácu ako je živočíšna produkcia (hlavne mlieko a chov hovädzieho dobytka) ale aj produkcia ovocia a zeleniny. V týchto typoch výroby nedokážu veľké právnické osoby dostatočne motivovať pracovníkov, aby podávali kvalitné pracovné výkony. Kvalita ľudskej práce je v živočíšnej výrobe, ale aj v ovocinárstve a zeleninárstve najdôležitejším aspektom konkurencieschopnosti. Pokles živočíšnej výroby zaznamenávajú aj Česko a Maďarsko, kde je podobná štruktúra fariem ako v SR, kým Poľsko, Rakúsko a iné štáty EÚ zaznamenali v živočíšnej produkcii nárast.</w:t>
      </w:r>
    </w:p>
    <w:p w:rsidR="003A49E7" w:rsidRPr="003A49E7" w:rsidRDefault="003A49E7" w:rsidP="003A49E7">
      <w:pPr>
        <w:autoSpaceDE w:val="0"/>
        <w:autoSpaceDN w:val="0"/>
        <w:adjustRightInd w:val="0"/>
        <w:spacing w:after="0" w:line="240" w:lineRule="auto"/>
        <w:jc w:val="both"/>
        <w:rPr>
          <w:rFonts w:ascii="TimesNewRomanPSMT" w:hAnsi="TimesNewRomanPSMT" w:cs="TimesNewRomanPSMT"/>
          <w:sz w:val="24"/>
          <w:szCs w:val="24"/>
        </w:rPr>
      </w:pPr>
    </w:p>
    <w:p w:rsidR="003A49E7" w:rsidRDefault="003A49E7" w:rsidP="003A49E7">
      <w:pPr>
        <w:autoSpaceDE w:val="0"/>
        <w:autoSpaceDN w:val="0"/>
        <w:adjustRightInd w:val="0"/>
        <w:spacing w:after="0" w:line="240" w:lineRule="auto"/>
        <w:jc w:val="both"/>
        <w:rPr>
          <w:rFonts w:ascii="TimesNewRomanPSMT" w:hAnsi="TimesNewRomanPSMT" w:cs="TimesNewRomanPSMT"/>
          <w:sz w:val="24"/>
          <w:szCs w:val="24"/>
        </w:rPr>
      </w:pPr>
      <w:r w:rsidRPr="003A49E7">
        <w:rPr>
          <w:rFonts w:ascii="TimesNewRomanPSMT" w:hAnsi="TimesNewRomanPSMT" w:cs="TimesNewRomanPSMT"/>
          <w:sz w:val="24"/>
          <w:szCs w:val="24"/>
        </w:rPr>
        <w:t xml:space="preserve">Slovenskí farmári dlhodobo čelia negatívnemu cenovému vývoju. Ceny vstupov do poľnohospodárstva rastú rýchlejšie ako ceny poľnohospodárskej produkcie. Kým ceny vstupov do poľnohospodárstva kontinuálne rástli až do roku 2008 (43% nárast v porovnaní s cenami roku 2000), ceny poľnohospodárskych komodít zaznamenali len mierne rastúci trend (v roku 2008 boli len 11,4% nad cenovou hladinou roku 2000). V roku 2009 ceny slovenských poľnohospodárskych vstupov a výstupov dočasne výrazne poklesli v dôsledku zníženia svetových komoditných cien, ale v roku 2010 bol zaznamenaný ich opätovný rast. </w:t>
      </w:r>
      <w:proofErr w:type="spellStart"/>
      <w:r w:rsidRPr="003A49E7">
        <w:rPr>
          <w:rFonts w:ascii="TimesNewRomanPSMT" w:hAnsi="TimesNewRomanPSMT" w:cs="TimesNewRomanPSMT"/>
          <w:sz w:val="24"/>
          <w:szCs w:val="24"/>
        </w:rPr>
        <w:t>Volatilita</w:t>
      </w:r>
      <w:proofErr w:type="spellEnd"/>
      <w:r w:rsidRPr="003A49E7">
        <w:rPr>
          <w:rFonts w:ascii="TimesNewRomanPSMT" w:hAnsi="TimesNewRomanPSMT" w:cs="TimesNewRomanPSMT"/>
          <w:sz w:val="24"/>
          <w:szCs w:val="24"/>
        </w:rPr>
        <w:t xml:space="preserve"> svetových komoditných cien však nezvrátila negatívny vývoj p</w:t>
      </w:r>
      <w:r>
        <w:rPr>
          <w:rFonts w:ascii="TimesNewRomanPSMT" w:hAnsi="TimesNewRomanPSMT" w:cs="TimesNewRomanPSMT"/>
          <w:sz w:val="24"/>
          <w:szCs w:val="24"/>
        </w:rPr>
        <w:t xml:space="preserve">omeru cien výstupov a vstupov. </w:t>
      </w:r>
      <w:r w:rsidRPr="003A49E7">
        <w:rPr>
          <w:rFonts w:ascii="TimesNewRomanPSMT" w:hAnsi="TimesNewRomanPSMT" w:cs="TimesNewRomanPSMT"/>
          <w:sz w:val="24"/>
          <w:szCs w:val="24"/>
        </w:rPr>
        <w:t>Nepriaznivý cenový vývoj znižuje ziskovosť poľnohospodárstva, čo znižuje aj produkciu jednotlivých komodít.  Prepad relatívnych cien bol zvlášť</w:t>
      </w:r>
      <w:r>
        <w:rPr>
          <w:rFonts w:ascii="TimesNewRomanPSMT" w:hAnsi="TimesNewRomanPSMT" w:cs="TimesNewRomanPSMT"/>
          <w:sz w:val="24"/>
          <w:szCs w:val="24"/>
        </w:rPr>
        <w:t xml:space="preserve"> silný v živočíšnej výrobe, kde</w:t>
      </w:r>
      <w:r w:rsidRPr="003A49E7">
        <w:rPr>
          <w:rFonts w:ascii="TimesNewRomanPSMT" w:hAnsi="TimesNewRomanPSMT" w:cs="TimesNewRomanPSMT"/>
          <w:sz w:val="24"/>
          <w:szCs w:val="24"/>
        </w:rPr>
        <w:t xml:space="preserve"> v kombinácií s nízkym rastom produktivity pôsobil na pokles produkcie a ziskovosti takmer všetkých jej rozhodujúcich komodít.</w:t>
      </w:r>
    </w:p>
    <w:p w:rsidR="003A49E7" w:rsidRDefault="003A49E7" w:rsidP="00425994">
      <w:pPr>
        <w:autoSpaceDE w:val="0"/>
        <w:autoSpaceDN w:val="0"/>
        <w:adjustRightInd w:val="0"/>
        <w:spacing w:after="0" w:line="240" w:lineRule="auto"/>
        <w:rPr>
          <w:rFonts w:ascii="TimesNewRomanPSMT" w:hAnsi="TimesNewRomanPSMT" w:cs="TimesNewRomanPSMT"/>
          <w:sz w:val="24"/>
          <w:szCs w:val="24"/>
        </w:rPr>
      </w:pPr>
    </w:p>
    <w:p w:rsidR="003A49E7" w:rsidRPr="003A49E7" w:rsidRDefault="003A49E7" w:rsidP="003A49E7">
      <w:pPr>
        <w:autoSpaceDE w:val="0"/>
        <w:autoSpaceDN w:val="0"/>
        <w:adjustRightInd w:val="0"/>
        <w:spacing w:after="0" w:line="240" w:lineRule="auto"/>
        <w:jc w:val="both"/>
        <w:rPr>
          <w:rFonts w:ascii="TimesNewRomanPSMT" w:hAnsi="TimesNewRomanPSMT" w:cs="TimesNewRomanPSMT"/>
          <w:sz w:val="24"/>
          <w:szCs w:val="24"/>
        </w:rPr>
      </w:pPr>
      <w:r w:rsidRPr="003A49E7">
        <w:rPr>
          <w:rFonts w:ascii="TimesNewRomanPSMT" w:hAnsi="TimesNewRomanPSMT" w:cs="TimesNewRomanPSMT"/>
          <w:sz w:val="24"/>
          <w:szCs w:val="24"/>
        </w:rPr>
        <w:t>Pokles poľnohospodárskej produkcie viedol k nižšiemu využívaniu vstupov, hlavne práce. Od začiatku transformácie slovenskej ekonomiky zamestnanosť v poľnohospodárstve každoročne klesala a jej podiel (vrátane živnostníkov) na celkovej zamestnanos</w:t>
      </w:r>
      <w:r>
        <w:rPr>
          <w:rFonts w:ascii="TimesNewRomanPSMT" w:hAnsi="TimesNewRomanPSMT" w:cs="TimesNewRomanPSMT"/>
          <w:sz w:val="24"/>
          <w:szCs w:val="24"/>
        </w:rPr>
        <w:t>ti hospodárstva SR sa znížil zo</w:t>
      </w:r>
      <w:r w:rsidRPr="003A49E7">
        <w:rPr>
          <w:rFonts w:ascii="TimesNewRomanPSMT" w:hAnsi="TimesNewRomanPSMT" w:cs="TimesNewRomanPSMT"/>
          <w:sz w:val="24"/>
          <w:szCs w:val="24"/>
        </w:rPr>
        <w:t xml:space="preserve"> 4,0</w:t>
      </w:r>
      <w:r>
        <w:rPr>
          <w:rFonts w:ascii="TimesNewRomanPSMT" w:hAnsi="TimesNewRomanPSMT" w:cs="TimesNewRomanPSMT"/>
          <w:sz w:val="24"/>
          <w:szCs w:val="24"/>
        </w:rPr>
        <w:t xml:space="preserve"> </w:t>
      </w:r>
      <w:r w:rsidRPr="003A49E7">
        <w:rPr>
          <w:rFonts w:ascii="TimesNewRomanPSMT" w:hAnsi="TimesNewRomanPSMT" w:cs="TimesNewRomanPSMT"/>
          <w:sz w:val="24"/>
          <w:szCs w:val="24"/>
        </w:rPr>
        <w:t>% v roku 2002 na 2,2</w:t>
      </w:r>
      <w:r>
        <w:rPr>
          <w:rFonts w:ascii="TimesNewRomanPSMT" w:hAnsi="TimesNewRomanPSMT" w:cs="TimesNewRomanPSMT"/>
          <w:sz w:val="24"/>
          <w:szCs w:val="24"/>
        </w:rPr>
        <w:t xml:space="preserve"> </w:t>
      </w:r>
      <w:r w:rsidRPr="003A49E7">
        <w:rPr>
          <w:rFonts w:ascii="TimesNewRomanPSMT" w:hAnsi="TimesNewRomanPSMT" w:cs="TimesNewRomanPSMT"/>
          <w:sz w:val="24"/>
          <w:szCs w:val="24"/>
        </w:rPr>
        <w:t>% v roku 2010.</w:t>
      </w:r>
      <w:r>
        <w:rPr>
          <w:rFonts w:ascii="TimesNewRomanPSMT" w:hAnsi="TimesNewRomanPSMT" w:cs="TimesNewRomanPSMT"/>
          <w:sz w:val="24"/>
          <w:szCs w:val="24"/>
        </w:rPr>
        <w:t xml:space="preserve"> </w:t>
      </w:r>
      <w:r w:rsidRPr="003A49E7">
        <w:rPr>
          <w:rFonts w:ascii="TimesNewRomanPSMT" w:hAnsi="TimesNewRomanPSMT" w:cs="TimesNewRomanPSMT"/>
          <w:sz w:val="24"/>
          <w:szCs w:val="24"/>
        </w:rPr>
        <w:t xml:space="preserve">V poľnohospodárstve SR je dlhodobo počet zaniknutých pracovných miest vyšší ako počet novovzniknutých pracovných miest a opatrenia Programu rozvoja vidieka slúžiace na podporu zamestnanosti v poľnohospodárstve mali za následok skôr udržovanie pracovných miest ako </w:t>
      </w:r>
      <w:r>
        <w:rPr>
          <w:rFonts w:ascii="TimesNewRomanPSMT" w:hAnsi="TimesNewRomanPSMT" w:cs="TimesNewRomanPSMT"/>
          <w:sz w:val="24"/>
          <w:szCs w:val="24"/>
        </w:rPr>
        <w:t xml:space="preserve">tvorbu nových pracovných miest. </w:t>
      </w:r>
      <w:r w:rsidRPr="003A49E7">
        <w:rPr>
          <w:rFonts w:ascii="TimesNewRomanPSMT" w:hAnsi="TimesNewRomanPSMT" w:cs="TimesNewRomanPSMT"/>
          <w:sz w:val="24"/>
          <w:szCs w:val="24"/>
        </w:rPr>
        <w:lastRenderedPageBreak/>
        <w:t>Okrem negatívneho vývoja produkcie malo na pokles zamestnanosti v poľnohospodárstve vplyv aj znižovanie nepoľnohospodárskych aktivít poľnohospodárskych podnikov.</w:t>
      </w:r>
    </w:p>
    <w:p w:rsidR="003A49E7" w:rsidRDefault="003A49E7" w:rsidP="003A49E7">
      <w:pPr>
        <w:autoSpaceDE w:val="0"/>
        <w:autoSpaceDN w:val="0"/>
        <w:adjustRightInd w:val="0"/>
        <w:spacing w:after="0" w:line="240" w:lineRule="auto"/>
        <w:jc w:val="both"/>
        <w:rPr>
          <w:rFonts w:ascii="TimesNewRomanPSMT" w:hAnsi="TimesNewRomanPSMT" w:cs="TimesNewRomanPSMT"/>
          <w:sz w:val="24"/>
          <w:szCs w:val="24"/>
        </w:rPr>
      </w:pPr>
    </w:p>
    <w:p w:rsidR="009C40BA" w:rsidRDefault="003A49E7" w:rsidP="003A49E7">
      <w:pPr>
        <w:autoSpaceDE w:val="0"/>
        <w:autoSpaceDN w:val="0"/>
        <w:adjustRightInd w:val="0"/>
        <w:spacing w:after="0" w:line="240" w:lineRule="auto"/>
        <w:jc w:val="both"/>
        <w:rPr>
          <w:rFonts w:ascii="TimesNewRomanPSMT" w:hAnsi="TimesNewRomanPSMT" w:cs="TimesNewRomanPSMT"/>
          <w:sz w:val="24"/>
          <w:szCs w:val="24"/>
        </w:rPr>
      </w:pPr>
      <w:r w:rsidRPr="003A49E7">
        <w:rPr>
          <w:rFonts w:ascii="TimesNewRomanPSMT" w:hAnsi="TimesNewRomanPSMT" w:cs="TimesNewRomanPSMT"/>
          <w:sz w:val="24"/>
          <w:szCs w:val="24"/>
        </w:rPr>
        <w:t xml:space="preserve">Produktivita práce naopak v poľnohospodárstve SR dlhodobo rastie. Dôvodom je okrem poklesu zamestnanosti, kde sa podniky zbavujú tých najmenej produktívnych pracovníkov a najmenej efektívnych aktivít, predovšetkým technologický pokrok a adopcia nových technológií, osív, sadív, chemických prostriedkov, ale aj zlepšovanie manažmentu a organizácie odvetvia. Keďže produktivita rastie aj v iných odvetviach </w:t>
      </w:r>
      <w:r>
        <w:rPr>
          <w:rFonts w:ascii="TimesNewRomanPSMT" w:hAnsi="TimesNewRomanPSMT" w:cs="TimesNewRomanPSMT"/>
          <w:sz w:val="24"/>
          <w:szCs w:val="24"/>
        </w:rPr>
        <w:t>národného hospodárstva</w:t>
      </w:r>
      <w:r w:rsidRPr="003A49E7">
        <w:rPr>
          <w:rFonts w:ascii="TimesNewRomanPSMT" w:hAnsi="TimesNewRomanPSMT" w:cs="TimesNewRomanPSMT"/>
          <w:sz w:val="24"/>
          <w:szCs w:val="24"/>
        </w:rPr>
        <w:t>, naďalej pretrváva mzdová disparita medzi poľnohospodárstvom a inými odvetviami ekonomiky.</w:t>
      </w:r>
    </w:p>
    <w:p w:rsidR="003A49E7" w:rsidRDefault="003A49E7" w:rsidP="00421761">
      <w:pPr>
        <w:pBdr>
          <w:bottom w:val="single" w:sz="4" w:space="1" w:color="auto"/>
        </w:pBdr>
        <w:autoSpaceDE w:val="0"/>
        <w:autoSpaceDN w:val="0"/>
        <w:adjustRightInd w:val="0"/>
        <w:spacing w:after="0" w:line="240" w:lineRule="auto"/>
        <w:jc w:val="both"/>
        <w:rPr>
          <w:rFonts w:ascii="TimesNewRomanPSMT" w:hAnsi="TimesNewRomanPSMT" w:cs="TimesNewRomanPSMT"/>
          <w:sz w:val="24"/>
          <w:szCs w:val="24"/>
        </w:rPr>
      </w:pPr>
    </w:p>
    <w:p w:rsidR="003A49E7" w:rsidRDefault="00981EA0" w:rsidP="003A49E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Vzhľadom na vyššie uvedené považujeme za nevyhnutné zásadným spôsobom:</w:t>
      </w:r>
    </w:p>
    <w:p w:rsidR="00421761" w:rsidRDefault="00421761" w:rsidP="00981EA0">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zastaviť ďalší prepad poľnohospodárskej produkcie;</w:t>
      </w:r>
    </w:p>
    <w:p w:rsidR="00981EA0" w:rsidRDefault="00981EA0" w:rsidP="00981EA0">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zvýšiť konkurencieschopnosť slovenského poľnohospodárstva najmä v chove ošípaných, hydiny a hovädzieho dobytka a v ovocinárstve a zeleninárstve;</w:t>
      </w:r>
    </w:p>
    <w:p w:rsidR="00981EA0" w:rsidRDefault="00981EA0" w:rsidP="00981EA0">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optimalizovať fungovanie trhu s pôdou;</w:t>
      </w:r>
    </w:p>
    <w:p w:rsidR="00981EA0" w:rsidRDefault="00981EA0" w:rsidP="00981EA0">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optimalizovať nevyhovujúcu vlastnícku štruktúru fariem;</w:t>
      </w:r>
    </w:p>
    <w:p w:rsidR="00981EA0" w:rsidRPr="00981EA0" w:rsidRDefault="00981EA0" w:rsidP="00981EA0">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zlepšiť spoluprácu p</w:t>
      </w:r>
      <w:r w:rsidRPr="00EC6DF2">
        <w:rPr>
          <w:rFonts w:ascii="Times New Roman" w:hAnsi="Times New Roman" w:cs="Times New Roman"/>
          <w:sz w:val="24"/>
          <w:szCs w:val="24"/>
        </w:rPr>
        <w:t>oľnohospodárskych podnikov pri nákupe vstupov a marketingu svojich produktov</w:t>
      </w:r>
      <w:r>
        <w:rPr>
          <w:rFonts w:ascii="Times New Roman" w:hAnsi="Times New Roman" w:cs="Times New Roman"/>
          <w:sz w:val="24"/>
          <w:szCs w:val="24"/>
        </w:rPr>
        <w:t>;</w:t>
      </w:r>
    </w:p>
    <w:p w:rsidR="00981EA0" w:rsidRPr="00981EA0" w:rsidRDefault="00981EA0" w:rsidP="00981EA0">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zefektívniť </w:t>
      </w:r>
      <w:r w:rsidRPr="00EC6DF2">
        <w:rPr>
          <w:rFonts w:ascii="Times New Roman" w:hAnsi="Times New Roman" w:cs="Times New Roman"/>
          <w:sz w:val="24"/>
          <w:szCs w:val="24"/>
        </w:rPr>
        <w:t>čerpanie zdrojov z</w:t>
      </w:r>
      <w:r>
        <w:rPr>
          <w:rFonts w:ascii="Times New Roman" w:hAnsi="Times New Roman" w:cs="Times New Roman"/>
          <w:sz w:val="24"/>
          <w:szCs w:val="24"/>
        </w:rPr>
        <w:t> </w:t>
      </w:r>
      <w:r w:rsidRPr="00EC6DF2">
        <w:rPr>
          <w:rFonts w:ascii="Times New Roman" w:hAnsi="Times New Roman" w:cs="Times New Roman"/>
          <w:sz w:val="24"/>
          <w:szCs w:val="24"/>
        </w:rPr>
        <w:t>EÚ</w:t>
      </w:r>
      <w:r>
        <w:rPr>
          <w:rFonts w:ascii="Times New Roman" w:hAnsi="Times New Roman" w:cs="Times New Roman"/>
          <w:sz w:val="24"/>
          <w:szCs w:val="24"/>
        </w:rPr>
        <w:t>;</w:t>
      </w:r>
    </w:p>
    <w:p w:rsidR="00421761" w:rsidRPr="00421761" w:rsidRDefault="00421761" w:rsidP="00981EA0">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zefektívniť </w:t>
      </w:r>
      <w:r w:rsidRPr="00EC6DF2">
        <w:rPr>
          <w:rFonts w:ascii="Times New Roman" w:hAnsi="Times New Roman" w:cs="Times New Roman"/>
          <w:sz w:val="24"/>
          <w:szCs w:val="24"/>
        </w:rPr>
        <w:t>prepojenie praxe so školstvom a</w:t>
      </w:r>
      <w:r>
        <w:rPr>
          <w:rFonts w:ascii="Times New Roman" w:hAnsi="Times New Roman" w:cs="Times New Roman"/>
          <w:sz w:val="24"/>
          <w:szCs w:val="24"/>
        </w:rPr>
        <w:t> </w:t>
      </w:r>
      <w:r w:rsidRPr="00EC6DF2">
        <w:rPr>
          <w:rFonts w:ascii="Times New Roman" w:hAnsi="Times New Roman" w:cs="Times New Roman"/>
          <w:sz w:val="24"/>
          <w:szCs w:val="24"/>
        </w:rPr>
        <w:t>výskumom</w:t>
      </w:r>
      <w:r>
        <w:rPr>
          <w:rFonts w:ascii="Times New Roman" w:hAnsi="Times New Roman" w:cs="Times New Roman"/>
          <w:sz w:val="24"/>
          <w:szCs w:val="24"/>
        </w:rPr>
        <w:t>;</w:t>
      </w:r>
      <w:r w:rsidRPr="00421761">
        <w:rPr>
          <w:rFonts w:ascii="Times New Roman" w:hAnsi="Times New Roman" w:cs="Times New Roman"/>
          <w:sz w:val="24"/>
          <w:szCs w:val="24"/>
        </w:rPr>
        <w:t xml:space="preserve"> </w:t>
      </w:r>
    </w:p>
    <w:p w:rsidR="00981EA0" w:rsidRPr="00421761" w:rsidRDefault="00421761" w:rsidP="00981EA0">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zvýšiť</w:t>
      </w:r>
      <w:r w:rsidRPr="00EC6DF2">
        <w:rPr>
          <w:rFonts w:ascii="Times New Roman" w:hAnsi="Times New Roman" w:cs="Times New Roman"/>
          <w:sz w:val="24"/>
          <w:szCs w:val="24"/>
        </w:rPr>
        <w:t xml:space="preserve"> úroveň diverzifikácie </w:t>
      </w:r>
      <w:r>
        <w:rPr>
          <w:rFonts w:ascii="Times New Roman" w:hAnsi="Times New Roman" w:cs="Times New Roman"/>
          <w:sz w:val="24"/>
          <w:szCs w:val="24"/>
        </w:rPr>
        <w:t xml:space="preserve">poľnohospodárskej produkcie </w:t>
      </w:r>
      <w:r w:rsidRPr="00EC6DF2">
        <w:rPr>
          <w:rFonts w:ascii="Times New Roman" w:hAnsi="Times New Roman" w:cs="Times New Roman"/>
          <w:sz w:val="24"/>
          <w:szCs w:val="24"/>
        </w:rPr>
        <w:t>a nepoľnohospodárskych aktivít</w:t>
      </w:r>
      <w:r>
        <w:rPr>
          <w:rFonts w:ascii="Times New Roman" w:hAnsi="Times New Roman" w:cs="Times New Roman"/>
          <w:sz w:val="24"/>
          <w:szCs w:val="24"/>
        </w:rPr>
        <w:t xml:space="preserve"> farmárov; a</w:t>
      </w:r>
    </w:p>
    <w:p w:rsidR="00421761" w:rsidRPr="00421761" w:rsidRDefault="00421761" w:rsidP="00421761">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podporiť</w:t>
      </w:r>
      <w:r w:rsidRPr="00EC6DF2">
        <w:rPr>
          <w:rFonts w:ascii="Times New Roman" w:hAnsi="Times New Roman" w:cs="Times New Roman"/>
          <w:sz w:val="24"/>
          <w:szCs w:val="24"/>
        </w:rPr>
        <w:t xml:space="preserve"> majetkové prepojenie prvovýroby s potravinárskym priemyslom</w:t>
      </w:r>
      <w:r>
        <w:rPr>
          <w:rFonts w:ascii="Times New Roman" w:hAnsi="Times New Roman" w:cs="Times New Roman"/>
          <w:sz w:val="24"/>
          <w:szCs w:val="24"/>
        </w:rPr>
        <w:t>.</w:t>
      </w:r>
    </w:p>
    <w:p w:rsidR="009C40BA" w:rsidRDefault="009C40BA" w:rsidP="00421761">
      <w:pPr>
        <w:pBdr>
          <w:top w:val="single" w:sz="4" w:space="1" w:color="auto"/>
        </w:pBdr>
        <w:autoSpaceDE w:val="0"/>
        <w:autoSpaceDN w:val="0"/>
        <w:adjustRightInd w:val="0"/>
        <w:spacing w:after="0" w:line="240" w:lineRule="auto"/>
        <w:rPr>
          <w:rFonts w:ascii="TimesNewRomanPSMT" w:hAnsi="TimesNewRomanPSMT" w:cs="TimesNewRomanPSMT"/>
          <w:sz w:val="24"/>
          <w:szCs w:val="24"/>
        </w:rPr>
      </w:pPr>
    </w:p>
    <w:p w:rsidR="009C40BA" w:rsidRDefault="009C40BA" w:rsidP="00425994">
      <w:pPr>
        <w:autoSpaceDE w:val="0"/>
        <w:autoSpaceDN w:val="0"/>
        <w:adjustRightInd w:val="0"/>
        <w:spacing w:after="0" w:line="240" w:lineRule="auto"/>
        <w:rPr>
          <w:rFonts w:ascii="TimesNewRomanPSMT" w:hAnsi="TimesNewRomanPSMT" w:cs="TimesNewRomanPSMT"/>
          <w:sz w:val="24"/>
          <w:szCs w:val="24"/>
        </w:rPr>
      </w:pPr>
    </w:p>
    <w:p w:rsidR="00421761" w:rsidRPr="00ED3D23" w:rsidRDefault="00421761" w:rsidP="00421761">
      <w:pPr>
        <w:pStyle w:val="Nadpis2"/>
        <w:numPr>
          <w:ilvl w:val="1"/>
          <w:numId w:val="8"/>
        </w:numPr>
      </w:pPr>
      <w:bookmarkStart w:id="16" w:name="_Toc359550637"/>
      <w:r>
        <w:t>Analýza konkurencieschopnosti potravinárstva</w:t>
      </w:r>
      <w:bookmarkEnd w:id="16"/>
    </w:p>
    <w:p w:rsidR="00425994" w:rsidRDefault="00425994" w:rsidP="00425994">
      <w:pPr>
        <w:spacing w:after="0" w:line="240" w:lineRule="auto"/>
        <w:jc w:val="both"/>
        <w:rPr>
          <w:rFonts w:ascii="Times New Roman" w:hAnsi="Times New Roman" w:cs="Times New Roman"/>
          <w:sz w:val="24"/>
          <w:szCs w:val="24"/>
        </w:rPr>
      </w:pPr>
    </w:p>
    <w:p w:rsidR="00A87069" w:rsidRDefault="00A87069" w:rsidP="00A87069">
      <w:pPr>
        <w:spacing w:after="0" w:line="240" w:lineRule="auto"/>
        <w:jc w:val="both"/>
        <w:rPr>
          <w:rFonts w:ascii="Times New Roman" w:hAnsi="Times New Roman" w:cs="Times New Roman"/>
          <w:sz w:val="24"/>
          <w:szCs w:val="24"/>
        </w:rPr>
      </w:pPr>
      <w:r w:rsidRPr="00830BDF">
        <w:rPr>
          <w:rFonts w:ascii="Times New Roman" w:hAnsi="Times New Roman" w:cs="Times New Roman"/>
          <w:sz w:val="24"/>
          <w:szCs w:val="24"/>
        </w:rPr>
        <w:t>Od roku 2002 výroba potravinárskeho priemyslu v hodnotovom vyjadrení sta</w:t>
      </w:r>
      <w:r>
        <w:rPr>
          <w:rFonts w:ascii="Times New Roman" w:hAnsi="Times New Roman" w:cs="Times New Roman"/>
          <w:sz w:val="24"/>
          <w:szCs w:val="24"/>
        </w:rPr>
        <w:t>gnuje na úrovni okolo 3,1 mld. EUR</w:t>
      </w:r>
      <w:r w:rsidRPr="00830BDF">
        <w:rPr>
          <w:rFonts w:ascii="Times New Roman" w:hAnsi="Times New Roman" w:cs="Times New Roman"/>
          <w:sz w:val="24"/>
          <w:szCs w:val="24"/>
        </w:rPr>
        <w:t xml:space="preserve"> ročne. Index priemyselnej produkcie (výroba potravín, nápojov a tabakových výrobkov), ktorý sleduje vývoj produkcie v naturálnom vyjadrení, taktiež stagnuje a p</w:t>
      </w:r>
      <w:r>
        <w:rPr>
          <w:rFonts w:ascii="Times New Roman" w:hAnsi="Times New Roman" w:cs="Times New Roman"/>
          <w:sz w:val="24"/>
          <w:szCs w:val="24"/>
        </w:rPr>
        <w:t>ohybuje sa v intervale od 93,7 v roku 2003 do 106,5 v roku 2011</w:t>
      </w:r>
      <w:r w:rsidRPr="00830BDF">
        <w:rPr>
          <w:rFonts w:ascii="Times New Roman" w:hAnsi="Times New Roman" w:cs="Times New Roman"/>
          <w:sz w:val="24"/>
          <w:szCs w:val="24"/>
        </w:rPr>
        <w:t xml:space="preserve">. Mliekarenský a mäsový priemysel sú nosnými odbormi potravinárstva, ale ich význam postupne klesá. </w:t>
      </w:r>
    </w:p>
    <w:p w:rsidR="00A87069" w:rsidRDefault="00A87069" w:rsidP="00A87069">
      <w:pPr>
        <w:spacing w:after="0" w:line="240" w:lineRule="auto"/>
        <w:jc w:val="both"/>
        <w:rPr>
          <w:rFonts w:ascii="Times New Roman" w:hAnsi="Times New Roman" w:cs="Times New Roman"/>
          <w:sz w:val="24"/>
          <w:szCs w:val="24"/>
        </w:rPr>
      </w:pPr>
    </w:p>
    <w:p w:rsidR="00A87069" w:rsidRPr="00344E77" w:rsidRDefault="00A87069" w:rsidP="00A87069">
      <w:pPr>
        <w:pStyle w:val="Popis"/>
        <w:keepNext/>
        <w:spacing w:before="0" w:after="0"/>
        <w:ind w:left="1843" w:hanging="1843"/>
        <w:rPr>
          <w:rFonts w:eastAsiaTheme="minorEastAsia"/>
          <w:b w:val="0"/>
          <w:sz w:val="20"/>
          <w:szCs w:val="20"/>
        </w:rPr>
      </w:pPr>
      <w:r>
        <w:rPr>
          <w:b w:val="0"/>
          <w:sz w:val="20"/>
          <w:szCs w:val="20"/>
        </w:rPr>
        <w:t>Graf č. 5</w:t>
      </w:r>
      <w:r w:rsidRPr="00DE7125">
        <w:rPr>
          <w:b w:val="0"/>
          <w:sz w:val="20"/>
          <w:szCs w:val="20"/>
        </w:rPr>
        <w:t>:</w:t>
      </w:r>
      <w:r>
        <w:rPr>
          <w:rFonts w:eastAsiaTheme="minorEastAsia"/>
          <w:b w:val="0"/>
          <w:sz w:val="20"/>
          <w:szCs w:val="20"/>
        </w:rPr>
        <w:t>Podiel odborov na výrobe potravinárskeho priemyslu v roku 2011</w:t>
      </w:r>
      <w:r w:rsidRPr="00DE7125">
        <w:rPr>
          <w:rFonts w:eastAsiaTheme="minorEastAsia"/>
          <w:b w:val="0"/>
          <w:sz w:val="20"/>
          <w:szCs w:val="20"/>
        </w:rPr>
        <w:t xml:space="preserve"> </w:t>
      </w:r>
    </w:p>
    <w:p w:rsidR="00A87069" w:rsidRPr="00A87069" w:rsidRDefault="00A87069" w:rsidP="00A87069">
      <w:pPr>
        <w:spacing w:after="0" w:line="240" w:lineRule="auto"/>
        <w:jc w:val="right"/>
        <w:rPr>
          <w:rFonts w:ascii="Times New Roman" w:hAnsi="Times New Roman" w:cs="Times New Roman"/>
          <w:sz w:val="24"/>
          <w:szCs w:val="24"/>
        </w:rPr>
      </w:pPr>
      <w:r>
        <w:rPr>
          <w:noProof/>
        </w:rPr>
        <w:drawing>
          <wp:inline distT="0" distB="0" distL="0" distR="0" wp14:anchorId="38BA652C" wp14:editId="61C81615">
            <wp:extent cx="5757062" cy="2260396"/>
            <wp:effectExtent l="0" t="0" r="0" b="0"/>
            <wp:docPr id="293" name="Graf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sz w:val="20"/>
          <w:szCs w:val="20"/>
        </w:rPr>
        <w:t>Zdroj</w:t>
      </w:r>
      <w:r w:rsidRPr="00C814AB">
        <w:rPr>
          <w:rFonts w:ascii="Times New Roman" w:hAnsi="Times New Roman"/>
          <w:sz w:val="20"/>
          <w:szCs w:val="20"/>
        </w:rPr>
        <w:t xml:space="preserve">: </w:t>
      </w:r>
      <w:proofErr w:type="spellStart"/>
      <w:r>
        <w:rPr>
          <w:rFonts w:ascii="Times New Roman" w:hAnsi="Times New Roman"/>
          <w:sz w:val="20"/>
          <w:szCs w:val="20"/>
        </w:rPr>
        <w:t>Potrav</w:t>
      </w:r>
      <w:proofErr w:type="spellEnd"/>
      <w:r>
        <w:rPr>
          <w:rFonts w:ascii="Times New Roman" w:hAnsi="Times New Roman"/>
          <w:sz w:val="20"/>
          <w:szCs w:val="20"/>
        </w:rPr>
        <w:t xml:space="preserve"> (MPRV SR) 1-02, RADELA, VÚEPP</w:t>
      </w:r>
    </w:p>
    <w:p w:rsidR="00A87069" w:rsidRDefault="00A87069" w:rsidP="00A87069">
      <w:pPr>
        <w:spacing w:after="0" w:line="240" w:lineRule="auto"/>
        <w:jc w:val="both"/>
        <w:rPr>
          <w:rFonts w:ascii="Times New Roman" w:hAnsi="Times New Roman" w:cs="Times New Roman"/>
          <w:sz w:val="24"/>
          <w:szCs w:val="24"/>
        </w:rPr>
      </w:pPr>
    </w:p>
    <w:p w:rsidR="00A87069" w:rsidRDefault="00A87069" w:rsidP="00A87069">
      <w:pPr>
        <w:spacing w:after="0" w:line="240" w:lineRule="auto"/>
        <w:jc w:val="both"/>
        <w:rPr>
          <w:rFonts w:ascii="Times New Roman" w:hAnsi="Times New Roman" w:cs="Times New Roman"/>
          <w:sz w:val="24"/>
          <w:szCs w:val="24"/>
        </w:rPr>
      </w:pPr>
      <w:r w:rsidRPr="00344E77">
        <w:rPr>
          <w:rFonts w:ascii="Times New Roman" w:hAnsi="Times New Roman" w:cs="Times New Roman"/>
          <w:sz w:val="24"/>
          <w:szCs w:val="24"/>
        </w:rPr>
        <w:t>Potravinársky priemysel je málo špecializovaný a v niektorých výrobných odboroch neprebehla ešte celkom reštrukturalizácia. Priemysel je kapacitne predimenzovaný a kapacity sú využívané nedostatočne. Pri hlavných výrobkoch sa využíva menej ako 60% výrobných kapacít.</w:t>
      </w:r>
    </w:p>
    <w:p w:rsidR="00A87069" w:rsidRDefault="00A87069" w:rsidP="00A87069">
      <w:pPr>
        <w:spacing w:after="0" w:line="240" w:lineRule="auto"/>
        <w:jc w:val="both"/>
        <w:rPr>
          <w:rFonts w:ascii="Times New Roman" w:hAnsi="Times New Roman" w:cs="Times New Roman"/>
          <w:sz w:val="24"/>
          <w:szCs w:val="24"/>
        </w:rPr>
      </w:pPr>
    </w:p>
    <w:p w:rsidR="00A87069" w:rsidRPr="00636841" w:rsidRDefault="00A87069" w:rsidP="00A87069">
      <w:pPr>
        <w:spacing w:after="0" w:line="240" w:lineRule="auto"/>
        <w:jc w:val="both"/>
        <w:rPr>
          <w:rFonts w:ascii="Times New Roman" w:hAnsi="Times New Roman" w:cs="Times New Roman"/>
          <w:sz w:val="20"/>
          <w:szCs w:val="20"/>
        </w:rPr>
      </w:pPr>
      <w:r w:rsidRPr="00A855A4">
        <w:rPr>
          <w:rFonts w:ascii="Times New Roman" w:hAnsi="Times New Roman" w:cs="Times New Roman"/>
          <w:sz w:val="20"/>
          <w:szCs w:val="20"/>
        </w:rPr>
        <w:t>Tab. č.1</w:t>
      </w:r>
      <w:r>
        <w:rPr>
          <w:rFonts w:ascii="Times New Roman" w:hAnsi="Times New Roman" w:cs="Times New Roman"/>
          <w:sz w:val="20"/>
          <w:szCs w:val="20"/>
        </w:rPr>
        <w:t>5</w:t>
      </w:r>
      <w:r w:rsidRPr="00A855A4">
        <w:rPr>
          <w:rFonts w:ascii="Times New Roman" w:hAnsi="Times New Roman" w:cs="Times New Roman"/>
          <w:sz w:val="20"/>
          <w:szCs w:val="20"/>
        </w:rPr>
        <w:t xml:space="preserve">: </w:t>
      </w:r>
      <w:r>
        <w:rPr>
          <w:rFonts w:ascii="Times New Roman" w:hAnsi="Times New Roman" w:cs="Times New Roman"/>
          <w:sz w:val="20"/>
          <w:szCs w:val="20"/>
        </w:rPr>
        <w:t>Vybrané výrobné kapacity potravinárskeho priemyslu v roku 2011</w:t>
      </w:r>
    </w:p>
    <w:tbl>
      <w:tblPr>
        <w:tblW w:w="9088" w:type="dxa"/>
        <w:tblInd w:w="55" w:type="dxa"/>
        <w:tblCellMar>
          <w:left w:w="70" w:type="dxa"/>
          <w:right w:w="70" w:type="dxa"/>
        </w:tblCellMar>
        <w:tblLook w:val="04A0" w:firstRow="1" w:lastRow="0" w:firstColumn="1" w:lastColumn="0" w:noHBand="0" w:noVBand="1"/>
      </w:tblPr>
      <w:tblGrid>
        <w:gridCol w:w="3276"/>
        <w:gridCol w:w="1701"/>
        <w:gridCol w:w="1040"/>
        <w:gridCol w:w="1040"/>
        <w:gridCol w:w="2031"/>
      </w:tblGrid>
      <w:tr w:rsidR="00A87069" w:rsidRPr="00636841" w:rsidTr="004947E6">
        <w:trPr>
          <w:trHeight w:val="315"/>
        </w:trPr>
        <w:tc>
          <w:tcPr>
            <w:tcW w:w="3276" w:type="dxa"/>
            <w:tcBorders>
              <w:top w:val="single" w:sz="4" w:space="0" w:color="auto"/>
              <w:left w:val="nil"/>
              <w:bottom w:val="nil"/>
              <w:right w:val="single" w:sz="4" w:space="0" w:color="auto"/>
            </w:tcBorders>
            <w:shd w:val="clear" w:color="auto" w:fill="D9D9D9" w:themeFill="background1" w:themeFillShade="D9"/>
            <w:vAlign w:val="center"/>
            <w:hideMark/>
          </w:tcPr>
          <w:p w:rsidR="00A87069" w:rsidRPr="00636841" w:rsidRDefault="00A87069" w:rsidP="004947E6">
            <w:pPr>
              <w:spacing w:after="0" w:line="240" w:lineRule="auto"/>
              <w:rPr>
                <w:rFonts w:ascii="Times New Roman" w:eastAsia="Times New Roman" w:hAnsi="Times New Roman" w:cs="Times New Roman"/>
                <w:b/>
                <w:bCs/>
                <w:color w:val="000000"/>
                <w:sz w:val="20"/>
                <w:szCs w:val="20"/>
              </w:rPr>
            </w:pPr>
            <w:r w:rsidRPr="00636841">
              <w:rPr>
                <w:rFonts w:ascii="Times New Roman" w:eastAsia="Times New Roman" w:hAnsi="Times New Roman" w:cs="Times New Roman"/>
                <w:b/>
                <w:bCs/>
                <w:color w:val="000000"/>
                <w:sz w:val="20"/>
                <w:szCs w:val="20"/>
              </w:rPr>
              <w:t>Komodita</w:t>
            </w:r>
          </w:p>
        </w:tc>
        <w:tc>
          <w:tcPr>
            <w:tcW w:w="1701" w:type="dxa"/>
            <w:tcBorders>
              <w:top w:val="single" w:sz="4" w:space="0" w:color="auto"/>
              <w:left w:val="nil"/>
              <w:bottom w:val="nil"/>
              <w:right w:val="single" w:sz="4" w:space="0" w:color="auto"/>
            </w:tcBorders>
            <w:shd w:val="clear" w:color="auto" w:fill="D9D9D9" w:themeFill="background1" w:themeFillShade="D9"/>
            <w:vAlign w:val="center"/>
            <w:hideMark/>
          </w:tcPr>
          <w:p w:rsidR="00A87069" w:rsidRPr="00636841" w:rsidRDefault="00A87069" w:rsidP="004947E6">
            <w:pPr>
              <w:spacing w:after="0" w:line="240" w:lineRule="auto"/>
              <w:jc w:val="center"/>
              <w:rPr>
                <w:rFonts w:ascii="Times New Roman" w:eastAsia="Times New Roman" w:hAnsi="Times New Roman" w:cs="Times New Roman"/>
                <w:b/>
                <w:bCs/>
                <w:color w:val="000000"/>
                <w:sz w:val="20"/>
                <w:szCs w:val="20"/>
              </w:rPr>
            </w:pPr>
            <w:r w:rsidRPr="00636841">
              <w:rPr>
                <w:rFonts w:ascii="Times New Roman" w:eastAsia="Times New Roman" w:hAnsi="Times New Roman" w:cs="Times New Roman"/>
                <w:b/>
                <w:bCs/>
                <w:color w:val="000000"/>
                <w:sz w:val="20"/>
                <w:szCs w:val="20"/>
              </w:rPr>
              <w:t>Merná jednotka</w:t>
            </w:r>
          </w:p>
        </w:tc>
        <w:tc>
          <w:tcPr>
            <w:tcW w:w="1040" w:type="dxa"/>
            <w:tcBorders>
              <w:top w:val="single" w:sz="4" w:space="0" w:color="auto"/>
              <w:left w:val="nil"/>
              <w:bottom w:val="nil"/>
              <w:right w:val="nil"/>
            </w:tcBorders>
            <w:shd w:val="clear" w:color="auto" w:fill="D9D9D9" w:themeFill="background1" w:themeFillShade="D9"/>
            <w:vAlign w:val="center"/>
            <w:hideMark/>
          </w:tcPr>
          <w:p w:rsidR="00A87069" w:rsidRPr="00636841" w:rsidRDefault="00A87069" w:rsidP="004947E6">
            <w:pPr>
              <w:spacing w:after="0" w:line="240" w:lineRule="auto"/>
              <w:jc w:val="center"/>
              <w:rPr>
                <w:rFonts w:ascii="Times New Roman" w:eastAsia="Times New Roman" w:hAnsi="Times New Roman" w:cs="Times New Roman"/>
                <w:b/>
                <w:bCs/>
                <w:color w:val="000000"/>
                <w:sz w:val="20"/>
                <w:szCs w:val="20"/>
              </w:rPr>
            </w:pPr>
            <w:r w:rsidRPr="00636841">
              <w:rPr>
                <w:rFonts w:ascii="Times New Roman" w:eastAsia="Times New Roman" w:hAnsi="Times New Roman" w:cs="Times New Roman"/>
                <w:b/>
                <w:bCs/>
                <w:color w:val="000000"/>
                <w:sz w:val="20"/>
                <w:szCs w:val="20"/>
              </w:rPr>
              <w:t>Kapacita</w:t>
            </w:r>
          </w:p>
        </w:tc>
        <w:tc>
          <w:tcPr>
            <w:tcW w:w="1040" w:type="dxa"/>
            <w:tcBorders>
              <w:top w:val="single" w:sz="4" w:space="0" w:color="auto"/>
              <w:left w:val="nil"/>
              <w:bottom w:val="nil"/>
              <w:right w:val="nil"/>
            </w:tcBorders>
            <w:shd w:val="clear" w:color="auto" w:fill="D9D9D9" w:themeFill="background1" w:themeFillShade="D9"/>
            <w:vAlign w:val="center"/>
            <w:hideMark/>
          </w:tcPr>
          <w:p w:rsidR="00A87069" w:rsidRPr="00636841" w:rsidRDefault="00A87069" w:rsidP="004947E6">
            <w:pPr>
              <w:spacing w:after="0" w:line="240" w:lineRule="auto"/>
              <w:jc w:val="center"/>
              <w:rPr>
                <w:rFonts w:ascii="Times New Roman" w:eastAsia="Times New Roman" w:hAnsi="Times New Roman" w:cs="Times New Roman"/>
                <w:b/>
                <w:bCs/>
                <w:color w:val="000000"/>
                <w:sz w:val="20"/>
                <w:szCs w:val="20"/>
              </w:rPr>
            </w:pPr>
            <w:r w:rsidRPr="00636841">
              <w:rPr>
                <w:rFonts w:ascii="Times New Roman" w:eastAsia="Times New Roman" w:hAnsi="Times New Roman" w:cs="Times New Roman"/>
                <w:b/>
                <w:bCs/>
                <w:color w:val="000000"/>
                <w:sz w:val="20"/>
                <w:szCs w:val="20"/>
              </w:rPr>
              <w:t>Výroba</w:t>
            </w:r>
          </w:p>
        </w:tc>
        <w:tc>
          <w:tcPr>
            <w:tcW w:w="2031" w:type="dxa"/>
            <w:tcBorders>
              <w:top w:val="single" w:sz="4" w:space="0" w:color="auto"/>
              <w:left w:val="nil"/>
              <w:bottom w:val="nil"/>
              <w:right w:val="nil"/>
            </w:tcBorders>
            <w:shd w:val="clear" w:color="auto" w:fill="D9D9D9" w:themeFill="background1" w:themeFillShade="D9"/>
            <w:vAlign w:val="center"/>
            <w:hideMark/>
          </w:tcPr>
          <w:p w:rsidR="00A87069" w:rsidRPr="00636841" w:rsidRDefault="00A87069" w:rsidP="004947E6">
            <w:pPr>
              <w:spacing w:after="0" w:line="240" w:lineRule="auto"/>
              <w:jc w:val="center"/>
              <w:rPr>
                <w:rFonts w:ascii="Times New Roman" w:eastAsia="Times New Roman" w:hAnsi="Times New Roman" w:cs="Times New Roman"/>
                <w:b/>
                <w:bCs/>
                <w:color w:val="000000"/>
                <w:sz w:val="20"/>
                <w:szCs w:val="20"/>
              </w:rPr>
            </w:pPr>
            <w:r w:rsidRPr="00636841">
              <w:rPr>
                <w:rFonts w:ascii="Times New Roman" w:eastAsia="Times New Roman" w:hAnsi="Times New Roman" w:cs="Times New Roman"/>
                <w:b/>
                <w:bCs/>
                <w:color w:val="000000"/>
                <w:sz w:val="20"/>
                <w:szCs w:val="20"/>
              </w:rPr>
              <w:t>Využitie kapacít v %</w:t>
            </w:r>
          </w:p>
        </w:tc>
      </w:tr>
      <w:tr w:rsidR="00A87069" w:rsidRPr="00636841" w:rsidTr="004947E6">
        <w:trPr>
          <w:trHeight w:val="255"/>
        </w:trPr>
        <w:tc>
          <w:tcPr>
            <w:tcW w:w="3276" w:type="dxa"/>
            <w:tcBorders>
              <w:top w:val="nil"/>
              <w:left w:val="nil"/>
              <w:bottom w:val="nil"/>
              <w:right w:val="single" w:sz="4" w:space="0" w:color="auto"/>
            </w:tcBorders>
            <w:shd w:val="clear" w:color="auto" w:fill="auto"/>
            <w:vAlign w:val="center"/>
            <w:hideMark/>
          </w:tcPr>
          <w:p w:rsidR="00A87069" w:rsidRPr="00636841" w:rsidRDefault="00A87069" w:rsidP="004947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Základné ošetrenie </w:t>
            </w:r>
            <w:r w:rsidRPr="00636841">
              <w:rPr>
                <w:rFonts w:ascii="Times New Roman" w:eastAsia="Times New Roman" w:hAnsi="Times New Roman" w:cs="Times New Roman"/>
                <w:color w:val="000000"/>
                <w:sz w:val="20"/>
                <w:szCs w:val="20"/>
              </w:rPr>
              <w:t xml:space="preserve"> mlieka</w:t>
            </w:r>
          </w:p>
        </w:tc>
        <w:tc>
          <w:tcPr>
            <w:tcW w:w="1701" w:type="dxa"/>
            <w:tcBorders>
              <w:top w:val="nil"/>
              <w:left w:val="nil"/>
              <w:bottom w:val="nil"/>
              <w:right w:val="single" w:sz="4" w:space="0" w:color="auto"/>
            </w:tcBorders>
            <w:shd w:val="clear" w:color="auto" w:fill="auto"/>
            <w:vAlign w:val="center"/>
            <w:hideMark/>
          </w:tcPr>
          <w:p w:rsidR="00A87069" w:rsidRPr="00636841" w:rsidRDefault="00A87069" w:rsidP="004947E6">
            <w:pPr>
              <w:spacing w:after="0" w:line="240" w:lineRule="auto"/>
              <w:jc w:val="center"/>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tona</w:t>
            </w:r>
          </w:p>
        </w:tc>
        <w:tc>
          <w:tcPr>
            <w:tcW w:w="1040" w:type="dxa"/>
            <w:tcBorders>
              <w:top w:val="nil"/>
              <w:left w:val="nil"/>
              <w:bottom w:val="nil"/>
              <w:right w:val="nil"/>
            </w:tcBorders>
            <w:shd w:val="clear" w:color="auto" w:fill="auto"/>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1 228 346</w:t>
            </w:r>
          </w:p>
        </w:tc>
        <w:tc>
          <w:tcPr>
            <w:tcW w:w="1040" w:type="dxa"/>
            <w:tcBorders>
              <w:top w:val="nil"/>
              <w:left w:val="nil"/>
              <w:bottom w:val="nil"/>
              <w:right w:val="nil"/>
            </w:tcBorders>
            <w:shd w:val="clear" w:color="auto" w:fill="auto"/>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642 682</w:t>
            </w:r>
          </w:p>
        </w:tc>
        <w:tc>
          <w:tcPr>
            <w:tcW w:w="2031" w:type="dxa"/>
            <w:tcBorders>
              <w:top w:val="nil"/>
              <w:left w:val="nil"/>
              <w:bottom w:val="nil"/>
              <w:right w:val="nil"/>
            </w:tcBorders>
            <w:shd w:val="clear" w:color="auto" w:fill="auto"/>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52,30%</w:t>
            </w:r>
          </w:p>
        </w:tc>
      </w:tr>
      <w:tr w:rsidR="00A87069" w:rsidRPr="00636841" w:rsidTr="004947E6">
        <w:trPr>
          <w:trHeight w:val="255"/>
        </w:trPr>
        <w:tc>
          <w:tcPr>
            <w:tcW w:w="3276" w:type="dxa"/>
            <w:tcBorders>
              <w:top w:val="nil"/>
              <w:left w:val="nil"/>
              <w:bottom w:val="nil"/>
              <w:right w:val="single" w:sz="4" w:space="0" w:color="auto"/>
            </w:tcBorders>
            <w:shd w:val="clear" w:color="000000" w:fill="F2F2F2"/>
            <w:vAlign w:val="center"/>
            <w:hideMark/>
          </w:tcPr>
          <w:p w:rsidR="00A87069" w:rsidRPr="00636841" w:rsidRDefault="00A87069" w:rsidP="004947E6">
            <w:pPr>
              <w:spacing w:after="0" w:line="240" w:lineRule="auto"/>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Mlieko sušené</w:t>
            </w:r>
          </w:p>
        </w:tc>
        <w:tc>
          <w:tcPr>
            <w:tcW w:w="1701" w:type="dxa"/>
            <w:tcBorders>
              <w:top w:val="nil"/>
              <w:left w:val="nil"/>
              <w:bottom w:val="nil"/>
              <w:right w:val="single" w:sz="4" w:space="0" w:color="auto"/>
            </w:tcBorders>
            <w:shd w:val="clear" w:color="000000" w:fill="F2F2F2"/>
            <w:vAlign w:val="center"/>
            <w:hideMark/>
          </w:tcPr>
          <w:p w:rsidR="00A87069" w:rsidRPr="00636841" w:rsidRDefault="00A87069" w:rsidP="004947E6">
            <w:pPr>
              <w:spacing w:after="0" w:line="240" w:lineRule="auto"/>
              <w:jc w:val="center"/>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tona</w:t>
            </w:r>
          </w:p>
        </w:tc>
        <w:tc>
          <w:tcPr>
            <w:tcW w:w="1040" w:type="dxa"/>
            <w:tcBorders>
              <w:top w:val="nil"/>
              <w:left w:val="nil"/>
              <w:bottom w:val="nil"/>
              <w:right w:val="nil"/>
            </w:tcBorders>
            <w:shd w:val="clear" w:color="000000" w:fill="F2F2F2"/>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12 839</w:t>
            </w:r>
          </w:p>
        </w:tc>
        <w:tc>
          <w:tcPr>
            <w:tcW w:w="1040" w:type="dxa"/>
            <w:tcBorders>
              <w:top w:val="nil"/>
              <w:left w:val="nil"/>
              <w:bottom w:val="nil"/>
              <w:right w:val="nil"/>
            </w:tcBorders>
            <w:shd w:val="clear" w:color="000000" w:fill="F2F2F2"/>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4 122</w:t>
            </w:r>
          </w:p>
        </w:tc>
        <w:tc>
          <w:tcPr>
            <w:tcW w:w="2031" w:type="dxa"/>
            <w:tcBorders>
              <w:top w:val="nil"/>
              <w:left w:val="nil"/>
              <w:bottom w:val="nil"/>
              <w:right w:val="nil"/>
            </w:tcBorders>
            <w:shd w:val="clear" w:color="000000" w:fill="F2F2F2"/>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32,10%</w:t>
            </w:r>
          </w:p>
        </w:tc>
      </w:tr>
      <w:tr w:rsidR="00A87069" w:rsidRPr="00636841" w:rsidTr="004947E6">
        <w:trPr>
          <w:trHeight w:val="255"/>
        </w:trPr>
        <w:tc>
          <w:tcPr>
            <w:tcW w:w="3276" w:type="dxa"/>
            <w:tcBorders>
              <w:top w:val="nil"/>
              <w:left w:val="nil"/>
              <w:bottom w:val="nil"/>
              <w:right w:val="single" w:sz="4" w:space="0" w:color="auto"/>
            </w:tcBorders>
            <w:shd w:val="clear" w:color="auto" w:fill="auto"/>
            <w:vAlign w:val="center"/>
            <w:hideMark/>
          </w:tcPr>
          <w:p w:rsidR="00A87069" w:rsidRPr="00636841" w:rsidRDefault="00A87069" w:rsidP="004947E6">
            <w:pPr>
              <w:spacing w:after="0" w:line="240" w:lineRule="auto"/>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Hydinové výrobky</w:t>
            </w:r>
          </w:p>
        </w:tc>
        <w:tc>
          <w:tcPr>
            <w:tcW w:w="1701" w:type="dxa"/>
            <w:tcBorders>
              <w:top w:val="nil"/>
              <w:left w:val="nil"/>
              <w:bottom w:val="nil"/>
              <w:right w:val="single" w:sz="4" w:space="0" w:color="auto"/>
            </w:tcBorders>
            <w:shd w:val="clear" w:color="auto" w:fill="auto"/>
            <w:vAlign w:val="center"/>
            <w:hideMark/>
          </w:tcPr>
          <w:p w:rsidR="00A87069" w:rsidRPr="00636841" w:rsidRDefault="00A87069" w:rsidP="004947E6">
            <w:pPr>
              <w:spacing w:after="0" w:line="240" w:lineRule="auto"/>
              <w:jc w:val="center"/>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tona</w:t>
            </w:r>
          </w:p>
        </w:tc>
        <w:tc>
          <w:tcPr>
            <w:tcW w:w="1040" w:type="dxa"/>
            <w:tcBorders>
              <w:top w:val="nil"/>
              <w:left w:val="nil"/>
              <w:bottom w:val="nil"/>
              <w:right w:val="nil"/>
            </w:tcBorders>
            <w:shd w:val="clear" w:color="auto" w:fill="auto"/>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10 518</w:t>
            </w:r>
          </w:p>
        </w:tc>
        <w:tc>
          <w:tcPr>
            <w:tcW w:w="1040" w:type="dxa"/>
            <w:tcBorders>
              <w:top w:val="nil"/>
              <w:left w:val="nil"/>
              <w:bottom w:val="nil"/>
              <w:right w:val="nil"/>
            </w:tcBorders>
            <w:shd w:val="clear" w:color="auto" w:fill="auto"/>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8 069</w:t>
            </w:r>
          </w:p>
        </w:tc>
        <w:tc>
          <w:tcPr>
            <w:tcW w:w="2031" w:type="dxa"/>
            <w:tcBorders>
              <w:top w:val="nil"/>
              <w:left w:val="nil"/>
              <w:bottom w:val="nil"/>
              <w:right w:val="nil"/>
            </w:tcBorders>
            <w:shd w:val="clear" w:color="auto" w:fill="auto"/>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76,70%</w:t>
            </w:r>
          </w:p>
        </w:tc>
      </w:tr>
      <w:tr w:rsidR="00A87069" w:rsidRPr="00636841" w:rsidTr="004947E6">
        <w:trPr>
          <w:trHeight w:val="255"/>
        </w:trPr>
        <w:tc>
          <w:tcPr>
            <w:tcW w:w="3276" w:type="dxa"/>
            <w:tcBorders>
              <w:top w:val="nil"/>
              <w:left w:val="nil"/>
              <w:bottom w:val="nil"/>
              <w:right w:val="single" w:sz="4" w:space="0" w:color="auto"/>
            </w:tcBorders>
            <w:shd w:val="clear" w:color="000000" w:fill="F2F2F2"/>
            <w:vAlign w:val="center"/>
            <w:hideMark/>
          </w:tcPr>
          <w:p w:rsidR="00A87069" w:rsidRPr="00636841" w:rsidRDefault="00A87069" w:rsidP="004947E6">
            <w:pPr>
              <w:spacing w:after="0" w:line="240" w:lineRule="auto"/>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Mäsové výrobky</w:t>
            </w:r>
          </w:p>
        </w:tc>
        <w:tc>
          <w:tcPr>
            <w:tcW w:w="1701" w:type="dxa"/>
            <w:tcBorders>
              <w:top w:val="nil"/>
              <w:left w:val="nil"/>
              <w:bottom w:val="nil"/>
              <w:right w:val="single" w:sz="4" w:space="0" w:color="auto"/>
            </w:tcBorders>
            <w:shd w:val="clear" w:color="000000" w:fill="F2F2F2"/>
            <w:vAlign w:val="center"/>
            <w:hideMark/>
          </w:tcPr>
          <w:p w:rsidR="00A87069" w:rsidRPr="00636841" w:rsidRDefault="00A87069" w:rsidP="004947E6">
            <w:pPr>
              <w:spacing w:after="0" w:line="240" w:lineRule="auto"/>
              <w:jc w:val="center"/>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tona</w:t>
            </w:r>
          </w:p>
        </w:tc>
        <w:tc>
          <w:tcPr>
            <w:tcW w:w="1040" w:type="dxa"/>
            <w:tcBorders>
              <w:top w:val="nil"/>
              <w:left w:val="nil"/>
              <w:bottom w:val="nil"/>
              <w:right w:val="nil"/>
            </w:tcBorders>
            <w:shd w:val="clear" w:color="000000" w:fill="F2F2F2"/>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120 064</w:t>
            </w:r>
          </w:p>
        </w:tc>
        <w:tc>
          <w:tcPr>
            <w:tcW w:w="1040" w:type="dxa"/>
            <w:tcBorders>
              <w:top w:val="nil"/>
              <w:left w:val="nil"/>
              <w:bottom w:val="nil"/>
              <w:right w:val="nil"/>
            </w:tcBorders>
            <w:shd w:val="clear" w:color="000000" w:fill="F2F2F2"/>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63 551</w:t>
            </w:r>
          </w:p>
        </w:tc>
        <w:tc>
          <w:tcPr>
            <w:tcW w:w="2031" w:type="dxa"/>
            <w:tcBorders>
              <w:top w:val="nil"/>
              <w:left w:val="nil"/>
              <w:bottom w:val="nil"/>
              <w:right w:val="nil"/>
            </w:tcBorders>
            <w:shd w:val="clear" w:color="000000" w:fill="F2F2F2"/>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52,90%</w:t>
            </w:r>
          </w:p>
        </w:tc>
      </w:tr>
      <w:tr w:rsidR="00A87069" w:rsidRPr="00636841" w:rsidTr="004947E6">
        <w:trPr>
          <w:trHeight w:val="255"/>
        </w:trPr>
        <w:tc>
          <w:tcPr>
            <w:tcW w:w="3276" w:type="dxa"/>
            <w:tcBorders>
              <w:top w:val="nil"/>
              <w:left w:val="nil"/>
              <w:bottom w:val="nil"/>
              <w:right w:val="single" w:sz="4" w:space="0" w:color="auto"/>
            </w:tcBorders>
            <w:shd w:val="clear" w:color="auto" w:fill="auto"/>
            <w:vAlign w:val="center"/>
            <w:hideMark/>
          </w:tcPr>
          <w:p w:rsidR="00A87069" w:rsidRPr="00636841" w:rsidRDefault="00A87069" w:rsidP="004947E6">
            <w:pPr>
              <w:spacing w:after="0" w:line="240" w:lineRule="auto"/>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Chlieb</w:t>
            </w:r>
          </w:p>
        </w:tc>
        <w:tc>
          <w:tcPr>
            <w:tcW w:w="1701" w:type="dxa"/>
            <w:tcBorders>
              <w:top w:val="nil"/>
              <w:left w:val="nil"/>
              <w:bottom w:val="nil"/>
              <w:right w:val="single" w:sz="4" w:space="0" w:color="auto"/>
            </w:tcBorders>
            <w:shd w:val="clear" w:color="auto" w:fill="auto"/>
            <w:vAlign w:val="center"/>
            <w:hideMark/>
          </w:tcPr>
          <w:p w:rsidR="00A87069" w:rsidRPr="00636841" w:rsidRDefault="00A87069" w:rsidP="004947E6">
            <w:pPr>
              <w:spacing w:after="0" w:line="240" w:lineRule="auto"/>
              <w:jc w:val="center"/>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tona</w:t>
            </w:r>
          </w:p>
        </w:tc>
        <w:tc>
          <w:tcPr>
            <w:tcW w:w="1040" w:type="dxa"/>
            <w:tcBorders>
              <w:top w:val="nil"/>
              <w:left w:val="nil"/>
              <w:bottom w:val="nil"/>
              <w:right w:val="nil"/>
            </w:tcBorders>
            <w:shd w:val="clear" w:color="auto" w:fill="auto"/>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209 521</w:t>
            </w:r>
          </w:p>
        </w:tc>
        <w:tc>
          <w:tcPr>
            <w:tcW w:w="1040" w:type="dxa"/>
            <w:tcBorders>
              <w:top w:val="nil"/>
              <w:left w:val="nil"/>
              <w:bottom w:val="nil"/>
              <w:right w:val="nil"/>
            </w:tcBorders>
            <w:shd w:val="clear" w:color="auto" w:fill="auto"/>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83 908</w:t>
            </w:r>
          </w:p>
        </w:tc>
        <w:tc>
          <w:tcPr>
            <w:tcW w:w="2031" w:type="dxa"/>
            <w:tcBorders>
              <w:top w:val="nil"/>
              <w:left w:val="nil"/>
              <w:bottom w:val="nil"/>
              <w:right w:val="nil"/>
            </w:tcBorders>
            <w:shd w:val="clear" w:color="auto" w:fill="auto"/>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40%</w:t>
            </w:r>
          </w:p>
        </w:tc>
      </w:tr>
      <w:tr w:rsidR="00A87069" w:rsidRPr="00636841" w:rsidTr="004947E6">
        <w:trPr>
          <w:trHeight w:val="255"/>
        </w:trPr>
        <w:tc>
          <w:tcPr>
            <w:tcW w:w="3276" w:type="dxa"/>
            <w:tcBorders>
              <w:top w:val="nil"/>
              <w:left w:val="nil"/>
              <w:bottom w:val="nil"/>
              <w:right w:val="single" w:sz="4" w:space="0" w:color="auto"/>
            </w:tcBorders>
            <w:shd w:val="clear" w:color="000000" w:fill="F2F2F2"/>
            <w:vAlign w:val="center"/>
            <w:hideMark/>
          </w:tcPr>
          <w:p w:rsidR="00A87069" w:rsidRPr="00636841" w:rsidRDefault="00A87069" w:rsidP="004947E6">
            <w:pPr>
              <w:spacing w:after="0" w:line="240" w:lineRule="auto"/>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Výroba piva</w:t>
            </w:r>
          </w:p>
        </w:tc>
        <w:tc>
          <w:tcPr>
            <w:tcW w:w="1701" w:type="dxa"/>
            <w:tcBorders>
              <w:top w:val="nil"/>
              <w:left w:val="nil"/>
              <w:bottom w:val="nil"/>
              <w:right w:val="single" w:sz="4" w:space="0" w:color="auto"/>
            </w:tcBorders>
            <w:shd w:val="clear" w:color="000000" w:fill="F2F2F2"/>
            <w:vAlign w:val="center"/>
            <w:hideMark/>
          </w:tcPr>
          <w:p w:rsidR="00A87069" w:rsidRPr="00636841" w:rsidRDefault="00A87069" w:rsidP="004947E6">
            <w:pPr>
              <w:spacing w:after="0" w:line="240" w:lineRule="auto"/>
              <w:jc w:val="center"/>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hl</w:t>
            </w:r>
          </w:p>
        </w:tc>
        <w:tc>
          <w:tcPr>
            <w:tcW w:w="1040" w:type="dxa"/>
            <w:tcBorders>
              <w:top w:val="nil"/>
              <w:left w:val="nil"/>
              <w:bottom w:val="nil"/>
              <w:right w:val="nil"/>
            </w:tcBorders>
            <w:shd w:val="clear" w:color="000000" w:fill="F2F2F2"/>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6 660 128</w:t>
            </w:r>
          </w:p>
        </w:tc>
        <w:tc>
          <w:tcPr>
            <w:tcW w:w="1040" w:type="dxa"/>
            <w:tcBorders>
              <w:top w:val="nil"/>
              <w:left w:val="nil"/>
              <w:bottom w:val="nil"/>
              <w:right w:val="nil"/>
            </w:tcBorders>
            <w:shd w:val="clear" w:color="000000" w:fill="F2F2F2"/>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3 123 785</w:t>
            </w:r>
          </w:p>
        </w:tc>
        <w:tc>
          <w:tcPr>
            <w:tcW w:w="2031" w:type="dxa"/>
            <w:tcBorders>
              <w:top w:val="nil"/>
              <w:left w:val="nil"/>
              <w:bottom w:val="nil"/>
              <w:right w:val="nil"/>
            </w:tcBorders>
            <w:shd w:val="clear" w:color="000000" w:fill="F2F2F2"/>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46,90%</w:t>
            </w:r>
          </w:p>
        </w:tc>
      </w:tr>
      <w:tr w:rsidR="00A87069" w:rsidRPr="00636841" w:rsidTr="004947E6">
        <w:trPr>
          <w:trHeight w:val="255"/>
        </w:trPr>
        <w:tc>
          <w:tcPr>
            <w:tcW w:w="3276" w:type="dxa"/>
            <w:tcBorders>
              <w:top w:val="nil"/>
              <w:left w:val="nil"/>
              <w:bottom w:val="nil"/>
              <w:right w:val="single" w:sz="4" w:space="0" w:color="auto"/>
            </w:tcBorders>
            <w:shd w:val="clear" w:color="auto" w:fill="auto"/>
            <w:vAlign w:val="center"/>
            <w:hideMark/>
          </w:tcPr>
          <w:p w:rsidR="00A87069" w:rsidRPr="00636841" w:rsidRDefault="00A87069" w:rsidP="004947E6">
            <w:pPr>
              <w:spacing w:after="0" w:line="240" w:lineRule="auto"/>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Výroba hroznového vína</w:t>
            </w:r>
          </w:p>
        </w:tc>
        <w:tc>
          <w:tcPr>
            <w:tcW w:w="1701" w:type="dxa"/>
            <w:tcBorders>
              <w:top w:val="nil"/>
              <w:left w:val="nil"/>
              <w:bottom w:val="nil"/>
              <w:right w:val="single" w:sz="4" w:space="0" w:color="auto"/>
            </w:tcBorders>
            <w:shd w:val="clear" w:color="auto" w:fill="auto"/>
            <w:vAlign w:val="center"/>
            <w:hideMark/>
          </w:tcPr>
          <w:p w:rsidR="00A87069" w:rsidRPr="00636841" w:rsidRDefault="00A87069" w:rsidP="004947E6">
            <w:pPr>
              <w:spacing w:after="0" w:line="240" w:lineRule="auto"/>
              <w:jc w:val="center"/>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hl</w:t>
            </w:r>
          </w:p>
        </w:tc>
        <w:tc>
          <w:tcPr>
            <w:tcW w:w="1040" w:type="dxa"/>
            <w:tcBorders>
              <w:top w:val="nil"/>
              <w:left w:val="nil"/>
              <w:bottom w:val="nil"/>
              <w:right w:val="nil"/>
            </w:tcBorders>
            <w:shd w:val="clear" w:color="auto" w:fill="auto"/>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1 049 814</w:t>
            </w:r>
          </w:p>
        </w:tc>
        <w:tc>
          <w:tcPr>
            <w:tcW w:w="1040" w:type="dxa"/>
            <w:tcBorders>
              <w:top w:val="nil"/>
              <w:left w:val="nil"/>
              <w:bottom w:val="nil"/>
              <w:right w:val="nil"/>
            </w:tcBorders>
            <w:shd w:val="clear" w:color="auto" w:fill="auto"/>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446 308</w:t>
            </w:r>
          </w:p>
        </w:tc>
        <w:tc>
          <w:tcPr>
            <w:tcW w:w="2031" w:type="dxa"/>
            <w:tcBorders>
              <w:top w:val="nil"/>
              <w:left w:val="nil"/>
              <w:bottom w:val="nil"/>
              <w:right w:val="nil"/>
            </w:tcBorders>
            <w:shd w:val="clear" w:color="auto" w:fill="auto"/>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42,50%</w:t>
            </w:r>
          </w:p>
        </w:tc>
      </w:tr>
      <w:tr w:rsidR="00A87069" w:rsidRPr="00636841" w:rsidTr="004947E6">
        <w:trPr>
          <w:trHeight w:val="255"/>
        </w:trPr>
        <w:tc>
          <w:tcPr>
            <w:tcW w:w="3276" w:type="dxa"/>
            <w:tcBorders>
              <w:top w:val="nil"/>
              <w:left w:val="nil"/>
              <w:bottom w:val="nil"/>
              <w:right w:val="single" w:sz="4" w:space="0" w:color="auto"/>
            </w:tcBorders>
            <w:shd w:val="clear" w:color="000000" w:fill="F2F2F2"/>
            <w:vAlign w:val="center"/>
            <w:hideMark/>
          </w:tcPr>
          <w:p w:rsidR="00A87069" w:rsidRPr="00636841" w:rsidRDefault="00A87069" w:rsidP="004947E6">
            <w:pPr>
              <w:spacing w:after="0" w:line="240" w:lineRule="auto"/>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Nealko.</w:t>
            </w:r>
            <w:r>
              <w:rPr>
                <w:rFonts w:ascii="Times New Roman" w:eastAsia="Times New Roman" w:hAnsi="Times New Roman" w:cs="Times New Roman"/>
                <w:color w:val="000000"/>
                <w:sz w:val="20"/>
                <w:szCs w:val="20"/>
              </w:rPr>
              <w:t xml:space="preserve"> </w:t>
            </w:r>
            <w:r w:rsidRPr="00636841">
              <w:rPr>
                <w:rFonts w:ascii="Times New Roman" w:eastAsia="Times New Roman" w:hAnsi="Times New Roman" w:cs="Times New Roman"/>
                <w:color w:val="000000"/>
                <w:sz w:val="20"/>
                <w:szCs w:val="20"/>
              </w:rPr>
              <w:t>nápoje sýtené sladené</w:t>
            </w:r>
          </w:p>
        </w:tc>
        <w:tc>
          <w:tcPr>
            <w:tcW w:w="1701" w:type="dxa"/>
            <w:tcBorders>
              <w:top w:val="nil"/>
              <w:left w:val="nil"/>
              <w:bottom w:val="nil"/>
              <w:right w:val="single" w:sz="4" w:space="0" w:color="auto"/>
            </w:tcBorders>
            <w:shd w:val="clear" w:color="000000" w:fill="F2F2F2"/>
            <w:vAlign w:val="center"/>
            <w:hideMark/>
          </w:tcPr>
          <w:p w:rsidR="00A87069" w:rsidRPr="00636841" w:rsidRDefault="00A87069" w:rsidP="004947E6">
            <w:pPr>
              <w:spacing w:after="0" w:line="240" w:lineRule="auto"/>
              <w:jc w:val="center"/>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hl</w:t>
            </w:r>
          </w:p>
        </w:tc>
        <w:tc>
          <w:tcPr>
            <w:tcW w:w="1040" w:type="dxa"/>
            <w:tcBorders>
              <w:top w:val="nil"/>
              <w:left w:val="nil"/>
              <w:bottom w:val="nil"/>
              <w:right w:val="nil"/>
            </w:tcBorders>
            <w:shd w:val="clear" w:color="000000" w:fill="F2F2F2"/>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8 941 891</w:t>
            </w:r>
          </w:p>
        </w:tc>
        <w:tc>
          <w:tcPr>
            <w:tcW w:w="1040" w:type="dxa"/>
            <w:tcBorders>
              <w:top w:val="nil"/>
              <w:left w:val="nil"/>
              <w:bottom w:val="nil"/>
              <w:right w:val="nil"/>
            </w:tcBorders>
            <w:shd w:val="clear" w:color="000000" w:fill="F2F2F2"/>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5 005 942</w:t>
            </w:r>
          </w:p>
        </w:tc>
        <w:tc>
          <w:tcPr>
            <w:tcW w:w="2031" w:type="dxa"/>
            <w:tcBorders>
              <w:top w:val="nil"/>
              <w:left w:val="nil"/>
              <w:bottom w:val="nil"/>
              <w:right w:val="nil"/>
            </w:tcBorders>
            <w:shd w:val="clear" w:color="000000" w:fill="F2F2F2"/>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56%</w:t>
            </w:r>
          </w:p>
        </w:tc>
      </w:tr>
      <w:tr w:rsidR="00A87069" w:rsidRPr="00636841" w:rsidTr="004947E6">
        <w:trPr>
          <w:trHeight w:val="255"/>
        </w:trPr>
        <w:tc>
          <w:tcPr>
            <w:tcW w:w="3276" w:type="dxa"/>
            <w:tcBorders>
              <w:top w:val="nil"/>
              <w:left w:val="nil"/>
              <w:bottom w:val="nil"/>
              <w:right w:val="single" w:sz="4" w:space="0" w:color="auto"/>
            </w:tcBorders>
            <w:shd w:val="clear" w:color="auto" w:fill="auto"/>
            <w:vAlign w:val="center"/>
            <w:hideMark/>
          </w:tcPr>
          <w:p w:rsidR="00A87069" w:rsidRPr="00636841" w:rsidRDefault="00A87069" w:rsidP="004947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Pr="00636841">
              <w:rPr>
                <w:rFonts w:ascii="Times New Roman" w:eastAsia="Times New Roman" w:hAnsi="Times New Roman" w:cs="Times New Roman"/>
                <w:color w:val="000000"/>
                <w:sz w:val="20"/>
                <w:szCs w:val="20"/>
              </w:rPr>
              <w:t>ukrov</w:t>
            </w:r>
            <w:r>
              <w:rPr>
                <w:rFonts w:ascii="Times New Roman" w:eastAsia="Times New Roman" w:hAnsi="Times New Roman" w:cs="Times New Roman"/>
                <w:color w:val="000000"/>
                <w:sz w:val="20"/>
                <w:szCs w:val="20"/>
              </w:rPr>
              <w:t>inky</w:t>
            </w:r>
            <w:r w:rsidRPr="00636841">
              <w:rPr>
                <w:rFonts w:ascii="Times New Roman" w:eastAsia="Times New Roman" w:hAnsi="Times New Roman" w:cs="Times New Roman"/>
                <w:color w:val="000000"/>
                <w:sz w:val="20"/>
                <w:szCs w:val="20"/>
              </w:rPr>
              <w:t xml:space="preserve"> a čokoláda</w:t>
            </w:r>
          </w:p>
        </w:tc>
        <w:tc>
          <w:tcPr>
            <w:tcW w:w="1701" w:type="dxa"/>
            <w:tcBorders>
              <w:top w:val="nil"/>
              <w:left w:val="nil"/>
              <w:bottom w:val="nil"/>
              <w:right w:val="single" w:sz="4" w:space="0" w:color="auto"/>
            </w:tcBorders>
            <w:shd w:val="clear" w:color="auto" w:fill="auto"/>
            <w:vAlign w:val="center"/>
            <w:hideMark/>
          </w:tcPr>
          <w:p w:rsidR="00A87069" w:rsidRPr="00636841" w:rsidRDefault="00A87069" w:rsidP="004947E6">
            <w:pPr>
              <w:spacing w:after="0" w:line="240" w:lineRule="auto"/>
              <w:jc w:val="center"/>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tona</w:t>
            </w:r>
          </w:p>
        </w:tc>
        <w:tc>
          <w:tcPr>
            <w:tcW w:w="1040" w:type="dxa"/>
            <w:tcBorders>
              <w:top w:val="nil"/>
              <w:left w:val="nil"/>
              <w:bottom w:val="nil"/>
              <w:right w:val="nil"/>
            </w:tcBorders>
            <w:shd w:val="clear" w:color="auto" w:fill="auto"/>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35 125</w:t>
            </w:r>
          </w:p>
        </w:tc>
        <w:tc>
          <w:tcPr>
            <w:tcW w:w="1040" w:type="dxa"/>
            <w:tcBorders>
              <w:top w:val="nil"/>
              <w:left w:val="nil"/>
              <w:bottom w:val="nil"/>
              <w:right w:val="nil"/>
            </w:tcBorders>
            <w:shd w:val="clear" w:color="auto" w:fill="auto"/>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24 772</w:t>
            </w:r>
          </w:p>
        </w:tc>
        <w:tc>
          <w:tcPr>
            <w:tcW w:w="2031" w:type="dxa"/>
            <w:tcBorders>
              <w:top w:val="nil"/>
              <w:left w:val="nil"/>
              <w:bottom w:val="nil"/>
              <w:right w:val="nil"/>
            </w:tcBorders>
            <w:shd w:val="clear" w:color="auto" w:fill="auto"/>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70,50%</w:t>
            </w:r>
          </w:p>
        </w:tc>
      </w:tr>
      <w:tr w:rsidR="00A87069" w:rsidRPr="00636841" w:rsidTr="004947E6">
        <w:trPr>
          <w:trHeight w:val="255"/>
        </w:trPr>
        <w:tc>
          <w:tcPr>
            <w:tcW w:w="3276" w:type="dxa"/>
            <w:tcBorders>
              <w:top w:val="nil"/>
              <w:left w:val="nil"/>
              <w:bottom w:val="nil"/>
              <w:right w:val="single" w:sz="4" w:space="0" w:color="auto"/>
            </w:tcBorders>
            <w:shd w:val="clear" w:color="000000" w:fill="F2F2F2"/>
            <w:vAlign w:val="center"/>
            <w:hideMark/>
          </w:tcPr>
          <w:p w:rsidR="00A87069" w:rsidRPr="00636841" w:rsidRDefault="00A87069" w:rsidP="004947E6">
            <w:pPr>
              <w:spacing w:after="0" w:line="240" w:lineRule="auto"/>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Kompóty sterilizované</w:t>
            </w:r>
          </w:p>
        </w:tc>
        <w:tc>
          <w:tcPr>
            <w:tcW w:w="1701" w:type="dxa"/>
            <w:tcBorders>
              <w:top w:val="nil"/>
              <w:left w:val="nil"/>
              <w:bottom w:val="nil"/>
              <w:right w:val="single" w:sz="4" w:space="0" w:color="auto"/>
            </w:tcBorders>
            <w:shd w:val="clear" w:color="000000" w:fill="F2F2F2"/>
            <w:vAlign w:val="center"/>
            <w:hideMark/>
          </w:tcPr>
          <w:p w:rsidR="00A87069" w:rsidRPr="00636841" w:rsidRDefault="00A87069" w:rsidP="004947E6">
            <w:pPr>
              <w:spacing w:after="0" w:line="240" w:lineRule="auto"/>
              <w:jc w:val="center"/>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tona</w:t>
            </w:r>
          </w:p>
        </w:tc>
        <w:tc>
          <w:tcPr>
            <w:tcW w:w="1040" w:type="dxa"/>
            <w:tcBorders>
              <w:top w:val="nil"/>
              <w:left w:val="nil"/>
              <w:bottom w:val="nil"/>
              <w:right w:val="nil"/>
            </w:tcBorders>
            <w:shd w:val="clear" w:color="000000" w:fill="F2F2F2"/>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5 000</w:t>
            </w:r>
          </w:p>
        </w:tc>
        <w:tc>
          <w:tcPr>
            <w:tcW w:w="1040" w:type="dxa"/>
            <w:tcBorders>
              <w:top w:val="nil"/>
              <w:left w:val="nil"/>
              <w:bottom w:val="nil"/>
              <w:right w:val="nil"/>
            </w:tcBorders>
            <w:shd w:val="clear" w:color="000000" w:fill="F2F2F2"/>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1 888</w:t>
            </w:r>
          </w:p>
        </w:tc>
        <w:tc>
          <w:tcPr>
            <w:tcW w:w="2031" w:type="dxa"/>
            <w:tcBorders>
              <w:top w:val="nil"/>
              <w:left w:val="nil"/>
              <w:bottom w:val="nil"/>
              <w:right w:val="nil"/>
            </w:tcBorders>
            <w:shd w:val="clear" w:color="000000" w:fill="F2F2F2"/>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37,80%</w:t>
            </w:r>
          </w:p>
        </w:tc>
      </w:tr>
      <w:tr w:rsidR="00A87069" w:rsidRPr="00636841" w:rsidTr="004947E6">
        <w:trPr>
          <w:trHeight w:val="255"/>
        </w:trPr>
        <w:tc>
          <w:tcPr>
            <w:tcW w:w="3276" w:type="dxa"/>
            <w:tcBorders>
              <w:top w:val="nil"/>
              <w:left w:val="nil"/>
              <w:bottom w:val="nil"/>
              <w:right w:val="single" w:sz="4" w:space="0" w:color="auto"/>
            </w:tcBorders>
            <w:shd w:val="clear" w:color="auto" w:fill="auto"/>
            <w:vAlign w:val="center"/>
            <w:hideMark/>
          </w:tcPr>
          <w:p w:rsidR="00A87069" w:rsidRPr="00636841" w:rsidRDefault="00A87069" w:rsidP="004947E6">
            <w:pPr>
              <w:spacing w:after="0" w:line="240" w:lineRule="auto"/>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Zelenina sterilizovaná</w:t>
            </w:r>
          </w:p>
        </w:tc>
        <w:tc>
          <w:tcPr>
            <w:tcW w:w="1701" w:type="dxa"/>
            <w:tcBorders>
              <w:top w:val="nil"/>
              <w:left w:val="nil"/>
              <w:bottom w:val="nil"/>
              <w:right w:val="single" w:sz="4" w:space="0" w:color="auto"/>
            </w:tcBorders>
            <w:shd w:val="clear" w:color="auto" w:fill="auto"/>
            <w:vAlign w:val="center"/>
            <w:hideMark/>
          </w:tcPr>
          <w:p w:rsidR="00A87069" w:rsidRPr="00636841" w:rsidRDefault="00A87069" w:rsidP="004947E6">
            <w:pPr>
              <w:spacing w:after="0" w:line="240" w:lineRule="auto"/>
              <w:jc w:val="center"/>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tona</w:t>
            </w:r>
          </w:p>
        </w:tc>
        <w:tc>
          <w:tcPr>
            <w:tcW w:w="1040" w:type="dxa"/>
            <w:tcBorders>
              <w:top w:val="nil"/>
              <w:left w:val="nil"/>
              <w:bottom w:val="nil"/>
              <w:right w:val="nil"/>
            </w:tcBorders>
            <w:shd w:val="clear" w:color="auto" w:fill="auto"/>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29 530</w:t>
            </w:r>
          </w:p>
        </w:tc>
        <w:tc>
          <w:tcPr>
            <w:tcW w:w="1040" w:type="dxa"/>
            <w:tcBorders>
              <w:top w:val="nil"/>
              <w:left w:val="nil"/>
              <w:bottom w:val="nil"/>
              <w:right w:val="nil"/>
            </w:tcBorders>
            <w:shd w:val="clear" w:color="auto" w:fill="auto"/>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15 434</w:t>
            </w:r>
          </w:p>
        </w:tc>
        <w:tc>
          <w:tcPr>
            <w:tcW w:w="2031" w:type="dxa"/>
            <w:tcBorders>
              <w:top w:val="nil"/>
              <w:left w:val="nil"/>
              <w:bottom w:val="nil"/>
              <w:right w:val="nil"/>
            </w:tcBorders>
            <w:shd w:val="clear" w:color="auto" w:fill="auto"/>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52,30%</w:t>
            </w:r>
          </w:p>
        </w:tc>
      </w:tr>
      <w:tr w:rsidR="00A87069" w:rsidRPr="00636841" w:rsidTr="004947E6">
        <w:trPr>
          <w:trHeight w:val="255"/>
        </w:trPr>
        <w:tc>
          <w:tcPr>
            <w:tcW w:w="3276" w:type="dxa"/>
            <w:tcBorders>
              <w:top w:val="nil"/>
              <w:left w:val="nil"/>
              <w:bottom w:val="single" w:sz="4" w:space="0" w:color="auto"/>
              <w:right w:val="single" w:sz="4" w:space="0" w:color="auto"/>
            </w:tcBorders>
            <w:shd w:val="clear" w:color="000000" w:fill="F2F2F2"/>
            <w:vAlign w:val="center"/>
            <w:hideMark/>
          </w:tcPr>
          <w:p w:rsidR="00A87069" w:rsidRPr="00636841" w:rsidRDefault="00A87069" w:rsidP="004947E6">
            <w:pPr>
              <w:spacing w:after="0" w:line="240" w:lineRule="auto"/>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Liehoviny</w:t>
            </w:r>
          </w:p>
        </w:tc>
        <w:tc>
          <w:tcPr>
            <w:tcW w:w="1701" w:type="dxa"/>
            <w:tcBorders>
              <w:top w:val="nil"/>
              <w:left w:val="nil"/>
              <w:bottom w:val="single" w:sz="4" w:space="0" w:color="auto"/>
              <w:right w:val="single" w:sz="4" w:space="0" w:color="auto"/>
            </w:tcBorders>
            <w:shd w:val="clear" w:color="000000" w:fill="F2F2F2"/>
            <w:vAlign w:val="center"/>
            <w:hideMark/>
          </w:tcPr>
          <w:p w:rsidR="00A87069" w:rsidRPr="00636841" w:rsidRDefault="00A87069" w:rsidP="004947E6">
            <w:pPr>
              <w:spacing w:after="0" w:line="240" w:lineRule="auto"/>
              <w:jc w:val="center"/>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l a</w:t>
            </w:r>
          </w:p>
        </w:tc>
        <w:tc>
          <w:tcPr>
            <w:tcW w:w="1040" w:type="dxa"/>
            <w:tcBorders>
              <w:top w:val="nil"/>
              <w:left w:val="nil"/>
              <w:bottom w:val="single" w:sz="4" w:space="0" w:color="auto"/>
              <w:right w:val="nil"/>
            </w:tcBorders>
            <w:shd w:val="clear" w:color="000000" w:fill="F2F2F2"/>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38 642 743</w:t>
            </w:r>
          </w:p>
        </w:tc>
        <w:tc>
          <w:tcPr>
            <w:tcW w:w="1040" w:type="dxa"/>
            <w:tcBorders>
              <w:top w:val="nil"/>
              <w:left w:val="nil"/>
              <w:bottom w:val="single" w:sz="4" w:space="0" w:color="auto"/>
              <w:right w:val="nil"/>
            </w:tcBorders>
            <w:shd w:val="clear" w:color="000000" w:fill="F2F2F2"/>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1 4452 422</w:t>
            </w:r>
          </w:p>
        </w:tc>
        <w:tc>
          <w:tcPr>
            <w:tcW w:w="2031" w:type="dxa"/>
            <w:tcBorders>
              <w:top w:val="nil"/>
              <w:left w:val="nil"/>
              <w:bottom w:val="single" w:sz="4" w:space="0" w:color="auto"/>
              <w:right w:val="nil"/>
            </w:tcBorders>
            <w:shd w:val="clear" w:color="000000" w:fill="F2F2F2"/>
            <w:vAlign w:val="center"/>
            <w:hideMark/>
          </w:tcPr>
          <w:p w:rsidR="00A87069" w:rsidRPr="00636841" w:rsidRDefault="00A87069" w:rsidP="004947E6">
            <w:pPr>
              <w:spacing w:after="0" w:line="240" w:lineRule="auto"/>
              <w:jc w:val="right"/>
              <w:rPr>
                <w:rFonts w:ascii="Times New Roman" w:eastAsia="Times New Roman" w:hAnsi="Times New Roman" w:cs="Times New Roman"/>
                <w:color w:val="000000"/>
                <w:sz w:val="20"/>
                <w:szCs w:val="20"/>
              </w:rPr>
            </w:pPr>
            <w:r w:rsidRPr="00636841">
              <w:rPr>
                <w:rFonts w:ascii="Times New Roman" w:eastAsia="Times New Roman" w:hAnsi="Times New Roman" w:cs="Times New Roman"/>
                <w:color w:val="000000"/>
                <w:sz w:val="20"/>
                <w:szCs w:val="20"/>
              </w:rPr>
              <w:t>37,40%</w:t>
            </w:r>
          </w:p>
        </w:tc>
      </w:tr>
    </w:tbl>
    <w:p w:rsidR="00A87069" w:rsidRDefault="00A87069" w:rsidP="00A87069">
      <w:pPr>
        <w:spacing w:after="0" w:line="240" w:lineRule="auto"/>
        <w:jc w:val="right"/>
        <w:rPr>
          <w:rFonts w:ascii="Times New Roman" w:hAnsi="Times New Roman" w:cs="Times New Roman"/>
          <w:sz w:val="24"/>
          <w:szCs w:val="24"/>
        </w:rPr>
      </w:pPr>
      <w:r>
        <w:rPr>
          <w:rFonts w:ascii="Times New Roman" w:hAnsi="Times New Roman"/>
          <w:sz w:val="20"/>
          <w:szCs w:val="20"/>
        </w:rPr>
        <w:t>Zdroj</w:t>
      </w:r>
      <w:r w:rsidRPr="00C814AB">
        <w:rPr>
          <w:rFonts w:ascii="Times New Roman" w:hAnsi="Times New Roman"/>
          <w:sz w:val="20"/>
          <w:szCs w:val="20"/>
        </w:rPr>
        <w:t xml:space="preserve">: </w:t>
      </w:r>
      <w:proofErr w:type="spellStart"/>
      <w:r>
        <w:rPr>
          <w:rFonts w:ascii="Times New Roman" w:hAnsi="Times New Roman"/>
          <w:sz w:val="20"/>
          <w:szCs w:val="20"/>
        </w:rPr>
        <w:t>Potrav</w:t>
      </w:r>
      <w:proofErr w:type="spellEnd"/>
      <w:r>
        <w:rPr>
          <w:rFonts w:ascii="Times New Roman" w:hAnsi="Times New Roman"/>
          <w:sz w:val="20"/>
          <w:szCs w:val="20"/>
        </w:rPr>
        <w:t xml:space="preserve"> (MPRV SR) 1-02, RADELA, VÚEPP</w:t>
      </w:r>
    </w:p>
    <w:p w:rsidR="00A87069" w:rsidRDefault="00A87069" w:rsidP="00A87069">
      <w:pPr>
        <w:spacing w:after="0" w:line="240" w:lineRule="auto"/>
        <w:jc w:val="both"/>
        <w:rPr>
          <w:rFonts w:ascii="Times New Roman" w:hAnsi="Times New Roman" w:cs="Times New Roman"/>
          <w:sz w:val="24"/>
          <w:szCs w:val="24"/>
        </w:rPr>
      </w:pPr>
    </w:p>
    <w:p w:rsidR="00A87069" w:rsidRPr="00636841" w:rsidRDefault="00A87069" w:rsidP="00A87069">
      <w:pPr>
        <w:spacing w:after="0" w:line="240" w:lineRule="auto"/>
        <w:jc w:val="both"/>
        <w:rPr>
          <w:rFonts w:ascii="Times New Roman" w:hAnsi="Times New Roman" w:cs="Times New Roman"/>
          <w:sz w:val="24"/>
          <w:szCs w:val="24"/>
        </w:rPr>
      </w:pPr>
      <w:r w:rsidRPr="00636841">
        <w:rPr>
          <w:rFonts w:ascii="Times New Roman" w:hAnsi="Times New Roman" w:cs="Times New Roman"/>
          <w:sz w:val="24"/>
          <w:szCs w:val="24"/>
        </w:rPr>
        <w:t>Dôvodom ich nevyužívania môže byť to, že výrobné kapacity sú väčšinou zastarané, s vysokou spotrebou energie a bez výraznejších inovácií. Finančné prostriedky čerpané z Programu rozvoja vidieka (PRV) boli investované na obnovu primárnych výrobných kapacít bez diverzifikácie a orientácie výroby viac na špeciality, ako na komodity. Táto skutočnosť sa negatívne prejavuje hlavne vo vzťahu k ponuke nových výrobkov na trh. Potravinársky priemysel nemá prepojenie na výsledky vedy a výskumu, čo tiež negatívne ovplyvňuje jeho inovačné schopnosti a posun ku kvalitatívne novým a funkčným potravinám.</w:t>
      </w:r>
    </w:p>
    <w:p w:rsidR="00A87069" w:rsidRDefault="00A87069" w:rsidP="00A87069">
      <w:pPr>
        <w:spacing w:after="0" w:line="240" w:lineRule="auto"/>
        <w:jc w:val="both"/>
        <w:rPr>
          <w:rFonts w:ascii="Times New Roman" w:hAnsi="Times New Roman" w:cs="Times New Roman"/>
          <w:sz w:val="24"/>
          <w:szCs w:val="24"/>
        </w:rPr>
      </w:pPr>
    </w:p>
    <w:p w:rsidR="00A87069" w:rsidRPr="0030067A" w:rsidRDefault="00A87069" w:rsidP="00A87069">
      <w:pPr>
        <w:spacing w:after="0" w:line="240" w:lineRule="auto"/>
        <w:jc w:val="both"/>
        <w:rPr>
          <w:rFonts w:ascii="Times New Roman" w:hAnsi="Times New Roman" w:cs="Times New Roman"/>
          <w:sz w:val="24"/>
          <w:szCs w:val="24"/>
        </w:rPr>
      </w:pPr>
      <w:r w:rsidRPr="00EB19B1">
        <w:rPr>
          <w:rFonts w:ascii="Times New Roman" w:hAnsi="Times New Roman" w:cs="Times New Roman"/>
          <w:sz w:val="24"/>
          <w:szCs w:val="24"/>
        </w:rPr>
        <w:t>Podľa odhadu údajov ŠÚ SR o spotrebe potravín v kg na obyvateľa SR za rok 2011, sa medziročne zvýšila spotreba mäsa v hodnote na kosti o 0,6 kg. Negatívny trend poklesu spotreby hovädzieho mäsa pokračoval a spotreba medziročne klesla o 0,7 kg. Spotreba bravčového a hydinového mäsa po poklese v predchádzajúcom roku opäť stúpla o 0,8 resp. 0,6 kg. Negatívnym trendom bol i pokles spotreby</w:t>
      </w:r>
      <w:r>
        <w:rPr>
          <w:rFonts w:ascii="Times New Roman" w:hAnsi="Times New Roman" w:cs="Times New Roman"/>
          <w:sz w:val="24"/>
          <w:szCs w:val="24"/>
        </w:rPr>
        <w:t xml:space="preserve"> mlieka a mliečnych výrobkov o 5,9</w:t>
      </w:r>
      <w:r w:rsidRPr="00EB19B1">
        <w:rPr>
          <w:rFonts w:ascii="Times New Roman" w:hAnsi="Times New Roman" w:cs="Times New Roman"/>
          <w:sz w:val="24"/>
          <w:szCs w:val="24"/>
        </w:rPr>
        <w:t> kg. Naopak pozitívnym javom je nárast spotreby zeleniny o 6,9 kg, obilia v hodnote múky o 5,1 kg, zemiakov o 0,9 kg, ovocia o 0,7 kg a pokles spotreby tukov o 1,2 kg.</w:t>
      </w:r>
      <w:r>
        <w:rPr>
          <w:rFonts w:ascii="Times New Roman" w:hAnsi="Times New Roman" w:cs="Times New Roman"/>
          <w:sz w:val="24"/>
          <w:szCs w:val="24"/>
        </w:rPr>
        <w:t xml:space="preserve"> </w:t>
      </w:r>
      <w:r w:rsidRPr="00014BA1">
        <w:rPr>
          <w:rFonts w:ascii="Times New Roman" w:hAnsi="Times New Roman"/>
          <w:sz w:val="24"/>
          <w:szCs w:val="24"/>
        </w:rPr>
        <w:t xml:space="preserve">V oblasti výživy je nevyhnutné budovať vzťah k zdravej výžive u detí od školského veku, čo vo vyučovacích osnovách absentuje. Program ozdravenia výživy </w:t>
      </w:r>
      <w:r>
        <w:rPr>
          <w:rFonts w:ascii="Times New Roman" w:hAnsi="Times New Roman"/>
          <w:sz w:val="24"/>
          <w:szCs w:val="24"/>
        </w:rPr>
        <w:t>školopovinných detí</w:t>
      </w:r>
      <w:r w:rsidRPr="00014BA1">
        <w:rPr>
          <w:rFonts w:ascii="Times New Roman" w:hAnsi="Times New Roman"/>
          <w:sz w:val="24"/>
          <w:szCs w:val="24"/>
        </w:rPr>
        <w:t xml:space="preserve"> rezort napĺ</w:t>
      </w:r>
      <w:r>
        <w:rPr>
          <w:rFonts w:ascii="Times New Roman" w:hAnsi="Times New Roman"/>
          <w:sz w:val="24"/>
          <w:szCs w:val="24"/>
        </w:rPr>
        <w:t>ňa</w:t>
      </w:r>
      <w:r w:rsidRPr="00014BA1">
        <w:rPr>
          <w:rFonts w:ascii="Times New Roman" w:hAnsi="Times New Roman"/>
          <w:sz w:val="24"/>
          <w:szCs w:val="24"/>
        </w:rPr>
        <w:t xml:space="preserve"> pomocou programov „ško</w:t>
      </w:r>
      <w:r>
        <w:rPr>
          <w:rFonts w:ascii="Times New Roman" w:hAnsi="Times New Roman"/>
          <w:sz w:val="24"/>
          <w:szCs w:val="24"/>
        </w:rPr>
        <w:t>lské ovocie“ a „školské mlieko</w:t>
      </w:r>
      <w:r w:rsidRPr="00014BA1">
        <w:rPr>
          <w:rFonts w:ascii="Times New Roman" w:hAnsi="Times New Roman"/>
          <w:sz w:val="24"/>
          <w:szCs w:val="24"/>
        </w:rPr>
        <w:t xml:space="preserve">“ </w:t>
      </w:r>
      <w:r>
        <w:rPr>
          <w:rFonts w:ascii="Times New Roman" w:hAnsi="Times New Roman"/>
          <w:sz w:val="24"/>
          <w:szCs w:val="24"/>
        </w:rPr>
        <w:t>s finančnou podporou EÚ.</w:t>
      </w:r>
    </w:p>
    <w:p w:rsidR="00A87069" w:rsidRDefault="00A87069" w:rsidP="00A87069">
      <w:pPr>
        <w:spacing w:after="0" w:line="240" w:lineRule="auto"/>
        <w:jc w:val="both"/>
        <w:rPr>
          <w:rFonts w:ascii="Times New Roman" w:hAnsi="Times New Roman" w:cs="Times New Roman"/>
          <w:sz w:val="24"/>
          <w:szCs w:val="24"/>
        </w:rPr>
      </w:pPr>
    </w:p>
    <w:p w:rsidR="00A87069" w:rsidRDefault="00A87069" w:rsidP="00A87069">
      <w:pPr>
        <w:spacing w:after="0" w:line="240" w:lineRule="auto"/>
        <w:jc w:val="both"/>
        <w:rPr>
          <w:rFonts w:ascii="Times New Roman" w:hAnsi="Times New Roman"/>
          <w:sz w:val="24"/>
          <w:szCs w:val="24"/>
        </w:rPr>
      </w:pPr>
      <w:r w:rsidRPr="00C814AB">
        <w:rPr>
          <w:rFonts w:ascii="Times New Roman" w:hAnsi="Times New Roman"/>
          <w:sz w:val="24"/>
          <w:szCs w:val="24"/>
        </w:rPr>
        <w:t xml:space="preserve">Pokles podielu slovenských výrobkov nastal </w:t>
      </w:r>
      <w:r>
        <w:rPr>
          <w:rFonts w:ascii="Times New Roman" w:hAnsi="Times New Roman"/>
          <w:sz w:val="24"/>
          <w:szCs w:val="24"/>
        </w:rPr>
        <w:t>najmä</w:t>
      </w:r>
      <w:r w:rsidRPr="00C814AB">
        <w:rPr>
          <w:rFonts w:ascii="Times New Roman" w:hAnsi="Times New Roman"/>
          <w:sz w:val="24"/>
          <w:szCs w:val="24"/>
        </w:rPr>
        <w:t xml:space="preserve"> v obchodnej sieti. Podiel produktov slovenského hydinárskeho priemyslu o viac ako 50 </w:t>
      </w:r>
      <w:proofErr w:type="spellStart"/>
      <w:r w:rsidRPr="00C814AB">
        <w:rPr>
          <w:rFonts w:ascii="Times New Roman" w:hAnsi="Times New Roman"/>
          <w:sz w:val="24"/>
          <w:szCs w:val="24"/>
        </w:rPr>
        <w:t>p.b</w:t>
      </w:r>
      <w:proofErr w:type="spellEnd"/>
      <w:r w:rsidRPr="00C814AB">
        <w:rPr>
          <w:rFonts w:ascii="Times New Roman" w:hAnsi="Times New Roman"/>
          <w:sz w:val="24"/>
          <w:szCs w:val="24"/>
        </w:rPr>
        <w:t>. a</w:t>
      </w:r>
      <w:r>
        <w:rPr>
          <w:rFonts w:ascii="Times New Roman" w:hAnsi="Times New Roman"/>
          <w:sz w:val="24"/>
          <w:szCs w:val="24"/>
        </w:rPr>
        <w:t> </w:t>
      </w:r>
      <w:r w:rsidRPr="00C814AB">
        <w:rPr>
          <w:rFonts w:ascii="Times New Roman" w:hAnsi="Times New Roman"/>
          <w:sz w:val="24"/>
          <w:szCs w:val="24"/>
        </w:rPr>
        <w:t xml:space="preserve">podiel produktov mäsového a mliekarenského priemyslu približne o 40 </w:t>
      </w:r>
      <w:proofErr w:type="spellStart"/>
      <w:r w:rsidRPr="00C814AB">
        <w:rPr>
          <w:rFonts w:ascii="Times New Roman" w:hAnsi="Times New Roman"/>
          <w:sz w:val="24"/>
          <w:szCs w:val="24"/>
        </w:rPr>
        <w:t>p.b</w:t>
      </w:r>
      <w:proofErr w:type="spellEnd"/>
      <w:r w:rsidRPr="00C814AB">
        <w:rPr>
          <w:rFonts w:ascii="Times New Roman" w:hAnsi="Times New Roman"/>
          <w:sz w:val="24"/>
          <w:szCs w:val="24"/>
        </w:rPr>
        <w:t xml:space="preserve">.. O tretinu klesol aj podiel výrobkov slovenského mlynského a tukového priemyslu. Pri pekárskych výrobkoch je situácia najpriaznivejšia (pokles podielu „len“ o 16 </w:t>
      </w:r>
      <w:proofErr w:type="spellStart"/>
      <w:r w:rsidRPr="00C814AB">
        <w:rPr>
          <w:rFonts w:ascii="Times New Roman" w:hAnsi="Times New Roman"/>
          <w:sz w:val="24"/>
          <w:szCs w:val="24"/>
        </w:rPr>
        <w:t>p.b</w:t>
      </w:r>
      <w:proofErr w:type="spellEnd"/>
      <w:r w:rsidRPr="00C814AB">
        <w:rPr>
          <w:rFonts w:ascii="Times New Roman" w:hAnsi="Times New Roman"/>
          <w:sz w:val="24"/>
          <w:szCs w:val="24"/>
        </w:rPr>
        <w:t>.), čo súvisí s nižšou trvanlivosťou produktov a prevažujúcou produkciou čerst</w:t>
      </w:r>
      <w:r>
        <w:rPr>
          <w:rFonts w:ascii="Times New Roman" w:hAnsi="Times New Roman"/>
          <w:sz w:val="24"/>
          <w:szCs w:val="24"/>
        </w:rPr>
        <w:t xml:space="preserve">vého </w:t>
      </w:r>
      <w:r w:rsidRPr="00C814AB">
        <w:rPr>
          <w:rFonts w:ascii="Times New Roman" w:hAnsi="Times New Roman"/>
          <w:sz w:val="24"/>
          <w:szCs w:val="24"/>
        </w:rPr>
        <w:t xml:space="preserve">chleba a pečiva. </w:t>
      </w:r>
    </w:p>
    <w:p w:rsidR="00A87069" w:rsidRPr="00B04C0B" w:rsidRDefault="00A87069" w:rsidP="00A87069">
      <w:pPr>
        <w:pStyle w:val="Popis"/>
        <w:keepNext/>
        <w:tabs>
          <w:tab w:val="left" w:pos="993"/>
        </w:tabs>
        <w:spacing w:before="0" w:after="0"/>
        <w:ind w:left="993" w:hanging="993"/>
        <w:rPr>
          <w:rFonts w:eastAsiaTheme="minorEastAsia"/>
          <w:b w:val="0"/>
          <w:sz w:val="20"/>
          <w:szCs w:val="20"/>
        </w:rPr>
      </w:pPr>
      <w:r>
        <w:rPr>
          <w:b w:val="0"/>
          <w:sz w:val="20"/>
          <w:szCs w:val="20"/>
        </w:rPr>
        <w:lastRenderedPageBreak/>
        <w:t>Graf č. 6</w:t>
      </w:r>
      <w:r w:rsidRPr="00DE7125">
        <w:rPr>
          <w:b w:val="0"/>
          <w:sz w:val="20"/>
          <w:szCs w:val="20"/>
        </w:rPr>
        <w:t>:</w:t>
      </w:r>
      <w:r>
        <w:rPr>
          <w:rFonts w:eastAsiaTheme="minorEastAsia"/>
          <w:b w:val="0"/>
          <w:sz w:val="20"/>
          <w:szCs w:val="20"/>
        </w:rPr>
        <w:t xml:space="preserve"> </w:t>
      </w:r>
      <w:r>
        <w:rPr>
          <w:rFonts w:eastAsiaTheme="minorEastAsia"/>
          <w:b w:val="0"/>
          <w:sz w:val="20"/>
          <w:szCs w:val="20"/>
        </w:rPr>
        <w:tab/>
        <w:t>Vývoj podielu slovenských výrobkov na domácom trhu pri vybraných odboroch potravinárskeho priemyslu (porovnanie rokov 2002 a 2011)</w:t>
      </w:r>
      <w:r w:rsidRPr="00DE7125">
        <w:rPr>
          <w:rFonts w:eastAsiaTheme="minorEastAsia"/>
          <w:b w:val="0"/>
          <w:sz w:val="20"/>
          <w:szCs w:val="20"/>
        </w:rPr>
        <w:t xml:space="preserve"> </w:t>
      </w:r>
    </w:p>
    <w:p w:rsidR="00A87069" w:rsidRDefault="00A87069" w:rsidP="00A87069">
      <w:pPr>
        <w:spacing w:after="0" w:line="240" w:lineRule="auto"/>
        <w:jc w:val="both"/>
        <w:rPr>
          <w:rFonts w:ascii="Times New Roman" w:hAnsi="Times New Roman"/>
          <w:sz w:val="24"/>
          <w:szCs w:val="24"/>
        </w:rPr>
      </w:pPr>
      <w:r>
        <w:rPr>
          <w:noProof/>
        </w:rPr>
        <w:drawing>
          <wp:inline distT="0" distB="0" distL="0" distR="0" wp14:anchorId="5404204F" wp14:editId="3D585A21">
            <wp:extent cx="5757062" cy="2684678"/>
            <wp:effectExtent l="0" t="0" r="0" b="0"/>
            <wp:docPr id="294" name="Graf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7069" w:rsidRDefault="00A87069" w:rsidP="00A87069">
      <w:pPr>
        <w:spacing w:after="0" w:line="240" w:lineRule="auto"/>
        <w:jc w:val="right"/>
        <w:rPr>
          <w:rFonts w:ascii="Times New Roman" w:hAnsi="Times New Roman" w:cs="Times New Roman"/>
          <w:sz w:val="24"/>
          <w:szCs w:val="24"/>
        </w:rPr>
      </w:pPr>
      <w:r>
        <w:rPr>
          <w:rFonts w:ascii="Times New Roman" w:hAnsi="Times New Roman"/>
          <w:sz w:val="20"/>
          <w:szCs w:val="20"/>
        </w:rPr>
        <w:t>Zdroj</w:t>
      </w:r>
      <w:r w:rsidRPr="00C814AB">
        <w:rPr>
          <w:rFonts w:ascii="Times New Roman" w:hAnsi="Times New Roman"/>
          <w:sz w:val="20"/>
          <w:szCs w:val="20"/>
        </w:rPr>
        <w:t xml:space="preserve">: </w:t>
      </w:r>
      <w:proofErr w:type="spellStart"/>
      <w:r>
        <w:rPr>
          <w:rFonts w:ascii="Times New Roman" w:hAnsi="Times New Roman"/>
          <w:sz w:val="20"/>
          <w:szCs w:val="20"/>
        </w:rPr>
        <w:t>Potrav</w:t>
      </w:r>
      <w:proofErr w:type="spellEnd"/>
      <w:r>
        <w:rPr>
          <w:rFonts w:ascii="Times New Roman" w:hAnsi="Times New Roman"/>
          <w:sz w:val="20"/>
          <w:szCs w:val="20"/>
        </w:rPr>
        <w:t xml:space="preserve"> (MPRV SR), ŠÚSR, RADELA, VÚEPP</w:t>
      </w:r>
    </w:p>
    <w:p w:rsidR="00A87069" w:rsidRDefault="00A87069" w:rsidP="00A87069">
      <w:pPr>
        <w:spacing w:after="0" w:line="240" w:lineRule="auto"/>
        <w:jc w:val="both"/>
        <w:rPr>
          <w:rFonts w:ascii="Times New Roman" w:hAnsi="Times New Roman"/>
          <w:sz w:val="24"/>
          <w:szCs w:val="24"/>
        </w:rPr>
      </w:pPr>
    </w:p>
    <w:p w:rsidR="00A87069" w:rsidRDefault="00A87069" w:rsidP="00A87069">
      <w:pPr>
        <w:spacing w:after="0" w:line="240" w:lineRule="auto"/>
        <w:jc w:val="both"/>
        <w:rPr>
          <w:rFonts w:ascii="Times New Roman" w:hAnsi="Times New Roman"/>
          <w:sz w:val="24"/>
          <w:szCs w:val="24"/>
        </w:rPr>
      </w:pPr>
      <w:r w:rsidRPr="00C814AB">
        <w:rPr>
          <w:rFonts w:ascii="Times New Roman" w:hAnsi="Times New Roman"/>
          <w:sz w:val="24"/>
          <w:szCs w:val="24"/>
        </w:rPr>
        <w:t>Z odborov produkujúcich alkoholické a nealkoholické nápoje si napriek miernemu poklesu dobrú pozíciu udržuje pivovarnícko-sladovnícky priemysel s</w:t>
      </w:r>
      <w:r>
        <w:rPr>
          <w:rFonts w:ascii="Times New Roman" w:hAnsi="Times New Roman"/>
          <w:sz w:val="24"/>
          <w:szCs w:val="24"/>
        </w:rPr>
        <w:t> </w:t>
      </w:r>
      <w:r w:rsidRPr="00C814AB">
        <w:rPr>
          <w:rFonts w:ascii="Times New Roman" w:hAnsi="Times New Roman"/>
          <w:sz w:val="24"/>
          <w:szCs w:val="24"/>
        </w:rPr>
        <w:t>80</w:t>
      </w:r>
      <w:r>
        <w:rPr>
          <w:rFonts w:ascii="Times New Roman" w:hAnsi="Times New Roman"/>
          <w:sz w:val="24"/>
          <w:szCs w:val="24"/>
        </w:rPr>
        <w:t> </w:t>
      </w:r>
      <w:r w:rsidRPr="00C814AB">
        <w:rPr>
          <w:rFonts w:ascii="Times New Roman" w:hAnsi="Times New Roman"/>
          <w:sz w:val="24"/>
          <w:szCs w:val="24"/>
        </w:rPr>
        <w:t>%</w:t>
      </w:r>
      <w:r>
        <w:rPr>
          <w:rFonts w:ascii="Times New Roman" w:hAnsi="Times New Roman"/>
          <w:sz w:val="24"/>
          <w:szCs w:val="24"/>
        </w:rPr>
        <w:t>-</w:t>
      </w:r>
      <w:proofErr w:type="spellStart"/>
      <w:r w:rsidRPr="00C814AB">
        <w:rPr>
          <w:rFonts w:ascii="Times New Roman" w:hAnsi="Times New Roman"/>
          <w:sz w:val="24"/>
          <w:szCs w:val="24"/>
        </w:rPr>
        <w:t>n</w:t>
      </w:r>
      <w:r>
        <w:rPr>
          <w:rFonts w:ascii="Times New Roman" w:hAnsi="Times New Roman"/>
          <w:sz w:val="24"/>
          <w:szCs w:val="24"/>
        </w:rPr>
        <w:t>ým</w:t>
      </w:r>
      <w:proofErr w:type="spellEnd"/>
      <w:r>
        <w:rPr>
          <w:rFonts w:ascii="Times New Roman" w:hAnsi="Times New Roman"/>
          <w:sz w:val="24"/>
          <w:szCs w:val="24"/>
        </w:rPr>
        <w:t xml:space="preserve"> podielom na slovenskom trhu. </w:t>
      </w:r>
      <w:r w:rsidRPr="00C814AB">
        <w:rPr>
          <w:rFonts w:ascii="Times New Roman" w:hAnsi="Times New Roman"/>
          <w:sz w:val="24"/>
          <w:szCs w:val="24"/>
        </w:rPr>
        <w:t xml:space="preserve">V roku 2011 sme </w:t>
      </w:r>
      <w:r>
        <w:rPr>
          <w:rFonts w:ascii="Times New Roman" w:hAnsi="Times New Roman"/>
          <w:sz w:val="24"/>
          <w:szCs w:val="24"/>
        </w:rPr>
        <w:t xml:space="preserve">takto </w:t>
      </w:r>
      <w:r w:rsidRPr="00C814AB">
        <w:rPr>
          <w:rFonts w:ascii="Times New Roman" w:hAnsi="Times New Roman"/>
          <w:sz w:val="24"/>
          <w:szCs w:val="24"/>
        </w:rPr>
        <w:t>z celkového rozpočtu domácností na potraviny, nápoje a tabak vynaložili až 58,2</w:t>
      </w:r>
      <w:r>
        <w:rPr>
          <w:rFonts w:ascii="Times New Roman" w:hAnsi="Times New Roman"/>
          <w:sz w:val="24"/>
          <w:szCs w:val="24"/>
        </w:rPr>
        <w:t> </w:t>
      </w:r>
      <w:r w:rsidRPr="00C814AB">
        <w:rPr>
          <w:rFonts w:ascii="Times New Roman" w:hAnsi="Times New Roman"/>
          <w:sz w:val="24"/>
          <w:szCs w:val="24"/>
        </w:rPr>
        <w:t xml:space="preserve">% na agropotravinársky tovar z dovozu (nahraditeľné komodity, ktoré </w:t>
      </w:r>
      <w:r>
        <w:rPr>
          <w:rFonts w:ascii="Times New Roman" w:hAnsi="Times New Roman"/>
          <w:sz w:val="24"/>
          <w:szCs w:val="24"/>
        </w:rPr>
        <w:t>SR dokáže vyrobiť).</w:t>
      </w:r>
    </w:p>
    <w:p w:rsidR="00A87069" w:rsidRDefault="00A87069" w:rsidP="00A87069">
      <w:pPr>
        <w:spacing w:after="0" w:line="240" w:lineRule="auto"/>
        <w:jc w:val="both"/>
        <w:rPr>
          <w:rFonts w:ascii="Times New Roman" w:hAnsi="Times New Roman"/>
          <w:sz w:val="24"/>
          <w:szCs w:val="24"/>
        </w:rPr>
      </w:pPr>
    </w:p>
    <w:p w:rsidR="00A87069" w:rsidRDefault="00A87069" w:rsidP="00A87069">
      <w:pPr>
        <w:spacing w:after="0" w:line="240" w:lineRule="auto"/>
        <w:jc w:val="both"/>
        <w:rPr>
          <w:rFonts w:ascii="Times New Roman" w:hAnsi="Times New Roman"/>
          <w:sz w:val="24"/>
          <w:szCs w:val="24"/>
        </w:rPr>
      </w:pPr>
      <w:r w:rsidRPr="00C814AB">
        <w:rPr>
          <w:rFonts w:ascii="Times New Roman" w:hAnsi="Times New Roman"/>
          <w:sz w:val="24"/>
          <w:szCs w:val="24"/>
        </w:rPr>
        <w:t>Slovenský agrárny obchod je veľmi dynamický. V období rokov 2002 – 2011 sa dovoz agropotravinárskeho tovaru zvýšil viac ako 2,5-násobne, kým hodnota agropotravinárskeho vývozu sa zvýšila dokonca viac ako 3,5-násobne</w:t>
      </w:r>
      <w:r>
        <w:rPr>
          <w:rFonts w:ascii="Times New Roman" w:hAnsi="Times New Roman"/>
          <w:sz w:val="24"/>
          <w:szCs w:val="24"/>
        </w:rPr>
        <w:t xml:space="preserve">. </w:t>
      </w:r>
    </w:p>
    <w:p w:rsidR="00A87069" w:rsidRDefault="00A87069" w:rsidP="00A87069">
      <w:pPr>
        <w:spacing w:after="0" w:line="240" w:lineRule="auto"/>
        <w:jc w:val="both"/>
        <w:rPr>
          <w:rFonts w:ascii="Times New Roman" w:hAnsi="Times New Roman"/>
          <w:sz w:val="24"/>
          <w:szCs w:val="24"/>
        </w:rPr>
      </w:pPr>
    </w:p>
    <w:p w:rsidR="00A87069" w:rsidRPr="008A67C4" w:rsidRDefault="00A87069" w:rsidP="00A87069">
      <w:pPr>
        <w:spacing w:after="0" w:line="240" w:lineRule="auto"/>
        <w:jc w:val="both"/>
        <w:rPr>
          <w:rFonts w:ascii="Times New Roman" w:hAnsi="Times New Roman" w:cs="Times New Roman"/>
          <w:sz w:val="20"/>
          <w:szCs w:val="20"/>
        </w:rPr>
      </w:pPr>
      <w:r w:rsidRPr="00A855A4">
        <w:rPr>
          <w:rFonts w:ascii="Times New Roman" w:hAnsi="Times New Roman" w:cs="Times New Roman"/>
          <w:sz w:val="20"/>
          <w:szCs w:val="20"/>
        </w:rPr>
        <w:t>Tab. č.1</w:t>
      </w:r>
      <w:r>
        <w:rPr>
          <w:rFonts w:ascii="Times New Roman" w:hAnsi="Times New Roman" w:cs="Times New Roman"/>
          <w:sz w:val="20"/>
          <w:szCs w:val="20"/>
        </w:rPr>
        <w:t>6</w:t>
      </w:r>
      <w:r w:rsidRPr="00A855A4">
        <w:rPr>
          <w:rFonts w:ascii="Times New Roman" w:hAnsi="Times New Roman" w:cs="Times New Roman"/>
          <w:sz w:val="20"/>
          <w:szCs w:val="20"/>
        </w:rPr>
        <w:t xml:space="preserve">: </w:t>
      </w:r>
      <w:r>
        <w:rPr>
          <w:rFonts w:ascii="Times New Roman" w:hAnsi="Times New Roman" w:cs="Times New Roman"/>
          <w:sz w:val="20"/>
          <w:szCs w:val="20"/>
        </w:rPr>
        <w:t>Prehľad o celkovom obchode SR s poľnohospodárskymi a potravinárskymi výrobkami v mil. EUR</w:t>
      </w:r>
    </w:p>
    <w:tbl>
      <w:tblPr>
        <w:tblW w:w="9087" w:type="dxa"/>
        <w:tblInd w:w="55" w:type="dxa"/>
        <w:tblCellMar>
          <w:left w:w="70" w:type="dxa"/>
          <w:right w:w="70" w:type="dxa"/>
        </w:tblCellMar>
        <w:tblLook w:val="04A0" w:firstRow="1" w:lastRow="0" w:firstColumn="1" w:lastColumn="0" w:noHBand="0" w:noVBand="1"/>
      </w:tblPr>
      <w:tblGrid>
        <w:gridCol w:w="3134"/>
        <w:gridCol w:w="850"/>
        <w:gridCol w:w="851"/>
        <w:gridCol w:w="850"/>
        <w:gridCol w:w="851"/>
        <w:gridCol w:w="850"/>
        <w:gridCol w:w="851"/>
        <w:gridCol w:w="850"/>
      </w:tblGrid>
      <w:tr w:rsidR="00A87069" w:rsidRPr="00534D3B" w:rsidTr="004947E6">
        <w:trPr>
          <w:trHeight w:val="300"/>
        </w:trPr>
        <w:tc>
          <w:tcPr>
            <w:tcW w:w="3134" w:type="dxa"/>
            <w:tcBorders>
              <w:top w:val="single" w:sz="4" w:space="0" w:color="auto"/>
              <w:left w:val="nil"/>
              <w:bottom w:val="single" w:sz="4" w:space="0" w:color="auto"/>
              <w:right w:val="single" w:sz="4" w:space="0" w:color="auto"/>
            </w:tcBorders>
            <w:shd w:val="clear" w:color="000000" w:fill="BFBFBF"/>
            <w:vAlign w:val="center"/>
            <w:hideMark/>
          </w:tcPr>
          <w:p w:rsidR="00A87069" w:rsidRPr="00534D3B" w:rsidRDefault="00A87069" w:rsidP="004947E6">
            <w:pPr>
              <w:spacing w:after="0" w:line="240" w:lineRule="auto"/>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A87069" w:rsidRPr="00534D3B" w:rsidRDefault="00A87069" w:rsidP="004947E6">
            <w:pPr>
              <w:spacing w:after="0" w:line="240" w:lineRule="auto"/>
              <w:jc w:val="center"/>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2002</w:t>
            </w:r>
          </w:p>
        </w:tc>
        <w:tc>
          <w:tcPr>
            <w:tcW w:w="851" w:type="dxa"/>
            <w:tcBorders>
              <w:top w:val="single" w:sz="4" w:space="0" w:color="auto"/>
              <w:left w:val="nil"/>
              <w:bottom w:val="single" w:sz="4" w:space="0" w:color="auto"/>
              <w:right w:val="nil"/>
            </w:tcBorders>
            <w:shd w:val="clear" w:color="000000" w:fill="BFBFBF"/>
            <w:vAlign w:val="center"/>
            <w:hideMark/>
          </w:tcPr>
          <w:p w:rsidR="00A87069" w:rsidRPr="00534D3B" w:rsidRDefault="00A87069" w:rsidP="004947E6">
            <w:pPr>
              <w:spacing w:after="0" w:line="240" w:lineRule="auto"/>
              <w:jc w:val="center"/>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2007</w:t>
            </w:r>
          </w:p>
        </w:tc>
        <w:tc>
          <w:tcPr>
            <w:tcW w:w="850" w:type="dxa"/>
            <w:tcBorders>
              <w:top w:val="single" w:sz="4" w:space="0" w:color="auto"/>
              <w:left w:val="nil"/>
              <w:bottom w:val="single" w:sz="4" w:space="0" w:color="auto"/>
              <w:right w:val="nil"/>
            </w:tcBorders>
            <w:shd w:val="clear" w:color="000000" w:fill="BFBFBF"/>
            <w:vAlign w:val="center"/>
            <w:hideMark/>
          </w:tcPr>
          <w:p w:rsidR="00A87069" w:rsidRPr="00534D3B" w:rsidRDefault="00A87069" w:rsidP="004947E6">
            <w:pPr>
              <w:spacing w:after="0" w:line="240" w:lineRule="auto"/>
              <w:jc w:val="center"/>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2008</w:t>
            </w:r>
          </w:p>
        </w:tc>
        <w:tc>
          <w:tcPr>
            <w:tcW w:w="851" w:type="dxa"/>
            <w:tcBorders>
              <w:top w:val="single" w:sz="4" w:space="0" w:color="auto"/>
              <w:left w:val="nil"/>
              <w:bottom w:val="single" w:sz="4" w:space="0" w:color="auto"/>
              <w:right w:val="nil"/>
            </w:tcBorders>
            <w:shd w:val="clear" w:color="000000" w:fill="BFBFBF"/>
            <w:vAlign w:val="center"/>
            <w:hideMark/>
          </w:tcPr>
          <w:p w:rsidR="00A87069" w:rsidRPr="00534D3B" w:rsidRDefault="00A87069" w:rsidP="004947E6">
            <w:pPr>
              <w:spacing w:after="0" w:line="240" w:lineRule="auto"/>
              <w:jc w:val="center"/>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2009</w:t>
            </w:r>
          </w:p>
        </w:tc>
        <w:tc>
          <w:tcPr>
            <w:tcW w:w="850" w:type="dxa"/>
            <w:tcBorders>
              <w:top w:val="single" w:sz="4" w:space="0" w:color="auto"/>
              <w:left w:val="nil"/>
              <w:bottom w:val="single" w:sz="4" w:space="0" w:color="auto"/>
              <w:right w:val="nil"/>
            </w:tcBorders>
            <w:shd w:val="clear" w:color="000000" w:fill="BFBFBF"/>
            <w:vAlign w:val="center"/>
            <w:hideMark/>
          </w:tcPr>
          <w:p w:rsidR="00A87069" w:rsidRPr="00534D3B" w:rsidRDefault="00A87069" w:rsidP="004947E6">
            <w:pPr>
              <w:spacing w:after="0" w:line="240" w:lineRule="auto"/>
              <w:jc w:val="center"/>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2010</w:t>
            </w:r>
          </w:p>
        </w:tc>
        <w:tc>
          <w:tcPr>
            <w:tcW w:w="851" w:type="dxa"/>
            <w:tcBorders>
              <w:top w:val="single" w:sz="4" w:space="0" w:color="auto"/>
              <w:left w:val="nil"/>
              <w:bottom w:val="single" w:sz="4" w:space="0" w:color="auto"/>
              <w:right w:val="nil"/>
            </w:tcBorders>
            <w:shd w:val="clear" w:color="000000" w:fill="BFBFBF"/>
            <w:vAlign w:val="center"/>
            <w:hideMark/>
          </w:tcPr>
          <w:p w:rsidR="00A87069" w:rsidRPr="00534D3B" w:rsidRDefault="00A87069" w:rsidP="004947E6">
            <w:pPr>
              <w:spacing w:after="0" w:line="240" w:lineRule="auto"/>
              <w:jc w:val="center"/>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2011</w:t>
            </w:r>
          </w:p>
        </w:tc>
        <w:tc>
          <w:tcPr>
            <w:tcW w:w="850" w:type="dxa"/>
            <w:tcBorders>
              <w:top w:val="single" w:sz="4" w:space="0" w:color="auto"/>
              <w:left w:val="nil"/>
              <w:bottom w:val="single" w:sz="4" w:space="0" w:color="auto"/>
              <w:right w:val="nil"/>
            </w:tcBorders>
            <w:shd w:val="clear" w:color="000000" w:fill="BFBFBF"/>
            <w:vAlign w:val="center"/>
            <w:hideMark/>
          </w:tcPr>
          <w:p w:rsidR="00A87069" w:rsidRPr="00534D3B" w:rsidRDefault="00A87069" w:rsidP="004947E6">
            <w:pPr>
              <w:spacing w:after="0" w:line="240" w:lineRule="auto"/>
              <w:jc w:val="center"/>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2012</w:t>
            </w:r>
          </w:p>
        </w:tc>
      </w:tr>
      <w:tr w:rsidR="00A87069" w:rsidRPr="00534D3B" w:rsidTr="004947E6">
        <w:trPr>
          <w:trHeight w:val="300"/>
        </w:trPr>
        <w:tc>
          <w:tcPr>
            <w:tcW w:w="3134" w:type="dxa"/>
            <w:tcBorders>
              <w:top w:val="nil"/>
              <w:left w:val="nil"/>
              <w:bottom w:val="nil"/>
              <w:right w:val="single" w:sz="4" w:space="0" w:color="auto"/>
            </w:tcBorders>
            <w:shd w:val="clear" w:color="000000" w:fill="D9D9D9"/>
            <w:vAlign w:val="center"/>
            <w:hideMark/>
          </w:tcPr>
          <w:p w:rsidR="00A87069" w:rsidRPr="00534D3B" w:rsidRDefault="00A87069" w:rsidP="004947E6">
            <w:pPr>
              <w:spacing w:after="0" w:line="240" w:lineRule="auto"/>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Celkový dovoz</w:t>
            </w:r>
          </w:p>
        </w:tc>
        <w:tc>
          <w:tcPr>
            <w:tcW w:w="850" w:type="dxa"/>
            <w:tcBorders>
              <w:top w:val="nil"/>
              <w:left w:val="nil"/>
              <w:bottom w:val="nil"/>
              <w:right w:val="single" w:sz="4" w:space="0" w:color="auto"/>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 xml:space="preserve">1 415,5 </w:t>
            </w:r>
          </w:p>
        </w:tc>
        <w:tc>
          <w:tcPr>
            <w:tcW w:w="851" w:type="dxa"/>
            <w:tcBorders>
              <w:top w:val="nil"/>
              <w:left w:val="nil"/>
              <w:bottom w:val="nil"/>
              <w:right w:val="nil"/>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2 694,20</w:t>
            </w:r>
          </w:p>
        </w:tc>
        <w:tc>
          <w:tcPr>
            <w:tcW w:w="850" w:type="dxa"/>
            <w:tcBorders>
              <w:top w:val="nil"/>
              <w:left w:val="nil"/>
              <w:bottom w:val="nil"/>
              <w:right w:val="nil"/>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2 908,5</w:t>
            </w:r>
          </w:p>
        </w:tc>
        <w:tc>
          <w:tcPr>
            <w:tcW w:w="851" w:type="dxa"/>
            <w:tcBorders>
              <w:top w:val="nil"/>
              <w:left w:val="nil"/>
              <w:bottom w:val="nil"/>
              <w:right w:val="nil"/>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2 782,1</w:t>
            </w:r>
          </w:p>
        </w:tc>
        <w:tc>
          <w:tcPr>
            <w:tcW w:w="850" w:type="dxa"/>
            <w:tcBorders>
              <w:top w:val="nil"/>
              <w:left w:val="nil"/>
              <w:bottom w:val="nil"/>
              <w:right w:val="nil"/>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3 119,9</w:t>
            </w:r>
          </w:p>
        </w:tc>
        <w:tc>
          <w:tcPr>
            <w:tcW w:w="851" w:type="dxa"/>
            <w:tcBorders>
              <w:top w:val="nil"/>
              <w:left w:val="nil"/>
              <w:bottom w:val="nil"/>
              <w:right w:val="nil"/>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3 723,2</w:t>
            </w:r>
          </w:p>
        </w:tc>
        <w:tc>
          <w:tcPr>
            <w:tcW w:w="850" w:type="dxa"/>
            <w:tcBorders>
              <w:top w:val="nil"/>
              <w:left w:val="nil"/>
              <w:bottom w:val="nil"/>
              <w:right w:val="nil"/>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4 182,7</w:t>
            </w:r>
          </w:p>
        </w:tc>
      </w:tr>
      <w:tr w:rsidR="00A87069" w:rsidRPr="00534D3B" w:rsidTr="004947E6">
        <w:trPr>
          <w:trHeight w:val="300"/>
        </w:trPr>
        <w:tc>
          <w:tcPr>
            <w:tcW w:w="3134"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 xml:space="preserve">z toho: </w:t>
            </w:r>
            <w:r>
              <w:rPr>
                <w:rFonts w:ascii="Times New Roman" w:eastAsia="Times New Roman" w:hAnsi="Times New Roman" w:cs="Times New Roman"/>
                <w:color w:val="000000"/>
                <w:sz w:val="20"/>
                <w:szCs w:val="20"/>
              </w:rPr>
              <w:t xml:space="preserve">    </w:t>
            </w:r>
            <w:r w:rsidRPr="00534D3B">
              <w:rPr>
                <w:rFonts w:ascii="Times New Roman" w:eastAsia="Times New Roman" w:hAnsi="Times New Roman" w:cs="Times New Roman"/>
                <w:color w:val="000000"/>
                <w:sz w:val="20"/>
                <w:szCs w:val="20"/>
              </w:rPr>
              <w:t>nahraditeľné</w:t>
            </w:r>
          </w:p>
        </w:tc>
        <w:tc>
          <w:tcPr>
            <w:tcW w:w="850"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878,7</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1 987,60</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2 252,30</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2 202,3</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2 474,20</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2 968,40</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3 352,30</w:t>
            </w:r>
          </w:p>
        </w:tc>
      </w:tr>
      <w:tr w:rsidR="00A87069" w:rsidRPr="00534D3B" w:rsidTr="004947E6">
        <w:trPr>
          <w:trHeight w:val="300"/>
        </w:trPr>
        <w:tc>
          <w:tcPr>
            <w:tcW w:w="3134"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ind w:firstLineChars="400" w:firstLine="800"/>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nenahraditeľné</w:t>
            </w:r>
          </w:p>
        </w:tc>
        <w:tc>
          <w:tcPr>
            <w:tcW w:w="850"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508,7</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693,6</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639,7</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587,7</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654,1</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760,5</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828,2</w:t>
            </w:r>
          </w:p>
        </w:tc>
      </w:tr>
      <w:tr w:rsidR="00A87069" w:rsidRPr="00534D3B" w:rsidTr="004947E6">
        <w:trPr>
          <w:trHeight w:val="300"/>
        </w:trPr>
        <w:tc>
          <w:tcPr>
            <w:tcW w:w="3134"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ind w:firstLineChars="400" w:firstLine="800"/>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spracované</w:t>
            </w:r>
          </w:p>
        </w:tc>
        <w:tc>
          <w:tcPr>
            <w:tcW w:w="850"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548,8</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938,5</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849,7</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836,4</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892,2</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979,7</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1 069,00</w:t>
            </w:r>
          </w:p>
        </w:tc>
      </w:tr>
      <w:tr w:rsidR="00A87069" w:rsidRPr="00534D3B" w:rsidTr="004947E6">
        <w:trPr>
          <w:trHeight w:val="300"/>
        </w:trPr>
        <w:tc>
          <w:tcPr>
            <w:tcW w:w="3134" w:type="dxa"/>
            <w:tcBorders>
              <w:top w:val="nil"/>
              <w:left w:val="nil"/>
              <w:bottom w:val="nil"/>
              <w:right w:val="single" w:sz="4" w:space="0" w:color="auto"/>
            </w:tcBorders>
            <w:shd w:val="clear" w:color="auto" w:fill="auto"/>
            <w:vAlign w:val="center"/>
            <w:hideMark/>
          </w:tcPr>
          <w:p w:rsidR="00A87069" w:rsidRDefault="00A87069" w:rsidP="004947E6">
            <w:pPr>
              <w:spacing w:after="0" w:line="240" w:lineRule="auto"/>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 xml:space="preserve">z </w:t>
            </w:r>
            <w:proofErr w:type="spellStart"/>
            <w:r w:rsidRPr="00534D3B">
              <w:rPr>
                <w:rFonts w:ascii="Times New Roman" w:eastAsia="Times New Roman" w:hAnsi="Times New Roman" w:cs="Times New Roman"/>
                <w:color w:val="000000"/>
                <w:sz w:val="20"/>
                <w:szCs w:val="20"/>
              </w:rPr>
              <w:t>celk</w:t>
            </w:r>
            <w:proofErr w:type="spellEnd"/>
            <w:r w:rsidRPr="00534D3B">
              <w:rPr>
                <w:rFonts w:ascii="Times New Roman" w:eastAsia="Times New Roman" w:hAnsi="Times New Roman" w:cs="Times New Roman"/>
                <w:color w:val="000000"/>
                <w:sz w:val="20"/>
                <w:szCs w:val="20"/>
              </w:rPr>
              <w:t xml:space="preserve">. Dovozu : </w:t>
            </w:r>
            <w:r>
              <w:rPr>
                <w:rFonts w:ascii="Times New Roman" w:eastAsia="Times New Roman" w:hAnsi="Times New Roman" w:cs="Times New Roman"/>
                <w:color w:val="000000"/>
                <w:sz w:val="20"/>
                <w:szCs w:val="20"/>
              </w:rPr>
              <w:t xml:space="preserve"> </w:t>
            </w:r>
          </w:p>
          <w:p w:rsidR="00A87069" w:rsidRPr="00534D3B" w:rsidRDefault="00A87069" w:rsidP="004947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534D3B">
              <w:rPr>
                <w:rFonts w:ascii="Times New Roman" w:eastAsia="Times New Roman" w:hAnsi="Times New Roman" w:cs="Times New Roman"/>
                <w:color w:val="000000"/>
                <w:sz w:val="20"/>
                <w:szCs w:val="20"/>
              </w:rPr>
              <w:t>dovoz z</w:t>
            </w:r>
            <w:r>
              <w:rPr>
                <w:rFonts w:ascii="Times New Roman" w:eastAsia="Times New Roman" w:hAnsi="Times New Roman" w:cs="Times New Roman"/>
                <w:color w:val="000000"/>
                <w:sz w:val="20"/>
                <w:szCs w:val="20"/>
              </w:rPr>
              <w:t> </w:t>
            </w:r>
            <w:r w:rsidRPr="00534D3B">
              <w:rPr>
                <w:rFonts w:ascii="Times New Roman" w:eastAsia="Times New Roman" w:hAnsi="Times New Roman" w:cs="Times New Roman"/>
                <w:color w:val="000000"/>
                <w:sz w:val="20"/>
                <w:szCs w:val="20"/>
              </w:rPr>
              <w:t>EÚ 27</w:t>
            </w:r>
          </w:p>
        </w:tc>
        <w:tc>
          <w:tcPr>
            <w:tcW w:w="850"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1 163,9</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2 408,7</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2 615,4</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2 545,1</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2 856,2</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3 442,4</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3 887,5</w:t>
            </w:r>
          </w:p>
        </w:tc>
      </w:tr>
      <w:tr w:rsidR="00A87069" w:rsidRPr="00534D3B" w:rsidTr="004947E6">
        <w:trPr>
          <w:trHeight w:val="300"/>
        </w:trPr>
        <w:tc>
          <w:tcPr>
            <w:tcW w:w="3134"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534D3B">
              <w:rPr>
                <w:rFonts w:ascii="Times New Roman" w:eastAsia="Times New Roman" w:hAnsi="Times New Roman" w:cs="Times New Roman"/>
                <w:color w:val="000000"/>
                <w:sz w:val="20"/>
                <w:szCs w:val="20"/>
              </w:rPr>
              <w:t>v</w:t>
            </w:r>
            <w:r>
              <w:rPr>
                <w:rFonts w:ascii="Times New Roman" w:eastAsia="Times New Roman" w:hAnsi="Times New Roman" w:cs="Times New Roman"/>
                <w:color w:val="000000"/>
                <w:sz w:val="20"/>
                <w:szCs w:val="20"/>
              </w:rPr>
              <w:t> </w:t>
            </w:r>
            <w:r w:rsidRPr="00534D3B">
              <w:rPr>
                <w:rFonts w:ascii="Times New Roman" w:eastAsia="Times New Roman" w:hAnsi="Times New Roman" w:cs="Times New Roman"/>
                <w:color w:val="000000"/>
                <w:sz w:val="20"/>
                <w:szCs w:val="20"/>
              </w:rPr>
              <w:t>tom z</w:t>
            </w:r>
            <w:r>
              <w:rPr>
                <w:rFonts w:ascii="Times New Roman" w:eastAsia="Times New Roman" w:hAnsi="Times New Roman" w:cs="Times New Roman"/>
                <w:color w:val="000000"/>
                <w:sz w:val="20"/>
                <w:szCs w:val="20"/>
              </w:rPr>
              <w:t> </w:t>
            </w:r>
            <w:r w:rsidRPr="00534D3B">
              <w:rPr>
                <w:rFonts w:ascii="Times New Roman" w:eastAsia="Times New Roman" w:hAnsi="Times New Roman" w:cs="Times New Roman"/>
                <w:color w:val="000000"/>
                <w:sz w:val="20"/>
                <w:szCs w:val="20"/>
              </w:rPr>
              <w:t>EÚ 15</w:t>
            </w:r>
          </w:p>
        </w:tc>
        <w:tc>
          <w:tcPr>
            <w:tcW w:w="850"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497,9</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1 214,0</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1 321,1</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1 337,1</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958</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1 209,3</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1 278,4</w:t>
            </w:r>
          </w:p>
        </w:tc>
      </w:tr>
      <w:tr w:rsidR="00A87069" w:rsidRPr="00534D3B" w:rsidTr="004947E6">
        <w:trPr>
          <w:trHeight w:val="300"/>
        </w:trPr>
        <w:tc>
          <w:tcPr>
            <w:tcW w:w="3134"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534D3B">
              <w:rPr>
                <w:rFonts w:ascii="Times New Roman" w:eastAsia="Times New Roman" w:hAnsi="Times New Roman" w:cs="Times New Roman"/>
                <w:color w:val="000000"/>
                <w:sz w:val="20"/>
                <w:szCs w:val="20"/>
              </w:rPr>
              <w:t>z</w:t>
            </w:r>
            <w:r>
              <w:rPr>
                <w:rFonts w:ascii="Times New Roman" w:eastAsia="Times New Roman" w:hAnsi="Times New Roman" w:cs="Times New Roman"/>
                <w:color w:val="000000"/>
                <w:sz w:val="20"/>
                <w:szCs w:val="20"/>
              </w:rPr>
              <w:t> </w:t>
            </w:r>
            <w:r w:rsidRPr="00534D3B">
              <w:rPr>
                <w:rFonts w:ascii="Times New Roman" w:eastAsia="Times New Roman" w:hAnsi="Times New Roman" w:cs="Times New Roman"/>
                <w:color w:val="000000"/>
                <w:sz w:val="20"/>
                <w:szCs w:val="20"/>
              </w:rPr>
              <w:t>tretích krajín bez EÚ 15</w:t>
            </w:r>
          </w:p>
        </w:tc>
        <w:tc>
          <w:tcPr>
            <w:tcW w:w="850"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917,6</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1 480,2</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1 587,4</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1 445,0</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2 161,9</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2 513,9</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2 904,3</w:t>
            </w:r>
          </w:p>
        </w:tc>
      </w:tr>
      <w:tr w:rsidR="00A87069" w:rsidRPr="00534D3B" w:rsidTr="004947E6">
        <w:trPr>
          <w:trHeight w:val="300"/>
        </w:trPr>
        <w:tc>
          <w:tcPr>
            <w:tcW w:w="3134"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534D3B">
              <w:rPr>
                <w:rFonts w:ascii="Times New Roman" w:eastAsia="Times New Roman" w:hAnsi="Times New Roman" w:cs="Times New Roman"/>
                <w:color w:val="000000"/>
                <w:sz w:val="20"/>
                <w:szCs w:val="20"/>
              </w:rPr>
              <w:t>bez EÚ 27</w:t>
            </w:r>
          </w:p>
        </w:tc>
        <w:tc>
          <w:tcPr>
            <w:tcW w:w="850"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251,6</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285,4</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293,1</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237</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263,7</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280,8</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295,2</w:t>
            </w:r>
          </w:p>
        </w:tc>
      </w:tr>
      <w:tr w:rsidR="00A87069" w:rsidRPr="00534D3B" w:rsidTr="004947E6">
        <w:trPr>
          <w:trHeight w:val="300"/>
        </w:trPr>
        <w:tc>
          <w:tcPr>
            <w:tcW w:w="3134" w:type="dxa"/>
            <w:tcBorders>
              <w:top w:val="single" w:sz="4" w:space="0" w:color="auto"/>
              <w:left w:val="nil"/>
              <w:bottom w:val="nil"/>
              <w:right w:val="single" w:sz="4" w:space="0" w:color="auto"/>
            </w:tcBorders>
            <w:shd w:val="clear" w:color="000000" w:fill="D9D9D9"/>
            <w:vAlign w:val="center"/>
            <w:hideMark/>
          </w:tcPr>
          <w:p w:rsidR="00A87069" w:rsidRPr="00534D3B" w:rsidRDefault="00A87069" w:rsidP="004947E6">
            <w:pPr>
              <w:spacing w:after="0" w:line="240" w:lineRule="auto"/>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Celkový vývoz</w:t>
            </w:r>
          </w:p>
        </w:tc>
        <w:tc>
          <w:tcPr>
            <w:tcW w:w="850" w:type="dxa"/>
            <w:tcBorders>
              <w:top w:val="single" w:sz="4" w:space="0" w:color="auto"/>
              <w:left w:val="nil"/>
              <w:bottom w:val="nil"/>
              <w:right w:val="single" w:sz="4" w:space="0" w:color="auto"/>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802</w:t>
            </w:r>
          </w:p>
        </w:tc>
        <w:tc>
          <w:tcPr>
            <w:tcW w:w="851" w:type="dxa"/>
            <w:tcBorders>
              <w:top w:val="single" w:sz="4" w:space="0" w:color="auto"/>
              <w:left w:val="nil"/>
              <w:bottom w:val="nil"/>
              <w:right w:val="nil"/>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1 999,8</w:t>
            </w:r>
          </w:p>
        </w:tc>
        <w:tc>
          <w:tcPr>
            <w:tcW w:w="850" w:type="dxa"/>
            <w:tcBorders>
              <w:top w:val="single" w:sz="4" w:space="0" w:color="auto"/>
              <w:left w:val="nil"/>
              <w:bottom w:val="nil"/>
              <w:right w:val="nil"/>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2 036,8</w:t>
            </w:r>
          </w:p>
        </w:tc>
        <w:tc>
          <w:tcPr>
            <w:tcW w:w="851" w:type="dxa"/>
            <w:tcBorders>
              <w:top w:val="single" w:sz="4" w:space="0" w:color="auto"/>
              <w:left w:val="nil"/>
              <w:bottom w:val="nil"/>
              <w:right w:val="nil"/>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1 932,8</w:t>
            </w:r>
          </w:p>
        </w:tc>
        <w:tc>
          <w:tcPr>
            <w:tcW w:w="850" w:type="dxa"/>
            <w:tcBorders>
              <w:top w:val="single" w:sz="4" w:space="0" w:color="auto"/>
              <w:left w:val="nil"/>
              <w:bottom w:val="nil"/>
              <w:right w:val="nil"/>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2 162,0</w:t>
            </w:r>
          </w:p>
        </w:tc>
        <w:tc>
          <w:tcPr>
            <w:tcW w:w="851" w:type="dxa"/>
            <w:tcBorders>
              <w:top w:val="single" w:sz="4" w:space="0" w:color="auto"/>
              <w:left w:val="nil"/>
              <w:bottom w:val="nil"/>
              <w:right w:val="nil"/>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2 918,6</w:t>
            </w:r>
          </w:p>
        </w:tc>
        <w:tc>
          <w:tcPr>
            <w:tcW w:w="850" w:type="dxa"/>
            <w:tcBorders>
              <w:top w:val="single" w:sz="4" w:space="0" w:color="auto"/>
              <w:left w:val="nil"/>
              <w:bottom w:val="nil"/>
              <w:right w:val="nil"/>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3 773,4</w:t>
            </w:r>
          </w:p>
        </w:tc>
      </w:tr>
      <w:tr w:rsidR="00A87069" w:rsidRPr="00534D3B" w:rsidTr="004947E6">
        <w:trPr>
          <w:trHeight w:val="300"/>
        </w:trPr>
        <w:tc>
          <w:tcPr>
            <w:tcW w:w="3134"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z toho : spracované</w:t>
            </w:r>
          </w:p>
        </w:tc>
        <w:tc>
          <w:tcPr>
            <w:tcW w:w="850"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285,9</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482,7</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479,9</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477,9</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474,1</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615,5</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597,3</w:t>
            </w:r>
          </w:p>
        </w:tc>
      </w:tr>
      <w:tr w:rsidR="00A87069" w:rsidRPr="00534D3B" w:rsidTr="004947E6">
        <w:trPr>
          <w:trHeight w:val="300"/>
        </w:trPr>
        <w:tc>
          <w:tcPr>
            <w:tcW w:w="3134" w:type="dxa"/>
            <w:tcBorders>
              <w:top w:val="nil"/>
              <w:left w:val="nil"/>
              <w:bottom w:val="nil"/>
              <w:right w:val="single" w:sz="4" w:space="0" w:color="auto"/>
            </w:tcBorders>
            <w:shd w:val="clear" w:color="auto" w:fill="auto"/>
            <w:vAlign w:val="center"/>
            <w:hideMark/>
          </w:tcPr>
          <w:p w:rsidR="00A87069" w:rsidRDefault="00A87069" w:rsidP="004947E6">
            <w:pPr>
              <w:spacing w:after="0" w:line="240" w:lineRule="auto"/>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 xml:space="preserve">z </w:t>
            </w:r>
            <w:proofErr w:type="spellStart"/>
            <w:r w:rsidRPr="00534D3B">
              <w:rPr>
                <w:rFonts w:ascii="Times New Roman" w:eastAsia="Times New Roman" w:hAnsi="Times New Roman" w:cs="Times New Roman"/>
                <w:color w:val="000000"/>
                <w:sz w:val="20"/>
                <w:szCs w:val="20"/>
              </w:rPr>
              <w:t>celk</w:t>
            </w:r>
            <w:proofErr w:type="spellEnd"/>
            <w:r w:rsidRPr="00534D3B">
              <w:rPr>
                <w:rFonts w:ascii="Times New Roman" w:eastAsia="Times New Roman" w:hAnsi="Times New Roman" w:cs="Times New Roman"/>
                <w:color w:val="000000"/>
                <w:sz w:val="20"/>
                <w:szCs w:val="20"/>
              </w:rPr>
              <w:t xml:space="preserve">. Vývozu: </w:t>
            </w:r>
          </w:p>
          <w:p w:rsidR="00A87069" w:rsidRPr="00534D3B" w:rsidRDefault="00A87069" w:rsidP="004947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534D3B">
              <w:rPr>
                <w:rFonts w:ascii="Times New Roman" w:eastAsia="Times New Roman" w:hAnsi="Times New Roman" w:cs="Times New Roman"/>
                <w:color w:val="000000"/>
                <w:sz w:val="20"/>
                <w:szCs w:val="20"/>
              </w:rPr>
              <w:t>vývoz do EÚ 27</w:t>
            </w:r>
          </w:p>
        </w:tc>
        <w:tc>
          <w:tcPr>
            <w:tcW w:w="850"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713,8</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1 918,6</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1 944,9</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1 863,0</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2 086,6</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2 813,2</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3 629,2</w:t>
            </w:r>
          </w:p>
        </w:tc>
      </w:tr>
      <w:tr w:rsidR="00A87069" w:rsidRPr="00534D3B" w:rsidTr="004947E6">
        <w:trPr>
          <w:trHeight w:val="300"/>
        </w:trPr>
        <w:tc>
          <w:tcPr>
            <w:tcW w:w="3134"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534D3B">
              <w:rPr>
                <w:rFonts w:ascii="Times New Roman" w:eastAsia="Times New Roman" w:hAnsi="Times New Roman" w:cs="Times New Roman"/>
                <w:color w:val="000000"/>
                <w:sz w:val="20"/>
                <w:szCs w:val="20"/>
              </w:rPr>
              <w:t>v</w:t>
            </w:r>
            <w:r>
              <w:rPr>
                <w:rFonts w:ascii="Times New Roman" w:eastAsia="Times New Roman" w:hAnsi="Times New Roman" w:cs="Times New Roman"/>
                <w:color w:val="000000"/>
                <w:sz w:val="20"/>
                <w:szCs w:val="20"/>
              </w:rPr>
              <w:t> </w:t>
            </w:r>
            <w:r w:rsidRPr="00534D3B">
              <w:rPr>
                <w:rFonts w:ascii="Times New Roman" w:eastAsia="Times New Roman" w:hAnsi="Times New Roman" w:cs="Times New Roman"/>
                <w:color w:val="000000"/>
                <w:sz w:val="20"/>
                <w:szCs w:val="20"/>
              </w:rPr>
              <w:t>tom do EÚ 15</w:t>
            </w:r>
          </w:p>
        </w:tc>
        <w:tc>
          <w:tcPr>
            <w:tcW w:w="850"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183,1</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560,8</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541,9</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550,5</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504,8</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662</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792.8</w:t>
            </w:r>
          </w:p>
        </w:tc>
      </w:tr>
      <w:tr w:rsidR="00A87069" w:rsidRPr="00534D3B" w:rsidTr="004947E6">
        <w:trPr>
          <w:trHeight w:val="300"/>
        </w:trPr>
        <w:tc>
          <w:tcPr>
            <w:tcW w:w="3134"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534D3B">
              <w:rPr>
                <w:rFonts w:ascii="Times New Roman" w:eastAsia="Times New Roman" w:hAnsi="Times New Roman" w:cs="Times New Roman"/>
                <w:color w:val="000000"/>
                <w:sz w:val="20"/>
                <w:szCs w:val="20"/>
              </w:rPr>
              <w:t>do  tretích krajín bez EÚ 15</w:t>
            </w:r>
          </w:p>
        </w:tc>
        <w:tc>
          <w:tcPr>
            <w:tcW w:w="850"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618,9</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1 439,0</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1 494,9</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1 382,3</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1 657,2</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2 256,6</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2 980,6</w:t>
            </w:r>
          </w:p>
        </w:tc>
      </w:tr>
      <w:tr w:rsidR="00A87069" w:rsidRPr="00534D3B" w:rsidTr="004947E6">
        <w:trPr>
          <w:trHeight w:val="300"/>
        </w:trPr>
        <w:tc>
          <w:tcPr>
            <w:tcW w:w="3134"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534D3B">
              <w:rPr>
                <w:rFonts w:ascii="Times New Roman" w:eastAsia="Times New Roman" w:hAnsi="Times New Roman" w:cs="Times New Roman"/>
                <w:color w:val="000000"/>
                <w:sz w:val="20"/>
                <w:szCs w:val="20"/>
              </w:rPr>
              <w:t>bez EÚ 27</w:t>
            </w:r>
          </w:p>
        </w:tc>
        <w:tc>
          <w:tcPr>
            <w:tcW w:w="850" w:type="dxa"/>
            <w:tcBorders>
              <w:top w:val="nil"/>
              <w:left w:val="nil"/>
              <w:bottom w:val="nil"/>
              <w:right w:val="single" w:sz="4" w:space="0" w:color="auto"/>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88,2</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81,2</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91,9</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69,8</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75,4</w:t>
            </w:r>
          </w:p>
        </w:tc>
        <w:tc>
          <w:tcPr>
            <w:tcW w:w="851"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105,4</w:t>
            </w:r>
          </w:p>
        </w:tc>
        <w:tc>
          <w:tcPr>
            <w:tcW w:w="850" w:type="dxa"/>
            <w:tcBorders>
              <w:top w:val="nil"/>
              <w:left w:val="nil"/>
              <w:bottom w:val="nil"/>
              <w:right w:val="nil"/>
            </w:tcBorders>
            <w:shd w:val="clear" w:color="auto" w:fill="auto"/>
            <w:vAlign w:val="center"/>
            <w:hideMark/>
          </w:tcPr>
          <w:p w:rsidR="00A87069" w:rsidRPr="00534D3B" w:rsidRDefault="00A87069" w:rsidP="004947E6">
            <w:pPr>
              <w:spacing w:after="0" w:line="240" w:lineRule="auto"/>
              <w:jc w:val="right"/>
              <w:rPr>
                <w:rFonts w:ascii="Times New Roman" w:eastAsia="Times New Roman" w:hAnsi="Times New Roman" w:cs="Times New Roman"/>
                <w:color w:val="000000"/>
                <w:sz w:val="20"/>
                <w:szCs w:val="20"/>
              </w:rPr>
            </w:pPr>
            <w:r w:rsidRPr="00534D3B">
              <w:rPr>
                <w:rFonts w:ascii="Times New Roman" w:eastAsia="Times New Roman" w:hAnsi="Times New Roman" w:cs="Times New Roman"/>
                <w:color w:val="000000"/>
                <w:sz w:val="20"/>
                <w:szCs w:val="20"/>
              </w:rPr>
              <w:t>144,2</w:t>
            </w:r>
          </w:p>
        </w:tc>
      </w:tr>
      <w:tr w:rsidR="00A87069" w:rsidRPr="00534D3B" w:rsidTr="004947E6">
        <w:trPr>
          <w:trHeight w:val="300"/>
        </w:trPr>
        <w:tc>
          <w:tcPr>
            <w:tcW w:w="3134" w:type="dxa"/>
            <w:tcBorders>
              <w:top w:val="single" w:sz="4" w:space="0" w:color="auto"/>
              <w:left w:val="nil"/>
              <w:bottom w:val="single" w:sz="4" w:space="0" w:color="auto"/>
              <w:right w:val="single" w:sz="4" w:space="0" w:color="auto"/>
            </w:tcBorders>
            <w:shd w:val="clear" w:color="000000" w:fill="D9D9D9"/>
            <w:vAlign w:val="center"/>
            <w:hideMark/>
          </w:tcPr>
          <w:p w:rsidR="00A87069" w:rsidRPr="00534D3B" w:rsidRDefault="00A87069" w:rsidP="004947E6">
            <w:pPr>
              <w:spacing w:after="0" w:line="240" w:lineRule="auto"/>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Saldo celkového obchodu</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 613,5</w:t>
            </w:r>
          </w:p>
        </w:tc>
        <w:tc>
          <w:tcPr>
            <w:tcW w:w="851" w:type="dxa"/>
            <w:tcBorders>
              <w:top w:val="single" w:sz="4" w:space="0" w:color="auto"/>
              <w:left w:val="nil"/>
              <w:bottom w:val="single" w:sz="4" w:space="0" w:color="auto"/>
              <w:right w:val="nil"/>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 694,4</w:t>
            </w:r>
          </w:p>
        </w:tc>
        <w:tc>
          <w:tcPr>
            <w:tcW w:w="850" w:type="dxa"/>
            <w:tcBorders>
              <w:top w:val="single" w:sz="4" w:space="0" w:color="auto"/>
              <w:left w:val="nil"/>
              <w:bottom w:val="single" w:sz="4" w:space="0" w:color="auto"/>
              <w:right w:val="nil"/>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 871,7</w:t>
            </w:r>
          </w:p>
        </w:tc>
        <w:tc>
          <w:tcPr>
            <w:tcW w:w="851" w:type="dxa"/>
            <w:tcBorders>
              <w:top w:val="single" w:sz="4" w:space="0" w:color="auto"/>
              <w:left w:val="nil"/>
              <w:bottom w:val="single" w:sz="4" w:space="0" w:color="auto"/>
              <w:right w:val="nil"/>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 849,3</w:t>
            </w:r>
          </w:p>
        </w:tc>
        <w:tc>
          <w:tcPr>
            <w:tcW w:w="850" w:type="dxa"/>
            <w:tcBorders>
              <w:top w:val="single" w:sz="4" w:space="0" w:color="auto"/>
              <w:left w:val="nil"/>
              <w:bottom w:val="single" w:sz="4" w:space="0" w:color="auto"/>
              <w:right w:val="nil"/>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 957,9</w:t>
            </w:r>
          </w:p>
        </w:tc>
        <w:tc>
          <w:tcPr>
            <w:tcW w:w="851" w:type="dxa"/>
            <w:tcBorders>
              <w:top w:val="single" w:sz="4" w:space="0" w:color="auto"/>
              <w:left w:val="nil"/>
              <w:bottom w:val="single" w:sz="4" w:space="0" w:color="auto"/>
              <w:right w:val="nil"/>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 804,6</w:t>
            </w:r>
          </w:p>
        </w:tc>
        <w:tc>
          <w:tcPr>
            <w:tcW w:w="850" w:type="dxa"/>
            <w:tcBorders>
              <w:top w:val="single" w:sz="4" w:space="0" w:color="auto"/>
              <w:left w:val="nil"/>
              <w:bottom w:val="single" w:sz="4" w:space="0" w:color="auto"/>
              <w:right w:val="nil"/>
            </w:tcBorders>
            <w:shd w:val="clear" w:color="000000" w:fill="D9D9D9"/>
            <w:vAlign w:val="center"/>
            <w:hideMark/>
          </w:tcPr>
          <w:p w:rsidR="00A87069" w:rsidRPr="00534D3B" w:rsidRDefault="00A87069" w:rsidP="004947E6">
            <w:pPr>
              <w:spacing w:after="0" w:line="240" w:lineRule="auto"/>
              <w:jc w:val="right"/>
              <w:rPr>
                <w:rFonts w:ascii="Times New Roman" w:eastAsia="Times New Roman" w:hAnsi="Times New Roman" w:cs="Times New Roman"/>
                <w:b/>
                <w:bCs/>
                <w:color w:val="000000"/>
                <w:sz w:val="20"/>
                <w:szCs w:val="20"/>
              </w:rPr>
            </w:pPr>
            <w:r w:rsidRPr="00534D3B">
              <w:rPr>
                <w:rFonts w:ascii="Times New Roman" w:eastAsia="Times New Roman" w:hAnsi="Times New Roman" w:cs="Times New Roman"/>
                <w:b/>
                <w:bCs/>
                <w:color w:val="000000"/>
                <w:sz w:val="20"/>
                <w:szCs w:val="20"/>
              </w:rPr>
              <w:t>– 409,3</w:t>
            </w:r>
          </w:p>
        </w:tc>
      </w:tr>
    </w:tbl>
    <w:p w:rsidR="00A87069" w:rsidRPr="008A67C4" w:rsidRDefault="00A87069" w:rsidP="00A87069">
      <w:pPr>
        <w:spacing w:after="0" w:line="240" w:lineRule="auto"/>
        <w:jc w:val="right"/>
        <w:rPr>
          <w:rFonts w:ascii="Times New Roman" w:hAnsi="Times New Roman"/>
          <w:sz w:val="20"/>
          <w:szCs w:val="20"/>
        </w:rPr>
      </w:pPr>
      <w:r>
        <w:rPr>
          <w:rFonts w:ascii="Times New Roman" w:hAnsi="Times New Roman"/>
          <w:sz w:val="20"/>
          <w:szCs w:val="20"/>
        </w:rPr>
        <w:t>Zdroj: ŠÚSR, RADELA, výpočty MPRV</w:t>
      </w:r>
    </w:p>
    <w:p w:rsidR="00A87069" w:rsidRDefault="00A87069" w:rsidP="00A87069">
      <w:pPr>
        <w:spacing w:after="0" w:line="240" w:lineRule="auto"/>
        <w:jc w:val="both"/>
        <w:rPr>
          <w:rFonts w:ascii="Times New Roman" w:hAnsi="Times New Roman"/>
          <w:sz w:val="24"/>
          <w:szCs w:val="24"/>
        </w:rPr>
      </w:pPr>
    </w:p>
    <w:p w:rsidR="00A87069" w:rsidRPr="0030067A" w:rsidRDefault="00A87069" w:rsidP="00A87069">
      <w:pPr>
        <w:spacing w:after="0" w:line="240" w:lineRule="auto"/>
        <w:jc w:val="both"/>
        <w:rPr>
          <w:rFonts w:ascii="Times New Roman" w:hAnsi="Times New Roman"/>
          <w:sz w:val="24"/>
          <w:szCs w:val="24"/>
        </w:rPr>
      </w:pPr>
      <w:r w:rsidRPr="00C814AB">
        <w:rPr>
          <w:rFonts w:ascii="Times New Roman" w:hAnsi="Times New Roman"/>
          <w:sz w:val="24"/>
          <w:szCs w:val="24"/>
        </w:rPr>
        <w:t>E</w:t>
      </w:r>
      <w:r w:rsidRPr="0030067A">
        <w:rPr>
          <w:rFonts w:ascii="Times New Roman" w:hAnsi="Times New Roman"/>
          <w:sz w:val="24"/>
          <w:szCs w:val="24"/>
        </w:rPr>
        <w:t>xport u nás pestovaných poľnohospodárskych komodít mierneho pásma prevyšuje import. Na druhej strane potravinársky priemysel je charakterizovaný obchodnými deficitmi. Slovensko je relatívne konkurencieschopné v základných poľnohospodárskych komoditách, ale málo konkurencieschopné vo výrobkoch potravinárskeho priemyslu.</w:t>
      </w:r>
      <w:r>
        <w:rPr>
          <w:rFonts w:ascii="Times New Roman" w:hAnsi="Times New Roman"/>
          <w:sz w:val="24"/>
          <w:szCs w:val="24"/>
        </w:rPr>
        <w:t xml:space="preserve"> </w:t>
      </w:r>
      <w:r w:rsidRPr="004D586B">
        <w:rPr>
          <w:rFonts w:ascii="Times New Roman" w:hAnsi="Times New Roman"/>
          <w:sz w:val="24"/>
          <w:szCs w:val="24"/>
        </w:rPr>
        <w:t>Na celkovom agropotravinárskom exporte sa neustále znižuje podiel výrobkov</w:t>
      </w:r>
      <w:r w:rsidRPr="00C814AB">
        <w:rPr>
          <w:rFonts w:ascii="Times New Roman" w:hAnsi="Times New Roman"/>
          <w:sz w:val="24"/>
          <w:szCs w:val="24"/>
        </w:rPr>
        <w:t xml:space="preserve"> s vyššou pridanou hodnotou a rastie podiel základných poľnohospodárskych surovín s nízkou pridanou hodnotou. Pokým v roku 2002 na poľnohospodárske suroviny pripadalo len 25,0</w:t>
      </w:r>
      <w:r>
        <w:rPr>
          <w:rFonts w:ascii="Times New Roman" w:hAnsi="Times New Roman"/>
          <w:sz w:val="24"/>
          <w:szCs w:val="24"/>
        </w:rPr>
        <w:t> </w:t>
      </w:r>
      <w:r w:rsidRPr="00C814AB">
        <w:rPr>
          <w:rFonts w:ascii="Times New Roman" w:hAnsi="Times New Roman"/>
          <w:sz w:val="24"/>
          <w:szCs w:val="24"/>
        </w:rPr>
        <w:t>% hodnoty celkového exportu, v roku 2011 ich podiel dosiahol až 34,8</w:t>
      </w:r>
      <w:r>
        <w:rPr>
          <w:rFonts w:ascii="Times New Roman" w:hAnsi="Times New Roman"/>
          <w:sz w:val="24"/>
          <w:szCs w:val="24"/>
        </w:rPr>
        <w:t> </w:t>
      </w:r>
      <w:r w:rsidRPr="00C814AB">
        <w:rPr>
          <w:rFonts w:ascii="Times New Roman" w:hAnsi="Times New Roman"/>
          <w:sz w:val="24"/>
          <w:szCs w:val="24"/>
        </w:rPr>
        <w:t>%. Z hľadiska ekonomického vývoja ide o negatívny jav.</w:t>
      </w:r>
      <w:r>
        <w:rPr>
          <w:rFonts w:ascii="Times New Roman" w:hAnsi="Times New Roman"/>
          <w:sz w:val="24"/>
          <w:szCs w:val="24"/>
        </w:rPr>
        <w:t xml:space="preserve"> </w:t>
      </w:r>
      <w:r w:rsidRPr="00593BD2">
        <w:rPr>
          <w:rFonts w:ascii="Times New Roman" w:hAnsi="Times New Roman"/>
          <w:sz w:val="24"/>
          <w:szCs w:val="24"/>
        </w:rPr>
        <w:t>Z komodít patriacich do vertikál mäsa</w:t>
      </w:r>
      <w:r>
        <w:rPr>
          <w:rFonts w:ascii="Times New Roman" w:hAnsi="Times New Roman"/>
          <w:sz w:val="24"/>
          <w:szCs w:val="24"/>
        </w:rPr>
        <w:t xml:space="preserve">, mlieka, obilnín a olejnín sme </w:t>
      </w:r>
      <w:r w:rsidRPr="00593BD2">
        <w:rPr>
          <w:rFonts w:ascii="Times New Roman" w:hAnsi="Times New Roman"/>
          <w:sz w:val="24"/>
          <w:szCs w:val="24"/>
        </w:rPr>
        <w:t>v priemere rokov 2002-2011 na zahraničných trhoch vykazovali konkurenčnú</w:t>
      </w:r>
      <w:r w:rsidRPr="0030067A">
        <w:rPr>
          <w:rFonts w:ascii="Times New Roman" w:hAnsi="Times New Roman"/>
          <w:sz w:val="24"/>
          <w:szCs w:val="24"/>
        </w:rPr>
        <w:t xml:space="preserve"> </w:t>
      </w:r>
      <w:r w:rsidRPr="00593BD2">
        <w:rPr>
          <w:rFonts w:ascii="Times New Roman" w:hAnsi="Times New Roman"/>
          <w:sz w:val="24"/>
          <w:szCs w:val="24"/>
        </w:rPr>
        <w:t>schopnosť len u</w:t>
      </w:r>
      <w:r>
        <w:rPr>
          <w:rFonts w:ascii="Times New Roman" w:hAnsi="Times New Roman"/>
          <w:sz w:val="24"/>
          <w:szCs w:val="24"/>
        </w:rPr>
        <w:t> </w:t>
      </w:r>
      <w:r w:rsidRPr="00593BD2">
        <w:rPr>
          <w:rFonts w:ascii="Times New Roman" w:hAnsi="Times New Roman"/>
          <w:sz w:val="24"/>
          <w:szCs w:val="24"/>
        </w:rPr>
        <w:t>živého hovädzieho dobytka, ovčieho mäsa, tekutého mlieka, syrov, vtáčích vajec, pšenice, jačmeňa, kukurice, pšeničn</w:t>
      </w:r>
      <w:r>
        <w:rPr>
          <w:rFonts w:ascii="Times New Roman" w:hAnsi="Times New Roman"/>
          <w:sz w:val="24"/>
          <w:szCs w:val="24"/>
        </w:rPr>
        <w:t xml:space="preserve">ej múky, sladu, škrobov, repky, </w:t>
      </w:r>
      <w:r w:rsidRPr="00593BD2">
        <w:rPr>
          <w:rFonts w:ascii="Times New Roman" w:hAnsi="Times New Roman"/>
          <w:sz w:val="24"/>
          <w:szCs w:val="24"/>
        </w:rPr>
        <w:t>slnečnice, ostatných cukroch, polievok, pričom je zrejmé, že išlo väčšinou o výrobky s nižšou pridanou hodnotou, čo svedčí o nízkej konkurencieschopnosti výrobkov potravinárskeho priemyslu na medzinárodných trhoch.</w:t>
      </w:r>
    </w:p>
    <w:p w:rsidR="00A87069" w:rsidRDefault="00A87069" w:rsidP="00A87069">
      <w:pPr>
        <w:spacing w:after="0" w:line="240" w:lineRule="auto"/>
        <w:jc w:val="both"/>
        <w:rPr>
          <w:rFonts w:ascii="Times New Roman" w:hAnsi="Times New Roman" w:cs="Times New Roman"/>
          <w:sz w:val="24"/>
          <w:szCs w:val="24"/>
        </w:rPr>
      </w:pPr>
    </w:p>
    <w:p w:rsidR="00A87069" w:rsidRPr="0030067A" w:rsidRDefault="00A87069" w:rsidP="00A87069">
      <w:pPr>
        <w:spacing w:after="0" w:line="240" w:lineRule="auto"/>
        <w:jc w:val="both"/>
        <w:rPr>
          <w:rFonts w:ascii="Times New Roman" w:hAnsi="Times New Roman" w:cs="Times New Roman"/>
          <w:sz w:val="24"/>
          <w:szCs w:val="24"/>
        </w:rPr>
      </w:pPr>
      <w:r w:rsidRPr="0030067A">
        <w:rPr>
          <w:rFonts w:ascii="Times New Roman" w:hAnsi="Times New Roman" w:cs="Times New Roman"/>
          <w:sz w:val="24"/>
          <w:szCs w:val="24"/>
        </w:rPr>
        <w:t xml:space="preserve">Potravinársky priemysel má dôležité postavenie ako nadväzujúci sektor na živočíšnu a rastlinnú výrobu. V mnohých výrobných odboroch nie je potravinársky priemysel konkurencieschopný, nakoľko za nákup suroviny z domácej výroby je nútený zaplatiť viac peňazí, ako je schopný získať predajom vyrobených potravín na domácom a zahraničnom trhu. Okrem toho nie je schopný kompenzovať príjmy prvovýrobcov spôsobené výpadkom príjmov kvôli nižším podporám iba cenou za produkciu, </w:t>
      </w:r>
      <w:proofErr w:type="spellStart"/>
      <w:r w:rsidRPr="0030067A">
        <w:rPr>
          <w:rFonts w:ascii="Times New Roman" w:hAnsi="Times New Roman" w:cs="Times New Roman"/>
          <w:sz w:val="24"/>
          <w:szCs w:val="24"/>
        </w:rPr>
        <w:t>naviac</w:t>
      </w:r>
      <w:proofErr w:type="spellEnd"/>
      <w:r w:rsidRPr="0030067A">
        <w:rPr>
          <w:rFonts w:ascii="Times New Roman" w:hAnsi="Times New Roman" w:cs="Times New Roman"/>
          <w:sz w:val="24"/>
          <w:szCs w:val="24"/>
        </w:rPr>
        <w:t xml:space="preserve"> s relatívne vysokou cenovou </w:t>
      </w:r>
      <w:proofErr w:type="spellStart"/>
      <w:r w:rsidRPr="0030067A">
        <w:rPr>
          <w:rFonts w:ascii="Times New Roman" w:hAnsi="Times New Roman" w:cs="Times New Roman"/>
          <w:sz w:val="24"/>
          <w:szCs w:val="24"/>
        </w:rPr>
        <w:t>volatilitou</w:t>
      </w:r>
      <w:proofErr w:type="spellEnd"/>
      <w:r w:rsidRPr="0030067A">
        <w:rPr>
          <w:rFonts w:ascii="Times New Roman" w:hAnsi="Times New Roman" w:cs="Times New Roman"/>
          <w:sz w:val="24"/>
          <w:szCs w:val="24"/>
        </w:rPr>
        <w:t>. Tiež vo viacerých prípadoch je nútený čeliť predaju slovenskej suroviny zo strany prvovýrobcov obchodníkom, čo núti potom spracovateľov nakupovať surovinu v zahraničí. Napriek existujúcim záchytným systémom EÚ v prípade významných trhových výkyvov sa tieto ukázali v podmienkach Slovenska ako neefektívne a málo využiteľné, hlavne kvôli neexistencii odbytových trhov tretích krajín a tradičnej exportnej orientácii na vnútorný trh EÚ.</w:t>
      </w:r>
    </w:p>
    <w:p w:rsidR="00A87069" w:rsidRDefault="00A87069" w:rsidP="00A87069">
      <w:pPr>
        <w:spacing w:after="0" w:line="240" w:lineRule="auto"/>
        <w:jc w:val="both"/>
        <w:rPr>
          <w:rFonts w:ascii="Times New Roman" w:hAnsi="Times New Roman" w:cs="Times New Roman"/>
          <w:sz w:val="24"/>
          <w:szCs w:val="24"/>
        </w:rPr>
      </w:pPr>
    </w:p>
    <w:p w:rsidR="00A87069" w:rsidRDefault="00A87069" w:rsidP="00A87069">
      <w:pPr>
        <w:spacing w:after="0" w:line="240" w:lineRule="auto"/>
        <w:jc w:val="both"/>
        <w:rPr>
          <w:rFonts w:ascii="Times New Roman" w:hAnsi="Times New Roman" w:cs="Times New Roman"/>
          <w:sz w:val="24"/>
          <w:szCs w:val="24"/>
        </w:rPr>
      </w:pPr>
      <w:r w:rsidRPr="008A67C4">
        <w:rPr>
          <w:rFonts w:ascii="Times New Roman" w:hAnsi="Times New Roman" w:cs="Times New Roman"/>
          <w:sz w:val="24"/>
          <w:szCs w:val="24"/>
        </w:rPr>
        <w:t>Potravinársky priemysel je vystavený príliš silnému tlaku dovezených spracovaných potravinárskych výrobkov, niekedy za dumpingové ceny, ktoré dovážajú predovšetkým obchodné reťazce s cieľom rozšíriť cenovú ponuku a vyrovnať vzájomný konkurenčný zápas. Likvidačnými pre prvovýrobcov a spracovateľov sú pokútne ambulantné predaje mliečnych výrobkov, mäsa a hydiny a výrobkov z nich zvlášť v pohraničných oblastiach</w:t>
      </w:r>
      <w:r w:rsidR="00B60E16" w:rsidRPr="00B60E16">
        <w:rPr>
          <w:rFonts w:ascii="Times New Roman" w:hAnsi="Times New Roman" w:cs="Times New Roman"/>
          <w:sz w:val="24"/>
          <w:szCs w:val="24"/>
        </w:rPr>
        <w:t xml:space="preserve"> </w:t>
      </w:r>
      <w:r w:rsidR="00B60E16">
        <w:rPr>
          <w:rFonts w:ascii="Times New Roman" w:hAnsi="Times New Roman" w:cs="Times New Roman"/>
          <w:sz w:val="24"/>
          <w:szCs w:val="24"/>
        </w:rPr>
        <w:t>a pri hlavných cestných ťahoch</w:t>
      </w:r>
      <w:r w:rsidR="00B60E16" w:rsidRPr="005C713D">
        <w:rPr>
          <w:rFonts w:ascii="Times New Roman" w:hAnsi="Times New Roman" w:cs="Times New Roman"/>
          <w:sz w:val="24"/>
          <w:szCs w:val="24"/>
        </w:rPr>
        <w:t xml:space="preserve">. </w:t>
      </w:r>
      <w:r w:rsidR="00B60E16">
        <w:rPr>
          <w:rFonts w:ascii="Times New Roman" w:hAnsi="Times New Roman" w:cs="Times New Roman"/>
          <w:sz w:val="24"/>
          <w:szCs w:val="24"/>
        </w:rPr>
        <w:t xml:space="preserve">Tieto predaje navyše predstavujú významnú časť výpadku príjmov štátneho rozpočtu na dani z príjmov a na dani z pridanej hodnoty a v neposlednom rade ohrozujú zdravie spotrebiteľov. </w:t>
      </w:r>
      <w:r w:rsidRPr="008A67C4">
        <w:rPr>
          <w:rFonts w:ascii="Times New Roman" w:hAnsi="Times New Roman" w:cs="Times New Roman"/>
          <w:sz w:val="24"/>
          <w:szCs w:val="24"/>
        </w:rPr>
        <w:t xml:space="preserve">Neexistuje výraznejšia spolupráca prvovýrobcov pri dodávkach poľnohospodárskych výrobkov a surovín do spracovateľského priemyslu s výnimkou sektora ovocia a zeleniny, kde sú funkčné odbytové organizácie, nie však v takom počte, aby boli efektívne. Odbytové organizácie prvovýrobcov mlieka boli zakladané skôr s cieľom vyčerpať podporné finančné prostriedky z PRV. Na druhej strane neexistujú žiadne spoločné postupy spracovateľského priemyslu voči obchodu. Vzhľadom na existenciu zákona o hospodárskej súťaži je to celkom pochopiteľné. Podnikateľské subjekty potravinárskeho priemyslu existujú vo vzájomnej ťažkej konkurencii na malom trhu. Za absolútne nedostatočnú možno považovať marketingovú politiku slovenských potravinárskych výrobcov, budovanie silnej značky a jej propagácia je skôr silnejšou stránkou podnikov so zahraničným kapitálom. Ukazuje sa však, že bez hľadania riešení vo vzťahu k posilneniu odbytu poľnohospodárskych výrobkov a surovín vo vzťahu k potravinárskemu priemyslu a posilnenia odbytu potravín voči </w:t>
      </w:r>
      <w:r w:rsidRPr="008A67C4">
        <w:rPr>
          <w:rFonts w:ascii="Times New Roman" w:hAnsi="Times New Roman" w:cs="Times New Roman"/>
          <w:sz w:val="24"/>
          <w:szCs w:val="24"/>
        </w:rPr>
        <w:lastRenderedPageBreak/>
        <w:t xml:space="preserve">obchodu nie je možné dosiahnuť zásadných zmien vo vertikále trhu s potravinami na Slovensku. </w:t>
      </w:r>
    </w:p>
    <w:p w:rsidR="00A87069" w:rsidRPr="008A67C4" w:rsidRDefault="00A87069" w:rsidP="00A87069">
      <w:pPr>
        <w:spacing w:after="0" w:line="240" w:lineRule="auto"/>
        <w:jc w:val="both"/>
        <w:rPr>
          <w:rFonts w:ascii="Times New Roman" w:hAnsi="Times New Roman" w:cs="Times New Roman"/>
          <w:sz w:val="24"/>
          <w:szCs w:val="24"/>
        </w:rPr>
      </w:pPr>
    </w:p>
    <w:p w:rsidR="00A87069" w:rsidRDefault="00A87069" w:rsidP="00A87069">
      <w:pPr>
        <w:spacing w:after="0" w:line="240" w:lineRule="auto"/>
        <w:jc w:val="both"/>
        <w:rPr>
          <w:rFonts w:ascii="Times New Roman" w:hAnsi="Times New Roman" w:cs="Times New Roman"/>
          <w:sz w:val="24"/>
          <w:szCs w:val="24"/>
        </w:rPr>
      </w:pPr>
      <w:r w:rsidRPr="008A67C4">
        <w:rPr>
          <w:rFonts w:ascii="Times New Roman" w:hAnsi="Times New Roman" w:cs="Times New Roman"/>
          <w:sz w:val="24"/>
          <w:szCs w:val="24"/>
        </w:rPr>
        <w:t xml:space="preserve">Potravinársky priemysel na druhej strane však musí spolupracovať s obchodom, ktorý má na Slovensku veľmi ekonomicky dominantné postavenie, ktoré často zneužíva. Výsledkom slabého postavenia potravinárskeho priemyslu voči obchodu je podiel slovenských potravinárskych výrobkov na domácom trhu, ktorý je 47 %. Najväčší podiel na tomto veľmi nepriaznivom stave má mimoriadne ekonomické postavenie obchodných reťazcov, pričom </w:t>
      </w:r>
      <w:r>
        <w:rPr>
          <w:rFonts w:ascii="Times New Roman" w:hAnsi="Times New Roman" w:cs="Times New Roman"/>
          <w:sz w:val="24"/>
          <w:szCs w:val="24"/>
        </w:rPr>
        <w:t xml:space="preserve">     </w:t>
      </w:r>
      <w:r w:rsidRPr="008A67C4">
        <w:rPr>
          <w:rFonts w:ascii="Times New Roman" w:hAnsi="Times New Roman" w:cs="Times New Roman"/>
          <w:sz w:val="24"/>
          <w:szCs w:val="24"/>
        </w:rPr>
        <w:t xml:space="preserve">85 % tržieb za potraviny ide práve cez ich prevádzky. Na Slovensku je etablovaných </w:t>
      </w:r>
      <w:r>
        <w:rPr>
          <w:rFonts w:ascii="Times New Roman" w:hAnsi="Times New Roman" w:cs="Times New Roman"/>
          <w:sz w:val="24"/>
          <w:szCs w:val="24"/>
        </w:rPr>
        <w:t xml:space="preserve">               </w:t>
      </w:r>
      <w:r w:rsidRPr="008A67C4">
        <w:rPr>
          <w:rFonts w:ascii="Times New Roman" w:hAnsi="Times New Roman" w:cs="Times New Roman"/>
          <w:sz w:val="24"/>
          <w:szCs w:val="24"/>
        </w:rPr>
        <w:t>9 obchodných reťazcov, z toho iba 3 majú slovenský kapitál.</w:t>
      </w:r>
    </w:p>
    <w:p w:rsidR="00A87069" w:rsidRDefault="00A87069" w:rsidP="00A87069">
      <w:pPr>
        <w:spacing w:after="0" w:line="240" w:lineRule="auto"/>
        <w:jc w:val="both"/>
        <w:rPr>
          <w:rFonts w:ascii="Times New Roman" w:hAnsi="Times New Roman" w:cs="Times New Roman"/>
          <w:sz w:val="24"/>
          <w:szCs w:val="24"/>
        </w:rPr>
      </w:pPr>
    </w:p>
    <w:p w:rsidR="00A87069" w:rsidRPr="00D67AEA" w:rsidRDefault="00A87069" w:rsidP="00A87069">
      <w:pPr>
        <w:spacing w:after="0" w:line="240" w:lineRule="auto"/>
        <w:jc w:val="both"/>
        <w:rPr>
          <w:rFonts w:ascii="Times New Roman" w:hAnsi="Times New Roman" w:cs="Times New Roman"/>
          <w:sz w:val="20"/>
          <w:szCs w:val="20"/>
        </w:rPr>
      </w:pPr>
      <w:r w:rsidRPr="00A855A4">
        <w:rPr>
          <w:rFonts w:ascii="Times New Roman" w:hAnsi="Times New Roman" w:cs="Times New Roman"/>
          <w:sz w:val="20"/>
          <w:szCs w:val="20"/>
        </w:rPr>
        <w:t>Tab. č.1</w:t>
      </w:r>
      <w:r>
        <w:rPr>
          <w:rFonts w:ascii="Times New Roman" w:hAnsi="Times New Roman" w:cs="Times New Roman"/>
          <w:sz w:val="20"/>
          <w:szCs w:val="20"/>
        </w:rPr>
        <w:t>7</w:t>
      </w:r>
      <w:r w:rsidRPr="00A855A4">
        <w:rPr>
          <w:rFonts w:ascii="Times New Roman" w:hAnsi="Times New Roman" w:cs="Times New Roman"/>
          <w:sz w:val="20"/>
          <w:szCs w:val="20"/>
        </w:rPr>
        <w:t xml:space="preserve">: </w:t>
      </w:r>
      <w:r>
        <w:rPr>
          <w:rFonts w:ascii="Times New Roman" w:hAnsi="Times New Roman" w:cs="Times New Roman"/>
          <w:sz w:val="20"/>
          <w:szCs w:val="20"/>
        </w:rPr>
        <w:t>Prehľad o vývoji tržieb v maloobchode v rokoch 2003 - 2011</w:t>
      </w:r>
    </w:p>
    <w:tbl>
      <w:tblPr>
        <w:tblW w:w="9200" w:type="dxa"/>
        <w:tblInd w:w="55" w:type="dxa"/>
        <w:tblCellMar>
          <w:left w:w="70" w:type="dxa"/>
          <w:right w:w="70" w:type="dxa"/>
        </w:tblCellMar>
        <w:tblLook w:val="04A0" w:firstRow="1" w:lastRow="0" w:firstColumn="1" w:lastColumn="0" w:noHBand="0" w:noVBand="1"/>
      </w:tblPr>
      <w:tblGrid>
        <w:gridCol w:w="980"/>
        <w:gridCol w:w="1760"/>
        <w:gridCol w:w="1600"/>
        <w:gridCol w:w="980"/>
        <w:gridCol w:w="1960"/>
        <w:gridCol w:w="1920"/>
      </w:tblGrid>
      <w:tr w:rsidR="00A87069" w:rsidRPr="00792418" w:rsidTr="004947E6">
        <w:trPr>
          <w:trHeight w:val="255"/>
        </w:trPr>
        <w:tc>
          <w:tcPr>
            <w:tcW w:w="980" w:type="dxa"/>
            <w:vMerge w:val="restart"/>
            <w:tcBorders>
              <w:top w:val="single" w:sz="4" w:space="0" w:color="auto"/>
              <w:left w:val="nil"/>
              <w:bottom w:val="single" w:sz="4" w:space="0" w:color="000000"/>
              <w:right w:val="nil"/>
            </w:tcBorders>
            <w:shd w:val="clear" w:color="000000" w:fill="BFBFBF"/>
            <w:noWrap/>
            <w:vAlign w:val="center"/>
            <w:hideMark/>
          </w:tcPr>
          <w:p w:rsidR="00A87069" w:rsidRPr="00792418" w:rsidRDefault="00A87069" w:rsidP="004947E6">
            <w:pPr>
              <w:spacing w:after="0" w:line="240" w:lineRule="auto"/>
              <w:jc w:val="center"/>
              <w:rPr>
                <w:rFonts w:ascii="Times New Roman" w:eastAsia="Times New Roman" w:hAnsi="Times New Roman" w:cs="Times New Roman"/>
                <w:b/>
                <w:bCs/>
                <w:color w:val="000000"/>
                <w:sz w:val="20"/>
                <w:szCs w:val="20"/>
              </w:rPr>
            </w:pPr>
            <w:r w:rsidRPr="00792418">
              <w:rPr>
                <w:rFonts w:ascii="Times New Roman" w:eastAsia="Times New Roman" w:hAnsi="Times New Roman" w:cs="Times New Roman"/>
                <w:b/>
                <w:bCs/>
                <w:color w:val="000000"/>
                <w:sz w:val="20"/>
                <w:szCs w:val="20"/>
              </w:rPr>
              <w:t>Rok</w:t>
            </w:r>
          </w:p>
        </w:tc>
        <w:tc>
          <w:tcPr>
            <w:tcW w:w="1760" w:type="dxa"/>
            <w:tcBorders>
              <w:top w:val="single" w:sz="4" w:space="0" w:color="auto"/>
              <w:left w:val="single" w:sz="4" w:space="0" w:color="auto"/>
              <w:bottom w:val="nil"/>
              <w:right w:val="single" w:sz="4" w:space="0" w:color="auto"/>
            </w:tcBorders>
            <w:shd w:val="clear" w:color="000000" w:fill="BFBFBF"/>
            <w:vAlign w:val="center"/>
            <w:hideMark/>
          </w:tcPr>
          <w:p w:rsidR="00A87069" w:rsidRPr="00792418" w:rsidRDefault="00A87069" w:rsidP="004947E6">
            <w:pPr>
              <w:spacing w:after="0" w:line="240" w:lineRule="auto"/>
              <w:jc w:val="center"/>
              <w:rPr>
                <w:rFonts w:ascii="Times New Roman" w:eastAsia="Times New Roman" w:hAnsi="Times New Roman" w:cs="Times New Roman"/>
                <w:b/>
                <w:bCs/>
                <w:color w:val="000000"/>
                <w:sz w:val="20"/>
                <w:szCs w:val="20"/>
              </w:rPr>
            </w:pPr>
            <w:r w:rsidRPr="00792418">
              <w:rPr>
                <w:rFonts w:ascii="Times New Roman" w:eastAsia="Times New Roman" w:hAnsi="Times New Roman" w:cs="Times New Roman"/>
                <w:b/>
                <w:bCs/>
                <w:color w:val="000000"/>
                <w:sz w:val="20"/>
                <w:szCs w:val="20"/>
              </w:rPr>
              <w:t xml:space="preserve">Tržby </w:t>
            </w:r>
          </w:p>
        </w:tc>
        <w:tc>
          <w:tcPr>
            <w:tcW w:w="2580" w:type="dxa"/>
            <w:gridSpan w:val="2"/>
            <w:tcBorders>
              <w:top w:val="single" w:sz="4" w:space="0" w:color="auto"/>
              <w:left w:val="nil"/>
              <w:bottom w:val="nil"/>
              <w:right w:val="nil"/>
            </w:tcBorders>
            <w:shd w:val="clear" w:color="000000" w:fill="BFBFBF"/>
            <w:vAlign w:val="center"/>
            <w:hideMark/>
          </w:tcPr>
          <w:p w:rsidR="00A87069" w:rsidRPr="00792418" w:rsidRDefault="00A87069" w:rsidP="004947E6">
            <w:pPr>
              <w:spacing w:after="0" w:line="240" w:lineRule="auto"/>
              <w:jc w:val="center"/>
              <w:rPr>
                <w:rFonts w:ascii="Times New Roman" w:eastAsia="Times New Roman" w:hAnsi="Times New Roman" w:cs="Times New Roman"/>
                <w:b/>
                <w:bCs/>
                <w:color w:val="000000"/>
                <w:sz w:val="20"/>
                <w:szCs w:val="20"/>
              </w:rPr>
            </w:pPr>
            <w:r w:rsidRPr="00792418">
              <w:rPr>
                <w:rFonts w:ascii="Times New Roman" w:eastAsia="Times New Roman" w:hAnsi="Times New Roman" w:cs="Times New Roman"/>
                <w:b/>
                <w:bCs/>
                <w:color w:val="000000"/>
                <w:sz w:val="20"/>
                <w:szCs w:val="20"/>
              </w:rPr>
              <w:t>z toho</w:t>
            </w:r>
          </w:p>
        </w:tc>
        <w:tc>
          <w:tcPr>
            <w:tcW w:w="3880" w:type="dxa"/>
            <w:gridSpan w:val="2"/>
            <w:tcBorders>
              <w:top w:val="single" w:sz="4" w:space="0" w:color="auto"/>
              <w:left w:val="nil"/>
              <w:bottom w:val="single" w:sz="4" w:space="0" w:color="auto"/>
              <w:right w:val="nil"/>
            </w:tcBorders>
            <w:shd w:val="clear" w:color="000000" w:fill="BFBFBF"/>
            <w:vAlign w:val="center"/>
            <w:hideMark/>
          </w:tcPr>
          <w:p w:rsidR="00A87069" w:rsidRPr="00792418" w:rsidRDefault="00A87069" w:rsidP="004947E6">
            <w:pPr>
              <w:spacing w:after="0" w:line="240" w:lineRule="auto"/>
              <w:jc w:val="center"/>
              <w:rPr>
                <w:rFonts w:ascii="Times New Roman" w:eastAsia="Times New Roman" w:hAnsi="Times New Roman" w:cs="Times New Roman"/>
                <w:b/>
                <w:bCs/>
                <w:color w:val="000000"/>
                <w:sz w:val="20"/>
                <w:szCs w:val="20"/>
              </w:rPr>
            </w:pPr>
            <w:r w:rsidRPr="00792418">
              <w:rPr>
                <w:rFonts w:ascii="Times New Roman" w:eastAsia="Times New Roman" w:hAnsi="Times New Roman" w:cs="Times New Roman"/>
                <w:b/>
                <w:bCs/>
                <w:color w:val="000000"/>
                <w:sz w:val="20"/>
                <w:szCs w:val="20"/>
              </w:rPr>
              <w:t>z toho</w:t>
            </w:r>
          </w:p>
        </w:tc>
      </w:tr>
      <w:tr w:rsidR="00A87069" w:rsidRPr="00792418" w:rsidTr="004947E6">
        <w:trPr>
          <w:trHeight w:val="300"/>
        </w:trPr>
        <w:tc>
          <w:tcPr>
            <w:tcW w:w="980" w:type="dxa"/>
            <w:vMerge/>
            <w:tcBorders>
              <w:top w:val="single" w:sz="4" w:space="0" w:color="auto"/>
              <w:left w:val="nil"/>
              <w:bottom w:val="single" w:sz="4" w:space="0" w:color="000000"/>
              <w:right w:val="nil"/>
            </w:tcBorders>
            <w:vAlign w:val="center"/>
            <w:hideMark/>
          </w:tcPr>
          <w:p w:rsidR="00A87069" w:rsidRPr="00792418" w:rsidRDefault="00A87069" w:rsidP="004947E6">
            <w:pPr>
              <w:spacing w:after="0" w:line="240" w:lineRule="auto"/>
              <w:rPr>
                <w:rFonts w:ascii="Times New Roman" w:eastAsia="Times New Roman" w:hAnsi="Times New Roman" w:cs="Times New Roman"/>
                <w:b/>
                <w:bCs/>
                <w:color w:val="000000"/>
                <w:sz w:val="20"/>
                <w:szCs w:val="20"/>
              </w:rPr>
            </w:pPr>
          </w:p>
        </w:tc>
        <w:tc>
          <w:tcPr>
            <w:tcW w:w="1760" w:type="dxa"/>
            <w:tcBorders>
              <w:top w:val="nil"/>
              <w:left w:val="single" w:sz="4" w:space="0" w:color="auto"/>
              <w:bottom w:val="nil"/>
              <w:right w:val="single" w:sz="4" w:space="0" w:color="auto"/>
            </w:tcBorders>
            <w:shd w:val="clear" w:color="000000" w:fill="BFBFBF"/>
            <w:vAlign w:val="center"/>
            <w:hideMark/>
          </w:tcPr>
          <w:p w:rsidR="00A87069" w:rsidRPr="00792418" w:rsidRDefault="00A87069" w:rsidP="004947E6">
            <w:pPr>
              <w:spacing w:after="0" w:line="240" w:lineRule="auto"/>
              <w:jc w:val="center"/>
              <w:rPr>
                <w:rFonts w:ascii="Times New Roman" w:eastAsia="Times New Roman" w:hAnsi="Times New Roman" w:cs="Times New Roman"/>
                <w:b/>
                <w:bCs/>
                <w:color w:val="000000"/>
                <w:sz w:val="20"/>
                <w:szCs w:val="20"/>
              </w:rPr>
            </w:pPr>
            <w:r w:rsidRPr="00792418">
              <w:rPr>
                <w:rFonts w:ascii="Times New Roman" w:eastAsia="Times New Roman" w:hAnsi="Times New Roman" w:cs="Times New Roman"/>
                <w:b/>
                <w:bCs/>
                <w:color w:val="000000"/>
                <w:sz w:val="20"/>
                <w:szCs w:val="20"/>
              </w:rPr>
              <w:t>v maloobchode spolu</w:t>
            </w:r>
          </w:p>
        </w:tc>
        <w:tc>
          <w:tcPr>
            <w:tcW w:w="1600" w:type="dxa"/>
            <w:vMerge w:val="restart"/>
            <w:tcBorders>
              <w:top w:val="single" w:sz="4" w:space="0" w:color="auto"/>
              <w:left w:val="single" w:sz="4" w:space="0" w:color="auto"/>
              <w:bottom w:val="single" w:sz="4" w:space="0" w:color="000000"/>
            </w:tcBorders>
            <w:shd w:val="clear" w:color="000000" w:fill="BFBFBF"/>
            <w:vAlign w:val="center"/>
            <w:hideMark/>
          </w:tcPr>
          <w:p w:rsidR="00A87069" w:rsidRPr="00792418" w:rsidRDefault="00A87069" w:rsidP="004947E6">
            <w:pPr>
              <w:spacing w:after="0" w:line="240" w:lineRule="auto"/>
              <w:jc w:val="center"/>
              <w:rPr>
                <w:rFonts w:ascii="Times New Roman" w:eastAsia="Times New Roman" w:hAnsi="Times New Roman" w:cs="Times New Roman"/>
                <w:b/>
                <w:bCs/>
                <w:color w:val="000000"/>
                <w:sz w:val="20"/>
                <w:szCs w:val="20"/>
              </w:rPr>
            </w:pPr>
            <w:r w:rsidRPr="00792418">
              <w:rPr>
                <w:rFonts w:ascii="Times New Roman" w:eastAsia="Times New Roman" w:hAnsi="Times New Roman" w:cs="Times New Roman"/>
                <w:b/>
                <w:bCs/>
                <w:color w:val="000000"/>
                <w:sz w:val="20"/>
                <w:szCs w:val="20"/>
              </w:rPr>
              <w:t xml:space="preserve">Tržby za potraviny         </w:t>
            </w:r>
            <w:r w:rsidRPr="0079241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792418">
              <w:rPr>
                <w:rFonts w:ascii="Times New Roman" w:eastAsia="Times New Roman" w:hAnsi="Times New Roman" w:cs="Times New Roman"/>
                <w:color w:val="000000"/>
                <w:sz w:val="20"/>
                <w:szCs w:val="20"/>
              </w:rPr>
              <w:t>v tis. EUR</w:t>
            </w:r>
          </w:p>
        </w:tc>
        <w:tc>
          <w:tcPr>
            <w:tcW w:w="980" w:type="dxa"/>
            <w:vMerge w:val="restart"/>
            <w:tcBorders>
              <w:top w:val="single" w:sz="4" w:space="0" w:color="auto"/>
              <w:left w:val="nil"/>
              <w:bottom w:val="single" w:sz="4" w:space="0" w:color="000000"/>
              <w:right w:val="single" w:sz="4" w:space="0" w:color="auto"/>
            </w:tcBorders>
            <w:shd w:val="clear" w:color="000000" w:fill="BFBFBF"/>
            <w:vAlign w:val="center"/>
            <w:hideMark/>
          </w:tcPr>
          <w:p w:rsidR="00A87069" w:rsidRPr="00792418" w:rsidRDefault="00A87069" w:rsidP="004947E6">
            <w:pPr>
              <w:spacing w:after="0" w:line="240" w:lineRule="auto"/>
              <w:jc w:val="center"/>
              <w:rPr>
                <w:rFonts w:ascii="Times New Roman" w:eastAsia="Times New Roman" w:hAnsi="Times New Roman" w:cs="Times New Roman"/>
                <w:b/>
                <w:bCs/>
                <w:color w:val="000000"/>
                <w:sz w:val="20"/>
                <w:szCs w:val="20"/>
              </w:rPr>
            </w:pPr>
            <w:r w:rsidRPr="00792418">
              <w:rPr>
                <w:rFonts w:ascii="Times New Roman" w:eastAsia="Times New Roman" w:hAnsi="Times New Roman" w:cs="Times New Roman"/>
                <w:b/>
                <w:bCs/>
                <w:color w:val="000000"/>
                <w:sz w:val="20"/>
                <w:szCs w:val="20"/>
              </w:rPr>
              <w:t xml:space="preserve">podiel           </w:t>
            </w:r>
            <w:r w:rsidRPr="00792418">
              <w:rPr>
                <w:rFonts w:ascii="Times New Roman" w:eastAsia="Times New Roman" w:hAnsi="Times New Roman" w:cs="Times New Roman"/>
                <w:color w:val="000000"/>
                <w:sz w:val="20"/>
                <w:szCs w:val="20"/>
              </w:rPr>
              <w:t>v %</w:t>
            </w:r>
          </w:p>
        </w:tc>
        <w:tc>
          <w:tcPr>
            <w:tcW w:w="1960" w:type="dxa"/>
            <w:vMerge w:val="restart"/>
            <w:tcBorders>
              <w:top w:val="single" w:sz="4" w:space="0" w:color="auto"/>
              <w:left w:val="single" w:sz="4" w:space="0" w:color="auto"/>
              <w:bottom w:val="single" w:sz="4" w:space="0" w:color="000000"/>
            </w:tcBorders>
            <w:shd w:val="clear" w:color="000000" w:fill="BFBFBF"/>
            <w:vAlign w:val="center"/>
            <w:hideMark/>
          </w:tcPr>
          <w:p w:rsidR="00A87069" w:rsidRPr="00792418" w:rsidRDefault="00A87069" w:rsidP="004947E6">
            <w:pPr>
              <w:spacing w:after="0" w:line="240" w:lineRule="auto"/>
              <w:jc w:val="center"/>
              <w:rPr>
                <w:rFonts w:ascii="Times New Roman" w:eastAsia="Times New Roman" w:hAnsi="Times New Roman" w:cs="Times New Roman"/>
                <w:b/>
                <w:bCs/>
                <w:color w:val="000000"/>
                <w:sz w:val="20"/>
                <w:szCs w:val="20"/>
              </w:rPr>
            </w:pPr>
            <w:r w:rsidRPr="00792418">
              <w:rPr>
                <w:rFonts w:ascii="Times New Roman" w:eastAsia="Times New Roman" w:hAnsi="Times New Roman" w:cs="Times New Roman"/>
                <w:b/>
                <w:bCs/>
                <w:color w:val="000000"/>
                <w:sz w:val="20"/>
                <w:szCs w:val="20"/>
              </w:rPr>
              <w:t xml:space="preserve">Tržby za potraviny v reťazcoch                      </w:t>
            </w:r>
            <w:r w:rsidRPr="00792418">
              <w:rPr>
                <w:rFonts w:ascii="Times New Roman" w:eastAsia="Times New Roman" w:hAnsi="Times New Roman" w:cs="Times New Roman"/>
                <w:color w:val="000000"/>
                <w:sz w:val="20"/>
                <w:szCs w:val="20"/>
              </w:rPr>
              <w:t xml:space="preserve">  v tis. EUR</w:t>
            </w:r>
          </w:p>
        </w:tc>
        <w:tc>
          <w:tcPr>
            <w:tcW w:w="1920" w:type="dxa"/>
            <w:vMerge w:val="restart"/>
            <w:tcBorders>
              <w:top w:val="single" w:sz="4" w:space="0" w:color="auto"/>
              <w:left w:val="nil"/>
              <w:bottom w:val="single" w:sz="4" w:space="0" w:color="000000"/>
              <w:right w:val="nil"/>
            </w:tcBorders>
            <w:shd w:val="clear" w:color="000000" w:fill="BFBFBF"/>
            <w:vAlign w:val="center"/>
            <w:hideMark/>
          </w:tcPr>
          <w:p w:rsidR="00A87069" w:rsidRPr="00792418" w:rsidRDefault="00A87069" w:rsidP="004947E6">
            <w:pPr>
              <w:spacing w:after="0" w:line="240" w:lineRule="auto"/>
              <w:jc w:val="center"/>
              <w:rPr>
                <w:rFonts w:ascii="Times New Roman" w:eastAsia="Times New Roman" w:hAnsi="Times New Roman" w:cs="Times New Roman"/>
                <w:b/>
                <w:bCs/>
                <w:color w:val="000000"/>
                <w:sz w:val="20"/>
                <w:szCs w:val="20"/>
              </w:rPr>
            </w:pPr>
            <w:r w:rsidRPr="00792418">
              <w:rPr>
                <w:rFonts w:ascii="Times New Roman" w:eastAsia="Times New Roman" w:hAnsi="Times New Roman" w:cs="Times New Roman"/>
                <w:b/>
                <w:bCs/>
                <w:color w:val="000000"/>
                <w:sz w:val="20"/>
                <w:szCs w:val="20"/>
              </w:rPr>
              <w:t xml:space="preserve">podiel                              </w:t>
            </w:r>
            <w:r w:rsidRPr="00792418">
              <w:rPr>
                <w:rFonts w:ascii="Times New Roman" w:eastAsia="Times New Roman" w:hAnsi="Times New Roman" w:cs="Times New Roman"/>
                <w:color w:val="000000"/>
                <w:sz w:val="20"/>
                <w:szCs w:val="20"/>
              </w:rPr>
              <w:t xml:space="preserve">  v %</w:t>
            </w:r>
          </w:p>
        </w:tc>
      </w:tr>
      <w:tr w:rsidR="00A87069" w:rsidRPr="00792418" w:rsidTr="004947E6">
        <w:trPr>
          <w:trHeight w:val="255"/>
        </w:trPr>
        <w:tc>
          <w:tcPr>
            <w:tcW w:w="980" w:type="dxa"/>
            <w:vMerge/>
            <w:tcBorders>
              <w:top w:val="single" w:sz="4" w:space="0" w:color="auto"/>
              <w:left w:val="nil"/>
              <w:bottom w:val="single" w:sz="4" w:space="0" w:color="000000"/>
              <w:right w:val="nil"/>
            </w:tcBorders>
            <w:vAlign w:val="center"/>
            <w:hideMark/>
          </w:tcPr>
          <w:p w:rsidR="00A87069" w:rsidRPr="00792418" w:rsidRDefault="00A87069" w:rsidP="004947E6">
            <w:pPr>
              <w:spacing w:after="0" w:line="240" w:lineRule="auto"/>
              <w:rPr>
                <w:rFonts w:ascii="Times New Roman" w:eastAsia="Times New Roman" w:hAnsi="Times New Roman" w:cs="Times New Roman"/>
                <w:b/>
                <w:bCs/>
                <w:color w:val="000000"/>
                <w:sz w:val="20"/>
                <w:szCs w:val="20"/>
              </w:rPr>
            </w:pPr>
          </w:p>
        </w:tc>
        <w:tc>
          <w:tcPr>
            <w:tcW w:w="1760" w:type="dxa"/>
            <w:tcBorders>
              <w:top w:val="nil"/>
              <w:left w:val="single" w:sz="4" w:space="0" w:color="auto"/>
              <w:bottom w:val="nil"/>
              <w:right w:val="single" w:sz="4" w:space="0" w:color="auto"/>
            </w:tcBorders>
            <w:shd w:val="clear" w:color="000000" w:fill="BFBFBF"/>
            <w:vAlign w:val="center"/>
            <w:hideMark/>
          </w:tcPr>
          <w:p w:rsidR="00A87069" w:rsidRPr="00792418" w:rsidRDefault="00A87069" w:rsidP="004947E6">
            <w:pPr>
              <w:spacing w:after="0" w:line="240" w:lineRule="auto"/>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 </w:t>
            </w:r>
          </w:p>
        </w:tc>
        <w:tc>
          <w:tcPr>
            <w:tcW w:w="1600" w:type="dxa"/>
            <w:vMerge/>
            <w:tcBorders>
              <w:top w:val="single" w:sz="4" w:space="0" w:color="000000"/>
              <w:left w:val="single" w:sz="4" w:space="0" w:color="auto"/>
              <w:bottom w:val="single" w:sz="4" w:space="0" w:color="000000"/>
            </w:tcBorders>
            <w:vAlign w:val="center"/>
            <w:hideMark/>
          </w:tcPr>
          <w:p w:rsidR="00A87069" w:rsidRPr="00792418" w:rsidRDefault="00A87069" w:rsidP="004947E6">
            <w:pPr>
              <w:spacing w:after="0" w:line="240" w:lineRule="auto"/>
              <w:rPr>
                <w:rFonts w:ascii="Times New Roman" w:eastAsia="Times New Roman" w:hAnsi="Times New Roman" w:cs="Times New Roman"/>
                <w:b/>
                <w:bCs/>
                <w:color w:val="000000"/>
                <w:sz w:val="20"/>
                <w:szCs w:val="20"/>
              </w:rPr>
            </w:pPr>
          </w:p>
        </w:tc>
        <w:tc>
          <w:tcPr>
            <w:tcW w:w="980" w:type="dxa"/>
            <w:vMerge/>
            <w:tcBorders>
              <w:top w:val="single" w:sz="4" w:space="0" w:color="auto"/>
              <w:left w:val="nil"/>
              <w:bottom w:val="single" w:sz="4" w:space="0" w:color="000000"/>
              <w:right w:val="single" w:sz="4" w:space="0" w:color="auto"/>
            </w:tcBorders>
            <w:vAlign w:val="center"/>
            <w:hideMark/>
          </w:tcPr>
          <w:p w:rsidR="00A87069" w:rsidRPr="00792418" w:rsidRDefault="00A87069" w:rsidP="004947E6">
            <w:pPr>
              <w:spacing w:after="0" w:line="240" w:lineRule="auto"/>
              <w:rPr>
                <w:rFonts w:ascii="Times New Roman" w:eastAsia="Times New Roman" w:hAnsi="Times New Roman" w:cs="Times New Roman"/>
                <w:b/>
                <w:bCs/>
                <w:color w:val="000000"/>
                <w:sz w:val="20"/>
                <w:szCs w:val="20"/>
              </w:rPr>
            </w:pPr>
          </w:p>
        </w:tc>
        <w:tc>
          <w:tcPr>
            <w:tcW w:w="1960" w:type="dxa"/>
            <w:vMerge/>
            <w:tcBorders>
              <w:top w:val="single" w:sz="4" w:space="0" w:color="000000"/>
              <w:left w:val="single" w:sz="4" w:space="0" w:color="auto"/>
              <w:bottom w:val="single" w:sz="4" w:space="0" w:color="000000"/>
            </w:tcBorders>
            <w:vAlign w:val="center"/>
            <w:hideMark/>
          </w:tcPr>
          <w:p w:rsidR="00A87069" w:rsidRPr="00792418" w:rsidRDefault="00A87069" w:rsidP="004947E6">
            <w:pPr>
              <w:spacing w:after="0" w:line="240" w:lineRule="auto"/>
              <w:rPr>
                <w:rFonts w:ascii="Times New Roman" w:eastAsia="Times New Roman" w:hAnsi="Times New Roman" w:cs="Times New Roman"/>
                <w:b/>
                <w:bCs/>
                <w:color w:val="000000"/>
                <w:sz w:val="20"/>
                <w:szCs w:val="20"/>
              </w:rPr>
            </w:pPr>
          </w:p>
        </w:tc>
        <w:tc>
          <w:tcPr>
            <w:tcW w:w="1920" w:type="dxa"/>
            <w:vMerge/>
            <w:tcBorders>
              <w:top w:val="single" w:sz="4" w:space="0" w:color="auto"/>
              <w:left w:val="nil"/>
              <w:bottom w:val="single" w:sz="4" w:space="0" w:color="000000"/>
              <w:right w:val="nil"/>
            </w:tcBorders>
            <w:vAlign w:val="center"/>
            <w:hideMark/>
          </w:tcPr>
          <w:p w:rsidR="00A87069" w:rsidRPr="00792418" w:rsidRDefault="00A87069" w:rsidP="004947E6">
            <w:pPr>
              <w:spacing w:after="0" w:line="240" w:lineRule="auto"/>
              <w:rPr>
                <w:rFonts w:ascii="Times New Roman" w:eastAsia="Times New Roman" w:hAnsi="Times New Roman" w:cs="Times New Roman"/>
                <w:b/>
                <w:bCs/>
                <w:color w:val="000000"/>
                <w:sz w:val="20"/>
                <w:szCs w:val="20"/>
              </w:rPr>
            </w:pPr>
          </w:p>
        </w:tc>
      </w:tr>
      <w:tr w:rsidR="00A87069" w:rsidRPr="00792418" w:rsidTr="004947E6">
        <w:trPr>
          <w:trHeight w:val="255"/>
        </w:trPr>
        <w:tc>
          <w:tcPr>
            <w:tcW w:w="980" w:type="dxa"/>
            <w:vMerge/>
            <w:tcBorders>
              <w:top w:val="single" w:sz="4" w:space="0" w:color="auto"/>
              <w:left w:val="nil"/>
              <w:bottom w:val="single" w:sz="4" w:space="0" w:color="000000"/>
              <w:right w:val="nil"/>
            </w:tcBorders>
            <w:vAlign w:val="center"/>
            <w:hideMark/>
          </w:tcPr>
          <w:p w:rsidR="00A87069" w:rsidRPr="00792418" w:rsidRDefault="00A87069" w:rsidP="004947E6">
            <w:pPr>
              <w:spacing w:after="0" w:line="240" w:lineRule="auto"/>
              <w:rPr>
                <w:rFonts w:ascii="Times New Roman" w:eastAsia="Times New Roman" w:hAnsi="Times New Roman" w:cs="Times New Roman"/>
                <w:b/>
                <w:bCs/>
                <w:color w:val="000000"/>
                <w:sz w:val="20"/>
                <w:szCs w:val="20"/>
              </w:rPr>
            </w:pPr>
          </w:p>
        </w:tc>
        <w:tc>
          <w:tcPr>
            <w:tcW w:w="1760" w:type="dxa"/>
            <w:tcBorders>
              <w:top w:val="nil"/>
              <w:left w:val="single" w:sz="4" w:space="0" w:color="auto"/>
              <w:bottom w:val="single" w:sz="4" w:space="0" w:color="auto"/>
              <w:right w:val="single" w:sz="4" w:space="0" w:color="auto"/>
            </w:tcBorders>
            <w:shd w:val="clear" w:color="000000" w:fill="BFBFBF"/>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v tis. EUR</w:t>
            </w:r>
          </w:p>
        </w:tc>
        <w:tc>
          <w:tcPr>
            <w:tcW w:w="1600" w:type="dxa"/>
            <w:vMerge/>
            <w:tcBorders>
              <w:top w:val="single" w:sz="4" w:space="0" w:color="000000"/>
              <w:left w:val="single" w:sz="4" w:space="0" w:color="auto"/>
              <w:bottom w:val="single" w:sz="4" w:space="0" w:color="000000"/>
            </w:tcBorders>
            <w:vAlign w:val="center"/>
            <w:hideMark/>
          </w:tcPr>
          <w:p w:rsidR="00A87069" w:rsidRPr="00792418" w:rsidRDefault="00A87069" w:rsidP="004947E6">
            <w:pPr>
              <w:spacing w:after="0" w:line="240" w:lineRule="auto"/>
              <w:rPr>
                <w:rFonts w:ascii="Times New Roman" w:eastAsia="Times New Roman" w:hAnsi="Times New Roman" w:cs="Times New Roman"/>
                <w:b/>
                <w:bCs/>
                <w:color w:val="000000"/>
                <w:sz w:val="20"/>
                <w:szCs w:val="20"/>
              </w:rPr>
            </w:pPr>
          </w:p>
        </w:tc>
        <w:tc>
          <w:tcPr>
            <w:tcW w:w="980" w:type="dxa"/>
            <w:vMerge/>
            <w:tcBorders>
              <w:top w:val="single" w:sz="4" w:space="0" w:color="auto"/>
              <w:left w:val="nil"/>
              <w:bottom w:val="single" w:sz="4" w:space="0" w:color="000000"/>
              <w:right w:val="single" w:sz="4" w:space="0" w:color="auto"/>
            </w:tcBorders>
            <w:vAlign w:val="center"/>
            <w:hideMark/>
          </w:tcPr>
          <w:p w:rsidR="00A87069" w:rsidRPr="00792418" w:rsidRDefault="00A87069" w:rsidP="004947E6">
            <w:pPr>
              <w:spacing w:after="0" w:line="240" w:lineRule="auto"/>
              <w:rPr>
                <w:rFonts w:ascii="Times New Roman" w:eastAsia="Times New Roman" w:hAnsi="Times New Roman" w:cs="Times New Roman"/>
                <w:b/>
                <w:bCs/>
                <w:color w:val="000000"/>
                <w:sz w:val="20"/>
                <w:szCs w:val="20"/>
              </w:rPr>
            </w:pPr>
          </w:p>
        </w:tc>
        <w:tc>
          <w:tcPr>
            <w:tcW w:w="1960" w:type="dxa"/>
            <w:vMerge/>
            <w:tcBorders>
              <w:top w:val="single" w:sz="4" w:space="0" w:color="000000"/>
              <w:left w:val="single" w:sz="4" w:space="0" w:color="auto"/>
              <w:bottom w:val="single" w:sz="4" w:space="0" w:color="000000"/>
            </w:tcBorders>
            <w:vAlign w:val="center"/>
            <w:hideMark/>
          </w:tcPr>
          <w:p w:rsidR="00A87069" w:rsidRPr="00792418" w:rsidRDefault="00A87069" w:rsidP="004947E6">
            <w:pPr>
              <w:spacing w:after="0" w:line="240" w:lineRule="auto"/>
              <w:rPr>
                <w:rFonts w:ascii="Times New Roman" w:eastAsia="Times New Roman" w:hAnsi="Times New Roman" w:cs="Times New Roman"/>
                <w:b/>
                <w:bCs/>
                <w:color w:val="000000"/>
                <w:sz w:val="20"/>
                <w:szCs w:val="20"/>
              </w:rPr>
            </w:pPr>
          </w:p>
        </w:tc>
        <w:tc>
          <w:tcPr>
            <w:tcW w:w="1920" w:type="dxa"/>
            <w:vMerge/>
            <w:tcBorders>
              <w:top w:val="single" w:sz="4" w:space="0" w:color="auto"/>
              <w:left w:val="nil"/>
              <w:bottom w:val="single" w:sz="4" w:space="0" w:color="000000"/>
              <w:right w:val="nil"/>
            </w:tcBorders>
            <w:vAlign w:val="center"/>
            <w:hideMark/>
          </w:tcPr>
          <w:p w:rsidR="00A87069" w:rsidRPr="00792418" w:rsidRDefault="00A87069" w:rsidP="004947E6">
            <w:pPr>
              <w:spacing w:after="0" w:line="240" w:lineRule="auto"/>
              <w:rPr>
                <w:rFonts w:ascii="Times New Roman" w:eastAsia="Times New Roman" w:hAnsi="Times New Roman" w:cs="Times New Roman"/>
                <w:b/>
                <w:bCs/>
                <w:color w:val="000000"/>
                <w:sz w:val="20"/>
                <w:szCs w:val="20"/>
              </w:rPr>
            </w:pPr>
          </w:p>
        </w:tc>
      </w:tr>
      <w:tr w:rsidR="00A87069" w:rsidRPr="00792418" w:rsidTr="004947E6">
        <w:trPr>
          <w:trHeight w:val="255"/>
        </w:trPr>
        <w:tc>
          <w:tcPr>
            <w:tcW w:w="980" w:type="dxa"/>
            <w:tcBorders>
              <w:top w:val="nil"/>
              <w:left w:val="nil"/>
              <w:bottom w:val="nil"/>
              <w:right w:val="nil"/>
            </w:tcBorders>
            <w:shd w:val="clear" w:color="auto" w:fill="auto"/>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2003</w:t>
            </w:r>
          </w:p>
        </w:tc>
        <w:tc>
          <w:tcPr>
            <w:tcW w:w="1760" w:type="dxa"/>
            <w:tcBorders>
              <w:top w:val="nil"/>
              <w:left w:val="single" w:sz="4" w:space="0" w:color="auto"/>
              <w:bottom w:val="nil"/>
              <w:right w:val="single" w:sz="4" w:space="0" w:color="auto"/>
            </w:tcBorders>
            <w:shd w:val="clear" w:color="auto" w:fill="auto"/>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3 316 636</w:t>
            </w:r>
          </w:p>
        </w:tc>
        <w:tc>
          <w:tcPr>
            <w:tcW w:w="1600" w:type="dxa"/>
            <w:tcBorders>
              <w:top w:val="nil"/>
              <w:left w:val="nil"/>
              <w:bottom w:val="nil"/>
              <w:right w:val="nil"/>
            </w:tcBorders>
            <w:shd w:val="clear" w:color="auto" w:fill="auto"/>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1 664 364</w:t>
            </w:r>
          </w:p>
        </w:tc>
        <w:tc>
          <w:tcPr>
            <w:tcW w:w="980" w:type="dxa"/>
            <w:tcBorders>
              <w:top w:val="nil"/>
              <w:left w:val="nil"/>
              <w:bottom w:val="nil"/>
              <w:right w:val="single" w:sz="4" w:space="0" w:color="auto"/>
            </w:tcBorders>
            <w:shd w:val="clear" w:color="auto" w:fill="auto"/>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50,2%</w:t>
            </w:r>
          </w:p>
        </w:tc>
        <w:tc>
          <w:tcPr>
            <w:tcW w:w="1960" w:type="dxa"/>
            <w:tcBorders>
              <w:top w:val="nil"/>
              <w:left w:val="nil"/>
              <w:bottom w:val="nil"/>
              <w:right w:val="nil"/>
            </w:tcBorders>
            <w:shd w:val="clear" w:color="auto" w:fill="auto"/>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845 638</w:t>
            </w:r>
          </w:p>
        </w:tc>
        <w:tc>
          <w:tcPr>
            <w:tcW w:w="1920" w:type="dxa"/>
            <w:tcBorders>
              <w:top w:val="nil"/>
              <w:left w:val="nil"/>
              <w:bottom w:val="nil"/>
              <w:right w:val="nil"/>
            </w:tcBorders>
            <w:shd w:val="clear" w:color="auto" w:fill="auto"/>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50,8%</w:t>
            </w:r>
          </w:p>
        </w:tc>
      </w:tr>
      <w:tr w:rsidR="00A87069" w:rsidRPr="00792418" w:rsidTr="004947E6">
        <w:trPr>
          <w:trHeight w:val="255"/>
        </w:trPr>
        <w:tc>
          <w:tcPr>
            <w:tcW w:w="980" w:type="dxa"/>
            <w:tcBorders>
              <w:top w:val="nil"/>
              <w:left w:val="nil"/>
              <w:bottom w:val="nil"/>
              <w:right w:val="nil"/>
            </w:tcBorders>
            <w:shd w:val="clear" w:color="000000" w:fill="F2F2F2"/>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2004</w:t>
            </w:r>
          </w:p>
        </w:tc>
        <w:tc>
          <w:tcPr>
            <w:tcW w:w="1760" w:type="dxa"/>
            <w:tcBorders>
              <w:top w:val="nil"/>
              <w:left w:val="single" w:sz="4" w:space="0" w:color="auto"/>
              <w:bottom w:val="nil"/>
              <w:right w:val="single" w:sz="4" w:space="0" w:color="auto"/>
            </w:tcBorders>
            <w:shd w:val="clear" w:color="000000" w:fill="F2F2F2"/>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3 550 755</w:t>
            </w:r>
          </w:p>
        </w:tc>
        <w:tc>
          <w:tcPr>
            <w:tcW w:w="1600" w:type="dxa"/>
            <w:tcBorders>
              <w:top w:val="nil"/>
              <w:left w:val="nil"/>
              <w:bottom w:val="nil"/>
              <w:right w:val="nil"/>
            </w:tcBorders>
            <w:shd w:val="clear" w:color="000000" w:fill="F2F2F2"/>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1 785 693</w:t>
            </w:r>
          </w:p>
        </w:tc>
        <w:tc>
          <w:tcPr>
            <w:tcW w:w="980" w:type="dxa"/>
            <w:tcBorders>
              <w:top w:val="nil"/>
              <w:left w:val="nil"/>
              <w:bottom w:val="nil"/>
              <w:right w:val="single" w:sz="4" w:space="0" w:color="auto"/>
            </w:tcBorders>
            <w:shd w:val="clear" w:color="000000" w:fill="F2F2F2"/>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50,3%</w:t>
            </w:r>
          </w:p>
        </w:tc>
        <w:tc>
          <w:tcPr>
            <w:tcW w:w="1960" w:type="dxa"/>
            <w:tcBorders>
              <w:top w:val="nil"/>
              <w:left w:val="nil"/>
              <w:bottom w:val="nil"/>
              <w:right w:val="nil"/>
            </w:tcBorders>
            <w:shd w:val="clear" w:color="000000" w:fill="F2F2F2"/>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1 324 358</w:t>
            </w:r>
          </w:p>
        </w:tc>
        <w:tc>
          <w:tcPr>
            <w:tcW w:w="1920" w:type="dxa"/>
            <w:tcBorders>
              <w:top w:val="nil"/>
              <w:left w:val="nil"/>
              <w:bottom w:val="nil"/>
              <w:right w:val="nil"/>
            </w:tcBorders>
            <w:shd w:val="clear" w:color="000000" w:fill="F2F2F2"/>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74,2%</w:t>
            </w:r>
          </w:p>
        </w:tc>
      </w:tr>
      <w:tr w:rsidR="00A87069" w:rsidRPr="00792418" w:rsidTr="004947E6">
        <w:trPr>
          <w:trHeight w:val="255"/>
        </w:trPr>
        <w:tc>
          <w:tcPr>
            <w:tcW w:w="980" w:type="dxa"/>
            <w:tcBorders>
              <w:top w:val="nil"/>
              <w:left w:val="nil"/>
              <w:bottom w:val="nil"/>
              <w:right w:val="nil"/>
            </w:tcBorders>
            <w:shd w:val="clear" w:color="auto" w:fill="auto"/>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2005</w:t>
            </w:r>
          </w:p>
        </w:tc>
        <w:tc>
          <w:tcPr>
            <w:tcW w:w="1760" w:type="dxa"/>
            <w:tcBorders>
              <w:top w:val="nil"/>
              <w:left w:val="single" w:sz="4" w:space="0" w:color="auto"/>
              <w:bottom w:val="nil"/>
              <w:right w:val="single" w:sz="4" w:space="0" w:color="auto"/>
            </w:tcBorders>
            <w:shd w:val="clear" w:color="auto" w:fill="auto"/>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4 112 606</w:t>
            </w:r>
          </w:p>
        </w:tc>
        <w:tc>
          <w:tcPr>
            <w:tcW w:w="1600" w:type="dxa"/>
            <w:tcBorders>
              <w:top w:val="nil"/>
              <w:left w:val="nil"/>
              <w:bottom w:val="nil"/>
              <w:right w:val="nil"/>
            </w:tcBorders>
            <w:shd w:val="clear" w:color="auto" w:fill="auto"/>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1 824 811</w:t>
            </w:r>
          </w:p>
        </w:tc>
        <w:tc>
          <w:tcPr>
            <w:tcW w:w="980" w:type="dxa"/>
            <w:tcBorders>
              <w:top w:val="nil"/>
              <w:left w:val="nil"/>
              <w:bottom w:val="nil"/>
              <w:right w:val="single" w:sz="4" w:space="0" w:color="auto"/>
            </w:tcBorders>
            <w:shd w:val="clear" w:color="auto" w:fill="auto"/>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44,4%</w:t>
            </w:r>
          </w:p>
        </w:tc>
        <w:tc>
          <w:tcPr>
            <w:tcW w:w="1960" w:type="dxa"/>
            <w:tcBorders>
              <w:top w:val="nil"/>
              <w:left w:val="nil"/>
              <w:bottom w:val="nil"/>
              <w:right w:val="nil"/>
            </w:tcBorders>
            <w:shd w:val="clear" w:color="auto" w:fill="auto"/>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1 573 798</w:t>
            </w:r>
          </w:p>
        </w:tc>
        <w:tc>
          <w:tcPr>
            <w:tcW w:w="1920" w:type="dxa"/>
            <w:tcBorders>
              <w:top w:val="nil"/>
              <w:left w:val="nil"/>
              <w:bottom w:val="nil"/>
              <w:right w:val="nil"/>
            </w:tcBorders>
            <w:shd w:val="clear" w:color="auto" w:fill="auto"/>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86,2%</w:t>
            </w:r>
          </w:p>
        </w:tc>
      </w:tr>
      <w:tr w:rsidR="00A87069" w:rsidRPr="00792418" w:rsidTr="004947E6">
        <w:trPr>
          <w:trHeight w:val="255"/>
        </w:trPr>
        <w:tc>
          <w:tcPr>
            <w:tcW w:w="980" w:type="dxa"/>
            <w:tcBorders>
              <w:top w:val="nil"/>
              <w:left w:val="nil"/>
              <w:bottom w:val="nil"/>
              <w:right w:val="nil"/>
            </w:tcBorders>
            <w:shd w:val="clear" w:color="000000" w:fill="F2F2F2"/>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2006</w:t>
            </w:r>
          </w:p>
        </w:tc>
        <w:tc>
          <w:tcPr>
            <w:tcW w:w="1760" w:type="dxa"/>
            <w:tcBorders>
              <w:top w:val="nil"/>
              <w:left w:val="single" w:sz="4" w:space="0" w:color="auto"/>
              <w:bottom w:val="nil"/>
              <w:right w:val="single" w:sz="4" w:space="0" w:color="auto"/>
            </w:tcBorders>
            <w:shd w:val="clear" w:color="000000" w:fill="F2F2F2"/>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4 549 094</w:t>
            </w:r>
          </w:p>
        </w:tc>
        <w:tc>
          <w:tcPr>
            <w:tcW w:w="1600" w:type="dxa"/>
            <w:tcBorders>
              <w:top w:val="nil"/>
              <w:left w:val="nil"/>
              <w:bottom w:val="nil"/>
              <w:right w:val="nil"/>
            </w:tcBorders>
            <w:shd w:val="clear" w:color="000000" w:fill="F2F2F2"/>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1 971 087</w:t>
            </w:r>
          </w:p>
        </w:tc>
        <w:tc>
          <w:tcPr>
            <w:tcW w:w="980" w:type="dxa"/>
            <w:tcBorders>
              <w:top w:val="nil"/>
              <w:left w:val="nil"/>
              <w:bottom w:val="nil"/>
              <w:right w:val="single" w:sz="4" w:space="0" w:color="auto"/>
            </w:tcBorders>
            <w:shd w:val="clear" w:color="000000" w:fill="F2F2F2"/>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43,3%</w:t>
            </w:r>
          </w:p>
        </w:tc>
        <w:tc>
          <w:tcPr>
            <w:tcW w:w="1960" w:type="dxa"/>
            <w:tcBorders>
              <w:top w:val="nil"/>
              <w:left w:val="nil"/>
              <w:bottom w:val="nil"/>
              <w:right w:val="nil"/>
            </w:tcBorders>
            <w:shd w:val="clear" w:color="000000" w:fill="F2F2F2"/>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1 786 493</w:t>
            </w:r>
          </w:p>
        </w:tc>
        <w:tc>
          <w:tcPr>
            <w:tcW w:w="1920" w:type="dxa"/>
            <w:tcBorders>
              <w:top w:val="nil"/>
              <w:left w:val="nil"/>
              <w:bottom w:val="nil"/>
              <w:right w:val="nil"/>
            </w:tcBorders>
            <w:shd w:val="clear" w:color="000000" w:fill="F2F2F2"/>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90,6%</w:t>
            </w:r>
          </w:p>
        </w:tc>
      </w:tr>
      <w:tr w:rsidR="00A87069" w:rsidRPr="00792418" w:rsidTr="004947E6">
        <w:trPr>
          <w:trHeight w:val="255"/>
        </w:trPr>
        <w:tc>
          <w:tcPr>
            <w:tcW w:w="980" w:type="dxa"/>
            <w:tcBorders>
              <w:top w:val="nil"/>
              <w:left w:val="nil"/>
              <w:bottom w:val="nil"/>
              <w:right w:val="nil"/>
            </w:tcBorders>
            <w:shd w:val="clear" w:color="auto" w:fill="auto"/>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2007</w:t>
            </w:r>
          </w:p>
        </w:tc>
        <w:tc>
          <w:tcPr>
            <w:tcW w:w="1760" w:type="dxa"/>
            <w:tcBorders>
              <w:top w:val="nil"/>
              <w:left w:val="single" w:sz="4" w:space="0" w:color="auto"/>
              <w:bottom w:val="nil"/>
              <w:right w:val="single" w:sz="4" w:space="0" w:color="auto"/>
            </w:tcBorders>
            <w:shd w:val="clear" w:color="auto" w:fill="auto"/>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5 186 692</w:t>
            </w:r>
          </w:p>
        </w:tc>
        <w:tc>
          <w:tcPr>
            <w:tcW w:w="1600" w:type="dxa"/>
            <w:tcBorders>
              <w:top w:val="nil"/>
              <w:left w:val="nil"/>
              <w:bottom w:val="nil"/>
              <w:right w:val="nil"/>
            </w:tcBorders>
            <w:shd w:val="clear" w:color="auto" w:fill="auto"/>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2 246 268</w:t>
            </w:r>
          </w:p>
        </w:tc>
        <w:tc>
          <w:tcPr>
            <w:tcW w:w="980" w:type="dxa"/>
            <w:tcBorders>
              <w:top w:val="nil"/>
              <w:left w:val="nil"/>
              <w:bottom w:val="nil"/>
              <w:right w:val="single" w:sz="4" w:space="0" w:color="auto"/>
            </w:tcBorders>
            <w:shd w:val="clear" w:color="auto" w:fill="auto"/>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43,3%</w:t>
            </w:r>
          </w:p>
        </w:tc>
        <w:tc>
          <w:tcPr>
            <w:tcW w:w="1960" w:type="dxa"/>
            <w:tcBorders>
              <w:top w:val="nil"/>
              <w:left w:val="nil"/>
              <w:bottom w:val="nil"/>
              <w:right w:val="nil"/>
            </w:tcBorders>
            <w:shd w:val="clear" w:color="auto" w:fill="auto"/>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2 037 863</w:t>
            </w:r>
          </w:p>
        </w:tc>
        <w:tc>
          <w:tcPr>
            <w:tcW w:w="1920" w:type="dxa"/>
            <w:tcBorders>
              <w:top w:val="nil"/>
              <w:left w:val="nil"/>
              <w:bottom w:val="nil"/>
              <w:right w:val="nil"/>
            </w:tcBorders>
            <w:shd w:val="clear" w:color="auto" w:fill="auto"/>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90,7%</w:t>
            </w:r>
          </w:p>
        </w:tc>
      </w:tr>
      <w:tr w:rsidR="00A87069" w:rsidRPr="00792418" w:rsidTr="004947E6">
        <w:trPr>
          <w:trHeight w:val="255"/>
        </w:trPr>
        <w:tc>
          <w:tcPr>
            <w:tcW w:w="980" w:type="dxa"/>
            <w:tcBorders>
              <w:top w:val="nil"/>
              <w:left w:val="nil"/>
              <w:bottom w:val="nil"/>
              <w:right w:val="nil"/>
            </w:tcBorders>
            <w:shd w:val="clear" w:color="000000" w:fill="F2F2F2"/>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2008</w:t>
            </w:r>
          </w:p>
        </w:tc>
        <w:tc>
          <w:tcPr>
            <w:tcW w:w="1760" w:type="dxa"/>
            <w:tcBorders>
              <w:top w:val="nil"/>
              <w:left w:val="single" w:sz="4" w:space="0" w:color="auto"/>
              <w:bottom w:val="nil"/>
              <w:right w:val="single" w:sz="4" w:space="0" w:color="auto"/>
            </w:tcBorders>
            <w:shd w:val="clear" w:color="000000" w:fill="F2F2F2"/>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6 094 038</w:t>
            </w:r>
          </w:p>
        </w:tc>
        <w:tc>
          <w:tcPr>
            <w:tcW w:w="1600" w:type="dxa"/>
            <w:tcBorders>
              <w:top w:val="nil"/>
              <w:left w:val="nil"/>
              <w:bottom w:val="nil"/>
              <w:right w:val="nil"/>
            </w:tcBorders>
            <w:shd w:val="clear" w:color="000000" w:fill="F2F2F2"/>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2 403 097</w:t>
            </w:r>
          </w:p>
        </w:tc>
        <w:tc>
          <w:tcPr>
            <w:tcW w:w="980" w:type="dxa"/>
            <w:tcBorders>
              <w:top w:val="nil"/>
              <w:left w:val="nil"/>
              <w:bottom w:val="nil"/>
              <w:right w:val="single" w:sz="4" w:space="0" w:color="auto"/>
            </w:tcBorders>
            <w:shd w:val="clear" w:color="000000" w:fill="F2F2F2"/>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39,4%</w:t>
            </w:r>
          </w:p>
        </w:tc>
        <w:tc>
          <w:tcPr>
            <w:tcW w:w="1960" w:type="dxa"/>
            <w:tcBorders>
              <w:top w:val="nil"/>
              <w:left w:val="nil"/>
              <w:bottom w:val="nil"/>
              <w:right w:val="nil"/>
            </w:tcBorders>
            <w:shd w:val="clear" w:color="000000" w:fill="F2F2F2"/>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1 981 057</w:t>
            </w:r>
          </w:p>
        </w:tc>
        <w:tc>
          <w:tcPr>
            <w:tcW w:w="1920" w:type="dxa"/>
            <w:tcBorders>
              <w:top w:val="nil"/>
              <w:left w:val="nil"/>
              <w:bottom w:val="nil"/>
              <w:right w:val="nil"/>
            </w:tcBorders>
            <w:shd w:val="clear" w:color="000000" w:fill="F2F2F2"/>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82,4%</w:t>
            </w:r>
          </w:p>
        </w:tc>
      </w:tr>
      <w:tr w:rsidR="00A87069" w:rsidRPr="00792418" w:rsidTr="004947E6">
        <w:trPr>
          <w:trHeight w:val="255"/>
        </w:trPr>
        <w:tc>
          <w:tcPr>
            <w:tcW w:w="980" w:type="dxa"/>
            <w:tcBorders>
              <w:top w:val="nil"/>
              <w:left w:val="nil"/>
              <w:bottom w:val="nil"/>
              <w:right w:val="nil"/>
            </w:tcBorders>
            <w:shd w:val="clear" w:color="auto" w:fill="auto"/>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2009</w:t>
            </w:r>
          </w:p>
        </w:tc>
        <w:tc>
          <w:tcPr>
            <w:tcW w:w="1760" w:type="dxa"/>
            <w:tcBorders>
              <w:top w:val="nil"/>
              <w:left w:val="single" w:sz="4" w:space="0" w:color="auto"/>
              <w:bottom w:val="nil"/>
              <w:right w:val="single" w:sz="4" w:space="0" w:color="auto"/>
            </w:tcBorders>
            <w:shd w:val="clear" w:color="auto" w:fill="auto"/>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7 376 396</w:t>
            </w:r>
          </w:p>
        </w:tc>
        <w:tc>
          <w:tcPr>
            <w:tcW w:w="1600" w:type="dxa"/>
            <w:tcBorders>
              <w:top w:val="nil"/>
              <w:left w:val="nil"/>
              <w:bottom w:val="nil"/>
              <w:right w:val="nil"/>
            </w:tcBorders>
            <w:shd w:val="clear" w:color="auto" w:fill="auto"/>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2 879 256</w:t>
            </w:r>
          </w:p>
        </w:tc>
        <w:tc>
          <w:tcPr>
            <w:tcW w:w="980" w:type="dxa"/>
            <w:tcBorders>
              <w:top w:val="nil"/>
              <w:left w:val="nil"/>
              <w:bottom w:val="nil"/>
              <w:right w:val="single" w:sz="4" w:space="0" w:color="auto"/>
            </w:tcBorders>
            <w:shd w:val="clear" w:color="auto" w:fill="auto"/>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39,0%</w:t>
            </w:r>
          </w:p>
        </w:tc>
        <w:tc>
          <w:tcPr>
            <w:tcW w:w="1960" w:type="dxa"/>
            <w:tcBorders>
              <w:top w:val="nil"/>
              <w:left w:val="nil"/>
              <w:bottom w:val="nil"/>
              <w:right w:val="nil"/>
            </w:tcBorders>
            <w:shd w:val="clear" w:color="auto" w:fill="auto"/>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2 409 673</w:t>
            </w:r>
          </w:p>
        </w:tc>
        <w:tc>
          <w:tcPr>
            <w:tcW w:w="1920" w:type="dxa"/>
            <w:tcBorders>
              <w:top w:val="nil"/>
              <w:left w:val="nil"/>
              <w:bottom w:val="nil"/>
              <w:right w:val="nil"/>
            </w:tcBorders>
            <w:shd w:val="clear" w:color="auto" w:fill="auto"/>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83,7%</w:t>
            </w:r>
          </w:p>
        </w:tc>
      </w:tr>
      <w:tr w:rsidR="00A87069" w:rsidRPr="00792418" w:rsidTr="004947E6">
        <w:trPr>
          <w:trHeight w:val="255"/>
        </w:trPr>
        <w:tc>
          <w:tcPr>
            <w:tcW w:w="980" w:type="dxa"/>
            <w:tcBorders>
              <w:top w:val="nil"/>
              <w:left w:val="nil"/>
              <w:bottom w:val="nil"/>
              <w:right w:val="nil"/>
            </w:tcBorders>
            <w:shd w:val="clear" w:color="000000" w:fill="F2F2F2"/>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2010</w:t>
            </w:r>
          </w:p>
        </w:tc>
        <w:tc>
          <w:tcPr>
            <w:tcW w:w="1760" w:type="dxa"/>
            <w:tcBorders>
              <w:top w:val="nil"/>
              <w:left w:val="single" w:sz="4" w:space="0" w:color="auto"/>
              <w:bottom w:val="nil"/>
              <w:right w:val="single" w:sz="4" w:space="0" w:color="auto"/>
            </w:tcBorders>
            <w:shd w:val="clear" w:color="000000" w:fill="F2F2F2"/>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7 739 786</w:t>
            </w:r>
          </w:p>
        </w:tc>
        <w:tc>
          <w:tcPr>
            <w:tcW w:w="1600" w:type="dxa"/>
            <w:tcBorders>
              <w:top w:val="nil"/>
              <w:left w:val="nil"/>
              <w:bottom w:val="nil"/>
              <w:right w:val="nil"/>
            </w:tcBorders>
            <w:shd w:val="clear" w:color="000000" w:fill="F2F2F2"/>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3 163 856</w:t>
            </w:r>
          </w:p>
        </w:tc>
        <w:tc>
          <w:tcPr>
            <w:tcW w:w="980" w:type="dxa"/>
            <w:tcBorders>
              <w:top w:val="nil"/>
              <w:left w:val="nil"/>
              <w:bottom w:val="nil"/>
              <w:right w:val="single" w:sz="4" w:space="0" w:color="auto"/>
            </w:tcBorders>
            <w:shd w:val="clear" w:color="000000" w:fill="F2F2F2"/>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40,9%</w:t>
            </w:r>
          </w:p>
        </w:tc>
        <w:tc>
          <w:tcPr>
            <w:tcW w:w="1960" w:type="dxa"/>
            <w:tcBorders>
              <w:top w:val="nil"/>
              <w:left w:val="nil"/>
              <w:bottom w:val="nil"/>
              <w:right w:val="nil"/>
            </w:tcBorders>
            <w:shd w:val="clear" w:color="000000" w:fill="F2F2F2"/>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2 810 120</w:t>
            </w:r>
          </w:p>
        </w:tc>
        <w:tc>
          <w:tcPr>
            <w:tcW w:w="1920" w:type="dxa"/>
            <w:tcBorders>
              <w:top w:val="nil"/>
              <w:left w:val="nil"/>
              <w:bottom w:val="nil"/>
              <w:right w:val="nil"/>
            </w:tcBorders>
            <w:shd w:val="clear" w:color="000000" w:fill="F2F2F2"/>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88,8%</w:t>
            </w:r>
          </w:p>
        </w:tc>
      </w:tr>
      <w:tr w:rsidR="00A87069" w:rsidRPr="00792418" w:rsidTr="004947E6">
        <w:trPr>
          <w:trHeight w:val="255"/>
        </w:trPr>
        <w:tc>
          <w:tcPr>
            <w:tcW w:w="980" w:type="dxa"/>
            <w:tcBorders>
              <w:top w:val="nil"/>
              <w:left w:val="nil"/>
              <w:bottom w:val="single" w:sz="4" w:space="0" w:color="auto"/>
              <w:right w:val="nil"/>
            </w:tcBorders>
            <w:shd w:val="clear" w:color="auto" w:fill="auto"/>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2011</w:t>
            </w: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8 595 498</w:t>
            </w:r>
          </w:p>
        </w:tc>
        <w:tc>
          <w:tcPr>
            <w:tcW w:w="1600" w:type="dxa"/>
            <w:tcBorders>
              <w:top w:val="nil"/>
              <w:left w:val="nil"/>
              <w:bottom w:val="single" w:sz="4" w:space="0" w:color="auto"/>
              <w:right w:val="nil"/>
            </w:tcBorders>
            <w:shd w:val="clear" w:color="auto" w:fill="auto"/>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3 475 692</w:t>
            </w:r>
          </w:p>
        </w:tc>
        <w:tc>
          <w:tcPr>
            <w:tcW w:w="980" w:type="dxa"/>
            <w:tcBorders>
              <w:top w:val="nil"/>
              <w:left w:val="nil"/>
              <w:bottom w:val="single" w:sz="4" w:space="0" w:color="auto"/>
              <w:right w:val="single" w:sz="4" w:space="0" w:color="auto"/>
            </w:tcBorders>
            <w:shd w:val="clear" w:color="auto" w:fill="auto"/>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40,4%</w:t>
            </w:r>
          </w:p>
        </w:tc>
        <w:tc>
          <w:tcPr>
            <w:tcW w:w="1960" w:type="dxa"/>
            <w:tcBorders>
              <w:top w:val="nil"/>
              <w:left w:val="nil"/>
              <w:bottom w:val="single" w:sz="4" w:space="0" w:color="auto"/>
              <w:right w:val="nil"/>
            </w:tcBorders>
            <w:shd w:val="clear" w:color="auto" w:fill="auto"/>
            <w:noWrap/>
            <w:vAlign w:val="center"/>
            <w:hideMark/>
          </w:tcPr>
          <w:p w:rsidR="00A87069" w:rsidRPr="00792418" w:rsidRDefault="00A87069" w:rsidP="004947E6">
            <w:pPr>
              <w:spacing w:after="0" w:line="240" w:lineRule="auto"/>
              <w:jc w:val="right"/>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2 955 220</w:t>
            </w:r>
          </w:p>
        </w:tc>
        <w:tc>
          <w:tcPr>
            <w:tcW w:w="1920" w:type="dxa"/>
            <w:tcBorders>
              <w:top w:val="nil"/>
              <w:left w:val="nil"/>
              <w:bottom w:val="single" w:sz="4" w:space="0" w:color="auto"/>
              <w:right w:val="nil"/>
            </w:tcBorders>
            <w:shd w:val="clear" w:color="auto" w:fill="auto"/>
            <w:noWrap/>
            <w:vAlign w:val="center"/>
            <w:hideMark/>
          </w:tcPr>
          <w:p w:rsidR="00A87069" w:rsidRPr="00792418" w:rsidRDefault="00A87069" w:rsidP="004947E6">
            <w:pPr>
              <w:spacing w:after="0" w:line="240" w:lineRule="auto"/>
              <w:jc w:val="center"/>
              <w:rPr>
                <w:rFonts w:ascii="Times New Roman" w:eastAsia="Times New Roman" w:hAnsi="Times New Roman" w:cs="Times New Roman"/>
                <w:color w:val="000000"/>
                <w:sz w:val="20"/>
                <w:szCs w:val="20"/>
              </w:rPr>
            </w:pPr>
            <w:r w:rsidRPr="00792418">
              <w:rPr>
                <w:rFonts w:ascii="Times New Roman" w:eastAsia="Times New Roman" w:hAnsi="Times New Roman" w:cs="Times New Roman"/>
                <w:color w:val="000000"/>
                <w:sz w:val="20"/>
                <w:szCs w:val="20"/>
              </w:rPr>
              <w:t>85,1%</w:t>
            </w:r>
          </w:p>
        </w:tc>
      </w:tr>
    </w:tbl>
    <w:p w:rsidR="00A87069" w:rsidRPr="008A67C4" w:rsidRDefault="00A87069" w:rsidP="00A87069">
      <w:pPr>
        <w:spacing w:after="0" w:line="240" w:lineRule="auto"/>
        <w:jc w:val="right"/>
        <w:rPr>
          <w:rFonts w:ascii="Times New Roman" w:hAnsi="Times New Roman"/>
          <w:sz w:val="20"/>
          <w:szCs w:val="20"/>
        </w:rPr>
      </w:pPr>
      <w:r>
        <w:rPr>
          <w:rFonts w:ascii="Times New Roman" w:hAnsi="Times New Roman"/>
          <w:sz w:val="20"/>
          <w:szCs w:val="20"/>
        </w:rPr>
        <w:t>Zdroj: ŠÚSR</w:t>
      </w:r>
    </w:p>
    <w:p w:rsidR="00A87069" w:rsidRDefault="00A87069" w:rsidP="00A87069">
      <w:pPr>
        <w:spacing w:after="0" w:line="240" w:lineRule="auto"/>
        <w:jc w:val="both"/>
        <w:rPr>
          <w:rFonts w:ascii="Times New Roman" w:hAnsi="Times New Roman" w:cs="Times New Roman"/>
          <w:sz w:val="24"/>
          <w:szCs w:val="24"/>
        </w:rPr>
      </w:pPr>
    </w:p>
    <w:p w:rsidR="00A87069" w:rsidRDefault="00A87069" w:rsidP="00A87069">
      <w:pPr>
        <w:spacing w:after="0" w:line="240" w:lineRule="auto"/>
        <w:jc w:val="both"/>
        <w:rPr>
          <w:rFonts w:ascii="Times New Roman" w:hAnsi="Times New Roman" w:cs="Times New Roman"/>
          <w:sz w:val="24"/>
          <w:szCs w:val="24"/>
        </w:rPr>
      </w:pPr>
      <w:r w:rsidRPr="0058715B">
        <w:rPr>
          <w:rFonts w:ascii="Times New Roman" w:hAnsi="Times New Roman" w:cs="Times New Roman"/>
          <w:sz w:val="24"/>
          <w:szCs w:val="24"/>
        </w:rPr>
        <w:t xml:space="preserve">Bolo nevyhnutné upraviť vzťahy vo vertikále spracovateľský priemysel a obchod primeranou legislatívou (zákon č. 362/2012 </w:t>
      </w:r>
      <w:proofErr w:type="spellStart"/>
      <w:r w:rsidRPr="0058715B">
        <w:rPr>
          <w:rFonts w:ascii="Times New Roman" w:hAnsi="Times New Roman" w:cs="Times New Roman"/>
          <w:sz w:val="24"/>
          <w:szCs w:val="24"/>
        </w:rPr>
        <w:t>Z.z</w:t>
      </w:r>
      <w:proofErr w:type="spellEnd"/>
      <w:r w:rsidRPr="0058715B">
        <w:rPr>
          <w:rFonts w:ascii="Times New Roman" w:hAnsi="Times New Roman" w:cs="Times New Roman"/>
          <w:sz w:val="24"/>
          <w:szCs w:val="24"/>
        </w:rPr>
        <w:t>. o neprimeraných podmienkach v obchodných vzťahoch, ktorých predmetom sú potraviny), aby bolo zabezpečené odstránenie nerovnomerných podmienok a spravodlivejšie prerozdelenie marže, čo bude mať priaznivý vplyv aj na poľnohospodársku prvovýrobu.</w:t>
      </w:r>
    </w:p>
    <w:p w:rsidR="00A87069" w:rsidRPr="0058715B" w:rsidRDefault="00A87069" w:rsidP="00A87069">
      <w:pPr>
        <w:spacing w:after="0" w:line="240" w:lineRule="auto"/>
        <w:jc w:val="both"/>
        <w:rPr>
          <w:rFonts w:ascii="Times New Roman" w:hAnsi="Times New Roman" w:cs="Times New Roman"/>
          <w:sz w:val="24"/>
          <w:szCs w:val="24"/>
        </w:rPr>
      </w:pPr>
    </w:p>
    <w:p w:rsidR="00A87069" w:rsidRDefault="00A87069" w:rsidP="00A87069">
      <w:pPr>
        <w:spacing w:after="0" w:line="240" w:lineRule="auto"/>
        <w:jc w:val="both"/>
        <w:rPr>
          <w:rFonts w:ascii="Times New Roman" w:hAnsi="Times New Roman" w:cs="Times New Roman"/>
          <w:sz w:val="24"/>
          <w:szCs w:val="24"/>
        </w:rPr>
      </w:pPr>
      <w:r w:rsidRPr="0058715B">
        <w:rPr>
          <w:rFonts w:ascii="Times New Roman" w:hAnsi="Times New Roman" w:cs="Times New Roman"/>
          <w:sz w:val="24"/>
          <w:szCs w:val="24"/>
        </w:rPr>
        <w:t xml:space="preserve">Na nepriaznivej situácii v potravinovej vertikále sa podieľa aj fakt, že pre spotrebiteľa je stále rozhodujúcim faktorom cena a nie pôvod. Podiel výdavkov na potraviny, nápoje a tabak tvorí až 27,6 % z celkových výdavkov domácností. Ostatné problémy a medializované škandály okolo zdraviu nebezpečných potravín z dovozu však presvedčili, že aj slovenský spotrebiteľ reflektuje na takéto informácie a zaujíma sa o svoje zdravie. </w:t>
      </w:r>
    </w:p>
    <w:p w:rsidR="00A87069" w:rsidRPr="0058715B" w:rsidRDefault="00A87069" w:rsidP="00A87069">
      <w:pPr>
        <w:spacing w:after="0" w:line="240" w:lineRule="auto"/>
        <w:jc w:val="both"/>
        <w:rPr>
          <w:rFonts w:ascii="Times New Roman" w:hAnsi="Times New Roman" w:cs="Times New Roman"/>
          <w:sz w:val="24"/>
          <w:szCs w:val="24"/>
        </w:rPr>
      </w:pPr>
    </w:p>
    <w:p w:rsidR="00A87069" w:rsidRDefault="00A87069" w:rsidP="00A87069">
      <w:pPr>
        <w:spacing w:after="0" w:line="240" w:lineRule="auto"/>
        <w:jc w:val="both"/>
        <w:rPr>
          <w:rFonts w:ascii="Times New Roman" w:hAnsi="Times New Roman" w:cs="Times New Roman"/>
          <w:sz w:val="24"/>
          <w:szCs w:val="24"/>
        </w:rPr>
      </w:pPr>
      <w:r w:rsidRPr="0058715B">
        <w:rPr>
          <w:rFonts w:ascii="Times New Roman" w:hAnsi="Times New Roman" w:cs="Times New Roman"/>
          <w:sz w:val="24"/>
          <w:szCs w:val="24"/>
        </w:rPr>
        <w:t>Slovenský spotrebiteľ však nemá ucelenú predstavu o slovenskej potravine a dôvodoch, prečo by ju mal kupovať. Absentuje výchova spotrebiteľa a jednotná komunikácia so spotrebiteľom vo vzťahu k podpore predaja slovenských poľnohospodárskych a potravinárskych výrobkov. Tiež nie je dostatočné vzdelávanie spotrebiteľa vo vzťahu k správnej výžive a k zdravému životnému štýlu. Dôkazom toho je nedostatočná spotreba mlieka a mliečnych výrobkov, ovocia a zeleniny, zemiakov, výrobkov obilnín a strukovín. V tejto oblasti je nevyhnutné urýchlene prijať dlhodobo udržateľnú koncepciu na komunikáciu so spotrebiteľom a na podporu predaja slovenských agropotravinárskych výrobkov a na realizáciu týchto úloh je nevyhnutné zabezpečiť primerané a dlhodobo udržateľné finančné zdroje. Návrh zákona o odbytovom fonde, na základe ktorého by bol sektor schopný združiť finančné prostriedky na realizáciu tohto zámeru považujeme naďalej  za  aktuálny</w:t>
      </w:r>
      <w:r w:rsidRPr="002F6F20">
        <w:rPr>
          <w:rFonts w:ascii="Times New Roman" w:hAnsi="Times New Roman" w:cs="Times New Roman"/>
          <w:sz w:val="24"/>
          <w:szCs w:val="24"/>
          <w:highlight w:val="yellow"/>
        </w:rPr>
        <w:t xml:space="preserve">. Na druhej strane však je potrebné </w:t>
      </w:r>
      <w:r w:rsidRPr="002F6F20">
        <w:rPr>
          <w:rFonts w:ascii="Times New Roman" w:hAnsi="Times New Roman" w:cs="Times New Roman"/>
          <w:sz w:val="24"/>
          <w:szCs w:val="24"/>
          <w:highlight w:val="yellow"/>
        </w:rPr>
        <w:lastRenderedPageBreak/>
        <w:t>podporovať produkciu potravinárskych výrobkov z vyššou pridanou hodnotou a v tejto súvislosti podporiť investície do nových technológií a podporiť inovačnú snahu potravinárskych podnikov.</w:t>
      </w:r>
    </w:p>
    <w:p w:rsidR="005C713D" w:rsidRDefault="005C713D" w:rsidP="00425994">
      <w:pPr>
        <w:spacing w:after="0" w:line="240" w:lineRule="auto"/>
        <w:jc w:val="both"/>
        <w:rPr>
          <w:rFonts w:ascii="Times New Roman" w:hAnsi="Times New Roman" w:cs="Times New Roman"/>
          <w:sz w:val="24"/>
          <w:szCs w:val="24"/>
        </w:rPr>
      </w:pPr>
    </w:p>
    <w:p w:rsidR="005C713D" w:rsidRDefault="005C713D" w:rsidP="005C713D">
      <w:pPr>
        <w:spacing w:after="0" w:line="240" w:lineRule="auto"/>
        <w:jc w:val="both"/>
        <w:rPr>
          <w:rFonts w:ascii="Times New Roman" w:hAnsi="Times New Roman" w:cs="Times New Roman"/>
          <w:sz w:val="24"/>
          <w:szCs w:val="24"/>
        </w:rPr>
      </w:pPr>
      <w:r w:rsidRPr="005C713D">
        <w:rPr>
          <w:rFonts w:ascii="Times New Roman" w:hAnsi="Times New Roman" w:cs="Times New Roman"/>
          <w:sz w:val="24"/>
          <w:szCs w:val="24"/>
        </w:rPr>
        <w:t xml:space="preserve">V mnohých výrobných odboroch nie je  potravinársky priemysel </w:t>
      </w:r>
      <w:r>
        <w:rPr>
          <w:rFonts w:ascii="Times New Roman" w:hAnsi="Times New Roman" w:cs="Times New Roman"/>
          <w:sz w:val="24"/>
          <w:szCs w:val="24"/>
        </w:rPr>
        <w:t xml:space="preserve">cenovo </w:t>
      </w:r>
      <w:r w:rsidRPr="005C713D">
        <w:rPr>
          <w:rFonts w:ascii="Times New Roman" w:hAnsi="Times New Roman" w:cs="Times New Roman"/>
          <w:sz w:val="24"/>
          <w:szCs w:val="24"/>
        </w:rPr>
        <w:t>konkurencieschopný.  Vo veľkej miere je nútený čeliť predaju slovenskej suroviny zo strany prvovýrobcov obchodníkom, čo núti potom spracovateľov nakupovať surovinu v zahraničí. Napriek existujúcim záchytným systémom EÚ v prípade významných trhových výkyvov sa tieto ukázali v podmienkach Slovenska ako neefektívne a málo využiteľné, hlavne kvôli neexistencii odbytových trhov tretích krajín a tradičnej exportnej orientácii na vnútorný trh EÚ.</w:t>
      </w:r>
    </w:p>
    <w:p w:rsidR="005C713D" w:rsidRPr="005C713D" w:rsidRDefault="005C713D" w:rsidP="005C713D">
      <w:pPr>
        <w:spacing w:after="0" w:line="240" w:lineRule="auto"/>
        <w:jc w:val="both"/>
        <w:rPr>
          <w:rFonts w:ascii="Times New Roman" w:hAnsi="Times New Roman" w:cs="Times New Roman"/>
          <w:sz w:val="24"/>
          <w:szCs w:val="24"/>
        </w:rPr>
      </w:pPr>
    </w:p>
    <w:p w:rsidR="005C713D" w:rsidRDefault="005C713D" w:rsidP="005C713D">
      <w:pPr>
        <w:spacing w:after="0" w:line="240" w:lineRule="auto"/>
        <w:jc w:val="both"/>
        <w:rPr>
          <w:rFonts w:ascii="Times New Roman" w:hAnsi="Times New Roman" w:cs="Times New Roman"/>
          <w:sz w:val="24"/>
          <w:szCs w:val="24"/>
        </w:rPr>
      </w:pPr>
      <w:r w:rsidRPr="005C713D">
        <w:rPr>
          <w:rFonts w:ascii="Times New Roman" w:hAnsi="Times New Roman" w:cs="Times New Roman"/>
          <w:sz w:val="24"/>
          <w:szCs w:val="24"/>
        </w:rPr>
        <w:t>Potravinárske odvetvie bolo za posledných 10 rokov ziskové. Kontinuálne zvyšovanie výsledku hospodárenia sa zastavilo v roku 2007 a odvtedy bol vývoj medziročne kolísavý. V porovnaní s rokom 2002 výsledok hospodárenia vzrástol o</w:t>
      </w:r>
      <w:r>
        <w:rPr>
          <w:rFonts w:ascii="Times New Roman" w:hAnsi="Times New Roman" w:cs="Times New Roman"/>
          <w:sz w:val="24"/>
          <w:szCs w:val="24"/>
        </w:rPr>
        <w:t> </w:t>
      </w:r>
      <w:r w:rsidRPr="005C713D">
        <w:rPr>
          <w:rFonts w:ascii="Times New Roman" w:hAnsi="Times New Roman" w:cs="Times New Roman"/>
          <w:sz w:val="24"/>
          <w:szCs w:val="24"/>
        </w:rPr>
        <w:t>48</w:t>
      </w:r>
      <w:r>
        <w:rPr>
          <w:rFonts w:ascii="Times New Roman" w:hAnsi="Times New Roman" w:cs="Times New Roman"/>
          <w:sz w:val="24"/>
          <w:szCs w:val="24"/>
        </w:rPr>
        <w:t xml:space="preserve"> </w:t>
      </w:r>
      <w:r w:rsidRPr="005C713D">
        <w:rPr>
          <w:rFonts w:ascii="Times New Roman" w:hAnsi="Times New Roman" w:cs="Times New Roman"/>
          <w:sz w:val="24"/>
          <w:szCs w:val="24"/>
        </w:rPr>
        <w:t>%. Z celkového počtu podnikov je 63% ziskových, čo je rovnaká úroveň ako v roku 2002.</w:t>
      </w:r>
      <w:r>
        <w:rPr>
          <w:rFonts w:ascii="Times New Roman" w:hAnsi="Times New Roman" w:cs="Times New Roman"/>
          <w:sz w:val="24"/>
          <w:szCs w:val="24"/>
        </w:rPr>
        <w:t xml:space="preserve"> </w:t>
      </w:r>
      <w:r w:rsidRPr="005C713D">
        <w:rPr>
          <w:rFonts w:ascii="Times New Roman" w:hAnsi="Times New Roman" w:cs="Times New Roman"/>
          <w:sz w:val="24"/>
          <w:szCs w:val="24"/>
        </w:rPr>
        <w:t xml:space="preserve">Najvyššiu úroveň výsledku hospodárenia v roku 2011 mal </w:t>
      </w:r>
      <w:proofErr w:type="spellStart"/>
      <w:r w:rsidRPr="005C713D">
        <w:rPr>
          <w:rFonts w:ascii="Times New Roman" w:hAnsi="Times New Roman" w:cs="Times New Roman"/>
          <w:sz w:val="24"/>
          <w:szCs w:val="24"/>
        </w:rPr>
        <w:t>cukrovinkársko</w:t>
      </w:r>
      <w:proofErr w:type="spellEnd"/>
      <w:r w:rsidRPr="005C713D">
        <w:rPr>
          <w:rFonts w:ascii="Times New Roman" w:hAnsi="Times New Roman" w:cs="Times New Roman"/>
          <w:sz w:val="24"/>
          <w:szCs w:val="24"/>
        </w:rPr>
        <w:t xml:space="preserve"> </w:t>
      </w:r>
      <w:proofErr w:type="spellStart"/>
      <w:r w:rsidRPr="005C713D">
        <w:rPr>
          <w:rFonts w:ascii="Times New Roman" w:hAnsi="Times New Roman" w:cs="Times New Roman"/>
          <w:sz w:val="24"/>
          <w:szCs w:val="24"/>
        </w:rPr>
        <w:t>pečivárenský</w:t>
      </w:r>
      <w:proofErr w:type="spellEnd"/>
      <w:r w:rsidRPr="005C713D">
        <w:rPr>
          <w:rFonts w:ascii="Times New Roman" w:hAnsi="Times New Roman" w:cs="Times New Roman"/>
          <w:sz w:val="24"/>
          <w:szCs w:val="24"/>
        </w:rPr>
        <w:t>, škrobárenský, pivovarnícky, vinársky a liehovarnícky a najnižší bol v pekárensko-cukrárenskom, mraziarenskom, mäsovom a tukovom odbore.</w:t>
      </w:r>
    </w:p>
    <w:p w:rsidR="005C713D" w:rsidRPr="005C713D" w:rsidRDefault="005C713D" w:rsidP="005C713D">
      <w:pPr>
        <w:spacing w:after="0" w:line="240" w:lineRule="auto"/>
        <w:jc w:val="both"/>
        <w:rPr>
          <w:rFonts w:ascii="Times New Roman" w:hAnsi="Times New Roman" w:cs="Times New Roman"/>
          <w:sz w:val="24"/>
          <w:szCs w:val="24"/>
        </w:rPr>
      </w:pPr>
    </w:p>
    <w:p w:rsidR="005C713D" w:rsidRDefault="005C713D" w:rsidP="005C713D">
      <w:pPr>
        <w:spacing w:after="0" w:line="240" w:lineRule="auto"/>
        <w:jc w:val="both"/>
        <w:rPr>
          <w:rFonts w:ascii="Times New Roman" w:hAnsi="Times New Roman" w:cs="Times New Roman"/>
          <w:sz w:val="24"/>
          <w:szCs w:val="24"/>
        </w:rPr>
      </w:pPr>
      <w:r w:rsidRPr="005C713D">
        <w:rPr>
          <w:rFonts w:ascii="Times New Roman" w:hAnsi="Times New Roman" w:cs="Times New Roman"/>
          <w:sz w:val="24"/>
          <w:szCs w:val="24"/>
        </w:rPr>
        <w:t xml:space="preserve">Z celkových nákladov odvetvia </w:t>
      </w:r>
      <w:r>
        <w:rPr>
          <w:rFonts w:ascii="Times New Roman" w:hAnsi="Times New Roman" w:cs="Times New Roman"/>
          <w:sz w:val="24"/>
          <w:szCs w:val="24"/>
        </w:rPr>
        <w:t>tvorí najviac výrobná spotreba, a to až 61%</w:t>
      </w:r>
      <w:r w:rsidRPr="005C713D">
        <w:rPr>
          <w:rFonts w:ascii="Times New Roman" w:hAnsi="Times New Roman" w:cs="Times New Roman"/>
          <w:sz w:val="24"/>
          <w:szCs w:val="24"/>
        </w:rPr>
        <w:t xml:space="preserve">, nasledujú mzdové náklady </w:t>
      </w:r>
      <w:r>
        <w:rPr>
          <w:rFonts w:ascii="Times New Roman" w:hAnsi="Times New Roman" w:cs="Times New Roman"/>
          <w:sz w:val="24"/>
          <w:szCs w:val="24"/>
        </w:rPr>
        <w:t>vo výške 7%, odpisy DHNM na úrovni 5 %</w:t>
      </w:r>
      <w:r w:rsidRPr="005C713D">
        <w:rPr>
          <w:rFonts w:ascii="Times New Roman" w:hAnsi="Times New Roman" w:cs="Times New Roman"/>
          <w:sz w:val="24"/>
          <w:szCs w:val="24"/>
        </w:rPr>
        <w:t xml:space="preserve"> a poplatky potravinárskych výrobcov do obchodnej siete 4</w:t>
      </w:r>
      <w:r>
        <w:rPr>
          <w:rFonts w:ascii="Times New Roman" w:hAnsi="Times New Roman" w:cs="Times New Roman"/>
          <w:sz w:val="24"/>
          <w:szCs w:val="24"/>
        </w:rPr>
        <w:t xml:space="preserve"> </w:t>
      </w:r>
      <w:r w:rsidRPr="005C713D">
        <w:rPr>
          <w:rFonts w:ascii="Times New Roman" w:hAnsi="Times New Roman" w:cs="Times New Roman"/>
          <w:sz w:val="24"/>
          <w:szCs w:val="24"/>
        </w:rPr>
        <w:t>%. Podiel výrobnej spotreby na celkových nákladoch v rok</w:t>
      </w:r>
      <w:r>
        <w:rPr>
          <w:rFonts w:ascii="Times New Roman" w:hAnsi="Times New Roman" w:cs="Times New Roman"/>
          <w:sz w:val="24"/>
          <w:szCs w:val="24"/>
        </w:rPr>
        <w:t xml:space="preserve">u 2011 oproti roku 2002 klesol o 2 </w:t>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 xml:space="preserve">.. </w:t>
      </w:r>
      <w:r w:rsidRPr="005C713D">
        <w:rPr>
          <w:rFonts w:ascii="Times New Roman" w:hAnsi="Times New Roman" w:cs="Times New Roman"/>
          <w:sz w:val="24"/>
          <w:szCs w:val="24"/>
        </w:rPr>
        <w:t>Finančné náklady výrobcov potravín spojené s predajom výrobkov do obchodnej siete v závislosti od podmienok ako aj mimo týchto podmienok uvedených v uzavretých zmluvách s odberateľmi v  roku 2011 pre v</w:t>
      </w:r>
      <w:r>
        <w:rPr>
          <w:rFonts w:ascii="Times New Roman" w:hAnsi="Times New Roman" w:cs="Times New Roman"/>
          <w:sz w:val="24"/>
          <w:szCs w:val="24"/>
        </w:rPr>
        <w:t xml:space="preserve">ýrobcov predstavovali 183 mil. EUR. </w:t>
      </w:r>
    </w:p>
    <w:p w:rsidR="005C713D" w:rsidRDefault="005C713D" w:rsidP="005C713D">
      <w:pPr>
        <w:spacing w:after="0" w:line="240" w:lineRule="auto"/>
        <w:jc w:val="both"/>
        <w:rPr>
          <w:rFonts w:ascii="Times New Roman" w:hAnsi="Times New Roman" w:cs="Times New Roman"/>
          <w:sz w:val="24"/>
          <w:szCs w:val="24"/>
        </w:rPr>
      </w:pPr>
    </w:p>
    <w:p w:rsidR="005C713D" w:rsidRDefault="005C713D" w:rsidP="005C713D">
      <w:pPr>
        <w:spacing w:after="0" w:line="240" w:lineRule="auto"/>
        <w:jc w:val="both"/>
        <w:rPr>
          <w:rFonts w:ascii="Times New Roman" w:hAnsi="Times New Roman" w:cs="Times New Roman"/>
          <w:sz w:val="24"/>
          <w:szCs w:val="24"/>
        </w:rPr>
      </w:pPr>
      <w:r w:rsidRPr="005C713D">
        <w:rPr>
          <w:rFonts w:ascii="Times New Roman" w:hAnsi="Times New Roman" w:cs="Times New Roman"/>
          <w:sz w:val="24"/>
          <w:szCs w:val="24"/>
        </w:rPr>
        <w:t>Objem záväzkov voči prvovýrobe v r</w:t>
      </w:r>
      <w:r>
        <w:rPr>
          <w:rFonts w:ascii="Times New Roman" w:hAnsi="Times New Roman" w:cs="Times New Roman"/>
          <w:sz w:val="24"/>
          <w:szCs w:val="24"/>
        </w:rPr>
        <w:t>oku 2011 predstavoval 106 mil. EUR</w:t>
      </w:r>
      <w:r w:rsidRPr="005C713D">
        <w:rPr>
          <w:rFonts w:ascii="Times New Roman" w:hAnsi="Times New Roman" w:cs="Times New Roman"/>
          <w:sz w:val="24"/>
          <w:szCs w:val="24"/>
        </w:rPr>
        <w:t>, čo je oproti roku 2002 o</w:t>
      </w:r>
      <w:r>
        <w:rPr>
          <w:rFonts w:ascii="Times New Roman" w:hAnsi="Times New Roman" w:cs="Times New Roman"/>
          <w:sz w:val="24"/>
          <w:szCs w:val="24"/>
        </w:rPr>
        <w:t> </w:t>
      </w:r>
      <w:r w:rsidRPr="005C713D">
        <w:rPr>
          <w:rFonts w:ascii="Times New Roman" w:hAnsi="Times New Roman" w:cs="Times New Roman"/>
          <w:sz w:val="24"/>
          <w:szCs w:val="24"/>
        </w:rPr>
        <w:t>6</w:t>
      </w:r>
      <w:r>
        <w:rPr>
          <w:rFonts w:ascii="Times New Roman" w:hAnsi="Times New Roman" w:cs="Times New Roman"/>
          <w:sz w:val="24"/>
          <w:szCs w:val="24"/>
        </w:rPr>
        <w:t xml:space="preserve"> </w:t>
      </w:r>
      <w:r w:rsidRPr="005C713D">
        <w:rPr>
          <w:rFonts w:ascii="Times New Roman" w:hAnsi="Times New Roman" w:cs="Times New Roman"/>
          <w:sz w:val="24"/>
          <w:szCs w:val="24"/>
        </w:rPr>
        <w:t>% menej. Najvyšší podiel na záväzkoch voči prvovýrobe odvetvia v roku 2011 mal odbor mliekarenský (33</w:t>
      </w:r>
      <w:r>
        <w:rPr>
          <w:rFonts w:ascii="Times New Roman" w:hAnsi="Times New Roman" w:cs="Times New Roman"/>
          <w:sz w:val="24"/>
          <w:szCs w:val="24"/>
        </w:rPr>
        <w:t xml:space="preserve"> </w:t>
      </w:r>
      <w:r w:rsidRPr="005C713D">
        <w:rPr>
          <w:rFonts w:ascii="Times New Roman" w:hAnsi="Times New Roman" w:cs="Times New Roman"/>
          <w:sz w:val="24"/>
          <w:szCs w:val="24"/>
        </w:rPr>
        <w:t>%), hydinársky (13</w:t>
      </w:r>
      <w:r>
        <w:rPr>
          <w:rFonts w:ascii="Times New Roman" w:hAnsi="Times New Roman" w:cs="Times New Roman"/>
          <w:sz w:val="24"/>
          <w:szCs w:val="24"/>
        </w:rPr>
        <w:t xml:space="preserve"> </w:t>
      </w:r>
      <w:r w:rsidRPr="005C713D">
        <w:rPr>
          <w:rFonts w:ascii="Times New Roman" w:hAnsi="Times New Roman" w:cs="Times New Roman"/>
          <w:sz w:val="24"/>
          <w:szCs w:val="24"/>
        </w:rPr>
        <w:t>%), mäsový (11</w:t>
      </w:r>
      <w:r>
        <w:rPr>
          <w:rFonts w:ascii="Times New Roman" w:hAnsi="Times New Roman" w:cs="Times New Roman"/>
          <w:sz w:val="24"/>
          <w:szCs w:val="24"/>
        </w:rPr>
        <w:t xml:space="preserve"> </w:t>
      </w:r>
      <w:r w:rsidRPr="005C713D">
        <w:rPr>
          <w:rFonts w:ascii="Times New Roman" w:hAnsi="Times New Roman" w:cs="Times New Roman"/>
          <w:sz w:val="24"/>
          <w:szCs w:val="24"/>
        </w:rPr>
        <w:t xml:space="preserve">%), pekárensko-cukrárenský </w:t>
      </w:r>
      <w:r>
        <w:rPr>
          <w:rFonts w:ascii="Times New Roman" w:hAnsi="Times New Roman" w:cs="Times New Roman"/>
          <w:sz w:val="24"/>
          <w:szCs w:val="24"/>
        </w:rPr>
        <w:t xml:space="preserve">   </w:t>
      </w:r>
      <w:r w:rsidRPr="005C713D">
        <w:rPr>
          <w:rFonts w:ascii="Times New Roman" w:hAnsi="Times New Roman" w:cs="Times New Roman"/>
          <w:sz w:val="24"/>
          <w:szCs w:val="24"/>
        </w:rPr>
        <w:t>(10</w:t>
      </w:r>
      <w:r>
        <w:rPr>
          <w:rFonts w:ascii="Times New Roman" w:hAnsi="Times New Roman" w:cs="Times New Roman"/>
          <w:sz w:val="24"/>
          <w:szCs w:val="24"/>
        </w:rPr>
        <w:t xml:space="preserve"> </w:t>
      </w:r>
      <w:r w:rsidRPr="005C713D">
        <w:rPr>
          <w:rFonts w:ascii="Times New Roman" w:hAnsi="Times New Roman" w:cs="Times New Roman"/>
          <w:sz w:val="24"/>
          <w:szCs w:val="24"/>
        </w:rPr>
        <w:t>%), vinársky (7</w:t>
      </w:r>
      <w:r>
        <w:rPr>
          <w:rFonts w:ascii="Times New Roman" w:hAnsi="Times New Roman" w:cs="Times New Roman"/>
          <w:sz w:val="24"/>
          <w:szCs w:val="24"/>
        </w:rPr>
        <w:t xml:space="preserve"> </w:t>
      </w:r>
      <w:r w:rsidRPr="005C713D">
        <w:rPr>
          <w:rFonts w:ascii="Times New Roman" w:hAnsi="Times New Roman" w:cs="Times New Roman"/>
          <w:sz w:val="24"/>
          <w:szCs w:val="24"/>
        </w:rPr>
        <w:t>%), mlynársky (5</w:t>
      </w:r>
      <w:r>
        <w:rPr>
          <w:rFonts w:ascii="Times New Roman" w:hAnsi="Times New Roman" w:cs="Times New Roman"/>
          <w:sz w:val="24"/>
          <w:szCs w:val="24"/>
        </w:rPr>
        <w:t xml:space="preserve"> </w:t>
      </w:r>
      <w:r w:rsidRPr="005C713D">
        <w:rPr>
          <w:rFonts w:ascii="Times New Roman" w:hAnsi="Times New Roman" w:cs="Times New Roman"/>
          <w:sz w:val="24"/>
          <w:szCs w:val="24"/>
        </w:rPr>
        <w:t>%), pivovarnícko-sladovnícky (4</w:t>
      </w:r>
      <w:r>
        <w:rPr>
          <w:rFonts w:ascii="Times New Roman" w:hAnsi="Times New Roman" w:cs="Times New Roman"/>
          <w:sz w:val="24"/>
          <w:szCs w:val="24"/>
        </w:rPr>
        <w:t xml:space="preserve"> </w:t>
      </w:r>
      <w:r w:rsidRPr="005C713D">
        <w:rPr>
          <w:rFonts w:ascii="Times New Roman" w:hAnsi="Times New Roman" w:cs="Times New Roman"/>
          <w:sz w:val="24"/>
          <w:szCs w:val="24"/>
        </w:rPr>
        <w:t xml:space="preserve">%) a škrobárenský </w:t>
      </w:r>
      <w:r>
        <w:rPr>
          <w:rFonts w:ascii="Times New Roman" w:hAnsi="Times New Roman" w:cs="Times New Roman"/>
          <w:sz w:val="24"/>
          <w:szCs w:val="24"/>
        </w:rPr>
        <w:t xml:space="preserve">    </w:t>
      </w:r>
      <w:r w:rsidRPr="005C713D">
        <w:rPr>
          <w:rFonts w:ascii="Times New Roman" w:hAnsi="Times New Roman" w:cs="Times New Roman"/>
          <w:sz w:val="24"/>
          <w:szCs w:val="24"/>
        </w:rPr>
        <w:t>(1</w:t>
      </w:r>
      <w:r>
        <w:rPr>
          <w:rFonts w:ascii="Times New Roman" w:hAnsi="Times New Roman" w:cs="Times New Roman"/>
          <w:sz w:val="24"/>
          <w:szCs w:val="24"/>
        </w:rPr>
        <w:t xml:space="preserve"> </w:t>
      </w:r>
      <w:r w:rsidRPr="005C713D">
        <w:rPr>
          <w:rFonts w:ascii="Times New Roman" w:hAnsi="Times New Roman" w:cs="Times New Roman"/>
          <w:sz w:val="24"/>
          <w:szCs w:val="24"/>
        </w:rPr>
        <w:t xml:space="preserve">%).  </w:t>
      </w:r>
    </w:p>
    <w:p w:rsidR="00E13F88" w:rsidRDefault="00E13F88" w:rsidP="005C713D">
      <w:pPr>
        <w:spacing w:after="0" w:line="240" w:lineRule="auto"/>
        <w:jc w:val="both"/>
        <w:rPr>
          <w:rFonts w:ascii="Times New Roman" w:hAnsi="Times New Roman" w:cs="Times New Roman"/>
          <w:sz w:val="24"/>
          <w:szCs w:val="24"/>
        </w:rPr>
      </w:pPr>
    </w:p>
    <w:p w:rsidR="00E13F88" w:rsidRPr="00E13F88" w:rsidRDefault="00E13F88" w:rsidP="00E13F88">
      <w:pPr>
        <w:spacing w:after="0" w:line="240" w:lineRule="auto"/>
        <w:jc w:val="both"/>
        <w:rPr>
          <w:rFonts w:ascii="Times New Roman" w:hAnsi="Times New Roman" w:cs="Times New Roman"/>
          <w:sz w:val="24"/>
          <w:szCs w:val="24"/>
        </w:rPr>
      </w:pPr>
      <w:r w:rsidRPr="00E13F88">
        <w:rPr>
          <w:rFonts w:ascii="Times New Roman" w:hAnsi="Times New Roman" w:cs="Times New Roman"/>
          <w:sz w:val="24"/>
          <w:szCs w:val="24"/>
        </w:rPr>
        <w:t>Počet podnikov potravinárskeho pri</w:t>
      </w:r>
      <w:r>
        <w:rPr>
          <w:rFonts w:ascii="Times New Roman" w:hAnsi="Times New Roman" w:cs="Times New Roman"/>
          <w:sz w:val="24"/>
          <w:szCs w:val="24"/>
        </w:rPr>
        <w:t>emyslu rástol do obdobia krízy, t.j. do roku 2009</w:t>
      </w:r>
      <w:r w:rsidRPr="00E13F88">
        <w:rPr>
          <w:rFonts w:ascii="Times New Roman" w:hAnsi="Times New Roman" w:cs="Times New Roman"/>
          <w:sz w:val="24"/>
          <w:szCs w:val="24"/>
        </w:rPr>
        <w:t xml:space="preserve">. V dôsledku krízy sa počet fyzických osôb v potravinárskom priemysle zredukoval o takmer </w:t>
      </w:r>
      <w:r>
        <w:rPr>
          <w:rFonts w:ascii="Times New Roman" w:hAnsi="Times New Roman" w:cs="Times New Roman"/>
          <w:sz w:val="24"/>
          <w:szCs w:val="24"/>
        </w:rPr>
        <w:t xml:space="preserve">     </w:t>
      </w:r>
      <w:r w:rsidRPr="00E13F88">
        <w:rPr>
          <w:rFonts w:ascii="Times New Roman" w:hAnsi="Times New Roman" w:cs="Times New Roman"/>
          <w:sz w:val="24"/>
          <w:szCs w:val="24"/>
        </w:rPr>
        <w:t xml:space="preserve">50 </w:t>
      </w:r>
      <w:r>
        <w:rPr>
          <w:rFonts w:ascii="Times New Roman" w:hAnsi="Times New Roman" w:cs="Times New Roman"/>
          <w:sz w:val="24"/>
          <w:szCs w:val="24"/>
        </w:rPr>
        <w:t>%</w:t>
      </w:r>
      <w:r w:rsidRPr="00E13F88">
        <w:rPr>
          <w:rFonts w:ascii="Times New Roman" w:hAnsi="Times New Roman" w:cs="Times New Roman"/>
          <w:sz w:val="24"/>
          <w:szCs w:val="24"/>
        </w:rPr>
        <w:t>, kým u právnických osôb sa vo väčšej miere jedná o pokračuj</w:t>
      </w:r>
      <w:r>
        <w:rPr>
          <w:rFonts w:ascii="Times New Roman" w:hAnsi="Times New Roman" w:cs="Times New Roman"/>
          <w:sz w:val="24"/>
          <w:szCs w:val="24"/>
        </w:rPr>
        <w:t xml:space="preserve">úci proces koncentrácie firiem. </w:t>
      </w:r>
      <w:r w:rsidRPr="00E13F88">
        <w:rPr>
          <w:rFonts w:ascii="Times New Roman" w:hAnsi="Times New Roman" w:cs="Times New Roman"/>
          <w:sz w:val="24"/>
          <w:szCs w:val="24"/>
        </w:rPr>
        <w:t xml:space="preserve">Medzi odbory s najvyššou úrovňou koncentrácie patrili v roku 2011 odbory škrobárenský, mraziarenský, tukový, hydinársky, pivovarnícko-sladovnícky, </w:t>
      </w:r>
      <w:proofErr w:type="spellStart"/>
      <w:r w:rsidRPr="00E13F88">
        <w:rPr>
          <w:rFonts w:ascii="Times New Roman" w:hAnsi="Times New Roman" w:cs="Times New Roman"/>
          <w:sz w:val="24"/>
          <w:szCs w:val="24"/>
        </w:rPr>
        <w:t>cukrovinkársko-pečivárenský</w:t>
      </w:r>
      <w:proofErr w:type="spellEnd"/>
      <w:r w:rsidRPr="00E13F88">
        <w:rPr>
          <w:rFonts w:ascii="Times New Roman" w:hAnsi="Times New Roman" w:cs="Times New Roman"/>
          <w:sz w:val="24"/>
          <w:szCs w:val="24"/>
        </w:rPr>
        <w:t xml:space="preserve"> a odbor výroby nealkoholických nápojov. Oproti roku 2002 mieru koncentrácie zvýšili m</w:t>
      </w:r>
      <w:r>
        <w:rPr>
          <w:rFonts w:ascii="Times New Roman" w:hAnsi="Times New Roman" w:cs="Times New Roman"/>
          <w:sz w:val="24"/>
          <w:szCs w:val="24"/>
        </w:rPr>
        <w:t xml:space="preserve">raziarenský a hydinársky odbor. </w:t>
      </w:r>
      <w:r w:rsidRPr="00E13F88">
        <w:rPr>
          <w:rFonts w:ascii="Times New Roman" w:hAnsi="Times New Roman" w:cs="Times New Roman"/>
          <w:sz w:val="24"/>
          <w:szCs w:val="24"/>
        </w:rPr>
        <w:t>Najnižšia úroveň koncentrácie v r</w:t>
      </w:r>
      <w:r>
        <w:rPr>
          <w:rFonts w:ascii="Times New Roman" w:hAnsi="Times New Roman" w:cs="Times New Roman"/>
          <w:sz w:val="24"/>
          <w:szCs w:val="24"/>
        </w:rPr>
        <w:t>oku 2011 bola v odboroch mäsového</w:t>
      </w:r>
      <w:r w:rsidRPr="00E13F88">
        <w:rPr>
          <w:rFonts w:ascii="Times New Roman" w:hAnsi="Times New Roman" w:cs="Times New Roman"/>
          <w:sz w:val="24"/>
          <w:szCs w:val="24"/>
        </w:rPr>
        <w:t>, mliekarensk</w:t>
      </w:r>
      <w:r>
        <w:rPr>
          <w:rFonts w:ascii="Times New Roman" w:hAnsi="Times New Roman" w:cs="Times New Roman"/>
          <w:sz w:val="24"/>
          <w:szCs w:val="24"/>
        </w:rPr>
        <w:t>ého a pekárensko-cukrárenského priemyslu</w:t>
      </w:r>
      <w:r w:rsidRPr="00E13F88">
        <w:rPr>
          <w:rFonts w:ascii="Times New Roman" w:hAnsi="Times New Roman" w:cs="Times New Roman"/>
          <w:sz w:val="24"/>
          <w:szCs w:val="24"/>
        </w:rPr>
        <w:t xml:space="preserve"> a najvýraznejšie klesla v konzervárenskom (28,4 </w:t>
      </w:r>
      <w:proofErr w:type="spellStart"/>
      <w:r w:rsidRPr="00E13F88">
        <w:rPr>
          <w:rFonts w:ascii="Times New Roman" w:hAnsi="Times New Roman" w:cs="Times New Roman"/>
          <w:sz w:val="24"/>
          <w:szCs w:val="24"/>
        </w:rPr>
        <w:t>p.b</w:t>
      </w:r>
      <w:proofErr w:type="spellEnd"/>
      <w:r w:rsidRPr="00E13F88">
        <w:rPr>
          <w:rFonts w:ascii="Times New Roman" w:hAnsi="Times New Roman" w:cs="Times New Roman"/>
          <w:sz w:val="24"/>
          <w:szCs w:val="24"/>
        </w:rPr>
        <w:t xml:space="preserve">.), vinárskom (11,7 </w:t>
      </w:r>
      <w:proofErr w:type="spellStart"/>
      <w:r w:rsidRPr="00E13F88">
        <w:rPr>
          <w:rFonts w:ascii="Times New Roman" w:hAnsi="Times New Roman" w:cs="Times New Roman"/>
          <w:sz w:val="24"/>
          <w:szCs w:val="24"/>
        </w:rPr>
        <w:t>p.b</w:t>
      </w:r>
      <w:proofErr w:type="spellEnd"/>
      <w:r w:rsidRPr="00E13F88">
        <w:rPr>
          <w:rFonts w:ascii="Times New Roman" w:hAnsi="Times New Roman" w:cs="Times New Roman"/>
          <w:sz w:val="24"/>
          <w:szCs w:val="24"/>
        </w:rPr>
        <w:t xml:space="preserve">.) a </w:t>
      </w:r>
      <w:proofErr w:type="spellStart"/>
      <w:r w:rsidRPr="00E13F88">
        <w:rPr>
          <w:rFonts w:ascii="Times New Roman" w:hAnsi="Times New Roman" w:cs="Times New Roman"/>
          <w:sz w:val="24"/>
          <w:szCs w:val="24"/>
        </w:rPr>
        <w:t>cukrovinkársko-pečivárenskom</w:t>
      </w:r>
      <w:proofErr w:type="spellEnd"/>
      <w:r w:rsidRPr="00E13F88">
        <w:rPr>
          <w:rFonts w:ascii="Times New Roman" w:hAnsi="Times New Roman" w:cs="Times New Roman"/>
          <w:sz w:val="24"/>
          <w:szCs w:val="24"/>
        </w:rPr>
        <w:t xml:space="preserve"> (9,8 </w:t>
      </w:r>
      <w:proofErr w:type="spellStart"/>
      <w:r w:rsidRPr="00E13F88">
        <w:rPr>
          <w:rFonts w:ascii="Times New Roman" w:hAnsi="Times New Roman" w:cs="Times New Roman"/>
          <w:sz w:val="24"/>
          <w:szCs w:val="24"/>
        </w:rPr>
        <w:t>p.b</w:t>
      </w:r>
      <w:proofErr w:type="spellEnd"/>
      <w:r w:rsidRPr="00E13F88">
        <w:rPr>
          <w:rFonts w:ascii="Times New Roman" w:hAnsi="Times New Roman" w:cs="Times New Roman"/>
          <w:sz w:val="24"/>
          <w:szCs w:val="24"/>
        </w:rPr>
        <w:t xml:space="preserve">.) </w:t>
      </w:r>
      <w:r>
        <w:rPr>
          <w:rFonts w:ascii="Times New Roman" w:hAnsi="Times New Roman" w:cs="Times New Roman"/>
          <w:sz w:val="24"/>
          <w:szCs w:val="24"/>
        </w:rPr>
        <w:t>priemysle</w:t>
      </w:r>
      <w:r w:rsidRPr="00E13F88">
        <w:rPr>
          <w:rFonts w:ascii="Times New Roman" w:hAnsi="Times New Roman" w:cs="Times New Roman"/>
          <w:sz w:val="24"/>
          <w:szCs w:val="24"/>
        </w:rPr>
        <w:t>.</w:t>
      </w:r>
    </w:p>
    <w:p w:rsidR="00E13F88" w:rsidRDefault="00E13F88" w:rsidP="00E13F88">
      <w:pPr>
        <w:spacing w:after="0" w:line="240" w:lineRule="auto"/>
        <w:jc w:val="both"/>
        <w:rPr>
          <w:rFonts w:ascii="Times New Roman" w:hAnsi="Times New Roman" w:cs="Times New Roman"/>
          <w:sz w:val="24"/>
          <w:szCs w:val="24"/>
        </w:rPr>
      </w:pPr>
    </w:p>
    <w:p w:rsidR="00E13F88" w:rsidRDefault="00E13F88" w:rsidP="00E13F88">
      <w:pPr>
        <w:spacing w:after="0" w:line="240" w:lineRule="auto"/>
        <w:jc w:val="both"/>
        <w:rPr>
          <w:rFonts w:ascii="Times New Roman" w:hAnsi="Times New Roman" w:cs="Times New Roman"/>
          <w:sz w:val="24"/>
          <w:szCs w:val="24"/>
        </w:rPr>
      </w:pPr>
      <w:r w:rsidRPr="00E13F88">
        <w:rPr>
          <w:rFonts w:ascii="Times New Roman" w:hAnsi="Times New Roman" w:cs="Times New Roman"/>
          <w:sz w:val="24"/>
          <w:szCs w:val="24"/>
        </w:rPr>
        <w:t>Odvetviu dominujú malé podniky (61%) s počtom zamestnancov od 10</w:t>
      </w:r>
      <w:r>
        <w:rPr>
          <w:rFonts w:ascii="Times New Roman" w:hAnsi="Times New Roman" w:cs="Times New Roman"/>
          <w:sz w:val="24"/>
          <w:szCs w:val="24"/>
        </w:rPr>
        <w:t xml:space="preserve"> </w:t>
      </w:r>
      <w:r w:rsidRPr="00E13F88">
        <w:rPr>
          <w:rFonts w:ascii="Times New Roman" w:hAnsi="Times New Roman" w:cs="Times New Roman"/>
          <w:sz w:val="24"/>
          <w:szCs w:val="24"/>
        </w:rPr>
        <w:t>-</w:t>
      </w:r>
      <w:r>
        <w:rPr>
          <w:rFonts w:ascii="Times New Roman" w:hAnsi="Times New Roman" w:cs="Times New Roman"/>
          <w:sz w:val="24"/>
          <w:szCs w:val="24"/>
        </w:rPr>
        <w:t xml:space="preserve"> </w:t>
      </w:r>
      <w:r w:rsidRPr="00E13F88">
        <w:rPr>
          <w:rFonts w:ascii="Times New Roman" w:hAnsi="Times New Roman" w:cs="Times New Roman"/>
          <w:sz w:val="24"/>
          <w:szCs w:val="24"/>
        </w:rPr>
        <w:t>49 (66</w:t>
      </w:r>
      <w:r>
        <w:rPr>
          <w:rFonts w:ascii="Times New Roman" w:hAnsi="Times New Roman" w:cs="Times New Roman"/>
          <w:sz w:val="24"/>
          <w:szCs w:val="24"/>
        </w:rPr>
        <w:t xml:space="preserve"> </w:t>
      </w:r>
      <w:r w:rsidRPr="00E13F88">
        <w:rPr>
          <w:rFonts w:ascii="Times New Roman" w:hAnsi="Times New Roman" w:cs="Times New Roman"/>
          <w:sz w:val="24"/>
          <w:szCs w:val="24"/>
        </w:rPr>
        <w:t xml:space="preserve">%), ostatné sú tzv. </w:t>
      </w:r>
      <w:proofErr w:type="spellStart"/>
      <w:r w:rsidRPr="00E13F88">
        <w:rPr>
          <w:rFonts w:ascii="Times New Roman" w:hAnsi="Times New Roman" w:cs="Times New Roman"/>
          <w:sz w:val="24"/>
          <w:szCs w:val="24"/>
        </w:rPr>
        <w:t>mikro</w:t>
      </w:r>
      <w:proofErr w:type="spellEnd"/>
      <w:r w:rsidRPr="00E13F88">
        <w:rPr>
          <w:rFonts w:ascii="Times New Roman" w:hAnsi="Times New Roman" w:cs="Times New Roman"/>
          <w:sz w:val="24"/>
          <w:szCs w:val="24"/>
        </w:rPr>
        <w:t xml:space="preserve"> podniky do 9 osôb. Stredne veľkých firiem je 31</w:t>
      </w:r>
      <w:r>
        <w:rPr>
          <w:rFonts w:ascii="Times New Roman" w:hAnsi="Times New Roman" w:cs="Times New Roman"/>
          <w:sz w:val="24"/>
          <w:szCs w:val="24"/>
        </w:rPr>
        <w:t xml:space="preserve"> </w:t>
      </w:r>
      <w:r w:rsidRPr="00E13F88">
        <w:rPr>
          <w:rFonts w:ascii="Times New Roman" w:hAnsi="Times New Roman" w:cs="Times New Roman"/>
          <w:sz w:val="24"/>
          <w:szCs w:val="24"/>
        </w:rPr>
        <w:t>% a</w:t>
      </w:r>
      <w:r>
        <w:rPr>
          <w:rFonts w:ascii="Times New Roman" w:hAnsi="Times New Roman" w:cs="Times New Roman"/>
          <w:sz w:val="24"/>
          <w:szCs w:val="24"/>
        </w:rPr>
        <w:t> </w:t>
      </w:r>
      <w:r w:rsidRPr="00E13F88">
        <w:rPr>
          <w:rFonts w:ascii="Times New Roman" w:hAnsi="Times New Roman" w:cs="Times New Roman"/>
          <w:sz w:val="24"/>
          <w:szCs w:val="24"/>
        </w:rPr>
        <w:t>veľkých 8</w:t>
      </w:r>
      <w:r>
        <w:rPr>
          <w:rFonts w:ascii="Times New Roman" w:hAnsi="Times New Roman" w:cs="Times New Roman"/>
          <w:sz w:val="24"/>
          <w:szCs w:val="24"/>
        </w:rPr>
        <w:t xml:space="preserve"> </w:t>
      </w:r>
      <w:r w:rsidRPr="00E13F88">
        <w:rPr>
          <w:rFonts w:ascii="Times New Roman" w:hAnsi="Times New Roman" w:cs="Times New Roman"/>
          <w:sz w:val="24"/>
          <w:szCs w:val="24"/>
        </w:rPr>
        <w:t>%</w:t>
      </w:r>
      <w:r>
        <w:rPr>
          <w:rFonts w:ascii="Times New Roman" w:hAnsi="Times New Roman" w:cs="Times New Roman"/>
          <w:sz w:val="24"/>
          <w:szCs w:val="24"/>
        </w:rPr>
        <w:t xml:space="preserve">. </w:t>
      </w:r>
      <w:r w:rsidRPr="00E13F88">
        <w:rPr>
          <w:rFonts w:ascii="Times New Roman" w:hAnsi="Times New Roman" w:cs="Times New Roman"/>
          <w:sz w:val="24"/>
          <w:szCs w:val="24"/>
        </w:rPr>
        <w:t>Účasť zahraničného kapitálu má 11</w:t>
      </w:r>
      <w:r>
        <w:rPr>
          <w:rFonts w:ascii="Times New Roman" w:hAnsi="Times New Roman" w:cs="Times New Roman"/>
          <w:sz w:val="24"/>
          <w:szCs w:val="24"/>
        </w:rPr>
        <w:t xml:space="preserve"> </w:t>
      </w:r>
      <w:r w:rsidRPr="00E13F88">
        <w:rPr>
          <w:rFonts w:ascii="Times New Roman" w:hAnsi="Times New Roman" w:cs="Times New Roman"/>
          <w:sz w:val="24"/>
          <w:szCs w:val="24"/>
        </w:rPr>
        <w:t xml:space="preserve">% z celkového počtu potravinárskych podnikov s hodnotou </w:t>
      </w:r>
      <w:r>
        <w:rPr>
          <w:rFonts w:ascii="Times New Roman" w:hAnsi="Times New Roman" w:cs="Times New Roman"/>
          <w:sz w:val="24"/>
          <w:szCs w:val="24"/>
        </w:rPr>
        <w:t xml:space="preserve">   512 mil. EUR</w:t>
      </w:r>
      <w:r w:rsidRPr="00E13F88">
        <w:rPr>
          <w:rFonts w:ascii="Times New Roman" w:hAnsi="Times New Roman" w:cs="Times New Roman"/>
          <w:sz w:val="24"/>
          <w:szCs w:val="24"/>
        </w:rPr>
        <w:t xml:space="preserve">, čo je oproti roku 2002 o 8% viac. </w:t>
      </w:r>
      <w:r>
        <w:rPr>
          <w:rFonts w:ascii="Times New Roman" w:hAnsi="Times New Roman" w:cs="Times New Roman"/>
          <w:sz w:val="24"/>
          <w:szCs w:val="24"/>
        </w:rPr>
        <w:t>Podniky so zahraničným kapitálom</w:t>
      </w:r>
      <w:r w:rsidRPr="00E13F88">
        <w:rPr>
          <w:rFonts w:ascii="Times New Roman" w:hAnsi="Times New Roman" w:cs="Times New Roman"/>
          <w:sz w:val="24"/>
          <w:szCs w:val="24"/>
        </w:rPr>
        <w:t xml:space="preserve"> v roku </w:t>
      </w:r>
      <w:r w:rsidRPr="00E13F88">
        <w:rPr>
          <w:rFonts w:ascii="Times New Roman" w:hAnsi="Times New Roman" w:cs="Times New Roman"/>
          <w:sz w:val="24"/>
          <w:szCs w:val="24"/>
        </w:rPr>
        <w:lastRenderedPageBreak/>
        <w:t>2011 zamestnávali 31</w:t>
      </w:r>
      <w:r>
        <w:rPr>
          <w:rFonts w:ascii="Times New Roman" w:hAnsi="Times New Roman" w:cs="Times New Roman"/>
          <w:sz w:val="24"/>
          <w:szCs w:val="24"/>
        </w:rPr>
        <w:t xml:space="preserve"> </w:t>
      </w:r>
      <w:r w:rsidRPr="00E13F88">
        <w:rPr>
          <w:rFonts w:ascii="Times New Roman" w:hAnsi="Times New Roman" w:cs="Times New Roman"/>
          <w:sz w:val="24"/>
          <w:szCs w:val="24"/>
        </w:rPr>
        <w:t>% osôb, vytvorili 80</w:t>
      </w:r>
      <w:r>
        <w:rPr>
          <w:rFonts w:ascii="Times New Roman" w:hAnsi="Times New Roman" w:cs="Times New Roman"/>
          <w:sz w:val="24"/>
          <w:szCs w:val="24"/>
        </w:rPr>
        <w:t xml:space="preserve"> </w:t>
      </w:r>
      <w:r w:rsidRPr="00E13F88">
        <w:rPr>
          <w:rFonts w:ascii="Times New Roman" w:hAnsi="Times New Roman" w:cs="Times New Roman"/>
          <w:sz w:val="24"/>
          <w:szCs w:val="24"/>
        </w:rPr>
        <w:t>% kladného výsledku hospodárenia, 48</w:t>
      </w:r>
      <w:r>
        <w:rPr>
          <w:rFonts w:ascii="Times New Roman" w:hAnsi="Times New Roman" w:cs="Times New Roman"/>
          <w:sz w:val="24"/>
          <w:szCs w:val="24"/>
        </w:rPr>
        <w:t xml:space="preserve"> </w:t>
      </w:r>
      <w:r w:rsidRPr="00E13F88">
        <w:rPr>
          <w:rFonts w:ascii="Times New Roman" w:hAnsi="Times New Roman" w:cs="Times New Roman"/>
          <w:sz w:val="24"/>
          <w:szCs w:val="24"/>
        </w:rPr>
        <w:t xml:space="preserve">% z celkovej produkcie výrobkov odvetvia, </w:t>
      </w:r>
      <w:r>
        <w:rPr>
          <w:rFonts w:ascii="Times New Roman" w:hAnsi="Times New Roman" w:cs="Times New Roman"/>
          <w:sz w:val="24"/>
          <w:szCs w:val="24"/>
        </w:rPr>
        <w:t xml:space="preserve">ďalej </w:t>
      </w:r>
      <w:r w:rsidRPr="00E13F88">
        <w:rPr>
          <w:rFonts w:ascii="Times New Roman" w:hAnsi="Times New Roman" w:cs="Times New Roman"/>
          <w:sz w:val="24"/>
          <w:szCs w:val="24"/>
        </w:rPr>
        <w:t>vytvorili polovicu pridanej hodnoty odvetvia a obstarali 30</w:t>
      </w:r>
      <w:r>
        <w:rPr>
          <w:rFonts w:ascii="Times New Roman" w:hAnsi="Times New Roman" w:cs="Times New Roman"/>
          <w:sz w:val="24"/>
          <w:szCs w:val="24"/>
        </w:rPr>
        <w:t xml:space="preserve"> </w:t>
      </w:r>
      <w:r w:rsidRPr="00E13F88">
        <w:rPr>
          <w:rFonts w:ascii="Times New Roman" w:hAnsi="Times New Roman" w:cs="Times New Roman"/>
          <w:sz w:val="24"/>
          <w:szCs w:val="24"/>
        </w:rPr>
        <w:t>% investícií. Z toho vyplýva značné zaostávanie podnikov bez účasti zahraničného kapitálu.</w:t>
      </w:r>
    </w:p>
    <w:p w:rsidR="00E13F88" w:rsidRPr="00E13F88" w:rsidRDefault="00E13F88" w:rsidP="00E13F88">
      <w:pPr>
        <w:spacing w:after="0" w:line="240" w:lineRule="auto"/>
        <w:jc w:val="both"/>
        <w:rPr>
          <w:rFonts w:ascii="Times New Roman" w:hAnsi="Times New Roman" w:cs="Times New Roman"/>
          <w:sz w:val="24"/>
          <w:szCs w:val="24"/>
        </w:rPr>
      </w:pPr>
    </w:p>
    <w:p w:rsidR="00E13F88" w:rsidRDefault="00E13F88" w:rsidP="00E13F88">
      <w:pPr>
        <w:spacing w:after="0" w:line="240" w:lineRule="auto"/>
        <w:jc w:val="both"/>
        <w:rPr>
          <w:rFonts w:ascii="Times New Roman" w:hAnsi="Times New Roman" w:cs="Times New Roman"/>
          <w:sz w:val="24"/>
          <w:szCs w:val="24"/>
        </w:rPr>
      </w:pPr>
      <w:r w:rsidRPr="00E13F88">
        <w:rPr>
          <w:rFonts w:ascii="Times New Roman" w:hAnsi="Times New Roman" w:cs="Times New Roman"/>
          <w:sz w:val="24"/>
          <w:szCs w:val="24"/>
        </w:rPr>
        <w:t>V období rokov 2002</w:t>
      </w:r>
      <w:r>
        <w:rPr>
          <w:rFonts w:ascii="Times New Roman" w:hAnsi="Times New Roman" w:cs="Times New Roman"/>
          <w:sz w:val="24"/>
          <w:szCs w:val="24"/>
        </w:rPr>
        <w:t xml:space="preserve"> </w:t>
      </w:r>
      <w:r w:rsidRPr="00E13F88">
        <w:rPr>
          <w:rFonts w:ascii="Times New Roman" w:hAnsi="Times New Roman" w:cs="Times New Roman"/>
          <w:sz w:val="24"/>
          <w:szCs w:val="24"/>
        </w:rPr>
        <w:t>-</w:t>
      </w:r>
      <w:r>
        <w:rPr>
          <w:rFonts w:ascii="Times New Roman" w:hAnsi="Times New Roman" w:cs="Times New Roman"/>
          <w:sz w:val="24"/>
          <w:szCs w:val="24"/>
        </w:rPr>
        <w:t xml:space="preserve"> </w:t>
      </w:r>
      <w:r w:rsidRPr="00E13F88">
        <w:rPr>
          <w:rFonts w:ascii="Times New Roman" w:hAnsi="Times New Roman" w:cs="Times New Roman"/>
          <w:sz w:val="24"/>
          <w:szCs w:val="24"/>
        </w:rPr>
        <w:t>2011 sa počet pracujúcich v potravinárskej výrobe znížil z 66,4 tis. osôb na 49,6 tis. osôb t. j. o 25,3</w:t>
      </w:r>
      <w:r>
        <w:rPr>
          <w:rFonts w:ascii="Times New Roman" w:hAnsi="Times New Roman" w:cs="Times New Roman"/>
          <w:sz w:val="24"/>
          <w:szCs w:val="24"/>
        </w:rPr>
        <w:t xml:space="preserve"> </w:t>
      </w:r>
      <w:r w:rsidRPr="00E13F88">
        <w:rPr>
          <w:rFonts w:ascii="Times New Roman" w:hAnsi="Times New Roman" w:cs="Times New Roman"/>
          <w:sz w:val="24"/>
          <w:szCs w:val="24"/>
        </w:rPr>
        <w:t>% (o 16,8 tis. osôb). Z hľadiska postavenia v zamestnaní sa, podobne ako v poľnohospodárskej prvovýrobe, znižoval počet zamestnancov (o 29,4</w:t>
      </w:r>
      <w:r>
        <w:rPr>
          <w:rFonts w:ascii="Times New Roman" w:hAnsi="Times New Roman" w:cs="Times New Roman"/>
          <w:sz w:val="24"/>
          <w:szCs w:val="24"/>
        </w:rPr>
        <w:t xml:space="preserve"> </w:t>
      </w:r>
      <w:r w:rsidRPr="00E13F88">
        <w:rPr>
          <w:rFonts w:ascii="Times New Roman" w:hAnsi="Times New Roman" w:cs="Times New Roman"/>
          <w:sz w:val="24"/>
          <w:szCs w:val="24"/>
        </w:rPr>
        <w:t>%) a súčasne zvyšoval počet podnikateľov (zvýšil sa viac ako dvojnásobne). Pod</w:t>
      </w:r>
      <w:r>
        <w:rPr>
          <w:rFonts w:ascii="Times New Roman" w:hAnsi="Times New Roman" w:cs="Times New Roman"/>
          <w:sz w:val="24"/>
          <w:szCs w:val="24"/>
        </w:rPr>
        <w:t>iel samostatne zárobkových osôb</w:t>
      </w:r>
      <w:r w:rsidRPr="00E13F88">
        <w:rPr>
          <w:rFonts w:ascii="Times New Roman" w:hAnsi="Times New Roman" w:cs="Times New Roman"/>
          <w:sz w:val="24"/>
          <w:szCs w:val="24"/>
        </w:rPr>
        <w:t xml:space="preserve"> je v absolútnom i relatívnom vyjadrení nižší ako v poľnohospodárstve a činí  7,5</w:t>
      </w:r>
      <w:r>
        <w:rPr>
          <w:rFonts w:ascii="Times New Roman" w:hAnsi="Times New Roman" w:cs="Times New Roman"/>
          <w:sz w:val="24"/>
          <w:szCs w:val="24"/>
        </w:rPr>
        <w:t xml:space="preserve"> </w:t>
      </w:r>
      <w:r w:rsidRPr="00E13F88">
        <w:rPr>
          <w:rFonts w:ascii="Times New Roman" w:hAnsi="Times New Roman" w:cs="Times New Roman"/>
          <w:sz w:val="24"/>
          <w:szCs w:val="24"/>
        </w:rPr>
        <w:t>% z celkového počtu pracujúcich v potravinárskej výrobe.</w:t>
      </w:r>
    </w:p>
    <w:p w:rsidR="00675E09" w:rsidRDefault="00675E09" w:rsidP="00E13F88">
      <w:pPr>
        <w:spacing w:after="0" w:line="240" w:lineRule="auto"/>
        <w:jc w:val="both"/>
        <w:rPr>
          <w:rFonts w:ascii="Times New Roman" w:hAnsi="Times New Roman" w:cs="Times New Roman"/>
          <w:sz w:val="24"/>
          <w:szCs w:val="24"/>
        </w:rPr>
      </w:pPr>
    </w:p>
    <w:p w:rsidR="00421761" w:rsidRDefault="00E13F88" w:rsidP="00425994">
      <w:pPr>
        <w:spacing w:after="0" w:line="240" w:lineRule="auto"/>
        <w:jc w:val="both"/>
        <w:rPr>
          <w:rFonts w:ascii="Times New Roman" w:hAnsi="Times New Roman" w:cs="Times New Roman"/>
          <w:sz w:val="24"/>
          <w:szCs w:val="24"/>
        </w:rPr>
      </w:pPr>
      <w:r w:rsidRPr="00E13F88">
        <w:rPr>
          <w:rFonts w:ascii="Times New Roman" w:hAnsi="Times New Roman" w:cs="Times New Roman"/>
          <w:sz w:val="24"/>
          <w:szCs w:val="24"/>
        </w:rPr>
        <w:t>V potravinárstve je, na rozdiel od poľnohospodárstva,  priaznivejšia situácia v zamestnávaní mladších vekových kategórií, aj keď pracujúca populácia v potravinárskom priemysle pomaly starne.  Taktiež v porovnaní s poľnohospodárstvom je priaznivejšia štruktúra zamestnancov z hľadiska vzdelania. Dôvodom je tlak na inovácie a technologickú modernizáciu tohto odvetvia ako aj umiestnenie týchto podn</w:t>
      </w:r>
      <w:r>
        <w:rPr>
          <w:rFonts w:ascii="Times New Roman" w:hAnsi="Times New Roman" w:cs="Times New Roman"/>
          <w:sz w:val="24"/>
          <w:szCs w:val="24"/>
        </w:rPr>
        <w:t>ikov mimo vidieka, s čím súvisí aj vyššie mzdové ohodnotenie zamestnancov</w:t>
      </w:r>
      <w:r w:rsidRPr="00E13F88">
        <w:rPr>
          <w:rFonts w:ascii="Times New Roman" w:hAnsi="Times New Roman" w:cs="Times New Roman"/>
          <w:sz w:val="24"/>
          <w:szCs w:val="24"/>
        </w:rPr>
        <w:t>.</w:t>
      </w:r>
    </w:p>
    <w:p w:rsidR="00B60E16" w:rsidRDefault="00B60E16" w:rsidP="00220F70">
      <w:pPr>
        <w:pBdr>
          <w:bottom w:val="single" w:sz="4" w:space="1" w:color="auto"/>
        </w:pBdr>
        <w:autoSpaceDE w:val="0"/>
        <w:autoSpaceDN w:val="0"/>
        <w:adjustRightInd w:val="0"/>
        <w:spacing w:after="0" w:line="240" w:lineRule="auto"/>
        <w:jc w:val="both"/>
        <w:rPr>
          <w:rFonts w:ascii="TimesNewRomanPSMT" w:hAnsi="TimesNewRomanPSMT" w:cs="TimesNewRomanPSMT"/>
          <w:sz w:val="24"/>
          <w:szCs w:val="24"/>
        </w:rPr>
      </w:pPr>
    </w:p>
    <w:p w:rsidR="00220F70" w:rsidRDefault="00220F70" w:rsidP="00220F7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Vzhľadom na vyššie uvedené považujeme za nevyhnutné:</w:t>
      </w:r>
    </w:p>
    <w:p w:rsidR="00211FB4" w:rsidRDefault="00211FB4" w:rsidP="00220F70">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zlepšiť prístupnosť potravinárskeho sektora ku zdrojom zo štrukturálnych fondov EÚ;</w:t>
      </w:r>
    </w:p>
    <w:p w:rsidR="00B60E16" w:rsidRPr="00B60E16" w:rsidRDefault="00B60E16" w:rsidP="00220F70">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highlight w:val="yellow"/>
        </w:rPr>
        <w:t>vytvoriť priestor</w:t>
      </w:r>
      <w:r w:rsidRPr="00585FA8">
        <w:rPr>
          <w:rFonts w:ascii="Times New Roman" w:hAnsi="Times New Roman" w:cs="Times New Roman"/>
          <w:sz w:val="24"/>
          <w:szCs w:val="24"/>
          <w:highlight w:val="yellow"/>
        </w:rPr>
        <w:t xml:space="preserve"> pre podporu </w:t>
      </w:r>
      <w:proofErr w:type="spellStart"/>
      <w:r w:rsidRPr="00585FA8">
        <w:rPr>
          <w:rFonts w:ascii="Times New Roman" w:hAnsi="Times New Roman" w:cs="Times New Roman"/>
          <w:sz w:val="24"/>
          <w:szCs w:val="24"/>
          <w:highlight w:val="yellow"/>
        </w:rPr>
        <w:t>druhospracovateľského</w:t>
      </w:r>
      <w:proofErr w:type="spellEnd"/>
      <w:r w:rsidRPr="00585FA8">
        <w:rPr>
          <w:rFonts w:ascii="Times New Roman" w:hAnsi="Times New Roman" w:cs="Times New Roman"/>
          <w:sz w:val="24"/>
          <w:szCs w:val="24"/>
          <w:highlight w:val="yellow"/>
        </w:rPr>
        <w:t xml:space="preserve"> potravinárskeho priemyslu v programovom období 2014-2020</w:t>
      </w:r>
      <w:r>
        <w:rPr>
          <w:rFonts w:ascii="Times New Roman" w:hAnsi="Times New Roman" w:cs="Times New Roman"/>
          <w:sz w:val="24"/>
          <w:szCs w:val="24"/>
        </w:rPr>
        <w:t>;</w:t>
      </w:r>
    </w:p>
    <w:p w:rsidR="00B60E16" w:rsidRPr="00B60E16" w:rsidRDefault="00B60E16" w:rsidP="00220F70">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zlepšiť efektivitu</w:t>
      </w:r>
      <w:r w:rsidRPr="000437EE">
        <w:rPr>
          <w:rFonts w:ascii="Times New Roman" w:hAnsi="Times New Roman" w:cs="Times New Roman"/>
          <w:sz w:val="24"/>
          <w:szCs w:val="24"/>
        </w:rPr>
        <w:t xml:space="preserve"> využívania finančných prostriedkov </w:t>
      </w:r>
      <w:proofErr w:type="spellStart"/>
      <w:r w:rsidRPr="000437EE">
        <w:rPr>
          <w:rFonts w:ascii="Times New Roman" w:hAnsi="Times New Roman" w:cs="Times New Roman"/>
          <w:sz w:val="24"/>
          <w:szCs w:val="24"/>
        </w:rPr>
        <w:t>prvospracovateľského</w:t>
      </w:r>
      <w:proofErr w:type="spellEnd"/>
      <w:r w:rsidRPr="000437EE">
        <w:rPr>
          <w:rFonts w:ascii="Times New Roman" w:hAnsi="Times New Roman" w:cs="Times New Roman"/>
          <w:sz w:val="24"/>
          <w:szCs w:val="24"/>
        </w:rPr>
        <w:t xml:space="preserve"> a </w:t>
      </w:r>
      <w:proofErr w:type="spellStart"/>
      <w:r w:rsidRPr="000437EE">
        <w:rPr>
          <w:rFonts w:ascii="Times New Roman" w:hAnsi="Times New Roman" w:cs="Times New Roman"/>
          <w:sz w:val="24"/>
          <w:szCs w:val="24"/>
        </w:rPr>
        <w:t>druhospracovateľsk</w:t>
      </w:r>
      <w:r>
        <w:rPr>
          <w:rFonts w:ascii="Times New Roman" w:hAnsi="Times New Roman" w:cs="Times New Roman"/>
          <w:sz w:val="24"/>
          <w:szCs w:val="24"/>
        </w:rPr>
        <w:t>ého</w:t>
      </w:r>
      <w:proofErr w:type="spellEnd"/>
      <w:r>
        <w:rPr>
          <w:rFonts w:ascii="Times New Roman" w:hAnsi="Times New Roman" w:cs="Times New Roman"/>
          <w:sz w:val="24"/>
          <w:szCs w:val="24"/>
        </w:rPr>
        <w:t xml:space="preserve"> priemyslu z fondov a podpôr;</w:t>
      </w:r>
    </w:p>
    <w:p w:rsidR="00B60E16" w:rsidRDefault="00B60E16" w:rsidP="00220F70">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prehodnotiť</w:t>
      </w:r>
      <w:r w:rsidRPr="00F17470">
        <w:rPr>
          <w:rFonts w:ascii="Times New Roman" w:hAnsi="Times New Roman" w:cs="Times New Roman"/>
          <w:sz w:val="24"/>
          <w:szCs w:val="24"/>
        </w:rPr>
        <w:t xml:space="preserve"> možnosti zníženia DPH na potraviny</w:t>
      </w:r>
      <w:r>
        <w:rPr>
          <w:rFonts w:ascii="Times New Roman" w:hAnsi="Times New Roman" w:cs="Times New Roman"/>
          <w:sz w:val="24"/>
          <w:szCs w:val="24"/>
        </w:rPr>
        <w:t>;</w:t>
      </w:r>
      <w:r>
        <w:rPr>
          <w:rFonts w:ascii="TimesNewRomanPSMT" w:hAnsi="TimesNewRomanPSMT" w:cs="TimesNewRomanPSMT"/>
          <w:sz w:val="24"/>
          <w:szCs w:val="24"/>
        </w:rPr>
        <w:t xml:space="preserve"> </w:t>
      </w:r>
    </w:p>
    <w:p w:rsidR="00220F70" w:rsidRDefault="00211FB4" w:rsidP="00220F70">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zlepšiť pozíciu potravinárskeho sektora pri získavaní cudzích zdrojov na potrebné investície</w:t>
      </w:r>
      <w:r w:rsidR="00220F70">
        <w:rPr>
          <w:rFonts w:ascii="TimesNewRomanPSMT" w:hAnsi="TimesNewRomanPSMT" w:cs="TimesNewRomanPSMT"/>
          <w:sz w:val="24"/>
          <w:szCs w:val="24"/>
        </w:rPr>
        <w:t>;</w:t>
      </w:r>
    </w:p>
    <w:p w:rsidR="00B60E16" w:rsidRPr="00B60E16" w:rsidRDefault="00793174" w:rsidP="00B60E16">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zvýšiť podiel</w:t>
      </w:r>
      <w:r w:rsidRPr="000437EE">
        <w:rPr>
          <w:rFonts w:ascii="Times New Roman" w:hAnsi="Times New Roman" w:cs="Times New Roman"/>
          <w:sz w:val="24"/>
          <w:szCs w:val="24"/>
        </w:rPr>
        <w:t xml:space="preserve"> slovenských výrobkov na domácom trhu systematickou spoluprácou potravinárskeho priemyslu a obchodných systémov za pomo</w:t>
      </w:r>
      <w:r>
        <w:rPr>
          <w:rFonts w:ascii="Times New Roman" w:hAnsi="Times New Roman" w:cs="Times New Roman"/>
          <w:sz w:val="24"/>
          <w:szCs w:val="24"/>
        </w:rPr>
        <w:t>ci komunikácie so spotrebiteľom</w:t>
      </w:r>
      <w:r w:rsidR="00220F70">
        <w:rPr>
          <w:rFonts w:ascii="TimesNewRomanPSMT" w:hAnsi="TimesNewRomanPSMT" w:cs="TimesNewRomanPSMT"/>
          <w:sz w:val="24"/>
          <w:szCs w:val="24"/>
        </w:rPr>
        <w:t>;</w:t>
      </w:r>
    </w:p>
    <w:p w:rsidR="00220F70" w:rsidRPr="00B60E16" w:rsidRDefault="00220F70" w:rsidP="00220F70">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zlepšiť spoluprácu </w:t>
      </w:r>
      <w:r w:rsidR="00211FB4">
        <w:rPr>
          <w:rFonts w:ascii="Times New Roman" w:hAnsi="Times New Roman" w:cs="Times New Roman"/>
          <w:sz w:val="24"/>
          <w:szCs w:val="24"/>
        </w:rPr>
        <w:t xml:space="preserve">potravinárskych </w:t>
      </w:r>
      <w:r w:rsidRPr="00EC6DF2">
        <w:rPr>
          <w:rFonts w:ascii="Times New Roman" w:hAnsi="Times New Roman" w:cs="Times New Roman"/>
          <w:sz w:val="24"/>
          <w:szCs w:val="24"/>
        </w:rPr>
        <w:t>podnikov pri marketingu svojich produktov</w:t>
      </w:r>
      <w:r>
        <w:rPr>
          <w:rFonts w:ascii="Times New Roman" w:hAnsi="Times New Roman" w:cs="Times New Roman"/>
          <w:sz w:val="24"/>
          <w:szCs w:val="24"/>
        </w:rPr>
        <w:t>;</w:t>
      </w:r>
    </w:p>
    <w:p w:rsidR="00B60E16" w:rsidRPr="00B60E16" w:rsidRDefault="00B60E16" w:rsidP="00B60E16">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zvýšiť export a hľadať nové exportné možnosti</w:t>
      </w:r>
      <w:r w:rsidRPr="000437EE">
        <w:rPr>
          <w:rFonts w:ascii="Times New Roman" w:hAnsi="Times New Roman" w:cs="Times New Roman"/>
          <w:sz w:val="24"/>
          <w:szCs w:val="24"/>
        </w:rPr>
        <w:t xml:space="preserve"> pre slovenské potravinárske výrobky s podporou štátu</w:t>
      </w:r>
      <w:r>
        <w:rPr>
          <w:rFonts w:ascii="Times New Roman" w:hAnsi="Times New Roman" w:cs="Times New Roman"/>
          <w:sz w:val="24"/>
          <w:szCs w:val="24"/>
        </w:rPr>
        <w:t>;</w:t>
      </w:r>
    </w:p>
    <w:p w:rsidR="00793174" w:rsidRDefault="00793174" w:rsidP="00793174">
      <w:pPr>
        <w:pStyle w:val="Odsekzoznamu"/>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vytvoriť legislatívne</w:t>
      </w:r>
      <w:r w:rsidRPr="000437EE">
        <w:rPr>
          <w:rFonts w:ascii="Times New Roman" w:hAnsi="Times New Roman" w:cs="Times New Roman"/>
          <w:sz w:val="24"/>
          <w:szCs w:val="24"/>
        </w:rPr>
        <w:t xml:space="preserve"> prostredie pre zabezpečenie výroby kvalitných a bezpečných potravín a ich kontrolu s cieľ</w:t>
      </w:r>
      <w:r>
        <w:rPr>
          <w:rFonts w:ascii="Times New Roman" w:hAnsi="Times New Roman" w:cs="Times New Roman"/>
          <w:sz w:val="24"/>
          <w:szCs w:val="24"/>
        </w:rPr>
        <w:t>om chrániť zdravie spotrebiteľa;</w:t>
      </w:r>
    </w:p>
    <w:p w:rsidR="00793174" w:rsidRDefault="00793174" w:rsidP="00793174">
      <w:pPr>
        <w:pStyle w:val="Odsekzoznamu"/>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zabezpečiť previazanosť</w:t>
      </w:r>
      <w:r w:rsidRPr="000437EE">
        <w:rPr>
          <w:rFonts w:ascii="Times New Roman" w:hAnsi="Times New Roman" w:cs="Times New Roman"/>
          <w:sz w:val="24"/>
          <w:szCs w:val="24"/>
        </w:rPr>
        <w:t xml:space="preserve"> potravinového práva s ostatnými rezortmi (zdravotníctva, ži</w:t>
      </w:r>
      <w:r>
        <w:rPr>
          <w:rFonts w:ascii="Times New Roman" w:hAnsi="Times New Roman" w:cs="Times New Roman"/>
          <w:sz w:val="24"/>
          <w:szCs w:val="24"/>
        </w:rPr>
        <w:t>votné prostredie, hospodárstva);</w:t>
      </w:r>
    </w:p>
    <w:p w:rsidR="00793174" w:rsidRDefault="00793174" w:rsidP="00793174">
      <w:pPr>
        <w:pStyle w:val="Odsekzoznamu"/>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zabezpečiť prijatie</w:t>
      </w:r>
      <w:r w:rsidRPr="000437EE">
        <w:rPr>
          <w:rFonts w:ascii="Times New Roman" w:hAnsi="Times New Roman" w:cs="Times New Roman"/>
          <w:sz w:val="24"/>
          <w:szCs w:val="24"/>
        </w:rPr>
        <w:t xml:space="preserve"> nového zákona o potravinách, ktorý bude riešiť aj roztrieštenos</w:t>
      </w:r>
      <w:r>
        <w:rPr>
          <w:rFonts w:ascii="Times New Roman" w:hAnsi="Times New Roman" w:cs="Times New Roman"/>
          <w:sz w:val="24"/>
          <w:szCs w:val="24"/>
        </w:rPr>
        <w:t>ť úradnej kontroly potravín;</w:t>
      </w:r>
    </w:p>
    <w:p w:rsidR="00793174" w:rsidRDefault="00535521" w:rsidP="00793174">
      <w:pPr>
        <w:pStyle w:val="Odsekzoznamu"/>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pripraviť legislatívu</w:t>
      </w:r>
      <w:r w:rsidR="00793174" w:rsidRPr="000437EE">
        <w:rPr>
          <w:rFonts w:ascii="Times New Roman" w:hAnsi="Times New Roman" w:cs="Times New Roman"/>
          <w:sz w:val="24"/>
          <w:szCs w:val="24"/>
        </w:rPr>
        <w:t xml:space="preserve"> dobrovoľného o</w:t>
      </w:r>
      <w:r w:rsidR="00793174">
        <w:rPr>
          <w:rFonts w:ascii="Times New Roman" w:hAnsi="Times New Roman" w:cs="Times New Roman"/>
          <w:sz w:val="24"/>
          <w:szCs w:val="24"/>
        </w:rPr>
        <w:t>značovania slovenských potravín;</w:t>
      </w:r>
    </w:p>
    <w:p w:rsidR="00B60E16" w:rsidRPr="00793174" w:rsidRDefault="00535521" w:rsidP="00793174">
      <w:pPr>
        <w:pStyle w:val="Odsekzoznamu"/>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finalizovať legislatívnu formu</w:t>
      </w:r>
      <w:r w:rsidR="00793174" w:rsidRPr="000437EE">
        <w:rPr>
          <w:rFonts w:ascii="Times New Roman" w:hAnsi="Times New Roman" w:cs="Times New Roman"/>
          <w:sz w:val="24"/>
          <w:szCs w:val="24"/>
        </w:rPr>
        <w:t xml:space="preserve"> podpory predaja slovenských výrobkov (odbytový fond) v súlade s dohovorom so samosprávou</w:t>
      </w:r>
      <w:r w:rsidR="00793174">
        <w:rPr>
          <w:rFonts w:ascii="Times New Roman" w:hAnsi="Times New Roman" w:cs="Times New Roman"/>
          <w:sz w:val="24"/>
          <w:szCs w:val="24"/>
        </w:rPr>
        <w:t>;</w:t>
      </w:r>
    </w:p>
    <w:p w:rsidR="00B60E16" w:rsidRPr="00B60E16" w:rsidRDefault="00793174" w:rsidP="00220F70">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vytvoriť predpoklady pre </w:t>
      </w:r>
      <w:r w:rsidRPr="000437EE">
        <w:rPr>
          <w:rFonts w:ascii="Times New Roman" w:hAnsi="Times New Roman" w:cs="Times New Roman"/>
          <w:sz w:val="24"/>
          <w:szCs w:val="24"/>
        </w:rPr>
        <w:t>návrat k tradičným výrobkom a ich notifiká</w:t>
      </w:r>
      <w:r>
        <w:rPr>
          <w:rFonts w:ascii="Times New Roman" w:hAnsi="Times New Roman" w:cs="Times New Roman"/>
          <w:sz w:val="24"/>
          <w:szCs w:val="24"/>
        </w:rPr>
        <w:t>cia do systému Politiky kvality;</w:t>
      </w:r>
    </w:p>
    <w:p w:rsidR="00B60E16" w:rsidRPr="00793174" w:rsidRDefault="00793174" w:rsidP="00793174">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zefektívniť systém</w:t>
      </w:r>
      <w:r w:rsidRPr="000437EE">
        <w:rPr>
          <w:rFonts w:ascii="Times New Roman" w:hAnsi="Times New Roman" w:cs="Times New Roman"/>
          <w:sz w:val="24"/>
          <w:szCs w:val="24"/>
        </w:rPr>
        <w:t xml:space="preserve"> úradných kontrol v potravinovom reťazci v záujme ochrany spotrebiteľa a garancie bezpečnosti potravín</w:t>
      </w:r>
      <w:r>
        <w:rPr>
          <w:rFonts w:ascii="Times New Roman" w:hAnsi="Times New Roman" w:cs="Times New Roman"/>
          <w:sz w:val="24"/>
          <w:szCs w:val="24"/>
        </w:rPr>
        <w:t>;</w:t>
      </w:r>
    </w:p>
    <w:p w:rsidR="00220F70" w:rsidRPr="00793174" w:rsidRDefault="00220F70" w:rsidP="00793174">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zefektívniť </w:t>
      </w:r>
      <w:r w:rsidRPr="00EC6DF2">
        <w:rPr>
          <w:rFonts w:ascii="Times New Roman" w:hAnsi="Times New Roman" w:cs="Times New Roman"/>
          <w:sz w:val="24"/>
          <w:szCs w:val="24"/>
        </w:rPr>
        <w:t>prepojenie praxe so školstvom a</w:t>
      </w:r>
      <w:r w:rsidR="00211FB4">
        <w:rPr>
          <w:rFonts w:ascii="Times New Roman" w:hAnsi="Times New Roman" w:cs="Times New Roman"/>
          <w:sz w:val="24"/>
          <w:szCs w:val="24"/>
        </w:rPr>
        <w:t> </w:t>
      </w:r>
      <w:r w:rsidRPr="00EC6DF2">
        <w:rPr>
          <w:rFonts w:ascii="Times New Roman" w:hAnsi="Times New Roman" w:cs="Times New Roman"/>
          <w:sz w:val="24"/>
          <w:szCs w:val="24"/>
        </w:rPr>
        <w:t>výskumom</w:t>
      </w:r>
      <w:r w:rsidR="00211FB4">
        <w:rPr>
          <w:rFonts w:ascii="Times New Roman" w:hAnsi="Times New Roman" w:cs="Times New Roman"/>
          <w:sz w:val="24"/>
          <w:szCs w:val="24"/>
        </w:rPr>
        <w:t>.</w:t>
      </w:r>
    </w:p>
    <w:p w:rsidR="00421761" w:rsidRDefault="00421761" w:rsidP="00793174">
      <w:pPr>
        <w:pBdr>
          <w:top w:val="single" w:sz="4" w:space="1" w:color="auto"/>
        </w:pBdr>
        <w:spacing w:after="0" w:line="240" w:lineRule="auto"/>
        <w:jc w:val="both"/>
        <w:rPr>
          <w:rFonts w:ascii="Times New Roman" w:hAnsi="Times New Roman" w:cs="Times New Roman"/>
          <w:sz w:val="24"/>
          <w:szCs w:val="24"/>
        </w:rPr>
      </w:pPr>
    </w:p>
    <w:p w:rsidR="00211FB4" w:rsidRPr="00ED3D23" w:rsidRDefault="00211FB4" w:rsidP="00211FB4">
      <w:pPr>
        <w:pStyle w:val="Nadpis2"/>
        <w:numPr>
          <w:ilvl w:val="1"/>
          <w:numId w:val="8"/>
        </w:numPr>
      </w:pPr>
      <w:bookmarkStart w:id="17" w:name="_Toc359550638"/>
      <w:r>
        <w:lastRenderedPageBreak/>
        <w:t>Analýza konkurencieschopnosti lesnícko-drevárskeho komplexu</w:t>
      </w:r>
      <w:bookmarkEnd w:id="17"/>
    </w:p>
    <w:p w:rsidR="00211FB4" w:rsidRDefault="00211FB4" w:rsidP="00425994">
      <w:pPr>
        <w:spacing w:after="0" w:line="240" w:lineRule="auto"/>
        <w:jc w:val="both"/>
        <w:rPr>
          <w:rFonts w:ascii="Times New Roman" w:hAnsi="Times New Roman" w:cs="Times New Roman"/>
          <w:sz w:val="24"/>
          <w:szCs w:val="24"/>
        </w:rPr>
      </w:pPr>
    </w:p>
    <w:p w:rsidR="00E56AAD" w:rsidRDefault="00E56AAD" w:rsidP="00E56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Lesné hospodárstvo</w:t>
      </w:r>
      <w:r w:rsidRPr="00E56AAD">
        <w:rPr>
          <w:rFonts w:ascii="Times New Roman" w:hAnsi="Times New Roman" w:cs="Times New Roman"/>
          <w:sz w:val="24"/>
          <w:szCs w:val="24"/>
        </w:rPr>
        <w:t xml:space="preserve"> je relatívne konkurencieschopné v produkcií základnej komodity, ktorou je drevná hmota. Produkuje dôležitú surovinu pre drevospracujúci priemysel, ktorá je konkurencieschopná na domácich a zahraničných trhoch, najmä z dôvodu relatívne nízko nastavených cien dodávateľských služieb. Táto skutočnosť ohrozuje činnosť dodávateľských firiem, s vyústením do útlmu ich činnosti, znižovania počtu zamestnancov, zastavenie nákupu novej techniky. V dôsledku toho zastaranosť používanej techniky a technológií vzrastá so všetkými negatívnymi dopadmi na poškodzovanie lesných porastov a pôdy. Toto sa prejaví v budúcnosti aj na kvalite a množstve dodávanej drevnej hmoty, a tým aj na znížení jej konkurencieschopnosti. Na dosiahnutie priaznivého stavu v technickom a technologickom vybavení </w:t>
      </w:r>
      <w:r>
        <w:rPr>
          <w:rFonts w:ascii="Times New Roman" w:hAnsi="Times New Roman" w:cs="Times New Roman"/>
          <w:sz w:val="24"/>
          <w:szCs w:val="24"/>
        </w:rPr>
        <w:t>lesného hospodárstva</w:t>
      </w:r>
      <w:r w:rsidRPr="00E56AAD">
        <w:rPr>
          <w:rFonts w:ascii="Times New Roman" w:hAnsi="Times New Roman" w:cs="Times New Roman"/>
          <w:sz w:val="24"/>
          <w:szCs w:val="24"/>
        </w:rPr>
        <w:t xml:space="preserve"> a sprístupnení lesov sú potrebné roč</w:t>
      </w:r>
      <w:r>
        <w:rPr>
          <w:rFonts w:ascii="Times New Roman" w:hAnsi="Times New Roman" w:cs="Times New Roman"/>
          <w:sz w:val="24"/>
          <w:szCs w:val="24"/>
        </w:rPr>
        <w:t>né investície vo výške     20 mil. EUR, s nárastom na 50 mil. EUR</w:t>
      </w:r>
      <w:r w:rsidRPr="00E56AAD">
        <w:rPr>
          <w:rFonts w:ascii="Times New Roman" w:hAnsi="Times New Roman" w:cs="Times New Roman"/>
          <w:sz w:val="24"/>
          <w:szCs w:val="24"/>
        </w:rPr>
        <w:t xml:space="preserve"> do roku 2025.</w:t>
      </w:r>
    </w:p>
    <w:p w:rsidR="00E56AAD" w:rsidRPr="00E56AAD" w:rsidRDefault="00E56AAD" w:rsidP="00E56AAD">
      <w:pPr>
        <w:spacing w:after="0" w:line="240" w:lineRule="auto"/>
        <w:jc w:val="both"/>
        <w:rPr>
          <w:rFonts w:ascii="Times New Roman" w:hAnsi="Times New Roman" w:cs="Times New Roman"/>
          <w:sz w:val="24"/>
          <w:szCs w:val="24"/>
        </w:rPr>
      </w:pPr>
    </w:p>
    <w:p w:rsidR="00E56AAD" w:rsidRDefault="00E56AAD" w:rsidP="00E56AAD">
      <w:pPr>
        <w:spacing w:after="0" w:line="240" w:lineRule="auto"/>
        <w:jc w:val="both"/>
        <w:rPr>
          <w:rFonts w:ascii="Times New Roman" w:hAnsi="Times New Roman" w:cs="Times New Roman"/>
          <w:sz w:val="24"/>
          <w:szCs w:val="24"/>
        </w:rPr>
      </w:pPr>
      <w:r w:rsidRPr="00E56AAD">
        <w:rPr>
          <w:rFonts w:ascii="Times New Roman" w:hAnsi="Times New Roman" w:cs="Times New Roman"/>
          <w:sz w:val="24"/>
          <w:szCs w:val="24"/>
        </w:rPr>
        <w:t xml:space="preserve">Väčšinu tržieb </w:t>
      </w:r>
      <w:r>
        <w:rPr>
          <w:rFonts w:ascii="Times New Roman" w:hAnsi="Times New Roman" w:cs="Times New Roman"/>
          <w:sz w:val="24"/>
          <w:szCs w:val="24"/>
        </w:rPr>
        <w:t>lesného hospodárstva</w:t>
      </w:r>
      <w:r w:rsidRPr="00E56AAD">
        <w:rPr>
          <w:rFonts w:ascii="Times New Roman" w:hAnsi="Times New Roman" w:cs="Times New Roman"/>
          <w:sz w:val="24"/>
          <w:szCs w:val="24"/>
        </w:rPr>
        <w:t xml:space="preserve"> predstavuje predaj surového dreva, v dôsledku čoho je veľmi zraniteľné a citlivé na vývoj cien surového dreva. Hoci lesné hospodárstvo poskytuje spoločnosti široký rozsah rozmanitých nedrevných produktov a služieb a ich význam spoločnosť uznáva, ich obhospodarovateľom sa za ne neposkytuje finančná náhrada. Na zabezpečenie spoločenskej objednávky na funkcie netrhového charakteru slúži v súčasnosti systém dotácií, náhrad ujmy, oslobodenie od dane. Zatiaľ však tento systém nemožno považovať za plne funkčný. </w:t>
      </w:r>
    </w:p>
    <w:p w:rsidR="00E56AAD" w:rsidRPr="00E56AAD" w:rsidRDefault="00E56AAD" w:rsidP="00E56AAD">
      <w:pPr>
        <w:spacing w:after="0" w:line="240" w:lineRule="auto"/>
        <w:jc w:val="both"/>
        <w:rPr>
          <w:rFonts w:ascii="Times New Roman" w:hAnsi="Times New Roman" w:cs="Times New Roman"/>
          <w:sz w:val="24"/>
          <w:szCs w:val="24"/>
        </w:rPr>
      </w:pPr>
    </w:p>
    <w:p w:rsidR="00E56AAD" w:rsidRPr="00E56AAD" w:rsidRDefault="00E56AAD" w:rsidP="00E56AAD">
      <w:pPr>
        <w:spacing w:after="0" w:line="240" w:lineRule="auto"/>
        <w:jc w:val="both"/>
        <w:rPr>
          <w:rFonts w:ascii="Times New Roman" w:hAnsi="Times New Roman" w:cs="Times New Roman"/>
          <w:sz w:val="24"/>
          <w:szCs w:val="24"/>
        </w:rPr>
      </w:pPr>
      <w:r w:rsidRPr="00E56AAD">
        <w:rPr>
          <w:rFonts w:ascii="Times New Roman" w:hAnsi="Times New Roman" w:cs="Times New Roman"/>
          <w:sz w:val="24"/>
          <w:szCs w:val="24"/>
        </w:rPr>
        <w:t xml:space="preserve">Problém takisto súvisí s nedostatočne rozvinutými a spoločnosťou neakceptovanými nástrojmi a mechanizmami na oceňovanie, kompenzáciu a obchodovanie s využívaním verejnoprospešných funkcií. Pretože nároky na poskytovanie a využívanie nedrevných produktov a verejnoprospešných služieb lesným hospodárstvom sa bude neustále zvyšovať, treba hľadať ďalšie možnosti lepšieho zhodnocovania jeho potenciálu a ich poskytovania za finančnú náhradu. </w:t>
      </w:r>
    </w:p>
    <w:p w:rsidR="00E56AAD" w:rsidRDefault="00E56AAD" w:rsidP="00E56AAD">
      <w:pPr>
        <w:spacing w:after="0" w:line="240" w:lineRule="auto"/>
        <w:jc w:val="both"/>
        <w:rPr>
          <w:rFonts w:ascii="Times New Roman" w:hAnsi="Times New Roman" w:cs="Times New Roman"/>
          <w:sz w:val="24"/>
          <w:szCs w:val="24"/>
        </w:rPr>
      </w:pPr>
      <w:r w:rsidRPr="00E56AAD">
        <w:rPr>
          <w:rFonts w:ascii="Times New Roman" w:hAnsi="Times New Roman" w:cs="Times New Roman"/>
          <w:sz w:val="24"/>
          <w:szCs w:val="24"/>
        </w:rPr>
        <w:t>Ďalším negatívnym javom je nižšia produktivita práce v</w:t>
      </w:r>
      <w:r>
        <w:rPr>
          <w:rFonts w:ascii="Times New Roman" w:hAnsi="Times New Roman" w:cs="Times New Roman"/>
          <w:sz w:val="24"/>
          <w:szCs w:val="24"/>
        </w:rPr>
        <w:t> lesnom hospodárstve</w:t>
      </w:r>
      <w:r w:rsidRPr="00E56AAD">
        <w:rPr>
          <w:rFonts w:ascii="Times New Roman" w:hAnsi="Times New Roman" w:cs="Times New Roman"/>
          <w:sz w:val="24"/>
          <w:szCs w:val="24"/>
        </w:rPr>
        <w:t xml:space="preserve"> zhruba o 20% ako je priemer v národnom hospodárstve. </w:t>
      </w:r>
      <w:r>
        <w:rPr>
          <w:rFonts w:ascii="Times New Roman" w:hAnsi="Times New Roman" w:cs="Times New Roman"/>
          <w:sz w:val="24"/>
          <w:szCs w:val="24"/>
        </w:rPr>
        <w:t>Lesné hospodárstvo</w:t>
      </w:r>
      <w:r w:rsidRPr="00E56AAD">
        <w:rPr>
          <w:rFonts w:ascii="Times New Roman" w:hAnsi="Times New Roman" w:cs="Times New Roman"/>
          <w:sz w:val="24"/>
          <w:szCs w:val="24"/>
        </w:rPr>
        <w:t xml:space="preserve"> je tak v pozícií producenta konkurencieschopného produktu, avšak jeho vlastná konkurencieschopnosť je nízka.</w:t>
      </w:r>
    </w:p>
    <w:p w:rsidR="00E56AAD" w:rsidRPr="00E56AAD" w:rsidRDefault="00E56AAD" w:rsidP="00E56AAD">
      <w:pPr>
        <w:spacing w:after="0" w:line="240" w:lineRule="auto"/>
        <w:jc w:val="both"/>
        <w:rPr>
          <w:rFonts w:ascii="Times New Roman" w:hAnsi="Times New Roman" w:cs="Times New Roman"/>
          <w:sz w:val="24"/>
          <w:szCs w:val="24"/>
        </w:rPr>
      </w:pPr>
    </w:p>
    <w:p w:rsidR="00E56AAD" w:rsidRPr="00E56AAD" w:rsidRDefault="00E56AAD" w:rsidP="00E56AAD">
      <w:pPr>
        <w:spacing w:after="0" w:line="240" w:lineRule="auto"/>
        <w:jc w:val="both"/>
        <w:rPr>
          <w:rFonts w:ascii="Times New Roman" w:hAnsi="Times New Roman" w:cs="Times New Roman"/>
          <w:sz w:val="24"/>
          <w:szCs w:val="24"/>
        </w:rPr>
      </w:pPr>
      <w:r w:rsidRPr="00E56AAD">
        <w:rPr>
          <w:rFonts w:ascii="Times New Roman" w:hAnsi="Times New Roman" w:cs="Times New Roman"/>
          <w:sz w:val="24"/>
          <w:szCs w:val="24"/>
        </w:rPr>
        <w:t>V podobnej situácií je aj drevospracujúci priemysel. Podľa údajov Štatistického úradu SR za rok 2011 odvetvie drevospracujúceho priemyslu dosahuje v priemere nižšiu produktivitu práce, čo spôsobuje nižšiu konkurencieschopnosť spracovateľov dreva na domácom a najmä zahraničnom trhu. Nedostatočnú konkurencieschopnosť spôsobujú najmä tieto faktory:</w:t>
      </w:r>
    </w:p>
    <w:p w:rsidR="00E56AAD" w:rsidRPr="00E56AAD" w:rsidRDefault="00E56AAD" w:rsidP="00E56AAD">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sidRPr="00E56AAD">
        <w:rPr>
          <w:rFonts w:ascii="TimesNewRomanPSMT" w:hAnsi="TimesNewRomanPSMT" w:cs="TimesNewRomanPSMT"/>
          <w:sz w:val="24"/>
          <w:szCs w:val="24"/>
        </w:rPr>
        <w:t>nedostatok vlastných finančných zdrojov najmä u malých a stredných spracovateľov, núti k používaniu zastaraných technológií s nízkou mierou finalizácie a kvality produkcie,</w:t>
      </w:r>
    </w:p>
    <w:p w:rsidR="00E56AAD" w:rsidRPr="00E56AAD" w:rsidRDefault="00E56AAD" w:rsidP="00E56AAD">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sidRPr="00E56AAD">
        <w:rPr>
          <w:rFonts w:ascii="TimesNewRomanPSMT" w:hAnsi="TimesNewRomanPSMT" w:cs="TimesNewRomanPSMT"/>
          <w:sz w:val="24"/>
          <w:szCs w:val="24"/>
        </w:rPr>
        <w:t>roztrieštenosť a ekonomická nestabilita veľkej časti podnikov drevospracujúceho priemyslu, komplikuje prípravu a realizáciu inovácií umožňujúcich rast konkurencieschopnosti,</w:t>
      </w:r>
    </w:p>
    <w:p w:rsidR="00E56AAD" w:rsidRPr="00E56AAD" w:rsidRDefault="00E56AAD" w:rsidP="00E56AAD">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sidRPr="00E56AAD">
        <w:rPr>
          <w:rFonts w:ascii="TimesNewRomanPSMT" w:hAnsi="TimesNewRomanPSMT" w:cs="TimesNewRomanPSMT"/>
          <w:sz w:val="24"/>
          <w:szCs w:val="24"/>
        </w:rPr>
        <w:t>vzhľadom na uvedené príčiny má väčšina domácich spracovateľov dreva sťažený priamy prístup na zahraničné trhy a svoju produkciu realizujú ako subdodávky zahraničným spracovateľom alebo obchodným spoločnostiam; priamy prístup na zahraničné trhy majú najmä nadnárodné spoločnosti pôsobiace na Slovensku,</w:t>
      </w:r>
    </w:p>
    <w:p w:rsidR="00E56AAD" w:rsidRPr="00E56AAD" w:rsidRDefault="00E56AAD" w:rsidP="00E56AAD">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sidRPr="00E56AAD">
        <w:rPr>
          <w:rFonts w:ascii="TimesNewRomanPSMT" w:hAnsi="TimesNewRomanPSMT" w:cs="TimesNewRomanPSMT"/>
          <w:sz w:val="24"/>
          <w:szCs w:val="24"/>
        </w:rPr>
        <w:t xml:space="preserve">absencia dlhodobej stratégie rozvoja drevospracujúceho priemyslu umožňujúcej efektívnejšie riešenie problémov spôsobených východiskovou situáciou a následnou </w:t>
      </w:r>
      <w:r w:rsidRPr="00E56AAD">
        <w:rPr>
          <w:rFonts w:ascii="TimesNewRomanPSMT" w:hAnsi="TimesNewRomanPSMT" w:cs="TimesNewRomanPSMT"/>
          <w:sz w:val="24"/>
          <w:szCs w:val="24"/>
        </w:rPr>
        <w:lastRenderedPageBreak/>
        <w:t>transformáciou štruktúry tohto odvetvia po roku 1990, zahrňujúcej tiež spoluprácu s producentmi dreva.</w:t>
      </w:r>
    </w:p>
    <w:p w:rsidR="00E56AAD" w:rsidRDefault="00E56AAD" w:rsidP="00E56AAD">
      <w:pPr>
        <w:spacing w:after="0" w:line="240" w:lineRule="auto"/>
        <w:jc w:val="both"/>
        <w:rPr>
          <w:rFonts w:ascii="Times New Roman" w:hAnsi="Times New Roman" w:cs="Times New Roman"/>
          <w:sz w:val="24"/>
          <w:szCs w:val="24"/>
        </w:rPr>
      </w:pPr>
    </w:p>
    <w:p w:rsidR="00E56AAD" w:rsidRDefault="00E56AAD" w:rsidP="00E56AAD">
      <w:pPr>
        <w:spacing w:after="0" w:line="240" w:lineRule="auto"/>
        <w:jc w:val="both"/>
        <w:rPr>
          <w:rFonts w:ascii="Times New Roman" w:hAnsi="Times New Roman" w:cs="Times New Roman"/>
          <w:sz w:val="24"/>
          <w:szCs w:val="24"/>
        </w:rPr>
      </w:pPr>
      <w:r w:rsidRPr="00E56AAD">
        <w:rPr>
          <w:rFonts w:ascii="Times New Roman" w:hAnsi="Times New Roman" w:cs="Times New Roman"/>
          <w:sz w:val="24"/>
          <w:szCs w:val="24"/>
        </w:rPr>
        <w:t xml:space="preserve">Vplyv uvedených faktorov zvyšuje u spracovateľov najmä ihličnatého dreva ich citlivosť na cyklické zmeny cien vstupnej suroviny vyúsťujúcej do problémov v dodávateľsko-odberateľských vzťahoch. Aj z tohto dôvodu je časť produkcie ihličnatej guľatiny vyvážaná do zahraničia za účelom vyššieho speňaženia. Na druhej strane tuzemskí spracovatelia z rovnakých príčin nie sú schopní spracovávať listnatú guľatinu, ktorej je na Slovensku prebytok, čo je tiež dôvodom jej vývozu do zahraničia. </w:t>
      </w:r>
    </w:p>
    <w:p w:rsidR="00E56AAD" w:rsidRPr="00E56AAD" w:rsidRDefault="00E56AAD" w:rsidP="00E56AAD">
      <w:pPr>
        <w:spacing w:after="0" w:line="240" w:lineRule="auto"/>
        <w:jc w:val="both"/>
        <w:rPr>
          <w:rFonts w:ascii="Times New Roman" w:hAnsi="Times New Roman" w:cs="Times New Roman"/>
          <w:sz w:val="24"/>
          <w:szCs w:val="24"/>
        </w:rPr>
      </w:pPr>
    </w:p>
    <w:p w:rsidR="00E56AAD" w:rsidRDefault="00E56AAD" w:rsidP="00E56AAD">
      <w:pPr>
        <w:spacing w:after="0" w:line="240" w:lineRule="auto"/>
        <w:jc w:val="both"/>
        <w:rPr>
          <w:rFonts w:ascii="Times New Roman" w:hAnsi="Times New Roman" w:cs="Times New Roman"/>
          <w:sz w:val="24"/>
          <w:szCs w:val="24"/>
        </w:rPr>
      </w:pPr>
      <w:r w:rsidRPr="00E56AAD">
        <w:rPr>
          <w:rFonts w:ascii="Times New Roman" w:hAnsi="Times New Roman" w:cs="Times New Roman"/>
          <w:sz w:val="24"/>
          <w:szCs w:val="24"/>
        </w:rPr>
        <w:t xml:space="preserve">Na Slovensku absentuje výroba drevárskych výrobkov s vysokou pridanou hodnotou, konkrétne krájaná a lúpaná dyha, preglejovaný materiál a vláknitá doska (MDF) pre nábytkársky priemysel. Nízka konkurencieschopnosť drevospracujúceho priemyslu ohrozuje hospodársky rozvoj najmä vidieckych oblastí a zamestnanosť. Zhoršuje sa zahraničná obchodná bilancia z dôvodu nutnosti dovozov finálnych produktov z dreva. Prejavuje sa tiež negatívny vplyv na producentov dreva z dôvodu zhoršenej platobnej schopnosti časti domácich spracovateľov. </w:t>
      </w:r>
    </w:p>
    <w:p w:rsidR="00E56AAD" w:rsidRPr="00E56AAD" w:rsidRDefault="00E56AAD" w:rsidP="00E56AAD">
      <w:pPr>
        <w:spacing w:after="0" w:line="240" w:lineRule="auto"/>
        <w:jc w:val="both"/>
        <w:rPr>
          <w:rFonts w:ascii="Times New Roman" w:hAnsi="Times New Roman" w:cs="Times New Roman"/>
          <w:sz w:val="24"/>
          <w:szCs w:val="24"/>
        </w:rPr>
      </w:pPr>
    </w:p>
    <w:p w:rsidR="00E56AAD" w:rsidRDefault="00E56AAD" w:rsidP="00E56AAD">
      <w:pPr>
        <w:spacing w:after="0" w:line="240" w:lineRule="auto"/>
        <w:jc w:val="both"/>
        <w:rPr>
          <w:rFonts w:ascii="Times New Roman" w:hAnsi="Times New Roman" w:cs="Times New Roman"/>
          <w:sz w:val="24"/>
          <w:szCs w:val="24"/>
        </w:rPr>
      </w:pPr>
      <w:r w:rsidRPr="00E56AAD">
        <w:rPr>
          <w:rFonts w:ascii="Times New Roman" w:hAnsi="Times New Roman" w:cs="Times New Roman"/>
          <w:sz w:val="24"/>
          <w:szCs w:val="24"/>
        </w:rPr>
        <w:t xml:space="preserve">Celulózovo-papierenské odvetvie patrí k najvýkonnejším odvetviam slovenskej ekonomiky. Produktivita práce na pracovníka vyjadrená tržbami neustále rastie a dosahuje zhruba </w:t>
      </w:r>
      <w:r>
        <w:rPr>
          <w:rFonts w:ascii="Times New Roman" w:hAnsi="Times New Roman" w:cs="Times New Roman"/>
          <w:sz w:val="24"/>
          <w:szCs w:val="24"/>
        </w:rPr>
        <w:t xml:space="preserve">         258 tis. EUR</w:t>
      </w:r>
      <w:r w:rsidRPr="00E56AAD">
        <w:rPr>
          <w:rFonts w:ascii="Times New Roman" w:hAnsi="Times New Roman" w:cs="Times New Roman"/>
          <w:sz w:val="24"/>
          <w:szCs w:val="24"/>
        </w:rPr>
        <w:t xml:space="preserve"> na pracovníka, čo je nad priemerom národného hospodárstva. Takist</w:t>
      </w:r>
      <w:r>
        <w:rPr>
          <w:rFonts w:ascii="Times New Roman" w:hAnsi="Times New Roman" w:cs="Times New Roman"/>
          <w:sz w:val="24"/>
          <w:szCs w:val="24"/>
        </w:rPr>
        <w:t>o priemerná mesačná mzda 1 143 EUR</w:t>
      </w:r>
      <w:r w:rsidRPr="00E56AAD">
        <w:rPr>
          <w:rFonts w:ascii="Times New Roman" w:hAnsi="Times New Roman" w:cs="Times New Roman"/>
          <w:sz w:val="24"/>
          <w:szCs w:val="24"/>
        </w:rPr>
        <w:t xml:space="preserve"> je vysoko nad priemerom v národnom hospodárstve.</w:t>
      </w:r>
    </w:p>
    <w:p w:rsidR="00E56AAD" w:rsidRPr="00E56AAD" w:rsidRDefault="00E56AAD" w:rsidP="00E56AAD">
      <w:pPr>
        <w:spacing w:after="0" w:line="240" w:lineRule="auto"/>
        <w:jc w:val="both"/>
        <w:rPr>
          <w:rFonts w:ascii="Times New Roman" w:hAnsi="Times New Roman" w:cs="Times New Roman"/>
          <w:sz w:val="24"/>
          <w:szCs w:val="24"/>
        </w:rPr>
      </w:pPr>
    </w:p>
    <w:p w:rsidR="00E56AAD" w:rsidRDefault="00E56AAD" w:rsidP="00E56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Lesné hospodárstvo</w:t>
      </w:r>
      <w:r w:rsidRPr="00E56AAD">
        <w:rPr>
          <w:rFonts w:ascii="Times New Roman" w:hAnsi="Times New Roman" w:cs="Times New Roman"/>
          <w:sz w:val="24"/>
          <w:szCs w:val="24"/>
        </w:rPr>
        <w:t xml:space="preserve">, drevospracujúci a celulózo-papierenský priemysel dlhodobo čelia negatívnemu cenovému vývoju, keďže ceny vstupov rastú rýchlejšie ako ceny produkcie. Táto cenová disparita má veľký vplyv na ziskovosť celého odvetvia. Cenový vývoj hlavných sortimentov surového dreva a výrobkov z dreva bude ovplyvnený najmä rastúcim dopytom, ktorý celosvetovo rastie najmä kvôli zvyšovaniu svetovej populácie, zvyšovaniu životnej úrovne značnej časti obyvateľstva, podpore využívania dreva na energetické účely a ďalším faktorom. Ceny vstupov budú rásť aj naďalej, čo bude znamenať tlak na zvyšovanie efektívnosti a konkurencieschopnosti najmä drevospracujúceho a celulózo-papierenského priemyslu. </w:t>
      </w:r>
    </w:p>
    <w:p w:rsidR="00E56AAD" w:rsidRPr="00E56AAD" w:rsidRDefault="00E56AAD" w:rsidP="00E56AAD">
      <w:pPr>
        <w:spacing w:after="0" w:line="240" w:lineRule="auto"/>
        <w:jc w:val="both"/>
        <w:rPr>
          <w:rFonts w:ascii="Times New Roman" w:hAnsi="Times New Roman" w:cs="Times New Roman"/>
          <w:sz w:val="24"/>
          <w:szCs w:val="24"/>
        </w:rPr>
      </w:pPr>
    </w:p>
    <w:p w:rsidR="00211FB4" w:rsidRDefault="00E56AAD" w:rsidP="00EC6DF2">
      <w:pPr>
        <w:spacing w:after="0" w:line="240" w:lineRule="auto"/>
        <w:jc w:val="both"/>
        <w:rPr>
          <w:rFonts w:ascii="Times New Roman" w:hAnsi="Times New Roman" w:cs="Times New Roman"/>
          <w:sz w:val="24"/>
          <w:szCs w:val="24"/>
        </w:rPr>
      </w:pPr>
      <w:r w:rsidRPr="00E56AAD">
        <w:rPr>
          <w:rFonts w:ascii="Times New Roman" w:hAnsi="Times New Roman" w:cs="Times New Roman"/>
          <w:sz w:val="24"/>
          <w:szCs w:val="24"/>
        </w:rPr>
        <w:t>Bilancia zahraničného obchodu lesnícko-drevárskeho komplexu je kl</w:t>
      </w:r>
      <w:r>
        <w:rPr>
          <w:rFonts w:ascii="Times New Roman" w:hAnsi="Times New Roman" w:cs="Times New Roman"/>
          <w:sz w:val="24"/>
          <w:szCs w:val="24"/>
        </w:rPr>
        <w:t>adná, zhruba vo výške 281 mil. EUR (údaj</w:t>
      </w:r>
      <w:r w:rsidRPr="00E56AAD">
        <w:rPr>
          <w:rFonts w:ascii="Times New Roman" w:hAnsi="Times New Roman" w:cs="Times New Roman"/>
          <w:sz w:val="24"/>
          <w:szCs w:val="24"/>
        </w:rPr>
        <w:t xml:space="preserve"> za rok 2011). Kladné saldo zahraničného obchodu vytvára najmä obchod so surovým drevom, rezivom, zberovým papierom a grafickými papiermi</w:t>
      </w:r>
      <w:r>
        <w:rPr>
          <w:rFonts w:ascii="Times New Roman" w:hAnsi="Times New Roman" w:cs="Times New Roman"/>
          <w:sz w:val="24"/>
          <w:szCs w:val="24"/>
        </w:rPr>
        <w:t xml:space="preserve">. </w:t>
      </w:r>
      <w:r w:rsidRPr="00E56AAD">
        <w:rPr>
          <w:rFonts w:ascii="Times New Roman" w:hAnsi="Times New Roman" w:cs="Times New Roman"/>
          <w:sz w:val="24"/>
          <w:szCs w:val="24"/>
        </w:rPr>
        <w:t>Negatívom tejto skutočnosti je, že sa vyváža prvotná surovina, ktorej spracovaním na Slovensku by sa tvorila pridaná hodnota. Záporné saldo v zahraničnom obchode je pri dos</w:t>
      </w:r>
      <w:r>
        <w:rPr>
          <w:rFonts w:ascii="Times New Roman" w:hAnsi="Times New Roman" w:cs="Times New Roman"/>
          <w:sz w:val="24"/>
          <w:szCs w:val="24"/>
        </w:rPr>
        <w:t xml:space="preserve">kách na báze dreva a celulóze. </w:t>
      </w:r>
      <w:r w:rsidRPr="00E56AAD">
        <w:rPr>
          <w:rFonts w:ascii="Times New Roman" w:hAnsi="Times New Roman" w:cs="Times New Roman"/>
          <w:sz w:val="24"/>
          <w:szCs w:val="24"/>
        </w:rPr>
        <w:t>Výsledkom je, že Slovensko vyváža základnú surovinu bez jej ďalšieho spracovania a dováža hotové výrobky z dreva s vyššou pridanou hodnotou.</w:t>
      </w:r>
    </w:p>
    <w:p w:rsidR="007232AD" w:rsidRDefault="007232AD" w:rsidP="00EC6DF2">
      <w:pPr>
        <w:spacing w:after="0" w:line="240" w:lineRule="auto"/>
        <w:jc w:val="both"/>
        <w:rPr>
          <w:rFonts w:ascii="Times New Roman" w:hAnsi="Times New Roman" w:cs="Times New Roman"/>
          <w:sz w:val="24"/>
          <w:szCs w:val="24"/>
        </w:rPr>
      </w:pPr>
    </w:p>
    <w:p w:rsidR="007232AD" w:rsidRDefault="007232AD" w:rsidP="00EC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oblasti spracovania lesných produktov je</w:t>
      </w:r>
      <w:r w:rsidR="00DC7544">
        <w:rPr>
          <w:rFonts w:ascii="Times New Roman" w:hAnsi="Times New Roman" w:cs="Times New Roman"/>
          <w:sz w:val="24"/>
          <w:szCs w:val="24"/>
        </w:rPr>
        <w:t xml:space="preserve"> taktiež</w:t>
      </w:r>
      <w:r>
        <w:rPr>
          <w:rFonts w:ascii="Times New Roman" w:hAnsi="Times New Roman" w:cs="Times New Roman"/>
          <w:sz w:val="24"/>
          <w:szCs w:val="24"/>
        </w:rPr>
        <w:t>, oproti vy</w:t>
      </w:r>
      <w:r w:rsidR="00112DEA">
        <w:rPr>
          <w:rFonts w:ascii="Times New Roman" w:hAnsi="Times New Roman" w:cs="Times New Roman"/>
          <w:sz w:val="24"/>
          <w:szCs w:val="24"/>
        </w:rPr>
        <w:t>ššie uvedenému, nemenej významná</w:t>
      </w:r>
      <w:r>
        <w:rPr>
          <w:rFonts w:ascii="Times New Roman" w:hAnsi="Times New Roman" w:cs="Times New Roman"/>
          <w:sz w:val="24"/>
          <w:szCs w:val="24"/>
        </w:rPr>
        <w:t xml:space="preserve"> aj </w:t>
      </w:r>
      <w:r w:rsidR="00112DEA">
        <w:rPr>
          <w:rFonts w:ascii="Times New Roman" w:hAnsi="Times New Roman" w:cs="Times New Roman"/>
          <w:sz w:val="24"/>
          <w:szCs w:val="24"/>
        </w:rPr>
        <w:t xml:space="preserve">podpora produkcie lesnej palivovej biomasy, čím by sa Slovensko priblížilo k cieľu vytvoriť podmienky pre 12 % </w:t>
      </w:r>
      <w:r w:rsidR="00DC7544">
        <w:rPr>
          <w:rFonts w:ascii="Times New Roman" w:hAnsi="Times New Roman" w:cs="Times New Roman"/>
          <w:sz w:val="24"/>
          <w:szCs w:val="24"/>
        </w:rPr>
        <w:t>podiel energie z obnoviteľných zdrojov na celkovej spotrebe energie.</w:t>
      </w:r>
    </w:p>
    <w:p w:rsidR="007232AD" w:rsidRDefault="007232AD" w:rsidP="00793174">
      <w:pPr>
        <w:autoSpaceDE w:val="0"/>
        <w:autoSpaceDN w:val="0"/>
        <w:adjustRightInd w:val="0"/>
        <w:spacing w:after="0" w:line="240" w:lineRule="auto"/>
        <w:jc w:val="both"/>
        <w:rPr>
          <w:rFonts w:ascii="TimesNewRomanPSMT" w:hAnsi="TimesNewRomanPSMT" w:cs="TimesNewRomanPSMT"/>
          <w:sz w:val="24"/>
          <w:szCs w:val="24"/>
        </w:rPr>
      </w:pPr>
    </w:p>
    <w:p w:rsidR="00793174" w:rsidRDefault="00793174" w:rsidP="00793174">
      <w:pPr>
        <w:autoSpaceDE w:val="0"/>
        <w:autoSpaceDN w:val="0"/>
        <w:adjustRightInd w:val="0"/>
        <w:spacing w:after="0" w:line="240" w:lineRule="auto"/>
        <w:jc w:val="both"/>
        <w:rPr>
          <w:rFonts w:ascii="TimesNewRomanPSMT" w:hAnsi="TimesNewRomanPSMT" w:cs="TimesNewRomanPSMT"/>
          <w:sz w:val="24"/>
          <w:szCs w:val="24"/>
        </w:rPr>
      </w:pPr>
    </w:p>
    <w:p w:rsidR="00793174" w:rsidRDefault="00793174" w:rsidP="00793174">
      <w:pPr>
        <w:autoSpaceDE w:val="0"/>
        <w:autoSpaceDN w:val="0"/>
        <w:adjustRightInd w:val="0"/>
        <w:spacing w:after="0" w:line="240" w:lineRule="auto"/>
        <w:jc w:val="both"/>
        <w:rPr>
          <w:rFonts w:ascii="TimesNewRomanPSMT" w:hAnsi="TimesNewRomanPSMT" w:cs="TimesNewRomanPSMT"/>
          <w:sz w:val="24"/>
          <w:szCs w:val="24"/>
        </w:rPr>
      </w:pPr>
    </w:p>
    <w:p w:rsidR="004947E6" w:rsidRDefault="004947E6" w:rsidP="00793174">
      <w:pPr>
        <w:autoSpaceDE w:val="0"/>
        <w:autoSpaceDN w:val="0"/>
        <w:adjustRightInd w:val="0"/>
        <w:spacing w:after="0" w:line="240" w:lineRule="auto"/>
        <w:jc w:val="both"/>
        <w:rPr>
          <w:rFonts w:ascii="TimesNewRomanPSMT" w:hAnsi="TimesNewRomanPSMT" w:cs="TimesNewRomanPSMT"/>
          <w:sz w:val="24"/>
          <w:szCs w:val="24"/>
        </w:rPr>
      </w:pPr>
    </w:p>
    <w:p w:rsidR="007232AD" w:rsidRDefault="007232AD" w:rsidP="004947E6">
      <w:pPr>
        <w:pBdr>
          <w:top w:val="single" w:sz="4" w:space="1" w:color="auto"/>
        </w:pBd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Vzhľadom na vyššie uvedené považujeme za nevyhnutné zásadným spôsobom:</w:t>
      </w:r>
    </w:p>
    <w:p w:rsidR="00DC7544" w:rsidRDefault="00DC7544" w:rsidP="007232AD">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zvýšiť produktivitu práce v odvetví lesného hospodárstva zabezpečením potrebného objemu investícií na jeho reštrukturalizáciu;</w:t>
      </w:r>
    </w:p>
    <w:p w:rsidR="00DC7544" w:rsidRPr="00A87069" w:rsidRDefault="00DC7544" w:rsidP="007232AD">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poukázať na problém neexistencie pojmu a systému platieb za tzv. </w:t>
      </w:r>
      <w:r w:rsidRPr="00EC6DF2">
        <w:rPr>
          <w:rFonts w:ascii="Times New Roman" w:hAnsi="Times New Roman" w:cs="Times New Roman"/>
          <w:sz w:val="24"/>
          <w:szCs w:val="24"/>
        </w:rPr>
        <w:t>ekosystémové služby</w:t>
      </w:r>
      <w:r>
        <w:rPr>
          <w:rFonts w:ascii="Times New Roman" w:hAnsi="Times New Roman" w:cs="Times New Roman"/>
          <w:sz w:val="24"/>
          <w:szCs w:val="24"/>
        </w:rPr>
        <w:t>;</w:t>
      </w:r>
    </w:p>
    <w:p w:rsidR="00A87069" w:rsidRPr="00A87069" w:rsidRDefault="00A87069" w:rsidP="00A87069">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zlepšiť </w:t>
      </w:r>
      <w:r w:rsidRPr="00A87069">
        <w:rPr>
          <w:rFonts w:ascii="TimesNewRomanPSMT" w:hAnsi="TimesNewRomanPSMT" w:cs="TimesNewRomanPSMT"/>
          <w:sz w:val="24"/>
          <w:szCs w:val="24"/>
        </w:rPr>
        <w:t>vnímanie slovenského lesníctva vo verejnosti</w:t>
      </w:r>
      <w:r>
        <w:rPr>
          <w:rFonts w:ascii="TimesNewRomanPSMT" w:hAnsi="TimesNewRomanPSMT" w:cs="TimesNewRomanPSMT"/>
          <w:sz w:val="24"/>
          <w:szCs w:val="24"/>
        </w:rPr>
        <w:t>;</w:t>
      </w:r>
    </w:p>
    <w:p w:rsidR="00DC7544" w:rsidRPr="00A87069" w:rsidRDefault="00382C7F" w:rsidP="007232AD">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zefektívniť nevyhovujúce nastavenie lesníckych opatrení v rámci programu rozvoja vidieka v novom programovom období;</w:t>
      </w:r>
    </w:p>
    <w:p w:rsidR="00A87069" w:rsidRDefault="00A87069" w:rsidP="007232AD">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podporiť vhodnú diverzifikáciu lesníckych činností drobných obhospodarovateľov lesa  smerom k nelesníckym aktivitám;</w:t>
      </w:r>
    </w:p>
    <w:p w:rsidR="00DC7544" w:rsidRPr="00382C7F" w:rsidRDefault="00382C7F" w:rsidP="007232AD">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zlepšiť súčasný </w:t>
      </w:r>
      <w:r w:rsidRPr="00EC6DF2">
        <w:rPr>
          <w:rFonts w:ascii="Times New Roman" w:hAnsi="Times New Roman" w:cs="Times New Roman"/>
          <w:sz w:val="24"/>
          <w:szCs w:val="24"/>
        </w:rPr>
        <w:t xml:space="preserve">zdravotný stav lesov a </w:t>
      </w:r>
      <w:r>
        <w:rPr>
          <w:rFonts w:ascii="Times New Roman" w:hAnsi="Times New Roman" w:cs="Times New Roman"/>
          <w:sz w:val="24"/>
          <w:szCs w:val="24"/>
        </w:rPr>
        <w:t>zvýšiť starostlivosť</w:t>
      </w:r>
      <w:r w:rsidRPr="00EC6DF2">
        <w:rPr>
          <w:rFonts w:ascii="Times New Roman" w:hAnsi="Times New Roman" w:cs="Times New Roman"/>
          <w:sz w:val="24"/>
          <w:szCs w:val="24"/>
        </w:rPr>
        <w:t xml:space="preserve"> o lesné porasty a</w:t>
      </w:r>
      <w:r>
        <w:rPr>
          <w:rFonts w:ascii="Times New Roman" w:hAnsi="Times New Roman" w:cs="Times New Roman"/>
          <w:sz w:val="24"/>
          <w:szCs w:val="24"/>
        </w:rPr>
        <w:t xml:space="preserve"> zabezpečiť dostatok </w:t>
      </w:r>
      <w:r w:rsidRPr="00EC6DF2">
        <w:rPr>
          <w:rFonts w:ascii="Times New Roman" w:hAnsi="Times New Roman" w:cs="Times New Roman"/>
          <w:sz w:val="24"/>
          <w:szCs w:val="24"/>
        </w:rPr>
        <w:t xml:space="preserve"> zdrojov na dlhodobý rozvoj lesov</w:t>
      </w:r>
      <w:r>
        <w:rPr>
          <w:rFonts w:ascii="Times New Roman" w:hAnsi="Times New Roman" w:cs="Times New Roman"/>
          <w:sz w:val="24"/>
          <w:szCs w:val="24"/>
        </w:rPr>
        <w:t>;</w:t>
      </w:r>
    </w:p>
    <w:p w:rsidR="00382C7F" w:rsidRPr="00382C7F" w:rsidRDefault="00382C7F" w:rsidP="007232AD">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optimalizovať súčasnú výmeru </w:t>
      </w:r>
      <w:r w:rsidRPr="00EC6DF2">
        <w:rPr>
          <w:rFonts w:ascii="Times New Roman" w:hAnsi="Times New Roman" w:cs="Times New Roman"/>
          <w:sz w:val="24"/>
          <w:szCs w:val="24"/>
        </w:rPr>
        <w:t>chránených území a</w:t>
      </w:r>
      <w:r>
        <w:rPr>
          <w:rFonts w:ascii="Times New Roman" w:hAnsi="Times New Roman" w:cs="Times New Roman"/>
          <w:sz w:val="24"/>
          <w:szCs w:val="24"/>
        </w:rPr>
        <w:t xml:space="preserve"> uviesť do súladu </w:t>
      </w:r>
      <w:r w:rsidRPr="00EC6DF2">
        <w:rPr>
          <w:rFonts w:ascii="Times New Roman" w:hAnsi="Times New Roman" w:cs="Times New Roman"/>
          <w:sz w:val="24"/>
          <w:szCs w:val="24"/>
        </w:rPr>
        <w:t>požiadavky orgánov ochrany prírody s odporučeniami IUCN</w:t>
      </w:r>
      <w:r>
        <w:rPr>
          <w:rFonts w:ascii="Times New Roman" w:hAnsi="Times New Roman" w:cs="Times New Roman"/>
          <w:sz w:val="24"/>
          <w:szCs w:val="24"/>
        </w:rPr>
        <w:t>;</w:t>
      </w:r>
    </w:p>
    <w:p w:rsidR="00382C7F" w:rsidRDefault="00382C7F" w:rsidP="007232AD">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podporiť produkciu lesnej palivovej biomasy, ako jedného z najvýznamnejších obnoviteľných zdrojov energie na Slovensku;</w:t>
      </w:r>
    </w:p>
    <w:p w:rsidR="00382C7F" w:rsidRDefault="00A87069" w:rsidP="007232AD">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podporiť zvýšenie miery spracovania základnej drevnej suroviny na Slovensku; a</w:t>
      </w:r>
    </w:p>
    <w:p w:rsidR="007232AD" w:rsidRDefault="007232AD" w:rsidP="007232AD">
      <w:pPr>
        <w:pStyle w:val="Odsekzoznamu"/>
        <w:numPr>
          <w:ilvl w:val="0"/>
          <w:numId w:val="38"/>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zlepšiť prístupnosť </w:t>
      </w:r>
      <w:r w:rsidR="00DC7544">
        <w:rPr>
          <w:rFonts w:ascii="TimesNewRomanPSMT" w:hAnsi="TimesNewRomanPSMT" w:cs="TimesNewRomanPSMT"/>
          <w:sz w:val="24"/>
          <w:szCs w:val="24"/>
        </w:rPr>
        <w:t>drevospracujúceho priemyslu</w:t>
      </w:r>
      <w:r>
        <w:rPr>
          <w:rFonts w:ascii="TimesNewRomanPSMT" w:hAnsi="TimesNewRomanPSMT" w:cs="TimesNewRomanPSMT"/>
          <w:sz w:val="24"/>
          <w:szCs w:val="24"/>
        </w:rPr>
        <w:t xml:space="preserve"> ku zdrojom zo štrukturálnych fondov E</w:t>
      </w:r>
      <w:r w:rsidR="00A87069">
        <w:rPr>
          <w:rFonts w:ascii="TimesNewRomanPSMT" w:hAnsi="TimesNewRomanPSMT" w:cs="TimesNewRomanPSMT"/>
          <w:sz w:val="24"/>
          <w:szCs w:val="24"/>
        </w:rPr>
        <w:t>Ú.</w:t>
      </w:r>
    </w:p>
    <w:p w:rsidR="007232AD" w:rsidRDefault="007232AD" w:rsidP="007232AD">
      <w:pPr>
        <w:pBdr>
          <w:top w:val="single" w:sz="4" w:space="1" w:color="auto"/>
        </w:pBdr>
        <w:autoSpaceDE w:val="0"/>
        <w:autoSpaceDN w:val="0"/>
        <w:adjustRightInd w:val="0"/>
        <w:spacing w:after="0" w:line="240" w:lineRule="auto"/>
        <w:rPr>
          <w:rFonts w:ascii="TimesNewRomanPSMT" w:hAnsi="TimesNewRomanPSMT" w:cs="TimesNewRomanPSMT"/>
          <w:sz w:val="24"/>
          <w:szCs w:val="24"/>
        </w:rPr>
      </w:pPr>
    </w:p>
    <w:p w:rsidR="00211FB4" w:rsidRDefault="00211FB4" w:rsidP="00EC6DF2">
      <w:pPr>
        <w:spacing w:after="0" w:line="240" w:lineRule="auto"/>
        <w:jc w:val="both"/>
        <w:rPr>
          <w:rFonts w:ascii="Times New Roman" w:hAnsi="Times New Roman" w:cs="Times New Roman"/>
          <w:sz w:val="24"/>
          <w:szCs w:val="24"/>
        </w:rPr>
      </w:pPr>
    </w:p>
    <w:p w:rsidR="00211FB4" w:rsidRDefault="00211FB4" w:rsidP="00EC6DF2">
      <w:pPr>
        <w:spacing w:after="0" w:line="240" w:lineRule="auto"/>
        <w:jc w:val="both"/>
        <w:rPr>
          <w:rFonts w:ascii="Times New Roman" w:hAnsi="Times New Roman" w:cs="Times New Roman"/>
          <w:sz w:val="24"/>
          <w:szCs w:val="24"/>
        </w:rPr>
      </w:pPr>
    </w:p>
    <w:p w:rsidR="00211FB4" w:rsidRDefault="00211FB4" w:rsidP="00EC6DF2">
      <w:pPr>
        <w:spacing w:after="0" w:line="240" w:lineRule="auto"/>
        <w:jc w:val="both"/>
        <w:rPr>
          <w:rFonts w:ascii="Times New Roman" w:hAnsi="Times New Roman" w:cs="Times New Roman"/>
          <w:sz w:val="24"/>
          <w:szCs w:val="24"/>
        </w:rPr>
      </w:pPr>
    </w:p>
    <w:p w:rsidR="00A87069" w:rsidRDefault="00A87069" w:rsidP="00EC6DF2">
      <w:pPr>
        <w:spacing w:after="0" w:line="240" w:lineRule="auto"/>
        <w:jc w:val="both"/>
        <w:rPr>
          <w:rFonts w:ascii="Times New Roman" w:hAnsi="Times New Roman" w:cs="Times New Roman"/>
          <w:sz w:val="24"/>
          <w:szCs w:val="24"/>
        </w:rPr>
      </w:pPr>
    </w:p>
    <w:p w:rsidR="00793174" w:rsidRDefault="00793174" w:rsidP="00EC6DF2">
      <w:pPr>
        <w:spacing w:after="0" w:line="240" w:lineRule="auto"/>
        <w:jc w:val="both"/>
        <w:rPr>
          <w:rFonts w:ascii="Times New Roman" w:hAnsi="Times New Roman" w:cs="Times New Roman"/>
          <w:sz w:val="24"/>
          <w:szCs w:val="24"/>
        </w:rPr>
      </w:pPr>
    </w:p>
    <w:p w:rsidR="00793174" w:rsidRDefault="00793174" w:rsidP="00EC6DF2">
      <w:pPr>
        <w:spacing w:after="0" w:line="240" w:lineRule="auto"/>
        <w:jc w:val="both"/>
        <w:rPr>
          <w:rFonts w:ascii="Times New Roman" w:hAnsi="Times New Roman" w:cs="Times New Roman"/>
          <w:sz w:val="24"/>
          <w:szCs w:val="24"/>
        </w:rPr>
      </w:pPr>
    </w:p>
    <w:p w:rsidR="00793174" w:rsidRDefault="00793174" w:rsidP="00EC6DF2">
      <w:pPr>
        <w:spacing w:after="0" w:line="240" w:lineRule="auto"/>
        <w:jc w:val="both"/>
        <w:rPr>
          <w:rFonts w:ascii="Times New Roman" w:hAnsi="Times New Roman" w:cs="Times New Roman"/>
          <w:sz w:val="24"/>
          <w:szCs w:val="24"/>
        </w:rPr>
      </w:pPr>
    </w:p>
    <w:p w:rsidR="00793174" w:rsidRDefault="00793174" w:rsidP="00EC6DF2">
      <w:pPr>
        <w:spacing w:after="0" w:line="240" w:lineRule="auto"/>
        <w:jc w:val="both"/>
        <w:rPr>
          <w:rFonts w:ascii="Times New Roman" w:hAnsi="Times New Roman" w:cs="Times New Roman"/>
          <w:sz w:val="24"/>
          <w:szCs w:val="24"/>
        </w:rPr>
      </w:pPr>
    </w:p>
    <w:p w:rsidR="00793174" w:rsidRDefault="00793174" w:rsidP="00EC6DF2">
      <w:pPr>
        <w:spacing w:after="0" w:line="240" w:lineRule="auto"/>
        <w:jc w:val="both"/>
        <w:rPr>
          <w:rFonts w:ascii="Times New Roman" w:hAnsi="Times New Roman" w:cs="Times New Roman"/>
          <w:sz w:val="24"/>
          <w:szCs w:val="24"/>
        </w:rPr>
      </w:pPr>
    </w:p>
    <w:p w:rsidR="00793174" w:rsidRDefault="00793174" w:rsidP="00EC6DF2">
      <w:pPr>
        <w:spacing w:after="0" w:line="240" w:lineRule="auto"/>
        <w:jc w:val="both"/>
        <w:rPr>
          <w:rFonts w:ascii="Times New Roman" w:hAnsi="Times New Roman" w:cs="Times New Roman"/>
          <w:sz w:val="24"/>
          <w:szCs w:val="24"/>
        </w:rPr>
      </w:pPr>
    </w:p>
    <w:p w:rsidR="00793174" w:rsidRDefault="00793174" w:rsidP="00EC6DF2">
      <w:pPr>
        <w:spacing w:after="0" w:line="240" w:lineRule="auto"/>
        <w:jc w:val="both"/>
        <w:rPr>
          <w:rFonts w:ascii="Times New Roman" w:hAnsi="Times New Roman" w:cs="Times New Roman"/>
          <w:sz w:val="24"/>
          <w:szCs w:val="24"/>
        </w:rPr>
      </w:pPr>
    </w:p>
    <w:p w:rsidR="00793174" w:rsidRDefault="00793174" w:rsidP="00EC6DF2">
      <w:pPr>
        <w:spacing w:after="0" w:line="240" w:lineRule="auto"/>
        <w:jc w:val="both"/>
        <w:rPr>
          <w:rFonts w:ascii="Times New Roman" w:hAnsi="Times New Roman" w:cs="Times New Roman"/>
          <w:sz w:val="24"/>
          <w:szCs w:val="24"/>
        </w:rPr>
      </w:pPr>
    </w:p>
    <w:p w:rsidR="00793174" w:rsidRDefault="00793174" w:rsidP="00EC6DF2">
      <w:pPr>
        <w:spacing w:after="0" w:line="240" w:lineRule="auto"/>
        <w:jc w:val="both"/>
        <w:rPr>
          <w:rFonts w:ascii="Times New Roman" w:hAnsi="Times New Roman" w:cs="Times New Roman"/>
          <w:sz w:val="24"/>
          <w:szCs w:val="24"/>
        </w:rPr>
      </w:pPr>
    </w:p>
    <w:p w:rsidR="00793174" w:rsidRDefault="00793174" w:rsidP="00EC6DF2">
      <w:pPr>
        <w:spacing w:after="0" w:line="240" w:lineRule="auto"/>
        <w:jc w:val="both"/>
        <w:rPr>
          <w:rFonts w:ascii="Times New Roman" w:hAnsi="Times New Roman" w:cs="Times New Roman"/>
          <w:sz w:val="24"/>
          <w:szCs w:val="24"/>
        </w:rPr>
      </w:pPr>
    </w:p>
    <w:p w:rsidR="00793174" w:rsidRDefault="00793174" w:rsidP="00EC6DF2">
      <w:pPr>
        <w:spacing w:after="0" w:line="240" w:lineRule="auto"/>
        <w:jc w:val="both"/>
        <w:rPr>
          <w:rFonts w:ascii="Times New Roman" w:hAnsi="Times New Roman" w:cs="Times New Roman"/>
          <w:sz w:val="24"/>
          <w:szCs w:val="24"/>
        </w:rPr>
      </w:pPr>
    </w:p>
    <w:p w:rsidR="00793174" w:rsidRDefault="00793174" w:rsidP="00EC6DF2">
      <w:pPr>
        <w:spacing w:after="0" w:line="240" w:lineRule="auto"/>
        <w:jc w:val="both"/>
        <w:rPr>
          <w:rFonts w:ascii="Times New Roman" w:hAnsi="Times New Roman" w:cs="Times New Roman"/>
          <w:sz w:val="24"/>
          <w:szCs w:val="24"/>
        </w:rPr>
      </w:pPr>
    </w:p>
    <w:p w:rsidR="00793174" w:rsidRDefault="00793174" w:rsidP="00EC6DF2">
      <w:pPr>
        <w:spacing w:after="0" w:line="240" w:lineRule="auto"/>
        <w:jc w:val="both"/>
        <w:rPr>
          <w:rFonts w:ascii="Times New Roman" w:hAnsi="Times New Roman" w:cs="Times New Roman"/>
          <w:sz w:val="24"/>
          <w:szCs w:val="24"/>
        </w:rPr>
      </w:pPr>
    </w:p>
    <w:p w:rsidR="00793174" w:rsidRDefault="00793174" w:rsidP="00EC6DF2">
      <w:pPr>
        <w:spacing w:after="0" w:line="240" w:lineRule="auto"/>
        <w:jc w:val="both"/>
        <w:rPr>
          <w:rFonts w:ascii="Times New Roman" w:hAnsi="Times New Roman" w:cs="Times New Roman"/>
          <w:sz w:val="24"/>
          <w:szCs w:val="24"/>
        </w:rPr>
      </w:pPr>
    </w:p>
    <w:p w:rsidR="00793174" w:rsidRDefault="00793174" w:rsidP="00EC6DF2">
      <w:pPr>
        <w:spacing w:after="0" w:line="240" w:lineRule="auto"/>
        <w:jc w:val="both"/>
        <w:rPr>
          <w:rFonts w:ascii="Times New Roman" w:hAnsi="Times New Roman" w:cs="Times New Roman"/>
          <w:sz w:val="24"/>
          <w:szCs w:val="24"/>
        </w:rPr>
      </w:pPr>
    </w:p>
    <w:p w:rsidR="00793174" w:rsidRDefault="00793174" w:rsidP="00EC6DF2">
      <w:pPr>
        <w:spacing w:after="0" w:line="240" w:lineRule="auto"/>
        <w:jc w:val="both"/>
        <w:rPr>
          <w:rFonts w:ascii="Times New Roman" w:hAnsi="Times New Roman" w:cs="Times New Roman"/>
          <w:sz w:val="24"/>
          <w:szCs w:val="24"/>
        </w:rPr>
      </w:pPr>
    </w:p>
    <w:p w:rsidR="00793174" w:rsidRDefault="00793174" w:rsidP="00EC6DF2">
      <w:pPr>
        <w:spacing w:after="0" w:line="240" w:lineRule="auto"/>
        <w:jc w:val="both"/>
        <w:rPr>
          <w:rFonts w:ascii="Times New Roman" w:hAnsi="Times New Roman" w:cs="Times New Roman"/>
          <w:sz w:val="24"/>
          <w:szCs w:val="24"/>
        </w:rPr>
      </w:pPr>
    </w:p>
    <w:p w:rsidR="004947E6" w:rsidRDefault="004947E6" w:rsidP="00EC6DF2">
      <w:pPr>
        <w:spacing w:after="0" w:line="240" w:lineRule="auto"/>
        <w:jc w:val="both"/>
        <w:rPr>
          <w:rFonts w:ascii="Times New Roman" w:hAnsi="Times New Roman" w:cs="Times New Roman"/>
          <w:sz w:val="24"/>
          <w:szCs w:val="24"/>
        </w:rPr>
      </w:pPr>
    </w:p>
    <w:p w:rsidR="00A87069" w:rsidRDefault="00A87069" w:rsidP="00EC6DF2">
      <w:pPr>
        <w:spacing w:after="0" w:line="240" w:lineRule="auto"/>
        <w:jc w:val="both"/>
        <w:rPr>
          <w:rFonts w:ascii="Times New Roman" w:hAnsi="Times New Roman" w:cs="Times New Roman"/>
          <w:sz w:val="24"/>
          <w:szCs w:val="24"/>
        </w:rPr>
      </w:pPr>
    </w:p>
    <w:p w:rsidR="00760C0E" w:rsidRPr="00E35F7D" w:rsidRDefault="00AD2093" w:rsidP="000D68DC">
      <w:pPr>
        <w:pStyle w:val="Nadpis1"/>
        <w:numPr>
          <w:ilvl w:val="0"/>
          <w:numId w:val="8"/>
        </w:numPr>
        <w:rPr>
          <w:rFonts w:cs="Times New Roman"/>
        </w:rPr>
      </w:pPr>
      <w:bookmarkStart w:id="18" w:name="_Toc359550639"/>
      <w:r>
        <w:rPr>
          <w:rFonts w:cs="Times New Roman"/>
        </w:rPr>
        <w:lastRenderedPageBreak/>
        <w:t>Z</w:t>
      </w:r>
      <w:r w:rsidRPr="00AD2093">
        <w:rPr>
          <w:rFonts w:cs="Times New Roman"/>
        </w:rPr>
        <w:t>výšenie produkčnej výkonnosti v nosných poľnohospodárskych komoditách na úroveň 80%</w:t>
      </w:r>
      <w:r w:rsidR="00FA3CAB">
        <w:rPr>
          <w:rFonts w:cs="Times New Roman"/>
        </w:rPr>
        <w:t xml:space="preserve"> súčasnej spotreby obyvateľstva </w:t>
      </w:r>
      <w:r w:rsidRPr="00AD2093">
        <w:rPr>
          <w:rFonts w:cs="Times New Roman"/>
        </w:rPr>
        <w:t>na Slovensku</w:t>
      </w:r>
      <w:bookmarkEnd w:id="18"/>
    </w:p>
    <w:p w:rsidR="00760C0E" w:rsidRDefault="00760C0E" w:rsidP="00760C0E">
      <w:pPr>
        <w:spacing w:after="0" w:line="240" w:lineRule="auto"/>
        <w:rPr>
          <w:rFonts w:ascii="Times New Roman" w:hAnsi="Times New Roman" w:cs="Times New Roman"/>
          <w:sz w:val="24"/>
          <w:szCs w:val="24"/>
        </w:rPr>
      </w:pPr>
    </w:p>
    <w:p w:rsidR="00FA3CAB" w:rsidRDefault="003F0AFE" w:rsidP="00582D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Koncepčný cieľ zvýšiť produkčnú výkonnosť v nosných poľnohospodárskych komoditách sleduje zámery programového vyhlásenia vlády v oblasti zvyšovania pridanej hodnoty v poľnohospodárstve </w:t>
      </w:r>
      <w:r w:rsidR="00472E46">
        <w:rPr>
          <w:rFonts w:ascii="Times New Roman" w:hAnsi="Times New Roman" w:cs="Times New Roman"/>
          <w:sz w:val="24"/>
          <w:szCs w:val="24"/>
        </w:rPr>
        <w:t xml:space="preserve">a potravinárstve </w:t>
      </w:r>
      <w:r>
        <w:rPr>
          <w:rFonts w:ascii="Times New Roman" w:hAnsi="Times New Roman" w:cs="Times New Roman"/>
          <w:sz w:val="24"/>
          <w:szCs w:val="24"/>
        </w:rPr>
        <w:t xml:space="preserve">a plne </w:t>
      </w:r>
      <w:proofErr w:type="spellStart"/>
      <w:r>
        <w:rPr>
          <w:rFonts w:ascii="Times New Roman" w:hAnsi="Times New Roman" w:cs="Times New Roman"/>
          <w:sz w:val="24"/>
          <w:szCs w:val="24"/>
        </w:rPr>
        <w:t>koreluje</w:t>
      </w:r>
      <w:proofErr w:type="spellEnd"/>
      <w:r>
        <w:rPr>
          <w:rFonts w:ascii="Times New Roman" w:hAnsi="Times New Roman" w:cs="Times New Roman"/>
          <w:sz w:val="24"/>
          <w:szCs w:val="24"/>
        </w:rPr>
        <w:t xml:space="preserve"> s napĺňaním strategických cieľov spoločnej poľnohospodárske</w:t>
      </w:r>
      <w:r w:rsidR="00636841">
        <w:rPr>
          <w:rFonts w:ascii="Times New Roman" w:hAnsi="Times New Roman" w:cs="Times New Roman"/>
          <w:sz w:val="24"/>
          <w:szCs w:val="24"/>
        </w:rPr>
        <w:t>j politiky, ktorých zmyslom je:</w:t>
      </w:r>
    </w:p>
    <w:p w:rsidR="00FA3CAB" w:rsidRPr="00FA3CAB" w:rsidRDefault="00FA3CAB" w:rsidP="000D68DC">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3F0AFE" w:rsidRPr="00FA3CAB">
        <w:rPr>
          <w:rFonts w:ascii="Times New Roman" w:hAnsi="Times New Roman" w:cs="Times New Roman"/>
          <w:sz w:val="24"/>
          <w:szCs w:val="24"/>
        </w:rPr>
        <w:t xml:space="preserve">držateľným spôsobom zachovať potenciál výroby potravín v celej EÚ, aby sa zaručila dlhodobá potravinová bezpečnosť </w:t>
      </w:r>
      <w:r>
        <w:rPr>
          <w:rFonts w:ascii="Times New Roman" w:hAnsi="Times New Roman" w:cs="Times New Roman"/>
          <w:sz w:val="24"/>
          <w:szCs w:val="24"/>
        </w:rPr>
        <w:t>európskych občanov;</w:t>
      </w:r>
    </w:p>
    <w:p w:rsidR="003F0AFE" w:rsidRDefault="003F0AFE" w:rsidP="000D68DC">
      <w:pPr>
        <w:pStyle w:val="Odsekzoznamu"/>
        <w:numPr>
          <w:ilvl w:val="0"/>
          <w:numId w:val="3"/>
        </w:numPr>
        <w:spacing w:after="0" w:line="240" w:lineRule="auto"/>
        <w:jc w:val="both"/>
        <w:rPr>
          <w:rFonts w:ascii="Times New Roman" w:hAnsi="Times New Roman" w:cs="Times New Roman"/>
          <w:sz w:val="24"/>
          <w:szCs w:val="24"/>
        </w:rPr>
      </w:pPr>
      <w:r w:rsidRPr="00FA3CAB">
        <w:rPr>
          <w:rFonts w:ascii="Times New Roman" w:hAnsi="Times New Roman" w:cs="Times New Roman"/>
          <w:sz w:val="24"/>
          <w:szCs w:val="24"/>
        </w:rPr>
        <w:t xml:space="preserve">prispieť k uspokojovaniu rastúceho dopytu po potravinách na svete, ktorý sa má </w:t>
      </w:r>
      <w:r w:rsidR="00FA3CAB">
        <w:rPr>
          <w:rFonts w:ascii="Times New Roman" w:hAnsi="Times New Roman" w:cs="Times New Roman"/>
          <w:sz w:val="24"/>
          <w:szCs w:val="24"/>
        </w:rPr>
        <w:t>zvýšiť do roku 2050 o 70 %;</w:t>
      </w:r>
    </w:p>
    <w:p w:rsidR="00FA3CAB" w:rsidRPr="00FA3CAB" w:rsidRDefault="00FA3CAB" w:rsidP="000D68DC">
      <w:pPr>
        <w:pStyle w:val="Odsekzoznamu"/>
        <w:numPr>
          <w:ilvl w:val="0"/>
          <w:numId w:val="3"/>
        </w:numPr>
        <w:spacing w:after="0" w:line="240" w:lineRule="auto"/>
        <w:jc w:val="both"/>
        <w:rPr>
          <w:rFonts w:ascii="Times New Roman" w:hAnsi="Times New Roman" w:cs="Times New Roman"/>
          <w:sz w:val="24"/>
          <w:szCs w:val="24"/>
        </w:rPr>
      </w:pPr>
      <w:r w:rsidRPr="00FA3CAB">
        <w:rPr>
          <w:rFonts w:ascii="Times New Roman" w:hAnsi="Times New Roman" w:cs="Times New Roman"/>
          <w:sz w:val="24"/>
          <w:szCs w:val="24"/>
        </w:rPr>
        <w:t>p</w:t>
      </w:r>
      <w:r w:rsidR="003F0AFE" w:rsidRPr="00FA3CAB">
        <w:rPr>
          <w:rFonts w:ascii="Times New Roman" w:hAnsi="Times New Roman" w:cs="Times New Roman"/>
          <w:sz w:val="24"/>
          <w:szCs w:val="24"/>
        </w:rPr>
        <w:t>odporovať poľnohospodárske spoločenstvá, ktoré zásobujú európskych občanov širokým sortimentom kvalitných a hodnotných potravín vyrobených udržateľným spôsobom v súlade s požiadavkami v oblasti ochrany životného prostredia, vôd, zdravia a dobrých životných podmienok zvierat, zdra</w:t>
      </w:r>
      <w:r>
        <w:rPr>
          <w:rFonts w:ascii="Times New Roman" w:hAnsi="Times New Roman" w:cs="Times New Roman"/>
          <w:sz w:val="24"/>
          <w:szCs w:val="24"/>
        </w:rPr>
        <w:t>via rastlín a verejného zdravia;</w:t>
      </w:r>
    </w:p>
    <w:p w:rsidR="003F0AFE" w:rsidRPr="00FA3CAB" w:rsidRDefault="00FA3CAB" w:rsidP="000D68DC">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3F0AFE" w:rsidRPr="00FA3CAB">
        <w:rPr>
          <w:rFonts w:ascii="Times New Roman" w:hAnsi="Times New Roman" w:cs="Times New Roman"/>
          <w:sz w:val="24"/>
          <w:szCs w:val="24"/>
        </w:rPr>
        <w:t>achovať životaschopné vidiecke spoločenstvá, pre ktoré je poľnohospodárstvo dôležitou hospodárskou činnosťou tvoriacou miestne pracovné príležitosti</w:t>
      </w:r>
      <w:r>
        <w:rPr>
          <w:rFonts w:ascii="Times New Roman" w:hAnsi="Times New Roman" w:cs="Times New Roman"/>
          <w:sz w:val="24"/>
          <w:szCs w:val="24"/>
        </w:rPr>
        <w:t>.</w:t>
      </w:r>
    </w:p>
    <w:p w:rsidR="00B9176E" w:rsidRDefault="00B9176E" w:rsidP="00B9176E">
      <w:pPr>
        <w:spacing w:after="0" w:line="240" w:lineRule="auto"/>
        <w:jc w:val="both"/>
        <w:rPr>
          <w:rFonts w:ascii="Times New Roman" w:hAnsi="Times New Roman" w:cs="Times New Roman"/>
          <w:sz w:val="24"/>
          <w:szCs w:val="24"/>
        </w:rPr>
      </w:pPr>
    </w:p>
    <w:p w:rsidR="00262DF9" w:rsidRDefault="00262DF9" w:rsidP="00B917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Formulovaním tohto koncepčného cieľa kladieme dôraz na napĺňanie prvoradej úlohy</w:t>
      </w:r>
      <w:r w:rsidRPr="00262DF9">
        <w:rPr>
          <w:rFonts w:ascii="Times New Roman" w:hAnsi="Times New Roman" w:cs="Times New Roman"/>
          <w:sz w:val="24"/>
          <w:szCs w:val="24"/>
        </w:rPr>
        <w:t xml:space="preserve"> poľnohospodárstva</w:t>
      </w:r>
      <w:r w:rsidR="00472E46">
        <w:rPr>
          <w:rFonts w:ascii="Times New Roman" w:hAnsi="Times New Roman" w:cs="Times New Roman"/>
          <w:sz w:val="24"/>
          <w:szCs w:val="24"/>
        </w:rPr>
        <w:t xml:space="preserve"> a potravinárstva</w:t>
      </w:r>
      <w:r>
        <w:rPr>
          <w:rFonts w:ascii="Times New Roman" w:hAnsi="Times New Roman" w:cs="Times New Roman"/>
          <w:sz w:val="24"/>
          <w:szCs w:val="24"/>
        </w:rPr>
        <w:t>, ktorou</w:t>
      </w:r>
      <w:r w:rsidRPr="00262DF9">
        <w:rPr>
          <w:rFonts w:ascii="Times New Roman" w:hAnsi="Times New Roman" w:cs="Times New Roman"/>
          <w:sz w:val="24"/>
          <w:szCs w:val="24"/>
        </w:rPr>
        <w:t xml:space="preserve"> je zásobovanie potravinami. </w:t>
      </w:r>
      <w:r>
        <w:rPr>
          <w:rFonts w:ascii="Times New Roman" w:hAnsi="Times New Roman" w:cs="Times New Roman"/>
          <w:sz w:val="24"/>
          <w:szCs w:val="24"/>
        </w:rPr>
        <w:t>Na základe vykonaných analýz pri tvorbe stratégie Európa 2020 je zrejmé</w:t>
      </w:r>
      <w:r w:rsidRPr="00262DF9">
        <w:rPr>
          <w:rFonts w:ascii="Times New Roman" w:hAnsi="Times New Roman" w:cs="Times New Roman"/>
          <w:sz w:val="24"/>
          <w:szCs w:val="24"/>
        </w:rPr>
        <w:t>, že celosvetový dopy</w:t>
      </w:r>
      <w:r>
        <w:rPr>
          <w:rFonts w:ascii="Times New Roman" w:hAnsi="Times New Roman" w:cs="Times New Roman"/>
          <w:sz w:val="24"/>
          <w:szCs w:val="24"/>
        </w:rPr>
        <w:t>t sa bude v budúcnosti zvyšovať a</w:t>
      </w:r>
      <w:r w:rsidRPr="00262DF9">
        <w:rPr>
          <w:rFonts w:ascii="Times New Roman" w:hAnsi="Times New Roman" w:cs="Times New Roman"/>
          <w:sz w:val="24"/>
          <w:szCs w:val="24"/>
        </w:rPr>
        <w:t xml:space="preserve"> EÚ by mala byť schopná prispievať k uspokojovaniu potravinového dopytu na celom svete.</w:t>
      </w:r>
      <w:r>
        <w:rPr>
          <w:rFonts w:ascii="Times New Roman" w:hAnsi="Times New Roman" w:cs="Times New Roman"/>
          <w:sz w:val="24"/>
          <w:szCs w:val="24"/>
        </w:rPr>
        <w:t xml:space="preserve"> Máme za to, že Slovenská republika ako integrálny člen EÚ by mala tiež prispieť k uspokojovaniu celosvetového potravinového dopytu.  </w:t>
      </w:r>
      <w:r w:rsidRPr="00262DF9">
        <w:rPr>
          <w:rFonts w:ascii="Times New Roman" w:hAnsi="Times New Roman" w:cs="Times New Roman"/>
          <w:sz w:val="24"/>
          <w:szCs w:val="24"/>
        </w:rPr>
        <w:t xml:space="preserve">Preto je nevyhnutné, aby sa zachovala a zvyšovala výrobná kapacita poľnohospodárstva </w:t>
      </w:r>
      <w:r w:rsidR="001D3462">
        <w:rPr>
          <w:rFonts w:ascii="Times New Roman" w:hAnsi="Times New Roman" w:cs="Times New Roman"/>
          <w:sz w:val="24"/>
          <w:szCs w:val="24"/>
        </w:rPr>
        <w:t xml:space="preserve">na Slovensku, a to udržateľným spôsobom a plne zohľadňujúc komparatívne výhody produkcie potravín. </w:t>
      </w:r>
      <w:r w:rsidRPr="00262DF9">
        <w:rPr>
          <w:rFonts w:ascii="Times New Roman" w:hAnsi="Times New Roman" w:cs="Times New Roman"/>
          <w:sz w:val="24"/>
          <w:szCs w:val="24"/>
        </w:rPr>
        <w:t>Silný sektor poľnohospodárstva</w:t>
      </w:r>
      <w:r w:rsidR="001D3462">
        <w:rPr>
          <w:rFonts w:ascii="Times New Roman" w:hAnsi="Times New Roman" w:cs="Times New Roman"/>
          <w:sz w:val="24"/>
          <w:szCs w:val="24"/>
        </w:rPr>
        <w:t>,</w:t>
      </w:r>
      <w:r w:rsidR="003748EC">
        <w:rPr>
          <w:rFonts w:ascii="Times New Roman" w:hAnsi="Times New Roman" w:cs="Times New Roman"/>
          <w:sz w:val="24"/>
          <w:szCs w:val="24"/>
        </w:rPr>
        <w:t xml:space="preserve"> </w:t>
      </w:r>
      <w:r w:rsidR="001D3462">
        <w:rPr>
          <w:rFonts w:ascii="Times New Roman" w:hAnsi="Times New Roman" w:cs="Times New Roman"/>
          <w:sz w:val="24"/>
          <w:szCs w:val="24"/>
        </w:rPr>
        <w:t xml:space="preserve">kopírujúci potreby trhu, </w:t>
      </w:r>
      <w:r w:rsidRPr="00262DF9">
        <w:rPr>
          <w:rFonts w:ascii="Times New Roman" w:hAnsi="Times New Roman" w:cs="Times New Roman"/>
          <w:sz w:val="24"/>
          <w:szCs w:val="24"/>
        </w:rPr>
        <w:t xml:space="preserve">má podstatný význam pre zachovanie vysoko konkurencieschopného potravinárskeho priemyslu ako významnej zložky hospodárstva a obchodu </w:t>
      </w:r>
      <w:r w:rsidR="001D3462">
        <w:rPr>
          <w:rFonts w:ascii="Times New Roman" w:hAnsi="Times New Roman" w:cs="Times New Roman"/>
          <w:sz w:val="24"/>
          <w:szCs w:val="24"/>
        </w:rPr>
        <w:t>Slovenskej republiky.</w:t>
      </w:r>
    </w:p>
    <w:p w:rsidR="001D3462" w:rsidRDefault="001D3462" w:rsidP="00B9176E">
      <w:pPr>
        <w:spacing w:after="0" w:line="240" w:lineRule="auto"/>
        <w:jc w:val="both"/>
        <w:rPr>
          <w:rFonts w:ascii="Times New Roman" w:hAnsi="Times New Roman" w:cs="Times New Roman"/>
          <w:sz w:val="24"/>
          <w:szCs w:val="24"/>
        </w:rPr>
      </w:pPr>
    </w:p>
    <w:p w:rsidR="00B9176E" w:rsidRDefault="00B9176E" w:rsidP="00B917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Vzhľadom na súčasné okolnosti, t.j. potravinovú krízu, blížiacu sa krízu produkčných kapacít vo veľkých ekonomikách, pokročilý stupeň globalizácie svetového obchodu a členstvo </w:t>
      </w:r>
      <w:r w:rsidR="009A43E2">
        <w:rPr>
          <w:rFonts w:ascii="Times New Roman" w:hAnsi="Times New Roman" w:cs="Times New Roman"/>
          <w:sz w:val="24"/>
          <w:szCs w:val="24"/>
        </w:rPr>
        <w:t>Slovenskej republiky (ďalej len „SR“)</w:t>
      </w:r>
      <w:r>
        <w:rPr>
          <w:rFonts w:ascii="Times New Roman" w:hAnsi="Times New Roman" w:cs="Times New Roman"/>
          <w:sz w:val="24"/>
          <w:szCs w:val="24"/>
        </w:rPr>
        <w:t xml:space="preserve"> v EÚ, sa javí potrebné definovať prah </w:t>
      </w:r>
      <w:r w:rsidR="00FA3CAB">
        <w:rPr>
          <w:rFonts w:ascii="Times New Roman" w:hAnsi="Times New Roman" w:cs="Times New Roman"/>
          <w:sz w:val="24"/>
          <w:szCs w:val="24"/>
        </w:rPr>
        <w:t>produkčnej výkonnosti v nosných poľnohospodárskych komoditách na úroveň 80 % súčasnej spotreby obyvateľstva na Slovensku</w:t>
      </w:r>
      <w:r w:rsidR="003A3C13">
        <w:rPr>
          <w:rFonts w:ascii="Times New Roman" w:hAnsi="Times New Roman" w:cs="Times New Roman"/>
          <w:sz w:val="24"/>
          <w:szCs w:val="24"/>
        </w:rPr>
        <w:t>, a to na všetkých produkčných stupňoch potravinovej vertikály.</w:t>
      </w:r>
    </w:p>
    <w:p w:rsidR="003A3C13" w:rsidRDefault="003A3C13" w:rsidP="00B9176E">
      <w:pPr>
        <w:spacing w:after="0" w:line="240" w:lineRule="auto"/>
        <w:jc w:val="both"/>
        <w:rPr>
          <w:rFonts w:ascii="Times New Roman" w:hAnsi="Times New Roman" w:cs="Times New Roman"/>
          <w:sz w:val="24"/>
          <w:szCs w:val="24"/>
        </w:rPr>
      </w:pPr>
    </w:p>
    <w:p w:rsidR="003A3C13" w:rsidRDefault="003A3C13" w:rsidP="00B917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Referenčný ukazovateľ produkčnej výkonnosti, plne zohľadňuje súčasné spotrebiteľské preferencie slovenského obyvateľstva, čím sa identifikuje zo základným  </w:t>
      </w:r>
      <w:r w:rsidR="00012CB7">
        <w:rPr>
          <w:rFonts w:ascii="Times New Roman" w:hAnsi="Times New Roman" w:cs="Times New Roman"/>
          <w:sz w:val="24"/>
          <w:szCs w:val="24"/>
        </w:rPr>
        <w:t>záväzkom s</w:t>
      </w:r>
      <w:r>
        <w:rPr>
          <w:rFonts w:ascii="Times New Roman" w:hAnsi="Times New Roman" w:cs="Times New Roman"/>
          <w:sz w:val="24"/>
          <w:szCs w:val="24"/>
        </w:rPr>
        <w:t xml:space="preserve">poločnej poľnohospodárskej politiky, a to zaručiť </w:t>
      </w:r>
      <w:r w:rsidR="00012CB7">
        <w:rPr>
          <w:rFonts w:ascii="Times New Roman" w:hAnsi="Times New Roman" w:cs="Times New Roman"/>
          <w:sz w:val="24"/>
          <w:szCs w:val="24"/>
        </w:rPr>
        <w:t>dlhodobú</w:t>
      </w:r>
      <w:r w:rsidR="0032409C">
        <w:rPr>
          <w:rFonts w:ascii="Times New Roman" w:hAnsi="Times New Roman" w:cs="Times New Roman"/>
          <w:sz w:val="24"/>
          <w:szCs w:val="24"/>
        </w:rPr>
        <w:t xml:space="preserve"> </w:t>
      </w:r>
      <w:r w:rsidR="00012CB7">
        <w:rPr>
          <w:rFonts w:ascii="Times New Roman" w:hAnsi="Times New Roman" w:cs="Times New Roman"/>
          <w:sz w:val="24"/>
          <w:szCs w:val="24"/>
        </w:rPr>
        <w:t>potravinovú</w:t>
      </w:r>
      <w:r w:rsidR="00012CB7" w:rsidRPr="00FA3CAB">
        <w:rPr>
          <w:rFonts w:ascii="Times New Roman" w:hAnsi="Times New Roman" w:cs="Times New Roman"/>
          <w:sz w:val="24"/>
          <w:szCs w:val="24"/>
        </w:rPr>
        <w:t xml:space="preserve"> bezpečnosť </w:t>
      </w:r>
      <w:r w:rsidR="00012CB7">
        <w:rPr>
          <w:rFonts w:ascii="Times New Roman" w:hAnsi="Times New Roman" w:cs="Times New Roman"/>
          <w:sz w:val="24"/>
          <w:szCs w:val="24"/>
        </w:rPr>
        <w:t xml:space="preserve">európskych občanov. Spotrebiteľské preferencie ako referenčný ukazovateľ produkčnej výkonnosti navyše umožňuje sústrediť podporu v rámci spoločnej poľnohospodárskej politiky na aktívnych poľnohospodárov, ktorí poskytujú spoločnosti kolektívne služby zohľadňujúce </w:t>
      </w:r>
      <w:r w:rsidR="00122DAD">
        <w:rPr>
          <w:rFonts w:ascii="Times New Roman" w:hAnsi="Times New Roman" w:cs="Times New Roman"/>
          <w:sz w:val="24"/>
          <w:szCs w:val="24"/>
        </w:rPr>
        <w:t>spoločenský</w:t>
      </w:r>
      <w:r w:rsidR="00012CB7">
        <w:rPr>
          <w:rFonts w:ascii="Times New Roman" w:hAnsi="Times New Roman" w:cs="Times New Roman"/>
          <w:sz w:val="24"/>
          <w:szCs w:val="24"/>
        </w:rPr>
        <w:t xml:space="preserve"> dopyt po potravinách. Týmto  si Slovenská republika plní svoj záväzok zvyšovať efektívnosť a účinnosť podpory poskytnutej sektoru poľnohospodárstva v rámci spoločnej poľnohospodárskej politiky a prispieva k jej ďalšiemu legitimizovaniu. </w:t>
      </w:r>
    </w:p>
    <w:p w:rsidR="004947E6" w:rsidRDefault="004947E6" w:rsidP="00B9176E">
      <w:pPr>
        <w:spacing w:after="0" w:line="240" w:lineRule="auto"/>
        <w:jc w:val="both"/>
        <w:rPr>
          <w:rFonts w:ascii="Times New Roman" w:hAnsi="Times New Roman" w:cs="Times New Roman"/>
          <w:sz w:val="24"/>
          <w:szCs w:val="24"/>
        </w:rPr>
      </w:pPr>
    </w:p>
    <w:p w:rsidR="00CD7057" w:rsidRDefault="00EB19B1" w:rsidP="00B9176E">
      <w:pPr>
        <w:spacing w:after="0" w:line="240" w:lineRule="auto"/>
        <w:jc w:val="both"/>
        <w:rPr>
          <w:rFonts w:ascii="Times New Roman" w:hAnsi="Times New Roman" w:cs="Times New Roman"/>
          <w:sz w:val="24"/>
          <w:szCs w:val="24"/>
        </w:rPr>
      </w:pPr>
      <w:r w:rsidRPr="00EB19B1">
        <w:rPr>
          <w:rFonts w:ascii="Times New Roman" w:hAnsi="Times New Roman" w:cs="Times New Roman"/>
          <w:sz w:val="24"/>
          <w:szCs w:val="24"/>
        </w:rPr>
        <w:lastRenderedPageBreak/>
        <w:t xml:space="preserve">Potravinová </w:t>
      </w:r>
      <w:r>
        <w:rPr>
          <w:rFonts w:ascii="Times New Roman" w:hAnsi="Times New Roman" w:cs="Times New Roman"/>
          <w:sz w:val="24"/>
          <w:szCs w:val="24"/>
        </w:rPr>
        <w:t>bezpečnosť</w:t>
      </w:r>
      <w:r w:rsidRPr="00EB19B1">
        <w:rPr>
          <w:rFonts w:ascii="Times New Roman" w:hAnsi="Times New Roman" w:cs="Times New Roman"/>
          <w:sz w:val="24"/>
          <w:szCs w:val="24"/>
        </w:rPr>
        <w:t xml:space="preserve"> je determinovaná schopnosťou krytia po</w:t>
      </w:r>
      <w:r w:rsidR="00B60E16">
        <w:rPr>
          <w:rFonts w:ascii="Times New Roman" w:hAnsi="Times New Roman" w:cs="Times New Roman"/>
          <w:sz w:val="24"/>
          <w:szCs w:val="24"/>
        </w:rPr>
        <w:t xml:space="preserve">trieb krajiny vlastnou výrobou. </w:t>
      </w:r>
      <w:r w:rsidRPr="00EB19B1">
        <w:rPr>
          <w:rFonts w:ascii="Times New Roman" w:hAnsi="Times New Roman" w:cs="Times New Roman"/>
          <w:sz w:val="24"/>
          <w:szCs w:val="24"/>
        </w:rPr>
        <w:t xml:space="preserve">Mieru potravinovej </w:t>
      </w:r>
      <w:r>
        <w:rPr>
          <w:rFonts w:ascii="Times New Roman" w:hAnsi="Times New Roman" w:cs="Times New Roman"/>
          <w:sz w:val="24"/>
          <w:szCs w:val="24"/>
        </w:rPr>
        <w:t>bezpečnosti</w:t>
      </w:r>
      <w:r w:rsidRPr="00EB19B1">
        <w:rPr>
          <w:rFonts w:ascii="Times New Roman" w:hAnsi="Times New Roman" w:cs="Times New Roman"/>
          <w:sz w:val="24"/>
          <w:szCs w:val="24"/>
        </w:rPr>
        <w:t xml:space="preserve"> ovplyvňuje objem produkcie a spotreby agropotravinárskych komodít</w:t>
      </w:r>
      <w:r w:rsidR="00636841">
        <w:rPr>
          <w:rFonts w:ascii="Times New Roman" w:hAnsi="Times New Roman" w:cs="Times New Roman"/>
          <w:sz w:val="24"/>
          <w:szCs w:val="24"/>
        </w:rPr>
        <w:t xml:space="preserve">. </w:t>
      </w:r>
      <w:r w:rsidR="0030067A">
        <w:rPr>
          <w:rFonts w:ascii="Times New Roman" w:hAnsi="Times New Roman" w:cs="Times New Roman"/>
          <w:sz w:val="24"/>
          <w:szCs w:val="24"/>
        </w:rPr>
        <w:t>Na základe skladby súčasnej spotreby potravín v SR sme identifikovali n</w:t>
      </w:r>
      <w:r w:rsidR="00012CB7">
        <w:rPr>
          <w:rFonts w:ascii="Times New Roman" w:hAnsi="Times New Roman" w:cs="Times New Roman"/>
          <w:sz w:val="24"/>
          <w:szCs w:val="24"/>
        </w:rPr>
        <w:t xml:space="preserve">osné poľnohospodárske </w:t>
      </w:r>
      <w:r w:rsidR="001D21A7">
        <w:rPr>
          <w:rFonts w:ascii="Times New Roman" w:hAnsi="Times New Roman" w:cs="Times New Roman"/>
          <w:sz w:val="24"/>
          <w:szCs w:val="24"/>
        </w:rPr>
        <w:t xml:space="preserve">komodity </w:t>
      </w:r>
      <w:r w:rsidR="008A67C4">
        <w:rPr>
          <w:rFonts w:ascii="Times New Roman" w:hAnsi="Times New Roman" w:cs="Times New Roman"/>
          <w:sz w:val="24"/>
          <w:szCs w:val="24"/>
        </w:rPr>
        <w:t xml:space="preserve">a potravinárske </w:t>
      </w:r>
      <w:r w:rsidR="001D21A7">
        <w:rPr>
          <w:rFonts w:ascii="Times New Roman" w:hAnsi="Times New Roman" w:cs="Times New Roman"/>
          <w:sz w:val="24"/>
          <w:szCs w:val="24"/>
        </w:rPr>
        <w:t>výrobky</w:t>
      </w:r>
      <w:r w:rsidR="00012CB7">
        <w:rPr>
          <w:rFonts w:ascii="Times New Roman" w:hAnsi="Times New Roman" w:cs="Times New Roman"/>
          <w:sz w:val="24"/>
          <w:szCs w:val="24"/>
        </w:rPr>
        <w:t xml:space="preserve"> a následne rozdelili do 2 základných skupín: komodity živočíšnej výroby a komodity rastlinnej výroby. Samostatnú skupinu tvoria krmoviny a kŕmne zmesi, ktoré majú priame prepojenie na potreby živočíšnej výroby.</w:t>
      </w:r>
    </w:p>
    <w:p w:rsidR="000437EE" w:rsidRDefault="000437EE" w:rsidP="00B9176E">
      <w:pPr>
        <w:spacing w:after="0" w:line="240" w:lineRule="auto"/>
        <w:jc w:val="both"/>
        <w:rPr>
          <w:rFonts w:ascii="Times New Roman" w:hAnsi="Times New Roman" w:cs="Times New Roman"/>
          <w:sz w:val="24"/>
          <w:szCs w:val="24"/>
        </w:rPr>
      </w:pPr>
    </w:p>
    <w:p w:rsidR="00F7690B" w:rsidRPr="00A855A4" w:rsidRDefault="009A43E2" w:rsidP="001D21A7">
      <w:pPr>
        <w:tabs>
          <w:tab w:val="left" w:pos="993"/>
        </w:tabs>
        <w:spacing w:after="0" w:line="240" w:lineRule="auto"/>
        <w:ind w:left="993" w:hanging="993"/>
        <w:jc w:val="both"/>
        <w:rPr>
          <w:rFonts w:ascii="Times New Roman" w:hAnsi="Times New Roman" w:cs="Times New Roman"/>
          <w:sz w:val="20"/>
          <w:szCs w:val="20"/>
        </w:rPr>
      </w:pPr>
      <w:r w:rsidRPr="00A855A4">
        <w:rPr>
          <w:rFonts w:ascii="Times New Roman" w:hAnsi="Times New Roman" w:cs="Times New Roman"/>
          <w:sz w:val="20"/>
          <w:szCs w:val="20"/>
        </w:rPr>
        <w:t>Tab. č.1</w:t>
      </w:r>
      <w:r w:rsidR="00BE29EE">
        <w:rPr>
          <w:rFonts w:ascii="Times New Roman" w:hAnsi="Times New Roman" w:cs="Times New Roman"/>
          <w:sz w:val="20"/>
          <w:szCs w:val="20"/>
        </w:rPr>
        <w:t>8</w:t>
      </w:r>
      <w:r w:rsidRPr="00A855A4">
        <w:rPr>
          <w:rFonts w:ascii="Times New Roman" w:hAnsi="Times New Roman" w:cs="Times New Roman"/>
          <w:sz w:val="20"/>
          <w:szCs w:val="20"/>
        </w:rPr>
        <w:t xml:space="preserve">: </w:t>
      </w:r>
      <w:r w:rsidR="001D21A7">
        <w:rPr>
          <w:rFonts w:ascii="Times New Roman" w:hAnsi="Times New Roman" w:cs="Times New Roman"/>
          <w:sz w:val="20"/>
          <w:szCs w:val="20"/>
        </w:rPr>
        <w:tab/>
      </w:r>
      <w:r w:rsidRPr="00A855A4">
        <w:rPr>
          <w:rFonts w:ascii="Times New Roman" w:hAnsi="Times New Roman" w:cs="Times New Roman"/>
          <w:sz w:val="20"/>
          <w:szCs w:val="20"/>
        </w:rPr>
        <w:t xml:space="preserve">Spotreba nosných poľnohospodárskych </w:t>
      </w:r>
      <w:r w:rsidR="001D21A7" w:rsidRPr="00A855A4">
        <w:rPr>
          <w:rFonts w:ascii="Times New Roman" w:hAnsi="Times New Roman" w:cs="Times New Roman"/>
          <w:sz w:val="20"/>
          <w:szCs w:val="20"/>
        </w:rPr>
        <w:t xml:space="preserve">komodít </w:t>
      </w:r>
      <w:r w:rsidR="008A67C4">
        <w:rPr>
          <w:rFonts w:ascii="Times New Roman" w:hAnsi="Times New Roman" w:cs="Times New Roman"/>
          <w:sz w:val="20"/>
          <w:szCs w:val="20"/>
        </w:rPr>
        <w:t xml:space="preserve">a potravinárskych </w:t>
      </w:r>
      <w:r w:rsidR="001D21A7">
        <w:rPr>
          <w:rFonts w:ascii="Times New Roman" w:hAnsi="Times New Roman" w:cs="Times New Roman"/>
          <w:sz w:val="20"/>
          <w:szCs w:val="20"/>
        </w:rPr>
        <w:t xml:space="preserve">výrobkov </w:t>
      </w:r>
      <w:r w:rsidRPr="00A855A4">
        <w:rPr>
          <w:rFonts w:ascii="Times New Roman" w:hAnsi="Times New Roman" w:cs="Times New Roman"/>
          <w:sz w:val="20"/>
          <w:szCs w:val="20"/>
        </w:rPr>
        <w:t>v</w:t>
      </w:r>
      <w:r w:rsidR="00F7690B">
        <w:rPr>
          <w:rFonts w:ascii="Times New Roman" w:hAnsi="Times New Roman" w:cs="Times New Roman"/>
          <w:sz w:val="20"/>
          <w:szCs w:val="20"/>
        </w:rPr>
        <w:t> </w:t>
      </w:r>
      <w:r w:rsidRPr="00A855A4">
        <w:rPr>
          <w:rFonts w:ascii="Times New Roman" w:hAnsi="Times New Roman" w:cs="Times New Roman"/>
          <w:sz w:val="20"/>
          <w:szCs w:val="20"/>
        </w:rPr>
        <w:t>SR</w:t>
      </w:r>
      <w:r w:rsidR="00F7690B">
        <w:rPr>
          <w:rFonts w:ascii="Times New Roman" w:hAnsi="Times New Roman" w:cs="Times New Roman"/>
          <w:sz w:val="20"/>
          <w:szCs w:val="20"/>
        </w:rPr>
        <w:t xml:space="preserve"> na obyvateľa v kg za rok</w:t>
      </w:r>
      <w:r w:rsidR="00C34EF2">
        <w:rPr>
          <w:rFonts w:ascii="Times New Roman" w:hAnsi="Times New Roman" w:cs="Times New Roman"/>
          <w:sz w:val="20"/>
          <w:szCs w:val="20"/>
        </w:rPr>
        <w:t xml:space="preserve"> 2011</w:t>
      </w:r>
    </w:p>
    <w:tbl>
      <w:tblPr>
        <w:tblW w:w="9087" w:type="dxa"/>
        <w:tblInd w:w="55" w:type="dxa"/>
        <w:tblCellMar>
          <w:left w:w="70" w:type="dxa"/>
          <w:right w:w="70" w:type="dxa"/>
        </w:tblCellMar>
        <w:tblLook w:val="04A0" w:firstRow="1" w:lastRow="0" w:firstColumn="1" w:lastColumn="0" w:noHBand="0" w:noVBand="1"/>
      </w:tblPr>
      <w:tblGrid>
        <w:gridCol w:w="6536"/>
        <w:gridCol w:w="2551"/>
      </w:tblGrid>
      <w:tr w:rsidR="00F749E9" w:rsidRPr="00F749E9" w:rsidTr="00F749E9">
        <w:trPr>
          <w:trHeight w:val="300"/>
        </w:trPr>
        <w:tc>
          <w:tcPr>
            <w:tcW w:w="6536" w:type="dxa"/>
            <w:tcBorders>
              <w:top w:val="single" w:sz="8" w:space="0" w:color="auto"/>
              <w:left w:val="nil"/>
              <w:bottom w:val="nil"/>
              <w:right w:val="single" w:sz="8" w:space="0" w:color="auto"/>
            </w:tcBorders>
            <w:shd w:val="clear" w:color="000000" w:fill="F2F2F2"/>
            <w:vAlign w:val="center"/>
            <w:hideMark/>
          </w:tcPr>
          <w:p w:rsidR="00F749E9" w:rsidRPr="00F749E9" w:rsidRDefault="00F749E9" w:rsidP="00F749E9">
            <w:pPr>
              <w:spacing w:after="0" w:line="240" w:lineRule="auto"/>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Hovädzie a teľacie mäso</w:t>
            </w:r>
          </w:p>
        </w:tc>
        <w:tc>
          <w:tcPr>
            <w:tcW w:w="2551" w:type="dxa"/>
            <w:tcBorders>
              <w:top w:val="single" w:sz="8" w:space="0" w:color="auto"/>
              <w:left w:val="nil"/>
              <w:bottom w:val="nil"/>
              <w:right w:val="nil"/>
            </w:tcBorders>
            <w:shd w:val="clear" w:color="000000" w:fill="F2F2F2"/>
            <w:vAlign w:val="center"/>
            <w:hideMark/>
          </w:tcPr>
          <w:p w:rsidR="00F749E9" w:rsidRPr="00F749E9" w:rsidRDefault="00C34EF2" w:rsidP="00F749E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p>
        </w:tc>
      </w:tr>
      <w:tr w:rsidR="00F749E9" w:rsidRPr="00F749E9" w:rsidTr="00F749E9">
        <w:trPr>
          <w:trHeight w:val="300"/>
        </w:trPr>
        <w:tc>
          <w:tcPr>
            <w:tcW w:w="6536" w:type="dxa"/>
            <w:tcBorders>
              <w:top w:val="nil"/>
              <w:left w:val="nil"/>
              <w:bottom w:val="nil"/>
              <w:right w:val="single" w:sz="8" w:space="0" w:color="auto"/>
            </w:tcBorders>
            <w:shd w:val="clear" w:color="auto" w:fill="auto"/>
            <w:vAlign w:val="center"/>
            <w:hideMark/>
          </w:tcPr>
          <w:p w:rsidR="00F749E9" w:rsidRPr="00F749E9" w:rsidRDefault="00F749E9" w:rsidP="00F749E9">
            <w:pPr>
              <w:spacing w:after="0" w:line="240" w:lineRule="auto"/>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Bravčové mäso</w:t>
            </w:r>
          </w:p>
        </w:tc>
        <w:tc>
          <w:tcPr>
            <w:tcW w:w="2551" w:type="dxa"/>
            <w:tcBorders>
              <w:top w:val="nil"/>
              <w:left w:val="nil"/>
              <w:bottom w:val="nil"/>
              <w:right w:val="nil"/>
            </w:tcBorders>
            <w:shd w:val="clear" w:color="auto" w:fill="auto"/>
            <w:vAlign w:val="center"/>
            <w:hideMark/>
          </w:tcPr>
          <w:p w:rsidR="00F749E9" w:rsidRPr="00F749E9" w:rsidRDefault="00C34EF2" w:rsidP="00F749E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31,6</w:t>
            </w:r>
          </w:p>
        </w:tc>
      </w:tr>
      <w:tr w:rsidR="00F749E9" w:rsidRPr="00F749E9" w:rsidTr="00F749E9">
        <w:trPr>
          <w:trHeight w:val="300"/>
        </w:trPr>
        <w:tc>
          <w:tcPr>
            <w:tcW w:w="6536" w:type="dxa"/>
            <w:tcBorders>
              <w:top w:val="nil"/>
              <w:left w:val="nil"/>
              <w:bottom w:val="nil"/>
              <w:right w:val="single" w:sz="8" w:space="0" w:color="auto"/>
            </w:tcBorders>
            <w:shd w:val="clear" w:color="000000" w:fill="F2F2F2"/>
            <w:vAlign w:val="center"/>
            <w:hideMark/>
          </w:tcPr>
          <w:p w:rsidR="00F749E9" w:rsidRPr="00F749E9" w:rsidRDefault="00F749E9" w:rsidP="00F749E9">
            <w:pPr>
              <w:spacing w:after="0" w:line="240" w:lineRule="auto"/>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Hydinové mäso</w:t>
            </w:r>
          </w:p>
        </w:tc>
        <w:tc>
          <w:tcPr>
            <w:tcW w:w="2551" w:type="dxa"/>
            <w:tcBorders>
              <w:top w:val="nil"/>
              <w:left w:val="nil"/>
              <w:bottom w:val="nil"/>
              <w:right w:val="nil"/>
            </w:tcBorders>
            <w:shd w:val="clear" w:color="000000" w:fill="F2F2F2"/>
            <w:vAlign w:val="center"/>
            <w:hideMark/>
          </w:tcPr>
          <w:p w:rsidR="00F749E9" w:rsidRPr="00F749E9" w:rsidRDefault="00F749E9" w:rsidP="00F749E9">
            <w:pPr>
              <w:spacing w:after="0" w:line="240" w:lineRule="auto"/>
              <w:jc w:val="right"/>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19,3</w:t>
            </w:r>
          </w:p>
        </w:tc>
      </w:tr>
      <w:tr w:rsidR="00F749E9" w:rsidRPr="00F749E9" w:rsidTr="00F749E9">
        <w:trPr>
          <w:trHeight w:val="300"/>
        </w:trPr>
        <w:tc>
          <w:tcPr>
            <w:tcW w:w="6536" w:type="dxa"/>
            <w:tcBorders>
              <w:top w:val="nil"/>
              <w:left w:val="nil"/>
              <w:bottom w:val="nil"/>
              <w:right w:val="single" w:sz="8" w:space="0" w:color="auto"/>
            </w:tcBorders>
            <w:shd w:val="clear" w:color="auto" w:fill="auto"/>
            <w:vAlign w:val="center"/>
            <w:hideMark/>
          </w:tcPr>
          <w:p w:rsidR="00F749E9" w:rsidRPr="00F749E9" w:rsidRDefault="00F749E9" w:rsidP="00F749E9">
            <w:pPr>
              <w:spacing w:after="0" w:line="240" w:lineRule="auto"/>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Ovčie mäso</w:t>
            </w:r>
          </w:p>
        </w:tc>
        <w:tc>
          <w:tcPr>
            <w:tcW w:w="2551" w:type="dxa"/>
            <w:tcBorders>
              <w:top w:val="nil"/>
              <w:left w:val="nil"/>
              <w:bottom w:val="nil"/>
              <w:right w:val="nil"/>
            </w:tcBorders>
            <w:shd w:val="clear" w:color="auto" w:fill="auto"/>
            <w:vAlign w:val="center"/>
            <w:hideMark/>
          </w:tcPr>
          <w:p w:rsidR="00F749E9" w:rsidRPr="00F749E9" w:rsidRDefault="00F749E9" w:rsidP="00F749E9">
            <w:pPr>
              <w:spacing w:after="0" w:line="240" w:lineRule="auto"/>
              <w:jc w:val="right"/>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0,11</w:t>
            </w:r>
          </w:p>
        </w:tc>
      </w:tr>
      <w:tr w:rsidR="00F749E9" w:rsidRPr="00F749E9" w:rsidTr="00F749E9">
        <w:trPr>
          <w:trHeight w:val="300"/>
        </w:trPr>
        <w:tc>
          <w:tcPr>
            <w:tcW w:w="6536" w:type="dxa"/>
            <w:tcBorders>
              <w:top w:val="nil"/>
              <w:left w:val="nil"/>
              <w:bottom w:val="nil"/>
              <w:right w:val="single" w:sz="8" w:space="0" w:color="auto"/>
            </w:tcBorders>
            <w:shd w:val="clear" w:color="000000" w:fill="F2F2F2"/>
            <w:vAlign w:val="center"/>
            <w:hideMark/>
          </w:tcPr>
          <w:p w:rsidR="00F749E9" w:rsidRPr="00F749E9" w:rsidRDefault="00F749E9" w:rsidP="00F749E9">
            <w:pPr>
              <w:spacing w:after="0" w:line="240" w:lineRule="auto"/>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Kozie mäso</w:t>
            </w:r>
          </w:p>
        </w:tc>
        <w:tc>
          <w:tcPr>
            <w:tcW w:w="2551" w:type="dxa"/>
            <w:tcBorders>
              <w:top w:val="nil"/>
              <w:left w:val="nil"/>
              <w:bottom w:val="nil"/>
              <w:right w:val="nil"/>
            </w:tcBorders>
            <w:shd w:val="clear" w:color="000000" w:fill="F2F2F2"/>
            <w:vAlign w:val="center"/>
            <w:hideMark/>
          </w:tcPr>
          <w:p w:rsidR="00F749E9" w:rsidRPr="00F749E9" w:rsidRDefault="00F749E9" w:rsidP="00F749E9">
            <w:pPr>
              <w:spacing w:after="0" w:line="240" w:lineRule="auto"/>
              <w:jc w:val="right"/>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0,05</w:t>
            </w:r>
          </w:p>
        </w:tc>
      </w:tr>
      <w:tr w:rsidR="00F749E9" w:rsidRPr="00F749E9" w:rsidTr="00F749E9">
        <w:trPr>
          <w:trHeight w:val="300"/>
        </w:trPr>
        <w:tc>
          <w:tcPr>
            <w:tcW w:w="6536" w:type="dxa"/>
            <w:tcBorders>
              <w:top w:val="nil"/>
              <w:left w:val="nil"/>
              <w:bottom w:val="nil"/>
              <w:right w:val="single" w:sz="8" w:space="0" w:color="auto"/>
            </w:tcBorders>
            <w:shd w:val="clear" w:color="auto" w:fill="auto"/>
            <w:vAlign w:val="center"/>
            <w:hideMark/>
          </w:tcPr>
          <w:p w:rsidR="00F749E9" w:rsidRPr="00F749E9" w:rsidRDefault="00F749E9" w:rsidP="00F749E9">
            <w:pPr>
              <w:spacing w:after="0" w:line="240" w:lineRule="auto"/>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Mlieko a mliečne výrobky</w:t>
            </w:r>
          </w:p>
        </w:tc>
        <w:tc>
          <w:tcPr>
            <w:tcW w:w="2551" w:type="dxa"/>
            <w:tcBorders>
              <w:top w:val="nil"/>
              <w:left w:val="nil"/>
              <w:bottom w:val="nil"/>
              <w:right w:val="nil"/>
            </w:tcBorders>
            <w:shd w:val="clear" w:color="auto" w:fill="auto"/>
            <w:vAlign w:val="center"/>
            <w:hideMark/>
          </w:tcPr>
          <w:p w:rsidR="00F749E9" w:rsidRPr="00F749E9" w:rsidRDefault="00EA4A8E" w:rsidP="00F749E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156,9</w:t>
            </w:r>
          </w:p>
        </w:tc>
      </w:tr>
      <w:tr w:rsidR="00F749E9" w:rsidRPr="00F749E9" w:rsidTr="00F749E9">
        <w:trPr>
          <w:trHeight w:val="300"/>
        </w:trPr>
        <w:tc>
          <w:tcPr>
            <w:tcW w:w="6536" w:type="dxa"/>
            <w:tcBorders>
              <w:top w:val="nil"/>
              <w:left w:val="nil"/>
              <w:bottom w:val="nil"/>
              <w:right w:val="single" w:sz="8" w:space="0" w:color="auto"/>
            </w:tcBorders>
            <w:shd w:val="clear" w:color="000000" w:fill="F2F2F2"/>
            <w:vAlign w:val="center"/>
            <w:hideMark/>
          </w:tcPr>
          <w:p w:rsidR="00F749E9" w:rsidRPr="00F749E9" w:rsidRDefault="00F749E9" w:rsidP="00F749E9">
            <w:pPr>
              <w:spacing w:after="0" w:line="240" w:lineRule="auto"/>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 xml:space="preserve">Vajcia </w:t>
            </w:r>
          </w:p>
        </w:tc>
        <w:tc>
          <w:tcPr>
            <w:tcW w:w="2551" w:type="dxa"/>
            <w:tcBorders>
              <w:top w:val="nil"/>
              <w:left w:val="nil"/>
              <w:bottom w:val="nil"/>
              <w:right w:val="nil"/>
            </w:tcBorders>
            <w:shd w:val="clear" w:color="000000" w:fill="F2F2F2"/>
            <w:vAlign w:val="center"/>
            <w:hideMark/>
          </w:tcPr>
          <w:p w:rsidR="00F749E9" w:rsidRPr="00F749E9" w:rsidRDefault="00F749E9" w:rsidP="00F749E9">
            <w:pPr>
              <w:spacing w:after="0" w:line="240" w:lineRule="auto"/>
              <w:jc w:val="right"/>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12,6</w:t>
            </w:r>
          </w:p>
        </w:tc>
      </w:tr>
      <w:tr w:rsidR="00F749E9" w:rsidRPr="00C34EF2" w:rsidTr="0097752F">
        <w:trPr>
          <w:trHeight w:val="300"/>
        </w:trPr>
        <w:tc>
          <w:tcPr>
            <w:tcW w:w="6536" w:type="dxa"/>
            <w:tcBorders>
              <w:top w:val="nil"/>
              <w:left w:val="nil"/>
              <w:bottom w:val="nil"/>
              <w:right w:val="single" w:sz="8" w:space="0" w:color="auto"/>
            </w:tcBorders>
            <w:shd w:val="clear" w:color="auto" w:fill="auto"/>
            <w:vAlign w:val="center"/>
            <w:hideMark/>
          </w:tcPr>
          <w:p w:rsidR="00F749E9" w:rsidRPr="00F749E9" w:rsidRDefault="00F749E9" w:rsidP="00F749E9">
            <w:pPr>
              <w:spacing w:after="0" w:line="240" w:lineRule="auto"/>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Cukor</w:t>
            </w:r>
          </w:p>
        </w:tc>
        <w:tc>
          <w:tcPr>
            <w:tcW w:w="2551" w:type="dxa"/>
            <w:tcBorders>
              <w:top w:val="nil"/>
              <w:left w:val="nil"/>
              <w:bottom w:val="nil"/>
              <w:right w:val="nil"/>
            </w:tcBorders>
            <w:shd w:val="clear" w:color="auto" w:fill="auto"/>
            <w:vAlign w:val="center"/>
            <w:hideMark/>
          </w:tcPr>
          <w:p w:rsidR="00F749E9" w:rsidRPr="00F749E9" w:rsidRDefault="00F749E9" w:rsidP="00F749E9">
            <w:pPr>
              <w:spacing w:after="0" w:line="240" w:lineRule="auto"/>
              <w:jc w:val="right"/>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34,3</w:t>
            </w:r>
          </w:p>
        </w:tc>
      </w:tr>
      <w:tr w:rsidR="00F749E9" w:rsidRPr="00C34EF2" w:rsidTr="0097752F">
        <w:trPr>
          <w:trHeight w:val="300"/>
        </w:trPr>
        <w:tc>
          <w:tcPr>
            <w:tcW w:w="6536" w:type="dxa"/>
            <w:tcBorders>
              <w:top w:val="nil"/>
              <w:left w:val="nil"/>
              <w:bottom w:val="nil"/>
              <w:right w:val="single" w:sz="8" w:space="0" w:color="auto"/>
            </w:tcBorders>
            <w:shd w:val="clear" w:color="auto" w:fill="F2F2F2" w:themeFill="background1" w:themeFillShade="F2"/>
            <w:vAlign w:val="center"/>
            <w:hideMark/>
          </w:tcPr>
          <w:p w:rsidR="00F749E9" w:rsidRPr="00F749E9" w:rsidRDefault="00F749E9" w:rsidP="00F749E9">
            <w:pPr>
              <w:spacing w:after="0" w:line="240" w:lineRule="auto"/>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Pšenica (potravinárska)</w:t>
            </w:r>
          </w:p>
        </w:tc>
        <w:tc>
          <w:tcPr>
            <w:tcW w:w="2551" w:type="dxa"/>
            <w:tcBorders>
              <w:top w:val="nil"/>
              <w:left w:val="nil"/>
              <w:bottom w:val="nil"/>
              <w:right w:val="nil"/>
            </w:tcBorders>
            <w:shd w:val="clear" w:color="auto" w:fill="F2F2F2" w:themeFill="background1" w:themeFillShade="F2"/>
            <w:vAlign w:val="center"/>
            <w:hideMark/>
          </w:tcPr>
          <w:p w:rsidR="00F749E9" w:rsidRPr="00F749E9" w:rsidRDefault="00F749E9" w:rsidP="00F749E9">
            <w:pPr>
              <w:spacing w:after="0" w:line="240" w:lineRule="auto"/>
              <w:jc w:val="right"/>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92,24</w:t>
            </w:r>
          </w:p>
        </w:tc>
      </w:tr>
      <w:tr w:rsidR="00F749E9" w:rsidRPr="00C34EF2" w:rsidTr="0097752F">
        <w:trPr>
          <w:trHeight w:val="300"/>
        </w:trPr>
        <w:tc>
          <w:tcPr>
            <w:tcW w:w="6536" w:type="dxa"/>
            <w:tcBorders>
              <w:top w:val="nil"/>
              <w:left w:val="nil"/>
              <w:bottom w:val="nil"/>
              <w:right w:val="single" w:sz="8" w:space="0" w:color="auto"/>
            </w:tcBorders>
            <w:shd w:val="clear" w:color="auto" w:fill="auto"/>
            <w:vAlign w:val="center"/>
            <w:hideMark/>
          </w:tcPr>
          <w:p w:rsidR="00F749E9" w:rsidRPr="00F749E9" w:rsidRDefault="00F749E9" w:rsidP="00F749E9">
            <w:pPr>
              <w:spacing w:after="0" w:line="240" w:lineRule="auto"/>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Raž (potravinárska)</w:t>
            </w:r>
          </w:p>
        </w:tc>
        <w:tc>
          <w:tcPr>
            <w:tcW w:w="2551" w:type="dxa"/>
            <w:tcBorders>
              <w:top w:val="nil"/>
              <w:left w:val="nil"/>
              <w:bottom w:val="nil"/>
              <w:right w:val="nil"/>
            </w:tcBorders>
            <w:shd w:val="clear" w:color="auto" w:fill="auto"/>
            <w:vAlign w:val="center"/>
            <w:hideMark/>
          </w:tcPr>
          <w:p w:rsidR="00F749E9" w:rsidRPr="00F749E9" w:rsidRDefault="00F749E9" w:rsidP="00F749E9">
            <w:pPr>
              <w:spacing w:after="0" w:line="240" w:lineRule="auto"/>
              <w:jc w:val="right"/>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6,11</w:t>
            </w:r>
          </w:p>
        </w:tc>
      </w:tr>
      <w:tr w:rsidR="00F749E9" w:rsidRPr="00C34EF2" w:rsidTr="0097752F">
        <w:trPr>
          <w:trHeight w:val="300"/>
        </w:trPr>
        <w:tc>
          <w:tcPr>
            <w:tcW w:w="6536" w:type="dxa"/>
            <w:tcBorders>
              <w:top w:val="nil"/>
              <w:left w:val="nil"/>
              <w:bottom w:val="nil"/>
              <w:right w:val="single" w:sz="8" w:space="0" w:color="auto"/>
            </w:tcBorders>
            <w:shd w:val="clear" w:color="auto" w:fill="F2F2F2" w:themeFill="background1" w:themeFillShade="F2"/>
            <w:vAlign w:val="center"/>
            <w:hideMark/>
          </w:tcPr>
          <w:p w:rsidR="00F749E9" w:rsidRPr="00F749E9" w:rsidRDefault="00F749E9" w:rsidP="00F749E9">
            <w:pPr>
              <w:spacing w:after="0" w:line="240" w:lineRule="auto"/>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Rastlinné jedlé tuky a oleje</w:t>
            </w:r>
          </w:p>
        </w:tc>
        <w:tc>
          <w:tcPr>
            <w:tcW w:w="2551" w:type="dxa"/>
            <w:tcBorders>
              <w:top w:val="nil"/>
              <w:left w:val="nil"/>
              <w:bottom w:val="nil"/>
              <w:right w:val="nil"/>
            </w:tcBorders>
            <w:shd w:val="clear" w:color="auto" w:fill="F2F2F2" w:themeFill="background1" w:themeFillShade="F2"/>
            <w:vAlign w:val="center"/>
            <w:hideMark/>
          </w:tcPr>
          <w:p w:rsidR="00F749E9" w:rsidRPr="00F749E9" w:rsidRDefault="00F749E9" w:rsidP="00F749E9">
            <w:pPr>
              <w:spacing w:after="0" w:line="240" w:lineRule="auto"/>
              <w:jc w:val="right"/>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17,4</w:t>
            </w:r>
          </w:p>
        </w:tc>
      </w:tr>
      <w:tr w:rsidR="00F749E9" w:rsidRPr="00C34EF2" w:rsidTr="0097752F">
        <w:trPr>
          <w:trHeight w:val="300"/>
        </w:trPr>
        <w:tc>
          <w:tcPr>
            <w:tcW w:w="6536" w:type="dxa"/>
            <w:tcBorders>
              <w:top w:val="nil"/>
              <w:left w:val="nil"/>
              <w:bottom w:val="nil"/>
              <w:right w:val="single" w:sz="8" w:space="0" w:color="auto"/>
            </w:tcBorders>
            <w:shd w:val="clear" w:color="auto" w:fill="auto"/>
            <w:vAlign w:val="center"/>
            <w:hideMark/>
          </w:tcPr>
          <w:p w:rsidR="00F749E9" w:rsidRPr="00F749E9" w:rsidRDefault="00F749E9" w:rsidP="00F749E9">
            <w:pPr>
              <w:spacing w:after="0" w:line="240" w:lineRule="auto"/>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Zemiaky</w:t>
            </w:r>
          </w:p>
        </w:tc>
        <w:tc>
          <w:tcPr>
            <w:tcW w:w="2551" w:type="dxa"/>
            <w:tcBorders>
              <w:top w:val="nil"/>
              <w:left w:val="nil"/>
              <w:bottom w:val="nil"/>
              <w:right w:val="nil"/>
            </w:tcBorders>
            <w:shd w:val="clear" w:color="auto" w:fill="auto"/>
            <w:vAlign w:val="center"/>
            <w:hideMark/>
          </w:tcPr>
          <w:p w:rsidR="00F749E9" w:rsidRPr="00F749E9" w:rsidRDefault="00F749E9" w:rsidP="00F749E9">
            <w:pPr>
              <w:spacing w:after="0" w:line="240" w:lineRule="auto"/>
              <w:jc w:val="right"/>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47,6</w:t>
            </w:r>
          </w:p>
        </w:tc>
      </w:tr>
      <w:tr w:rsidR="00F749E9" w:rsidRPr="00C34EF2" w:rsidTr="0097752F">
        <w:trPr>
          <w:trHeight w:val="300"/>
        </w:trPr>
        <w:tc>
          <w:tcPr>
            <w:tcW w:w="6536" w:type="dxa"/>
            <w:tcBorders>
              <w:top w:val="nil"/>
              <w:left w:val="nil"/>
              <w:bottom w:val="nil"/>
              <w:right w:val="single" w:sz="8" w:space="0" w:color="auto"/>
            </w:tcBorders>
            <w:shd w:val="clear" w:color="auto" w:fill="F2F2F2" w:themeFill="background1" w:themeFillShade="F2"/>
            <w:vAlign w:val="center"/>
            <w:hideMark/>
          </w:tcPr>
          <w:p w:rsidR="00F749E9" w:rsidRPr="00F749E9" w:rsidRDefault="00F749E9" w:rsidP="00F749E9">
            <w:pPr>
              <w:spacing w:after="0" w:line="240" w:lineRule="auto"/>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Zelenina (v hodnote čerstvého)</w:t>
            </w:r>
          </w:p>
        </w:tc>
        <w:tc>
          <w:tcPr>
            <w:tcW w:w="2551" w:type="dxa"/>
            <w:tcBorders>
              <w:top w:val="nil"/>
              <w:left w:val="nil"/>
              <w:bottom w:val="nil"/>
              <w:right w:val="nil"/>
            </w:tcBorders>
            <w:shd w:val="clear" w:color="auto" w:fill="F2F2F2" w:themeFill="background1" w:themeFillShade="F2"/>
            <w:vAlign w:val="center"/>
            <w:hideMark/>
          </w:tcPr>
          <w:p w:rsidR="00F749E9" w:rsidRPr="00F749E9" w:rsidRDefault="00F749E9" w:rsidP="00F749E9">
            <w:pPr>
              <w:spacing w:after="0" w:line="240" w:lineRule="auto"/>
              <w:jc w:val="right"/>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101,5</w:t>
            </w:r>
          </w:p>
        </w:tc>
      </w:tr>
      <w:tr w:rsidR="00C34EF2" w:rsidRPr="00C34EF2" w:rsidTr="0097752F">
        <w:trPr>
          <w:trHeight w:val="300"/>
        </w:trPr>
        <w:tc>
          <w:tcPr>
            <w:tcW w:w="6536" w:type="dxa"/>
            <w:tcBorders>
              <w:top w:val="nil"/>
              <w:left w:val="nil"/>
              <w:bottom w:val="nil"/>
              <w:right w:val="single" w:sz="8" w:space="0" w:color="auto"/>
            </w:tcBorders>
            <w:shd w:val="clear" w:color="auto" w:fill="auto"/>
            <w:vAlign w:val="center"/>
          </w:tcPr>
          <w:p w:rsidR="00C34EF2" w:rsidRPr="00F749E9" w:rsidRDefault="00C34EF2" w:rsidP="00F749E9">
            <w:pPr>
              <w:spacing w:after="0" w:line="240" w:lineRule="auto"/>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Ovocie (v hodnote čerstvého)</w:t>
            </w:r>
          </w:p>
        </w:tc>
        <w:tc>
          <w:tcPr>
            <w:tcW w:w="2551" w:type="dxa"/>
            <w:tcBorders>
              <w:top w:val="nil"/>
              <w:left w:val="nil"/>
              <w:bottom w:val="nil"/>
              <w:right w:val="nil"/>
            </w:tcBorders>
            <w:shd w:val="clear" w:color="auto" w:fill="auto"/>
            <w:vAlign w:val="center"/>
          </w:tcPr>
          <w:p w:rsidR="00C34EF2" w:rsidRPr="00F749E9" w:rsidRDefault="00C34EF2" w:rsidP="00F749E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51,9</w:t>
            </w:r>
          </w:p>
        </w:tc>
      </w:tr>
      <w:tr w:rsidR="00F749E9" w:rsidRPr="00C34EF2" w:rsidTr="0097752F">
        <w:trPr>
          <w:trHeight w:val="315"/>
        </w:trPr>
        <w:tc>
          <w:tcPr>
            <w:tcW w:w="6536" w:type="dxa"/>
            <w:tcBorders>
              <w:top w:val="nil"/>
              <w:left w:val="nil"/>
              <w:bottom w:val="single" w:sz="8" w:space="0" w:color="auto"/>
              <w:right w:val="single" w:sz="8" w:space="0" w:color="auto"/>
            </w:tcBorders>
            <w:shd w:val="clear" w:color="auto" w:fill="F2F2F2" w:themeFill="background1" w:themeFillShade="F2"/>
            <w:vAlign w:val="center"/>
            <w:hideMark/>
          </w:tcPr>
          <w:p w:rsidR="00F749E9" w:rsidRPr="00F749E9" w:rsidRDefault="00C34EF2" w:rsidP="00F749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z toho ovocie mierneho pásma</w:t>
            </w:r>
          </w:p>
        </w:tc>
        <w:tc>
          <w:tcPr>
            <w:tcW w:w="2551" w:type="dxa"/>
            <w:tcBorders>
              <w:top w:val="nil"/>
              <w:left w:val="nil"/>
              <w:bottom w:val="single" w:sz="8" w:space="0" w:color="auto"/>
              <w:right w:val="nil"/>
            </w:tcBorders>
            <w:shd w:val="clear" w:color="auto" w:fill="F2F2F2" w:themeFill="background1" w:themeFillShade="F2"/>
            <w:vAlign w:val="center"/>
            <w:hideMark/>
          </w:tcPr>
          <w:p w:rsidR="00F749E9" w:rsidRPr="00F749E9" w:rsidRDefault="00F749E9" w:rsidP="00F749E9">
            <w:pPr>
              <w:spacing w:after="0" w:line="240" w:lineRule="auto"/>
              <w:jc w:val="right"/>
              <w:rPr>
                <w:rFonts w:ascii="Times New Roman" w:eastAsia="Times New Roman" w:hAnsi="Times New Roman" w:cs="Times New Roman"/>
                <w:color w:val="000000"/>
                <w:sz w:val="20"/>
                <w:szCs w:val="20"/>
              </w:rPr>
            </w:pPr>
            <w:r w:rsidRPr="00F749E9">
              <w:rPr>
                <w:rFonts w:ascii="Times New Roman" w:eastAsia="Times New Roman" w:hAnsi="Times New Roman" w:cs="Times New Roman"/>
                <w:color w:val="000000"/>
                <w:sz w:val="20"/>
                <w:szCs w:val="20"/>
              </w:rPr>
              <w:t>22,8</w:t>
            </w:r>
          </w:p>
        </w:tc>
      </w:tr>
    </w:tbl>
    <w:p w:rsidR="00CD6C83" w:rsidRPr="00CD6C83" w:rsidRDefault="00CD6C83" w:rsidP="00CD6C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ŠÚSR</w:t>
      </w:r>
    </w:p>
    <w:p w:rsidR="00CD6C83" w:rsidRDefault="00CD6C83" w:rsidP="00CD6C83">
      <w:pPr>
        <w:pStyle w:val="Nadpis2"/>
      </w:pPr>
    </w:p>
    <w:p w:rsidR="00CD6C83" w:rsidRPr="00ED3D23" w:rsidRDefault="00CD6C83" w:rsidP="000D68DC">
      <w:pPr>
        <w:pStyle w:val="Nadpis2"/>
        <w:numPr>
          <w:ilvl w:val="1"/>
          <w:numId w:val="8"/>
        </w:numPr>
      </w:pPr>
      <w:bookmarkStart w:id="19" w:name="_Toc359550640"/>
      <w:r w:rsidRPr="00ED3D23">
        <w:t>Živočíšna výroba</w:t>
      </w:r>
      <w:bookmarkEnd w:id="19"/>
    </w:p>
    <w:p w:rsidR="00CD6C83" w:rsidRDefault="00CD6C83" w:rsidP="00CD6C83">
      <w:pPr>
        <w:spacing w:after="0" w:line="240" w:lineRule="auto"/>
        <w:jc w:val="right"/>
        <w:rPr>
          <w:rFonts w:ascii="Times New Roman" w:hAnsi="Times New Roman" w:cs="Times New Roman"/>
          <w:sz w:val="20"/>
          <w:szCs w:val="20"/>
        </w:rPr>
      </w:pPr>
    </w:p>
    <w:p w:rsidR="00352722" w:rsidRPr="00CD6C83" w:rsidRDefault="00352722" w:rsidP="00CD6C83">
      <w:pPr>
        <w:spacing w:after="0" w:line="240" w:lineRule="auto"/>
        <w:jc w:val="both"/>
        <w:rPr>
          <w:rFonts w:ascii="Times New Roman" w:hAnsi="Times New Roman" w:cs="Times New Roman"/>
          <w:sz w:val="24"/>
          <w:szCs w:val="24"/>
        </w:rPr>
      </w:pPr>
      <w:r w:rsidRPr="00352722">
        <w:rPr>
          <w:rFonts w:ascii="Times New Roman" w:hAnsi="Times New Roman" w:cs="Times New Roman"/>
          <w:sz w:val="24"/>
          <w:szCs w:val="24"/>
        </w:rPr>
        <w:t>Živočíšna výroba má nezastupiteľný a </w:t>
      </w:r>
      <w:proofErr w:type="spellStart"/>
      <w:r w:rsidRPr="00352722">
        <w:rPr>
          <w:rFonts w:ascii="Times New Roman" w:hAnsi="Times New Roman" w:cs="Times New Roman"/>
          <w:sz w:val="24"/>
          <w:szCs w:val="24"/>
        </w:rPr>
        <w:t>multiprodukčný</w:t>
      </w:r>
      <w:proofErr w:type="spellEnd"/>
      <w:r w:rsidRPr="00352722">
        <w:rPr>
          <w:rFonts w:ascii="Times New Roman" w:hAnsi="Times New Roman" w:cs="Times New Roman"/>
          <w:sz w:val="24"/>
          <w:szCs w:val="24"/>
        </w:rPr>
        <w:t xml:space="preserve"> význam a postavenie nielen v rámci poľnohospodárskej výroby, ale aj v štruktúre celého národného hospodárstva. Pri relatívne stabilnom domácom dopyte zabezpečuje nielen produkciu surovín a polotovarov pre výrobu finálnych potravín živočíšneho pôvodu určených na výživu obyvateľstva, ale vďaka nepretržitému výrobnému procesu je aj zdrojom príjmov poľnohospodárskych podnikov v priebehu celého roka. </w:t>
      </w:r>
    </w:p>
    <w:p w:rsidR="00352722" w:rsidRDefault="00352722" w:rsidP="00352722">
      <w:pPr>
        <w:spacing w:after="0" w:line="240" w:lineRule="auto"/>
        <w:jc w:val="both"/>
        <w:rPr>
          <w:rFonts w:ascii="Times New Roman" w:hAnsi="Times New Roman" w:cs="Times New Roman"/>
          <w:sz w:val="24"/>
          <w:szCs w:val="24"/>
        </w:rPr>
      </w:pPr>
    </w:p>
    <w:p w:rsidR="00352722" w:rsidRPr="00352722" w:rsidRDefault="00352722" w:rsidP="00352722">
      <w:pPr>
        <w:spacing w:after="0" w:line="240" w:lineRule="auto"/>
        <w:jc w:val="both"/>
        <w:rPr>
          <w:rFonts w:ascii="Times New Roman" w:hAnsi="Times New Roman" w:cs="Times New Roman"/>
          <w:sz w:val="24"/>
          <w:szCs w:val="24"/>
        </w:rPr>
      </w:pPr>
      <w:r w:rsidRPr="00352722">
        <w:rPr>
          <w:rFonts w:ascii="Times New Roman" w:hAnsi="Times New Roman" w:cs="Times New Roman"/>
          <w:sz w:val="24"/>
          <w:szCs w:val="24"/>
        </w:rPr>
        <w:t>Význam živočíšnej výroby spočíva aj v </w:t>
      </w:r>
      <w:proofErr w:type="spellStart"/>
      <w:r w:rsidRPr="00352722">
        <w:rPr>
          <w:rFonts w:ascii="Times New Roman" w:hAnsi="Times New Roman" w:cs="Times New Roman"/>
          <w:sz w:val="24"/>
          <w:szCs w:val="24"/>
        </w:rPr>
        <w:t>mimoprodukčných</w:t>
      </w:r>
      <w:proofErr w:type="spellEnd"/>
      <w:r w:rsidRPr="00352722">
        <w:rPr>
          <w:rFonts w:ascii="Times New Roman" w:hAnsi="Times New Roman" w:cs="Times New Roman"/>
          <w:sz w:val="24"/>
          <w:szCs w:val="24"/>
        </w:rPr>
        <w:t xml:space="preserve"> oblastiach. Významnou mierou prispieva k zamestnanosti a tým k rastu životnej úrovne a kvality života na vidieku. Má nezastupiteľné miesto v rozvoji turizmu a </w:t>
      </w:r>
      <w:proofErr w:type="spellStart"/>
      <w:r w:rsidRPr="00352722">
        <w:rPr>
          <w:rFonts w:ascii="Times New Roman" w:hAnsi="Times New Roman" w:cs="Times New Roman"/>
          <w:sz w:val="24"/>
          <w:szCs w:val="24"/>
        </w:rPr>
        <w:t>agroturizmu</w:t>
      </w:r>
      <w:proofErr w:type="spellEnd"/>
      <w:r w:rsidRPr="00352722">
        <w:rPr>
          <w:rFonts w:ascii="Times New Roman" w:hAnsi="Times New Roman" w:cs="Times New Roman"/>
          <w:sz w:val="24"/>
          <w:szCs w:val="24"/>
        </w:rPr>
        <w:t xml:space="preserve">, ktoré na rozdiel od krajín západnej Európy nemal na Slovensku tradíciu a je vo fáze rozvoja a hľadania si svojej klientely. Významný prínos živočíšnej výroby je aj z hľadiska </w:t>
      </w:r>
      <w:proofErr w:type="spellStart"/>
      <w:r w:rsidRPr="00352722">
        <w:rPr>
          <w:rFonts w:ascii="Times New Roman" w:hAnsi="Times New Roman" w:cs="Times New Roman"/>
          <w:sz w:val="24"/>
          <w:szCs w:val="24"/>
        </w:rPr>
        <w:t>krajinotvorby</w:t>
      </w:r>
      <w:proofErr w:type="spellEnd"/>
      <w:r w:rsidRPr="00352722">
        <w:rPr>
          <w:rFonts w:ascii="Times New Roman" w:hAnsi="Times New Roman" w:cs="Times New Roman"/>
          <w:sz w:val="24"/>
          <w:szCs w:val="24"/>
        </w:rPr>
        <w:t xml:space="preserve">. </w:t>
      </w:r>
    </w:p>
    <w:p w:rsidR="00352722" w:rsidRDefault="00352722" w:rsidP="00A81EBA">
      <w:pPr>
        <w:spacing w:after="0" w:line="240" w:lineRule="auto"/>
        <w:jc w:val="both"/>
        <w:rPr>
          <w:rFonts w:ascii="Times New Roman" w:hAnsi="Times New Roman" w:cs="Times New Roman"/>
          <w:sz w:val="24"/>
          <w:szCs w:val="24"/>
        </w:rPr>
      </w:pPr>
    </w:p>
    <w:p w:rsidR="007E0C02" w:rsidRDefault="007E0C02" w:rsidP="00A81EBA">
      <w:pPr>
        <w:spacing w:after="0" w:line="240" w:lineRule="auto"/>
        <w:jc w:val="both"/>
        <w:rPr>
          <w:rFonts w:ascii="Times New Roman" w:hAnsi="Times New Roman" w:cs="Times New Roman"/>
          <w:sz w:val="24"/>
          <w:szCs w:val="24"/>
        </w:rPr>
      </w:pPr>
      <w:r w:rsidRPr="007E0C02">
        <w:rPr>
          <w:rFonts w:ascii="Times New Roman" w:hAnsi="Times New Roman" w:cs="Times New Roman"/>
          <w:sz w:val="24"/>
          <w:szCs w:val="24"/>
        </w:rPr>
        <w:t xml:space="preserve">Napriek nespornému významu a nezastupiteľnému postaveniu sa živočíšna výroba na Slovensku nachádza v hlbokej recesii. </w:t>
      </w:r>
      <w:r>
        <w:rPr>
          <w:rFonts w:ascii="Times New Roman" w:hAnsi="Times New Roman" w:cs="Times New Roman"/>
          <w:sz w:val="24"/>
          <w:szCs w:val="24"/>
        </w:rPr>
        <w:t>O</w:t>
      </w:r>
      <w:r w:rsidRPr="007E0C02">
        <w:rPr>
          <w:rFonts w:ascii="Times New Roman" w:hAnsi="Times New Roman" w:cs="Times New Roman"/>
          <w:sz w:val="24"/>
          <w:szCs w:val="24"/>
        </w:rPr>
        <w:t xml:space="preserve">d roku 2002 do roku 2010 </w:t>
      </w:r>
      <w:r>
        <w:rPr>
          <w:rFonts w:ascii="Times New Roman" w:hAnsi="Times New Roman" w:cs="Times New Roman"/>
          <w:sz w:val="24"/>
          <w:szCs w:val="24"/>
        </w:rPr>
        <w:t xml:space="preserve">sa </w:t>
      </w:r>
      <w:r w:rsidRPr="007E0C02">
        <w:rPr>
          <w:rFonts w:ascii="Times New Roman" w:hAnsi="Times New Roman" w:cs="Times New Roman"/>
          <w:sz w:val="24"/>
          <w:szCs w:val="24"/>
        </w:rPr>
        <w:t xml:space="preserve">celková hrubá poľnohospodárska produkcia v bežných cenách znížila o 12,7%, čo bolo jednoznačne spôsobené poklesom celkovej hrubej živočíšnej produkcie až o 25,9%. Pokiaľ v bázickom roku 2002 sa hrubá živočíšna produkcia podieľala na celkovej poľnohospodárskej produkcii až 54%-mi, v roku 2010 už len 46%-mi. Rozhodujúcim spôsobom sa na uvedenom poklese </w:t>
      </w:r>
      <w:r w:rsidRPr="007E0C02">
        <w:rPr>
          <w:rFonts w:ascii="Times New Roman" w:hAnsi="Times New Roman" w:cs="Times New Roman"/>
          <w:sz w:val="24"/>
          <w:szCs w:val="24"/>
        </w:rPr>
        <w:lastRenderedPageBreak/>
        <w:t xml:space="preserve">podieľali zvieratá, ktorých produkcia v bežných cenách celkovo klesla až o 38,6%, na čom sa podieľali všetky nosné kategórie hospodárskych zvierat: </w:t>
      </w:r>
      <w:r w:rsidR="009963E6">
        <w:rPr>
          <w:rFonts w:ascii="Times New Roman" w:hAnsi="Times New Roman" w:cs="Times New Roman"/>
          <w:sz w:val="24"/>
          <w:szCs w:val="24"/>
        </w:rPr>
        <w:t xml:space="preserve">predovšetkým </w:t>
      </w:r>
      <w:r w:rsidRPr="007E0C02">
        <w:rPr>
          <w:rFonts w:ascii="Times New Roman" w:hAnsi="Times New Roman" w:cs="Times New Roman"/>
          <w:sz w:val="24"/>
          <w:szCs w:val="24"/>
        </w:rPr>
        <w:t>produ</w:t>
      </w:r>
      <w:r w:rsidR="009963E6">
        <w:rPr>
          <w:rFonts w:ascii="Times New Roman" w:hAnsi="Times New Roman" w:cs="Times New Roman"/>
          <w:sz w:val="24"/>
          <w:szCs w:val="24"/>
        </w:rPr>
        <w:t>kcia hydiny sa znížila o 16,6%</w:t>
      </w:r>
      <w:r w:rsidRPr="007E0C02">
        <w:rPr>
          <w:rFonts w:ascii="Times New Roman" w:hAnsi="Times New Roman" w:cs="Times New Roman"/>
          <w:sz w:val="24"/>
          <w:szCs w:val="24"/>
        </w:rPr>
        <w:t xml:space="preserve">, </w:t>
      </w:r>
      <w:r w:rsidR="009963E6">
        <w:rPr>
          <w:rFonts w:ascii="Times New Roman" w:hAnsi="Times New Roman" w:cs="Times New Roman"/>
          <w:sz w:val="24"/>
          <w:szCs w:val="24"/>
        </w:rPr>
        <w:t>a kritický</w:t>
      </w:r>
      <w:r w:rsidRPr="007E0C02">
        <w:rPr>
          <w:rFonts w:ascii="Times New Roman" w:hAnsi="Times New Roman" w:cs="Times New Roman"/>
          <w:sz w:val="24"/>
          <w:szCs w:val="24"/>
        </w:rPr>
        <w:t xml:space="preserve"> prepad produkcie ošípaných o</w:t>
      </w:r>
      <w:r w:rsidR="0085524C">
        <w:rPr>
          <w:rFonts w:ascii="Times New Roman" w:hAnsi="Times New Roman" w:cs="Times New Roman"/>
          <w:sz w:val="24"/>
          <w:szCs w:val="24"/>
        </w:rPr>
        <w:t xml:space="preserve"> viac ako 63 </w:t>
      </w:r>
      <w:r w:rsidRPr="007E0C02">
        <w:rPr>
          <w:rFonts w:ascii="Times New Roman" w:hAnsi="Times New Roman" w:cs="Times New Roman"/>
          <w:sz w:val="24"/>
          <w:szCs w:val="24"/>
        </w:rPr>
        <w:t xml:space="preserve">%. Dynamika poklesu hrubej produkcie živočíšnych výrobkov v priebehu sledovaného obdobia bola v porovnaní so zvieratami výrazne nižšia (-7,2%). </w:t>
      </w:r>
      <w:r w:rsidR="005D5CE8">
        <w:rPr>
          <w:rFonts w:ascii="Times New Roman" w:hAnsi="Times New Roman" w:cs="Times New Roman"/>
          <w:sz w:val="24"/>
          <w:szCs w:val="24"/>
        </w:rPr>
        <w:t>Jednou z možností čiastočnej stabilizácie resp. zvýšenia stavov hospodárskych zvierat je zachovanie podpory na výkon kontroly úžitkovosti do výšky 70 % nákladov a podpory na vedenie plemennej knihy</w:t>
      </w:r>
      <w:r w:rsidR="00721F7D">
        <w:rPr>
          <w:rFonts w:ascii="Times New Roman" w:hAnsi="Times New Roman" w:cs="Times New Roman"/>
          <w:sz w:val="24"/>
          <w:szCs w:val="24"/>
        </w:rPr>
        <w:t xml:space="preserve">, </w:t>
      </w:r>
      <w:r w:rsidR="00721F7D">
        <w:rPr>
          <w:rFonts w:ascii="Times New Roman" w:hAnsi="Times New Roman" w:cs="Times New Roman"/>
          <w:sz w:val="24"/>
          <w:szCs w:val="24"/>
          <w:highlight w:val="yellow"/>
        </w:rPr>
        <w:t>ako aj podpory ozdravovací</w:t>
      </w:r>
      <w:r w:rsidR="00721F7D" w:rsidRPr="00721F7D">
        <w:rPr>
          <w:rFonts w:ascii="Times New Roman" w:hAnsi="Times New Roman" w:cs="Times New Roman"/>
          <w:sz w:val="24"/>
          <w:szCs w:val="24"/>
          <w:highlight w:val="yellow"/>
        </w:rPr>
        <w:t>ch programov v chovoch hospodárskych zvierat</w:t>
      </w:r>
      <w:r w:rsidR="005D5CE8">
        <w:rPr>
          <w:rFonts w:ascii="Times New Roman" w:hAnsi="Times New Roman" w:cs="Times New Roman"/>
          <w:sz w:val="24"/>
          <w:szCs w:val="24"/>
        </w:rPr>
        <w:t xml:space="preserve">, avšak s ohľadom na možnosti verejných financií. Ďalším systémovým opatrením, ktoré je vhodné zachovať, je podpora chovateľských výstav na regionálnej a národnej úrovni, ktoré slúžia jednak na propagáciu dosiahnutých chovateľských úspechov ako aj na rozvoj vnútroštátneho resp. vnútroregionálneho obchodu s plemenným materiálom a ďalšími produktmi. </w:t>
      </w:r>
    </w:p>
    <w:p w:rsidR="00C34EF2" w:rsidRDefault="00C34EF2" w:rsidP="00A81EBA">
      <w:pPr>
        <w:spacing w:after="0" w:line="240" w:lineRule="auto"/>
        <w:jc w:val="both"/>
        <w:rPr>
          <w:rFonts w:ascii="Times New Roman" w:hAnsi="Times New Roman" w:cs="Times New Roman"/>
          <w:sz w:val="24"/>
          <w:szCs w:val="24"/>
        </w:rPr>
      </w:pPr>
    </w:p>
    <w:p w:rsidR="00352722" w:rsidRPr="00ED3D23" w:rsidRDefault="009629FC" w:rsidP="000D68DC">
      <w:pPr>
        <w:pStyle w:val="Nadpis3"/>
        <w:numPr>
          <w:ilvl w:val="2"/>
          <w:numId w:val="8"/>
        </w:numPr>
      </w:pPr>
      <w:bookmarkStart w:id="20" w:name="_Toc359550641"/>
      <w:r w:rsidRPr="00ED3D23">
        <w:t xml:space="preserve">Hovädzie </w:t>
      </w:r>
      <w:r w:rsidR="00971445" w:rsidRPr="00ED3D23">
        <w:t xml:space="preserve">a teľacie </w:t>
      </w:r>
      <w:r w:rsidRPr="00ED3D23">
        <w:t>mäso</w:t>
      </w:r>
      <w:bookmarkEnd w:id="20"/>
    </w:p>
    <w:p w:rsidR="009629FC" w:rsidRDefault="009629FC" w:rsidP="009629FC">
      <w:pPr>
        <w:spacing w:after="0" w:line="240" w:lineRule="auto"/>
        <w:jc w:val="both"/>
        <w:rPr>
          <w:rFonts w:ascii="Times New Roman" w:hAnsi="Times New Roman" w:cs="Times New Roman"/>
          <w:b/>
          <w:sz w:val="24"/>
          <w:szCs w:val="24"/>
        </w:rPr>
      </w:pPr>
    </w:p>
    <w:p w:rsidR="009629FC" w:rsidRDefault="007C5739" w:rsidP="009629FC">
      <w:pPr>
        <w:spacing w:after="0" w:line="240" w:lineRule="auto"/>
        <w:jc w:val="both"/>
        <w:rPr>
          <w:rFonts w:ascii="Times New Roman" w:hAnsi="Times New Roman" w:cs="Times New Roman"/>
          <w:sz w:val="24"/>
          <w:szCs w:val="24"/>
        </w:rPr>
      </w:pPr>
      <w:r w:rsidRPr="007C5739">
        <w:rPr>
          <w:rFonts w:ascii="Times New Roman" w:hAnsi="Times New Roman" w:cs="Times New Roman"/>
          <w:sz w:val="24"/>
          <w:szCs w:val="24"/>
        </w:rPr>
        <w:t>Domáci dop</w:t>
      </w:r>
      <w:r>
        <w:rPr>
          <w:rFonts w:ascii="Times New Roman" w:hAnsi="Times New Roman" w:cs="Times New Roman"/>
          <w:sz w:val="24"/>
          <w:szCs w:val="24"/>
        </w:rPr>
        <w:t xml:space="preserve">yt po hovädzom </w:t>
      </w:r>
      <w:r w:rsidR="00971445">
        <w:rPr>
          <w:rFonts w:ascii="Times New Roman" w:hAnsi="Times New Roman" w:cs="Times New Roman"/>
          <w:sz w:val="24"/>
          <w:szCs w:val="24"/>
        </w:rPr>
        <w:t xml:space="preserve">a teľacom </w:t>
      </w:r>
      <w:r>
        <w:rPr>
          <w:rFonts w:ascii="Times New Roman" w:hAnsi="Times New Roman" w:cs="Times New Roman"/>
          <w:sz w:val="24"/>
          <w:szCs w:val="24"/>
        </w:rPr>
        <w:t>mäse meriame pomocou štatisticky nameranej spotreby v </w:t>
      </w:r>
      <w:r w:rsidR="005B22C1">
        <w:rPr>
          <w:rFonts w:ascii="Times New Roman" w:hAnsi="Times New Roman" w:cs="Times New Roman"/>
          <w:sz w:val="24"/>
          <w:szCs w:val="24"/>
        </w:rPr>
        <w:t>tonách</w:t>
      </w:r>
      <w:r>
        <w:rPr>
          <w:rFonts w:ascii="Times New Roman" w:hAnsi="Times New Roman" w:cs="Times New Roman"/>
          <w:sz w:val="24"/>
          <w:szCs w:val="24"/>
        </w:rPr>
        <w:t xml:space="preserve"> za rok, čo predstavuje objem </w:t>
      </w:r>
      <w:r w:rsidR="005B22C1">
        <w:rPr>
          <w:rFonts w:ascii="Times New Roman" w:hAnsi="Times New Roman" w:cs="Times New Roman"/>
          <w:sz w:val="24"/>
          <w:szCs w:val="24"/>
        </w:rPr>
        <w:t>18 640 ton</w:t>
      </w:r>
      <w:r>
        <w:rPr>
          <w:rFonts w:ascii="Times New Roman" w:hAnsi="Times New Roman" w:cs="Times New Roman"/>
          <w:sz w:val="24"/>
          <w:szCs w:val="24"/>
        </w:rPr>
        <w:t xml:space="preserve">. Hrubá domáca </w:t>
      </w:r>
      <w:r w:rsidR="005B22C1">
        <w:rPr>
          <w:rFonts w:ascii="Times New Roman" w:hAnsi="Times New Roman" w:cs="Times New Roman"/>
          <w:sz w:val="24"/>
          <w:szCs w:val="24"/>
        </w:rPr>
        <w:t>produkcia predstavuje objem 22 246 ton</w:t>
      </w:r>
      <w:r>
        <w:rPr>
          <w:rFonts w:ascii="Times New Roman" w:hAnsi="Times New Roman" w:cs="Times New Roman"/>
          <w:sz w:val="24"/>
          <w:szCs w:val="24"/>
        </w:rPr>
        <w:t>. Znamená to, že produkcia v SR do</w:t>
      </w:r>
      <w:r w:rsidR="00971445">
        <w:rPr>
          <w:rFonts w:ascii="Times New Roman" w:hAnsi="Times New Roman" w:cs="Times New Roman"/>
          <w:sz w:val="24"/>
          <w:szCs w:val="24"/>
        </w:rPr>
        <w:t xml:space="preserve">sahuje </w:t>
      </w:r>
      <w:r w:rsidR="005B22C1">
        <w:rPr>
          <w:rFonts w:ascii="Times New Roman" w:hAnsi="Times New Roman" w:cs="Times New Roman"/>
          <w:sz w:val="24"/>
          <w:szCs w:val="24"/>
        </w:rPr>
        <w:t>119,35</w:t>
      </w:r>
      <w:r>
        <w:rPr>
          <w:rFonts w:ascii="Times New Roman" w:hAnsi="Times New Roman" w:cs="Times New Roman"/>
          <w:sz w:val="24"/>
          <w:szCs w:val="24"/>
        </w:rPr>
        <w:t xml:space="preserve">% domáceho dopytu, čo znamená, že </w:t>
      </w:r>
      <w:r w:rsidR="00B02771">
        <w:rPr>
          <w:rFonts w:ascii="Times New Roman" w:hAnsi="Times New Roman" w:cs="Times New Roman"/>
          <w:sz w:val="24"/>
          <w:szCs w:val="24"/>
        </w:rPr>
        <w:t>produkčná výkonnosť</w:t>
      </w:r>
      <w:r>
        <w:rPr>
          <w:rFonts w:ascii="Times New Roman" w:hAnsi="Times New Roman" w:cs="Times New Roman"/>
          <w:sz w:val="24"/>
          <w:szCs w:val="24"/>
        </w:rPr>
        <w:t xml:space="preserve"> v tejto komodite je, z hľadiska prvovýroby, výra</w:t>
      </w:r>
      <w:r w:rsidR="003F777D">
        <w:rPr>
          <w:rFonts w:ascii="Times New Roman" w:hAnsi="Times New Roman" w:cs="Times New Roman"/>
          <w:sz w:val="24"/>
          <w:szCs w:val="24"/>
        </w:rPr>
        <w:t xml:space="preserve">zne vyššia ako stanovený cieľ. Vysoká miera </w:t>
      </w:r>
      <w:r w:rsidR="00CD6C83">
        <w:rPr>
          <w:rFonts w:ascii="Times New Roman" w:hAnsi="Times New Roman" w:cs="Times New Roman"/>
          <w:sz w:val="24"/>
          <w:szCs w:val="24"/>
        </w:rPr>
        <w:t>produkčnej výkonnosti</w:t>
      </w:r>
      <w:r w:rsidR="003F777D">
        <w:rPr>
          <w:rFonts w:ascii="Times New Roman" w:hAnsi="Times New Roman" w:cs="Times New Roman"/>
          <w:sz w:val="24"/>
          <w:szCs w:val="24"/>
        </w:rPr>
        <w:t xml:space="preserve"> tejto komodity je v prvovýrobe (t.j. </w:t>
      </w:r>
      <w:r w:rsidR="0085524C">
        <w:rPr>
          <w:rFonts w:ascii="Times New Roman" w:hAnsi="Times New Roman" w:cs="Times New Roman"/>
          <w:sz w:val="24"/>
          <w:szCs w:val="24"/>
        </w:rPr>
        <w:t>produkcia jatočného dobytka</w:t>
      </w:r>
      <w:r w:rsidR="003F777D">
        <w:rPr>
          <w:rFonts w:ascii="Times New Roman" w:hAnsi="Times New Roman" w:cs="Times New Roman"/>
          <w:sz w:val="24"/>
          <w:szCs w:val="24"/>
        </w:rPr>
        <w:t>) dosahovaná aj napriek trvalému a dramatickému poklesu stavov hovädzieho dobytka</w:t>
      </w:r>
      <w:r w:rsidR="00507B81">
        <w:rPr>
          <w:rFonts w:ascii="Times New Roman" w:hAnsi="Times New Roman" w:cs="Times New Roman"/>
          <w:sz w:val="24"/>
          <w:szCs w:val="24"/>
        </w:rPr>
        <w:t xml:space="preserve"> (viď graf č. 1)</w:t>
      </w:r>
      <w:r w:rsidR="003F777D">
        <w:rPr>
          <w:rFonts w:ascii="Times New Roman" w:hAnsi="Times New Roman" w:cs="Times New Roman"/>
          <w:sz w:val="24"/>
          <w:szCs w:val="24"/>
        </w:rPr>
        <w:t>.</w:t>
      </w:r>
    </w:p>
    <w:p w:rsidR="00507B81" w:rsidRDefault="00507B81" w:rsidP="009629FC">
      <w:pPr>
        <w:spacing w:after="0" w:line="240" w:lineRule="auto"/>
        <w:jc w:val="both"/>
        <w:rPr>
          <w:rFonts w:ascii="Times New Roman" w:hAnsi="Times New Roman" w:cs="Times New Roman"/>
          <w:sz w:val="24"/>
          <w:szCs w:val="24"/>
        </w:rPr>
      </w:pPr>
    </w:p>
    <w:p w:rsidR="00507B81" w:rsidRDefault="00C970F8" w:rsidP="009629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7</w:t>
      </w:r>
      <w:r w:rsidR="00507B81">
        <w:rPr>
          <w:rFonts w:ascii="Times New Roman" w:hAnsi="Times New Roman" w:cs="Times New Roman"/>
          <w:sz w:val="20"/>
          <w:szCs w:val="20"/>
        </w:rPr>
        <w:t>: Vývoj početných stavov</w:t>
      </w:r>
      <w:r w:rsidR="00507B81" w:rsidRPr="00507B81">
        <w:rPr>
          <w:rFonts w:ascii="Times New Roman" w:hAnsi="Times New Roman" w:cs="Times New Roman"/>
          <w:sz w:val="20"/>
          <w:szCs w:val="20"/>
        </w:rPr>
        <w:t xml:space="preserve"> hovädzieho dobytka v tis. ks</w:t>
      </w:r>
    </w:p>
    <w:p w:rsidR="00507B81" w:rsidRPr="00507B81" w:rsidRDefault="00217F3F" w:rsidP="009629FC">
      <w:pPr>
        <w:spacing w:after="0" w:line="240" w:lineRule="auto"/>
        <w:jc w:val="both"/>
        <w:rPr>
          <w:rFonts w:ascii="Times New Roman" w:hAnsi="Times New Roman" w:cs="Times New Roman"/>
          <w:sz w:val="20"/>
          <w:szCs w:val="20"/>
        </w:rPr>
      </w:pPr>
      <w:r>
        <w:rPr>
          <w:noProof/>
        </w:rPr>
        <w:drawing>
          <wp:inline distT="0" distB="0" distL="0" distR="0" wp14:anchorId="01867F41" wp14:editId="1FCC9D3C">
            <wp:extent cx="5735116" cy="2589581"/>
            <wp:effectExtent l="0" t="0" r="0" b="0"/>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7B81" w:rsidRDefault="00507B81" w:rsidP="00507B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B515FB" w:rsidRDefault="00B515FB" w:rsidP="009629FC">
      <w:pPr>
        <w:spacing w:after="0" w:line="240" w:lineRule="auto"/>
        <w:jc w:val="both"/>
        <w:rPr>
          <w:rFonts w:ascii="Times New Roman" w:hAnsi="Times New Roman" w:cs="Times New Roman"/>
          <w:sz w:val="24"/>
          <w:szCs w:val="24"/>
        </w:rPr>
      </w:pPr>
    </w:p>
    <w:p w:rsidR="005B22C1" w:rsidRDefault="005B22C1" w:rsidP="00962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objemu hrubej domácej produkcie sa vyvezie cca 68%, čo predstavuje absolútne          15 060</w:t>
      </w:r>
      <w:r w:rsidR="00B02771">
        <w:rPr>
          <w:rFonts w:ascii="Times New Roman" w:hAnsi="Times New Roman" w:cs="Times New Roman"/>
          <w:sz w:val="24"/>
          <w:szCs w:val="24"/>
        </w:rPr>
        <w:t xml:space="preserve"> ton. Z toho vývoz v rámci EÚ</w:t>
      </w:r>
      <w:r>
        <w:rPr>
          <w:rFonts w:ascii="Times New Roman" w:hAnsi="Times New Roman" w:cs="Times New Roman"/>
          <w:sz w:val="24"/>
          <w:szCs w:val="24"/>
        </w:rPr>
        <w:t xml:space="preserve"> tvorí 12 898 ton. Takýto objem vývozu vytvára</w:t>
      </w:r>
      <w:r w:rsidR="006C0DA7">
        <w:rPr>
          <w:rFonts w:ascii="Times New Roman" w:hAnsi="Times New Roman" w:cs="Times New Roman"/>
          <w:sz w:val="24"/>
          <w:szCs w:val="24"/>
        </w:rPr>
        <w:t xml:space="preserve"> v ekonomike SR</w:t>
      </w:r>
      <w:r w:rsidR="00360B21">
        <w:rPr>
          <w:rFonts w:ascii="Times New Roman" w:hAnsi="Times New Roman" w:cs="Times New Roman"/>
          <w:sz w:val="24"/>
          <w:szCs w:val="24"/>
        </w:rPr>
        <w:t xml:space="preserve"> </w:t>
      </w:r>
      <w:r w:rsidR="006C0DA7">
        <w:rPr>
          <w:rFonts w:ascii="Times New Roman" w:hAnsi="Times New Roman" w:cs="Times New Roman"/>
          <w:sz w:val="24"/>
          <w:szCs w:val="24"/>
        </w:rPr>
        <w:t xml:space="preserve">každoročný nedostatok domáceho hovädzieho a teľacieho mäsa, ktorý sa vykrýva dovozom z krajín EÚ. </w:t>
      </w:r>
    </w:p>
    <w:p w:rsidR="00217F3F" w:rsidRDefault="00217F3F" w:rsidP="00193623">
      <w:pPr>
        <w:spacing w:after="0" w:line="240" w:lineRule="auto"/>
        <w:jc w:val="both"/>
        <w:rPr>
          <w:rFonts w:ascii="Times New Roman" w:hAnsi="Times New Roman" w:cs="Times New Roman"/>
          <w:sz w:val="24"/>
          <w:szCs w:val="24"/>
        </w:rPr>
      </w:pPr>
    </w:p>
    <w:p w:rsidR="00817EFC" w:rsidRDefault="00817EFC" w:rsidP="00193623">
      <w:pPr>
        <w:spacing w:after="0" w:line="240" w:lineRule="auto"/>
        <w:jc w:val="both"/>
        <w:rPr>
          <w:rFonts w:ascii="Times New Roman" w:hAnsi="Times New Roman" w:cs="Times New Roman"/>
          <w:sz w:val="24"/>
          <w:szCs w:val="24"/>
        </w:rPr>
      </w:pPr>
    </w:p>
    <w:p w:rsidR="00817EFC" w:rsidRDefault="00817EFC" w:rsidP="00193623">
      <w:pPr>
        <w:spacing w:after="0" w:line="240" w:lineRule="auto"/>
        <w:jc w:val="both"/>
        <w:rPr>
          <w:rFonts w:ascii="Times New Roman" w:hAnsi="Times New Roman" w:cs="Times New Roman"/>
          <w:sz w:val="24"/>
          <w:szCs w:val="24"/>
        </w:rPr>
      </w:pPr>
    </w:p>
    <w:p w:rsidR="00817EFC" w:rsidRDefault="00817EFC" w:rsidP="00193623">
      <w:pPr>
        <w:spacing w:after="0" w:line="240" w:lineRule="auto"/>
        <w:jc w:val="both"/>
        <w:rPr>
          <w:rFonts w:ascii="Times New Roman" w:hAnsi="Times New Roman" w:cs="Times New Roman"/>
          <w:sz w:val="24"/>
          <w:szCs w:val="24"/>
        </w:rPr>
      </w:pPr>
    </w:p>
    <w:p w:rsidR="00817EFC" w:rsidRDefault="00817EFC" w:rsidP="00193623">
      <w:pPr>
        <w:spacing w:after="0" w:line="240" w:lineRule="auto"/>
        <w:jc w:val="both"/>
        <w:rPr>
          <w:rFonts w:ascii="Times New Roman" w:hAnsi="Times New Roman" w:cs="Times New Roman"/>
          <w:sz w:val="24"/>
          <w:szCs w:val="24"/>
        </w:rPr>
      </w:pPr>
    </w:p>
    <w:p w:rsidR="00817EFC" w:rsidRDefault="00817EFC" w:rsidP="00193623">
      <w:pPr>
        <w:spacing w:after="0" w:line="240" w:lineRule="auto"/>
        <w:jc w:val="both"/>
        <w:rPr>
          <w:rFonts w:ascii="Times New Roman" w:hAnsi="Times New Roman" w:cs="Times New Roman"/>
          <w:sz w:val="24"/>
          <w:szCs w:val="24"/>
        </w:rPr>
      </w:pPr>
    </w:p>
    <w:p w:rsidR="00817EFC" w:rsidRDefault="00817EFC" w:rsidP="00193623">
      <w:pPr>
        <w:spacing w:after="0" w:line="240" w:lineRule="auto"/>
        <w:jc w:val="both"/>
        <w:rPr>
          <w:rFonts w:ascii="Times New Roman" w:hAnsi="Times New Roman" w:cs="Times New Roman"/>
          <w:sz w:val="24"/>
          <w:szCs w:val="24"/>
        </w:rPr>
      </w:pPr>
    </w:p>
    <w:p w:rsidR="00193623" w:rsidRPr="00A855A4" w:rsidRDefault="00507B81" w:rsidP="001936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w:t>
      </w:r>
      <w:r w:rsidR="00BE29EE">
        <w:rPr>
          <w:rFonts w:ascii="Times New Roman" w:hAnsi="Times New Roman" w:cs="Times New Roman"/>
          <w:sz w:val="20"/>
          <w:szCs w:val="20"/>
        </w:rPr>
        <w:t>19</w:t>
      </w:r>
      <w:r w:rsidR="00193623" w:rsidRPr="00A855A4">
        <w:rPr>
          <w:rFonts w:ascii="Times New Roman" w:hAnsi="Times New Roman" w:cs="Times New Roman"/>
          <w:sz w:val="20"/>
          <w:szCs w:val="20"/>
        </w:rPr>
        <w:t xml:space="preserve">: </w:t>
      </w:r>
      <w:r w:rsidR="00193623" w:rsidRPr="00193623">
        <w:rPr>
          <w:rFonts w:ascii="Times New Roman" w:hAnsi="Times New Roman" w:cs="Times New Roman"/>
          <w:sz w:val="20"/>
          <w:szCs w:val="20"/>
        </w:rPr>
        <w:t>Bilancia hovädzieho a teľacieho mäsa v tonách jatočnej hmotnosti</w:t>
      </w:r>
    </w:p>
    <w:tbl>
      <w:tblPr>
        <w:tblW w:w="9108" w:type="dxa"/>
        <w:tblInd w:w="55" w:type="dxa"/>
        <w:tblCellMar>
          <w:left w:w="70" w:type="dxa"/>
          <w:right w:w="70" w:type="dxa"/>
        </w:tblCellMar>
        <w:tblLook w:val="04A0" w:firstRow="1" w:lastRow="0" w:firstColumn="1" w:lastColumn="0" w:noHBand="0" w:noVBand="1"/>
      </w:tblPr>
      <w:tblGrid>
        <w:gridCol w:w="3417"/>
        <w:gridCol w:w="1105"/>
        <w:gridCol w:w="853"/>
        <w:gridCol w:w="853"/>
        <w:gridCol w:w="960"/>
        <w:gridCol w:w="960"/>
        <w:gridCol w:w="960"/>
      </w:tblGrid>
      <w:tr w:rsidR="00726C45" w:rsidRPr="00726C45" w:rsidTr="00726C45">
        <w:trPr>
          <w:trHeight w:val="255"/>
        </w:trPr>
        <w:tc>
          <w:tcPr>
            <w:tcW w:w="3417" w:type="dxa"/>
            <w:tcBorders>
              <w:top w:val="single" w:sz="4" w:space="0" w:color="auto"/>
              <w:left w:val="nil"/>
              <w:bottom w:val="single" w:sz="4" w:space="0" w:color="auto"/>
              <w:right w:val="single" w:sz="4" w:space="0" w:color="auto"/>
            </w:tcBorders>
            <w:shd w:val="clear" w:color="000000" w:fill="D9D9D9"/>
            <w:noWrap/>
            <w:vAlign w:val="bottom"/>
            <w:hideMark/>
          </w:tcPr>
          <w:p w:rsidR="00726C45" w:rsidRPr="00726C45" w:rsidRDefault="00726C45" w:rsidP="00726C45">
            <w:pPr>
              <w:spacing w:after="0" w:line="240" w:lineRule="auto"/>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Ukazovateľ</w:t>
            </w:r>
          </w:p>
        </w:tc>
        <w:tc>
          <w:tcPr>
            <w:tcW w:w="1105" w:type="dxa"/>
            <w:tcBorders>
              <w:top w:val="single" w:sz="4" w:space="0" w:color="auto"/>
              <w:left w:val="nil"/>
              <w:bottom w:val="single" w:sz="4" w:space="0" w:color="auto"/>
              <w:right w:val="single" w:sz="4" w:space="0" w:color="auto"/>
            </w:tcBorders>
            <w:shd w:val="clear" w:color="000000" w:fill="D9D9D9"/>
            <w:noWrap/>
            <w:vAlign w:val="bottom"/>
            <w:hideMark/>
          </w:tcPr>
          <w:p w:rsidR="00726C45" w:rsidRPr="00726C45" w:rsidRDefault="00726C45" w:rsidP="00726C45">
            <w:pPr>
              <w:spacing w:after="0" w:line="240" w:lineRule="auto"/>
              <w:jc w:val="right"/>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2002</w:t>
            </w:r>
          </w:p>
        </w:tc>
        <w:tc>
          <w:tcPr>
            <w:tcW w:w="853" w:type="dxa"/>
            <w:tcBorders>
              <w:top w:val="single" w:sz="4" w:space="0" w:color="auto"/>
              <w:left w:val="nil"/>
              <w:bottom w:val="single" w:sz="4" w:space="0" w:color="auto"/>
              <w:right w:val="nil"/>
            </w:tcBorders>
            <w:shd w:val="clear" w:color="000000" w:fill="D9D9D9"/>
            <w:noWrap/>
            <w:vAlign w:val="bottom"/>
            <w:hideMark/>
          </w:tcPr>
          <w:p w:rsidR="00726C45" w:rsidRPr="00726C45" w:rsidRDefault="00726C45" w:rsidP="00726C45">
            <w:pPr>
              <w:spacing w:after="0" w:line="240" w:lineRule="auto"/>
              <w:jc w:val="right"/>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2007</w:t>
            </w:r>
          </w:p>
        </w:tc>
        <w:tc>
          <w:tcPr>
            <w:tcW w:w="853" w:type="dxa"/>
            <w:tcBorders>
              <w:top w:val="single" w:sz="4" w:space="0" w:color="auto"/>
              <w:left w:val="nil"/>
              <w:bottom w:val="single" w:sz="4" w:space="0" w:color="auto"/>
              <w:right w:val="nil"/>
            </w:tcBorders>
            <w:shd w:val="clear" w:color="000000" w:fill="D9D9D9"/>
            <w:noWrap/>
            <w:vAlign w:val="bottom"/>
            <w:hideMark/>
          </w:tcPr>
          <w:p w:rsidR="00726C45" w:rsidRPr="00726C45" w:rsidRDefault="00726C45" w:rsidP="00726C45">
            <w:pPr>
              <w:spacing w:after="0" w:line="240" w:lineRule="auto"/>
              <w:jc w:val="right"/>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2008</w:t>
            </w:r>
          </w:p>
        </w:tc>
        <w:tc>
          <w:tcPr>
            <w:tcW w:w="960" w:type="dxa"/>
            <w:tcBorders>
              <w:top w:val="single" w:sz="4" w:space="0" w:color="auto"/>
              <w:left w:val="nil"/>
              <w:bottom w:val="single" w:sz="4" w:space="0" w:color="auto"/>
              <w:right w:val="nil"/>
            </w:tcBorders>
            <w:shd w:val="clear" w:color="000000" w:fill="D9D9D9"/>
            <w:noWrap/>
            <w:vAlign w:val="bottom"/>
            <w:hideMark/>
          </w:tcPr>
          <w:p w:rsidR="00726C45" w:rsidRPr="00726C45" w:rsidRDefault="00726C45" w:rsidP="00726C45">
            <w:pPr>
              <w:spacing w:after="0" w:line="240" w:lineRule="auto"/>
              <w:jc w:val="right"/>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2009</w:t>
            </w:r>
          </w:p>
        </w:tc>
        <w:tc>
          <w:tcPr>
            <w:tcW w:w="960" w:type="dxa"/>
            <w:tcBorders>
              <w:top w:val="single" w:sz="4" w:space="0" w:color="auto"/>
              <w:left w:val="nil"/>
              <w:bottom w:val="single" w:sz="4" w:space="0" w:color="auto"/>
              <w:right w:val="nil"/>
            </w:tcBorders>
            <w:shd w:val="clear" w:color="000000" w:fill="D9D9D9"/>
            <w:noWrap/>
            <w:vAlign w:val="bottom"/>
            <w:hideMark/>
          </w:tcPr>
          <w:p w:rsidR="00726C45" w:rsidRPr="00726C45" w:rsidRDefault="00726C45" w:rsidP="00726C45">
            <w:pPr>
              <w:spacing w:after="0" w:line="240" w:lineRule="auto"/>
              <w:jc w:val="right"/>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2010</w:t>
            </w:r>
          </w:p>
        </w:tc>
        <w:tc>
          <w:tcPr>
            <w:tcW w:w="960" w:type="dxa"/>
            <w:tcBorders>
              <w:top w:val="single" w:sz="4" w:space="0" w:color="auto"/>
              <w:left w:val="nil"/>
              <w:bottom w:val="single" w:sz="4" w:space="0" w:color="auto"/>
              <w:right w:val="nil"/>
            </w:tcBorders>
            <w:shd w:val="clear" w:color="000000" w:fill="D9D9D9"/>
            <w:noWrap/>
            <w:vAlign w:val="bottom"/>
            <w:hideMark/>
          </w:tcPr>
          <w:p w:rsidR="00726C45" w:rsidRPr="00726C45" w:rsidRDefault="00726C45" w:rsidP="00726C45">
            <w:pPr>
              <w:spacing w:after="0" w:line="240" w:lineRule="auto"/>
              <w:jc w:val="right"/>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2011</w:t>
            </w:r>
          </w:p>
        </w:tc>
      </w:tr>
      <w:tr w:rsidR="00726C45" w:rsidRPr="00726C45" w:rsidTr="00726C45">
        <w:trPr>
          <w:trHeight w:val="255"/>
        </w:trPr>
        <w:tc>
          <w:tcPr>
            <w:tcW w:w="3417" w:type="dxa"/>
            <w:tcBorders>
              <w:top w:val="nil"/>
              <w:left w:val="nil"/>
              <w:bottom w:val="single" w:sz="4" w:space="0" w:color="auto"/>
              <w:right w:val="single" w:sz="4" w:space="0" w:color="auto"/>
            </w:tcBorders>
            <w:shd w:val="clear" w:color="auto" w:fill="auto"/>
            <w:noWrap/>
            <w:vAlign w:val="bottom"/>
            <w:hideMark/>
          </w:tcPr>
          <w:p w:rsidR="00726C45" w:rsidRPr="00726C45" w:rsidRDefault="00726C45" w:rsidP="00726C45">
            <w:pPr>
              <w:spacing w:after="0" w:line="240" w:lineRule="auto"/>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Počiatočné zásoby</w:t>
            </w:r>
          </w:p>
        </w:tc>
        <w:tc>
          <w:tcPr>
            <w:tcW w:w="1105" w:type="dxa"/>
            <w:tcBorders>
              <w:top w:val="nil"/>
              <w:left w:val="nil"/>
              <w:bottom w:val="single" w:sz="4" w:space="0" w:color="auto"/>
              <w:right w:val="single" w:sz="4" w:space="0" w:color="auto"/>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1 135</w:t>
            </w:r>
          </w:p>
        </w:tc>
        <w:tc>
          <w:tcPr>
            <w:tcW w:w="853"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890</w:t>
            </w:r>
          </w:p>
        </w:tc>
        <w:tc>
          <w:tcPr>
            <w:tcW w:w="853"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1 192</w:t>
            </w:r>
          </w:p>
        </w:tc>
        <w:tc>
          <w:tcPr>
            <w:tcW w:w="960"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586</w:t>
            </w:r>
          </w:p>
        </w:tc>
        <w:tc>
          <w:tcPr>
            <w:tcW w:w="960"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319</w:t>
            </w:r>
          </w:p>
        </w:tc>
        <w:tc>
          <w:tcPr>
            <w:tcW w:w="960"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354</w:t>
            </w:r>
          </w:p>
        </w:tc>
      </w:tr>
      <w:tr w:rsidR="00726C45" w:rsidRPr="00726C45" w:rsidTr="00726C45">
        <w:trPr>
          <w:trHeight w:val="255"/>
        </w:trPr>
        <w:tc>
          <w:tcPr>
            <w:tcW w:w="3417" w:type="dxa"/>
            <w:tcBorders>
              <w:top w:val="nil"/>
              <w:left w:val="nil"/>
              <w:bottom w:val="nil"/>
              <w:right w:val="single" w:sz="4" w:space="0" w:color="auto"/>
            </w:tcBorders>
            <w:shd w:val="clear" w:color="auto" w:fill="auto"/>
            <w:noWrap/>
            <w:vAlign w:val="bottom"/>
            <w:hideMark/>
          </w:tcPr>
          <w:p w:rsidR="00726C45" w:rsidRPr="00726C45" w:rsidRDefault="00726C45" w:rsidP="00726C45">
            <w:pPr>
              <w:spacing w:after="0" w:line="240" w:lineRule="auto"/>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Hrubá domáca produkcia</w:t>
            </w:r>
          </w:p>
        </w:tc>
        <w:tc>
          <w:tcPr>
            <w:tcW w:w="1105" w:type="dxa"/>
            <w:tcBorders>
              <w:top w:val="nil"/>
              <w:left w:val="nil"/>
              <w:bottom w:val="nil"/>
              <w:right w:val="single" w:sz="4" w:space="0" w:color="auto"/>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29 899</w:t>
            </w:r>
          </w:p>
        </w:tc>
        <w:tc>
          <w:tcPr>
            <w:tcW w:w="853"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29 945</w:t>
            </w:r>
          </w:p>
        </w:tc>
        <w:tc>
          <w:tcPr>
            <w:tcW w:w="853"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28 571</w:t>
            </w:r>
          </w:p>
        </w:tc>
        <w:tc>
          <w:tcPr>
            <w:tcW w:w="960"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27 999</w:t>
            </w:r>
          </w:p>
        </w:tc>
        <w:tc>
          <w:tcPr>
            <w:tcW w:w="960"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26 319</w:t>
            </w:r>
          </w:p>
        </w:tc>
        <w:tc>
          <w:tcPr>
            <w:tcW w:w="960"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22 246</w:t>
            </w:r>
          </w:p>
        </w:tc>
      </w:tr>
      <w:tr w:rsidR="00726C45" w:rsidRPr="00726C45" w:rsidTr="00726C45">
        <w:trPr>
          <w:trHeight w:val="255"/>
        </w:trPr>
        <w:tc>
          <w:tcPr>
            <w:tcW w:w="3417" w:type="dxa"/>
            <w:tcBorders>
              <w:top w:val="nil"/>
              <w:left w:val="nil"/>
              <w:bottom w:val="nil"/>
              <w:right w:val="single" w:sz="4" w:space="0" w:color="auto"/>
            </w:tcBorders>
            <w:shd w:val="clear" w:color="auto" w:fill="auto"/>
            <w:noWrap/>
            <w:vAlign w:val="bottom"/>
            <w:hideMark/>
          </w:tcPr>
          <w:p w:rsidR="00726C45" w:rsidRPr="00726C45" w:rsidRDefault="00726C45" w:rsidP="00726C45">
            <w:pPr>
              <w:spacing w:after="0" w:line="240" w:lineRule="auto"/>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Dovoz</w:t>
            </w:r>
          </w:p>
        </w:tc>
        <w:tc>
          <w:tcPr>
            <w:tcW w:w="1105" w:type="dxa"/>
            <w:tcBorders>
              <w:top w:val="nil"/>
              <w:left w:val="nil"/>
              <w:bottom w:val="nil"/>
              <w:right w:val="single" w:sz="4" w:space="0" w:color="auto"/>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1 462</w:t>
            </w:r>
          </w:p>
        </w:tc>
        <w:tc>
          <w:tcPr>
            <w:tcW w:w="853"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8 704</w:t>
            </w:r>
          </w:p>
        </w:tc>
        <w:tc>
          <w:tcPr>
            <w:tcW w:w="853"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8 386</w:t>
            </w:r>
          </w:p>
        </w:tc>
        <w:tc>
          <w:tcPr>
            <w:tcW w:w="960"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7 052</w:t>
            </w:r>
          </w:p>
        </w:tc>
        <w:tc>
          <w:tcPr>
            <w:tcW w:w="960"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11 835</w:t>
            </w:r>
          </w:p>
        </w:tc>
        <w:tc>
          <w:tcPr>
            <w:tcW w:w="960"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11 777</w:t>
            </w:r>
          </w:p>
        </w:tc>
      </w:tr>
      <w:tr w:rsidR="00726C45" w:rsidRPr="00726C45" w:rsidTr="00726C45">
        <w:trPr>
          <w:trHeight w:val="255"/>
        </w:trPr>
        <w:tc>
          <w:tcPr>
            <w:tcW w:w="3417" w:type="dxa"/>
            <w:tcBorders>
              <w:top w:val="nil"/>
              <w:left w:val="nil"/>
              <w:bottom w:val="nil"/>
              <w:right w:val="single" w:sz="4" w:space="0" w:color="auto"/>
            </w:tcBorders>
            <w:shd w:val="clear" w:color="auto" w:fill="auto"/>
            <w:noWrap/>
            <w:vAlign w:val="bottom"/>
            <w:hideMark/>
          </w:tcPr>
          <w:p w:rsidR="00726C45" w:rsidRPr="00726C45" w:rsidRDefault="00726C45" w:rsidP="00DA394E">
            <w:pPr>
              <w:spacing w:after="0" w:line="240" w:lineRule="auto"/>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 xml:space="preserve"> - v tom z EÚ</w:t>
            </w:r>
          </w:p>
        </w:tc>
        <w:tc>
          <w:tcPr>
            <w:tcW w:w="1105" w:type="dxa"/>
            <w:tcBorders>
              <w:top w:val="nil"/>
              <w:left w:val="nil"/>
              <w:bottom w:val="nil"/>
              <w:right w:val="single" w:sz="4" w:space="0" w:color="auto"/>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1 462</w:t>
            </w:r>
          </w:p>
        </w:tc>
        <w:tc>
          <w:tcPr>
            <w:tcW w:w="853"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8 523</w:t>
            </w:r>
          </w:p>
        </w:tc>
        <w:tc>
          <w:tcPr>
            <w:tcW w:w="853"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8 163</w:t>
            </w:r>
          </w:p>
        </w:tc>
        <w:tc>
          <w:tcPr>
            <w:tcW w:w="960"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6 989</w:t>
            </w:r>
          </w:p>
        </w:tc>
        <w:tc>
          <w:tcPr>
            <w:tcW w:w="960"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11 553</w:t>
            </w:r>
          </w:p>
        </w:tc>
        <w:tc>
          <w:tcPr>
            <w:tcW w:w="960"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11 587</w:t>
            </w:r>
          </w:p>
        </w:tc>
      </w:tr>
      <w:tr w:rsidR="00726C45" w:rsidRPr="00726C45" w:rsidTr="00726C45">
        <w:trPr>
          <w:trHeight w:val="255"/>
        </w:trPr>
        <w:tc>
          <w:tcPr>
            <w:tcW w:w="3417" w:type="dxa"/>
            <w:tcBorders>
              <w:top w:val="nil"/>
              <w:left w:val="nil"/>
              <w:bottom w:val="single" w:sz="4" w:space="0" w:color="auto"/>
              <w:right w:val="single" w:sz="4" w:space="0" w:color="auto"/>
            </w:tcBorders>
            <w:shd w:val="clear" w:color="auto" w:fill="auto"/>
            <w:noWrap/>
            <w:vAlign w:val="bottom"/>
            <w:hideMark/>
          </w:tcPr>
          <w:p w:rsidR="00726C45" w:rsidRPr="00726C45" w:rsidRDefault="00726C45" w:rsidP="00726C45">
            <w:pPr>
              <w:spacing w:after="0" w:line="240" w:lineRule="auto"/>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Zmena ŠHR</w:t>
            </w:r>
          </w:p>
        </w:tc>
        <w:tc>
          <w:tcPr>
            <w:tcW w:w="1105" w:type="dxa"/>
            <w:tcBorders>
              <w:top w:val="nil"/>
              <w:left w:val="nil"/>
              <w:bottom w:val="single" w:sz="4" w:space="0" w:color="auto"/>
              <w:right w:val="single" w:sz="4" w:space="0" w:color="auto"/>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-1 051</w:t>
            </w:r>
          </w:p>
        </w:tc>
        <w:tc>
          <w:tcPr>
            <w:tcW w:w="853"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-212</w:t>
            </w:r>
          </w:p>
        </w:tc>
        <w:tc>
          <w:tcPr>
            <w:tcW w:w="853"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-83</w:t>
            </w:r>
          </w:p>
        </w:tc>
        <w:tc>
          <w:tcPr>
            <w:tcW w:w="960"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2</w:t>
            </w:r>
          </w:p>
        </w:tc>
      </w:tr>
      <w:tr w:rsidR="00726C45" w:rsidRPr="00726C45" w:rsidTr="00726C45">
        <w:trPr>
          <w:trHeight w:val="255"/>
        </w:trPr>
        <w:tc>
          <w:tcPr>
            <w:tcW w:w="3417" w:type="dxa"/>
            <w:tcBorders>
              <w:top w:val="nil"/>
              <w:left w:val="nil"/>
              <w:bottom w:val="nil"/>
              <w:right w:val="single" w:sz="4" w:space="0" w:color="auto"/>
            </w:tcBorders>
            <w:shd w:val="clear" w:color="000000" w:fill="F2F2F2"/>
            <w:noWrap/>
            <w:vAlign w:val="bottom"/>
            <w:hideMark/>
          </w:tcPr>
          <w:p w:rsidR="00726C45" w:rsidRPr="00726C45" w:rsidRDefault="00726C45" w:rsidP="00726C45">
            <w:pPr>
              <w:spacing w:after="0" w:line="240" w:lineRule="auto"/>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Celková ponuka</w:t>
            </w:r>
          </w:p>
        </w:tc>
        <w:tc>
          <w:tcPr>
            <w:tcW w:w="1105" w:type="dxa"/>
            <w:tcBorders>
              <w:top w:val="nil"/>
              <w:left w:val="nil"/>
              <w:bottom w:val="nil"/>
              <w:right w:val="single" w:sz="4" w:space="0" w:color="auto"/>
            </w:tcBorders>
            <w:shd w:val="clear" w:color="000000" w:fill="F2F2F2"/>
            <w:noWrap/>
            <w:vAlign w:val="bottom"/>
            <w:hideMark/>
          </w:tcPr>
          <w:p w:rsidR="00726C45" w:rsidRPr="00726C45" w:rsidRDefault="00726C45" w:rsidP="00726C45">
            <w:pPr>
              <w:spacing w:after="0" w:line="240" w:lineRule="auto"/>
              <w:jc w:val="right"/>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33 547</w:t>
            </w:r>
          </w:p>
        </w:tc>
        <w:tc>
          <w:tcPr>
            <w:tcW w:w="853" w:type="dxa"/>
            <w:tcBorders>
              <w:top w:val="nil"/>
              <w:left w:val="nil"/>
              <w:bottom w:val="nil"/>
              <w:right w:val="nil"/>
            </w:tcBorders>
            <w:shd w:val="clear" w:color="000000" w:fill="F2F2F2"/>
            <w:noWrap/>
            <w:vAlign w:val="bottom"/>
            <w:hideMark/>
          </w:tcPr>
          <w:p w:rsidR="00726C45" w:rsidRPr="00726C45" w:rsidRDefault="00726C45" w:rsidP="00726C45">
            <w:pPr>
              <w:spacing w:after="0" w:line="240" w:lineRule="auto"/>
              <w:jc w:val="right"/>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39 751</w:t>
            </w:r>
          </w:p>
        </w:tc>
        <w:tc>
          <w:tcPr>
            <w:tcW w:w="853" w:type="dxa"/>
            <w:tcBorders>
              <w:top w:val="nil"/>
              <w:left w:val="nil"/>
              <w:bottom w:val="nil"/>
              <w:right w:val="nil"/>
            </w:tcBorders>
            <w:shd w:val="clear" w:color="000000" w:fill="F2F2F2"/>
            <w:noWrap/>
            <w:vAlign w:val="bottom"/>
            <w:hideMark/>
          </w:tcPr>
          <w:p w:rsidR="00726C45" w:rsidRPr="00726C45" w:rsidRDefault="00726C45" w:rsidP="00726C45">
            <w:pPr>
              <w:spacing w:after="0" w:line="240" w:lineRule="auto"/>
              <w:jc w:val="right"/>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38 153</w:t>
            </w:r>
          </w:p>
        </w:tc>
        <w:tc>
          <w:tcPr>
            <w:tcW w:w="960" w:type="dxa"/>
            <w:tcBorders>
              <w:top w:val="nil"/>
              <w:left w:val="nil"/>
              <w:bottom w:val="nil"/>
              <w:right w:val="nil"/>
            </w:tcBorders>
            <w:shd w:val="clear" w:color="000000" w:fill="F2F2F2"/>
            <w:noWrap/>
            <w:vAlign w:val="bottom"/>
            <w:hideMark/>
          </w:tcPr>
          <w:p w:rsidR="00726C45" w:rsidRPr="00726C45" w:rsidRDefault="00726C45" w:rsidP="00726C45">
            <w:pPr>
              <w:spacing w:after="0" w:line="240" w:lineRule="auto"/>
              <w:jc w:val="right"/>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35 719</w:t>
            </w:r>
          </w:p>
        </w:tc>
        <w:tc>
          <w:tcPr>
            <w:tcW w:w="960" w:type="dxa"/>
            <w:tcBorders>
              <w:top w:val="nil"/>
              <w:left w:val="nil"/>
              <w:bottom w:val="nil"/>
              <w:right w:val="nil"/>
            </w:tcBorders>
            <w:shd w:val="clear" w:color="000000" w:fill="F2F2F2"/>
            <w:noWrap/>
            <w:vAlign w:val="bottom"/>
            <w:hideMark/>
          </w:tcPr>
          <w:p w:rsidR="00726C45" w:rsidRPr="00726C45" w:rsidRDefault="00726C45" w:rsidP="00726C45">
            <w:pPr>
              <w:spacing w:after="0" w:line="240" w:lineRule="auto"/>
              <w:jc w:val="right"/>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38 473</w:t>
            </w:r>
          </w:p>
        </w:tc>
        <w:tc>
          <w:tcPr>
            <w:tcW w:w="960" w:type="dxa"/>
            <w:tcBorders>
              <w:top w:val="nil"/>
              <w:left w:val="nil"/>
              <w:bottom w:val="nil"/>
              <w:right w:val="nil"/>
            </w:tcBorders>
            <w:shd w:val="clear" w:color="000000" w:fill="F2F2F2"/>
            <w:noWrap/>
            <w:vAlign w:val="bottom"/>
            <w:hideMark/>
          </w:tcPr>
          <w:p w:rsidR="00726C45" w:rsidRPr="00726C45" w:rsidRDefault="00726C45" w:rsidP="00726C45">
            <w:pPr>
              <w:spacing w:after="0" w:line="240" w:lineRule="auto"/>
              <w:jc w:val="right"/>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34 376</w:t>
            </w:r>
          </w:p>
        </w:tc>
      </w:tr>
      <w:tr w:rsidR="00726C45" w:rsidRPr="00726C45" w:rsidTr="00726C45">
        <w:trPr>
          <w:trHeight w:val="255"/>
        </w:trPr>
        <w:tc>
          <w:tcPr>
            <w:tcW w:w="3417" w:type="dxa"/>
            <w:tcBorders>
              <w:top w:val="nil"/>
              <w:left w:val="nil"/>
              <w:bottom w:val="nil"/>
              <w:right w:val="single" w:sz="4" w:space="0" w:color="auto"/>
            </w:tcBorders>
            <w:shd w:val="clear" w:color="auto" w:fill="auto"/>
            <w:noWrap/>
            <w:vAlign w:val="bottom"/>
            <w:hideMark/>
          </w:tcPr>
          <w:p w:rsidR="00726C45" w:rsidRPr="00726C45" w:rsidRDefault="00726C45" w:rsidP="00726C45">
            <w:pPr>
              <w:spacing w:after="0" w:line="240" w:lineRule="auto"/>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Vývoz</w:t>
            </w:r>
          </w:p>
        </w:tc>
        <w:tc>
          <w:tcPr>
            <w:tcW w:w="1105" w:type="dxa"/>
            <w:tcBorders>
              <w:top w:val="nil"/>
              <w:left w:val="nil"/>
              <w:bottom w:val="nil"/>
              <w:right w:val="single" w:sz="4" w:space="0" w:color="auto"/>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7 272</w:t>
            </w:r>
          </w:p>
        </w:tc>
        <w:tc>
          <w:tcPr>
            <w:tcW w:w="853"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11 799</w:t>
            </w:r>
          </w:p>
        </w:tc>
        <w:tc>
          <w:tcPr>
            <w:tcW w:w="853"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13 170</w:t>
            </w:r>
          </w:p>
        </w:tc>
        <w:tc>
          <w:tcPr>
            <w:tcW w:w="960"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13 884</w:t>
            </w:r>
          </w:p>
        </w:tc>
        <w:tc>
          <w:tcPr>
            <w:tcW w:w="960"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15 919</w:t>
            </w:r>
          </w:p>
        </w:tc>
        <w:tc>
          <w:tcPr>
            <w:tcW w:w="960"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15 060</w:t>
            </w:r>
          </w:p>
        </w:tc>
      </w:tr>
      <w:tr w:rsidR="00726C45" w:rsidRPr="00726C45" w:rsidTr="00726C45">
        <w:trPr>
          <w:trHeight w:val="255"/>
        </w:trPr>
        <w:tc>
          <w:tcPr>
            <w:tcW w:w="3417" w:type="dxa"/>
            <w:tcBorders>
              <w:top w:val="nil"/>
              <w:left w:val="nil"/>
              <w:bottom w:val="nil"/>
              <w:right w:val="single" w:sz="4" w:space="0" w:color="auto"/>
            </w:tcBorders>
            <w:shd w:val="clear" w:color="auto" w:fill="auto"/>
            <w:noWrap/>
            <w:vAlign w:val="bottom"/>
            <w:hideMark/>
          </w:tcPr>
          <w:p w:rsidR="00726C45" w:rsidRPr="00726C45" w:rsidRDefault="00C04609" w:rsidP="00DA394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v tom do</w:t>
            </w:r>
            <w:r w:rsidR="00726C45" w:rsidRPr="00726C45">
              <w:rPr>
                <w:rFonts w:ascii="Times New Roman" w:eastAsia="Times New Roman" w:hAnsi="Times New Roman" w:cs="Times New Roman"/>
                <w:color w:val="000000"/>
                <w:sz w:val="20"/>
                <w:szCs w:val="20"/>
              </w:rPr>
              <w:t xml:space="preserve"> EÚ</w:t>
            </w:r>
          </w:p>
        </w:tc>
        <w:tc>
          <w:tcPr>
            <w:tcW w:w="1105" w:type="dxa"/>
            <w:tcBorders>
              <w:top w:val="nil"/>
              <w:left w:val="nil"/>
              <w:bottom w:val="nil"/>
              <w:right w:val="single" w:sz="4" w:space="0" w:color="auto"/>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6 414</w:t>
            </w:r>
          </w:p>
        </w:tc>
        <w:tc>
          <w:tcPr>
            <w:tcW w:w="853"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11 092</w:t>
            </w:r>
          </w:p>
        </w:tc>
        <w:tc>
          <w:tcPr>
            <w:tcW w:w="853"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11 967</w:t>
            </w:r>
          </w:p>
        </w:tc>
        <w:tc>
          <w:tcPr>
            <w:tcW w:w="960"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11 640</w:t>
            </w:r>
          </w:p>
        </w:tc>
        <w:tc>
          <w:tcPr>
            <w:tcW w:w="960"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14 005</w:t>
            </w:r>
          </w:p>
        </w:tc>
        <w:tc>
          <w:tcPr>
            <w:tcW w:w="960"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12 898</w:t>
            </w:r>
          </w:p>
        </w:tc>
      </w:tr>
      <w:tr w:rsidR="00726C45" w:rsidRPr="00726C45" w:rsidTr="00726C45">
        <w:trPr>
          <w:trHeight w:val="255"/>
        </w:trPr>
        <w:tc>
          <w:tcPr>
            <w:tcW w:w="3417" w:type="dxa"/>
            <w:tcBorders>
              <w:top w:val="nil"/>
              <w:left w:val="nil"/>
              <w:bottom w:val="nil"/>
              <w:right w:val="single" w:sz="4" w:space="0" w:color="auto"/>
            </w:tcBorders>
            <w:shd w:val="clear" w:color="auto" w:fill="auto"/>
            <w:noWrap/>
            <w:vAlign w:val="bottom"/>
            <w:hideMark/>
          </w:tcPr>
          <w:p w:rsidR="00726C45" w:rsidRPr="00726C45" w:rsidRDefault="00726C45" w:rsidP="00726C45">
            <w:pPr>
              <w:spacing w:after="0" w:line="240" w:lineRule="auto"/>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Spotreba mäsa</w:t>
            </w:r>
          </w:p>
        </w:tc>
        <w:tc>
          <w:tcPr>
            <w:tcW w:w="1105" w:type="dxa"/>
            <w:tcBorders>
              <w:top w:val="nil"/>
              <w:left w:val="nil"/>
              <w:bottom w:val="nil"/>
              <w:right w:val="single" w:sz="4" w:space="0" w:color="auto"/>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23 347</w:t>
            </w:r>
          </w:p>
        </w:tc>
        <w:tc>
          <w:tcPr>
            <w:tcW w:w="853"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25 924</w:t>
            </w:r>
          </w:p>
        </w:tc>
        <w:tc>
          <w:tcPr>
            <w:tcW w:w="853"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23 803</w:t>
            </w:r>
          </w:p>
        </w:tc>
        <w:tc>
          <w:tcPr>
            <w:tcW w:w="960"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21 006</w:t>
            </w:r>
          </w:p>
        </w:tc>
        <w:tc>
          <w:tcPr>
            <w:tcW w:w="960"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21 813</w:t>
            </w:r>
          </w:p>
        </w:tc>
        <w:tc>
          <w:tcPr>
            <w:tcW w:w="960" w:type="dxa"/>
            <w:tcBorders>
              <w:top w:val="nil"/>
              <w:left w:val="nil"/>
              <w:bottom w:val="nil"/>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18 640</w:t>
            </w:r>
          </w:p>
        </w:tc>
      </w:tr>
      <w:tr w:rsidR="00726C45" w:rsidRPr="00726C45" w:rsidTr="00726C45">
        <w:trPr>
          <w:trHeight w:val="255"/>
        </w:trPr>
        <w:tc>
          <w:tcPr>
            <w:tcW w:w="3417" w:type="dxa"/>
            <w:tcBorders>
              <w:top w:val="nil"/>
              <w:left w:val="nil"/>
              <w:bottom w:val="single" w:sz="4" w:space="0" w:color="auto"/>
              <w:right w:val="single" w:sz="4" w:space="0" w:color="auto"/>
            </w:tcBorders>
            <w:shd w:val="clear" w:color="auto" w:fill="auto"/>
            <w:noWrap/>
            <w:vAlign w:val="bottom"/>
            <w:hideMark/>
          </w:tcPr>
          <w:p w:rsidR="00726C45" w:rsidRPr="00726C45" w:rsidRDefault="00726C45" w:rsidP="00726C45">
            <w:pPr>
              <w:spacing w:after="0" w:line="240" w:lineRule="auto"/>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Ostatné úbytky</w:t>
            </w:r>
          </w:p>
        </w:tc>
        <w:tc>
          <w:tcPr>
            <w:tcW w:w="1105" w:type="dxa"/>
            <w:tcBorders>
              <w:top w:val="nil"/>
              <w:left w:val="nil"/>
              <w:bottom w:val="single" w:sz="4" w:space="0" w:color="auto"/>
              <w:right w:val="single" w:sz="4" w:space="0" w:color="auto"/>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1 525</w:t>
            </w:r>
          </w:p>
        </w:tc>
        <w:tc>
          <w:tcPr>
            <w:tcW w:w="853"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835</w:t>
            </w:r>
          </w:p>
        </w:tc>
        <w:tc>
          <w:tcPr>
            <w:tcW w:w="853"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594</w:t>
            </w:r>
          </w:p>
        </w:tc>
        <w:tc>
          <w:tcPr>
            <w:tcW w:w="960"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511</w:t>
            </w:r>
          </w:p>
        </w:tc>
        <w:tc>
          <w:tcPr>
            <w:tcW w:w="960"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387</w:t>
            </w:r>
          </w:p>
        </w:tc>
        <w:tc>
          <w:tcPr>
            <w:tcW w:w="960"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364</w:t>
            </w:r>
          </w:p>
        </w:tc>
      </w:tr>
      <w:tr w:rsidR="00726C45" w:rsidRPr="00726C45" w:rsidTr="00726C45">
        <w:trPr>
          <w:trHeight w:val="255"/>
        </w:trPr>
        <w:tc>
          <w:tcPr>
            <w:tcW w:w="3417" w:type="dxa"/>
            <w:tcBorders>
              <w:top w:val="nil"/>
              <w:left w:val="nil"/>
              <w:bottom w:val="nil"/>
              <w:right w:val="single" w:sz="4" w:space="0" w:color="auto"/>
            </w:tcBorders>
            <w:shd w:val="clear" w:color="000000" w:fill="F2F2F2"/>
            <w:noWrap/>
            <w:vAlign w:val="bottom"/>
            <w:hideMark/>
          </w:tcPr>
          <w:p w:rsidR="00726C45" w:rsidRPr="00726C45" w:rsidRDefault="00726C45" w:rsidP="00726C45">
            <w:pPr>
              <w:spacing w:after="0" w:line="240" w:lineRule="auto"/>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Celkové použitie</w:t>
            </w:r>
          </w:p>
        </w:tc>
        <w:tc>
          <w:tcPr>
            <w:tcW w:w="1105" w:type="dxa"/>
            <w:tcBorders>
              <w:top w:val="nil"/>
              <w:left w:val="nil"/>
              <w:bottom w:val="nil"/>
              <w:right w:val="single" w:sz="4" w:space="0" w:color="auto"/>
            </w:tcBorders>
            <w:shd w:val="clear" w:color="000000" w:fill="F2F2F2"/>
            <w:noWrap/>
            <w:vAlign w:val="bottom"/>
            <w:hideMark/>
          </w:tcPr>
          <w:p w:rsidR="00726C45" w:rsidRPr="00726C45" w:rsidRDefault="00726C45" w:rsidP="00726C45">
            <w:pPr>
              <w:spacing w:after="0" w:line="240" w:lineRule="auto"/>
              <w:jc w:val="right"/>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32 144</w:t>
            </w:r>
          </w:p>
        </w:tc>
        <w:tc>
          <w:tcPr>
            <w:tcW w:w="853" w:type="dxa"/>
            <w:tcBorders>
              <w:top w:val="nil"/>
              <w:left w:val="nil"/>
              <w:bottom w:val="nil"/>
              <w:right w:val="nil"/>
            </w:tcBorders>
            <w:shd w:val="clear" w:color="000000" w:fill="F2F2F2"/>
            <w:noWrap/>
            <w:vAlign w:val="bottom"/>
            <w:hideMark/>
          </w:tcPr>
          <w:p w:rsidR="00726C45" w:rsidRPr="00726C45" w:rsidRDefault="00726C45" w:rsidP="00726C45">
            <w:pPr>
              <w:spacing w:after="0" w:line="240" w:lineRule="auto"/>
              <w:jc w:val="right"/>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38 559</w:t>
            </w:r>
          </w:p>
        </w:tc>
        <w:tc>
          <w:tcPr>
            <w:tcW w:w="853" w:type="dxa"/>
            <w:tcBorders>
              <w:top w:val="nil"/>
              <w:left w:val="nil"/>
              <w:bottom w:val="nil"/>
              <w:right w:val="nil"/>
            </w:tcBorders>
            <w:shd w:val="clear" w:color="000000" w:fill="F2F2F2"/>
            <w:noWrap/>
            <w:vAlign w:val="bottom"/>
            <w:hideMark/>
          </w:tcPr>
          <w:p w:rsidR="00726C45" w:rsidRPr="00726C45" w:rsidRDefault="00726C45" w:rsidP="00726C45">
            <w:pPr>
              <w:spacing w:after="0" w:line="240" w:lineRule="auto"/>
              <w:jc w:val="right"/>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37 567</w:t>
            </w:r>
          </w:p>
        </w:tc>
        <w:tc>
          <w:tcPr>
            <w:tcW w:w="960" w:type="dxa"/>
            <w:tcBorders>
              <w:top w:val="nil"/>
              <w:left w:val="nil"/>
              <w:bottom w:val="nil"/>
              <w:right w:val="nil"/>
            </w:tcBorders>
            <w:shd w:val="clear" w:color="000000" w:fill="F2F2F2"/>
            <w:noWrap/>
            <w:vAlign w:val="bottom"/>
            <w:hideMark/>
          </w:tcPr>
          <w:p w:rsidR="00726C45" w:rsidRPr="00726C45" w:rsidRDefault="00726C45" w:rsidP="00726C45">
            <w:pPr>
              <w:spacing w:after="0" w:line="240" w:lineRule="auto"/>
              <w:jc w:val="right"/>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35 400</w:t>
            </w:r>
          </w:p>
        </w:tc>
        <w:tc>
          <w:tcPr>
            <w:tcW w:w="960" w:type="dxa"/>
            <w:tcBorders>
              <w:top w:val="nil"/>
              <w:left w:val="nil"/>
              <w:bottom w:val="nil"/>
              <w:right w:val="nil"/>
            </w:tcBorders>
            <w:shd w:val="clear" w:color="000000" w:fill="F2F2F2"/>
            <w:noWrap/>
            <w:vAlign w:val="bottom"/>
            <w:hideMark/>
          </w:tcPr>
          <w:p w:rsidR="00726C45" w:rsidRPr="00726C45" w:rsidRDefault="00726C45" w:rsidP="00726C45">
            <w:pPr>
              <w:spacing w:after="0" w:line="240" w:lineRule="auto"/>
              <w:jc w:val="right"/>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38 119</w:t>
            </w:r>
          </w:p>
        </w:tc>
        <w:tc>
          <w:tcPr>
            <w:tcW w:w="960" w:type="dxa"/>
            <w:tcBorders>
              <w:top w:val="nil"/>
              <w:left w:val="nil"/>
              <w:bottom w:val="nil"/>
              <w:right w:val="nil"/>
            </w:tcBorders>
            <w:shd w:val="clear" w:color="000000" w:fill="F2F2F2"/>
            <w:noWrap/>
            <w:vAlign w:val="bottom"/>
            <w:hideMark/>
          </w:tcPr>
          <w:p w:rsidR="00726C45" w:rsidRPr="00726C45" w:rsidRDefault="00726C45" w:rsidP="00726C45">
            <w:pPr>
              <w:spacing w:after="0" w:line="240" w:lineRule="auto"/>
              <w:jc w:val="right"/>
              <w:rPr>
                <w:rFonts w:ascii="Times New Roman" w:eastAsia="Times New Roman" w:hAnsi="Times New Roman" w:cs="Times New Roman"/>
                <w:b/>
                <w:bCs/>
                <w:color w:val="000000"/>
                <w:sz w:val="20"/>
                <w:szCs w:val="20"/>
              </w:rPr>
            </w:pPr>
            <w:r w:rsidRPr="00726C45">
              <w:rPr>
                <w:rFonts w:ascii="Times New Roman" w:eastAsia="Times New Roman" w:hAnsi="Times New Roman" w:cs="Times New Roman"/>
                <w:b/>
                <w:bCs/>
                <w:color w:val="000000"/>
                <w:sz w:val="20"/>
                <w:szCs w:val="20"/>
              </w:rPr>
              <w:t>34 064</w:t>
            </w:r>
          </w:p>
        </w:tc>
      </w:tr>
      <w:tr w:rsidR="00726C45" w:rsidRPr="00726C45" w:rsidTr="00726C45">
        <w:trPr>
          <w:trHeight w:val="255"/>
        </w:trPr>
        <w:tc>
          <w:tcPr>
            <w:tcW w:w="3417" w:type="dxa"/>
            <w:tcBorders>
              <w:top w:val="nil"/>
              <w:left w:val="nil"/>
              <w:bottom w:val="single" w:sz="4" w:space="0" w:color="auto"/>
              <w:right w:val="single" w:sz="4" w:space="0" w:color="auto"/>
            </w:tcBorders>
            <w:shd w:val="clear" w:color="auto" w:fill="auto"/>
            <w:noWrap/>
            <w:vAlign w:val="bottom"/>
            <w:hideMark/>
          </w:tcPr>
          <w:p w:rsidR="00726C45" w:rsidRPr="00726C45" w:rsidRDefault="00726C45" w:rsidP="00726C45">
            <w:pPr>
              <w:spacing w:after="0" w:line="240" w:lineRule="auto"/>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Konečné zásoby</w:t>
            </w:r>
          </w:p>
        </w:tc>
        <w:tc>
          <w:tcPr>
            <w:tcW w:w="1105" w:type="dxa"/>
            <w:tcBorders>
              <w:top w:val="nil"/>
              <w:left w:val="nil"/>
              <w:bottom w:val="single" w:sz="4" w:space="0" w:color="auto"/>
              <w:right w:val="single" w:sz="4" w:space="0" w:color="auto"/>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1 403</w:t>
            </w:r>
          </w:p>
        </w:tc>
        <w:tc>
          <w:tcPr>
            <w:tcW w:w="853"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1 192</w:t>
            </w:r>
          </w:p>
        </w:tc>
        <w:tc>
          <w:tcPr>
            <w:tcW w:w="853"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586</w:t>
            </w:r>
          </w:p>
        </w:tc>
        <w:tc>
          <w:tcPr>
            <w:tcW w:w="960"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319</w:t>
            </w:r>
          </w:p>
        </w:tc>
        <w:tc>
          <w:tcPr>
            <w:tcW w:w="960"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354</w:t>
            </w:r>
          </w:p>
        </w:tc>
        <w:tc>
          <w:tcPr>
            <w:tcW w:w="960" w:type="dxa"/>
            <w:tcBorders>
              <w:top w:val="nil"/>
              <w:left w:val="nil"/>
              <w:bottom w:val="single" w:sz="4" w:space="0" w:color="auto"/>
              <w:right w:val="nil"/>
            </w:tcBorders>
            <w:shd w:val="clear" w:color="auto" w:fill="auto"/>
            <w:noWrap/>
            <w:vAlign w:val="bottom"/>
            <w:hideMark/>
          </w:tcPr>
          <w:p w:rsidR="00726C45" w:rsidRPr="00726C45" w:rsidRDefault="00726C45" w:rsidP="00726C45">
            <w:pPr>
              <w:spacing w:after="0" w:line="240" w:lineRule="auto"/>
              <w:jc w:val="right"/>
              <w:rPr>
                <w:rFonts w:ascii="Times New Roman" w:eastAsia="Times New Roman" w:hAnsi="Times New Roman" w:cs="Times New Roman"/>
                <w:color w:val="000000"/>
                <w:sz w:val="20"/>
                <w:szCs w:val="20"/>
              </w:rPr>
            </w:pPr>
            <w:r w:rsidRPr="00726C45">
              <w:rPr>
                <w:rFonts w:ascii="Times New Roman" w:eastAsia="Times New Roman" w:hAnsi="Times New Roman" w:cs="Times New Roman"/>
                <w:color w:val="000000"/>
                <w:sz w:val="20"/>
                <w:szCs w:val="20"/>
              </w:rPr>
              <w:t>311</w:t>
            </w:r>
          </w:p>
        </w:tc>
      </w:tr>
    </w:tbl>
    <w:p w:rsidR="00193623" w:rsidRDefault="00193623" w:rsidP="0019362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C97E6C" w:rsidRDefault="00C97E6C" w:rsidP="00740295">
      <w:pPr>
        <w:spacing w:after="0" w:line="240" w:lineRule="auto"/>
        <w:jc w:val="both"/>
        <w:rPr>
          <w:rFonts w:ascii="Times New Roman" w:hAnsi="Times New Roman" w:cs="Times New Roman"/>
          <w:sz w:val="24"/>
          <w:szCs w:val="24"/>
        </w:rPr>
      </w:pPr>
    </w:p>
    <w:p w:rsidR="00740295" w:rsidRDefault="00506F3E" w:rsidP="00740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hľadiska prvovýroby teda nastá</w:t>
      </w:r>
      <w:r w:rsidR="00740295">
        <w:rPr>
          <w:rFonts w:ascii="Times New Roman" w:hAnsi="Times New Roman" w:cs="Times New Roman"/>
          <w:sz w:val="24"/>
          <w:szCs w:val="24"/>
        </w:rPr>
        <w:t xml:space="preserve">va problematický moment v tom, že </w:t>
      </w:r>
      <w:r w:rsidRPr="00740295">
        <w:rPr>
          <w:rFonts w:ascii="Times New Roman" w:hAnsi="Times New Roman" w:cs="Times New Roman"/>
          <w:sz w:val="24"/>
          <w:szCs w:val="24"/>
        </w:rPr>
        <w:t xml:space="preserve">slovenskí </w:t>
      </w:r>
      <w:r w:rsidR="00740295" w:rsidRPr="00740295">
        <w:rPr>
          <w:rFonts w:ascii="Times New Roman" w:hAnsi="Times New Roman" w:cs="Times New Roman"/>
          <w:sz w:val="24"/>
          <w:szCs w:val="24"/>
        </w:rPr>
        <w:t>prvovýrobcovia</w:t>
      </w:r>
      <w:r w:rsidRPr="00740295">
        <w:rPr>
          <w:rFonts w:ascii="Times New Roman" w:hAnsi="Times New Roman" w:cs="Times New Roman"/>
          <w:sz w:val="24"/>
          <w:szCs w:val="24"/>
        </w:rPr>
        <w:t xml:space="preserve"> vyvážajú produkciu hovädzieho a teľacieho mäsa aj napriek tomu, že až </w:t>
      </w:r>
      <w:r w:rsidR="00740295" w:rsidRPr="00740295">
        <w:rPr>
          <w:rFonts w:ascii="Times New Roman" w:hAnsi="Times New Roman" w:cs="Times New Roman"/>
          <w:sz w:val="24"/>
          <w:szCs w:val="24"/>
        </w:rPr>
        <w:t>78 % súčasného vývozu</w:t>
      </w:r>
      <w:r w:rsidR="006175B9">
        <w:rPr>
          <w:rFonts w:ascii="Times New Roman" w:hAnsi="Times New Roman" w:cs="Times New Roman"/>
          <w:sz w:val="24"/>
          <w:szCs w:val="24"/>
        </w:rPr>
        <w:t>, t.j. 100 %-</w:t>
      </w:r>
      <w:proofErr w:type="spellStart"/>
      <w:r w:rsidR="006175B9">
        <w:rPr>
          <w:rFonts w:ascii="Times New Roman" w:hAnsi="Times New Roman" w:cs="Times New Roman"/>
          <w:sz w:val="24"/>
          <w:szCs w:val="24"/>
        </w:rPr>
        <w:t>ný</w:t>
      </w:r>
      <w:proofErr w:type="spellEnd"/>
      <w:r w:rsidR="006175B9">
        <w:rPr>
          <w:rFonts w:ascii="Times New Roman" w:hAnsi="Times New Roman" w:cs="Times New Roman"/>
          <w:sz w:val="24"/>
          <w:szCs w:val="24"/>
        </w:rPr>
        <w:t xml:space="preserve"> objem súčasného dovozu,</w:t>
      </w:r>
      <w:r w:rsidR="00360B21">
        <w:rPr>
          <w:rFonts w:ascii="Times New Roman" w:hAnsi="Times New Roman" w:cs="Times New Roman"/>
          <w:sz w:val="24"/>
          <w:szCs w:val="24"/>
        </w:rPr>
        <w:t xml:space="preserve"> </w:t>
      </w:r>
      <w:r w:rsidR="00B02771">
        <w:rPr>
          <w:rFonts w:ascii="Times New Roman" w:hAnsi="Times New Roman" w:cs="Times New Roman"/>
          <w:sz w:val="24"/>
          <w:szCs w:val="24"/>
        </w:rPr>
        <w:t>je možné</w:t>
      </w:r>
      <w:r w:rsidR="00360B21">
        <w:rPr>
          <w:rFonts w:ascii="Times New Roman" w:hAnsi="Times New Roman" w:cs="Times New Roman"/>
          <w:sz w:val="24"/>
          <w:szCs w:val="24"/>
        </w:rPr>
        <w:t xml:space="preserve"> </w:t>
      </w:r>
      <w:r w:rsidR="00B02771">
        <w:rPr>
          <w:rFonts w:ascii="Times New Roman" w:hAnsi="Times New Roman" w:cs="Times New Roman"/>
          <w:sz w:val="24"/>
          <w:szCs w:val="24"/>
        </w:rPr>
        <w:t>spracovať</w:t>
      </w:r>
      <w:r w:rsidR="00740295" w:rsidRPr="00740295">
        <w:rPr>
          <w:rFonts w:ascii="Times New Roman" w:hAnsi="Times New Roman" w:cs="Times New Roman"/>
          <w:sz w:val="24"/>
          <w:szCs w:val="24"/>
        </w:rPr>
        <w:t xml:space="preserve"> na Slovensku</w:t>
      </w:r>
      <w:r w:rsidR="00740295">
        <w:rPr>
          <w:rFonts w:ascii="Times New Roman" w:hAnsi="Times New Roman" w:cs="Times New Roman"/>
          <w:sz w:val="24"/>
          <w:szCs w:val="24"/>
        </w:rPr>
        <w:t xml:space="preserve">. </w:t>
      </w:r>
    </w:p>
    <w:p w:rsidR="00740295" w:rsidRDefault="00740295" w:rsidP="00740295">
      <w:pPr>
        <w:spacing w:after="0" w:line="240" w:lineRule="auto"/>
        <w:jc w:val="both"/>
        <w:rPr>
          <w:rFonts w:ascii="Times New Roman" w:hAnsi="Times New Roman" w:cs="Times New Roman"/>
          <w:sz w:val="24"/>
          <w:szCs w:val="24"/>
        </w:rPr>
      </w:pPr>
    </w:p>
    <w:p w:rsidR="00506F3E" w:rsidRDefault="00740295" w:rsidP="00740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Úzkym miestom, z hľadiska tejto komodity, je </w:t>
      </w:r>
      <w:r w:rsidR="007010A5">
        <w:rPr>
          <w:rFonts w:ascii="Times New Roman" w:hAnsi="Times New Roman" w:cs="Times New Roman"/>
          <w:sz w:val="24"/>
          <w:szCs w:val="24"/>
        </w:rPr>
        <w:t xml:space="preserve">teda </w:t>
      </w:r>
      <w:r>
        <w:rPr>
          <w:rFonts w:ascii="Times New Roman" w:hAnsi="Times New Roman" w:cs="Times New Roman"/>
          <w:sz w:val="24"/>
          <w:szCs w:val="24"/>
        </w:rPr>
        <w:t>spracova</w:t>
      </w:r>
      <w:r w:rsidR="006D47B7">
        <w:rPr>
          <w:rFonts w:ascii="Times New Roman" w:hAnsi="Times New Roman" w:cs="Times New Roman"/>
          <w:sz w:val="24"/>
          <w:szCs w:val="24"/>
        </w:rPr>
        <w:t xml:space="preserve">teľský priemysel, ktorý súčasnú produkciu </w:t>
      </w:r>
      <w:r w:rsidR="00060C8C">
        <w:rPr>
          <w:rFonts w:ascii="Times New Roman" w:hAnsi="Times New Roman" w:cs="Times New Roman"/>
          <w:sz w:val="24"/>
          <w:szCs w:val="24"/>
        </w:rPr>
        <w:t>jato</w:t>
      </w:r>
      <w:r w:rsidR="007010A5">
        <w:rPr>
          <w:rFonts w:ascii="Times New Roman" w:hAnsi="Times New Roman" w:cs="Times New Roman"/>
          <w:sz w:val="24"/>
          <w:szCs w:val="24"/>
        </w:rPr>
        <w:t>čného hovädzieho dobytka</w:t>
      </w:r>
      <w:r w:rsidR="00360B21">
        <w:rPr>
          <w:rFonts w:ascii="Times New Roman" w:hAnsi="Times New Roman" w:cs="Times New Roman"/>
          <w:sz w:val="24"/>
          <w:szCs w:val="24"/>
        </w:rPr>
        <w:t xml:space="preserve"> </w:t>
      </w:r>
      <w:r w:rsidR="00F46C8F">
        <w:rPr>
          <w:rFonts w:ascii="Times New Roman" w:hAnsi="Times New Roman" w:cs="Times New Roman"/>
          <w:sz w:val="24"/>
          <w:szCs w:val="24"/>
        </w:rPr>
        <w:t>nespracúva na potenciálnej úrovni</w:t>
      </w:r>
      <w:r w:rsidR="006D47B7">
        <w:rPr>
          <w:rFonts w:ascii="Times New Roman" w:hAnsi="Times New Roman" w:cs="Times New Roman"/>
          <w:sz w:val="24"/>
          <w:szCs w:val="24"/>
        </w:rPr>
        <w:t xml:space="preserve"> a tak je p</w:t>
      </w:r>
      <w:r w:rsidRPr="00740295">
        <w:rPr>
          <w:rFonts w:ascii="Times New Roman" w:hAnsi="Times New Roman" w:cs="Times New Roman"/>
          <w:sz w:val="24"/>
          <w:szCs w:val="24"/>
        </w:rPr>
        <w:t xml:space="preserve">aradoxom zahranično-obchodnej výmeny, že naša nadprodukcia je exportovaná v živom stave jatočného </w:t>
      </w:r>
      <w:r w:rsidR="006D47B7">
        <w:rPr>
          <w:rFonts w:ascii="Times New Roman" w:hAnsi="Times New Roman" w:cs="Times New Roman"/>
          <w:sz w:val="24"/>
          <w:szCs w:val="24"/>
        </w:rPr>
        <w:t>hovädzieho</w:t>
      </w:r>
      <w:r w:rsidRPr="00740295">
        <w:rPr>
          <w:rFonts w:ascii="Times New Roman" w:hAnsi="Times New Roman" w:cs="Times New Roman"/>
          <w:sz w:val="24"/>
          <w:szCs w:val="24"/>
        </w:rPr>
        <w:t>, pričom SR je dlhodobo čistým importérom hovädzieho mäsa.</w:t>
      </w:r>
    </w:p>
    <w:p w:rsidR="006D47B7" w:rsidRDefault="006D47B7" w:rsidP="00740295">
      <w:pPr>
        <w:spacing w:after="0" w:line="240" w:lineRule="auto"/>
        <w:jc w:val="both"/>
        <w:rPr>
          <w:rFonts w:ascii="Times New Roman" w:hAnsi="Times New Roman" w:cs="Times New Roman"/>
          <w:sz w:val="24"/>
          <w:szCs w:val="24"/>
        </w:rPr>
      </w:pPr>
    </w:p>
    <w:p w:rsidR="00963FF0" w:rsidRPr="00C55549" w:rsidRDefault="00C970F8" w:rsidP="007402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8</w:t>
      </w:r>
      <w:r w:rsidR="00963FF0" w:rsidRPr="00C55549">
        <w:rPr>
          <w:rFonts w:ascii="Times New Roman" w:hAnsi="Times New Roman" w:cs="Times New Roman"/>
          <w:sz w:val="20"/>
          <w:szCs w:val="20"/>
        </w:rPr>
        <w:t>:</w:t>
      </w:r>
      <w:r w:rsidR="00BD3B11">
        <w:rPr>
          <w:rFonts w:ascii="Times New Roman" w:hAnsi="Times New Roman" w:cs="Times New Roman"/>
          <w:sz w:val="20"/>
          <w:szCs w:val="20"/>
        </w:rPr>
        <w:t xml:space="preserve"> Vývoj zabití jatočného hovädzieho dobytka a hrubej domácej produkcie hovädzieho dobytka</w:t>
      </w:r>
    </w:p>
    <w:p w:rsidR="006D47B7" w:rsidRPr="00740295" w:rsidRDefault="00217F3F" w:rsidP="00963FF0">
      <w:pPr>
        <w:spacing w:after="0" w:line="240" w:lineRule="auto"/>
        <w:jc w:val="right"/>
        <w:rPr>
          <w:rFonts w:ascii="Times New Roman" w:hAnsi="Times New Roman" w:cs="Times New Roman"/>
          <w:sz w:val="24"/>
          <w:szCs w:val="24"/>
        </w:rPr>
      </w:pPr>
      <w:r>
        <w:rPr>
          <w:noProof/>
        </w:rPr>
        <w:drawing>
          <wp:inline distT="0" distB="0" distL="0" distR="0" wp14:anchorId="07B8B841" wp14:editId="54815018">
            <wp:extent cx="5723906" cy="2612571"/>
            <wp:effectExtent l="0" t="0" r="0" b="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63FF0" w:rsidRDefault="00963FF0" w:rsidP="00963FF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B515FB" w:rsidRDefault="00B515FB" w:rsidP="00740295">
      <w:pPr>
        <w:spacing w:after="0" w:line="240" w:lineRule="auto"/>
        <w:jc w:val="both"/>
        <w:rPr>
          <w:rFonts w:ascii="Times New Roman" w:hAnsi="Times New Roman" w:cs="Times New Roman"/>
          <w:sz w:val="24"/>
          <w:szCs w:val="24"/>
        </w:rPr>
      </w:pPr>
    </w:p>
    <w:p w:rsidR="00C55549" w:rsidRDefault="00963FF0" w:rsidP="00740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Spracovateľský priemysel teda za súčasného stavu </w:t>
      </w:r>
      <w:r w:rsidR="00F46C8F">
        <w:rPr>
          <w:rFonts w:ascii="Times New Roman" w:hAnsi="Times New Roman" w:cs="Times New Roman"/>
          <w:sz w:val="24"/>
          <w:szCs w:val="24"/>
        </w:rPr>
        <w:t>spracúva</w:t>
      </w:r>
      <w:r>
        <w:rPr>
          <w:rFonts w:ascii="Times New Roman" w:hAnsi="Times New Roman" w:cs="Times New Roman"/>
          <w:sz w:val="24"/>
          <w:szCs w:val="24"/>
        </w:rPr>
        <w:t xml:space="preserve"> len 50,7 % hrubej domácej produkcie</w:t>
      </w:r>
      <w:r w:rsidR="00C55549">
        <w:rPr>
          <w:rFonts w:ascii="Times New Roman" w:hAnsi="Times New Roman" w:cs="Times New Roman"/>
          <w:sz w:val="24"/>
          <w:szCs w:val="24"/>
        </w:rPr>
        <w:t xml:space="preserve"> jatočného hovädzieho dobytka, čo tvorí len </w:t>
      </w:r>
      <w:r>
        <w:rPr>
          <w:rFonts w:ascii="Times New Roman" w:hAnsi="Times New Roman" w:cs="Times New Roman"/>
          <w:sz w:val="24"/>
          <w:szCs w:val="24"/>
        </w:rPr>
        <w:t>60,5 %</w:t>
      </w:r>
      <w:r w:rsidR="00C55549">
        <w:rPr>
          <w:rFonts w:ascii="Times New Roman" w:hAnsi="Times New Roman" w:cs="Times New Roman"/>
          <w:sz w:val="24"/>
          <w:szCs w:val="24"/>
        </w:rPr>
        <w:t xml:space="preserve"> spotreby hovädzieho a teľacieho mäsa na Slovensku. </w:t>
      </w:r>
      <w:r w:rsidR="003F777D">
        <w:rPr>
          <w:rFonts w:ascii="Times New Roman" w:hAnsi="Times New Roman" w:cs="Times New Roman"/>
          <w:sz w:val="24"/>
          <w:szCs w:val="24"/>
        </w:rPr>
        <w:t>Pokles stavov hovädzieho dobytka teda reflektuje</w:t>
      </w:r>
      <w:r w:rsidR="00507B81">
        <w:rPr>
          <w:rFonts w:ascii="Times New Roman" w:hAnsi="Times New Roman" w:cs="Times New Roman"/>
          <w:sz w:val="24"/>
          <w:szCs w:val="24"/>
        </w:rPr>
        <w:t xml:space="preserve"> dva momenty. Prvým je spomínaná produkčná výkonnosť slovenského spracovateľského priemyslu a druhým je pokles zahraničného dopytu.</w:t>
      </w:r>
    </w:p>
    <w:p w:rsidR="00715911" w:rsidRDefault="00715911" w:rsidP="00740295">
      <w:pPr>
        <w:spacing w:after="0" w:line="240" w:lineRule="auto"/>
        <w:jc w:val="both"/>
        <w:rPr>
          <w:rFonts w:ascii="Times New Roman" w:hAnsi="Times New Roman" w:cs="Times New Roman"/>
          <w:sz w:val="24"/>
          <w:szCs w:val="24"/>
        </w:rPr>
      </w:pPr>
    </w:p>
    <w:p w:rsidR="00715911" w:rsidRDefault="00715911" w:rsidP="007159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Ak uvažujeme s maximálnou kapacitou spracovateľského priemyslu na Slovensku v objeme 59 533 t jatočného hovädzieho dobytka za rok, potenciál slovenského spracovateľského priemyslu sa využíva len na 18,95 %.</w:t>
      </w:r>
    </w:p>
    <w:p w:rsidR="00C55549" w:rsidRDefault="00C55549" w:rsidP="00740295">
      <w:pPr>
        <w:spacing w:after="0" w:line="240" w:lineRule="auto"/>
        <w:jc w:val="both"/>
        <w:rPr>
          <w:rFonts w:ascii="Times New Roman" w:hAnsi="Times New Roman" w:cs="Times New Roman"/>
          <w:sz w:val="24"/>
          <w:szCs w:val="24"/>
        </w:rPr>
      </w:pPr>
    </w:p>
    <w:p w:rsidR="00AC1493" w:rsidRDefault="00C55549" w:rsidP="00740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zabezpečenie </w:t>
      </w:r>
      <w:r w:rsidR="00CD6C83">
        <w:rPr>
          <w:rFonts w:ascii="Times New Roman" w:hAnsi="Times New Roman" w:cs="Times New Roman"/>
          <w:sz w:val="24"/>
          <w:szCs w:val="24"/>
        </w:rPr>
        <w:t>požadovanej produkčnej výkonnosti</w:t>
      </w:r>
      <w:r w:rsidR="005146D2">
        <w:rPr>
          <w:rFonts w:ascii="Times New Roman" w:hAnsi="Times New Roman" w:cs="Times New Roman"/>
          <w:sz w:val="24"/>
          <w:szCs w:val="24"/>
        </w:rPr>
        <w:t xml:space="preserve"> </w:t>
      </w:r>
      <w:r w:rsidR="00CD6C83">
        <w:rPr>
          <w:rFonts w:ascii="Times New Roman" w:hAnsi="Times New Roman" w:cs="Times New Roman"/>
          <w:sz w:val="24"/>
          <w:szCs w:val="24"/>
        </w:rPr>
        <w:t>v spracovaní prvovýrobnej produkcie je potrebné</w:t>
      </w:r>
      <w:r w:rsidR="005146D2">
        <w:rPr>
          <w:rFonts w:ascii="Times New Roman" w:hAnsi="Times New Roman" w:cs="Times New Roman"/>
          <w:sz w:val="24"/>
          <w:szCs w:val="24"/>
        </w:rPr>
        <w:t xml:space="preserve"> </w:t>
      </w:r>
      <w:r w:rsidR="007E0C02">
        <w:rPr>
          <w:rFonts w:ascii="Times New Roman" w:hAnsi="Times New Roman" w:cs="Times New Roman"/>
          <w:sz w:val="24"/>
          <w:szCs w:val="24"/>
        </w:rPr>
        <w:t>výkonnosť</w:t>
      </w:r>
      <w:r>
        <w:rPr>
          <w:rFonts w:ascii="Times New Roman" w:hAnsi="Times New Roman" w:cs="Times New Roman"/>
          <w:sz w:val="24"/>
          <w:szCs w:val="24"/>
        </w:rPr>
        <w:t xml:space="preserve"> spracovateľského priemyslu na Slovensku zvýšiť minimálne o 19,5 % súčasnej úrovne čistej produkcie hovädzieho a teľacieho mäsa, čo v absolútnom vyjadrení predstavuje zvýšenie </w:t>
      </w:r>
      <w:r w:rsidR="007E0C02">
        <w:rPr>
          <w:rFonts w:ascii="Times New Roman" w:hAnsi="Times New Roman" w:cs="Times New Roman"/>
          <w:sz w:val="24"/>
          <w:szCs w:val="24"/>
        </w:rPr>
        <w:t>výkonnosti</w:t>
      </w:r>
      <w:r w:rsidR="00C04609">
        <w:rPr>
          <w:rFonts w:ascii="Times New Roman" w:hAnsi="Times New Roman" w:cs="Times New Roman"/>
          <w:sz w:val="24"/>
          <w:szCs w:val="24"/>
        </w:rPr>
        <w:t xml:space="preserve"> v</w:t>
      </w:r>
      <w:r w:rsidR="005146D2">
        <w:rPr>
          <w:rFonts w:ascii="Times New Roman" w:hAnsi="Times New Roman" w:cs="Times New Roman"/>
          <w:sz w:val="24"/>
          <w:szCs w:val="24"/>
        </w:rPr>
        <w:t> </w:t>
      </w:r>
      <w:r w:rsidR="00C04609">
        <w:rPr>
          <w:rFonts w:ascii="Times New Roman" w:hAnsi="Times New Roman" w:cs="Times New Roman"/>
          <w:sz w:val="24"/>
          <w:szCs w:val="24"/>
        </w:rPr>
        <w:t>objeme</w:t>
      </w:r>
      <w:r w:rsidR="005146D2">
        <w:rPr>
          <w:rFonts w:ascii="Times New Roman" w:hAnsi="Times New Roman" w:cs="Times New Roman"/>
          <w:sz w:val="24"/>
          <w:szCs w:val="24"/>
        </w:rPr>
        <w:t xml:space="preserve"> </w:t>
      </w:r>
      <w:r w:rsidR="00C04609">
        <w:rPr>
          <w:rFonts w:ascii="Times New Roman" w:hAnsi="Times New Roman" w:cs="Times New Roman"/>
          <w:sz w:val="24"/>
          <w:szCs w:val="24"/>
        </w:rPr>
        <w:t>3 630</w:t>
      </w:r>
      <w:r>
        <w:rPr>
          <w:rFonts w:ascii="Times New Roman" w:hAnsi="Times New Roman" w:cs="Times New Roman"/>
          <w:sz w:val="24"/>
          <w:szCs w:val="24"/>
        </w:rPr>
        <w:t xml:space="preserve"> ton v jatočnej hmotnosti.</w:t>
      </w:r>
      <w:r w:rsidR="00715911">
        <w:rPr>
          <w:rFonts w:ascii="Times New Roman" w:hAnsi="Times New Roman" w:cs="Times New Roman"/>
          <w:sz w:val="24"/>
          <w:szCs w:val="24"/>
        </w:rPr>
        <w:t xml:space="preserve"> Takéto zvýšenie produkčnej výkonnosti spracovateľského priemyslu by znamenalo využitie jeho potenciálnej kapacity na úrovni </w:t>
      </w:r>
      <w:r w:rsidR="00C04609">
        <w:rPr>
          <w:rFonts w:ascii="Times New Roman" w:hAnsi="Times New Roman" w:cs="Times New Roman"/>
          <w:sz w:val="24"/>
          <w:szCs w:val="24"/>
        </w:rPr>
        <w:t>25</w:t>
      </w:r>
      <w:r w:rsidR="00715911">
        <w:rPr>
          <w:rFonts w:ascii="Times New Roman" w:hAnsi="Times New Roman" w:cs="Times New Roman"/>
          <w:sz w:val="24"/>
          <w:szCs w:val="24"/>
        </w:rPr>
        <w:t xml:space="preserve"> %.</w:t>
      </w:r>
    </w:p>
    <w:p w:rsidR="00AC1493" w:rsidRDefault="00AC1493" w:rsidP="00740295">
      <w:pPr>
        <w:spacing w:after="0" w:line="240" w:lineRule="auto"/>
        <w:jc w:val="both"/>
        <w:rPr>
          <w:rFonts w:ascii="Times New Roman" w:hAnsi="Times New Roman" w:cs="Times New Roman"/>
          <w:sz w:val="24"/>
          <w:szCs w:val="24"/>
        </w:rPr>
      </w:pPr>
    </w:p>
    <w:p w:rsidR="009339F6" w:rsidRDefault="00104CDF" w:rsidP="00740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Vyššie uvedené zvýšenie produkčnej </w:t>
      </w:r>
      <w:r w:rsidR="00F46C8F">
        <w:rPr>
          <w:rFonts w:ascii="Times New Roman" w:hAnsi="Times New Roman" w:cs="Times New Roman"/>
          <w:sz w:val="24"/>
          <w:szCs w:val="24"/>
        </w:rPr>
        <w:t>výkonnosti</w:t>
      </w:r>
      <w:r>
        <w:rPr>
          <w:rFonts w:ascii="Times New Roman" w:hAnsi="Times New Roman" w:cs="Times New Roman"/>
          <w:sz w:val="24"/>
          <w:szCs w:val="24"/>
        </w:rPr>
        <w:t xml:space="preserve"> spracovateľského priemyslu je potrebné </w:t>
      </w:r>
      <w:r w:rsidR="009339F6">
        <w:rPr>
          <w:rFonts w:ascii="Times New Roman" w:hAnsi="Times New Roman" w:cs="Times New Roman"/>
          <w:sz w:val="24"/>
          <w:szCs w:val="24"/>
        </w:rPr>
        <w:t xml:space="preserve">z hľadiska súčasnej úrovne spotreby hovädzieho a teľacieho mäsa, berúc do úvahy spotrebiteľské preferencie. </w:t>
      </w:r>
    </w:p>
    <w:p w:rsidR="00A93F56" w:rsidRDefault="00A93F56" w:rsidP="00740295">
      <w:pPr>
        <w:spacing w:after="0" w:line="240" w:lineRule="auto"/>
        <w:jc w:val="both"/>
        <w:rPr>
          <w:rFonts w:ascii="Times New Roman" w:hAnsi="Times New Roman" w:cs="Times New Roman"/>
          <w:sz w:val="24"/>
          <w:szCs w:val="24"/>
        </w:rPr>
      </w:pPr>
    </w:p>
    <w:p w:rsidR="00BE29EE" w:rsidRDefault="00BE29EE" w:rsidP="00740295">
      <w:pPr>
        <w:spacing w:after="0" w:line="240" w:lineRule="auto"/>
        <w:jc w:val="both"/>
        <w:rPr>
          <w:rFonts w:ascii="Times New Roman" w:hAnsi="Times New Roman" w:cs="Times New Roman"/>
          <w:sz w:val="24"/>
          <w:szCs w:val="24"/>
        </w:rPr>
      </w:pPr>
    </w:p>
    <w:p w:rsidR="009D3296" w:rsidRPr="009D3296" w:rsidRDefault="009D3296" w:rsidP="007402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Graf č. </w:t>
      </w:r>
      <w:r w:rsidR="00C970F8">
        <w:rPr>
          <w:rFonts w:ascii="Times New Roman" w:hAnsi="Times New Roman" w:cs="Times New Roman"/>
          <w:sz w:val="20"/>
          <w:szCs w:val="20"/>
        </w:rPr>
        <w:t>9</w:t>
      </w:r>
      <w:r w:rsidRPr="00C55549">
        <w:rPr>
          <w:rFonts w:ascii="Times New Roman" w:hAnsi="Times New Roman" w:cs="Times New Roman"/>
          <w:sz w:val="20"/>
          <w:szCs w:val="20"/>
        </w:rPr>
        <w:t>:</w:t>
      </w:r>
      <w:r w:rsidRPr="009D3296">
        <w:rPr>
          <w:rFonts w:ascii="Times New Roman" w:hAnsi="Times New Roman" w:cs="Times New Roman"/>
          <w:sz w:val="20"/>
          <w:szCs w:val="20"/>
        </w:rPr>
        <w:t xml:space="preserve">Ročná spotreba hovädzieho a teľacieho mäsa v SR (vrátane vnútorností) v </w:t>
      </w:r>
      <w:r w:rsidR="00451A71">
        <w:rPr>
          <w:rFonts w:ascii="Times New Roman" w:hAnsi="Times New Roman" w:cs="Times New Roman"/>
          <w:sz w:val="20"/>
          <w:szCs w:val="20"/>
        </w:rPr>
        <w:t>kg</w:t>
      </w:r>
      <w:r w:rsidRPr="009D3296">
        <w:rPr>
          <w:rFonts w:ascii="Times New Roman" w:hAnsi="Times New Roman" w:cs="Times New Roman"/>
          <w:sz w:val="20"/>
          <w:szCs w:val="20"/>
        </w:rPr>
        <w:t xml:space="preserve"> na obyvateľa</w:t>
      </w:r>
    </w:p>
    <w:p w:rsidR="009339F6" w:rsidRDefault="00217F3F" w:rsidP="00740295">
      <w:pPr>
        <w:spacing w:after="0" w:line="240" w:lineRule="auto"/>
        <w:jc w:val="both"/>
        <w:rPr>
          <w:rFonts w:ascii="Times New Roman" w:hAnsi="Times New Roman" w:cs="Times New Roman"/>
          <w:sz w:val="24"/>
          <w:szCs w:val="24"/>
        </w:rPr>
      </w:pPr>
      <w:r>
        <w:rPr>
          <w:noProof/>
        </w:rPr>
        <w:drawing>
          <wp:inline distT="0" distB="0" distL="0" distR="0" wp14:anchorId="7FEA8CEF" wp14:editId="642D97BF">
            <wp:extent cx="5742432" cy="18288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D3296" w:rsidRDefault="009D3296" w:rsidP="009D329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715911" w:rsidRDefault="00715911" w:rsidP="00740295">
      <w:pPr>
        <w:spacing w:after="0" w:line="240" w:lineRule="auto"/>
        <w:jc w:val="both"/>
        <w:rPr>
          <w:rFonts w:ascii="Times New Roman" w:hAnsi="Times New Roman" w:cs="Times New Roman"/>
          <w:sz w:val="24"/>
          <w:szCs w:val="24"/>
        </w:rPr>
      </w:pPr>
    </w:p>
    <w:p w:rsidR="00963FF0" w:rsidRDefault="009339F6" w:rsidP="00740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Vzhľadom na to, že spotrebiteľské preferencie v hovädzom a teľacom mäse </w:t>
      </w:r>
      <w:r w:rsidR="009D3296">
        <w:rPr>
          <w:rFonts w:ascii="Times New Roman" w:hAnsi="Times New Roman" w:cs="Times New Roman"/>
          <w:sz w:val="24"/>
          <w:szCs w:val="24"/>
        </w:rPr>
        <w:t>v strednom období</w:t>
      </w:r>
      <w:r w:rsidR="003748EC">
        <w:rPr>
          <w:rFonts w:ascii="Times New Roman" w:hAnsi="Times New Roman" w:cs="Times New Roman"/>
          <w:sz w:val="24"/>
          <w:szCs w:val="24"/>
        </w:rPr>
        <w:t xml:space="preserve"> </w:t>
      </w:r>
      <w:r w:rsidR="009D3296">
        <w:rPr>
          <w:rFonts w:ascii="Times New Roman" w:hAnsi="Times New Roman" w:cs="Times New Roman"/>
          <w:sz w:val="24"/>
          <w:szCs w:val="24"/>
        </w:rPr>
        <w:t xml:space="preserve">kontinuálne </w:t>
      </w:r>
      <w:r>
        <w:rPr>
          <w:rFonts w:ascii="Times New Roman" w:hAnsi="Times New Roman" w:cs="Times New Roman"/>
          <w:sz w:val="24"/>
          <w:szCs w:val="24"/>
        </w:rPr>
        <w:t xml:space="preserve">klesajú, a to v priamej korelácii s vysokými spotrebiteľskými cenami, je nutné zastabilizovať súčasnú spotrebu </w:t>
      </w:r>
      <w:r w:rsidR="00B74700">
        <w:rPr>
          <w:rFonts w:ascii="Times New Roman" w:hAnsi="Times New Roman" w:cs="Times New Roman"/>
          <w:sz w:val="24"/>
          <w:szCs w:val="24"/>
        </w:rPr>
        <w:t xml:space="preserve">hovädzieho a teľacieho mäsa na obyvateľa </w:t>
      </w:r>
      <w:r>
        <w:rPr>
          <w:rFonts w:ascii="Times New Roman" w:hAnsi="Times New Roman" w:cs="Times New Roman"/>
          <w:sz w:val="24"/>
          <w:szCs w:val="24"/>
        </w:rPr>
        <w:t xml:space="preserve">minimálne na úrovni roku 2011. </w:t>
      </w:r>
    </w:p>
    <w:p w:rsidR="009D3296" w:rsidRDefault="009D3296" w:rsidP="00740295">
      <w:pPr>
        <w:spacing w:after="0" w:line="240" w:lineRule="auto"/>
        <w:jc w:val="both"/>
        <w:rPr>
          <w:rFonts w:ascii="Times New Roman" w:hAnsi="Times New Roman" w:cs="Times New Roman"/>
          <w:sz w:val="24"/>
          <w:szCs w:val="24"/>
        </w:rPr>
      </w:pPr>
    </w:p>
    <w:p w:rsidR="0000713C" w:rsidRPr="0000713C" w:rsidRDefault="00C970F8" w:rsidP="007402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10</w:t>
      </w:r>
      <w:r w:rsidR="0000713C" w:rsidRPr="00C55549">
        <w:rPr>
          <w:rFonts w:ascii="Times New Roman" w:hAnsi="Times New Roman" w:cs="Times New Roman"/>
          <w:sz w:val="20"/>
          <w:szCs w:val="20"/>
        </w:rPr>
        <w:t>:</w:t>
      </w:r>
      <w:r w:rsidR="0000713C">
        <w:rPr>
          <w:rFonts w:ascii="Times New Roman" w:hAnsi="Times New Roman" w:cs="Times New Roman"/>
          <w:sz w:val="20"/>
          <w:szCs w:val="20"/>
        </w:rPr>
        <w:t xml:space="preserve"> Vývoj cien na jednotlivých stupňoch potravinovej vertikály (cena v EUR</w:t>
      </w:r>
      <w:r w:rsidR="0000713C" w:rsidRPr="0000713C">
        <w:rPr>
          <w:rFonts w:ascii="Times New Roman" w:hAnsi="Times New Roman" w:cs="Times New Roman"/>
          <w:sz w:val="20"/>
          <w:szCs w:val="20"/>
        </w:rPr>
        <w:t>/1 kg  bez DPH</w:t>
      </w:r>
      <w:r w:rsidR="0000713C">
        <w:rPr>
          <w:rFonts w:ascii="Times New Roman" w:hAnsi="Times New Roman" w:cs="Times New Roman"/>
          <w:sz w:val="20"/>
          <w:szCs w:val="20"/>
        </w:rPr>
        <w:t>)</w:t>
      </w:r>
    </w:p>
    <w:p w:rsidR="00352722" w:rsidRDefault="0000713C" w:rsidP="00193623">
      <w:pPr>
        <w:spacing w:after="0" w:line="240" w:lineRule="auto"/>
        <w:jc w:val="both"/>
        <w:rPr>
          <w:rFonts w:ascii="Times New Roman" w:hAnsi="Times New Roman" w:cs="Times New Roman"/>
          <w:sz w:val="24"/>
          <w:szCs w:val="24"/>
        </w:rPr>
      </w:pPr>
      <w:r>
        <w:rPr>
          <w:noProof/>
        </w:rPr>
        <w:drawing>
          <wp:inline distT="0" distB="0" distL="0" distR="0" wp14:anchorId="44235C05" wp14:editId="1B8DF94B">
            <wp:extent cx="5742432" cy="204094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D6C83" w:rsidRDefault="0000713C" w:rsidP="009C321A">
      <w:pPr>
        <w:spacing w:after="0" w:line="240" w:lineRule="auto"/>
        <w:jc w:val="right"/>
        <w:rPr>
          <w:rFonts w:ascii="Times New Roman" w:hAnsi="Times New Roman" w:cs="Times New Roman"/>
          <w:sz w:val="24"/>
          <w:szCs w:val="24"/>
        </w:rPr>
      </w:pPr>
      <w:r>
        <w:rPr>
          <w:rFonts w:ascii="Times New Roman" w:hAnsi="Times New Roman" w:cs="Times New Roman"/>
          <w:sz w:val="20"/>
          <w:szCs w:val="20"/>
        </w:rPr>
        <w:t xml:space="preserve">Zdroj: </w:t>
      </w:r>
      <w:r w:rsidRPr="0000713C">
        <w:rPr>
          <w:rFonts w:ascii="Times New Roman" w:hAnsi="Times New Roman" w:cs="Times New Roman"/>
          <w:sz w:val="20"/>
          <w:szCs w:val="20"/>
        </w:rPr>
        <w:t>Štatistický úrad SR; PPA - ATIS; VÚEPP; prepočty MPRV SR</w:t>
      </w:r>
    </w:p>
    <w:p w:rsidR="00817EFC" w:rsidRDefault="00817EFC" w:rsidP="00B34324">
      <w:pPr>
        <w:spacing w:after="0" w:line="240" w:lineRule="auto"/>
        <w:jc w:val="both"/>
        <w:rPr>
          <w:rFonts w:ascii="Times New Roman" w:hAnsi="Times New Roman" w:cs="Times New Roman"/>
          <w:sz w:val="24"/>
          <w:szCs w:val="24"/>
        </w:rPr>
      </w:pPr>
    </w:p>
    <w:p w:rsidR="00B34324" w:rsidRDefault="003748B8" w:rsidP="00B34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Analýza cien hovädzieho mäsa na všetkých stupňoch potravinovej vertikály odhalila skutočný problém z hľadiska zabezpečenia </w:t>
      </w:r>
      <w:r w:rsidR="00CD6C83">
        <w:rPr>
          <w:rFonts w:ascii="Times New Roman" w:hAnsi="Times New Roman" w:cs="Times New Roman"/>
          <w:sz w:val="24"/>
          <w:szCs w:val="24"/>
        </w:rPr>
        <w:t>požadovanej produkčnej výkonnosti</w:t>
      </w:r>
      <w:r>
        <w:rPr>
          <w:rFonts w:ascii="Times New Roman" w:hAnsi="Times New Roman" w:cs="Times New Roman"/>
          <w:sz w:val="24"/>
          <w:szCs w:val="24"/>
        </w:rPr>
        <w:t xml:space="preserve"> v tejto komodite. Príčinou neúmerne vysokého objemu vývozu živého hovädzieho a nízkej objemovej úrovne spracovania produktov prvovýroby spočíva vo v</w:t>
      </w:r>
      <w:r w:rsidR="00A168B2">
        <w:rPr>
          <w:rFonts w:ascii="Times New Roman" w:hAnsi="Times New Roman" w:cs="Times New Roman"/>
          <w:sz w:val="24"/>
          <w:szCs w:val="24"/>
        </w:rPr>
        <w:t>ysokých spracovateľských cenách</w:t>
      </w:r>
      <w:r w:rsidR="00A03C6F">
        <w:rPr>
          <w:rFonts w:ascii="Times New Roman" w:hAnsi="Times New Roman" w:cs="Times New Roman"/>
          <w:sz w:val="24"/>
          <w:szCs w:val="24"/>
        </w:rPr>
        <w:t xml:space="preserve"> a veľmi nízkych výkupných cenách prvovýrobcov</w:t>
      </w:r>
      <w:r w:rsidR="00A168B2">
        <w:rPr>
          <w:rFonts w:ascii="Times New Roman" w:hAnsi="Times New Roman" w:cs="Times New Roman"/>
          <w:sz w:val="24"/>
          <w:szCs w:val="24"/>
        </w:rPr>
        <w:t xml:space="preserve">. </w:t>
      </w:r>
      <w:r w:rsidR="00B34324">
        <w:rPr>
          <w:rFonts w:ascii="Times New Roman" w:hAnsi="Times New Roman" w:cs="Times New Roman"/>
          <w:sz w:val="24"/>
          <w:szCs w:val="24"/>
        </w:rPr>
        <w:t>Súčasne, ako je zrejmé z grafu č. 5, index rastu cien spracovateľov má prudší rastový trend ako index rastu spotrebiteľských cien.</w:t>
      </w:r>
    </w:p>
    <w:p w:rsidR="005B3A16" w:rsidRDefault="005B3A16" w:rsidP="005B3A16">
      <w:pPr>
        <w:spacing w:after="0" w:line="240" w:lineRule="auto"/>
        <w:jc w:val="both"/>
        <w:rPr>
          <w:rFonts w:ascii="Times New Roman" w:hAnsi="Times New Roman" w:cs="Times New Roman"/>
          <w:sz w:val="24"/>
          <w:szCs w:val="24"/>
        </w:rPr>
      </w:pPr>
    </w:p>
    <w:p w:rsidR="005B3A16" w:rsidRDefault="005B3A16" w:rsidP="005B3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Ceny prvovýrobcov v roku 2011 nepokrývali ani vlastné náklady na 1 kg prírastku, vypočítané pomocou vyčíslenia jednotlivých kalkulačných položiek vlastných nákladov na jednotku produkcie. Takto vypočítané vlastné náklady na 1 kg prírastku dosahovali v roku 2011 výšku 2,61 EUR/kg. Strata prvovýrobcu sa takto pohybuje na úrovni 0,33 EUR/kg.</w:t>
      </w:r>
    </w:p>
    <w:p w:rsidR="00BE29EE" w:rsidRDefault="00BE29EE" w:rsidP="00193623">
      <w:pPr>
        <w:spacing w:after="0" w:line="240" w:lineRule="auto"/>
        <w:jc w:val="both"/>
        <w:rPr>
          <w:rFonts w:ascii="Times New Roman" w:hAnsi="Times New Roman" w:cs="Times New Roman"/>
          <w:sz w:val="24"/>
          <w:szCs w:val="24"/>
        </w:rPr>
      </w:pPr>
    </w:p>
    <w:p w:rsidR="002C3FC8" w:rsidRPr="002C3FC8" w:rsidRDefault="008E526F" w:rsidP="001936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Graf č. </w:t>
      </w:r>
      <w:r w:rsidR="00C970F8">
        <w:rPr>
          <w:rFonts w:ascii="Times New Roman" w:hAnsi="Times New Roman" w:cs="Times New Roman"/>
          <w:sz w:val="20"/>
          <w:szCs w:val="20"/>
        </w:rPr>
        <w:t>11</w:t>
      </w:r>
      <w:r w:rsidR="002C3FC8" w:rsidRPr="00C55549">
        <w:rPr>
          <w:rFonts w:ascii="Times New Roman" w:hAnsi="Times New Roman" w:cs="Times New Roman"/>
          <w:sz w:val="20"/>
          <w:szCs w:val="20"/>
        </w:rPr>
        <w:t>:</w:t>
      </w:r>
      <w:r w:rsidR="00BD3B11">
        <w:rPr>
          <w:rFonts w:ascii="Times New Roman" w:hAnsi="Times New Roman" w:cs="Times New Roman"/>
          <w:sz w:val="20"/>
          <w:szCs w:val="20"/>
        </w:rPr>
        <w:t>Vývoj cenových indexov na jednotlivých stupňoch potravinovej vertikály</w:t>
      </w:r>
    </w:p>
    <w:p w:rsidR="00173659" w:rsidRDefault="002C3FC8" w:rsidP="00193623">
      <w:pPr>
        <w:spacing w:after="0" w:line="240" w:lineRule="auto"/>
        <w:jc w:val="both"/>
        <w:rPr>
          <w:rFonts w:ascii="Times New Roman" w:hAnsi="Times New Roman" w:cs="Times New Roman"/>
          <w:sz w:val="24"/>
          <w:szCs w:val="24"/>
        </w:rPr>
      </w:pPr>
      <w:r>
        <w:rPr>
          <w:noProof/>
        </w:rPr>
        <w:drawing>
          <wp:inline distT="0" distB="0" distL="0" distR="0" wp14:anchorId="30A1850B" wp14:editId="3F79C5D2">
            <wp:extent cx="5741719" cy="2339439"/>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C3FC8" w:rsidRDefault="002C3FC8" w:rsidP="002C3FC8">
      <w:pPr>
        <w:spacing w:after="0" w:line="240" w:lineRule="auto"/>
        <w:jc w:val="right"/>
        <w:rPr>
          <w:rFonts w:ascii="Times New Roman" w:hAnsi="Times New Roman" w:cs="Times New Roman"/>
          <w:sz w:val="24"/>
          <w:szCs w:val="24"/>
        </w:rPr>
      </w:pPr>
      <w:r>
        <w:rPr>
          <w:rFonts w:ascii="Times New Roman" w:hAnsi="Times New Roman" w:cs="Times New Roman"/>
          <w:sz w:val="20"/>
          <w:szCs w:val="20"/>
        </w:rPr>
        <w:t xml:space="preserve">Zdroj: </w:t>
      </w:r>
      <w:r w:rsidRPr="0000713C">
        <w:rPr>
          <w:rFonts w:ascii="Times New Roman" w:hAnsi="Times New Roman" w:cs="Times New Roman"/>
          <w:sz w:val="20"/>
          <w:szCs w:val="20"/>
        </w:rPr>
        <w:t>Štatistický úrad SR; PPA - ATIS; VÚEPP; prepočty MPRV SR</w:t>
      </w:r>
    </w:p>
    <w:p w:rsidR="00B34324" w:rsidRDefault="00B34324" w:rsidP="00B34324">
      <w:pPr>
        <w:spacing w:after="0" w:line="240" w:lineRule="auto"/>
        <w:jc w:val="both"/>
        <w:rPr>
          <w:rFonts w:ascii="Times New Roman" w:hAnsi="Times New Roman" w:cs="Times New Roman"/>
          <w:sz w:val="24"/>
          <w:szCs w:val="24"/>
        </w:rPr>
      </w:pPr>
    </w:p>
    <w:p w:rsidR="002C3FC8" w:rsidRDefault="002C3FC8" w:rsidP="001936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hľadiska potreby oživenia trhu s hovädzím a teľacím mäsom na Slovensku je životne dôležité upraviť cenové úrovne v rámci potravinovej vertikály na úkor spracovateľov a v prospech prvovýrobcov. V opačnom prípade hrozí ďalšie rapídne znižovanie </w:t>
      </w:r>
      <w:r w:rsidR="007010A5">
        <w:rPr>
          <w:rFonts w:ascii="Times New Roman" w:hAnsi="Times New Roman" w:cs="Times New Roman"/>
          <w:sz w:val="24"/>
          <w:szCs w:val="24"/>
        </w:rPr>
        <w:t>produkčnej výkonnosti</w:t>
      </w:r>
      <w:r>
        <w:rPr>
          <w:rFonts w:ascii="Times New Roman" w:hAnsi="Times New Roman" w:cs="Times New Roman"/>
          <w:sz w:val="24"/>
          <w:szCs w:val="24"/>
        </w:rPr>
        <w:t xml:space="preserve"> z hľadiska </w:t>
      </w:r>
      <w:r w:rsidR="00DC7ABB">
        <w:rPr>
          <w:rFonts w:ascii="Times New Roman" w:hAnsi="Times New Roman" w:cs="Times New Roman"/>
          <w:sz w:val="24"/>
          <w:szCs w:val="24"/>
        </w:rPr>
        <w:t xml:space="preserve">spracovaného hovädzieho a teľacieho mäsa. </w:t>
      </w:r>
    </w:p>
    <w:p w:rsidR="00CF4A65" w:rsidRDefault="00CF4A65" w:rsidP="00CF4A65">
      <w:pPr>
        <w:pBdr>
          <w:bottom w:val="single" w:sz="4" w:space="1" w:color="auto"/>
        </w:pBdr>
        <w:spacing w:after="0" w:line="240" w:lineRule="auto"/>
        <w:jc w:val="both"/>
        <w:rPr>
          <w:rFonts w:ascii="Times New Roman" w:hAnsi="Times New Roman" w:cs="Times New Roman"/>
          <w:sz w:val="24"/>
          <w:szCs w:val="24"/>
        </w:rPr>
      </w:pPr>
    </w:p>
    <w:p w:rsidR="00CF4A65" w:rsidRDefault="00CF4A65" w:rsidP="001936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základe vykonanej analýzy celej potravinovej vertikály hovädzieho a teľacieho mäsa považujeme za potrebné </w:t>
      </w:r>
      <w:r w:rsidR="008E526F">
        <w:rPr>
          <w:rFonts w:ascii="Times New Roman" w:hAnsi="Times New Roman" w:cs="Times New Roman"/>
          <w:sz w:val="24"/>
          <w:szCs w:val="24"/>
        </w:rPr>
        <w:t>dosiahnuť tieto cieľové hodnoty parametrov základných trhových ukazovateľov</w:t>
      </w:r>
      <w:r w:rsidR="009C321A">
        <w:rPr>
          <w:rFonts w:ascii="Times New Roman" w:hAnsi="Times New Roman" w:cs="Times New Roman"/>
          <w:sz w:val="24"/>
          <w:szCs w:val="24"/>
        </w:rPr>
        <w:t>:</w:t>
      </w:r>
    </w:p>
    <w:p w:rsidR="00CF4A65" w:rsidRPr="009C321A" w:rsidRDefault="00CF4A65" w:rsidP="009C321A">
      <w:pPr>
        <w:pStyle w:val="Odsekzoznamu"/>
        <w:numPr>
          <w:ilvl w:val="0"/>
          <w:numId w:val="6"/>
        </w:numPr>
        <w:spacing w:after="0" w:line="240" w:lineRule="auto"/>
        <w:jc w:val="both"/>
        <w:rPr>
          <w:rFonts w:ascii="Times New Roman" w:hAnsi="Times New Roman" w:cs="Times New Roman"/>
          <w:sz w:val="24"/>
          <w:szCs w:val="24"/>
        </w:rPr>
      </w:pPr>
      <w:r w:rsidRPr="00CF4A65">
        <w:rPr>
          <w:rFonts w:ascii="Times New Roman" w:hAnsi="Times New Roman" w:cs="Times New Roman"/>
          <w:sz w:val="24"/>
          <w:szCs w:val="24"/>
        </w:rPr>
        <w:t>zvýšiť výkonnosť spracovateľského priemyslu na Slovensku minimálne o 19,5 % súčasnej úrovne čistej produkcie hovädzieho a teľacieho mäsa, čo v absolútnom vyjadrení predstavuje zvýšenie výkonnosti v</w:t>
      </w:r>
      <w:r w:rsidR="00E80D96">
        <w:rPr>
          <w:rFonts w:ascii="Times New Roman" w:hAnsi="Times New Roman" w:cs="Times New Roman"/>
          <w:sz w:val="24"/>
          <w:szCs w:val="24"/>
        </w:rPr>
        <w:t> </w:t>
      </w:r>
      <w:r w:rsidRPr="00CF4A65">
        <w:rPr>
          <w:rFonts w:ascii="Times New Roman" w:hAnsi="Times New Roman" w:cs="Times New Roman"/>
          <w:sz w:val="24"/>
          <w:szCs w:val="24"/>
        </w:rPr>
        <w:t>objeme</w:t>
      </w:r>
      <w:r w:rsidR="00E80D96">
        <w:rPr>
          <w:rFonts w:ascii="Times New Roman" w:hAnsi="Times New Roman" w:cs="Times New Roman"/>
          <w:sz w:val="24"/>
          <w:szCs w:val="24"/>
        </w:rPr>
        <w:t xml:space="preserve"> </w:t>
      </w:r>
      <w:r w:rsidR="00C04609">
        <w:rPr>
          <w:rFonts w:ascii="Times New Roman" w:hAnsi="Times New Roman" w:cs="Times New Roman"/>
          <w:sz w:val="24"/>
          <w:szCs w:val="24"/>
        </w:rPr>
        <w:t>3 630</w:t>
      </w:r>
      <w:r>
        <w:rPr>
          <w:rFonts w:ascii="Times New Roman" w:hAnsi="Times New Roman" w:cs="Times New Roman"/>
          <w:sz w:val="24"/>
          <w:szCs w:val="24"/>
        </w:rPr>
        <w:t xml:space="preserve"> ton v jatočnej hmotnosti; a</w:t>
      </w:r>
    </w:p>
    <w:p w:rsidR="00CF4A65" w:rsidRPr="00721F7D" w:rsidRDefault="00721F7D" w:rsidP="000D68DC">
      <w:pPr>
        <w:pStyle w:val="Odsekzoznamu"/>
        <w:numPr>
          <w:ilvl w:val="0"/>
          <w:numId w:val="6"/>
        </w:numPr>
        <w:spacing w:after="0" w:line="240" w:lineRule="auto"/>
        <w:jc w:val="both"/>
        <w:rPr>
          <w:rFonts w:ascii="Times New Roman" w:hAnsi="Times New Roman" w:cs="Times New Roman"/>
          <w:sz w:val="24"/>
          <w:szCs w:val="24"/>
          <w:highlight w:val="yellow"/>
        </w:rPr>
      </w:pPr>
      <w:r w:rsidRPr="00721F7D">
        <w:rPr>
          <w:rFonts w:ascii="Times New Roman" w:hAnsi="Times New Roman" w:cs="Times New Roman"/>
          <w:sz w:val="24"/>
          <w:szCs w:val="24"/>
          <w:highlight w:val="yellow"/>
        </w:rPr>
        <w:t>maximálne sa priblížiť k</w:t>
      </w:r>
      <w:r w:rsidR="00CF4A65" w:rsidRPr="00721F7D">
        <w:rPr>
          <w:rFonts w:ascii="Times New Roman" w:hAnsi="Times New Roman" w:cs="Times New Roman"/>
          <w:sz w:val="24"/>
          <w:szCs w:val="24"/>
          <w:highlight w:val="yellow"/>
        </w:rPr>
        <w:t xml:space="preserve"> priemer</w:t>
      </w:r>
      <w:r w:rsidRPr="00721F7D">
        <w:rPr>
          <w:rFonts w:ascii="Times New Roman" w:hAnsi="Times New Roman" w:cs="Times New Roman"/>
          <w:sz w:val="24"/>
          <w:szCs w:val="24"/>
          <w:highlight w:val="yellow"/>
        </w:rPr>
        <w:t>nej výkupnej cene</w:t>
      </w:r>
      <w:r w:rsidR="00CF4A65" w:rsidRPr="00721F7D">
        <w:rPr>
          <w:rFonts w:ascii="Times New Roman" w:hAnsi="Times New Roman" w:cs="Times New Roman"/>
          <w:sz w:val="24"/>
          <w:szCs w:val="24"/>
          <w:highlight w:val="yellow"/>
        </w:rPr>
        <w:t xml:space="preserve"> za 1 kg živej hmotnosti hovädzieho na úrovni, ktorá by pokrývala vlastné náklady na 1 kg prírastku</w:t>
      </w:r>
    </w:p>
    <w:p w:rsidR="00817EFC" w:rsidRDefault="00817EFC" w:rsidP="00817EFC">
      <w:pPr>
        <w:pBdr>
          <w:top w:val="single" w:sz="4" w:space="1" w:color="auto"/>
        </w:pBdr>
        <w:spacing w:after="0" w:line="240" w:lineRule="auto"/>
        <w:jc w:val="both"/>
        <w:rPr>
          <w:rFonts w:ascii="Times New Roman" w:hAnsi="Times New Roman" w:cs="Times New Roman"/>
          <w:sz w:val="24"/>
          <w:szCs w:val="24"/>
        </w:rPr>
      </w:pPr>
    </w:p>
    <w:p w:rsidR="000B46AE" w:rsidRPr="00352722" w:rsidRDefault="000B46AE" w:rsidP="000D68DC">
      <w:pPr>
        <w:pStyle w:val="Nadpis3"/>
        <w:numPr>
          <w:ilvl w:val="2"/>
          <w:numId w:val="8"/>
        </w:numPr>
      </w:pPr>
      <w:bookmarkStart w:id="21" w:name="_Toc359550642"/>
      <w:r>
        <w:t>Bravčové</w:t>
      </w:r>
      <w:r w:rsidRPr="00352722">
        <w:t xml:space="preserve"> mäso</w:t>
      </w:r>
      <w:bookmarkEnd w:id="21"/>
    </w:p>
    <w:p w:rsidR="00026F29" w:rsidRDefault="00026F29" w:rsidP="00026F29">
      <w:pPr>
        <w:spacing w:after="0" w:line="240" w:lineRule="auto"/>
        <w:jc w:val="both"/>
        <w:rPr>
          <w:rFonts w:ascii="Times New Roman" w:hAnsi="Times New Roman" w:cs="Times New Roman"/>
          <w:sz w:val="24"/>
          <w:szCs w:val="24"/>
        </w:rPr>
      </w:pPr>
    </w:p>
    <w:p w:rsidR="00C1719A" w:rsidRDefault="00026F29" w:rsidP="00026F29">
      <w:pPr>
        <w:spacing w:after="0" w:line="240" w:lineRule="auto"/>
        <w:jc w:val="both"/>
        <w:rPr>
          <w:rFonts w:ascii="Times New Roman" w:hAnsi="Times New Roman" w:cs="Times New Roman"/>
          <w:sz w:val="24"/>
          <w:szCs w:val="24"/>
        </w:rPr>
      </w:pPr>
      <w:r w:rsidRPr="007C5739">
        <w:rPr>
          <w:rFonts w:ascii="Times New Roman" w:hAnsi="Times New Roman" w:cs="Times New Roman"/>
          <w:sz w:val="24"/>
          <w:szCs w:val="24"/>
        </w:rPr>
        <w:t>Domáci dop</w:t>
      </w:r>
      <w:r>
        <w:rPr>
          <w:rFonts w:ascii="Times New Roman" w:hAnsi="Times New Roman" w:cs="Times New Roman"/>
          <w:sz w:val="24"/>
          <w:szCs w:val="24"/>
        </w:rPr>
        <w:t xml:space="preserve">yt po bravčovom mäse meriame pomocou štatisticky nameranej spotreby v tonách za rok, čo predstavuje objem </w:t>
      </w:r>
      <w:r w:rsidRPr="00026F29">
        <w:rPr>
          <w:rFonts w:ascii="Times New Roman" w:hAnsi="Times New Roman" w:cs="Times New Roman"/>
          <w:sz w:val="24"/>
          <w:szCs w:val="24"/>
        </w:rPr>
        <w:t>151 872</w:t>
      </w:r>
      <w:r>
        <w:rPr>
          <w:rFonts w:ascii="Times New Roman" w:hAnsi="Times New Roman" w:cs="Times New Roman"/>
          <w:sz w:val="24"/>
          <w:szCs w:val="24"/>
        </w:rPr>
        <w:t xml:space="preserve"> ton. Hrubá domáca produkcia predstavuje objem </w:t>
      </w:r>
      <w:r w:rsidR="00360B21">
        <w:rPr>
          <w:rFonts w:ascii="Times New Roman" w:hAnsi="Times New Roman" w:cs="Times New Roman"/>
          <w:sz w:val="24"/>
          <w:szCs w:val="24"/>
        </w:rPr>
        <w:t xml:space="preserve">         </w:t>
      </w:r>
      <w:r w:rsidRPr="00026F29">
        <w:rPr>
          <w:rFonts w:ascii="Times New Roman" w:hAnsi="Times New Roman" w:cs="Times New Roman"/>
          <w:sz w:val="24"/>
          <w:szCs w:val="24"/>
        </w:rPr>
        <w:t>88 197</w:t>
      </w:r>
      <w:r>
        <w:rPr>
          <w:rFonts w:ascii="Times New Roman" w:hAnsi="Times New Roman" w:cs="Times New Roman"/>
          <w:sz w:val="24"/>
          <w:szCs w:val="24"/>
        </w:rPr>
        <w:t xml:space="preserve"> ton. Znamená to, že produkcia v SR dosahuje </w:t>
      </w:r>
      <w:r w:rsidR="00C1719A">
        <w:rPr>
          <w:rFonts w:ascii="Times New Roman" w:hAnsi="Times New Roman" w:cs="Times New Roman"/>
          <w:sz w:val="24"/>
          <w:szCs w:val="24"/>
        </w:rPr>
        <w:t>58</w:t>
      </w:r>
      <w:r>
        <w:rPr>
          <w:rFonts w:ascii="Times New Roman" w:hAnsi="Times New Roman" w:cs="Times New Roman"/>
          <w:sz w:val="24"/>
          <w:szCs w:val="24"/>
        </w:rPr>
        <w:t xml:space="preserve"> % domáceho dopytu, čo znamená, že </w:t>
      </w:r>
      <w:r w:rsidR="005B3A16">
        <w:rPr>
          <w:rFonts w:ascii="Times New Roman" w:hAnsi="Times New Roman" w:cs="Times New Roman"/>
          <w:sz w:val="24"/>
          <w:szCs w:val="24"/>
        </w:rPr>
        <w:t>produkčná výkonnosť</w:t>
      </w:r>
      <w:r>
        <w:rPr>
          <w:rFonts w:ascii="Times New Roman" w:hAnsi="Times New Roman" w:cs="Times New Roman"/>
          <w:sz w:val="24"/>
          <w:szCs w:val="24"/>
        </w:rPr>
        <w:t xml:space="preserve"> v tejto komodite je, z hľadiska prvovýroby, výrazne </w:t>
      </w:r>
      <w:r w:rsidR="00C1719A">
        <w:rPr>
          <w:rFonts w:ascii="Times New Roman" w:hAnsi="Times New Roman" w:cs="Times New Roman"/>
          <w:sz w:val="24"/>
          <w:szCs w:val="24"/>
        </w:rPr>
        <w:t>nedostatočná v porovnaní so</w:t>
      </w:r>
      <w:r>
        <w:rPr>
          <w:rFonts w:ascii="Times New Roman" w:hAnsi="Times New Roman" w:cs="Times New Roman"/>
          <w:sz w:val="24"/>
          <w:szCs w:val="24"/>
        </w:rPr>
        <w:t xml:space="preserve"> stanovený</w:t>
      </w:r>
      <w:r w:rsidR="00C1719A">
        <w:rPr>
          <w:rFonts w:ascii="Times New Roman" w:hAnsi="Times New Roman" w:cs="Times New Roman"/>
          <w:sz w:val="24"/>
          <w:szCs w:val="24"/>
        </w:rPr>
        <w:t>m</w:t>
      </w:r>
      <w:r>
        <w:rPr>
          <w:rFonts w:ascii="Times New Roman" w:hAnsi="Times New Roman" w:cs="Times New Roman"/>
          <w:sz w:val="24"/>
          <w:szCs w:val="24"/>
        </w:rPr>
        <w:t xml:space="preserve"> cieľ</w:t>
      </w:r>
      <w:r w:rsidR="00C1719A">
        <w:rPr>
          <w:rFonts w:ascii="Times New Roman" w:hAnsi="Times New Roman" w:cs="Times New Roman"/>
          <w:sz w:val="24"/>
          <w:szCs w:val="24"/>
        </w:rPr>
        <w:t>om</w:t>
      </w:r>
      <w:r>
        <w:rPr>
          <w:rFonts w:ascii="Times New Roman" w:hAnsi="Times New Roman" w:cs="Times New Roman"/>
          <w:sz w:val="24"/>
          <w:szCs w:val="24"/>
        </w:rPr>
        <w:t xml:space="preserve">. </w:t>
      </w:r>
    </w:p>
    <w:p w:rsidR="00E80D96" w:rsidRPr="00817EFC" w:rsidRDefault="00CF4A65" w:rsidP="00960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Ponuka dorovnáva domáci dopyt dovozom prevažne spracovaného bravčového mäsa a čiastočne dovozom živých ošípaných. V</w:t>
      </w:r>
      <w:r w:rsidRPr="00C1719A">
        <w:rPr>
          <w:rFonts w:ascii="Times New Roman" w:hAnsi="Times New Roman" w:cs="Times New Roman"/>
          <w:sz w:val="24"/>
          <w:szCs w:val="24"/>
        </w:rPr>
        <w:t xml:space="preserve"> roku 2011 </w:t>
      </w:r>
      <w:r>
        <w:rPr>
          <w:rFonts w:ascii="Times New Roman" w:hAnsi="Times New Roman" w:cs="Times New Roman"/>
          <w:sz w:val="24"/>
          <w:szCs w:val="24"/>
        </w:rPr>
        <w:t xml:space="preserve">sa </w:t>
      </w:r>
      <w:r w:rsidRPr="00C1719A">
        <w:rPr>
          <w:rFonts w:ascii="Times New Roman" w:hAnsi="Times New Roman" w:cs="Times New Roman"/>
          <w:sz w:val="24"/>
          <w:szCs w:val="24"/>
        </w:rPr>
        <w:t>na Slovensko doviezlo 12 901 t živých ošípaných a 104 938 ton bravčového mäsa, vrátane údeného, soleného a bravčových konzerv prepočítaných na jatočnú hmotnosť</w:t>
      </w:r>
      <w:r>
        <w:rPr>
          <w:rFonts w:ascii="Times New Roman" w:hAnsi="Times New Roman" w:cs="Times New Roman"/>
          <w:sz w:val="24"/>
          <w:szCs w:val="24"/>
        </w:rPr>
        <w:t>. Vy</w:t>
      </w:r>
      <w:r w:rsidRPr="00C1719A">
        <w:rPr>
          <w:rFonts w:ascii="Times New Roman" w:hAnsi="Times New Roman" w:cs="Times New Roman"/>
          <w:sz w:val="24"/>
          <w:szCs w:val="24"/>
        </w:rPr>
        <w:t xml:space="preserve">viezli sa živé ošípané o živej hmotnosti </w:t>
      </w:r>
      <w:r w:rsidR="00360B21">
        <w:rPr>
          <w:rFonts w:ascii="Times New Roman" w:hAnsi="Times New Roman" w:cs="Times New Roman"/>
          <w:sz w:val="24"/>
          <w:szCs w:val="24"/>
        </w:rPr>
        <w:t xml:space="preserve">      </w:t>
      </w:r>
      <w:r w:rsidRPr="00C1719A">
        <w:rPr>
          <w:rFonts w:ascii="Times New Roman" w:hAnsi="Times New Roman" w:cs="Times New Roman"/>
          <w:sz w:val="24"/>
          <w:szCs w:val="24"/>
        </w:rPr>
        <w:t>35 455 ton. Súčasne sa vyviezlo 22 434 ton bravčového mäsa, vrátane údeného, soleného a bravčových konzerv, po prepočte na jatočnú hmotnosť</w:t>
      </w:r>
      <w:r>
        <w:rPr>
          <w:rFonts w:ascii="Times New Roman" w:hAnsi="Times New Roman" w:cs="Times New Roman"/>
          <w:sz w:val="24"/>
          <w:szCs w:val="24"/>
        </w:rPr>
        <w:t xml:space="preserve">. </w:t>
      </w:r>
    </w:p>
    <w:p w:rsidR="00BE29EE" w:rsidRDefault="00BE29EE" w:rsidP="00960B36">
      <w:pPr>
        <w:spacing w:after="0" w:line="240" w:lineRule="auto"/>
        <w:jc w:val="both"/>
        <w:rPr>
          <w:rFonts w:ascii="Times New Roman" w:hAnsi="Times New Roman" w:cs="Times New Roman"/>
          <w:sz w:val="20"/>
          <w:szCs w:val="20"/>
        </w:rPr>
      </w:pPr>
    </w:p>
    <w:p w:rsidR="00960B36" w:rsidRPr="00960B36" w:rsidRDefault="00BE29EE" w:rsidP="00960B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č.20</w:t>
      </w:r>
      <w:r w:rsidR="00960B36" w:rsidRPr="00A855A4">
        <w:rPr>
          <w:rFonts w:ascii="Times New Roman" w:hAnsi="Times New Roman" w:cs="Times New Roman"/>
          <w:sz w:val="20"/>
          <w:szCs w:val="20"/>
        </w:rPr>
        <w:t xml:space="preserve">: </w:t>
      </w:r>
      <w:r w:rsidR="00960B36" w:rsidRPr="00193623">
        <w:rPr>
          <w:rFonts w:ascii="Times New Roman" w:hAnsi="Times New Roman" w:cs="Times New Roman"/>
          <w:sz w:val="20"/>
          <w:szCs w:val="20"/>
        </w:rPr>
        <w:t xml:space="preserve">Bilancia </w:t>
      </w:r>
      <w:r w:rsidR="00960B36">
        <w:rPr>
          <w:rFonts w:ascii="Times New Roman" w:hAnsi="Times New Roman" w:cs="Times New Roman"/>
          <w:sz w:val="20"/>
          <w:szCs w:val="20"/>
        </w:rPr>
        <w:t>bravčového</w:t>
      </w:r>
      <w:r w:rsidR="00960B36" w:rsidRPr="00193623">
        <w:rPr>
          <w:rFonts w:ascii="Times New Roman" w:hAnsi="Times New Roman" w:cs="Times New Roman"/>
          <w:sz w:val="20"/>
          <w:szCs w:val="20"/>
        </w:rPr>
        <w:t xml:space="preserve"> mäsa v tonách jatočnej hmotnosti</w:t>
      </w:r>
    </w:p>
    <w:tbl>
      <w:tblPr>
        <w:tblW w:w="9109" w:type="dxa"/>
        <w:tblInd w:w="55" w:type="dxa"/>
        <w:tblCellMar>
          <w:left w:w="70" w:type="dxa"/>
          <w:right w:w="70" w:type="dxa"/>
        </w:tblCellMar>
        <w:tblLook w:val="04A0" w:firstRow="1" w:lastRow="0" w:firstColumn="1" w:lastColumn="0" w:noHBand="0" w:noVBand="1"/>
      </w:tblPr>
      <w:tblGrid>
        <w:gridCol w:w="2709"/>
        <w:gridCol w:w="1120"/>
        <w:gridCol w:w="1120"/>
        <w:gridCol w:w="1120"/>
        <w:gridCol w:w="1120"/>
        <w:gridCol w:w="960"/>
        <w:gridCol w:w="960"/>
      </w:tblGrid>
      <w:tr w:rsidR="00B25F07" w:rsidRPr="00B25F07" w:rsidTr="00B25F07">
        <w:trPr>
          <w:trHeight w:val="300"/>
        </w:trPr>
        <w:tc>
          <w:tcPr>
            <w:tcW w:w="2709" w:type="dxa"/>
            <w:tcBorders>
              <w:top w:val="single" w:sz="4" w:space="0" w:color="auto"/>
              <w:left w:val="nil"/>
              <w:bottom w:val="single" w:sz="4" w:space="0" w:color="auto"/>
              <w:right w:val="single" w:sz="4" w:space="0" w:color="auto"/>
            </w:tcBorders>
            <w:shd w:val="clear" w:color="000000" w:fill="D9D9D9"/>
            <w:noWrap/>
            <w:vAlign w:val="bottom"/>
            <w:hideMark/>
          </w:tcPr>
          <w:p w:rsidR="00B25F07" w:rsidRPr="00B25F07" w:rsidRDefault="00B25F07" w:rsidP="00B25F07">
            <w:pPr>
              <w:spacing w:after="0" w:line="240" w:lineRule="auto"/>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Ukazovateľ</w:t>
            </w:r>
          </w:p>
        </w:tc>
        <w:tc>
          <w:tcPr>
            <w:tcW w:w="1120" w:type="dxa"/>
            <w:tcBorders>
              <w:top w:val="single" w:sz="4" w:space="0" w:color="auto"/>
              <w:left w:val="nil"/>
              <w:bottom w:val="single" w:sz="4" w:space="0" w:color="auto"/>
              <w:right w:val="single" w:sz="4" w:space="0" w:color="auto"/>
            </w:tcBorders>
            <w:shd w:val="clear" w:color="000000" w:fill="D9D9D9"/>
            <w:noWrap/>
            <w:vAlign w:val="bottom"/>
            <w:hideMark/>
          </w:tcPr>
          <w:p w:rsidR="00B25F07" w:rsidRPr="00B25F07" w:rsidRDefault="00B25F07" w:rsidP="00B25F07">
            <w:pPr>
              <w:spacing w:after="0" w:line="240" w:lineRule="auto"/>
              <w:jc w:val="right"/>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2002</w:t>
            </w:r>
          </w:p>
        </w:tc>
        <w:tc>
          <w:tcPr>
            <w:tcW w:w="1120" w:type="dxa"/>
            <w:tcBorders>
              <w:top w:val="single" w:sz="4" w:space="0" w:color="auto"/>
              <w:left w:val="nil"/>
              <w:bottom w:val="single" w:sz="4" w:space="0" w:color="auto"/>
              <w:right w:val="nil"/>
            </w:tcBorders>
            <w:shd w:val="clear" w:color="000000" w:fill="D9D9D9"/>
            <w:noWrap/>
            <w:vAlign w:val="bottom"/>
            <w:hideMark/>
          </w:tcPr>
          <w:p w:rsidR="00B25F07" w:rsidRPr="00B25F07" w:rsidRDefault="00B25F07" w:rsidP="00B25F07">
            <w:pPr>
              <w:spacing w:after="0" w:line="240" w:lineRule="auto"/>
              <w:jc w:val="right"/>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2007</w:t>
            </w:r>
          </w:p>
        </w:tc>
        <w:tc>
          <w:tcPr>
            <w:tcW w:w="1120" w:type="dxa"/>
            <w:tcBorders>
              <w:top w:val="single" w:sz="4" w:space="0" w:color="auto"/>
              <w:left w:val="nil"/>
              <w:bottom w:val="single" w:sz="4" w:space="0" w:color="auto"/>
              <w:right w:val="nil"/>
            </w:tcBorders>
            <w:shd w:val="clear" w:color="000000" w:fill="D9D9D9"/>
            <w:noWrap/>
            <w:vAlign w:val="bottom"/>
            <w:hideMark/>
          </w:tcPr>
          <w:p w:rsidR="00B25F07" w:rsidRPr="00B25F07" w:rsidRDefault="00B25F07" w:rsidP="00B25F07">
            <w:pPr>
              <w:spacing w:after="0" w:line="240" w:lineRule="auto"/>
              <w:jc w:val="right"/>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2008</w:t>
            </w:r>
          </w:p>
        </w:tc>
        <w:tc>
          <w:tcPr>
            <w:tcW w:w="1120" w:type="dxa"/>
            <w:tcBorders>
              <w:top w:val="single" w:sz="4" w:space="0" w:color="auto"/>
              <w:left w:val="nil"/>
              <w:bottom w:val="single" w:sz="4" w:space="0" w:color="auto"/>
              <w:right w:val="nil"/>
            </w:tcBorders>
            <w:shd w:val="clear" w:color="000000" w:fill="D9D9D9"/>
            <w:noWrap/>
            <w:vAlign w:val="bottom"/>
            <w:hideMark/>
          </w:tcPr>
          <w:p w:rsidR="00B25F07" w:rsidRPr="00B25F07" w:rsidRDefault="00B25F07" w:rsidP="00B25F07">
            <w:pPr>
              <w:spacing w:after="0" w:line="240" w:lineRule="auto"/>
              <w:jc w:val="right"/>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2009</w:t>
            </w:r>
          </w:p>
        </w:tc>
        <w:tc>
          <w:tcPr>
            <w:tcW w:w="960" w:type="dxa"/>
            <w:tcBorders>
              <w:top w:val="single" w:sz="4" w:space="0" w:color="auto"/>
              <w:left w:val="nil"/>
              <w:bottom w:val="single" w:sz="4" w:space="0" w:color="auto"/>
              <w:right w:val="nil"/>
            </w:tcBorders>
            <w:shd w:val="clear" w:color="000000" w:fill="D9D9D9"/>
            <w:noWrap/>
            <w:vAlign w:val="bottom"/>
            <w:hideMark/>
          </w:tcPr>
          <w:p w:rsidR="00B25F07" w:rsidRPr="00B25F07" w:rsidRDefault="00B25F07" w:rsidP="00B25F07">
            <w:pPr>
              <w:spacing w:after="0" w:line="240" w:lineRule="auto"/>
              <w:jc w:val="right"/>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2010</w:t>
            </w:r>
          </w:p>
        </w:tc>
        <w:tc>
          <w:tcPr>
            <w:tcW w:w="960" w:type="dxa"/>
            <w:tcBorders>
              <w:top w:val="single" w:sz="4" w:space="0" w:color="auto"/>
              <w:left w:val="nil"/>
              <w:bottom w:val="single" w:sz="4" w:space="0" w:color="auto"/>
              <w:right w:val="nil"/>
            </w:tcBorders>
            <w:shd w:val="clear" w:color="000000" w:fill="D9D9D9"/>
            <w:noWrap/>
            <w:vAlign w:val="bottom"/>
            <w:hideMark/>
          </w:tcPr>
          <w:p w:rsidR="00B25F07" w:rsidRPr="00B25F07" w:rsidRDefault="00B25F07" w:rsidP="00B25F07">
            <w:pPr>
              <w:spacing w:after="0" w:line="240" w:lineRule="auto"/>
              <w:jc w:val="right"/>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2011</w:t>
            </w:r>
          </w:p>
        </w:tc>
      </w:tr>
      <w:tr w:rsidR="00B25F07" w:rsidRPr="00B25F07" w:rsidTr="00B25F07">
        <w:trPr>
          <w:trHeight w:val="300"/>
        </w:trPr>
        <w:tc>
          <w:tcPr>
            <w:tcW w:w="2709" w:type="dxa"/>
            <w:tcBorders>
              <w:top w:val="nil"/>
              <w:left w:val="nil"/>
              <w:bottom w:val="single" w:sz="4" w:space="0" w:color="auto"/>
              <w:right w:val="single" w:sz="4" w:space="0" w:color="auto"/>
            </w:tcBorders>
            <w:shd w:val="clear" w:color="auto" w:fill="auto"/>
            <w:noWrap/>
            <w:vAlign w:val="bottom"/>
            <w:hideMark/>
          </w:tcPr>
          <w:p w:rsidR="00B25F07" w:rsidRPr="00B25F07" w:rsidRDefault="00B25F07" w:rsidP="00B25F07">
            <w:pPr>
              <w:spacing w:after="0" w:line="240" w:lineRule="auto"/>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Počiatočné zásoby</w:t>
            </w:r>
          </w:p>
        </w:tc>
        <w:tc>
          <w:tcPr>
            <w:tcW w:w="1120" w:type="dxa"/>
            <w:tcBorders>
              <w:top w:val="nil"/>
              <w:left w:val="nil"/>
              <w:bottom w:val="single" w:sz="4" w:space="0" w:color="auto"/>
              <w:right w:val="single" w:sz="4" w:space="0" w:color="auto"/>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3 370</w:t>
            </w:r>
          </w:p>
        </w:tc>
        <w:tc>
          <w:tcPr>
            <w:tcW w:w="112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4 062</w:t>
            </w:r>
          </w:p>
        </w:tc>
        <w:tc>
          <w:tcPr>
            <w:tcW w:w="112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4 726</w:t>
            </w:r>
          </w:p>
        </w:tc>
        <w:tc>
          <w:tcPr>
            <w:tcW w:w="112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2 379</w:t>
            </w:r>
          </w:p>
        </w:tc>
        <w:tc>
          <w:tcPr>
            <w:tcW w:w="96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5 945</w:t>
            </w:r>
          </w:p>
        </w:tc>
        <w:tc>
          <w:tcPr>
            <w:tcW w:w="96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3 245</w:t>
            </w:r>
          </w:p>
        </w:tc>
      </w:tr>
      <w:tr w:rsidR="00B25F07" w:rsidRPr="00B25F07" w:rsidTr="00B25F07">
        <w:trPr>
          <w:trHeight w:val="300"/>
        </w:trPr>
        <w:tc>
          <w:tcPr>
            <w:tcW w:w="2709" w:type="dxa"/>
            <w:tcBorders>
              <w:top w:val="nil"/>
              <w:left w:val="nil"/>
              <w:bottom w:val="nil"/>
              <w:right w:val="single" w:sz="4" w:space="0" w:color="auto"/>
            </w:tcBorders>
            <w:shd w:val="clear" w:color="auto" w:fill="auto"/>
            <w:noWrap/>
            <w:vAlign w:val="bottom"/>
            <w:hideMark/>
          </w:tcPr>
          <w:p w:rsidR="00B25F07" w:rsidRPr="00B25F07" w:rsidRDefault="00B25F07" w:rsidP="00B25F07">
            <w:pPr>
              <w:spacing w:after="0" w:line="240" w:lineRule="auto"/>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Hrubá domáca produkcia</w:t>
            </w:r>
          </w:p>
        </w:tc>
        <w:tc>
          <w:tcPr>
            <w:tcW w:w="1120" w:type="dxa"/>
            <w:tcBorders>
              <w:top w:val="nil"/>
              <w:left w:val="nil"/>
              <w:bottom w:val="nil"/>
              <w:right w:val="single" w:sz="4" w:space="0" w:color="auto"/>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162 517</w:t>
            </w:r>
          </w:p>
        </w:tc>
        <w:tc>
          <w:tcPr>
            <w:tcW w:w="112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117 059</w:t>
            </w:r>
          </w:p>
        </w:tc>
        <w:tc>
          <w:tcPr>
            <w:tcW w:w="112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99 723</w:t>
            </w:r>
          </w:p>
        </w:tc>
        <w:tc>
          <w:tcPr>
            <w:tcW w:w="112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86 558</w:t>
            </w:r>
          </w:p>
        </w:tc>
        <w:tc>
          <w:tcPr>
            <w:tcW w:w="96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86 621</w:t>
            </w:r>
          </w:p>
        </w:tc>
        <w:tc>
          <w:tcPr>
            <w:tcW w:w="96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88 197</w:t>
            </w:r>
          </w:p>
        </w:tc>
      </w:tr>
      <w:tr w:rsidR="00B25F07" w:rsidRPr="00B25F07" w:rsidTr="00B25F07">
        <w:trPr>
          <w:trHeight w:val="300"/>
        </w:trPr>
        <w:tc>
          <w:tcPr>
            <w:tcW w:w="2709" w:type="dxa"/>
            <w:tcBorders>
              <w:top w:val="nil"/>
              <w:left w:val="nil"/>
              <w:bottom w:val="nil"/>
              <w:right w:val="single" w:sz="4" w:space="0" w:color="auto"/>
            </w:tcBorders>
            <w:shd w:val="clear" w:color="auto" w:fill="auto"/>
            <w:noWrap/>
            <w:vAlign w:val="bottom"/>
            <w:hideMark/>
          </w:tcPr>
          <w:p w:rsidR="00B25F07" w:rsidRPr="00B25F07" w:rsidRDefault="00B25F07" w:rsidP="00B25F07">
            <w:pPr>
              <w:spacing w:after="0" w:line="240" w:lineRule="auto"/>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Dovoz</w:t>
            </w:r>
          </w:p>
        </w:tc>
        <w:tc>
          <w:tcPr>
            <w:tcW w:w="1120" w:type="dxa"/>
            <w:tcBorders>
              <w:top w:val="nil"/>
              <w:left w:val="nil"/>
              <w:bottom w:val="nil"/>
              <w:right w:val="single" w:sz="4" w:space="0" w:color="auto"/>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20 410</w:t>
            </w:r>
          </w:p>
        </w:tc>
        <w:tc>
          <w:tcPr>
            <w:tcW w:w="112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104 575</w:t>
            </w:r>
          </w:p>
        </w:tc>
        <w:tc>
          <w:tcPr>
            <w:tcW w:w="112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107 425</w:t>
            </w:r>
          </w:p>
        </w:tc>
        <w:tc>
          <w:tcPr>
            <w:tcW w:w="112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110 626</w:t>
            </w:r>
          </w:p>
        </w:tc>
        <w:tc>
          <w:tcPr>
            <w:tcW w:w="96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120 137</w:t>
            </w:r>
          </w:p>
        </w:tc>
        <w:tc>
          <w:tcPr>
            <w:tcW w:w="96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115 001</w:t>
            </w:r>
          </w:p>
        </w:tc>
      </w:tr>
      <w:tr w:rsidR="00B25F07" w:rsidRPr="00B25F07" w:rsidTr="00B25F07">
        <w:trPr>
          <w:trHeight w:val="300"/>
        </w:trPr>
        <w:tc>
          <w:tcPr>
            <w:tcW w:w="2709" w:type="dxa"/>
            <w:tcBorders>
              <w:top w:val="nil"/>
              <w:left w:val="nil"/>
              <w:bottom w:val="nil"/>
              <w:right w:val="single" w:sz="4" w:space="0" w:color="auto"/>
            </w:tcBorders>
            <w:shd w:val="clear" w:color="auto" w:fill="auto"/>
            <w:noWrap/>
            <w:vAlign w:val="bottom"/>
            <w:hideMark/>
          </w:tcPr>
          <w:p w:rsidR="00B25F07" w:rsidRPr="00B25F07" w:rsidRDefault="00B25F07" w:rsidP="00B25F07">
            <w:pPr>
              <w:spacing w:after="0" w:line="240" w:lineRule="auto"/>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 xml:space="preserve"> - v tom z EÚ-25</w:t>
            </w:r>
          </w:p>
        </w:tc>
        <w:tc>
          <w:tcPr>
            <w:tcW w:w="1120" w:type="dxa"/>
            <w:tcBorders>
              <w:top w:val="nil"/>
              <w:left w:val="nil"/>
              <w:bottom w:val="nil"/>
              <w:right w:val="single" w:sz="4" w:space="0" w:color="auto"/>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20 190</w:t>
            </w:r>
          </w:p>
        </w:tc>
        <w:tc>
          <w:tcPr>
            <w:tcW w:w="112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104 509</w:t>
            </w:r>
          </w:p>
        </w:tc>
        <w:tc>
          <w:tcPr>
            <w:tcW w:w="112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106 815</w:t>
            </w:r>
          </w:p>
        </w:tc>
        <w:tc>
          <w:tcPr>
            <w:tcW w:w="112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110 001</w:t>
            </w:r>
          </w:p>
        </w:tc>
        <w:tc>
          <w:tcPr>
            <w:tcW w:w="96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119 990</w:t>
            </w:r>
          </w:p>
        </w:tc>
        <w:tc>
          <w:tcPr>
            <w:tcW w:w="96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114 528</w:t>
            </w:r>
          </w:p>
        </w:tc>
      </w:tr>
      <w:tr w:rsidR="00B25F07" w:rsidRPr="00B25F07" w:rsidTr="00B25F07">
        <w:trPr>
          <w:trHeight w:val="300"/>
        </w:trPr>
        <w:tc>
          <w:tcPr>
            <w:tcW w:w="2709" w:type="dxa"/>
            <w:tcBorders>
              <w:top w:val="nil"/>
              <w:left w:val="nil"/>
              <w:bottom w:val="single" w:sz="4" w:space="0" w:color="auto"/>
              <w:right w:val="single" w:sz="4" w:space="0" w:color="auto"/>
            </w:tcBorders>
            <w:shd w:val="clear" w:color="auto" w:fill="auto"/>
            <w:noWrap/>
            <w:vAlign w:val="bottom"/>
            <w:hideMark/>
          </w:tcPr>
          <w:p w:rsidR="00B25F07" w:rsidRPr="00B25F07" w:rsidRDefault="00B25F07" w:rsidP="00B25F07">
            <w:pPr>
              <w:spacing w:after="0" w:line="240" w:lineRule="auto"/>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Zmena ŠHR</w:t>
            </w:r>
          </w:p>
        </w:tc>
        <w:tc>
          <w:tcPr>
            <w:tcW w:w="1120" w:type="dxa"/>
            <w:tcBorders>
              <w:top w:val="nil"/>
              <w:left w:val="nil"/>
              <w:bottom w:val="single" w:sz="4" w:space="0" w:color="auto"/>
              <w:right w:val="single" w:sz="4" w:space="0" w:color="auto"/>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965</w:t>
            </w:r>
          </w:p>
        </w:tc>
        <w:tc>
          <w:tcPr>
            <w:tcW w:w="112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205</w:t>
            </w:r>
          </w:p>
        </w:tc>
        <w:tc>
          <w:tcPr>
            <w:tcW w:w="112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-72</w:t>
            </w:r>
          </w:p>
        </w:tc>
        <w:tc>
          <w:tcPr>
            <w:tcW w:w="112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79</w:t>
            </w:r>
          </w:p>
        </w:tc>
        <w:tc>
          <w:tcPr>
            <w:tcW w:w="96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7</w:t>
            </w:r>
          </w:p>
        </w:tc>
      </w:tr>
      <w:tr w:rsidR="00B25F07" w:rsidRPr="00B25F07" w:rsidTr="00B25F07">
        <w:trPr>
          <w:trHeight w:val="300"/>
        </w:trPr>
        <w:tc>
          <w:tcPr>
            <w:tcW w:w="2709" w:type="dxa"/>
            <w:tcBorders>
              <w:top w:val="nil"/>
              <w:left w:val="nil"/>
              <w:bottom w:val="nil"/>
              <w:right w:val="single" w:sz="4" w:space="0" w:color="auto"/>
            </w:tcBorders>
            <w:shd w:val="clear" w:color="000000" w:fill="F2F2F2"/>
            <w:noWrap/>
            <w:vAlign w:val="bottom"/>
            <w:hideMark/>
          </w:tcPr>
          <w:p w:rsidR="00B25F07" w:rsidRPr="00B25F07" w:rsidRDefault="00B25F07" w:rsidP="00B25F07">
            <w:pPr>
              <w:spacing w:after="0" w:line="240" w:lineRule="auto"/>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Celková ponuka</w:t>
            </w:r>
          </w:p>
        </w:tc>
        <w:tc>
          <w:tcPr>
            <w:tcW w:w="1120" w:type="dxa"/>
            <w:tcBorders>
              <w:top w:val="nil"/>
              <w:left w:val="nil"/>
              <w:bottom w:val="nil"/>
              <w:right w:val="single" w:sz="4" w:space="0" w:color="auto"/>
            </w:tcBorders>
            <w:shd w:val="clear" w:color="000000" w:fill="F2F2F2"/>
            <w:noWrap/>
            <w:vAlign w:val="bottom"/>
            <w:hideMark/>
          </w:tcPr>
          <w:p w:rsidR="00B25F07" w:rsidRPr="00B25F07" w:rsidRDefault="00B25F07" w:rsidP="00B25F07">
            <w:pPr>
              <w:spacing w:after="0" w:line="240" w:lineRule="auto"/>
              <w:jc w:val="right"/>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185 333</w:t>
            </w:r>
          </w:p>
        </w:tc>
        <w:tc>
          <w:tcPr>
            <w:tcW w:w="1120" w:type="dxa"/>
            <w:tcBorders>
              <w:top w:val="nil"/>
              <w:left w:val="nil"/>
              <w:bottom w:val="nil"/>
              <w:right w:val="nil"/>
            </w:tcBorders>
            <w:shd w:val="clear" w:color="000000" w:fill="F2F2F2"/>
            <w:noWrap/>
            <w:vAlign w:val="bottom"/>
            <w:hideMark/>
          </w:tcPr>
          <w:p w:rsidR="00B25F07" w:rsidRPr="00B25F07" w:rsidRDefault="00B25F07" w:rsidP="00B25F07">
            <w:pPr>
              <w:spacing w:after="0" w:line="240" w:lineRule="auto"/>
              <w:jc w:val="right"/>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225 490</w:t>
            </w:r>
          </w:p>
        </w:tc>
        <w:tc>
          <w:tcPr>
            <w:tcW w:w="1120" w:type="dxa"/>
            <w:tcBorders>
              <w:top w:val="nil"/>
              <w:left w:val="nil"/>
              <w:bottom w:val="nil"/>
              <w:right w:val="nil"/>
            </w:tcBorders>
            <w:shd w:val="clear" w:color="000000" w:fill="F2F2F2"/>
            <w:noWrap/>
            <w:vAlign w:val="bottom"/>
            <w:hideMark/>
          </w:tcPr>
          <w:p w:rsidR="00B25F07" w:rsidRPr="00B25F07" w:rsidRDefault="00B25F07" w:rsidP="00B25F07">
            <w:pPr>
              <w:spacing w:after="0" w:line="240" w:lineRule="auto"/>
              <w:jc w:val="right"/>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211 946</w:t>
            </w:r>
          </w:p>
        </w:tc>
        <w:tc>
          <w:tcPr>
            <w:tcW w:w="1120" w:type="dxa"/>
            <w:tcBorders>
              <w:top w:val="nil"/>
              <w:left w:val="nil"/>
              <w:bottom w:val="nil"/>
              <w:right w:val="nil"/>
            </w:tcBorders>
            <w:shd w:val="clear" w:color="000000" w:fill="F2F2F2"/>
            <w:noWrap/>
            <w:vAlign w:val="bottom"/>
            <w:hideMark/>
          </w:tcPr>
          <w:p w:rsidR="00B25F07" w:rsidRPr="00B25F07" w:rsidRDefault="00B25F07" w:rsidP="00B25F07">
            <w:pPr>
              <w:spacing w:after="0" w:line="240" w:lineRule="auto"/>
              <w:jc w:val="right"/>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199 483</w:t>
            </w:r>
          </w:p>
        </w:tc>
        <w:tc>
          <w:tcPr>
            <w:tcW w:w="960" w:type="dxa"/>
            <w:tcBorders>
              <w:top w:val="nil"/>
              <w:left w:val="nil"/>
              <w:bottom w:val="nil"/>
              <w:right w:val="nil"/>
            </w:tcBorders>
            <w:shd w:val="clear" w:color="000000" w:fill="F2F2F2"/>
            <w:noWrap/>
            <w:vAlign w:val="bottom"/>
            <w:hideMark/>
          </w:tcPr>
          <w:p w:rsidR="00B25F07" w:rsidRPr="00B25F07" w:rsidRDefault="00B25F07" w:rsidP="00B25F07">
            <w:pPr>
              <w:spacing w:after="0" w:line="240" w:lineRule="auto"/>
              <w:jc w:val="right"/>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212 703</w:t>
            </w:r>
          </w:p>
        </w:tc>
        <w:tc>
          <w:tcPr>
            <w:tcW w:w="960" w:type="dxa"/>
            <w:tcBorders>
              <w:top w:val="nil"/>
              <w:left w:val="nil"/>
              <w:bottom w:val="nil"/>
              <w:right w:val="nil"/>
            </w:tcBorders>
            <w:shd w:val="clear" w:color="000000" w:fill="F2F2F2"/>
            <w:noWrap/>
            <w:vAlign w:val="bottom"/>
            <w:hideMark/>
          </w:tcPr>
          <w:p w:rsidR="00B25F07" w:rsidRPr="00B25F07" w:rsidRDefault="00B25F07" w:rsidP="00B25F07">
            <w:pPr>
              <w:spacing w:after="0" w:line="240" w:lineRule="auto"/>
              <w:jc w:val="right"/>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206 435</w:t>
            </w:r>
          </w:p>
        </w:tc>
      </w:tr>
      <w:tr w:rsidR="00B25F07" w:rsidRPr="00B25F07" w:rsidTr="00B25F07">
        <w:trPr>
          <w:trHeight w:val="300"/>
        </w:trPr>
        <w:tc>
          <w:tcPr>
            <w:tcW w:w="2709" w:type="dxa"/>
            <w:tcBorders>
              <w:top w:val="nil"/>
              <w:left w:val="nil"/>
              <w:bottom w:val="nil"/>
              <w:right w:val="single" w:sz="4" w:space="0" w:color="auto"/>
            </w:tcBorders>
            <w:shd w:val="clear" w:color="auto" w:fill="auto"/>
            <w:noWrap/>
            <w:vAlign w:val="bottom"/>
            <w:hideMark/>
          </w:tcPr>
          <w:p w:rsidR="00B25F07" w:rsidRPr="00B25F07" w:rsidRDefault="00B25F07" w:rsidP="00B25F07">
            <w:pPr>
              <w:spacing w:after="0" w:line="240" w:lineRule="auto"/>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Vývoz</w:t>
            </w:r>
          </w:p>
        </w:tc>
        <w:tc>
          <w:tcPr>
            <w:tcW w:w="1120" w:type="dxa"/>
            <w:tcBorders>
              <w:top w:val="nil"/>
              <w:left w:val="nil"/>
              <w:bottom w:val="nil"/>
              <w:right w:val="single" w:sz="4" w:space="0" w:color="auto"/>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335</w:t>
            </w:r>
          </w:p>
        </w:tc>
        <w:tc>
          <w:tcPr>
            <w:tcW w:w="112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39 666</w:t>
            </w:r>
          </w:p>
        </w:tc>
        <w:tc>
          <w:tcPr>
            <w:tcW w:w="112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31 701</w:t>
            </w:r>
          </w:p>
        </w:tc>
        <w:tc>
          <w:tcPr>
            <w:tcW w:w="112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23 566</w:t>
            </w:r>
          </w:p>
        </w:tc>
        <w:tc>
          <w:tcPr>
            <w:tcW w:w="96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41 617</w:t>
            </w:r>
          </w:p>
        </w:tc>
        <w:tc>
          <w:tcPr>
            <w:tcW w:w="96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50 089</w:t>
            </w:r>
          </w:p>
        </w:tc>
      </w:tr>
      <w:tr w:rsidR="00B25F07" w:rsidRPr="00B25F07" w:rsidTr="00B25F07">
        <w:trPr>
          <w:trHeight w:val="300"/>
        </w:trPr>
        <w:tc>
          <w:tcPr>
            <w:tcW w:w="2709" w:type="dxa"/>
            <w:tcBorders>
              <w:top w:val="nil"/>
              <w:left w:val="nil"/>
              <w:bottom w:val="nil"/>
              <w:right w:val="single" w:sz="4" w:space="0" w:color="auto"/>
            </w:tcBorders>
            <w:shd w:val="clear" w:color="auto" w:fill="auto"/>
            <w:noWrap/>
            <w:vAlign w:val="bottom"/>
            <w:hideMark/>
          </w:tcPr>
          <w:p w:rsidR="00B25F07" w:rsidRPr="00B25F07" w:rsidRDefault="00B25F07" w:rsidP="00B25F07">
            <w:pPr>
              <w:spacing w:after="0" w:line="240" w:lineRule="auto"/>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 xml:space="preserve"> - v tom z EÚ-25</w:t>
            </w:r>
          </w:p>
        </w:tc>
        <w:tc>
          <w:tcPr>
            <w:tcW w:w="1120" w:type="dxa"/>
            <w:tcBorders>
              <w:top w:val="nil"/>
              <w:left w:val="nil"/>
              <w:bottom w:val="nil"/>
              <w:right w:val="single" w:sz="4" w:space="0" w:color="auto"/>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331</w:t>
            </w:r>
          </w:p>
        </w:tc>
        <w:tc>
          <w:tcPr>
            <w:tcW w:w="112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39 542</w:t>
            </w:r>
          </w:p>
        </w:tc>
        <w:tc>
          <w:tcPr>
            <w:tcW w:w="112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31 138</w:t>
            </w:r>
          </w:p>
        </w:tc>
        <w:tc>
          <w:tcPr>
            <w:tcW w:w="112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23 489</w:t>
            </w:r>
          </w:p>
        </w:tc>
        <w:tc>
          <w:tcPr>
            <w:tcW w:w="96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41 546</w:t>
            </w:r>
          </w:p>
        </w:tc>
        <w:tc>
          <w:tcPr>
            <w:tcW w:w="96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49 345</w:t>
            </w:r>
          </w:p>
        </w:tc>
      </w:tr>
      <w:tr w:rsidR="00B25F07" w:rsidRPr="00B25F07" w:rsidTr="00B25F07">
        <w:trPr>
          <w:trHeight w:val="300"/>
        </w:trPr>
        <w:tc>
          <w:tcPr>
            <w:tcW w:w="2709" w:type="dxa"/>
            <w:tcBorders>
              <w:top w:val="nil"/>
              <w:left w:val="nil"/>
              <w:bottom w:val="nil"/>
              <w:right w:val="single" w:sz="4" w:space="0" w:color="auto"/>
            </w:tcBorders>
            <w:shd w:val="clear" w:color="auto" w:fill="auto"/>
            <w:noWrap/>
            <w:vAlign w:val="bottom"/>
            <w:hideMark/>
          </w:tcPr>
          <w:p w:rsidR="00B25F07" w:rsidRPr="00B25F07" w:rsidRDefault="00B25F07" w:rsidP="00B25F07">
            <w:pPr>
              <w:spacing w:after="0" w:line="240" w:lineRule="auto"/>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Spotreba mäsa</w:t>
            </w:r>
          </w:p>
        </w:tc>
        <w:tc>
          <w:tcPr>
            <w:tcW w:w="1120" w:type="dxa"/>
            <w:tcBorders>
              <w:top w:val="nil"/>
              <w:left w:val="nil"/>
              <w:bottom w:val="nil"/>
              <w:right w:val="single" w:sz="4" w:space="0" w:color="auto"/>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172 400</w:t>
            </w:r>
          </w:p>
        </w:tc>
        <w:tc>
          <w:tcPr>
            <w:tcW w:w="112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178 442</w:t>
            </w:r>
          </w:p>
        </w:tc>
        <w:tc>
          <w:tcPr>
            <w:tcW w:w="112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175 742</w:t>
            </w:r>
          </w:p>
        </w:tc>
        <w:tc>
          <w:tcPr>
            <w:tcW w:w="112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168 583</w:t>
            </w:r>
          </w:p>
        </w:tc>
        <w:tc>
          <w:tcPr>
            <w:tcW w:w="96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166 575</w:t>
            </w:r>
          </w:p>
        </w:tc>
        <w:tc>
          <w:tcPr>
            <w:tcW w:w="960" w:type="dxa"/>
            <w:tcBorders>
              <w:top w:val="nil"/>
              <w:left w:val="nil"/>
              <w:bottom w:val="nil"/>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151 872</w:t>
            </w:r>
          </w:p>
        </w:tc>
      </w:tr>
      <w:tr w:rsidR="00B25F07" w:rsidRPr="00B25F07" w:rsidTr="00B25F07">
        <w:trPr>
          <w:trHeight w:val="300"/>
        </w:trPr>
        <w:tc>
          <w:tcPr>
            <w:tcW w:w="2709" w:type="dxa"/>
            <w:tcBorders>
              <w:top w:val="nil"/>
              <w:left w:val="nil"/>
              <w:bottom w:val="single" w:sz="4" w:space="0" w:color="auto"/>
              <w:right w:val="single" w:sz="4" w:space="0" w:color="auto"/>
            </w:tcBorders>
            <w:shd w:val="clear" w:color="auto" w:fill="auto"/>
            <w:noWrap/>
            <w:vAlign w:val="bottom"/>
            <w:hideMark/>
          </w:tcPr>
          <w:p w:rsidR="00B25F07" w:rsidRPr="00B25F07" w:rsidRDefault="00B25F07" w:rsidP="00B25F07">
            <w:pPr>
              <w:spacing w:after="0" w:line="240" w:lineRule="auto"/>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Ostatné úbytky</w:t>
            </w:r>
          </w:p>
        </w:tc>
        <w:tc>
          <w:tcPr>
            <w:tcW w:w="1120" w:type="dxa"/>
            <w:tcBorders>
              <w:top w:val="nil"/>
              <w:left w:val="nil"/>
              <w:bottom w:val="single" w:sz="4" w:space="0" w:color="auto"/>
              <w:right w:val="single" w:sz="4" w:space="0" w:color="auto"/>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6 487</w:t>
            </w:r>
          </w:p>
        </w:tc>
        <w:tc>
          <w:tcPr>
            <w:tcW w:w="112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2 656</w:t>
            </w:r>
          </w:p>
        </w:tc>
        <w:tc>
          <w:tcPr>
            <w:tcW w:w="112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2 125</w:t>
            </w:r>
          </w:p>
        </w:tc>
        <w:tc>
          <w:tcPr>
            <w:tcW w:w="112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1 389</w:t>
            </w:r>
          </w:p>
        </w:tc>
        <w:tc>
          <w:tcPr>
            <w:tcW w:w="96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1 266</w:t>
            </w:r>
          </w:p>
        </w:tc>
        <w:tc>
          <w:tcPr>
            <w:tcW w:w="96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1 245</w:t>
            </w:r>
          </w:p>
        </w:tc>
      </w:tr>
      <w:tr w:rsidR="00B25F07" w:rsidRPr="00B25F07" w:rsidTr="00B25F07">
        <w:trPr>
          <w:trHeight w:val="300"/>
        </w:trPr>
        <w:tc>
          <w:tcPr>
            <w:tcW w:w="2709" w:type="dxa"/>
            <w:tcBorders>
              <w:top w:val="nil"/>
              <w:left w:val="nil"/>
              <w:bottom w:val="nil"/>
              <w:right w:val="single" w:sz="4" w:space="0" w:color="auto"/>
            </w:tcBorders>
            <w:shd w:val="clear" w:color="000000" w:fill="F2F2F2"/>
            <w:noWrap/>
            <w:vAlign w:val="bottom"/>
            <w:hideMark/>
          </w:tcPr>
          <w:p w:rsidR="00B25F07" w:rsidRPr="00B25F07" w:rsidRDefault="00B25F07" w:rsidP="00B25F07">
            <w:pPr>
              <w:spacing w:after="0" w:line="240" w:lineRule="auto"/>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Celkové použitie</w:t>
            </w:r>
          </w:p>
        </w:tc>
        <w:tc>
          <w:tcPr>
            <w:tcW w:w="1120" w:type="dxa"/>
            <w:tcBorders>
              <w:top w:val="nil"/>
              <w:left w:val="nil"/>
              <w:bottom w:val="nil"/>
              <w:right w:val="single" w:sz="4" w:space="0" w:color="auto"/>
            </w:tcBorders>
            <w:shd w:val="clear" w:color="000000" w:fill="F2F2F2"/>
            <w:noWrap/>
            <w:vAlign w:val="bottom"/>
            <w:hideMark/>
          </w:tcPr>
          <w:p w:rsidR="00B25F07" w:rsidRPr="00B25F07" w:rsidRDefault="00B25F07" w:rsidP="00B25F07">
            <w:pPr>
              <w:spacing w:after="0" w:line="240" w:lineRule="auto"/>
              <w:jc w:val="right"/>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179 222</w:t>
            </w:r>
          </w:p>
        </w:tc>
        <w:tc>
          <w:tcPr>
            <w:tcW w:w="1120" w:type="dxa"/>
            <w:tcBorders>
              <w:top w:val="nil"/>
              <w:left w:val="nil"/>
              <w:bottom w:val="nil"/>
              <w:right w:val="nil"/>
            </w:tcBorders>
            <w:shd w:val="clear" w:color="000000" w:fill="F2F2F2"/>
            <w:noWrap/>
            <w:vAlign w:val="bottom"/>
            <w:hideMark/>
          </w:tcPr>
          <w:p w:rsidR="00B25F07" w:rsidRPr="00B25F07" w:rsidRDefault="00B25F07" w:rsidP="00B25F07">
            <w:pPr>
              <w:spacing w:after="0" w:line="240" w:lineRule="auto"/>
              <w:jc w:val="right"/>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220 764</w:t>
            </w:r>
          </w:p>
        </w:tc>
        <w:tc>
          <w:tcPr>
            <w:tcW w:w="1120" w:type="dxa"/>
            <w:tcBorders>
              <w:top w:val="nil"/>
              <w:left w:val="nil"/>
              <w:bottom w:val="nil"/>
              <w:right w:val="nil"/>
            </w:tcBorders>
            <w:shd w:val="clear" w:color="000000" w:fill="F2F2F2"/>
            <w:noWrap/>
            <w:vAlign w:val="bottom"/>
            <w:hideMark/>
          </w:tcPr>
          <w:p w:rsidR="00B25F07" w:rsidRPr="00B25F07" w:rsidRDefault="00B25F07" w:rsidP="00B25F07">
            <w:pPr>
              <w:spacing w:after="0" w:line="240" w:lineRule="auto"/>
              <w:jc w:val="right"/>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209 567</w:t>
            </w:r>
          </w:p>
        </w:tc>
        <w:tc>
          <w:tcPr>
            <w:tcW w:w="1120" w:type="dxa"/>
            <w:tcBorders>
              <w:top w:val="nil"/>
              <w:left w:val="nil"/>
              <w:bottom w:val="nil"/>
              <w:right w:val="nil"/>
            </w:tcBorders>
            <w:shd w:val="clear" w:color="000000" w:fill="F2F2F2"/>
            <w:noWrap/>
            <w:vAlign w:val="bottom"/>
            <w:hideMark/>
          </w:tcPr>
          <w:p w:rsidR="00B25F07" w:rsidRPr="00B25F07" w:rsidRDefault="00B25F07" w:rsidP="00B25F07">
            <w:pPr>
              <w:spacing w:after="0" w:line="240" w:lineRule="auto"/>
              <w:jc w:val="right"/>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193 538</w:t>
            </w:r>
          </w:p>
        </w:tc>
        <w:tc>
          <w:tcPr>
            <w:tcW w:w="960" w:type="dxa"/>
            <w:tcBorders>
              <w:top w:val="nil"/>
              <w:left w:val="nil"/>
              <w:bottom w:val="nil"/>
              <w:right w:val="nil"/>
            </w:tcBorders>
            <w:shd w:val="clear" w:color="000000" w:fill="F2F2F2"/>
            <w:noWrap/>
            <w:vAlign w:val="bottom"/>
            <w:hideMark/>
          </w:tcPr>
          <w:p w:rsidR="00B25F07" w:rsidRPr="00B25F07" w:rsidRDefault="00B25F07" w:rsidP="00B25F07">
            <w:pPr>
              <w:spacing w:after="0" w:line="240" w:lineRule="auto"/>
              <w:jc w:val="right"/>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209 458</w:t>
            </w:r>
          </w:p>
        </w:tc>
        <w:tc>
          <w:tcPr>
            <w:tcW w:w="960" w:type="dxa"/>
            <w:tcBorders>
              <w:top w:val="nil"/>
              <w:left w:val="nil"/>
              <w:bottom w:val="nil"/>
              <w:right w:val="nil"/>
            </w:tcBorders>
            <w:shd w:val="clear" w:color="000000" w:fill="F2F2F2"/>
            <w:noWrap/>
            <w:vAlign w:val="bottom"/>
            <w:hideMark/>
          </w:tcPr>
          <w:p w:rsidR="00B25F07" w:rsidRPr="00B25F07" w:rsidRDefault="00B25F07" w:rsidP="00B25F07">
            <w:pPr>
              <w:spacing w:after="0" w:line="240" w:lineRule="auto"/>
              <w:jc w:val="right"/>
              <w:rPr>
                <w:rFonts w:ascii="Times New Roman" w:eastAsia="Times New Roman" w:hAnsi="Times New Roman" w:cs="Times New Roman"/>
                <w:b/>
                <w:bCs/>
                <w:color w:val="000000"/>
                <w:sz w:val="20"/>
                <w:szCs w:val="20"/>
              </w:rPr>
            </w:pPr>
            <w:r w:rsidRPr="00B25F07">
              <w:rPr>
                <w:rFonts w:ascii="Times New Roman" w:eastAsia="Times New Roman" w:hAnsi="Times New Roman" w:cs="Times New Roman"/>
                <w:b/>
                <w:bCs/>
                <w:color w:val="000000"/>
                <w:sz w:val="20"/>
                <w:szCs w:val="20"/>
              </w:rPr>
              <w:t>203 205</w:t>
            </w:r>
          </w:p>
        </w:tc>
      </w:tr>
      <w:tr w:rsidR="00B25F07" w:rsidRPr="00B25F07" w:rsidTr="00B25F07">
        <w:trPr>
          <w:trHeight w:val="300"/>
        </w:trPr>
        <w:tc>
          <w:tcPr>
            <w:tcW w:w="2709" w:type="dxa"/>
            <w:tcBorders>
              <w:top w:val="nil"/>
              <w:left w:val="nil"/>
              <w:bottom w:val="single" w:sz="4" w:space="0" w:color="auto"/>
              <w:right w:val="single" w:sz="4" w:space="0" w:color="auto"/>
            </w:tcBorders>
            <w:shd w:val="clear" w:color="auto" w:fill="auto"/>
            <w:noWrap/>
            <w:vAlign w:val="bottom"/>
            <w:hideMark/>
          </w:tcPr>
          <w:p w:rsidR="00B25F07" w:rsidRPr="00B25F07" w:rsidRDefault="00B25F07" w:rsidP="00B25F07">
            <w:pPr>
              <w:spacing w:after="0" w:line="240" w:lineRule="auto"/>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Konečné zásoby</w:t>
            </w:r>
          </w:p>
        </w:tc>
        <w:tc>
          <w:tcPr>
            <w:tcW w:w="1120" w:type="dxa"/>
            <w:tcBorders>
              <w:top w:val="nil"/>
              <w:left w:val="nil"/>
              <w:bottom w:val="single" w:sz="4" w:space="0" w:color="auto"/>
              <w:right w:val="single" w:sz="4" w:space="0" w:color="auto"/>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6 111</w:t>
            </w:r>
          </w:p>
        </w:tc>
        <w:tc>
          <w:tcPr>
            <w:tcW w:w="112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4 726</w:t>
            </w:r>
          </w:p>
        </w:tc>
        <w:tc>
          <w:tcPr>
            <w:tcW w:w="112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2 379</w:t>
            </w:r>
          </w:p>
        </w:tc>
        <w:tc>
          <w:tcPr>
            <w:tcW w:w="112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5 945</w:t>
            </w:r>
          </w:p>
        </w:tc>
        <w:tc>
          <w:tcPr>
            <w:tcW w:w="96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3 245</w:t>
            </w:r>
          </w:p>
        </w:tc>
        <w:tc>
          <w:tcPr>
            <w:tcW w:w="960" w:type="dxa"/>
            <w:tcBorders>
              <w:top w:val="nil"/>
              <w:left w:val="nil"/>
              <w:bottom w:val="single" w:sz="4" w:space="0" w:color="auto"/>
              <w:right w:val="nil"/>
            </w:tcBorders>
            <w:shd w:val="clear" w:color="auto" w:fill="auto"/>
            <w:noWrap/>
            <w:vAlign w:val="bottom"/>
            <w:hideMark/>
          </w:tcPr>
          <w:p w:rsidR="00B25F07" w:rsidRPr="00B25F07" w:rsidRDefault="00B25F07" w:rsidP="00B25F07">
            <w:pPr>
              <w:spacing w:after="0" w:line="240" w:lineRule="auto"/>
              <w:jc w:val="right"/>
              <w:rPr>
                <w:rFonts w:ascii="Times New Roman" w:eastAsia="Times New Roman" w:hAnsi="Times New Roman" w:cs="Times New Roman"/>
                <w:color w:val="000000"/>
                <w:sz w:val="20"/>
                <w:szCs w:val="20"/>
              </w:rPr>
            </w:pPr>
            <w:r w:rsidRPr="00B25F07">
              <w:rPr>
                <w:rFonts w:ascii="Times New Roman" w:eastAsia="Times New Roman" w:hAnsi="Times New Roman" w:cs="Times New Roman"/>
                <w:color w:val="000000"/>
                <w:sz w:val="20"/>
                <w:szCs w:val="20"/>
              </w:rPr>
              <w:t>3 230</w:t>
            </w:r>
          </w:p>
        </w:tc>
      </w:tr>
    </w:tbl>
    <w:p w:rsidR="00960B36" w:rsidRDefault="00960B36" w:rsidP="00960B3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960B36" w:rsidRDefault="00960B36" w:rsidP="00960B36">
      <w:pPr>
        <w:spacing w:after="0" w:line="240" w:lineRule="auto"/>
        <w:jc w:val="both"/>
        <w:rPr>
          <w:rFonts w:ascii="Times New Roman" w:hAnsi="Times New Roman" w:cs="Times New Roman"/>
          <w:sz w:val="24"/>
          <w:szCs w:val="24"/>
        </w:rPr>
      </w:pPr>
    </w:p>
    <w:p w:rsidR="00960B36" w:rsidRDefault="00960B36" w:rsidP="00960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Príčiny nízkej miery </w:t>
      </w:r>
      <w:r w:rsidR="005B3A16">
        <w:rPr>
          <w:rFonts w:ascii="Times New Roman" w:hAnsi="Times New Roman" w:cs="Times New Roman"/>
          <w:sz w:val="24"/>
          <w:szCs w:val="24"/>
        </w:rPr>
        <w:t>produkčnej výkonnosti</w:t>
      </w:r>
      <w:r>
        <w:rPr>
          <w:rFonts w:ascii="Times New Roman" w:hAnsi="Times New Roman" w:cs="Times New Roman"/>
          <w:sz w:val="24"/>
          <w:szCs w:val="24"/>
        </w:rPr>
        <w:t xml:space="preserve"> v tejto komodite z hľadiska prvovýroby je teda potrebné hľadať jednak v trvalom poklese stavov živých ošípaných</w:t>
      </w:r>
      <w:r w:rsidR="00C923AA">
        <w:rPr>
          <w:rFonts w:ascii="Times New Roman" w:hAnsi="Times New Roman" w:cs="Times New Roman"/>
          <w:sz w:val="24"/>
          <w:szCs w:val="24"/>
        </w:rPr>
        <w:t xml:space="preserve">, ktoré klesajú </w:t>
      </w:r>
      <w:r w:rsidR="00E80D96">
        <w:rPr>
          <w:rFonts w:ascii="Times New Roman" w:hAnsi="Times New Roman" w:cs="Times New Roman"/>
          <w:sz w:val="24"/>
          <w:szCs w:val="24"/>
        </w:rPr>
        <w:t>geometricky v porovnaní</w:t>
      </w:r>
      <w:r w:rsidR="00C923AA">
        <w:rPr>
          <w:rFonts w:ascii="Times New Roman" w:hAnsi="Times New Roman" w:cs="Times New Roman"/>
          <w:sz w:val="24"/>
          <w:szCs w:val="24"/>
        </w:rPr>
        <w:t xml:space="preserve"> s vývojom spotreby bravčového mäsa na obyvateľa,</w:t>
      </w:r>
      <w:r>
        <w:rPr>
          <w:rFonts w:ascii="Times New Roman" w:hAnsi="Times New Roman" w:cs="Times New Roman"/>
          <w:sz w:val="24"/>
          <w:szCs w:val="24"/>
        </w:rPr>
        <w:t xml:space="preserve"> a jednak v zápornom </w:t>
      </w:r>
      <w:r w:rsidR="00D646B1">
        <w:rPr>
          <w:rFonts w:ascii="Times New Roman" w:hAnsi="Times New Roman" w:cs="Times New Roman"/>
          <w:sz w:val="24"/>
          <w:szCs w:val="24"/>
        </w:rPr>
        <w:t>sal</w:t>
      </w:r>
      <w:r>
        <w:rPr>
          <w:rFonts w:ascii="Times New Roman" w:hAnsi="Times New Roman" w:cs="Times New Roman"/>
          <w:sz w:val="24"/>
          <w:szCs w:val="24"/>
        </w:rPr>
        <w:t>de zahraničného obchodu so živými ošípanými.</w:t>
      </w:r>
      <w:r w:rsidR="00325BA3">
        <w:rPr>
          <w:rFonts w:ascii="Times New Roman" w:hAnsi="Times New Roman" w:cs="Times New Roman"/>
          <w:sz w:val="24"/>
          <w:szCs w:val="24"/>
        </w:rPr>
        <w:t xml:space="preserve"> Berúc do úvahy referenčný rok 2002, počet ošípaných takto klesol o takmer 63 %, čo v absolútnych číslach znamená pokles o 937,5 tis. ks.</w:t>
      </w:r>
    </w:p>
    <w:p w:rsidR="00C923AA" w:rsidRDefault="00C923AA" w:rsidP="00960B36">
      <w:pPr>
        <w:spacing w:after="0" w:line="240" w:lineRule="auto"/>
        <w:jc w:val="both"/>
        <w:rPr>
          <w:rFonts w:ascii="Times New Roman" w:hAnsi="Times New Roman" w:cs="Times New Roman"/>
          <w:sz w:val="24"/>
          <w:szCs w:val="24"/>
        </w:rPr>
      </w:pPr>
    </w:p>
    <w:p w:rsidR="00C923AA" w:rsidRDefault="00C970F8" w:rsidP="00623AC2">
      <w:pPr>
        <w:spacing w:after="0" w:line="240" w:lineRule="auto"/>
        <w:rPr>
          <w:rFonts w:ascii="Times New Roman" w:hAnsi="Times New Roman" w:cs="Times New Roman"/>
          <w:sz w:val="24"/>
          <w:szCs w:val="24"/>
        </w:rPr>
      </w:pPr>
      <w:r>
        <w:rPr>
          <w:rFonts w:ascii="Times New Roman" w:hAnsi="Times New Roman" w:cs="Times New Roman"/>
          <w:sz w:val="20"/>
          <w:szCs w:val="20"/>
        </w:rPr>
        <w:t>Graf č. 12</w:t>
      </w:r>
      <w:r w:rsidR="00C923AA" w:rsidRPr="00C55549">
        <w:rPr>
          <w:rFonts w:ascii="Times New Roman" w:hAnsi="Times New Roman" w:cs="Times New Roman"/>
          <w:sz w:val="20"/>
          <w:szCs w:val="20"/>
        </w:rPr>
        <w:t>:</w:t>
      </w:r>
      <w:r w:rsidR="00BD3B11" w:rsidRPr="00BD3B11">
        <w:rPr>
          <w:rFonts w:ascii="Times New Roman" w:hAnsi="Times New Roman" w:cs="Times New Roman"/>
          <w:sz w:val="20"/>
          <w:szCs w:val="20"/>
        </w:rPr>
        <w:t>Vývoj počtu ošípaných a spotreby bravčového mäsa na obyvateľa</w:t>
      </w:r>
      <w:r w:rsidR="008E526F">
        <w:rPr>
          <w:noProof/>
        </w:rPr>
        <w:drawing>
          <wp:inline distT="0" distB="0" distL="0" distR="0" wp14:anchorId="3DA6E66D" wp14:editId="46E2B4F8">
            <wp:extent cx="5764377" cy="2743200"/>
            <wp:effectExtent l="0" t="0" r="0" b="0"/>
            <wp:docPr id="297" name="Graf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23AA" w:rsidRDefault="00C923AA" w:rsidP="00623AC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5B3A16" w:rsidRDefault="005B3A16" w:rsidP="00623AC2">
      <w:pPr>
        <w:spacing w:after="0" w:line="240" w:lineRule="auto"/>
        <w:jc w:val="both"/>
        <w:rPr>
          <w:rFonts w:ascii="Times New Roman" w:hAnsi="Times New Roman" w:cs="Times New Roman"/>
          <w:sz w:val="24"/>
          <w:szCs w:val="24"/>
        </w:rPr>
      </w:pPr>
    </w:p>
    <w:p w:rsidR="000F1441" w:rsidRDefault="002D3C2C" w:rsidP="00623A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Súčasnú úroveň hrubej domácej produkcie </w:t>
      </w:r>
      <w:r w:rsidR="009D3D66">
        <w:rPr>
          <w:rFonts w:ascii="Times New Roman" w:hAnsi="Times New Roman" w:cs="Times New Roman"/>
          <w:sz w:val="24"/>
          <w:szCs w:val="24"/>
        </w:rPr>
        <w:t>udržuje</w:t>
      </w:r>
      <w:r>
        <w:rPr>
          <w:rFonts w:ascii="Times New Roman" w:hAnsi="Times New Roman" w:cs="Times New Roman"/>
          <w:sz w:val="24"/>
          <w:szCs w:val="24"/>
        </w:rPr>
        <w:t xml:space="preserve"> výlučne intenzifikácia chovov ošípaných, meraná pomocou počtu prasníc a miery ich reprodukcie. Vývoj intenzifikácie chovov ošípaných však nedosahuje parametre, ktoré by znamenali </w:t>
      </w:r>
      <w:r w:rsidR="009D3D66">
        <w:rPr>
          <w:rFonts w:ascii="Times New Roman" w:hAnsi="Times New Roman" w:cs="Times New Roman"/>
          <w:sz w:val="24"/>
          <w:szCs w:val="24"/>
        </w:rPr>
        <w:t>nárast</w:t>
      </w:r>
      <w:r w:rsidR="009B3A95">
        <w:rPr>
          <w:rFonts w:ascii="Times New Roman" w:hAnsi="Times New Roman" w:cs="Times New Roman"/>
          <w:sz w:val="24"/>
          <w:szCs w:val="24"/>
        </w:rPr>
        <w:t xml:space="preserve"> </w:t>
      </w:r>
      <w:r w:rsidR="009D3D66">
        <w:rPr>
          <w:rFonts w:ascii="Times New Roman" w:hAnsi="Times New Roman" w:cs="Times New Roman"/>
          <w:sz w:val="24"/>
          <w:szCs w:val="24"/>
        </w:rPr>
        <w:t>v počte ošípaných</w:t>
      </w:r>
      <w:r>
        <w:rPr>
          <w:rFonts w:ascii="Times New Roman" w:hAnsi="Times New Roman" w:cs="Times New Roman"/>
          <w:sz w:val="24"/>
          <w:szCs w:val="24"/>
        </w:rPr>
        <w:t>.</w:t>
      </w:r>
    </w:p>
    <w:p w:rsidR="00E80D96" w:rsidRDefault="00E80D96" w:rsidP="00623AC2">
      <w:pPr>
        <w:spacing w:after="0" w:line="240" w:lineRule="auto"/>
        <w:jc w:val="both"/>
        <w:rPr>
          <w:rFonts w:ascii="Times New Roman" w:hAnsi="Times New Roman" w:cs="Times New Roman"/>
          <w:sz w:val="20"/>
          <w:szCs w:val="20"/>
        </w:rPr>
      </w:pPr>
    </w:p>
    <w:p w:rsidR="002D3C2C" w:rsidRDefault="00C970F8" w:rsidP="00623AC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Graf č. 13</w:t>
      </w:r>
      <w:r w:rsidR="002D3C2C" w:rsidRPr="00C55549">
        <w:rPr>
          <w:rFonts w:ascii="Times New Roman" w:hAnsi="Times New Roman" w:cs="Times New Roman"/>
          <w:sz w:val="20"/>
          <w:szCs w:val="20"/>
        </w:rPr>
        <w:t>:</w:t>
      </w:r>
      <w:r w:rsidR="00BD3B11">
        <w:rPr>
          <w:rFonts w:ascii="Times New Roman" w:hAnsi="Times New Roman" w:cs="Times New Roman"/>
          <w:sz w:val="20"/>
          <w:szCs w:val="20"/>
        </w:rPr>
        <w:t xml:space="preserve"> Vývoj indexov počtu ošípaných, hrubej domácej produkcie a počtu prasníc</w:t>
      </w:r>
    </w:p>
    <w:p w:rsidR="002D3C2C" w:rsidRDefault="002D3C2C" w:rsidP="00623AC2">
      <w:pPr>
        <w:spacing w:after="0" w:line="240" w:lineRule="auto"/>
        <w:jc w:val="both"/>
        <w:rPr>
          <w:rFonts w:ascii="Times New Roman" w:hAnsi="Times New Roman" w:cs="Times New Roman"/>
          <w:sz w:val="24"/>
          <w:szCs w:val="24"/>
        </w:rPr>
      </w:pPr>
      <w:r>
        <w:rPr>
          <w:noProof/>
        </w:rPr>
        <w:drawing>
          <wp:inline distT="0" distB="0" distL="0" distR="0" wp14:anchorId="024571FA" wp14:editId="3D323C2B">
            <wp:extent cx="5723906" cy="2636323"/>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D3D66" w:rsidRDefault="009D3D66" w:rsidP="009D3D6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844545" w:rsidRDefault="00844545" w:rsidP="00623AC2">
      <w:pPr>
        <w:spacing w:after="0" w:line="240" w:lineRule="auto"/>
        <w:jc w:val="both"/>
        <w:rPr>
          <w:rFonts w:ascii="Times New Roman" w:hAnsi="Times New Roman" w:cs="Times New Roman"/>
          <w:sz w:val="24"/>
          <w:szCs w:val="24"/>
        </w:rPr>
      </w:pPr>
    </w:p>
    <w:p w:rsidR="00623AC2" w:rsidRDefault="00623AC2" w:rsidP="00623A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Zvýšenie </w:t>
      </w:r>
      <w:r w:rsidR="005B3A16">
        <w:rPr>
          <w:rFonts w:ascii="Times New Roman" w:hAnsi="Times New Roman" w:cs="Times New Roman"/>
          <w:sz w:val="24"/>
          <w:szCs w:val="24"/>
        </w:rPr>
        <w:t>produkčnej výkonnosti</w:t>
      </w:r>
      <w:r>
        <w:rPr>
          <w:rFonts w:ascii="Times New Roman" w:hAnsi="Times New Roman" w:cs="Times New Roman"/>
          <w:sz w:val="24"/>
          <w:szCs w:val="24"/>
        </w:rPr>
        <w:t>, z hľadiska prvovýroby, na požadovanú úroveň 80%</w:t>
      </w:r>
      <w:r w:rsidR="005B3A16">
        <w:rPr>
          <w:rFonts w:ascii="Times New Roman" w:hAnsi="Times New Roman" w:cs="Times New Roman"/>
          <w:sz w:val="24"/>
          <w:szCs w:val="24"/>
        </w:rPr>
        <w:t xml:space="preserve"> súčasnej spotreby obyvateľstva</w:t>
      </w:r>
      <w:r>
        <w:rPr>
          <w:rFonts w:ascii="Times New Roman" w:hAnsi="Times New Roman" w:cs="Times New Roman"/>
          <w:sz w:val="24"/>
          <w:szCs w:val="24"/>
        </w:rPr>
        <w:t xml:space="preserve"> dosiahneme zvýšením počtu prasníc na úroveň 70 000 ks so súčasným zvýšením parametrov ich reprodukčnej úžitkovosti na úroveň 20 – 21 odstavčiat na 1 prasnicu. To znamená, že počet prasníc sa musí v strednodobom horizonte zvýšiť o cca 30 000 ks na všetkých úrovniach chovu so súčasným zvýšením intenzity reprodukcie o </w:t>
      </w:r>
      <w:r w:rsidR="005B3A16">
        <w:rPr>
          <w:rFonts w:ascii="Times New Roman" w:hAnsi="Times New Roman" w:cs="Times New Roman"/>
          <w:sz w:val="24"/>
          <w:szCs w:val="24"/>
        </w:rPr>
        <w:t>10,2</w:t>
      </w:r>
      <w:r>
        <w:rPr>
          <w:rFonts w:ascii="Times New Roman" w:hAnsi="Times New Roman" w:cs="Times New Roman"/>
          <w:sz w:val="24"/>
          <w:szCs w:val="24"/>
        </w:rPr>
        <w:t xml:space="preserve">%. Tento cieľ predpokladá v prvom rade zintenzívnenie produkcie plemenných prasníc v šľachtiteľských a rozmnožovacích chovoch s následným zvýšením produkcie jatočných ošípaných. </w:t>
      </w:r>
      <w:r w:rsidR="001C7485" w:rsidRPr="001C7485">
        <w:rPr>
          <w:rFonts w:ascii="Times New Roman" w:hAnsi="Times New Roman" w:cs="Times New Roman"/>
          <w:sz w:val="24"/>
          <w:szCs w:val="24"/>
          <w:highlight w:val="yellow"/>
        </w:rPr>
        <w:t>Osobitný dôraz sa musí klásť na podporu menej početných chovov prasníc do   500 ks.</w:t>
      </w:r>
    </w:p>
    <w:p w:rsidR="00E6088A" w:rsidRDefault="00E6088A" w:rsidP="00623AC2">
      <w:pPr>
        <w:spacing w:after="0" w:line="240" w:lineRule="auto"/>
        <w:jc w:val="both"/>
        <w:rPr>
          <w:rFonts w:ascii="Times New Roman" w:hAnsi="Times New Roman" w:cs="Times New Roman"/>
          <w:sz w:val="24"/>
          <w:szCs w:val="24"/>
        </w:rPr>
      </w:pPr>
    </w:p>
    <w:p w:rsidR="00E6088A" w:rsidRDefault="00E6088A" w:rsidP="00623AC2">
      <w:pPr>
        <w:spacing w:after="0" w:line="240" w:lineRule="auto"/>
        <w:jc w:val="both"/>
        <w:rPr>
          <w:rFonts w:ascii="Times New Roman" w:hAnsi="Times New Roman" w:cs="Times New Roman"/>
          <w:sz w:val="24"/>
          <w:szCs w:val="24"/>
        </w:rPr>
      </w:pPr>
      <w:r w:rsidRPr="00E6088A">
        <w:rPr>
          <w:rFonts w:ascii="Times New Roman" w:hAnsi="Times New Roman" w:cs="Times New Roman"/>
          <w:sz w:val="24"/>
          <w:szCs w:val="24"/>
        </w:rPr>
        <w:t xml:space="preserve">Zvýšením počtu prasníc na 70 000 ks sa zabezpečí ročná produkcia jatočných ošípaných v celkovom počte 1 425 900 ks, čo pri jatočnej hmotnosti 109 kg/ks predstavuje </w:t>
      </w:r>
      <w:r w:rsidR="0068665F">
        <w:rPr>
          <w:rFonts w:ascii="Times New Roman" w:hAnsi="Times New Roman" w:cs="Times New Roman"/>
          <w:sz w:val="24"/>
          <w:szCs w:val="24"/>
        </w:rPr>
        <w:t xml:space="preserve">zvýšenie hrubej domácej produkcie jatočných ošípaných o 76,22 %, t.j. na úroveň </w:t>
      </w:r>
      <w:r>
        <w:rPr>
          <w:rFonts w:ascii="Times New Roman" w:hAnsi="Times New Roman" w:cs="Times New Roman"/>
          <w:sz w:val="24"/>
          <w:szCs w:val="24"/>
        </w:rPr>
        <w:t>155 423 ton.</w:t>
      </w:r>
    </w:p>
    <w:p w:rsidR="00623AC2" w:rsidRDefault="00623AC2" w:rsidP="00623AC2">
      <w:pPr>
        <w:spacing w:after="0" w:line="240" w:lineRule="auto"/>
        <w:jc w:val="both"/>
        <w:rPr>
          <w:rFonts w:ascii="Times New Roman" w:hAnsi="Times New Roman" w:cs="Times New Roman"/>
          <w:sz w:val="24"/>
          <w:szCs w:val="24"/>
        </w:rPr>
      </w:pPr>
    </w:p>
    <w:p w:rsidR="00623AC2" w:rsidRPr="00522CF3" w:rsidRDefault="00623AC2" w:rsidP="00623AC2">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Čo sa týka spracovateľského priemyslu</w:t>
      </w:r>
      <w:r w:rsidR="00173659">
        <w:rPr>
          <w:rFonts w:ascii="Times New Roman" w:hAnsi="Times New Roman" w:cs="Times New Roman"/>
          <w:sz w:val="24"/>
          <w:szCs w:val="24"/>
        </w:rPr>
        <w:t xml:space="preserve"> na Slovensku</w:t>
      </w:r>
      <w:r>
        <w:rPr>
          <w:rFonts w:ascii="Times New Roman" w:hAnsi="Times New Roman" w:cs="Times New Roman"/>
          <w:sz w:val="24"/>
          <w:szCs w:val="24"/>
        </w:rPr>
        <w:t>, tento</w:t>
      </w:r>
      <w:r w:rsidR="00173659">
        <w:rPr>
          <w:rFonts w:ascii="Times New Roman" w:hAnsi="Times New Roman" w:cs="Times New Roman"/>
          <w:sz w:val="24"/>
          <w:szCs w:val="24"/>
        </w:rPr>
        <w:t xml:space="preserve"> spracúva len 64,5 % hrubej domácej produkcie ja</w:t>
      </w:r>
      <w:r w:rsidR="00DC7ABB">
        <w:rPr>
          <w:rFonts w:ascii="Times New Roman" w:hAnsi="Times New Roman" w:cs="Times New Roman"/>
          <w:sz w:val="24"/>
          <w:szCs w:val="24"/>
        </w:rPr>
        <w:t>točných ošípaných (viď graf č. 8</w:t>
      </w:r>
      <w:r w:rsidR="00173659">
        <w:rPr>
          <w:rFonts w:ascii="Times New Roman" w:hAnsi="Times New Roman" w:cs="Times New Roman"/>
          <w:sz w:val="24"/>
          <w:szCs w:val="24"/>
        </w:rPr>
        <w:t>)</w:t>
      </w:r>
      <w:r w:rsidR="00522CF3">
        <w:rPr>
          <w:rFonts w:ascii="Times New Roman" w:hAnsi="Times New Roman" w:cs="Times New Roman"/>
          <w:sz w:val="24"/>
          <w:szCs w:val="24"/>
        </w:rPr>
        <w:t xml:space="preserve">, čo tvorí len </w:t>
      </w:r>
      <w:r w:rsidR="005407A4">
        <w:rPr>
          <w:rFonts w:ascii="Times New Roman" w:hAnsi="Times New Roman" w:cs="Times New Roman"/>
          <w:sz w:val="24"/>
          <w:szCs w:val="24"/>
        </w:rPr>
        <w:t>37,47 % spotreby bravčového mäsa na Slovensku</w:t>
      </w:r>
      <w:r w:rsidR="00173659">
        <w:rPr>
          <w:rFonts w:ascii="Times New Roman" w:hAnsi="Times New Roman" w:cs="Times New Roman"/>
          <w:sz w:val="24"/>
          <w:szCs w:val="24"/>
        </w:rPr>
        <w:t xml:space="preserve">. Ak uvažujeme s maximálnou kapacitou spracovateľského priemyslu na Slovensku v objeme 194 253 t </w:t>
      </w:r>
      <w:r w:rsidR="00715911">
        <w:rPr>
          <w:rFonts w:ascii="Times New Roman" w:hAnsi="Times New Roman" w:cs="Times New Roman"/>
          <w:sz w:val="24"/>
          <w:szCs w:val="24"/>
        </w:rPr>
        <w:t>jatočných ošípaných</w:t>
      </w:r>
      <w:r w:rsidR="00173659">
        <w:rPr>
          <w:rFonts w:ascii="Times New Roman" w:hAnsi="Times New Roman" w:cs="Times New Roman"/>
          <w:sz w:val="24"/>
          <w:szCs w:val="24"/>
        </w:rPr>
        <w:t xml:space="preserve"> za rok, potenciál slovenského spracovateľského priemyslu sa využíva len na 29,3 %. </w:t>
      </w:r>
      <w:r>
        <w:rPr>
          <w:rFonts w:ascii="Times New Roman" w:hAnsi="Times New Roman" w:cs="Times New Roman"/>
          <w:sz w:val="24"/>
          <w:szCs w:val="24"/>
        </w:rPr>
        <w:t>Prvovýrobcovia sú takto nútení časť živej produkcie vyvážať na trhy ostatných členských krajín EÚ, najmä do Maďarska, Poľska a Česka.</w:t>
      </w:r>
    </w:p>
    <w:p w:rsidR="00844545" w:rsidRDefault="00844545" w:rsidP="00844545">
      <w:pPr>
        <w:spacing w:after="0" w:line="240" w:lineRule="auto"/>
        <w:jc w:val="both"/>
        <w:rPr>
          <w:rFonts w:ascii="Times New Roman" w:hAnsi="Times New Roman" w:cs="Times New Roman"/>
          <w:sz w:val="24"/>
          <w:szCs w:val="24"/>
        </w:rPr>
      </w:pPr>
    </w:p>
    <w:p w:rsidR="00817EFC" w:rsidRDefault="00844545" w:rsidP="00960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zabezpečenie </w:t>
      </w:r>
      <w:r w:rsidR="006B5EAD">
        <w:rPr>
          <w:rFonts w:ascii="Times New Roman" w:hAnsi="Times New Roman" w:cs="Times New Roman"/>
          <w:sz w:val="24"/>
          <w:szCs w:val="24"/>
        </w:rPr>
        <w:t>produkčnej výkonnosti</w:t>
      </w:r>
      <w:r>
        <w:rPr>
          <w:rFonts w:ascii="Times New Roman" w:hAnsi="Times New Roman" w:cs="Times New Roman"/>
          <w:sz w:val="24"/>
          <w:szCs w:val="24"/>
        </w:rPr>
        <w:t xml:space="preserve"> na úrovni 80 % sa výkonnosť spracovateľského priemyslu na Slovensku musí zvýšiť minimálne o 42,53 % súčasnej úrovne čistej produkcie bravčového mäsa, čo v absolútnom vyjadrení predstavuje zvýšenie výkonnosti v objeme        272 942 ks, resp. 24 203 ton v jatočnej hmotnosti. Takéto zvýšenie produkčnej výkonnosti spracovateľského priemyslu by znamenalo využitie jeho potenciálnej kapacity na úrovni 41,76 %.</w:t>
      </w:r>
    </w:p>
    <w:p w:rsidR="00173659" w:rsidRDefault="00C970F8" w:rsidP="00960B36">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Graf č. 14</w:t>
      </w:r>
      <w:r w:rsidR="00173659" w:rsidRPr="00C55549">
        <w:rPr>
          <w:rFonts w:ascii="Times New Roman" w:hAnsi="Times New Roman" w:cs="Times New Roman"/>
          <w:sz w:val="20"/>
          <w:szCs w:val="20"/>
        </w:rPr>
        <w:t>:</w:t>
      </w:r>
      <w:r w:rsidR="00BD3B11">
        <w:rPr>
          <w:rFonts w:ascii="Times New Roman" w:hAnsi="Times New Roman" w:cs="Times New Roman"/>
          <w:sz w:val="20"/>
          <w:szCs w:val="20"/>
        </w:rPr>
        <w:t xml:space="preserve"> Vývoj hrubej domácej produkcie jatočných ošípaných a počtu zabití jatočných ošípaných</w:t>
      </w:r>
    </w:p>
    <w:p w:rsidR="00A270DB" w:rsidRDefault="00F501E7" w:rsidP="00960B36">
      <w:pPr>
        <w:spacing w:after="0" w:line="240" w:lineRule="auto"/>
        <w:jc w:val="both"/>
        <w:rPr>
          <w:rFonts w:ascii="Times New Roman" w:hAnsi="Times New Roman" w:cs="Times New Roman"/>
          <w:sz w:val="24"/>
          <w:szCs w:val="24"/>
        </w:rPr>
      </w:pPr>
      <w:r>
        <w:rPr>
          <w:noProof/>
        </w:rPr>
        <w:drawing>
          <wp:inline distT="0" distB="0" distL="0" distR="0" wp14:anchorId="4B3B07E1" wp14:editId="32AA0D71">
            <wp:extent cx="5757062" cy="3277209"/>
            <wp:effectExtent l="0" t="0" r="0" b="0"/>
            <wp:docPr id="52" name="Graf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73659" w:rsidRDefault="00173659" w:rsidP="0017365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644171" w:rsidRDefault="00644171" w:rsidP="00522CF3">
      <w:pPr>
        <w:spacing w:after="0" w:line="240" w:lineRule="auto"/>
        <w:jc w:val="both"/>
        <w:rPr>
          <w:rFonts w:ascii="Times New Roman" w:hAnsi="Times New Roman" w:cs="Times New Roman"/>
          <w:sz w:val="24"/>
          <w:szCs w:val="24"/>
        </w:rPr>
      </w:pPr>
    </w:p>
    <w:p w:rsidR="005407A4" w:rsidRDefault="005407A4" w:rsidP="00522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Vyššie uvedené zvýšenie produkčnej výkonnosti spracovateľského priemyslu je potrebné z hľadiska súčasnej úrovne spotreby bravčového mäsa, berúc do úvahy spotrebiteľské preferencie.</w:t>
      </w:r>
    </w:p>
    <w:p w:rsidR="005407A4" w:rsidRDefault="005407A4" w:rsidP="00522CF3">
      <w:pPr>
        <w:spacing w:after="0" w:line="240" w:lineRule="auto"/>
        <w:jc w:val="both"/>
        <w:rPr>
          <w:rFonts w:ascii="Times New Roman" w:hAnsi="Times New Roman" w:cs="Times New Roman"/>
          <w:sz w:val="24"/>
          <w:szCs w:val="24"/>
        </w:rPr>
      </w:pPr>
    </w:p>
    <w:p w:rsidR="005407A4" w:rsidRPr="005407A4" w:rsidRDefault="00C970F8" w:rsidP="00522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15</w:t>
      </w:r>
      <w:r w:rsidR="005407A4" w:rsidRPr="00C55549">
        <w:rPr>
          <w:rFonts w:ascii="Times New Roman" w:hAnsi="Times New Roman" w:cs="Times New Roman"/>
          <w:sz w:val="20"/>
          <w:szCs w:val="20"/>
        </w:rPr>
        <w:t>:</w:t>
      </w:r>
      <w:r w:rsidR="005407A4" w:rsidRPr="009D3296">
        <w:rPr>
          <w:rFonts w:ascii="Times New Roman" w:hAnsi="Times New Roman" w:cs="Times New Roman"/>
          <w:sz w:val="20"/>
          <w:szCs w:val="20"/>
        </w:rPr>
        <w:t xml:space="preserve">Ročná spotreba </w:t>
      </w:r>
      <w:r w:rsidR="005407A4">
        <w:rPr>
          <w:rFonts w:ascii="Times New Roman" w:hAnsi="Times New Roman" w:cs="Times New Roman"/>
          <w:sz w:val="20"/>
          <w:szCs w:val="20"/>
        </w:rPr>
        <w:t>bravčového</w:t>
      </w:r>
      <w:r w:rsidR="005407A4" w:rsidRPr="009D3296">
        <w:rPr>
          <w:rFonts w:ascii="Times New Roman" w:hAnsi="Times New Roman" w:cs="Times New Roman"/>
          <w:sz w:val="20"/>
          <w:szCs w:val="20"/>
        </w:rPr>
        <w:t xml:space="preserve"> mäsa v SR (vrátane vnú</w:t>
      </w:r>
      <w:r w:rsidR="005407A4">
        <w:rPr>
          <w:rFonts w:ascii="Times New Roman" w:hAnsi="Times New Roman" w:cs="Times New Roman"/>
          <w:sz w:val="20"/>
          <w:szCs w:val="20"/>
        </w:rPr>
        <w:t xml:space="preserve">torností) v </w:t>
      </w:r>
      <w:r w:rsidR="00451A71">
        <w:rPr>
          <w:rFonts w:ascii="Times New Roman" w:hAnsi="Times New Roman" w:cs="Times New Roman"/>
          <w:sz w:val="20"/>
          <w:szCs w:val="20"/>
        </w:rPr>
        <w:t>kg</w:t>
      </w:r>
      <w:r w:rsidR="005407A4">
        <w:rPr>
          <w:rFonts w:ascii="Times New Roman" w:hAnsi="Times New Roman" w:cs="Times New Roman"/>
          <w:sz w:val="20"/>
          <w:szCs w:val="20"/>
        </w:rPr>
        <w:t xml:space="preserve"> na obyvateľa</w:t>
      </w:r>
    </w:p>
    <w:p w:rsidR="005407A4" w:rsidRDefault="00F84719" w:rsidP="00522CF3">
      <w:pPr>
        <w:spacing w:after="0" w:line="240" w:lineRule="auto"/>
        <w:jc w:val="both"/>
        <w:rPr>
          <w:rFonts w:ascii="Times New Roman" w:hAnsi="Times New Roman" w:cs="Times New Roman"/>
          <w:sz w:val="24"/>
          <w:szCs w:val="24"/>
        </w:rPr>
      </w:pPr>
      <w:r>
        <w:rPr>
          <w:noProof/>
        </w:rPr>
        <w:drawing>
          <wp:inline distT="0" distB="0" distL="0" distR="0" wp14:anchorId="40D28590" wp14:editId="675AB329">
            <wp:extent cx="5757062" cy="2362810"/>
            <wp:effectExtent l="0" t="0" r="0" b="0"/>
            <wp:docPr id="299" name="Graf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51A71" w:rsidRDefault="00451A71" w:rsidP="00451A7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9B5C4A" w:rsidRDefault="009B5C4A" w:rsidP="009B5C4A">
      <w:pPr>
        <w:spacing w:after="0" w:line="240" w:lineRule="auto"/>
        <w:jc w:val="both"/>
        <w:rPr>
          <w:rFonts w:ascii="Times New Roman" w:hAnsi="Times New Roman" w:cs="Times New Roman"/>
          <w:sz w:val="24"/>
          <w:szCs w:val="24"/>
        </w:rPr>
      </w:pPr>
    </w:p>
    <w:p w:rsidR="00451A71" w:rsidRDefault="00451A71" w:rsidP="009B5C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Vzhľadom na to, že spotrebiteľské preferencie v bravčovom mäse </w:t>
      </w:r>
      <w:r w:rsidR="00F84719">
        <w:rPr>
          <w:rFonts w:ascii="Times New Roman" w:hAnsi="Times New Roman" w:cs="Times New Roman"/>
          <w:sz w:val="24"/>
          <w:szCs w:val="24"/>
        </w:rPr>
        <w:t xml:space="preserve">sú </w:t>
      </w:r>
      <w:r>
        <w:rPr>
          <w:rFonts w:ascii="Times New Roman" w:hAnsi="Times New Roman" w:cs="Times New Roman"/>
          <w:sz w:val="24"/>
          <w:szCs w:val="24"/>
        </w:rPr>
        <w:t xml:space="preserve">v strednom období </w:t>
      </w:r>
      <w:r w:rsidR="00F84719">
        <w:rPr>
          <w:rFonts w:ascii="Times New Roman" w:hAnsi="Times New Roman" w:cs="Times New Roman"/>
          <w:sz w:val="24"/>
          <w:szCs w:val="24"/>
        </w:rPr>
        <w:t>rozkolísané</w:t>
      </w:r>
      <w:r>
        <w:rPr>
          <w:rFonts w:ascii="Times New Roman" w:hAnsi="Times New Roman" w:cs="Times New Roman"/>
          <w:sz w:val="24"/>
          <w:szCs w:val="24"/>
        </w:rPr>
        <w:t>, a to v priamej korelácii s </w:t>
      </w:r>
      <w:r w:rsidR="00F84719">
        <w:rPr>
          <w:rFonts w:ascii="Times New Roman" w:hAnsi="Times New Roman" w:cs="Times New Roman"/>
          <w:sz w:val="24"/>
          <w:szCs w:val="24"/>
        </w:rPr>
        <w:t>vývojom spotrebiteľských cien a príjmov obyvateľstva</w:t>
      </w:r>
      <w:r>
        <w:rPr>
          <w:rFonts w:ascii="Times New Roman" w:hAnsi="Times New Roman" w:cs="Times New Roman"/>
          <w:sz w:val="24"/>
          <w:szCs w:val="24"/>
        </w:rPr>
        <w:t>, je nutné zastabilizovať súčasnú spotrebu bravčového mäsa na obyvateľa minimálne na úrovni roku 2011.</w:t>
      </w:r>
    </w:p>
    <w:p w:rsidR="00451A71" w:rsidRDefault="00451A71" w:rsidP="009B5C4A">
      <w:pPr>
        <w:spacing w:after="0" w:line="240" w:lineRule="auto"/>
        <w:jc w:val="both"/>
        <w:rPr>
          <w:rFonts w:ascii="Times New Roman" w:hAnsi="Times New Roman" w:cs="Times New Roman"/>
          <w:sz w:val="24"/>
          <w:szCs w:val="24"/>
        </w:rPr>
      </w:pPr>
    </w:p>
    <w:p w:rsidR="00B515FB" w:rsidRDefault="00B515FB" w:rsidP="009B5C4A">
      <w:pPr>
        <w:spacing w:after="0" w:line="240" w:lineRule="auto"/>
        <w:jc w:val="both"/>
        <w:rPr>
          <w:rFonts w:ascii="Times New Roman" w:hAnsi="Times New Roman" w:cs="Times New Roman"/>
          <w:sz w:val="20"/>
          <w:szCs w:val="20"/>
        </w:rPr>
      </w:pPr>
    </w:p>
    <w:p w:rsidR="00433E42" w:rsidRDefault="00433E42" w:rsidP="009B5C4A">
      <w:pPr>
        <w:spacing w:after="0" w:line="240" w:lineRule="auto"/>
        <w:jc w:val="both"/>
        <w:rPr>
          <w:rFonts w:ascii="Times New Roman" w:hAnsi="Times New Roman" w:cs="Times New Roman"/>
          <w:sz w:val="20"/>
          <w:szCs w:val="20"/>
        </w:rPr>
      </w:pPr>
    </w:p>
    <w:p w:rsidR="00433E42" w:rsidRDefault="00433E42" w:rsidP="009B5C4A">
      <w:pPr>
        <w:spacing w:after="0" w:line="240" w:lineRule="auto"/>
        <w:jc w:val="both"/>
        <w:rPr>
          <w:rFonts w:ascii="Times New Roman" w:hAnsi="Times New Roman" w:cs="Times New Roman"/>
          <w:sz w:val="20"/>
          <w:szCs w:val="20"/>
        </w:rPr>
      </w:pPr>
    </w:p>
    <w:p w:rsidR="00451A71" w:rsidRPr="00D97F71" w:rsidRDefault="00D97F71" w:rsidP="009B5C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Graf</w:t>
      </w:r>
      <w:r w:rsidR="00C970F8">
        <w:rPr>
          <w:rFonts w:ascii="Times New Roman" w:hAnsi="Times New Roman" w:cs="Times New Roman"/>
          <w:sz w:val="20"/>
          <w:szCs w:val="20"/>
        </w:rPr>
        <w:t xml:space="preserve"> č. 16</w:t>
      </w:r>
      <w:r w:rsidRPr="00C55549">
        <w:rPr>
          <w:rFonts w:ascii="Times New Roman" w:hAnsi="Times New Roman" w:cs="Times New Roman"/>
          <w:sz w:val="20"/>
          <w:szCs w:val="20"/>
        </w:rPr>
        <w:t>:</w:t>
      </w:r>
      <w:r>
        <w:rPr>
          <w:rFonts w:ascii="Times New Roman" w:hAnsi="Times New Roman" w:cs="Times New Roman"/>
          <w:sz w:val="20"/>
          <w:szCs w:val="20"/>
        </w:rPr>
        <w:t xml:space="preserve"> Vývoj cien na jednotlivých stupňoch potravinovej vertikály (cena v EUR/1 kg</w:t>
      </w:r>
      <w:r w:rsidRPr="0000713C">
        <w:rPr>
          <w:rFonts w:ascii="Times New Roman" w:hAnsi="Times New Roman" w:cs="Times New Roman"/>
          <w:sz w:val="20"/>
          <w:szCs w:val="20"/>
        </w:rPr>
        <w:t xml:space="preserve"> bez DPH</w:t>
      </w:r>
      <w:r>
        <w:rPr>
          <w:rFonts w:ascii="Times New Roman" w:hAnsi="Times New Roman" w:cs="Times New Roman"/>
          <w:sz w:val="20"/>
          <w:szCs w:val="20"/>
        </w:rPr>
        <w:t>)</w:t>
      </w:r>
    </w:p>
    <w:p w:rsidR="00A270DB" w:rsidRDefault="00377A0F" w:rsidP="00960B36">
      <w:pPr>
        <w:spacing w:after="0" w:line="240" w:lineRule="auto"/>
        <w:jc w:val="both"/>
        <w:rPr>
          <w:rFonts w:ascii="Times New Roman" w:hAnsi="Times New Roman" w:cs="Times New Roman"/>
          <w:sz w:val="24"/>
          <w:szCs w:val="24"/>
        </w:rPr>
      </w:pPr>
      <w:r>
        <w:rPr>
          <w:noProof/>
        </w:rPr>
        <w:drawing>
          <wp:inline distT="0" distB="0" distL="0" distR="0" wp14:anchorId="1D982189" wp14:editId="704B3EFC">
            <wp:extent cx="5777345" cy="2321626"/>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97F71" w:rsidRDefault="00D97F71" w:rsidP="00D97F7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431BBB" w:rsidRDefault="00431BBB" w:rsidP="00960B36">
      <w:pPr>
        <w:spacing w:after="0" w:line="240" w:lineRule="auto"/>
        <w:jc w:val="both"/>
        <w:rPr>
          <w:rFonts w:ascii="Times New Roman" w:hAnsi="Times New Roman" w:cs="Times New Roman"/>
          <w:sz w:val="24"/>
          <w:szCs w:val="24"/>
        </w:rPr>
      </w:pPr>
    </w:p>
    <w:p w:rsidR="004A57E7" w:rsidRDefault="00D97F71" w:rsidP="00960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Analýza cien bravčového mäsa na jednotlivých stupňoch potravinovej vertikály ukázala základný problém vysokých úbytkov stavu živých zvierat v strednodobom horizonte, a to problém relatívne nízkych výkupných cien prvovýrobcov a obrovské cenové prírastky na druhom a treťom stupni potravinovej vertikály. </w:t>
      </w:r>
    </w:p>
    <w:p w:rsidR="004A57E7" w:rsidRDefault="004A57E7" w:rsidP="00960B36">
      <w:pPr>
        <w:spacing w:after="0" w:line="240" w:lineRule="auto"/>
        <w:jc w:val="both"/>
        <w:rPr>
          <w:rFonts w:ascii="Times New Roman" w:hAnsi="Times New Roman" w:cs="Times New Roman"/>
          <w:sz w:val="24"/>
          <w:szCs w:val="24"/>
        </w:rPr>
      </w:pPr>
    </w:p>
    <w:p w:rsidR="004A57E7" w:rsidRDefault="00B256A2" w:rsidP="00FE1791">
      <w:pPr>
        <w:spacing w:after="0" w:line="240" w:lineRule="auto"/>
        <w:rPr>
          <w:rFonts w:ascii="Times New Roman" w:hAnsi="Times New Roman" w:cs="Times New Roman"/>
          <w:sz w:val="24"/>
          <w:szCs w:val="24"/>
        </w:rPr>
      </w:pPr>
      <w:r>
        <w:rPr>
          <w:rFonts w:ascii="Times New Roman" w:hAnsi="Times New Roman" w:cs="Times New Roman"/>
          <w:sz w:val="20"/>
          <w:szCs w:val="20"/>
        </w:rPr>
        <w:t>Graf č. 1</w:t>
      </w:r>
      <w:r w:rsidR="00C970F8">
        <w:rPr>
          <w:rFonts w:ascii="Times New Roman" w:hAnsi="Times New Roman" w:cs="Times New Roman"/>
          <w:sz w:val="20"/>
          <w:szCs w:val="20"/>
        </w:rPr>
        <w:t>7</w:t>
      </w:r>
      <w:r w:rsidR="00FE1791" w:rsidRPr="00C55549">
        <w:rPr>
          <w:rFonts w:ascii="Times New Roman" w:hAnsi="Times New Roman" w:cs="Times New Roman"/>
          <w:sz w:val="20"/>
          <w:szCs w:val="20"/>
        </w:rPr>
        <w:t>:</w:t>
      </w:r>
      <w:r w:rsidR="00BD3B11">
        <w:rPr>
          <w:rFonts w:ascii="Times New Roman" w:hAnsi="Times New Roman" w:cs="Times New Roman"/>
          <w:sz w:val="20"/>
          <w:szCs w:val="20"/>
        </w:rPr>
        <w:t>Vývoj cenových indexov na jednotlivých stupňoch potravinovej vertikály</w:t>
      </w:r>
      <w:r w:rsidR="00FE1791">
        <w:rPr>
          <w:noProof/>
        </w:rPr>
        <w:drawing>
          <wp:inline distT="0" distB="0" distL="0" distR="0" wp14:anchorId="11BC4EEC" wp14:editId="002C7381">
            <wp:extent cx="5779008" cy="2201875"/>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A57E7" w:rsidRPr="002346FB" w:rsidRDefault="00FE1791" w:rsidP="002346F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4D6C7B" w:rsidRDefault="004D6C7B" w:rsidP="00960B36">
      <w:pPr>
        <w:spacing w:after="0" w:line="240" w:lineRule="auto"/>
        <w:jc w:val="both"/>
        <w:rPr>
          <w:rFonts w:ascii="Times New Roman" w:hAnsi="Times New Roman" w:cs="Times New Roman"/>
          <w:sz w:val="24"/>
          <w:szCs w:val="24"/>
        </w:rPr>
      </w:pPr>
    </w:p>
    <w:p w:rsidR="004A070D" w:rsidRDefault="009C251D" w:rsidP="00960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Indexové porovnanie cien na jednotlivých stupňoch potravinovej vertikály v bravčovom mäse ukazuje, že trend naznačený vyššie, teda úprava cenových úrovní v prospech výkupných cien prvovýrobcov, je naštartovaný. </w:t>
      </w:r>
      <w:r w:rsidR="00D97F71">
        <w:rPr>
          <w:rFonts w:ascii="Times New Roman" w:hAnsi="Times New Roman" w:cs="Times New Roman"/>
          <w:sz w:val="24"/>
          <w:szCs w:val="24"/>
        </w:rPr>
        <w:t xml:space="preserve">Máme </w:t>
      </w:r>
      <w:r>
        <w:rPr>
          <w:rFonts w:ascii="Times New Roman" w:hAnsi="Times New Roman" w:cs="Times New Roman"/>
          <w:sz w:val="24"/>
          <w:szCs w:val="24"/>
        </w:rPr>
        <w:t xml:space="preserve">však </w:t>
      </w:r>
      <w:r w:rsidR="00D97F71">
        <w:rPr>
          <w:rFonts w:ascii="Times New Roman" w:hAnsi="Times New Roman" w:cs="Times New Roman"/>
          <w:sz w:val="24"/>
          <w:szCs w:val="24"/>
        </w:rPr>
        <w:t xml:space="preserve">za to, že </w:t>
      </w:r>
      <w:r>
        <w:rPr>
          <w:rFonts w:ascii="Times New Roman" w:hAnsi="Times New Roman" w:cs="Times New Roman"/>
          <w:sz w:val="24"/>
          <w:szCs w:val="24"/>
        </w:rPr>
        <w:t xml:space="preserve">nie je dostatočne razantný na to, aby dokázal zabrzdiť prepad stavov ošípaných. </w:t>
      </w:r>
    </w:p>
    <w:p w:rsidR="004A070D" w:rsidRDefault="004A070D" w:rsidP="00960B36">
      <w:pPr>
        <w:spacing w:after="0" w:line="240" w:lineRule="auto"/>
        <w:jc w:val="both"/>
        <w:rPr>
          <w:rFonts w:ascii="Times New Roman" w:hAnsi="Times New Roman" w:cs="Times New Roman"/>
          <w:sz w:val="24"/>
          <w:szCs w:val="24"/>
        </w:rPr>
      </w:pPr>
    </w:p>
    <w:p w:rsidR="001B31FF" w:rsidRDefault="004A070D" w:rsidP="00960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Ceny prvovýrobcov </w:t>
      </w:r>
      <w:r w:rsidR="00CF73F1">
        <w:rPr>
          <w:rFonts w:ascii="Times New Roman" w:hAnsi="Times New Roman" w:cs="Times New Roman"/>
          <w:sz w:val="24"/>
          <w:szCs w:val="24"/>
        </w:rPr>
        <w:t xml:space="preserve">sa </w:t>
      </w:r>
      <w:r>
        <w:rPr>
          <w:rFonts w:ascii="Times New Roman" w:hAnsi="Times New Roman" w:cs="Times New Roman"/>
          <w:sz w:val="24"/>
          <w:szCs w:val="24"/>
        </w:rPr>
        <w:t xml:space="preserve">v roku 2011 </w:t>
      </w:r>
      <w:r w:rsidR="00CF73F1">
        <w:rPr>
          <w:rFonts w:ascii="Times New Roman" w:hAnsi="Times New Roman" w:cs="Times New Roman"/>
          <w:sz w:val="24"/>
          <w:szCs w:val="24"/>
        </w:rPr>
        <w:t>pohybovali</w:t>
      </w:r>
      <w:r w:rsidR="00377A0F">
        <w:rPr>
          <w:rFonts w:ascii="Times New Roman" w:hAnsi="Times New Roman" w:cs="Times New Roman"/>
          <w:sz w:val="24"/>
          <w:szCs w:val="24"/>
        </w:rPr>
        <w:t xml:space="preserve"> len</w:t>
      </w:r>
      <w:r w:rsidR="009B3A95">
        <w:rPr>
          <w:rFonts w:ascii="Times New Roman" w:hAnsi="Times New Roman" w:cs="Times New Roman"/>
          <w:sz w:val="24"/>
          <w:szCs w:val="24"/>
        </w:rPr>
        <w:t xml:space="preserve"> </w:t>
      </w:r>
      <w:r w:rsidR="00377A0F">
        <w:rPr>
          <w:rFonts w:ascii="Times New Roman" w:hAnsi="Times New Roman" w:cs="Times New Roman"/>
          <w:sz w:val="24"/>
          <w:szCs w:val="24"/>
        </w:rPr>
        <w:t>tesne nad</w:t>
      </w:r>
      <w:r w:rsidR="00CF73F1">
        <w:rPr>
          <w:rFonts w:ascii="Times New Roman" w:hAnsi="Times New Roman" w:cs="Times New Roman"/>
          <w:sz w:val="24"/>
          <w:szCs w:val="24"/>
        </w:rPr>
        <w:t xml:space="preserve"> úrovňou</w:t>
      </w:r>
      <w:r w:rsidR="009B3A95">
        <w:rPr>
          <w:rFonts w:ascii="Times New Roman" w:hAnsi="Times New Roman" w:cs="Times New Roman"/>
          <w:sz w:val="24"/>
          <w:szCs w:val="24"/>
        </w:rPr>
        <w:t xml:space="preserve"> </w:t>
      </w:r>
      <w:r w:rsidR="00CF73F1">
        <w:rPr>
          <w:rFonts w:ascii="Times New Roman" w:hAnsi="Times New Roman" w:cs="Times New Roman"/>
          <w:sz w:val="24"/>
          <w:szCs w:val="24"/>
        </w:rPr>
        <w:t>vlastných nákladov</w:t>
      </w:r>
      <w:r>
        <w:rPr>
          <w:rFonts w:ascii="Times New Roman" w:hAnsi="Times New Roman" w:cs="Times New Roman"/>
          <w:sz w:val="24"/>
          <w:szCs w:val="24"/>
        </w:rPr>
        <w:t xml:space="preserve"> na 1</w:t>
      </w:r>
      <w:r w:rsidR="00CF73F1">
        <w:rPr>
          <w:rFonts w:ascii="Times New Roman" w:hAnsi="Times New Roman" w:cs="Times New Roman"/>
          <w:sz w:val="24"/>
          <w:szCs w:val="24"/>
        </w:rPr>
        <w:t xml:space="preserve"> kg prírastku, vypočítaných</w:t>
      </w:r>
      <w:r>
        <w:rPr>
          <w:rFonts w:ascii="Times New Roman" w:hAnsi="Times New Roman" w:cs="Times New Roman"/>
          <w:sz w:val="24"/>
          <w:szCs w:val="24"/>
        </w:rPr>
        <w:t xml:space="preserve"> pomocou vyčíslenia jednotlivých kalkulačných položiek vlastných nákladov na jednotku produkcie. Takto vypočítané vlastné náklady na 1 kg prírastku dosahovali v roku 2011 výšku </w:t>
      </w:r>
      <w:r w:rsidR="00C30A56">
        <w:rPr>
          <w:rFonts w:ascii="Times New Roman" w:hAnsi="Times New Roman" w:cs="Times New Roman"/>
          <w:sz w:val="24"/>
          <w:szCs w:val="24"/>
        </w:rPr>
        <w:t>1,</w:t>
      </w:r>
      <w:r w:rsidR="00377A0F">
        <w:rPr>
          <w:rFonts w:ascii="Times New Roman" w:hAnsi="Times New Roman" w:cs="Times New Roman"/>
          <w:sz w:val="24"/>
          <w:szCs w:val="24"/>
        </w:rPr>
        <w:t>47</w:t>
      </w:r>
      <w:r>
        <w:rPr>
          <w:rFonts w:ascii="Times New Roman" w:hAnsi="Times New Roman" w:cs="Times New Roman"/>
          <w:sz w:val="24"/>
          <w:szCs w:val="24"/>
        </w:rPr>
        <w:t xml:space="preserve"> EUR/kg. </w:t>
      </w:r>
      <w:r w:rsidR="00CF73F1">
        <w:rPr>
          <w:rFonts w:ascii="Times New Roman" w:hAnsi="Times New Roman" w:cs="Times New Roman"/>
          <w:sz w:val="24"/>
          <w:szCs w:val="24"/>
        </w:rPr>
        <w:t>Prvovýrobca</w:t>
      </w:r>
      <w:r>
        <w:rPr>
          <w:rFonts w:ascii="Times New Roman" w:hAnsi="Times New Roman" w:cs="Times New Roman"/>
          <w:sz w:val="24"/>
          <w:szCs w:val="24"/>
        </w:rPr>
        <w:t xml:space="preserve"> takto </w:t>
      </w:r>
      <w:r w:rsidR="00CF73F1">
        <w:rPr>
          <w:rFonts w:ascii="Times New Roman" w:hAnsi="Times New Roman" w:cs="Times New Roman"/>
          <w:sz w:val="24"/>
          <w:szCs w:val="24"/>
        </w:rPr>
        <w:t xml:space="preserve">dosahuje </w:t>
      </w:r>
      <w:r w:rsidR="00377A0F">
        <w:rPr>
          <w:rFonts w:ascii="Times New Roman" w:hAnsi="Times New Roman" w:cs="Times New Roman"/>
          <w:sz w:val="24"/>
          <w:szCs w:val="24"/>
        </w:rPr>
        <w:t>len minimálnu ziskovosť</w:t>
      </w:r>
      <w:r>
        <w:rPr>
          <w:rFonts w:ascii="Times New Roman" w:hAnsi="Times New Roman" w:cs="Times New Roman"/>
          <w:sz w:val="24"/>
          <w:szCs w:val="24"/>
        </w:rPr>
        <w:t xml:space="preserve"> na úrovni </w:t>
      </w:r>
      <w:r w:rsidR="00C30A56">
        <w:rPr>
          <w:rFonts w:ascii="Times New Roman" w:hAnsi="Times New Roman" w:cs="Times New Roman"/>
          <w:sz w:val="24"/>
          <w:szCs w:val="24"/>
        </w:rPr>
        <w:t>0,</w:t>
      </w:r>
      <w:r w:rsidR="00377A0F">
        <w:rPr>
          <w:rFonts w:ascii="Times New Roman" w:hAnsi="Times New Roman" w:cs="Times New Roman"/>
          <w:sz w:val="24"/>
          <w:szCs w:val="24"/>
        </w:rPr>
        <w:t>05</w:t>
      </w:r>
      <w:r>
        <w:rPr>
          <w:rFonts w:ascii="Times New Roman" w:hAnsi="Times New Roman" w:cs="Times New Roman"/>
          <w:sz w:val="24"/>
          <w:szCs w:val="24"/>
        </w:rPr>
        <w:t xml:space="preserve"> EUR/kg.</w:t>
      </w:r>
      <w:r w:rsidR="001930F5">
        <w:rPr>
          <w:rFonts w:ascii="Times New Roman" w:hAnsi="Times New Roman" w:cs="Times New Roman"/>
          <w:sz w:val="24"/>
          <w:szCs w:val="24"/>
        </w:rPr>
        <w:t xml:space="preserve"> Je potrebné však brať do úvahy skutočnosť, že v prípade podpory chovu ošípaných neexistujú na národnej úrovni a úrovni EÚ žiadne možnosti priamej podpory. </w:t>
      </w:r>
      <w:r w:rsidR="009C251D">
        <w:rPr>
          <w:rFonts w:ascii="Times New Roman" w:hAnsi="Times New Roman" w:cs="Times New Roman"/>
          <w:sz w:val="24"/>
          <w:szCs w:val="24"/>
        </w:rPr>
        <w:t>J</w:t>
      </w:r>
      <w:r w:rsidR="00D97F71">
        <w:rPr>
          <w:rFonts w:ascii="Times New Roman" w:hAnsi="Times New Roman" w:cs="Times New Roman"/>
          <w:sz w:val="24"/>
          <w:szCs w:val="24"/>
        </w:rPr>
        <w:t xml:space="preserve">e </w:t>
      </w:r>
      <w:r w:rsidR="009C251D">
        <w:rPr>
          <w:rFonts w:ascii="Times New Roman" w:hAnsi="Times New Roman" w:cs="Times New Roman"/>
          <w:sz w:val="24"/>
          <w:szCs w:val="24"/>
        </w:rPr>
        <w:t xml:space="preserve">teda </w:t>
      </w:r>
      <w:r w:rsidR="00D97F71">
        <w:rPr>
          <w:rFonts w:ascii="Times New Roman" w:hAnsi="Times New Roman" w:cs="Times New Roman"/>
          <w:sz w:val="24"/>
          <w:szCs w:val="24"/>
        </w:rPr>
        <w:t xml:space="preserve">potrebné </w:t>
      </w:r>
      <w:r w:rsidR="009C251D">
        <w:rPr>
          <w:rFonts w:ascii="Times New Roman" w:hAnsi="Times New Roman" w:cs="Times New Roman"/>
          <w:sz w:val="24"/>
          <w:szCs w:val="24"/>
        </w:rPr>
        <w:t>cenové hladiny</w:t>
      </w:r>
      <w:r w:rsidR="00D97F71">
        <w:rPr>
          <w:rFonts w:ascii="Times New Roman" w:hAnsi="Times New Roman" w:cs="Times New Roman"/>
          <w:sz w:val="24"/>
          <w:szCs w:val="24"/>
        </w:rPr>
        <w:t xml:space="preserve"> vo väčšej miere</w:t>
      </w:r>
      <w:r w:rsidR="009C251D">
        <w:rPr>
          <w:rFonts w:ascii="Times New Roman" w:hAnsi="Times New Roman" w:cs="Times New Roman"/>
          <w:sz w:val="24"/>
          <w:szCs w:val="24"/>
        </w:rPr>
        <w:t xml:space="preserve"> usmerňovať</w:t>
      </w:r>
      <w:r w:rsidR="00D97F71">
        <w:rPr>
          <w:rFonts w:ascii="Times New Roman" w:hAnsi="Times New Roman" w:cs="Times New Roman"/>
          <w:sz w:val="24"/>
          <w:szCs w:val="24"/>
        </w:rPr>
        <w:t xml:space="preserve"> v prospech prvovýrobcov, ktorí, aj za súčasného stavu </w:t>
      </w:r>
      <w:r w:rsidR="005B3A16">
        <w:rPr>
          <w:rFonts w:ascii="Times New Roman" w:hAnsi="Times New Roman" w:cs="Times New Roman"/>
          <w:sz w:val="24"/>
          <w:szCs w:val="24"/>
        </w:rPr>
        <w:t>produkčnej výkonnosti</w:t>
      </w:r>
      <w:r w:rsidR="00D97F71">
        <w:rPr>
          <w:rFonts w:ascii="Times New Roman" w:hAnsi="Times New Roman" w:cs="Times New Roman"/>
          <w:sz w:val="24"/>
          <w:szCs w:val="24"/>
        </w:rPr>
        <w:t xml:space="preserve"> v bravčovom </w:t>
      </w:r>
      <w:r w:rsidR="00D97F71">
        <w:rPr>
          <w:rFonts w:ascii="Times New Roman" w:hAnsi="Times New Roman" w:cs="Times New Roman"/>
          <w:sz w:val="24"/>
          <w:szCs w:val="24"/>
        </w:rPr>
        <w:lastRenderedPageBreak/>
        <w:t xml:space="preserve">mäse, preferujú vývoz živých ošípaných do zahraničia. </w:t>
      </w:r>
      <w:r w:rsidR="005E56F1">
        <w:rPr>
          <w:rFonts w:ascii="Times New Roman" w:hAnsi="Times New Roman" w:cs="Times New Roman"/>
          <w:sz w:val="24"/>
          <w:szCs w:val="24"/>
        </w:rPr>
        <w:t xml:space="preserve">Vzhľadom na to, je potrebné udržať priemernú spotrebiteľskú cenu za kg bravčového mäsa na úrovni roku 2011 zvýšením výkupných cien prvovýrobcov a úmerným znížením </w:t>
      </w:r>
      <w:r w:rsidR="009C251D">
        <w:rPr>
          <w:rFonts w:ascii="Times New Roman" w:hAnsi="Times New Roman" w:cs="Times New Roman"/>
          <w:sz w:val="24"/>
          <w:szCs w:val="24"/>
        </w:rPr>
        <w:t>marží</w:t>
      </w:r>
      <w:r w:rsidR="005E56F1">
        <w:rPr>
          <w:rFonts w:ascii="Times New Roman" w:hAnsi="Times New Roman" w:cs="Times New Roman"/>
          <w:sz w:val="24"/>
          <w:szCs w:val="24"/>
        </w:rPr>
        <w:t xml:space="preserve"> spracovateľov a predajcov, a to v rovnakom pomere. </w:t>
      </w:r>
    </w:p>
    <w:p w:rsidR="002346FB" w:rsidRDefault="002346FB" w:rsidP="002346FB">
      <w:pPr>
        <w:pBdr>
          <w:bottom w:val="single" w:sz="4" w:space="1" w:color="auto"/>
        </w:pBdr>
        <w:spacing w:after="0" w:line="240" w:lineRule="auto"/>
        <w:jc w:val="both"/>
        <w:rPr>
          <w:rFonts w:ascii="Times New Roman" w:hAnsi="Times New Roman" w:cs="Times New Roman"/>
          <w:sz w:val="24"/>
          <w:szCs w:val="24"/>
        </w:rPr>
      </w:pPr>
    </w:p>
    <w:p w:rsidR="002346FB" w:rsidRDefault="00B256A2" w:rsidP="0023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základe vykonanej analýzy celej potravinovej vertikály bravčového mäsa považujeme za potrebné dosiahnuť tieto cieľové hodnoty parametrov zá</w:t>
      </w:r>
      <w:r w:rsidR="00F6585B">
        <w:rPr>
          <w:rFonts w:ascii="Times New Roman" w:hAnsi="Times New Roman" w:cs="Times New Roman"/>
          <w:sz w:val="24"/>
          <w:szCs w:val="24"/>
        </w:rPr>
        <w:t>kladných trhových ukazovateľov:</w:t>
      </w:r>
    </w:p>
    <w:p w:rsidR="002346FB" w:rsidRPr="00F6585B" w:rsidRDefault="002346FB" w:rsidP="00F6585B">
      <w:pPr>
        <w:pStyle w:val="Odsekzoznamu"/>
        <w:numPr>
          <w:ilvl w:val="0"/>
          <w:numId w:val="6"/>
        </w:numPr>
        <w:spacing w:after="0" w:line="240" w:lineRule="auto"/>
        <w:jc w:val="both"/>
        <w:rPr>
          <w:rFonts w:ascii="Times New Roman" w:hAnsi="Times New Roman" w:cs="Times New Roman"/>
          <w:sz w:val="24"/>
          <w:szCs w:val="24"/>
        </w:rPr>
      </w:pPr>
      <w:r w:rsidRPr="002346FB">
        <w:rPr>
          <w:rFonts w:ascii="Times New Roman" w:hAnsi="Times New Roman" w:cs="Times New Roman"/>
          <w:sz w:val="24"/>
          <w:szCs w:val="24"/>
        </w:rPr>
        <w:t>zvýšiť počet prasníc o 30 000 ks a súčasne zvýšiť parametre ich reprodukčnej úžitkovosti na úroveň 20 – 21 odstavčiat na 1 prasnicu;</w:t>
      </w:r>
    </w:p>
    <w:p w:rsidR="002346FB" w:rsidRPr="00F6585B" w:rsidRDefault="002346FB" w:rsidP="00F6585B">
      <w:pPr>
        <w:pStyle w:val="Odsekzoznamu"/>
        <w:numPr>
          <w:ilvl w:val="0"/>
          <w:numId w:val="6"/>
        </w:numPr>
        <w:spacing w:after="0" w:line="240" w:lineRule="auto"/>
        <w:jc w:val="both"/>
        <w:rPr>
          <w:rFonts w:ascii="Times New Roman" w:hAnsi="Times New Roman" w:cs="Times New Roman"/>
          <w:sz w:val="24"/>
          <w:szCs w:val="24"/>
        </w:rPr>
      </w:pPr>
      <w:r w:rsidRPr="002346FB">
        <w:rPr>
          <w:rFonts w:ascii="Times New Roman" w:hAnsi="Times New Roman" w:cs="Times New Roman"/>
          <w:sz w:val="24"/>
          <w:szCs w:val="24"/>
        </w:rPr>
        <w:t xml:space="preserve">zvýšiť výkonnosť spracovateľského priemyslu na Slovensku minimálne o 42,53 % súčasnej úrovne čistej produkcie bravčového mäsa, čo v absolútnom vyjadrení predstavuje zvýšenie výkonnosti v objeme 272 942 ks, resp. </w:t>
      </w:r>
      <w:r>
        <w:rPr>
          <w:rFonts w:ascii="Times New Roman" w:hAnsi="Times New Roman" w:cs="Times New Roman"/>
          <w:sz w:val="24"/>
          <w:szCs w:val="24"/>
        </w:rPr>
        <w:t>24 203 ton v jatočnej hmotnosti; a</w:t>
      </w:r>
    </w:p>
    <w:p w:rsidR="002346FB" w:rsidRPr="002346FB" w:rsidRDefault="00BE137F" w:rsidP="000D68DC">
      <w:pPr>
        <w:pStyle w:val="Odsekzoznamu"/>
        <w:numPr>
          <w:ilvl w:val="0"/>
          <w:numId w:val="6"/>
        </w:numPr>
        <w:spacing w:after="0" w:line="240" w:lineRule="auto"/>
        <w:jc w:val="both"/>
        <w:rPr>
          <w:rFonts w:ascii="Times New Roman" w:hAnsi="Times New Roman" w:cs="Times New Roman"/>
          <w:sz w:val="24"/>
          <w:szCs w:val="24"/>
        </w:rPr>
      </w:pPr>
      <w:r w:rsidRPr="00721F7D">
        <w:rPr>
          <w:rFonts w:ascii="Times New Roman" w:hAnsi="Times New Roman" w:cs="Times New Roman"/>
          <w:sz w:val="24"/>
          <w:szCs w:val="24"/>
          <w:highlight w:val="yellow"/>
        </w:rPr>
        <w:t xml:space="preserve">maximálne sa priblížiť k priemernej výkupnej cene za 1 kg živej hmotnosti </w:t>
      </w:r>
      <w:r>
        <w:rPr>
          <w:rFonts w:ascii="Times New Roman" w:hAnsi="Times New Roman" w:cs="Times New Roman"/>
          <w:sz w:val="24"/>
          <w:szCs w:val="24"/>
          <w:highlight w:val="yellow"/>
        </w:rPr>
        <w:t>bravčového mäsa</w:t>
      </w:r>
      <w:r w:rsidRPr="00721F7D">
        <w:rPr>
          <w:rFonts w:ascii="Times New Roman" w:hAnsi="Times New Roman" w:cs="Times New Roman"/>
          <w:sz w:val="24"/>
          <w:szCs w:val="24"/>
          <w:highlight w:val="yellow"/>
        </w:rPr>
        <w:t xml:space="preserve"> na úrovni, ktorá by pokrývala vlastné náklady na 1 kg prírastku</w:t>
      </w:r>
    </w:p>
    <w:p w:rsidR="002346FB" w:rsidRDefault="002346FB" w:rsidP="00B515FB">
      <w:pPr>
        <w:pBdr>
          <w:top w:val="single" w:sz="4" w:space="1" w:color="auto"/>
        </w:pBdr>
        <w:spacing w:after="0" w:line="240" w:lineRule="auto"/>
        <w:jc w:val="both"/>
        <w:rPr>
          <w:rFonts w:ascii="Times New Roman" w:hAnsi="Times New Roman" w:cs="Times New Roman"/>
          <w:sz w:val="24"/>
          <w:szCs w:val="24"/>
        </w:rPr>
      </w:pPr>
    </w:p>
    <w:p w:rsidR="005B3A16" w:rsidRDefault="005B3A16" w:rsidP="00B515FB">
      <w:pPr>
        <w:pBdr>
          <w:top w:val="single" w:sz="4" w:space="1" w:color="auto"/>
        </w:pBdr>
        <w:spacing w:after="0" w:line="240" w:lineRule="auto"/>
        <w:jc w:val="both"/>
        <w:rPr>
          <w:rFonts w:ascii="Times New Roman" w:hAnsi="Times New Roman" w:cs="Times New Roman"/>
          <w:sz w:val="24"/>
          <w:szCs w:val="24"/>
        </w:rPr>
      </w:pPr>
    </w:p>
    <w:p w:rsidR="00431BBB" w:rsidRPr="00352722" w:rsidRDefault="00431BBB" w:rsidP="000D68DC">
      <w:pPr>
        <w:pStyle w:val="Nadpis3"/>
        <w:numPr>
          <w:ilvl w:val="2"/>
          <w:numId w:val="8"/>
        </w:numPr>
      </w:pPr>
      <w:bookmarkStart w:id="22" w:name="_Toc359550643"/>
      <w:r>
        <w:t>Hydin</w:t>
      </w:r>
      <w:r w:rsidR="00F45455">
        <w:t>ové mäso</w:t>
      </w:r>
      <w:bookmarkEnd w:id="22"/>
    </w:p>
    <w:p w:rsidR="00431BBB" w:rsidRDefault="00431BBB" w:rsidP="00960B36">
      <w:pPr>
        <w:spacing w:after="0" w:line="240" w:lineRule="auto"/>
        <w:jc w:val="both"/>
        <w:rPr>
          <w:rFonts w:ascii="Times New Roman" w:hAnsi="Times New Roman" w:cs="Times New Roman"/>
          <w:sz w:val="24"/>
          <w:szCs w:val="24"/>
        </w:rPr>
      </w:pPr>
    </w:p>
    <w:p w:rsidR="00C4315A" w:rsidRDefault="00C4315A" w:rsidP="00C4315A">
      <w:pPr>
        <w:spacing w:after="0" w:line="240" w:lineRule="auto"/>
        <w:jc w:val="both"/>
        <w:rPr>
          <w:rFonts w:ascii="Times New Roman" w:hAnsi="Times New Roman" w:cs="Times New Roman"/>
          <w:sz w:val="24"/>
          <w:szCs w:val="24"/>
        </w:rPr>
      </w:pPr>
      <w:r w:rsidRPr="007C5739">
        <w:rPr>
          <w:rFonts w:ascii="Times New Roman" w:hAnsi="Times New Roman" w:cs="Times New Roman"/>
          <w:sz w:val="24"/>
          <w:szCs w:val="24"/>
        </w:rPr>
        <w:t>Domáci dop</w:t>
      </w:r>
      <w:r>
        <w:rPr>
          <w:rFonts w:ascii="Times New Roman" w:hAnsi="Times New Roman" w:cs="Times New Roman"/>
          <w:sz w:val="24"/>
          <w:szCs w:val="24"/>
        </w:rPr>
        <w:t xml:space="preserve">yt po hydinovom mäse meriame pomocou štatisticky nameranej spotreby v tonách za rok, čo predstavuje objem 104 134 ton. Hrubá domáca produkcia predstavuje objem 72 253 ton. Znamená to, že produkcia v SR dosahuje 69,38 % domáceho dopytu, čo znamená, že </w:t>
      </w:r>
      <w:r w:rsidR="005B3A16">
        <w:rPr>
          <w:rFonts w:ascii="Times New Roman" w:hAnsi="Times New Roman" w:cs="Times New Roman"/>
          <w:sz w:val="24"/>
          <w:szCs w:val="24"/>
        </w:rPr>
        <w:t>produkčná výkonnosť</w:t>
      </w:r>
      <w:r>
        <w:rPr>
          <w:rFonts w:ascii="Times New Roman" w:hAnsi="Times New Roman" w:cs="Times New Roman"/>
          <w:sz w:val="24"/>
          <w:szCs w:val="24"/>
        </w:rPr>
        <w:t xml:space="preserve"> v tejto komodite je, z hľadiska prvovýroby, nedostatočná v porovnaní so stanoveným cieľom. </w:t>
      </w:r>
    </w:p>
    <w:p w:rsidR="00F501E7" w:rsidRDefault="00F501E7" w:rsidP="00960B36">
      <w:pPr>
        <w:spacing w:after="0" w:line="240" w:lineRule="auto"/>
        <w:jc w:val="both"/>
        <w:rPr>
          <w:rFonts w:ascii="Times New Roman" w:hAnsi="Times New Roman" w:cs="Times New Roman"/>
          <w:sz w:val="20"/>
          <w:szCs w:val="20"/>
        </w:rPr>
      </w:pPr>
    </w:p>
    <w:p w:rsidR="00C4315A" w:rsidRPr="00C4315A" w:rsidRDefault="00BE29EE" w:rsidP="00960B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č.21</w:t>
      </w:r>
      <w:r w:rsidR="00C4315A" w:rsidRPr="00A855A4">
        <w:rPr>
          <w:rFonts w:ascii="Times New Roman" w:hAnsi="Times New Roman" w:cs="Times New Roman"/>
          <w:sz w:val="20"/>
          <w:szCs w:val="20"/>
        </w:rPr>
        <w:t xml:space="preserve">: </w:t>
      </w:r>
      <w:r w:rsidR="00C4315A" w:rsidRPr="00193623">
        <w:rPr>
          <w:rFonts w:ascii="Times New Roman" w:hAnsi="Times New Roman" w:cs="Times New Roman"/>
          <w:sz w:val="20"/>
          <w:szCs w:val="20"/>
        </w:rPr>
        <w:t xml:space="preserve">Bilancia </w:t>
      </w:r>
      <w:r w:rsidR="00C4315A">
        <w:rPr>
          <w:rFonts w:ascii="Times New Roman" w:hAnsi="Times New Roman" w:cs="Times New Roman"/>
          <w:sz w:val="20"/>
          <w:szCs w:val="20"/>
        </w:rPr>
        <w:t>hydinového</w:t>
      </w:r>
      <w:r w:rsidR="00C4315A" w:rsidRPr="00193623">
        <w:rPr>
          <w:rFonts w:ascii="Times New Roman" w:hAnsi="Times New Roman" w:cs="Times New Roman"/>
          <w:sz w:val="20"/>
          <w:szCs w:val="20"/>
        </w:rPr>
        <w:t xml:space="preserve"> mäsa v tonách jatočnej hmotnosti</w:t>
      </w:r>
    </w:p>
    <w:tbl>
      <w:tblPr>
        <w:tblW w:w="9036" w:type="dxa"/>
        <w:tblInd w:w="55" w:type="dxa"/>
        <w:tblCellMar>
          <w:left w:w="70" w:type="dxa"/>
          <w:right w:w="70" w:type="dxa"/>
        </w:tblCellMar>
        <w:tblLook w:val="04A0" w:firstRow="1" w:lastRow="0" w:firstColumn="1" w:lastColumn="0" w:noHBand="0" w:noVBand="1"/>
      </w:tblPr>
      <w:tblGrid>
        <w:gridCol w:w="3276"/>
        <w:gridCol w:w="960"/>
        <w:gridCol w:w="960"/>
        <w:gridCol w:w="960"/>
        <w:gridCol w:w="960"/>
        <w:gridCol w:w="960"/>
        <w:gridCol w:w="960"/>
      </w:tblGrid>
      <w:tr w:rsidR="00F26204" w:rsidRPr="00F26204" w:rsidTr="00F26204">
        <w:trPr>
          <w:trHeight w:val="300"/>
        </w:trPr>
        <w:tc>
          <w:tcPr>
            <w:tcW w:w="3276" w:type="dxa"/>
            <w:tcBorders>
              <w:top w:val="single" w:sz="4" w:space="0" w:color="auto"/>
              <w:left w:val="nil"/>
              <w:bottom w:val="single" w:sz="4" w:space="0" w:color="auto"/>
              <w:right w:val="single" w:sz="4" w:space="0" w:color="auto"/>
            </w:tcBorders>
            <w:shd w:val="clear" w:color="000000" w:fill="D9D9D9"/>
            <w:noWrap/>
            <w:vAlign w:val="bottom"/>
            <w:hideMark/>
          </w:tcPr>
          <w:p w:rsidR="00F26204" w:rsidRPr="00F26204" w:rsidRDefault="00F26204" w:rsidP="00F26204">
            <w:pPr>
              <w:spacing w:after="0" w:line="240" w:lineRule="auto"/>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Ukazovateľ</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F26204" w:rsidRPr="00F26204" w:rsidRDefault="00F26204" w:rsidP="00F26204">
            <w:pPr>
              <w:spacing w:after="0" w:line="240" w:lineRule="auto"/>
              <w:jc w:val="right"/>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2002</w:t>
            </w:r>
          </w:p>
        </w:tc>
        <w:tc>
          <w:tcPr>
            <w:tcW w:w="960" w:type="dxa"/>
            <w:tcBorders>
              <w:top w:val="single" w:sz="4" w:space="0" w:color="auto"/>
              <w:left w:val="nil"/>
              <w:bottom w:val="single" w:sz="4" w:space="0" w:color="auto"/>
              <w:right w:val="nil"/>
            </w:tcBorders>
            <w:shd w:val="clear" w:color="000000" w:fill="D9D9D9"/>
            <w:noWrap/>
            <w:vAlign w:val="bottom"/>
            <w:hideMark/>
          </w:tcPr>
          <w:p w:rsidR="00F26204" w:rsidRPr="00F26204" w:rsidRDefault="00F26204" w:rsidP="00F26204">
            <w:pPr>
              <w:spacing w:after="0" w:line="240" w:lineRule="auto"/>
              <w:jc w:val="right"/>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2007</w:t>
            </w:r>
          </w:p>
        </w:tc>
        <w:tc>
          <w:tcPr>
            <w:tcW w:w="960" w:type="dxa"/>
            <w:tcBorders>
              <w:top w:val="single" w:sz="4" w:space="0" w:color="auto"/>
              <w:left w:val="nil"/>
              <w:bottom w:val="single" w:sz="4" w:space="0" w:color="auto"/>
              <w:right w:val="nil"/>
            </w:tcBorders>
            <w:shd w:val="clear" w:color="000000" w:fill="D9D9D9"/>
            <w:noWrap/>
            <w:vAlign w:val="bottom"/>
            <w:hideMark/>
          </w:tcPr>
          <w:p w:rsidR="00F26204" w:rsidRPr="00F26204" w:rsidRDefault="00F26204" w:rsidP="00F26204">
            <w:pPr>
              <w:spacing w:after="0" w:line="240" w:lineRule="auto"/>
              <w:jc w:val="right"/>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2008</w:t>
            </w:r>
          </w:p>
        </w:tc>
        <w:tc>
          <w:tcPr>
            <w:tcW w:w="960" w:type="dxa"/>
            <w:tcBorders>
              <w:top w:val="single" w:sz="4" w:space="0" w:color="auto"/>
              <w:left w:val="nil"/>
              <w:bottom w:val="single" w:sz="4" w:space="0" w:color="auto"/>
              <w:right w:val="nil"/>
            </w:tcBorders>
            <w:shd w:val="clear" w:color="000000" w:fill="D9D9D9"/>
            <w:noWrap/>
            <w:vAlign w:val="bottom"/>
            <w:hideMark/>
          </w:tcPr>
          <w:p w:rsidR="00F26204" w:rsidRPr="00F26204" w:rsidRDefault="00F26204" w:rsidP="00F26204">
            <w:pPr>
              <w:spacing w:after="0" w:line="240" w:lineRule="auto"/>
              <w:jc w:val="right"/>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2009</w:t>
            </w:r>
          </w:p>
        </w:tc>
        <w:tc>
          <w:tcPr>
            <w:tcW w:w="960" w:type="dxa"/>
            <w:tcBorders>
              <w:top w:val="single" w:sz="4" w:space="0" w:color="auto"/>
              <w:left w:val="nil"/>
              <w:bottom w:val="single" w:sz="4" w:space="0" w:color="auto"/>
              <w:right w:val="nil"/>
            </w:tcBorders>
            <w:shd w:val="clear" w:color="000000" w:fill="D9D9D9"/>
            <w:noWrap/>
            <w:vAlign w:val="bottom"/>
            <w:hideMark/>
          </w:tcPr>
          <w:p w:rsidR="00F26204" w:rsidRPr="00F26204" w:rsidRDefault="00F26204" w:rsidP="00F26204">
            <w:pPr>
              <w:spacing w:after="0" w:line="240" w:lineRule="auto"/>
              <w:jc w:val="right"/>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2010</w:t>
            </w:r>
          </w:p>
        </w:tc>
        <w:tc>
          <w:tcPr>
            <w:tcW w:w="960" w:type="dxa"/>
            <w:tcBorders>
              <w:top w:val="single" w:sz="4" w:space="0" w:color="auto"/>
              <w:left w:val="nil"/>
              <w:bottom w:val="single" w:sz="4" w:space="0" w:color="auto"/>
              <w:right w:val="nil"/>
            </w:tcBorders>
            <w:shd w:val="clear" w:color="000000" w:fill="D9D9D9"/>
            <w:noWrap/>
            <w:vAlign w:val="bottom"/>
            <w:hideMark/>
          </w:tcPr>
          <w:p w:rsidR="00F26204" w:rsidRPr="00F26204" w:rsidRDefault="00F26204" w:rsidP="00F26204">
            <w:pPr>
              <w:spacing w:after="0" w:line="240" w:lineRule="auto"/>
              <w:jc w:val="right"/>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2011</w:t>
            </w:r>
          </w:p>
        </w:tc>
      </w:tr>
      <w:tr w:rsidR="00F26204" w:rsidRPr="00F26204" w:rsidTr="00F26204">
        <w:trPr>
          <w:trHeight w:val="300"/>
        </w:trPr>
        <w:tc>
          <w:tcPr>
            <w:tcW w:w="3276" w:type="dxa"/>
            <w:tcBorders>
              <w:top w:val="nil"/>
              <w:left w:val="nil"/>
              <w:bottom w:val="single" w:sz="4" w:space="0" w:color="auto"/>
              <w:right w:val="single" w:sz="4" w:space="0" w:color="auto"/>
            </w:tcBorders>
            <w:shd w:val="clear" w:color="auto" w:fill="auto"/>
            <w:noWrap/>
            <w:vAlign w:val="bottom"/>
            <w:hideMark/>
          </w:tcPr>
          <w:p w:rsidR="00F26204" w:rsidRPr="00F26204" w:rsidRDefault="00F26204" w:rsidP="00F26204">
            <w:pPr>
              <w:spacing w:after="0" w:line="240" w:lineRule="auto"/>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Počiatočné zásoby</w:t>
            </w:r>
          </w:p>
        </w:tc>
        <w:tc>
          <w:tcPr>
            <w:tcW w:w="960" w:type="dxa"/>
            <w:tcBorders>
              <w:top w:val="nil"/>
              <w:left w:val="nil"/>
              <w:bottom w:val="single" w:sz="4" w:space="0" w:color="auto"/>
              <w:right w:val="single" w:sz="4" w:space="0" w:color="auto"/>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4 867</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6 235</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5 957</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6 019</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7 999</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3 058</w:t>
            </w:r>
          </w:p>
        </w:tc>
      </w:tr>
      <w:tr w:rsidR="00F26204" w:rsidRPr="00F26204" w:rsidTr="00F26204">
        <w:trPr>
          <w:trHeight w:val="300"/>
        </w:trPr>
        <w:tc>
          <w:tcPr>
            <w:tcW w:w="3276" w:type="dxa"/>
            <w:tcBorders>
              <w:top w:val="nil"/>
              <w:left w:val="nil"/>
              <w:bottom w:val="nil"/>
              <w:right w:val="single" w:sz="4" w:space="0" w:color="auto"/>
            </w:tcBorders>
            <w:shd w:val="clear" w:color="auto" w:fill="auto"/>
            <w:noWrap/>
            <w:vAlign w:val="bottom"/>
            <w:hideMark/>
          </w:tcPr>
          <w:p w:rsidR="00F26204" w:rsidRPr="00F26204" w:rsidRDefault="00F26204" w:rsidP="00F26204">
            <w:pPr>
              <w:spacing w:after="0" w:line="240" w:lineRule="auto"/>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Hrubá domáca produkcia</w:t>
            </w:r>
          </w:p>
        </w:tc>
        <w:tc>
          <w:tcPr>
            <w:tcW w:w="960" w:type="dxa"/>
            <w:tcBorders>
              <w:top w:val="nil"/>
              <w:left w:val="nil"/>
              <w:bottom w:val="nil"/>
              <w:right w:val="single" w:sz="4" w:space="0" w:color="auto"/>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98 109</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83 485</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75 130</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79 088</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87 998</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72 253</w:t>
            </w:r>
          </w:p>
        </w:tc>
      </w:tr>
      <w:tr w:rsidR="00F26204" w:rsidRPr="00F26204" w:rsidTr="00F26204">
        <w:trPr>
          <w:trHeight w:val="300"/>
        </w:trPr>
        <w:tc>
          <w:tcPr>
            <w:tcW w:w="3276" w:type="dxa"/>
            <w:tcBorders>
              <w:top w:val="nil"/>
              <w:left w:val="nil"/>
              <w:bottom w:val="nil"/>
              <w:right w:val="single" w:sz="4" w:space="0" w:color="auto"/>
            </w:tcBorders>
            <w:shd w:val="clear" w:color="auto" w:fill="auto"/>
            <w:noWrap/>
            <w:vAlign w:val="bottom"/>
            <w:hideMark/>
          </w:tcPr>
          <w:p w:rsidR="00F26204" w:rsidRPr="00F26204" w:rsidRDefault="00F26204" w:rsidP="00F26204">
            <w:pPr>
              <w:spacing w:after="0" w:line="240" w:lineRule="auto"/>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Dovoz</w:t>
            </w:r>
          </w:p>
        </w:tc>
        <w:tc>
          <w:tcPr>
            <w:tcW w:w="960" w:type="dxa"/>
            <w:tcBorders>
              <w:top w:val="nil"/>
              <w:left w:val="nil"/>
              <w:bottom w:val="nil"/>
              <w:right w:val="single" w:sz="4" w:space="0" w:color="auto"/>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20 105</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43 721</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56 972</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71 275</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71 817</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87 899</w:t>
            </w:r>
          </w:p>
        </w:tc>
      </w:tr>
      <w:tr w:rsidR="00F26204" w:rsidRPr="00F26204" w:rsidTr="00F26204">
        <w:trPr>
          <w:trHeight w:val="300"/>
        </w:trPr>
        <w:tc>
          <w:tcPr>
            <w:tcW w:w="3276" w:type="dxa"/>
            <w:tcBorders>
              <w:top w:val="nil"/>
              <w:left w:val="nil"/>
              <w:bottom w:val="single" w:sz="4" w:space="0" w:color="auto"/>
              <w:right w:val="single" w:sz="4" w:space="0" w:color="auto"/>
            </w:tcBorders>
            <w:shd w:val="clear" w:color="auto" w:fill="auto"/>
            <w:noWrap/>
            <w:vAlign w:val="bottom"/>
            <w:hideMark/>
          </w:tcPr>
          <w:p w:rsidR="00F26204" w:rsidRPr="00F26204" w:rsidRDefault="00F26204" w:rsidP="00F26204">
            <w:pPr>
              <w:spacing w:after="0" w:line="240" w:lineRule="auto"/>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 xml:space="preserve"> - v tom z EÚ-25</w:t>
            </w:r>
          </w:p>
        </w:tc>
        <w:tc>
          <w:tcPr>
            <w:tcW w:w="960" w:type="dxa"/>
            <w:tcBorders>
              <w:top w:val="nil"/>
              <w:left w:val="nil"/>
              <w:bottom w:val="single" w:sz="4" w:space="0" w:color="auto"/>
              <w:right w:val="single" w:sz="4" w:space="0" w:color="auto"/>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13 249</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36 808</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51 338</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61 153</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71 294</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80 138</w:t>
            </w:r>
          </w:p>
        </w:tc>
      </w:tr>
      <w:tr w:rsidR="00F26204" w:rsidRPr="00F26204" w:rsidTr="00F26204">
        <w:trPr>
          <w:trHeight w:val="300"/>
        </w:trPr>
        <w:tc>
          <w:tcPr>
            <w:tcW w:w="3276" w:type="dxa"/>
            <w:tcBorders>
              <w:top w:val="nil"/>
              <w:left w:val="nil"/>
              <w:bottom w:val="nil"/>
              <w:right w:val="single" w:sz="4" w:space="0" w:color="auto"/>
            </w:tcBorders>
            <w:shd w:val="clear" w:color="000000" w:fill="F2F2F2"/>
            <w:noWrap/>
            <w:vAlign w:val="bottom"/>
            <w:hideMark/>
          </w:tcPr>
          <w:p w:rsidR="00F26204" w:rsidRPr="00F26204" w:rsidRDefault="00F26204" w:rsidP="00F26204">
            <w:pPr>
              <w:spacing w:after="0" w:line="240" w:lineRule="auto"/>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Celková ponuka</w:t>
            </w:r>
          </w:p>
        </w:tc>
        <w:tc>
          <w:tcPr>
            <w:tcW w:w="960" w:type="dxa"/>
            <w:tcBorders>
              <w:top w:val="nil"/>
              <w:left w:val="nil"/>
              <w:bottom w:val="nil"/>
              <w:right w:val="single" w:sz="4" w:space="0" w:color="auto"/>
            </w:tcBorders>
            <w:shd w:val="clear" w:color="000000" w:fill="F2F2F2"/>
            <w:noWrap/>
            <w:vAlign w:val="bottom"/>
            <w:hideMark/>
          </w:tcPr>
          <w:p w:rsidR="00F26204" w:rsidRPr="00F26204" w:rsidRDefault="00F26204" w:rsidP="00F26204">
            <w:pPr>
              <w:spacing w:after="0" w:line="240" w:lineRule="auto"/>
              <w:jc w:val="right"/>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123 080</w:t>
            </w:r>
          </w:p>
        </w:tc>
        <w:tc>
          <w:tcPr>
            <w:tcW w:w="960" w:type="dxa"/>
            <w:tcBorders>
              <w:top w:val="nil"/>
              <w:left w:val="nil"/>
              <w:bottom w:val="nil"/>
              <w:right w:val="nil"/>
            </w:tcBorders>
            <w:shd w:val="clear" w:color="000000" w:fill="F2F2F2"/>
            <w:noWrap/>
            <w:vAlign w:val="bottom"/>
            <w:hideMark/>
          </w:tcPr>
          <w:p w:rsidR="00F26204" w:rsidRPr="00F26204" w:rsidRDefault="00F26204" w:rsidP="00F26204">
            <w:pPr>
              <w:spacing w:after="0" w:line="240" w:lineRule="auto"/>
              <w:jc w:val="right"/>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133 441</w:t>
            </w:r>
          </w:p>
        </w:tc>
        <w:tc>
          <w:tcPr>
            <w:tcW w:w="960" w:type="dxa"/>
            <w:tcBorders>
              <w:top w:val="nil"/>
              <w:left w:val="nil"/>
              <w:bottom w:val="nil"/>
              <w:right w:val="nil"/>
            </w:tcBorders>
            <w:shd w:val="clear" w:color="000000" w:fill="F2F2F2"/>
            <w:noWrap/>
            <w:vAlign w:val="bottom"/>
            <w:hideMark/>
          </w:tcPr>
          <w:p w:rsidR="00F26204" w:rsidRPr="00F26204" w:rsidRDefault="00F26204" w:rsidP="00F26204">
            <w:pPr>
              <w:spacing w:after="0" w:line="240" w:lineRule="auto"/>
              <w:jc w:val="right"/>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138 060</w:t>
            </w:r>
          </w:p>
        </w:tc>
        <w:tc>
          <w:tcPr>
            <w:tcW w:w="960" w:type="dxa"/>
            <w:tcBorders>
              <w:top w:val="nil"/>
              <w:left w:val="nil"/>
              <w:bottom w:val="nil"/>
              <w:right w:val="nil"/>
            </w:tcBorders>
            <w:shd w:val="clear" w:color="000000" w:fill="F2F2F2"/>
            <w:noWrap/>
            <w:vAlign w:val="bottom"/>
            <w:hideMark/>
          </w:tcPr>
          <w:p w:rsidR="00F26204" w:rsidRPr="00F26204" w:rsidRDefault="00F26204" w:rsidP="00F26204">
            <w:pPr>
              <w:spacing w:after="0" w:line="240" w:lineRule="auto"/>
              <w:jc w:val="right"/>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156 383</w:t>
            </w:r>
          </w:p>
        </w:tc>
        <w:tc>
          <w:tcPr>
            <w:tcW w:w="960" w:type="dxa"/>
            <w:tcBorders>
              <w:top w:val="nil"/>
              <w:left w:val="nil"/>
              <w:bottom w:val="nil"/>
              <w:right w:val="nil"/>
            </w:tcBorders>
            <w:shd w:val="clear" w:color="000000" w:fill="F2F2F2"/>
            <w:noWrap/>
            <w:vAlign w:val="bottom"/>
            <w:hideMark/>
          </w:tcPr>
          <w:p w:rsidR="00F26204" w:rsidRPr="00F26204" w:rsidRDefault="00F26204" w:rsidP="00F26204">
            <w:pPr>
              <w:spacing w:after="0" w:line="240" w:lineRule="auto"/>
              <w:jc w:val="right"/>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167 814</w:t>
            </w:r>
          </w:p>
        </w:tc>
        <w:tc>
          <w:tcPr>
            <w:tcW w:w="960" w:type="dxa"/>
            <w:tcBorders>
              <w:top w:val="nil"/>
              <w:left w:val="nil"/>
              <w:bottom w:val="nil"/>
              <w:right w:val="nil"/>
            </w:tcBorders>
            <w:shd w:val="clear" w:color="000000" w:fill="F2F2F2"/>
            <w:noWrap/>
            <w:vAlign w:val="bottom"/>
            <w:hideMark/>
          </w:tcPr>
          <w:p w:rsidR="00F26204" w:rsidRPr="00F26204" w:rsidRDefault="00F26204" w:rsidP="00F26204">
            <w:pPr>
              <w:spacing w:after="0" w:line="240" w:lineRule="auto"/>
              <w:jc w:val="right"/>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163 212</w:t>
            </w:r>
          </w:p>
        </w:tc>
      </w:tr>
      <w:tr w:rsidR="00F26204" w:rsidRPr="00F26204" w:rsidTr="00F26204">
        <w:trPr>
          <w:trHeight w:val="300"/>
        </w:trPr>
        <w:tc>
          <w:tcPr>
            <w:tcW w:w="3276" w:type="dxa"/>
            <w:tcBorders>
              <w:top w:val="nil"/>
              <w:left w:val="nil"/>
              <w:bottom w:val="nil"/>
              <w:right w:val="single" w:sz="4" w:space="0" w:color="auto"/>
            </w:tcBorders>
            <w:shd w:val="clear" w:color="auto" w:fill="auto"/>
            <w:noWrap/>
            <w:vAlign w:val="bottom"/>
            <w:hideMark/>
          </w:tcPr>
          <w:p w:rsidR="00F26204" w:rsidRPr="00F26204" w:rsidRDefault="00F26204" w:rsidP="00F26204">
            <w:pPr>
              <w:spacing w:after="0" w:line="240" w:lineRule="auto"/>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Vývoz</w:t>
            </w:r>
          </w:p>
        </w:tc>
        <w:tc>
          <w:tcPr>
            <w:tcW w:w="960" w:type="dxa"/>
            <w:tcBorders>
              <w:top w:val="nil"/>
              <w:left w:val="nil"/>
              <w:bottom w:val="nil"/>
              <w:right w:val="single" w:sz="4" w:space="0" w:color="auto"/>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4 119</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22 476</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29 005</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35 585</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61 559</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55 846</w:t>
            </w:r>
          </w:p>
        </w:tc>
      </w:tr>
      <w:tr w:rsidR="00F26204" w:rsidRPr="00F26204" w:rsidTr="00F26204">
        <w:trPr>
          <w:trHeight w:val="300"/>
        </w:trPr>
        <w:tc>
          <w:tcPr>
            <w:tcW w:w="3276" w:type="dxa"/>
            <w:tcBorders>
              <w:top w:val="nil"/>
              <w:left w:val="nil"/>
              <w:bottom w:val="nil"/>
              <w:right w:val="single" w:sz="4" w:space="0" w:color="auto"/>
            </w:tcBorders>
            <w:shd w:val="clear" w:color="auto" w:fill="auto"/>
            <w:noWrap/>
            <w:vAlign w:val="bottom"/>
            <w:hideMark/>
          </w:tcPr>
          <w:p w:rsidR="00F26204" w:rsidRPr="00F26204" w:rsidRDefault="00F26204" w:rsidP="00F26204">
            <w:pPr>
              <w:spacing w:after="0" w:line="240" w:lineRule="auto"/>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 xml:space="preserve"> - v tom z EÚ-25</w:t>
            </w:r>
          </w:p>
        </w:tc>
        <w:tc>
          <w:tcPr>
            <w:tcW w:w="960" w:type="dxa"/>
            <w:tcBorders>
              <w:top w:val="nil"/>
              <w:left w:val="nil"/>
              <w:bottom w:val="nil"/>
              <w:right w:val="single" w:sz="4" w:space="0" w:color="auto"/>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4 086</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21 174</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24 877</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34 662</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42 538</w:t>
            </w:r>
          </w:p>
        </w:tc>
        <w:tc>
          <w:tcPr>
            <w:tcW w:w="960" w:type="dxa"/>
            <w:tcBorders>
              <w:top w:val="nil"/>
              <w:left w:val="nil"/>
              <w:bottom w:val="nil"/>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50 078</w:t>
            </w:r>
          </w:p>
        </w:tc>
      </w:tr>
      <w:tr w:rsidR="00F26204" w:rsidRPr="00F26204" w:rsidTr="00F26204">
        <w:trPr>
          <w:trHeight w:val="300"/>
        </w:trPr>
        <w:tc>
          <w:tcPr>
            <w:tcW w:w="3276" w:type="dxa"/>
            <w:tcBorders>
              <w:top w:val="nil"/>
              <w:left w:val="nil"/>
              <w:bottom w:val="single" w:sz="4" w:space="0" w:color="auto"/>
              <w:right w:val="single" w:sz="4" w:space="0" w:color="auto"/>
            </w:tcBorders>
            <w:shd w:val="clear" w:color="auto" w:fill="auto"/>
            <w:noWrap/>
            <w:vAlign w:val="bottom"/>
            <w:hideMark/>
          </w:tcPr>
          <w:p w:rsidR="00F26204" w:rsidRPr="00F26204" w:rsidRDefault="00F26204" w:rsidP="00F26204">
            <w:pPr>
              <w:spacing w:after="0" w:line="240" w:lineRule="auto"/>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Spotreba mäsa</w:t>
            </w:r>
          </w:p>
        </w:tc>
        <w:tc>
          <w:tcPr>
            <w:tcW w:w="960" w:type="dxa"/>
            <w:tcBorders>
              <w:top w:val="nil"/>
              <w:left w:val="nil"/>
              <w:bottom w:val="single" w:sz="4" w:space="0" w:color="auto"/>
              <w:right w:val="single" w:sz="4" w:space="0" w:color="auto"/>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112 379</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105 008</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103 036</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112 798</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103 197</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104 134</w:t>
            </w:r>
          </w:p>
        </w:tc>
      </w:tr>
      <w:tr w:rsidR="00F26204" w:rsidRPr="00F26204" w:rsidTr="00F26204">
        <w:trPr>
          <w:trHeight w:val="300"/>
        </w:trPr>
        <w:tc>
          <w:tcPr>
            <w:tcW w:w="3276" w:type="dxa"/>
            <w:tcBorders>
              <w:top w:val="nil"/>
              <w:left w:val="nil"/>
              <w:bottom w:val="nil"/>
              <w:right w:val="single" w:sz="4" w:space="0" w:color="auto"/>
            </w:tcBorders>
            <w:shd w:val="clear" w:color="000000" w:fill="F2F2F2"/>
            <w:noWrap/>
            <w:vAlign w:val="bottom"/>
            <w:hideMark/>
          </w:tcPr>
          <w:p w:rsidR="00F26204" w:rsidRPr="00F26204" w:rsidRDefault="00F26204" w:rsidP="00F26204">
            <w:pPr>
              <w:spacing w:after="0" w:line="240" w:lineRule="auto"/>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Celkové použitie</w:t>
            </w:r>
          </w:p>
        </w:tc>
        <w:tc>
          <w:tcPr>
            <w:tcW w:w="960" w:type="dxa"/>
            <w:tcBorders>
              <w:top w:val="nil"/>
              <w:left w:val="nil"/>
              <w:bottom w:val="nil"/>
              <w:right w:val="single" w:sz="4" w:space="0" w:color="auto"/>
            </w:tcBorders>
            <w:shd w:val="clear" w:color="000000" w:fill="F2F2F2"/>
            <w:noWrap/>
            <w:vAlign w:val="bottom"/>
            <w:hideMark/>
          </w:tcPr>
          <w:p w:rsidR="00F26204" w:rsidRPr="00F26204" w:rsidRDefault="00F26204" w:rsidP="00F26204">
            <w:pPr>
              <w:spacing w:after="0" w:line="240" w:lineRule="auto"/>
              <w:jc w:val="right"/>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116 498</w:t>
            </w:r>
          </w:p>
        </w:tc>
        <w:tc>
          <w:tcPr>
            <w:tcW w:w="960" w:type="dxa"/>
            <w:tcBorders>
              <w:top w:val="nil"/>
              <w:left w:val="nil"/>
              <w:bottom w:val="nil"/>
              <w:right w:val="nil"/>
            </w:tcBorders>
            <w:shd w:val="clear" w:color="000000" w:fill="F2F2F2"/>
            <w:noWrap/>
            <w:vAlign w:val="bottom"/>
            <w:hideMark/>
          </w:tcPr>
          <w:p w:rsidR="00F26204" w:rsidRPr="00F26204" w:rsidRDefault="00F26204" w:rsidP="00F26204">
            <w:pPr>
              <w:spacing w:after="0" w:line="240" w:lineRule="auto"/>
              <w:jc w:val="right"/>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127 484</w:t>
            </w:r>
          </w:p>
        </w:tc>
        <w:tc>
          <w:tcPr>
            <w:tcW w:w="960" w:type="dxa"/>
            <w:tcBorders>
              <w:top w:val="nil"/>
              <w:left w:val="nil"/>
              <w:bottom w:val="nil"/>
              <w:right w:val="nil"/>
            </w:tcBorders>
            <w:shd w:val="clear" w:color="000000" w:fill="F2F2F2"/>
            <w:noWrap/>
            <w:vAlign w:val="bottom"/>
            <w:hideMark/>
          </w:tcPr>
          <w:p w:rsidR="00F26204" w:rsidRPr="00F26204" w:rsidRDefault="00F26204" w:rsidP="00F26204">
            <w:pPr>
              <w:spacing w:after="0" w:line="240" w:lineRule="auto"/>
              <w:jc w:val="right"/>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132 041</w:t>
            </w:r>
          </w:p>
        </w:tc>
        <w:tc>
          <w:tcPr>
            <w:tcW w:w="960" w:type="dxa"/>
            <w:tcBorders>
              <w:top w:val="nil"/>
              <w:left w:val="nil"/>
              <w:bottom w:val="nil"/>
              <w:right w:val="nil"/>
            </w:tcBorders>
            <w:shd w:val="clear" w:color="000000" w:fill="F2F2F2"/>
            <w:noWrap/>
            <w:vAlign w:val="bottom"/>
            <w:hideMark/>
          </w:tcPr>
          <w:p w:rsidR="00F26204" w:rsidRPr="00F26204" w:rsidRDefault="00F26204" w:rsidP="00F26204">
            <w:pPr>
              <w:spacing w:after="0" w:line="240" w:lineRule="auto"/>
              <w:jc w:val="right"/>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148 383</w:t>
            </w:r>
          </w:p>
        </w:tc>
        <w:tc>
          <w:tcPr>
            <w:tcW w:w="960" w:type="dxa"/>
            <w:tcBorders>
              <w:top w:val="nil"/>
              <w:left w:val="nil"/>
              <w:bottom w:val="nil"/>
              <w:right w:val="nil"/>
            </w:tcBorders>
            <w:shd w:val="clear" w:color="000000" w:fill="F2F2F2"/>
            <w:noWrap/>
            <w:vAlign w:val="bottom"/>
            <w:hideMark/>
          </w:tcPr>
          <w:p w:rsidR="00F26204" w:rsidRPr="00F26204" w:rsidRDefault="00F26204" w:rsidP="00F26204">
            <w:pPr>
              <w:spacing w:after="0" w:line="240" w:lineRule="auto"/>
              <w:jc w:val="right"/>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164 756</w:t>
            </w:r>
          </w:p>
        </w:tc>
        <w:tc>
          <w:tcPr>
            <w:tcW w:w="960" w:type="dxa"/>
            <w:tcBorders>
              <w:top w:val="nil"/>
              <w:left w:val="nil"/>
              <w:bottom w:val="nil"/>
              <w:right w:val="nil"/>
            </w:tcBorders>
            <w:shd w:val="clear" w:color="000000" w:fill="F2F2F2"/>
            <w:noWrap/>
            <w:vAlign w:val="bottom"/>
            <w:hideMark/>
          </w:tcPr>
          <w:p w:rsidR="00F26204" w:rsidRPr="00F26204" w:rsidRDefault="00F26204" w:rsidP="00F26204">
            <w:pPr>
              <w:spacing w:after="0" w:line="240" w:lineRule="auto"/>
              <w:jc w:val="right"/>
              <w:rPr>
                <w:rFonts w:ascii="Times New Roman" w:eastAsia="Times New Roman" w:hAnsi="Times New Roman" w:cs="Times New Roman"/>
                <w:b/>
                <w:bCs/>
                <w:color w:val="000000"/>
                <w:sz w:val="20"/>
                <w:szCs w:val="20"/>
              </w:rPr>
            </w:pPr>
            <w:r w:rsidRPr="00F26204">
              <w:rPr>
                <w:rFonts w:ascii="Times New Roman" w:eastAsia="Times New Roman" w:hAnsi="Times New Roman" w:cs="Times New Roman"/>
                <w:b/>
                <w:bCs/>
                <w:color w:val="000000"/>
                <w:sz w:val="20"/>
                <w:szCs w:val="20"/>
              </w:rPr>
              <w:t>159 980</w:t>
            </w:r>
          </w:p>
        </w:tc>
      </w:tr>
      <w:tr w:rsidR="00F26204" w:rsidRPr="00F26204" w:rsidTr="00F26204">
        <w:trPr>
          <w:trHeight w:val="300"/>
        </w:trPr>
        <w:tc>
          <w:tcPr>
            <w:tcW w:w="3276" w:type="dxa"/>
            <w:tcBorders>
              <w:top w:val="nil"/>
              <w:left w:val="nil"/>
              <w:bottom w:val="single" w:sz="4" w:space="0" w:color="auto"/>
              <w:right w:val="single" w:sz="4" w:space="0" w:color="auto"/>
            </w:tcBorders>
            <w:shd w:val="clear" w:color="auto" w:fill="auto"/>
            <w:noWrap/>
            <w:vAlign w:val="bottom"/>
            <w:hideMark/>
          </w:tcPr>
          <w:p w:rsidR="00F26204" w:rsidRPr="00F26204" w:rsidRDefault="00F26204" w:rsidP="00F26204">
            <w:pPr>
              <w:spacing w:after="0" w:line="240" w:lineRule="auto"/>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Konečné zásoby</w:t>
            </w:r>
          </w:p>
        </w:tc>
        <w:tc>
          <w:tcPr>
            <w:tcW w:w="960" w:type="dxa"/>
            <w:tcBorders>
              <w:top w:val="nil"/>
              <w:left w:val="nil"/>
              <w:bottom w:val="single" w:sz="4" w:space="0" w:color="auto"/>
              <w:right w:val="single" w:sz="4" w:space="0" w:color="auto"/>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6 582</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5 957</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6 019</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7 999</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3 058</w:t>
            </w:r>
          </w:p>
        </w:tc>
        <w:tc>
          <w:tcPr>
            <w:tcW w:w="960" w:type="dxa"/>
            <w:tcBorders>
              <w:top w:val="nil"/>
              <w:left w:val="nil"/>
              <w:bottom w:val="single" w:sz="4" w:space="0" w:color="auto"/>
              <w:right w:val="nil"/>
            </w:tcBorders>
            <w:shd w:val="clear" w:color="auto" w:fill="auto"/>
            <w:noWrap/>
            <w:vAlign w:val="bottom"/>
            <w:hideMark/>
          </w:tcPr>
          <w:p w:rsidR="00F26204" w:rsidRPr="00F26204" w:rsidRDefault="00F26204" w:rsidP="00F26204">
            <w:pPr>
              <w:spacing w:after="0" w:line="240" w:lineRule="auto"/>
              <w:jc w:val="right"/>
              <w:rPr>
                <w:rFonts w:ascii="Times New Roman" w:eastAsia="Times New Roman" w:hAnsi="Times New Roman" w:cs="Times New Roman"/>
                <w:color w:val="000000"/>
                <w:sz w:val="20"/>
                <w:szCs w:val="20"/>
              </w:rPr>
            </w:pPr>
            <w:r w:rsidRPr="00F26204">
              <w:rPr>
                <w:rFonts w:ascii="Times New Roman" w:eastAsia="Times New Roman" w:hAnsi="Times New Roman" w:cs="Times New Roman"/>
                <w:color w:val="000000"/>
                <w:sz w:val="20"/>
                <w:szCs w:val="20"/>
              </w:rPr>
              <w:t>3 232</w:t>
            </w:r>
          </w:p>
        </w:tc>
      </w:tr>
    </w:tbl>
    <w:p w:rsidR="00C4315A" w:rsidRDefault="00C4315A" w:rsidP="00C4315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9B3A95" w:rsidRDefault="009B3A95" w:rsidP="00B515FB">
      <w:pPr>
        <w:spacing w:after="0" w:line="240" w:lineRule="auto"/>
        <w:jc w:val="both"/>
        <w:rPr>
          <w:rFonts w:ascii="Times New Roman" w:hAnsi="Times New Roman" w:cs="Times New Roman"/>
          <w:sz w:val="24"/>
          <w:szCs w:val="24"/>
        </w:rPr>
      </w:pPr>
    </w:p>
    <w:p w:rsidR="00B515FB" w:rsidRDefault="00B515FB" w:rsidP="00B51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Ponuka dorovnáva domáci dopyt dovozom prevažne spracovaného hydinového mäsa a čiastočne dovozom živej hydiny. V</w:t>
      </w:r>
      <w:r w:rsidRPr="00C1719A">
        <w:rPr>
          <w:rFonts w:ascii="Times New Roman" w:hAnsi="Times New Roman" w:cs="Times New Roman"/>
          <w:sz w:val="24"/>
          <w:szCs w:val="24"/>
        </w:rPr>
        <w:t xml:space="preserve"> roku 2011 </w:t>
      </w:r>
      <w:r>
        <w:rPr>
          <w:rFonts w:ascii="Times New Roman" w:hAnsi="Times New Roman" w:cs="Times New Roman"/>
          <w:sz w:val="24"/>
          <w:szCs w:val="24"/>
        </w:rPr>
        <w:t xml:space="preserve">sa </w:t>
      </w:r>
      <w:r w:rsidRPr="00C1719A">
        <w:rPr>
          <w:rFonts w:ascii="Times New Roman" w:hAnsi="Times New Roman" w:cs="Times New Roman"/>
          <w:sz w:val="24"/>
          <w:szCs w:val="24"/>
        </w:rPr>
        <w:t xml:space="preserve">na Slovensko doviezlo12 </w:t>
      </w:r>
      <w:r>
        <w:rPr>
          <w:rFonts w:ascii="Times New Roman" w:hAnsi="Times New Roman" w:cs="Times New Roman"/>
          <w:sz w:val="24"/>
          <w:szCs w:val="24"/>
        </w:rPr>
        <w:t>393</w:t>
      </w:r>
      <w:r w:rsidRPr="00C1719A">
        <w:rPr>
          <w:rFonts w:ascii="Times New Roman" w:hAnsi="Times New Roman" w:cs="Times New Roman"/>
          <w:sz w:val="24"/>
          <w:szCs w:val="24"/>
        </w:rPr>
        <w:t xml:space="preserve"> t </w:t>
      </w:r>
      <w:r>
        <w:rPr>
          <w:rFonts w:ascii="Times New Roman" w:hAnsi="Times New Roman" w:cs="Times New Roman"/>
          <w:sz w:val="24"/>
          <w:szCs w:val="24"/>
        </w:rPr>
        <w:t>živej hydiny</w:t>
      </w:r>
      <w:r w:rsidRPr="00C1719A">
        <w:rPr>
          <w:rFonts w:ascii="Times New Roman" w:hAnsi="Times New Roman" w:cs="Times New Roman"/>
          <w:sz w:val="24"/>
          <w:szCs w:val="24"/>
        </w:rPr>
        <w:t xml:space="preserve"> a</w:t>
      </w:r>
      <w:r>
        <w:rPr>
          <w:rFonts w:ascii="Times New Roman" w:hAnsi="Times New Roman" w:cs="Times New Roman"/>
          <w:sz w:val="24"/>
          <w:szCs w:val="24"/>
        </w:rPr>
        <w:t> 70 352</w:t>
      </w:r>
      <w:r w:rsidRPr="00C1719A">
        <w:rPr>
          <w:rFonts w:ascii="Times New Roman" w:hAnsi="Times New Roman" w:cs="Times New Roman"/>
          <w:sz w:val="24"/>
          <w:szCs w:val="24"/>
        </w:rPr>
        <w:t xml:space="preserve"> ton </w:t>
      </w:r>
      <w:r>
        <w:rPr>
          <w:rFonts w:ascii="Times New Roman" w:hAnsi="Times New Roman" w:cs="Times New Roman"/>
          <w:sz w:val="24"/>
          <w:szCs w:val="24"/>
        </w:rPr>
        <w:t>hydinového mäsa z kurčiat a moriek. Vyviezla</w:t>
      </w:r>
      <w:r w:rsidRPr="00C1719A">
        <w:rPr>
          <w:rFonts w:ascii="Times New Roman" w:hAnsi="Times New Roman" w:cs="Times New Roman"/>
          <w:sz w:val="24"/>
          <w:szCs w:val="24"/>
        </w:rPr>
        <w:t xml:space="preserve"> sa </w:t>
      </w:r>
      <w:r>
        <w:rPr>
          <w:rFonts w:ascii="Times New Roman" w:hAnsi="Times New Roman" w:cs="Times New Roman"/>
          <w:sz w:val="24"/>
          <w:szCs w:val="24"/>
        </w:rPr>
        <w:t>živá hydina</w:t>
      </w:r>
      <w:r w:rsidRPr="00C1719A">
        <w:rPr>
          <w:rFonts w:ascii="Times New Roman" w:hAnsi="Times New Roman" w:cs="Times New Roman"/>
          <w:sz w:val="24"/>
          <w:szCs w:val="24"/>
        </w:rPr>
        <w:t xml:space="preserve"> o živej hmotnosti </w:t>
      </w:r>
      <w:r>
        <w:rPr>
          <w:rFonts w:ascii="Times New Roman" w:hAnsi="Times New Roman" w:cs="Times New Roman"/>
          <w:sz w:val="24"/>
          <w:szCs w:val="24"/>
        </w:rPr>
        <w:t>24 871</w:t>
      </w:r>
      <w:r w:rsidRPr="00C1719A">
        <w:rPr>
          <w:rFonts w:ascii="Times New Roman" w:hAnsi="Times New Roman" w:cs="Times New Roman"/>
          <w:sz w:val="24"/>
          <w:szCs w:val="24"/>
        </w:rPr>
        <w:t xml:space="preserve"> ton. Súčasne sa vyviezlo </w:t>
      </w:r>
      <w:r>
        <w:rPr>
          <w:rFonts w:ascii="Times New Roman" w:hAnsi="Times New Roman" w:cs="Times New Roman"/>
          <w:sz w:val="24"/>
          <w:szCs w:val="24"/>
        </w:rPr>
        <w:t>36 175</w:t>
      </w:r>
      <w:r w:rsidRPr="00C1719A">
        <w:rPr>
          <w:rFonts w:ascii="Times New Roman" w:hAnsi="Times New Roman" w:cs="Times New Roman"/>
          <w:sz w:val="24"/>
          <w:szCs w:val="24"/>
        </w:rPr>
        <w:t xml:space="preserve"> ton </w:t>
      </w:r>
      <w:r>
        <w:rPr>
          <w:rFonts w:ascii="Times New Roman" w:hAnsi="Times New Roman" w:cs="Times New Roman"/>
          <w:sz w:val="24"/>
          <w:szCs w:val="24"/>
        </w:rPr>
        <w:t xml:space="preserve">hydinového mäsa z kurčiat a moriek. Z hľadiska prvovýroby teda nastáva problematický moment v tom, že </w:t>
      </w:r>
      <w:r w:rsidRPr="00740295">
        <w:rPr>
          <w:rFonts w:ascii="Times New Roman" w:hAnsi="Times New Roman" w:cs="Times New Roman"/>
          <w:sz w:val="24"/>
          <w:szCs w:val="24"/>
        </w:rPr>
        <w:t xml:space="preserve">slovenskí prvovýrobcovia vyvážajú produkciu </w:t>
      </w:r>
      <w:r>
        <w:rPr>
          <w:rFonts w:ascii="Times New Roman" w:hAnsi="Times New Roman" w:cs="Times New Roman"/>
          <w:sz w:val="24"/>
          <w:szCs w:val="24"/>
        </w:rPr>
        <w:t>hydinového</w:t>
      </w:r>
      <w:r w:rsidRPr="00740295">
        <w:rPr>
          <w:rFonts w:ascii="Times New Roman" w:hAnsi="Times New Roman" w:cs="Times New Roman"/>
          <w:sz w:val="24"/>
          <w:szCs w:val="24"/>
        </w:rPr>
        <w:t xml:space="preserve"> mäsa aj napriek tomu, že </w:t>
      </w:r>
      <w:r w:rsidR="005B3A16">
        <w:rPr>
          <w:rFonts w:ascii="Times New Roman" w:hAnsi="Times New Roman" w:cs="Times New Roman"/>
          <w:sz w:val="24"/>
          <w:szCs w:val="24"/>
        </w:rPr>
        <w:t>celá súčasná produkcia môže</w:t>
      </w:r>
      <w:r w:rsidR="00F6585B">
        <w:rPr>
          <w:rFonts w:ascii="Times New Roman" w:hAnsi="Times New Roman" w:cs="Times New Roman"/>
          <w:sz w:val="24"/>
          <w:szCs w:val="24"/>
        </w:rPr>
        <w:t xml:space="preserve"> </w:t>
      </w:r>
      <w:r w:rsidR="005B3A16">
        <w:rPr>
          <w:rFonts w:ascii="Times New Roman" w:hAnsi="Times New Roman" w:cs="Times New Roman"/>
          <w:sz w:val="24"/>
          <w:szCs w:val="24"/>
        </w:rPr>
        <w:t>byť spracovaná</w:t>
      </w:r>
      <w:r w:rsidRPr="00740295">
        <w:rPr>
          <w:rFonts w:ascii="Times New Roman" w:hAnsi="Times New Roman" w:cs="Times New Roman"/>
          <w:sz w:val="24"/>
          <w:szCs w:val="24"/>
        </w:rPr>
        <w:t xml:space="preserve"> na Slovensku</w:t>
      </w:r>
      <w:r>
        <w:rPr>
          <w:rFonts w:ascii="Times New Roman" w:hAnsi="Times New Roman" w:cs="Times New Roman"/>
          <w:sz w:val="24"/>
          <w:szCs w:val="24"/>
        </w:rPr>
        <w:t>.</w:t>
      </w:r>
    </w:p>
    <w:p w:rsidR="00B515FB" w:rsidRDefault="00B515FB" w:rsidP="00B515FB">
      <w:pPr>
        <w:spacing w:after="0" w:line="240" w:lineRule="auto"/>
        <w:jc w:val="both"/>
        <w:rPr>
          <w:rFonts w:ascii="Times New Roman" w:hAnsi="Times New Roman" w:cs="Times New Roman"/>
          <w:sz w:val="24"/>
          <w:szCs w:val="24"/>
        </w:rPr>
      </w:pPr>
    </w:p>
    <w:p w:rsidR="00796EBD" w:rsidRDefault="00796EBD" w:rsidP="00960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Vývoj objemu hrubej domácej produkcie približne kopíruje vývoj v počte hydiny, pričom vývoj obidvoch ukazovateľov má</w:t>
      </w:r>
      <w:r w:rsidR="00155936">
        <w:rPr>
          <w:rFonts w:ascii="Times New Roman" w:hAnsi="Times New Roman" w:cs="Times New Roman"/>
          <w:sz w:val="24"/>
          <w:szCs w:val="24"/>
        </w:rPr>
        <w:t>, zo strednodobého hľadiska striedavý trend</w:t>
      </w:r>
      <w:r w:rsidR="002D778F">
        <w:rPr>
          <w:rFonts w:ascii="Times New Roman" w:hAnsi="Times New Roman" w:cs="Times New Roman"/>
          <w:sz w:val="24"/>
          <w:szCs w:val="24"/>
        </w:rPr>
        <w:t xml:space="preserve"> (viď graf č. 12</w:t>
      </w:r>
      <w:r>
        <w:rPr>
          <w:rFonts w:ascii="Times New Roman" w:hAnsi="Times New Roman" w:cs="Times New Roman"/>
          <w:sz w:val="24"/>
          <w:szCs w:val="24"/>
        </w:rPr>
        <w:t>).</w:t>
      </w:r>
    </w:p>
    <w:p w:rsidR="00796EBD" w:rsidRDefault="00796EBD" w:rsidP="00960B36">
      <w:pPr>
        <w:spacing w:after="0" w:line="240" w:lineRule="auto"/>
        <w:jc w:val="both"/>
        <w:rPr>
          <w:rFonts w:ascii="Times New Roman" w:hAnsi="Times New Roman" w:cs="Times New Roman"/>
          <w:sz w:val="24"/>
          <w:szCs w:val="24"/>
        </w:rPr>
      </w:pPr>
    </w:p>
    <w:p w:rsidR="00155936" w:rsidRPr="00155936" w:rsidRDefault="002D778F" w:rsidP="00960B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1</w:t>
      </w:r>
      <w:r w:rsidR="00C970F8">
        <w:rPr>
          <w:rFonts w:ascii="Times New Roman" w:hAnsi="Times New Roman" w:cs="Times New Roman"/>
          <w:sz w:val="20"/>
          <w:szCs w:val="20"/>
        </w:rPr>
        <w:t>8</w:t>
      </w:r>
      <w:r w:rsidR="00155936" w:rsidRPr="00155936">
        <w:rPr>
          <w:rFonts w:ascii="Times New Roman" w:hAnsi="Times New Roman" w:cs="Times New Roman"/>
          <w:sz w:val="20"/>
          <w:szCs w:val="20"/>
        </w:rPr>
        <w:t>:</w:t>
      </w:r>
      <w:r w:rsidR="00BD3B11">
        <w:rPr>
          <w:rFonts w:ascii="Times New Roman" w:hAnsi="Times New Roman" w:cs="Times New Roman"/>
          <w:sz w:val="20"/>
          <w:szCs w:val="20"/>
        </w:rPr>
        <w:t xml:space="preserve"> Vývoj hrubej domácej produkcie hydiny a počtu hydiny </w:t>
      </w:r>
    </w:p>
    <w:p w:rsidR="00A801B6" w:rsidRDefault="00F501E7" w:rsidP="00960B36">
      <w:pPr>
        <w:spacing w:after="0" w:line="240" w:lineRule="auto"/>
        <w:jc w:val="both"/>
        <w:rPr>
          <w:rFonts w:ascii="Times New Roman" w:hAnsi="Times New Roman" w:cs="Times New Roman"/>
          <w:sz w:val="24"/>
          <w:szCs w:val="24"/>
        </w:rPr>
      </w:pPr>
      <w:r>
        <w:rPr>
          <w:noProof/>
        </w:rPr>
        <w:drawing>
          <wp:inline distT="0" distB="0" distL="0" distR="0" wp14:anchorId="4457BF14" wp14:editId="754A4A57">
            <wp:extent cx="5759532" cy="2523506"/>
            <wp:effectExtent l="0" t="0" r="0" b="0"/>
            <wp:docPr id="53" name="Graf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55936" w:rsidRDefault="00155936" w:rsidP="0015593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2346FB" w:rsidRDefault="002346FB" w:rsidP="00960B36">
      <w:pPr>
        <w:spacing w:after="0" w:line="240" w:lineRule="auto"/>
        <w:jc w:val="both"/>
        <w:rPr>
          <w:rFonts w:ascii="Times New Roman" w:hAnsi="Times New Roman" w:cs="Times New Roman"/>
          <w:sz w:val="24"/>
          <w:szCs w:val="24"/>
        </w:rPr>
      </w:pPr>
    </w:p>
    <w:p w:rsidR="00D51013" w:rsidRDefault="00A801B6" w:rsidP="00960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Príčiny nízkej miery </w:t>
      </w:r>
      <w:r w:rsidR="005B3A16">
        <w:rPr>
          <w:rFonts w:ascii="Times New Roman" w:hAnsi="Times New Roman" w:cs="Times New Roman"/>
          <w:sz w:val="24"/>
          <w:szCs w:val="24"/>
        </w:rPr>
        <w:t>produkčnej výkonnosti</w:t>
      </w:r>
      <w:r>
        <w:rPr>
          <w:rFonts w:ascii="Times New Roman" w:hAnsi="Times New Roman" w:cs="Times New Roman"/>
          <w:sz w:val="24"/>
          <w:szCs w:val="24"/>
        </w:rPr>
        <w:t xml:space="preserve"> v tejto komodite z hľadiska prvovýroby je teda potrebné hľadať </w:t>
      </w:r>
      <w:r w:rsidR="00B70CFE">
        <w:rPr>
          <w:rFonts w:ascii="Times New Roman" w:hAnsi="Times New Roman" w:cs="Times New Roman"/>
          <w:sz w:val="24"/>
          <w:szCs w:val="24"/>
        </w:rPr>
        <w:t>predovšetkým v nízkej početnosti hydiny a vo vysokom objeme čistého vývozu živej hydiny v pomere k hrubej domácej produkcii.</w:t>
      </w:r>
      <w:r w:rsidR="00B12997">
        <w:rPr>
          <w:rFonts w:ascii="Times New Roman" w:hAnsi="Times New Roman" w:cs="Times New Roman"/>
          <w:sz w:val="24"/>
          <w:szCs w:val="24"/>
        </w:rPr>
        <w:t xml:space="preserve"> </w:t>
      </w:r>
      <w:r w:rsidR="00C30A56">
        <w:rPr>
          <w:rFonts w:ascii="Times New Roman" w:hAnsi="Times New Roman" w:cs="Times New Roman"/>
          <w:sz w:val="24"/>
          <w:szCs w:val="24"/>
        </w:rPr>
        <w:t>Hrubá domáca produkcia</w:t>
      </w:r>
      <w:r w:rsidR="00D51013" w:rsidRPr="009B41B3">
        <w:rPr>
          <w:rFonts w:ascii="Times New Roman" w:hAnsi="Times New Roman" w:cs="Times New Roman"/>
          <w:sz w:val="24"/>
          <w:szCs w:val="24"/>
        </w:rPr>
        <w:t xml:space="preserve"> hydiny sa teda, z hľadiska naplnenia </w:t>
      </w:r>
      <w:r w:rsidR="005B3A16">
        <w:rPr>
          <w:rFonts w:ascii="Times New Roman" w:hAnsi="Times New Roman" w:cs="Times New Roman"/>
          <w:sz w:val="24"/>
          <w:szCs w:val="24"/>
        </w:rPr>
        <w:t>cielenej miery produkčnej výkonnosti na úrovni</w:t>
      </w:r>
      <w:r w:rsidR="00D51013" w:rsidRPr="009B41B3">
        <w:rPr>
          <w:rFonts w:ascii="Times New Roman" w:hAnsi="Times New Roman" w:cs="Times New Roman"/>
          <w:sz w:val="24"/>
          <w:szCs w:val="24"/>
        </w:rPr>
        <w:t xml:space="preserve"> 80 </w:t>
      </w:r>
      <w:r w:rsidR="00A01DD6">
        <w:rPr>
          <w:rFonts w:ascii="Times New Roman" w:hAnsi="Times New Roman" w:cs="Times New Roman"/>
          <w:sz w:val="24"/>
          <w:szCs w:val="24"/>
        </w:rPr>
        <w:t>% súčasnej spotreby</w:t>
      </w:r>
      <w:r w:rsidR="00D51013" w:rsidRPr="009B41B3">
        <w:rPr>
          <w:rFonts w:ascii="Times New Roman" w:hAnsi="Times New Roman" w:cs="Times New Roman"/>
          <w:sz w:val="24"/>
          <w:szCs w:val="24"/>
        </w:rPr>
        <w:t>, musí zvýšiť</w:t>
      </w:r>
      <w:r w:rsidR="009B41B3" w:rsidRPr="009B41B3">
        <w:rPr>
          <w:rFonts w:ascii="Times New Roman" w:hAnsi="Times New Roman" w:cs="Times New Roman"/>
          <w:sz w:val="24"/>
          <w:szCs w:val="24"/>
        </w:rPr>
        <w:t xml:space="preserve"> minimálne</w:t>
      </w:r>
      <w:r w:rsidR="00D51013" w:rsidRPr="009B41B3">
        <w:rPr>
          <w:rFonts w:ascii="Times New Roman" w:hAnsi="Times New Roman" w:cs="Times New Roman"/>
          <w:sz w:val="24"/>
          <w:szCs w:val="24"/>
        </w:rPr>
        <w:t xml:space="preserve"> o</w:t>
      </w:r>
      <w:r w:rsidR="00C30A56">
        <w:rPr>
          <w:rFonts w:ascii="Times New Roman" w:hAnsi="Times New Roman" w:cs="Times New Roman"/>
          <w:sz w:val="24"/>
          <w:szCs w:val="24"/>
        </w:rPr>
        <w:t> </w:t>
      </w:r>
      <w:r w:rsidR="00B256A2">
        <w:rPr>
          <w:rFonts w:ascii="Times New Roman" w:hAnsi="Times New Roman" w:cs="Times New Roman"/>
          <w:sz w:val="24"/>
          <w:szCs w:val="24"/>
        </w:rPr>
        <w:t>11 </w:t>
      </w:r>
      <w:r w:rsidR="00C30A56">
        <w:rPr>
          <w:rFonts w:ascii="Times New Roman" w:hAnsi="Times New Roman" w:cs="Times New Roman"/>
          <w:sz w:val="24"/>
          <w:szCs w:val="24"/>
        </w:rPr>
        <w:t>0</w:t>
      </w:r>
      <w:r w:rsidR="00B256A2">
        <w:rPr>
          <w:rFonts w:ascii="Times New Roman" w:hAnsi="Times New Roman" w:cs="Times New Roman"/>
          <w:sz w:val="24"/>
          <w:szCs w:val="24"/>
        </w:rPr>
        <w:t>54</w:t>
      </w:r>
      <w:r w:rsidR="00C30A56">
        <w:rPr>
          <w:rFonts w:ascii="Times New Roman" w:hAnsi="Times New Roman" w:cs="Times New Roman"/>
          <w:sz w:val="24"/>
          <w:szCs w:val="24"/>
        </w:rPr>
        <w:t xml:space="preserve"> t</w:t>
      </w:r>
      <w:r w:rsidR="00E63C0E">
        <w:rPr>
          <w:rFonts w:ascii="Times New Roman" w:hAnsi="Times New Roman" w:cs="Times New Roman"/>
          <w:sz w:val="24"/>
          <w:szCs w:val="24"/>
        </w:rPr>
        <w:t xml:space="preserve"> (t.j. cca </w:t>
      </w:r>
      <w:r w:rsidR="00B256A2">
        <w:rPr>
          <w:rFonts w:ascii="Times New Roman" w:hAnsi="Times New Roman" w:cs="Times New Roman"/>
          <w:sz w:val="24"/>
          <w:szCs w:val="24"/>
        </w:rPr>
        <w:t>5 314 423</w:t>
      </w:r>
      <w:r w:rsidR="00E63C0E">
        <w:rPr>
          <w:rFonts w:ascii="Times New Roman" w:hAnsi="Times New Roman" w:cs="Times New Roman"/>
          <w:sz w:val="24"/>
          <w:szCs w:val="24"/>
        </w:rPr>
        <w:t xml:space="preserve"> ks)</w:t>
      </w:r>
      <w:r w:rsidR="009B41B3">
        <w:rPr>
          <w:rFonts w:ascii="Times New Roman" w:hAnsi="Times New Roman" w:cs="Times New Roman"/>
          <w:sz w:val="24"/>
          <w:szCs w:val="24"/>
        </w:rPr>
        <w:t>, ak uvažujeme že sa všetka produkcia prvovýroby spracuje na Slovensku.</w:t>
      </w:r>
    </w:p>
    <w:p w:rsidR="00B70CFE" w:rsidRDefault="00B70CFE" w:rsidP="00960B36">
      <w:pPr>
        <w:spacing w:after="0" w:line="240" w:lineRule="auto"/>
        <w:jc w:val="both"/>
        <w:rPr>
          <w:rFonts w:ascii="Times New Roman" w:hAnsi="Times New Roman" w:cs="Times New Roman"/>
          <w:sz w:val="24"/>
          <w:szCs w:val="24"/>
        </w:rPr>
      </w:pPr>
    </w:p>
    <w:p w:rsidR="00B70CFE" w:rsidRDefault="00B70CFE" w:rsidP="00960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pohľadu spracovania </w:t>
      </w:r>
      <w:r w:rsidR="009A0E67">
        <w:rPr>
          <w:rFonts w:ascii="Times New Roman" w:hAnsi="Times New Roman" w:cs="Times New Roman"/>
          <w:sz w:val="24"/>
          <w:szCs w:val="24"/>
        </w:rPr>
        <w:t xml:space="preserve">súčasnej </w:t>
      </w:r>
      <w:r>
        <w:rPr>
          <w:rFonts w:ascii="Times New Roman" w:hAnsi="Times New Roman" w:cs="Times New Roman"/>
          <w:sz w:val="24"/>
          <w:szCs w:val="24"/>
        </w:rPr>
        <w:t>hrubej domácej produkcie na Slovensku, táto dosahuje úroveň</w:t>
      </w:r>
      <w:r w:rsidR="00510E2C">
        <w:rPr>
          <w:rFonts w:ascii="Times New Roman" w:hAnsi="Times New Roman" w:cs="Times New Roman"/>
          <w:sz w:val="24"/>
          <w:szCs w:val="24"/>
        </w:rPr>
        <w:t xml:space="preserve"> 78,45 % a zo strednodobého hľadiska </w:t>
      </w:r>
      <w:r w:rsidR="002D778F">
        <w:rPr>
          <w:rFonts w:ascii="Times New Roman" w:hAnsi="Times New Roman" w:cs="Times New Roman"/>
          <w:sz w:val="24"/>
          <w:szCs w:val="24"/>
        </w:rPr>
        <w:t>k</w:t>
      </w:r>
      <w:r w:rsidR="00AD5B5B">
        <w:rPr>
          <w:rFonts w:ascii="Times New Roman" w:hAnsi="Times New Roman" w:cs="Times New Roman"/>
          <w:sz w:val="24"/>
          <w:szCs w:val="24"/>
        </w:rPr>
        <w:t>ontinuálne klesá (viď graf č. 17</w:t>
      </w:r>
      <w:r w:rsidR="00510E2C">
        <w:rPr>
          <w:rFonts w:ascii="Times New Roman" w:hAnsi="Times New Roman" w:cs="Times New Roman"/>
          <w:sz w:val="24"/>
          <w:szCs w:val="24"/>
        </w:rPr>
        <w:t>).</w:t>
      </w:r>
      <w:r w:rsidR="009A0E67">
        <w:rPr>
          <w:rFonts w:ascii="Times New Roman" w:hAnsi="Times New Roman" w:cs="Times New Roman"/>
          <w:sz w:val="24"/>
          <w:szCs w:val="24"/>
        </w:rPr>
        <w:t>Súčasná produkčná výkonnosť spracovateľského priemyslu takto predstavuje iba 54,4 % súčasnej spotreby hydinového mäsa na Slovensku.</w:t>
      </w:r>
    </w:p>
    <w:p w:rsidR="00510E2C" w:rsidRDefault="00510E2C" w:rsidP="00960B36">
      <w:pPr>
        <w:spacing w:after="0" w:line="240" w:lineRule="auto"/>
        <w:jc w:val="both"/>
        <w:rPr>
          <w:rFonts w:ascii="Times New Roman" w:hAnsi="Times New Roman" w:cs="Times New Roman"/>
          <w:sz w:val="24"/>
          <w:szCs w:val="24"/>
        </w:rPr>
      </w:pPr>
    </w:p>
    <w:p w:rsidR="00510E2C" w:rsidRPr="00510E2C" w:rsidRDefault="00C970F8" w:rsidP="00960B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19</w:t>
      </w:r>
      <w:r w:rsidR="00510E2C" w:rsidRPr="00155936">
        <w:rPr>
          <w:rFonts w:ascii="Times New Roman" w:hAnsi="Times New Roman" w:cs="Times New Roman"/>
          <w:sz w:val="20"/>
          <w:szCs w:val="20"/>
        </w:rPr>
        <w:t>:</w:t>
      </w:r>
      <w:r w:rsidR="00BD3B11">
        <w:rPr>
          <w:rFonts w:ascii="Times New Roman" w:hAnsi="Times New Roman" w:cs="Times New Roman"/>
          <w:sz w:val="20"/>
          <w:szCs w:val="20"/>
        </w:rPr>
        <w:t xml:space="preserve"> Vývoj hrubej domácej produkcie hydiny a zabití jatočnej hydiny</w:t>
      </w:r>
    </w:p>
    <w:p w:rsidR="00510E2C" w:rsidRDefault="00510E2C" w:rsidP="00960B36">
      <w:pPr>
        <w:spacing w:after="0" w:line="240" w:lineRule="auto"/>
        <w:jc w:val="both"/>
        <w:rPr>
          <w:rFonts w:ascii="Times New Roman" w:hAnsi="Times New Roman" w:cs="Times New Roman"/>
          <w:sz w:val="24"/>
          <w:szCs w:val="24"/>
        </w:rPr>
      </w:pPr>
      <w:r>
        <w:rPr>
          <w:noProof/>
        </w:rPr>
        <w:drawing>
          <wp:inline distT="0" distB="0" distL="0" distR="0" wp14:anchorId="3E12DF4C" wp14:editId="750D2B77">
            <wp:extent cx="5749747" cy="2677363"/>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10E2C" w:rsidRDefault="00510E2C" w:rsidP="00510E2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510E2C" w:rsidRDefault="00510E2C" w:rsidP="00960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Ak uvažujeme s potenciálnou kapacitou spracovateľského priemyslu na Slovensku na úrovni </w:t>
      </w:r>
      <w:r w:rsidR="00D51013">
        <w:rPr>
          <w:rFonts w:ascii="Times New Roman" w:hAnsi="Times New Roman" w:cs="Times New Roman"/>
          <w:sz w:val="24"/>
          <w:szCs w:val="24"/>
        </w:rPr>
        <w:t>105 770 ton v jatočnej hmotnosti hydiny</w:t>
      </w:r>
      <w:r>
        <w:rPr>
          <w:rFonts w:ascii="Times New Roman" w:hAnsi="Times New Roman" w:cs="Times New Roman"/>
          <w:sz w:val="24"/>
          <w:szCs w:val="24"/>
        </w:rPr>
        <w:t xml:space="preserve">, </w:t>
      </w:r>
      <w:r w:rsidR="00D51013">
        <w:rPr>
          <w:rFonts w:ascii="Times New Roman" w:hAnsi="Times New Roman" w:cs="Times New Roman"/>
          <w:sz w:val="24"/>
          <w:szCs w:val="24"/>
        </w:rPr>
        <w:t>tento</w:t>
      </w:r>
      <w:r>
        <w:rPr>
          <w:rFonts w:ascii="Times New Roman" w:hAnsi="Times New Roman" w:cs="Times New Roman"/>
          <w:sz w:val="24"/>
          <w:szCs w:val="24"/>
        </w:rPr>
        <w:t xml:space="preserve"> v súčasnosti </w:t>
      </w:r>
      <w:r w:rsidR="00D51013">
        <w:rPr>
          <w:rFonts w:ascii="Times New Roman" w:hAnsi="Times New Roman" w:cs="Times New Roman"/>
          <w:sz w:val="24"/>
          <w:szCs w:val="24"/>
        </w:rPr>
        <w:t>spracúva iba 53,59 % svojho pote</w:t>
      </w:r>
      <w:r w:rsidR="009A0E67">
        <w:rPr>
          <w:rFonts w:ascii="Times New Roman" w:hAnsi="Times New Roman" w:cs="Times New Roman"/>
          <w:sz w:val="24"/>
          <w:szCs w:val="24"/>
        </w:rPr>
        <w:t xml:space="preserve">nciálu. </w:t>
      </w:r>
    </w:p>
    <w:p w:rsidR="00623AC2" w:rsidRDefault="00623AC2" w:rsidP="00960B36">
      <w:pPr>
        <w:spacing w:after="0" w:line="240" w:lineRule="auto"/>
        <w:jc w:val="both"/>
        <w:rPr>
          <w:rFonts w:ascii="Times New Roman" w:hAnsi="Times New Roman" w:cs="Times New Roman"/>
          <w:sz w:val="24"/>
          <w:szCs w:val="24"/>
        </w:rPr>
      </w:pPr>
    </w:p>
    <w:p w:rsidR="009A0E67" w:rsidRDefault="009A0E67" w:rsidP="009A0E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zabezpečenie </w:t>
      </w:r>
      <w:r w:rsidR="00A01DD6">
        <w:rPr>
          <w:rFonts w:ascii="Times New Roman" w:hAnsi="Times New Roman" w:cs="Times New Roman"/>
          <w:sz w:val="24"/>
          <w:szCs w:val="24"/>
        </w:rPr>
        <w:t>požadovanej miery produkčnej výkonnosti z hľadiska spracovania domácej produkcie prvovýroby</w:t>
      </w:r>
      <w:r>
        <w:rPr>
          <w:rFonts w:ascii="Times New Roman" w:hAnsi="Times New Roman" w:cs="Times New Roman"/>
          <w:sz w:val="24"/>
          <w:szCs w:val="24"/>
        </w:rPr>
        <w:t xml:space="preserve"> sa výkonnosť spracovateľského priemyslu na Slovensku musí zvýšiť minimálne o 25,</w:t>
      </w:r>
      <w:r w:rsidR="00B256A2">
        <w:rPr>
          <w:rFonts w:ascii="Times New Roman" w:hAnsi="Times New Roman" w:cs="Times New Roman"/>
          <w:sz w:val="24"/>
          <w:szCs w:val="24"/>
        </w:rPr>
        <w:t>22</w:t>
      </w:r>
      <w:r>
        <w:rPr>
          <w:rFonts w:ascii="Times New Roman" w:hAnsi="Times New Roman" w:cs="Times New Roman"/>
          <w:sz w:val="24"/>
          <w:szCs w:val="24"/>
        </w:rPr>
        <w:t xml:space="preserve"> % súčasnej úrovne čistej produkcie hydinového mäsa, čo v absolútnom vyjadrení predstavuje zvýšenie výkonnosti v objeme </w:t>
      </w:r>
      <w:r w:rsidR="00B256A2">
        <w:rPr>
          <w:rFonts w:ascii="Times New Roman" w:hAnsi="Times New Roman" w:cs="Times New Roman"/>
          <w:sz w:val="24"/>
          <w:szCs w:val="24"/>
        </w:rPr>
        <w:t>26 676</w:t>
      </w:r>
      <w:r>
        <w:rPr>
          <w:rFonts w:ascii="Times New Roman" w:hAnsi="Times New Roman" w:cs="Times New Roman"/>
          <w:sz w:val="24"/>
          <w:szCs w:val="24"/>
        </w:rPr>
        <w:t xml:space="preserve"> ton v jatočnej hmotnosti. Takéto zvýšenie produkčnej výkonnosti spracovateľského priemyslu by znamenalo využitie jeho potenciálnej kapacity na úrovni </w:t>
      </w:r>
      <w:r w:rsidR="00B256A2">
        <w:rPr>
          <w:rFonts w:ascii="Times New Roman" w:hAnsi="Times New Roman" w:cs="Times New Roman"/>
          <w:sz w:val="24"/>
          <w:szCs w:val="24"/>
        </w:rPr>
        <w:t>78,</w:t>
      </w:r>
      <w:r w:rsidR="00183FDB">
        <w:rPr>
          <w:rFonts w:ascii="Times New Roman" w:hAnsi="Times New Roman" w:cs="Times New Roman"/>
          <w:sz w:val="24"/>
          <w:szCs w:val="24"/>
        </w:rPr>
        <w:t>8</w:t>
      </w:r>
      <w:r>
        <w:rPr>
          <w:rFonts w:ascii="Times New Roman" w:hAnsi="Times New Roman" w:cs="Times New Roman"/>
          <w:sz w:val="24"/>
          <w:szCs w:val="24"/>
        </w:rPr>
        <w:t xml:space="preserve"> %.</w:t>
      </w:r>
    </w:p>
    <w:p w:rsidR="004F1B36" w:rsidRDefault="004F1B36" w:rsidP="00960B36">
      <w:pPr>
        <w:spacing w:after="0" w:line="240" w:lineRule="auto"/>
        <w:jc w:val="both"/>
        <w:rPr>
          <w:rFonts w:ascii="Times New Roman" w:hAnsi="Times New Roman" w:cs="Times New Roman"/>
          <w:sz w:val="24"/>
          <w:szCs w:val="24"/>
        </w:rPr>
      </w:pPr>
    </w:p>
    <w:p w:rsidR="009A0E67" w:rsidRDefault="009A0E67" w:rsidP="009A0E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Vyššie uvedené zvýšenie produkčnej výkonnosti spracovateľského priemyslu je potrebné z hľadiska súčasnej úrovne spotreby hydinového mäsa, berúc do úvahy spotrebiteľské preferencie.</w:t>
      </w:r>
    </w:p>
    <w:p w:rsidR="009A0E67" w:rsidRDefault="009A0E67" w:rsidP="009A0E67">
      <w:pPr>
        <w:spacing w:after="0" w:line="240" w:lineRule="auto"/>
        <w:jc w:val="both"/>
        <w:rPr>
          <w:rFonts w:ascii="Times New Roman" w:hAnsi="Times New Roman" w:cs="Times New Roman"/>
          <w:sz w:val="24"/>
          <w:szCs w:val="24"/>
        </w:rPr>
      </w:pPr>
    </w:p>
    <w:p w:rsidR="008C3068" w:rsidRPr="008C3068" w:rsidRDefault="00C970F8" w:rsidP="009A0E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20</w:t>
      </w:r>
      <w:r w:rsidR="008C3068" w:rsidRPr="00155936">
        <w:rPr>
          <w:rFonts w:ascii="Times New Roman" w:hAnsi="Times New Roman" w:cs="Times New Roman"/>
          <w:sz w:val="20"/>
          <w:szCs w:val="20"/>
        </w:rPr>
        <w:t>:</w:t>
      </w:r>
      <w:r w:rsidR="008C3068">
        <w:rPr>
          <w:rFonts w:ascii="Times New Roman" w:hAnsi="Times New Roman" w:cs="Times New Roman"/>
          <w:sz w:val="20"/>
          <w:szCs w:val="20"/>
        </w:rPr>
        <w:t xml:space="preserve"> S</w:t>
      </w:r>
      <w:r w:rsidR="008C3068" w:rsidRPr="008C3068">
        <w:rPr>
          <w:rFonts w:ascii="Times New Roman" w:hAnsi="Times New Roman" w:cs="Times New Roman"/>
          <w:sz w:val="20"/>
          <w:szCs w:val="20"/>
        </w:rPr>
        <w:t>potreba hydinového mäsa na kosti na obyvateľa v kg za rok</w:t>
      </w:r>
    </w:p>
    <w:p w:rsidR="008C3068" w:rsidRDefault="00CD7ED5" w:rsidP="009A0E67">
      <w:pPr>
        <w:spacing w:after="0" w:line="240" w:lineRule="auto"/>
        <w:jc w:val="both"/>
        <w:rPr>
          <w:rFonts w:ascii="Times New Roman" w:hAnsi="Times New Roman" w:cs="Times New Roman"/>
          <w:sz w:val="24"/>
          <w:szCs w:val="24"/>
        </w:rPr>
      </w:pPr>
      <w:r>
        <w:rPr>
          <w:noProof/>
        </w:rPr>
        <w:drawing>
          <wp:inline distT="0" distB="0" distL="0" distR="0" wp14:anchorId="154971AA" wp14:editId="3D9A3CC8">
            <wp:extent cx="5753594" cy="2006930"/>
            <wp:effectExtent l="0" t="0" r="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C3068" w:rsidRDefault="008C3068" w:rsidP="008C30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D646B1" w:rsidRDefault="00D7582E" w:rsidP="00960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Vzhľadom na to, že spotrebiteľské preferencie sú v hydinovom mäse v strednom období </w:t>
      </w:r>
      <w:r w:rsidR="002B5CA9">
        <w:rPr>
          <w:rFonts w:ascii="Times New Roman" w:hAnsi="Times New Roman" w:cs="Times New Roman"/>
          <w:sz w:val="24"/>
          <w:szCs w:val="24"/>
        </w:rPr>
        <w:t xml:space="preserve">relatívne </w:t>
      </w:r>
      <w:r>
        <w:rPr>
          <w:rFonts w:ascii="Times New Roman" w:hAnsi="Times New Roman" w:cs="Times New Roman"/>
          <w:sz w:val="24"/>
          <w:szCs w:val="24"/>
        </w:rPr>
        <w:t xml:space="preserve">stabilné, je nutné </w:t>
      </w:r>
      <w:r w:rsidR="002B5CA9">
        <w:rPr>
          <w:rFonts w:ascii="Times New Roman" w:hAnsi="Times New Roman" w:cs="Times New Roman"/>
          <w:sz w:val="24"/>
          <w:szCs w:val="24"/>
        </w:rPr>
        <w:t xml:space="preserve">tento trend zachovať a </w:t>
      </w:r>
      <w:r>
        <w:rPr>
          <w:rFonts w:ascii="Times New Roman" w:hAnsi="Times New Roman" w:cs="Times New Roman"/>
          <w:sz w:val="24"/>
          <w:szCs w:val="24"/>
        </w:rPr>
        <w:t xml:space="preserve">zastabilizovať súčasnú spotrebu </w:t>
      </w:r>
      <w:r w:rsidR="002B5CA9">
        <w:rPr>
          <w:rFonts w:ascii="Times New Roman" w:hAnsi="Times New Roman" w:cs="Times New Roman"/>
          <w:sz w:val="24"/>
          <w:szCs w:val="24"/>
        </w:rPr>
        <w:t>hydinového</w:t>
      </w:r>
      <w:r>
        <w:rPr>
          <w:rFonts w:ascii="Times New Roman" w:hAnsi="Times New Roman" w:cs="Times New Roman"/>
          <w:sz w:val="24"/>
          <w:szCs w:val="24"/>
        </w:rPr>
        <w:t xml:space="preserve"> mäsa na obyvateľa minimálne na úrovni roku 2011.</w:t>
      </w:r>
    </w:p>
    <w:p w:rsidR="002346FB" w:rsidRDefault="002346FB" w:rsidP="002D778F">
      <w:pPr>
        <w:spacing w:after="0" w:line="240" w:lineRule="auto"/>
        <w:jc w:val="both"/>
        <w:rPr>
          <w:rFonts w:ascii="Times New Roman" w:hAnsi="Times New Roman" w:cs="Times New Roman"/>
          <w:sz w:val="24"/>
          <w:szCs w:val="24"/>
        </w:rPr>
      </w:pPr>
    </w:p>
    <w:p w:rsidR="002D778F" w:rsidRPr="002D778F" w:rsidRDefault="00C970F8" w:rsidP="002346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21</w:t>
      </w:r>
      <w:r w:rsidR="002D778F" w:rsidRPr="00C55549">
        <w:rPr>
          <w:rFonts w:ascii="Times New Roman" w:hAnsi="Times New Roman" w:cs="Times New Roman"/>
          <w:sz w:val="20"/>
          <w:szCs w:val="20"/>
        </w:rPr>
        <w:t>:</w:t>
      </w:r>
      <w:r w:rsidR="002D778F">
        <w:rPr>
          <w:rFonts w:ascii="Times New Roman" w:hAnsi="Times New Roman" w:cs="Times New Roman"/>
          <w:sz w:val="20"/>
          <w:szCs w:val="20"/>
        </w:rPr>
        <w:t xml:space="preserve"> Vývoj cien na jednotlivých stupňoch potravinovej vertikály (cena v EUR/1 kg</w:t>
      </w:r>
      <w:r w:rsidR="002D778F" w:rsidRPr="0000713C">
        <w:rPr>
          <w:rFonts w:ascii="Times New Roman" w:hAnsi="Times New Roman" w:cs="Times New Roman"/>
          <w:sz w:val="20"/>
          <w:szCs w:val="20"/>
        </w:rPr>
        <w:t xml:space="preserve"> bez DPH</w:t>
      </w:r>
      <w:r w:rsidR="002D778F">
        <w:rPr>
          <w:rFonts w:ascii="Times New Roman" w:hAnsi="Times New Roman" w:cs="Times New Roman"/>
          <w:sz w:val="20"/>
          <w:szCs w:val="20"/>
        </w:rPr>
        <w:t>)</w:t>
      </w:r>
    </w:p>
    <w:p w:rsidR="002D778F" w:rsidRDefault="002D778F" w:rsidP="002346FB">
      <w:pPr>
        <w:spacing w:after="0" w:line="240" w:lineRule="auto"/>
        <w:rPr>
          <w:rFonts w:ascii="Times New Roman" w:hAnsi="Times New Roman" w:cs="Times New Roman"/>
          <w:sz w:val="24"/>
          <w:szCs w:val="24"/>
        </w:rPr>
      </w:pPr>
      <w:r>
        <w:rPr>
          <w:noProof/>
        </w:rPr>
        <w:drawing>
          <wp:inline distT="0" distB="0" distL="0" distR="0" wp14:anchorId="611A9D12" wp14:editId="5508A244">
            <wp:extent cx="5735116" cy="2582266"/>
            <wp:effectExtent l="0" t="0" r="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D778F" w:rsidRPr="002D778F" w:rsidRDefault="002D778F" w:rsidP="002346FB">
      <w:pPr>
        <w:spacing w:after="0" w:line="240" w:lineRule="auto"/>
        <w:jc w:val="right"/>
        <w:rPr>
          <w:rFonts w:ascii="Times New Roman" w:hAnsi="Times New Roman" w:cs="Times New Roman"/>
          <w:sz w:val="20"/>
          <w:szCs w:val="20"/>
        </w:rPr>
      </w:pPr>
      <w:r w:rsidRPr="002D778F">
        <w:rPr>
          <w:rFonts w:ascii="Times New Roman" w:hAnsi="Times New Roman" w:cs="Times New Roman"/>
          <w:sz w:val="20"/>
          <w:szCs w:val="20"/>
        </w:rPr>
        <w:t>Zdroj: VÚEPP</w:t>
      </w:r>
    </w:p>
    <w:p w:rsidR="00183D42" w:rsidRDefault="00183D42" w:rsidP="002D778F">
      <w:pPr>
        <w:spacing w:after="0" w:line="240" w:lineRule="auto"/>
        <w:jc w:val="both"/>
        <w:rPr>
          <w:rFonts w:ascii="Times New Roman" w:hAnsi="Times New Roman" w:cs="Times New Roman"/>
          <w:sz w:val="24"/>
          <w:szCs w:val="24"/>
        </w:rPr>
      </w:pPr>
    </w:p>
    <w:p w:rsidR="009252FA" w:rsidRDefault="002D778F" w:rsidP="009252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Analýza cien na jednotlivých stupňoch potravinovej vertikály ukazuje, že príčinou </w:t>
      </w:r>
      <w:r w:rsidR="00471792">
        <w:rPr>
          <w:rFonts w:ascii="Times New Roman" w:hAnsi="Times New Roman" w:cs="Times New Roman"/>
          <w:sz w:val="24"/>
          <w:szCs w:val="24"/>
        </w:rPr>
        <w:t>poklesu stavov hydiny v strednodobom horizonte a súčasne nadmerného objemu vývozu v pomere k hrubej domácej produkcii sú nízke výkupné ceny na úrovni prvovýroby.</w:t>
      </w:r>
      <w:r w:rsidR="009252FA">
        <w:rPr>
          <w:rFonts w:ascii="Times New Roman" w:hAnsi="Times New Roman" w:cs="Times New Roman"/>
          <w:sz w:val="24"/>
          <w:szCs w:val="24"/>
        </w:rPr>
        <w:t xml:space="preserve"> Ceny prvovýrobcov v roku 2011 nepokrývali ani vlastné náklady na 1 kg </w:t>
      </w:r>
      <w:r w:rsidR="00611841">
        <w:rPr>
          <w:rFonts w:ascii="Times New Roman" w:hAnsi="Times New Roman" w:cs="Times New Roman"/>
          <w:sz w:val="24"/>
          <w:szCs w:val="24"/>
        </w:rPr>
        <w:t>živej hmotnosti</w:t>
      </w:r>
      <w:r w:rsidR="009252FA">
        <w:rPr>
          <w:rFonts w:ascii="Times New Roman" w:hAnsi="Times New Roman" w:cs="Times New Roman"/>
          <w:sz w:val="24"/>
          <w:szCs w:val="24"/>
        </w:rPr>
        <w:t xml:space="preserve">, vypočítané pomocou vyčíslenia jednotlivých kalkulačných položiek vlastných nákladov na jednotku produkcie. Takto vypočítané vlastné náklady na 1 kg prírastku dosahovali v roku 2011 výšku </w:t>
      </w:r>
      <w:r w:rsidR="00183FDB">
        <w:rPr>
          <w:rFonts w:ascii="Times New Roman" w:hAnsi="Times New Roman" w:cs="Times New Roman"/>
          <w:sz w:val="24"/>
          <w:szCs w:val="24"/>
        </w:rPr>
        <w:t>1,00</w:t>
      </w:r>
      <w:r w:rsidR="009252FA">
        <w:rPr>
          <w:rFonts w:ascii="Times New Roman" w:hAnsi="Times New Roman" w:cs="Times New Roman"/>
          <w:sz w:val="24"/>
          <w:szCs w:val="24"/>
        </w:rPr>
        <w:t xml:space="preserve"> EUR/kg. Strata prvovýrobcu</w:t>
      </w:r>
      <w:r w:rsidR="00183FDB">
        <w:rPr>
          <w:rFonts w:ascii="Times New Roman" w:hAnsi="Times New Roman" w:cs="Times New Roman"/>
          <w:sz w:val="24"/>
          <w:szCs w:val="24"/>
        </w:rPr>
        <w:t xml:space="preserve"> sa takto pohybuje na úrovni 0,09</w:t>
      </w:r>
      <w:r w:rsidR="009252FA">
        <w:rPr>
          <w:rFonts w:ascii="Times New Roman" w:hAnsi="Times New Roman" w:cs="Times New Roman"/>
          <w:sz w:val="24"/>
          <w:szCs w:val="24"/>
        </w:rPr>
        <w:t xml:space="preserve"> EUR/kg.</w:t>
      </w:r>
    </w:p>
    <w:p w:rsidR="00471792" w:rsidRDefault="00471792" w:rsidP="002D778F">
      <w:pPr>
        <w:spacing w:after="0" w:line="240" w:lineRule="auto"/>
        <w:jc w:val="both"/>
        <w:rPr>
          <w:rFonts w:ascii="Times New Roman" w:hAnsi="Times New Roman" w:cs="Times New Roman"/>
          <w:sz w:val="24"/>
          <w:szCs w:val="24"/>
        </w:rPr>
      </w:pPr>
    </w:p>
    <w:p w:rsidR="00EE0E93" w:rsidRDefault="00C970F8" w:rsidP="002D778F">
      <w:pPr>
        <w:spacing w:after="0" w:line="240" w:lineRule="auto"/>
        <w:jc w:val="both"/>
        <w:rPr>
          <w:rFonts w:ascii="Times New Roman" w:hAnsi="Times New Roman" w:cs="Times New Roman"/>
          <w:sz w:val="24"/>
          <w:szCs w:val="24"/>
        </w:rPr>
      </w:pPr>
      <w:r>
        <w:rPr>
          <w:rFonts w:ascii="Times New Roman" w:hAnsi="Times New Roman" w:cs="Times New Roman"/>
          <w:sz w:val="20"/>
          <w:szCs w:val="20"/>
        </w:rPr>
        <w:t>Graf č. 22</w:t>
      </w:r>
      <w:r w:rsidR="00EE0E93" w:rsidRPr="00C55549">
        <w:rPr>
          <w:rFonts w:ascii="Times New Roman" w:hAnsi="Times New Roman" w:cs="Times New Roman"/>
          <w:sz w:val="20"/>
          <w:szCs w:val="20"/>
        </w:rPr>
        <w:t>:</w:t>
      </w:r>
      <w:r w:rsidR="00BD3B11">
        <w:rPr>
          <w:rFonts w:ascii="Times New Roman" w:hAnsi="Times New Roman" w:cs="Times New Roman"/>
          <w:sz w:val="20"/>
          <w:szCs w:val="20"/>
        </w:rPr>
        <w:t xml:space="preserve"> Vývoj cenových indexov na jednotlivých stupňoch potravinovej vertikály</w:t>
      </w:r>
    </w:p>
    <w:p w:rsidR="002D778F" w:rsidRDefault="00471792" w:rsidP="002D778F">
      <w:pPr>
        <w:spacing w:after="0" w:line="240" w:lineRule="auto"/>
        <w:jc w:val="both"/>
        <w:rPr>
          <w:rFonts w:ascii="Times New Roman" w:hAnsi="Times New Roman" w:cs="Times New Roman"/>
          <w:sz w:val="24"/>
          <w:szCs w:val="24"/>
        </w:rPr>
      </w:pPr>
      <w:r>
        <w:rPr>
          <w:noProof/>
        </w:rPr>
        <w:drawing>
          <wp:inline distT="0" distB="0" distL="0" distR="0" wp14:anchorId="4745E5AA" wp14:editId="5F88983A">
            <wp:extent cx="5759532" cy="2363189"/>
            <wp:effectExtent l="0" t="0" r="0"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E0E93" w:rsidRPr="002D778F" w:rsidRDefault="00EE0E93" w:rsidP="00EE0E93">
      <w:pPr>
        <w:spacing w:after="0" w:line="240" w:lineRule="auto"/>
        <w:jc w:val="right"/>
        <w:rPr>
          <w:rFonts w:ascii="Times New Roman" w:hAnsi="Times New Roman" w:cs="Times New Roman"/>
          <w:sz w:val="20"/>
          <w:szCs w:val="20"/>
        </w:rPr>
      </w:pPr>
      <w:r w:rsidRPr="002D778F">
        <w:rPr>
          <w:rFonts w:ascii="Times New Roman" w:hAnsi="Times New Roman" w:cs="Times New Roman"/>
          <w:sz w:val="20"/>
          <w:szCs w:val="20"/>
        </w:rPr>
        <w:t>Zdroj: VÚEPP</w:t>
      </w:r>
    </w:p>
    <w:p w:rsidR="00183D42" w:rsidRDefault="00183D42" w:rsidP="00DA336E">
      <w:pPr>
        <w:spacing w:after="0" w:line="240" w:lineRule="auto"/>
        <w:jc w:val="both"/>
        <w:rPr>
          <w:rFonts w:ascii="Times New Roman" w:hAnsi="Times New Roman" w:cs="Times New Roman"/>
          <w:sz w:val="24"/>
          <w:szCs w:val="24"/>
        </w:rPr>
      </w:pPr>
    </w:p>
    <w:p w:rsidR="002B5CA9" w:rsidRDefault="00EE0E93" w:rsidP="00EE0E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Vývoj cenových indexov síce naznačuje, že ceny prvovýrobcov rastú v súčasnosti najprudšie, zároveň je však potrebné konštatovať, že tento nárast ani zďaleka, z hľadiska udržania hrubej domácej produkcie v spracovateľskom priemysle SR, nepostačuje.</w:t>
      </w:r>
    </w:p>
    <w:p w:rsidR="002346FB" w:rsidRDefault="002346FB" w:rsidP="002346FB">
      <w:pPr>
        <w:pBdr>
          <w:bottom w:val="single" w:sz="4" w:space="1" w:color="auto"/>
        </w:pBdr>
        <w:spacing w:after="0" w:line="240" w:lineRule="auto"/>
        <w:jc w:val="both"/>
        <w:rPr>
          <w:rFonts w:ascii="Times New Roman" w:hAnsi="Times New Roman" w:cs="Times New Roman"/>
          <w:sz w:val="24"/>
          <w:szCs w:val="24"/>
        </w:rPr>
      </w:pPr>
    </w:p>
    <w:p w:rsidR="002346FB" w:rsidRDefault="002346FB" w:rsidP="0023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základe vykonanej analýzy celej potravinovej vertikály hydinového mäsa považujeme za potrebné r</w:t>
      </w:r>
      <w:r w:rsidR="00F6585B">
        <w:rPr>
          <w:rFonts w:ascii="Times New Roman" w:hAnsi="Times New Roman" w:cs="Times New Roman"/>
          <w:sz w:val="24"/>
          <w:szCs w:val="24"/>
        </w:rPr>
        <w:t>ealizovať nasledovné opatrenia:</w:t>
      </w:r>
    </w:p>
    <w:p w:rsidR="002346FB" w:rsidRPr="00B515FB" w:rsidRDefault="002346FB" w:rsidP="000D68DC">
      <w:pPr>
        <w:pStyle w:val="Odsekzoznamu"/>
        <w:numPr>
          <w:ilvl w:val="0"/>
          <w:numId w:val="6"/>
        </w:numPr>
        <w:spacing w:after="0" w:line="240" w:lineRule="auto"/>
        <w:jc w:val="both"/>
        <w:rPr>
          <w:rFonts w:ascii="Times New Roman" w:hAnsi="Times New Roman" w:cs="Times New Roman"/>
          <w:sz w:val="24"/>
          <w:szCs w:val="24"/>
        </w:rPr>
      </w:pPr>
      <w:r w:rsidRPr="002346FB">
        <w:rPr>
          <w:rFonts w:ascii="Times New Roman" w:eastAsia="Times New Roman" w:hAnsi="Times New Roman" w:cs="Times New Roman"/>
          <w:color w:val="000000"/>
          <w:sz w:val="24"/>
          <w:szCs w:val="24"/>
        </w:rPr>
        <w:t xml:space="preserve">zvýšiť početnosť hydiny </w:t>
      </w:r>
      <w:r w:rsidR="00183FDB">
        <w:rPr>
          <w:rFonts w:ascii="Times New Roman" w:eastAsia="Times New Roman" w:hAnsi="Times New Roman" w:cs="Times New Roman"/>
          <w:color w:val="000000"/>
          <w:sz w:val="24"/>
          <w:szCs w:val="24"/>
        </w:rPr>
        <w:t xml:space="preserve">(stavy v chove) </w:t>
      </w:r>
      <w:r w:rsidRPr="002346FB">
        <w:rPr>
          <w:rFonts w:ascii="Times New Roman" w:eastAsia="Times New Roman" w:hAnsi="Times New Roman" w:cs="Times New Roman"/>
          <w:color w:val="000000"/>
          <w:sz w:val="24"/>
          <w:szCs w:val="24"/>
        </w:rPr>
        <w:t>minimálne o</w:t>
      </w:r>
      <w:r w:rsidR="00183FDB">
        <w:rPr>
          <w:rFonts w:ascii="Times New Roman" w:eastAsia="Times New Roman" w:hAnsi="Times New Roman" w:cs="Times New Roman"/>
          <w:color w:val="000000"/>
          <w:sz w:val="24"/>
          <w:szCs w:val="24"/>
        </w:rPr>
        <w:t xml:space="preserve"> 885 737 </w:t>
      </w:r>
      <w:r w:rsidRPr="002346FB">
        <w:rPr>
          <w:rFonts w:ascii="Times New Roman" w:eastAsia="Times New Roman" w:hAnsi="Times New Roman" w:cs="Times New Roman"/>
          <w:color w:val="000000"/>
          <w:sz w:val="24"/>
          <w:szCs w:val="24"/>
        </w:rPr>
        <w:t>ks</w:t>
      </w:r>
      <w:r w:rsidR="00183FDB">
        <w:rPr>
          <w:rFonts w:ascii="Times New Roman" w:eastAsia="Times New Roman" w:hAnsi="Times New Roman" w:cs="Times New Roman"/>
          <w:color w:val="000000"/>
          <w:sz w:val="24"/>
          <w:szCs w:val="24"/>
        </w:rPr>
        <w:t xml:space="preserve"> (</w:t>
      </w:r>
      <w:r w:rsidR="00183FDB">
        <w:rPr>
          <w:rFonts w:ascii="Times New Roman" w:hAnsi="Times New Roman" w:cs="Times New Roman"/>
          <w:sz w:val="24"/>
          <w:szCs w:val="24"/>
        </w:rPr>
        <w:t>5 314 423 ks pri        6 turnusoch ročne)</w:t>
      </w:r>
      <w:r w:rsidRPr="002346FB">
        <w:rPr>
          <w:rFonts w:ascii="Times New Roman" w:hAnsi="Times New Roman" w:cs="Times New Roman"/>
          <w:sz w:val="24"/>
          <w:szCs w:val="24"/>
        </w:rPr>
        <w:t>;</w:t>
      </w:r>
    </w:p>
    <w:p w:rsidR="002346FB" w:rsidRPr="00B515FB" w:rsidRDefault="002346FB" w:rsidP="000D68DC">
      <w:pPr>
        <w:pStyle w:val="Odsekzoznamu"/>
        <w:numPr>
          <w:ilvl w:val="0"/>
          <w:numId w:val="6"/>
        </w:numPr>
        <w:spacing w:after="0" w:line="240" w:lineRule="auto"/>
        <w:jc w:val="both"/>
        <w:rPr>
          <w:rFonts w:ascii="Times New Roman" w:hAnsi="Times New Roman" w:cs="Times New Roman"/>
          <w:sz w:val="24"/>
          <w:szCs w:val="24"/>
        </w:rPr>
      </w:pPr>
      <w:r w:rsidRPr="002346FB">
        <w:rPr>
          <w:rFonts w:ascii="Times New Roman" w:eastAsia="Times New Roman" w:hAnsi="Times New Roman" w:cs="Times New Roman"/>
          <w:color w:val="000000"/>
          <w:sz w:val="24"/>
          <w:szCs w:val="24"/>
        </w:rPr>
        <w:t>zvýšiť výkonnosť spracovateľského priemyslu na Slovensku minimálne o 25,</w:t>
      </w:r>
      <w:r w:rsidR="00063A4B">
        <w:rPr>
          <w:rFonts w:ascii="Times New Roman" w:eastAsia="Times New Roman" w:hAnsi="Times New Roman" w:cs="Times New Roman"/>
          <w:color w:val="000000"/>
          <w:sz w:val="24"/>
          <w:szCs w:val="24"/>
        </w:rPr>
        <w:t>22</w:t>
      </w:r>
      <w:r w:rsidRPr="002346FB">
        <w:rPr>
          <w:rFonts w:ascii="Times New Roman" w:eastAsia="Times New Roman" w:hAnsi="Times New Roman" w:cs="Times New Roman"/>
          <w:color w:val="000000"/>
          <w:sz w:val="24"/>
          <w:szCs w:val="24"/>
        </w:rPr>
        <w:t xml:space="preserve"> % súčasnej úrovne čistej produkcie hydinového mäsa, čo v absolútnom vyjadrení predstavuje zvýšenie výkonnosti v objeme </w:t>
      </w:r>
      <w:r w:rsidR="00063A4B">
        <w:rPr>
          <w:rFonts w:ascii="Times New Roman" w:eastAsia="Times New Roman" w:hAnsi="Times New Roman" w:cs="Times New Roman"/>
          <w:color w:val="000000"/>
          <w:sz w:val="24"/>
          <w:szCs w:val="24"/>
        </w:rPr>
        <w:t>26 676</w:t>
      </w:r>
      <w:r w:rsidRPr="002346FB">
        <w:rPr>
          <w:rFonts w:ascii="Times New Roman" w:eastAsia="Times New Roman" w:hAnsi="Times New Roman" w:cs="Times New Roman"/>
          <w:color w:val="000000"/>
          <w:sz w:val="24"/>
          <w:szCs w:val="24"/>
        </w:rPr>
        <w:t xml:space="preserve"> ton v jatočnej hmotnosti.</w:t>
      </w:r>
      <w:r w:rsidRPr="002346FB">
        <w:rPr>
          <w:rFonts w:ascii="Times New Roman" w:hAnsi="Times New Roman" w:cs="Times New Roman"/>
          <w:sz w:val="24"/>
          <w:szCs w:val="24"/>
        </w:rPr>
        <w:t>; a</w:t>
      </w:r>
    </w:p>
    <w:p w:rsidR="002346FB" w:rsidRPr="002346FB" w:rsidRDefault="00BE137F" w:rsidP="000D68DC">
      <w:pPr>
        <w:pStyle w:val="Odsekzoznamu"/>
        <w:numPr>
          <w:ilvl w:val="0"/>
          <w:numId w:val="6"/>
        </w:numPr>
        <w:spacing w:after="0" w:line="240" w:lineRule="auto"/>
        <w:jc w:val="both"/>
        <w:rPr>
          <w:rFonts w:ascii="Times New Roman" w:hAnsi="Times New Roman" w:cs="Times New Roman"/>
          <w:sz w:val="24"/>
          <w:szCs w:val="24"/>
        </w:rPr>
      </w:pPr>
      <w:r w:rsidRPr="00721F7D">
        <w:rPr>
          <w:rFonts w:ascii="Times New Roman" w:hAnsi="Times New Roman" w:cs="Times New Roman"/>
          <w:sz w:val="24"/>
          <w:szCs w:val="24"/>
          <w:highlight w:val="yellow"/>
        </w:rPr>
        <w:t>maximálne sa priblížiť k priemernej výkupnej cene za 1 kg živej hmotnosti na úrovni, ktorá by pokrývala vlastné náklady na 1 kg prírastku</w:t>
      </w:r>
      <w:r w:rsidR="00063A4B">
        <w:rPr>
          <w:rFonts w:ascii="Times New Roman" w:eastAsia="Times New Roman" w:hAnsi="Times New Roman" w:cs="Times New Roman"/>
          <w:color w:val="000000"/>
          <w:sz w:val="24"/>
          <w:szCs w:val="24"/>
        </w:rPr>
        <w:t>.</w:t>
      </w:r>
    </w:p>
    <w:p w:rsidR="00C84CEB" w:rsidRDefault="00C84CEB" w:rsidP="00264729">
      <w:pPr>
        <w:pBdr>
          <w:top w:val="single" w:sz="4" w:space="1" w:color="auto"/>
        </w:pBdr>
        <w:spacing w:after="0" w:line="240" w:lineRule="auto"/>
        <w:jc w:val="both"/>
        <w:rPr>
          <w:rFonts w:ascii="Times New Roman" w:hAnsi="Times New Roman" w:cs="Times New Roman"/>
          <w:sz w:val="24"/>
          <w:szCs w:val="24"/>
        </w:rPr>
      </w:pPr>
    </w:p>
    <w:p w:rsidR="00612639" w:rsidRDefault="00612639" w:rsidP="000D68DC">
      <w:pPr>
        <w:pStyle w:val="Nadpis3"/>
        <w:numPr>
          <w:ilvl w:val="2"/>
          <w:numId w:val="8"/>
        </w:numPr>
      </w:pPr>
      <w:bookmarkStart w:id="23" w:name="_Toc359550644"/>
      <w:r>
        <w:t>Ovčie mäso</w:t>
      </w:r>
      <w:bookmarkEnd w:id="23"/>
    </w:p>
    <w:p w:rsidR="00612639" w:rsidRDefault="00612639" w:rsidP="00612639">
      <w:pPr>
        <w:pStyle w:val="Nadpis3"/>
      </w:pPr>
    </w:p>
    <w:p w:rsidR="00135614" w:rsidRDefault="00612639" w:rsidP="00612639">
      <w:pPr>
        <w:spacing w:after="0" w:line="240" w:lineRule="auto"/>
        <w:jc w:val="both"/>
        <w:rPr>
          <w:rFonts w:ascii="Times New Roman" w:hAnsi="Times New Roman" w:cs="Times New Roman"/>
          <w:sz w:val="24"/>
          <w:szCs w:val="24"/>
        </w:rPr>
      </w:pPr>
      <w:r w:rsidRPr="007C5739">
        <w:rPr>
          <w:rFonts w:ascii="Times New Roman" w:hAnsi="Times New Roman" w:cs="Times New Roman"/>
          <w:sz w:val="24"/>
          <w:szCs w:val="24"/>
        </w:rPr>
        <w:t>Domáci dop</w:t>
      </w:r>
      <w:r>
        <w:rPr>
          <w:rFonts w:ascii="Times New Roman" w:hAnsi="Times New Roman" w:cs="Times New Roman"/>
          <w:sz w:val="24"/>
          <w:szCs w:val="24"/>
        </w:rPr>
        <w:t xml:space="preserve">yt po ovčom mäse meriame pomocou štatisticky nameranej spotreby v tonách za rok, čo predstavuje objem </w:t>
      </w:r>
      <w:r w:rsidR="000E44B1">
        <w:rPr>
          <w:rFonts w:ascii="Times New Roman" w:hAnsi="Times New Roman" w:cs="Times New Roman"/>
          <w:sz w:val="24"/>
          <w:szCs w:val="24"/>
        </w:rPr>
        <w:t>471</w:t>
      </w:r>
      <w:r>
        <w:rPr>
          <w:rFonts w:ascii="Times New Roman" w:hAnsi="Times New Roman" w:cs="Times New Roman"/>
          <w:sz w:val="24"/>
          <w:szCs w:val="24"/>
        </w:rPr>
        <w:t xml:space="preserve"> ton. Hrubá domáca produkcia predstavuje objem </w:t>
      </w:r>
      <w:r w:rsidR="000E44B1">
        <w:rPr>
          <w:rFonts w:ascii="Times New Roman" w:hAnsi="Times New Roman" w:cs="Times New Roman"/>
          <w:sz w:val="24"/>
          <w:szCs w:val="24"/>
        </w:rPr>
        <w:t>1 188</w:t>
      </w:r>
      <w:r>
        <w:rPr>
          <w:rFonts w:ascii="Times New Roman" w:hAnsi="Times New Roman" w:cs="Times New Roman"/>
          <w:sz w:val="24"/>
          <w:szCs w:val="24"/>
        </w:rPr>
        <w:t xml:space="preserve"> ton. Znamená to, že produkcia v SR dosahuje </w:t>
      </w:r>
      <w:r w:rsidR="000E44B1">
        <w:rPr>
          <w:rFonts w:ascii="Times New Roman" w:hAnsi="Times New Roman" w:cs="Times New Roman"/>
          <w:sz w:val="24"/>
          <w:szCs w:val="24"/>
        </w:rPr>
        <w:t>252,3</w:t>
      </w:r>
      <w:r>
        <w:rPr>
          <w:rFonts w:ascii="Times New Roman" w:hAnsi="Times New Roman" w:cs="Times New Roman"/>
          <w:sz w:val="24"/>
          <w:szCs w:val="24"/>
        </w:rPr>
        <w:t xml:space="preserve"> % domáceho dopytu, čo znamená, že </w:t>
      </w:r>
      <w:r w:rsidR="00A01DD6">
        <w:rPr>
          <w:rFonts w:ascii="Times New Roman" w:hAnsi="Times New Roman" w:cs="Times New Roman"/>
          <w:sz w:val="24"/>
          <w:szCs w:val="24"/>
        </w:rPr>
        <w:t>produkčná výkonnosť</w:t>
      </w:r>
      <w:r>
        <w:rPr>
          <w:rFonts w:ascii="Times New Roman" w:hAnsi="Times New Roman" w:cs="Times New Roman"/>
          <w:sz w:val="24"/>
          <w:szCs w:val="24"/>
        </w:rPr>
        <w:t xml:space="preserve"> v tejto komodite je, z hľadiska prvovýroby, výrazne vyššia ako stanovený cieľ. </w:t>
      </w:r>
    </w:p>
    <w:p w:rsidR="00135614" w:rsidRDefault="00135614" w:rsidP="00612639">
      <w:pPr>
        <w:spacing w:after="0" w:line="240" w:lineRule="auto"/>
        <w:jc w:val="both"/>
        <w:rPr>
          <w:rFonts w:ascii="Times New Roman" w:hAnsi="Times New Roman" w:cs="Times New Roman"/>
          <w:sz w:val="24"/>
          <w:szCs w:val="24"/>
        </w:rPr>
      </w:pPr>
    </w:p>
    <w:p w:rsidR="00612639" w:rsidRDefault="00135614" w:rsidP="00612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hľadiska korektnosti uvedených prepočtov je však potrebné uviesť, že </w:t>
      </w:r>
      <w:r w:rsidR="00A01DD6">
        <w:rPr>
          <w:rFonts w:ascii="Times New Roman" w:hAnsi="Times New Roman" w:cs="Times New Roman"/>
          <w:sz w:val="24"/>
          <w:szCs w:val="24"/>
        </w:rPr>
        <w:t>dostatočná úroveň produkčnej výkonnosti</w:t>
      </w:r>
      <w:r>
        <w:rPr>
          <w:rFonts w:ascii="Times New Roman" w:hAnsi="Times New Roman" w:cs="Times New Roman"/>
          <w:sz w:val="24"/>
          <w:szCs w:val="24"/>
        </w:rPr>
        <w:t xml:space="preserve"> je trvalo dosahovaná v dôsledku dramatického poklesu domácej spotreby ovčieho mäsa, ktorá, oproti referenčnej úrovni roka 2002</w:t>
      </w:r>
      <w:r w:rsidR="00A41B06">
        <w:rPr>
          <w:rFonts w:ascii="Times New Roman" w:hAnsi="Times New Roman" w:cs="Times New Roman"/>
          <w:sz w:val="24"/>
          <w:szCs w:val="24"/>
        </w:rPr>
        <w:t>,</w:t>
      </w:r>
      <w:r>
        <w:rPr>
          <w:rFonts w:ascii="Times New Roman" w:hAnsi="Times New Roman" w:cs="Times New Roman"/>
          <w:sz w:val="24"/>
          <w:szCs w:val="24"/>
        </w:rPr>
        <w:t xml:space="preserve"> poklesla o takmer 56 %.  </w:t>
      </w:r>
      <w:r>
        <w:rPr>
          <w:rFonts w:ascii="Times New Roman" w:hAnsi="Times New Roman" w:cs="Times New Roman"/>
          <w:sz w:val="24"/>
          <w:szCs w:val="24"/>
        </w:rPr>
        <w:lastRenderedPageBreak/>
        <w:t xml:space="preserve">Súčasne s poklesom domácich spotrebiteľských preferencií stúpa vývoz prvovýrobnej produkcie, ktorý, oproti roku 2002, vzrástol o 4,4 %. Tento vývoj zahraničného obchodu by nebol výnimočný ak by ho nesprevádzal </w:t>
      </w:r>
      <w:proofErr w:type="spellStart"/>
      <w:r>
        <w:rPr>
          <w:rFonts w:ascii="Times New Roman" w:hAnsi="Times New Roman" w:cs="Times New Roman"/>
          <w:sz w:val="24"/>
          <w:szCs w:val="24"/>
        </w:rPr>
        <w:t>signifikantný</w:t>
      </w:r>
      <w:proofErr w:type="spellEnd"/>
      <w:r>
        <w:rPr>
          <w:rFonts w:ascii="Times New Roman" w:hAnsi="Times New Roman" w:cs="Times New Roman"/>
          <w:sz w:val="24"/>
          <w:szCs w:val="24"/>
        </w:rPr>
        <w:t xml:space="preserve"> pokles hrubej domácej produkcie, ktorý, oproti roku 2002, predstavoval 33,8 %.</w:t>
      </w:r>
    </w:p>
    <w:p w:rsidR="006750D5" w:rsidRDefault="006750D5" w:rsidP="00612639">
      <w:pPr>
        <w:spacing w:after="0" w:line="240" w:lineRule="auto"/>
        <w:jc w:val="both"/>
        <w:rPr>
          <w:rFonts w:ascii="Times New Roman" w:hAnsi="Times New Roman" w:cs="Times New Roman"/>
          <w:sz w:val="24"/>
          <w:szCs w:val="24"/>
        </w:rPr>
      </w:pPr>
    </w:p>
    <w:p w:rsidR="000E44B1" w:rsidRPr="006750D5" w:rsidRDefault="00BE29EE" w:rsidP="006126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č.22</w:t>
      </w:r>
      <w:r w:rsidR="006750D5" w:rsidRPr="00A855A4">
        <w:rPr>
          <w:rFonts w:ascii="Times New Roman" w:hAnsi="Times New Roman" w:cs="Times New Roman"/>
          <w:sz w:val="20"/>
          <w:szCs w:val="20"/>
        </w:rPr>
        <w:t xml:space="preserve">: </w:t>
      </w:r>
      <w:r w:rsidR="006750D5" w:rsidRPr="00193623">
        <w:rPr>
          <w:rFonts w:ascii="Times New Roman" w:hAnsi="Times New Roman" w:cs="Times New Roman"/>
          <w:sz w:val="20"/>
          <w:szCs w:val="20"/>
        </w:rPr>
        <w:t xml:space="preserve">Bilancia </w:t>
      </w:r>
      <w:r w:rsidR="006750D5">
        <w:rPr>
          <w:rFonts w:ascii="Times New Roman" w:hAnsi="Times New Roman" w:cs="Times New Roman"/>
          <w:sz w:val="20"/>
          <w:szCs w:val="20"/>
        </w:rPr>
        <w:t>ovčieho</w:t>
      </w:r>
      <w:r w:rsidR="006750D5" w:rsidRPr="00193623">
        <w:rPr>
          <w:rFonts w:ascii="Times New Roman" w:hAnsi="Times New Roman" w:cs="Times New Roman"/>
          <w:sz w:val="20"/>
          <w:szCs w:val="20"/>
        </w:rPr>
        <w:t xml:space="preserve"> mäsa v tonách jatočnej hmotnosti</w:t>
      </w:r>
    </w:p>
    <w:tbl>
      <w:tblPr>
        <w:tblW w:w="9100" w:type="dxa"/>
        <w:tblInd w:w="55" w:type="dxa"/>
        <w:tblCellMar>
          <w:left w:w="70" w:type="dxa"/>
          <w:right w:w="70" w:type="dxa"/>
        </w:tblCellMar>
        <w:tblLook w:val="04A0" w:firstRow="1" w:lastRow="0" w:firstColumn="1" w:lastColumn="0" w:noHBand="0" w:noVBand="1"/>
      </w:tblPr>
      <w:tblGrid>
        <w:gridCol w:w="3417"/>
        <w:gridCol w:w="851"/>
        <w:gridCol w:w="992"/>
        <w:gridCol w:w="960"/>
        <w:gridCol w:w="960"/>
        <w:gridCol w:w="960"/>
        <w:gridCol w:w="960"/>
      </w:tblGrid>
      <w:tr w:rsidR="000E44B1" w:rsidRPr="000E44B1" w:rsidTr="006750D5">
        <w:trPr>
          <w:trHeight w:val="300"/>
        </w:trPr>
        <w:tc>
          <w:tcPr>
            <w:tcW w:w="3417" w:type="dxa"/>
            <w:tcBorders>
              <w:top w:val="single" w:sz="4" w:space="0" w:color="auto"/>
              <w:left w:val="nil"/>
              <w:bottom w:val="single" w:sz="4" w:space="0" w:color="auto"/>
              <w:right w:val="single" w:sz="4" w:space="0" w:color="auto"/>
            </w:tcBorders>
            <w:shd w:val="clear" w:color="000000" w:fill="D9D9D9"/>
            <w:noWrap/>
            <w:vAlign w:val="bottom"/>
            <w:hideMark/>
          </w:tcPr>
          <w:p w:rsidR="000E44B1" w:rsidRPr="000E44B1" w:rsidRDefault="000E44B1" w:rsidP="000E44B1">
            <w:pPr>
              <w:spacing w:after="0" w:line="240" w:lineRule="auto"/>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Ukazovateľ</w:t>
            </w:r>
          </w:p>
        </w:tc>
        <w:tc>
          <w:tcPr>
            <w:tcW w:w="851" w:type="dxa"/>
            <w:tcBorders>
              <w:top w:val="single" w:sz="4" w:space="0" w:color="auto"/>
              <w:left w:val="nil"/>
              <w:bottom w:val="single" w:sz="4" w:space="0" w:color="auto"/>
              <w:right w:val="single" w:sz="4" w:space="0" w:color="auto"/>
            </w:tcBorders>
            <w:shd w:val="clear" w:color="000000" w:fill="D9D9D9"/>
            <w:noWrap/>
            <w:vAlign w:val="bottom"/>
            <w:hideMark/>
          </w:tcPr>
          <w:p w:rsidR="000E44B1" w:rsidRPr="000E44B1" w:rsidRDefault="000E44B1" w:rsidP="000E44B1">
            <w:pPr>
              <w:spacing w:after="0" w:line="240" w:lineRule="auto"/>
              <w:jc w:val="right"/>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2002</w:t>
            </w:r>
          </w:p>
        </w:tc>
        <w:tc>
          <w:tcPr>
            <w:tcW w:w="992" w:type="dxa"/>
            <w:tcBorders>
              <w:top w:val="single" w:sz="4" w:space="0" w:color="auto"/>
              <w:left w:val="nil"/>
              <w:bottom w:val="single" w:sz="4" w:space="0" w:color="auto"/>
              <w:right w:val="nil"/>
            </w:tcBorders>
            <w:shd w:val="clear" w:color="000000" w:fill="D9D9D9"/>
            <w:noWrap/>
            <w:vAlign w:val="bottom"/>
            <w:hideMark/>
          </w:tcPr>
          <w:p w:rsidR="000E44B1" w:rsidRPr="000E44B1" w:rsidRDefault="000E44B1" w:rsidP="000E44B1">
            <w:pPr>
              <w:spacing w:after="0" w:line="240" w:lineRule="auto"/>
              <w:jc w:val="right"/>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2007</w:t>
            </w:r>
          </w:p>
        </w:tc>
        <w:tc>
          <w:tcPr>
            <w:tcW w:w="960" w:type="dxa"/>
            <w:tcBorders>
              <w:top w:val="single" w:sz="4" w:space="0" w:color="auto"/>
              <w:left w:val="nil"/>
              <w:bottom w:val="single" w:sz="4" w:space="0" w:color="auto"/>
              <w:right w:val="nil"/>
            </w:tcBorders>
            <w:shd w:val="clear" w:color="000000" w:fill="D9D9D9"/>
            <w:noWrap/>
            <w:vAlign w:val="bottom"/>
            <w:hideMark/>
          </w:tcPr>
          <w:p w:rsidR="000E44B1" w:rsidRPr="000E44B1" w:rsidRDefault="000E44B1" w:rsidP="000E44B1">
            <w:pPr>
              <w:spacing w:after="0" w:line="240" w:lineRule="auto"/>
              <w:jc w:val="right"/>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2008</w:t>
            </w:r>
          </w:p>
        </w:tc>
        <w:tc>
          <w:tcPr>
            <w:tcW w:w="960" w:type="dxa"/>
            <w:tcBorders>
              <w:top w:val="single" w:sz="4" w:space="0" w:color="auto"/>
              <w:left w:val="nil"/>
              <w:bottom w:val="single" w:sz="4" w:space="0" w:color="auto"/>
              <w:right w:val="nil"/>
            </w:tcBorders>
            <w:shd w:val="clear" w:color="000000" w:fill="D9D9D9"/>
            <w:noWrap/>
            <w:vAlign w:val="bottom"/>
            <w:hideMark/>
          </w:tcPr>
          <w:p w:rsidR="000E44B1" w:rsidRPr="000E44B1" w:rsidRDefault="000E44B1" w:rsidP="000E44B1">
            <w:pPr>
              <w:spacing w:after="0" w:line="240" w:lineRule="auto"/>
              <w:jc w:val="right"/>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2009</w:t>
            </w:r>
          </w:p>
        </w:tc>
        <w:tc>
          <w:tcPr>
            <w:tcW w:w="960" w:type="dxa"/>
            <w:tcBorders>
              <w:top w:val="single" w:sz="4" w:space="0" w:color="auto"/>
              <w:left w:val="nil"/>
              <w:bottom w:val="single" w:sz="4" w:space="0" w:color="auto"/>
              <w:right w:val="nil"/>
            </w:tcBorders>
            <w:shd w:val="clear" w:color="000000" w:fill="D9D9D9"/>
            <w:noWrap/>
            <w:vAlign w:val="bottom"/>
            <w:hideMark/>
          </w:tcPr>
          <w:p w:rsidR="000E44B1" w:rsidRPr="000E44B1" w:rsidRDefault="000E44B1" w:rsidP="000E44B1">
            <w:pPr>
              <w:spacing w:after="0" w:line="240" w:lineRule="auto"/>
              <w:jc w:val="right"/>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2010</w:t>
            </w:r>
          </w:p>
        </w:tc>
        <w:tc>
          <w:tcPr>
            <w:tcW w:w="960" w:type="dxa"/>
            <w:tcBorders>
              <w:top w:val="single" w:sz="4" w:space="0" w:color="auto"/>
              <w:left w:val="nil"/>
              <w:bottom w:val="single" w:sz="4" w:space="0" w:color="auto"/>
              <w:right w:val="nil"/>
            </w:tcBorders>
            <w:shd w:val="clear" w:color="000000" w:fill="D9D9D9"/>
            <w:noWrap/>
            <w:vAlign w:val="bottom"/>
            <w:hideMark/>
          </w:tcPr>
          <w:p w:rsidR="000E44B1" w:rsidRPr="000E44B1" w:rsidRDefault="000E44B1" w:rsidP="000E44B1">
            <w:pPr>
              <w:spacing w:after="0" w:line="240" w:lineRule="auto"/>
              <w:jc w:val="right"/>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2011</w:t>
            </w:r>
          </w:p>
        </w:tc>
      </w:tr>
      <w:tr w:rsidR="000E44B1" w:rsidRPr="000E44B1" w:rsidTr="006750D5">
        <w:trPr>
          <w:trHeight w:val="300"/>
        </w:trPr>
        <w:tc>
          <w:tcPr>
            <w:tcW w:w="3417" w:type="dxa"/>
            <w:tcBorders>
              <w:top w:val="nil"/>
              <w:left w:val="nil"/>
              <w:bottom w:val="single" w:sz="4" w:space="0" w:color="auto"/>
              <w:right w:val="single" w:sz="4" w:space="0" w:color="auto"/>
            </w:tcBorders>
            <w:shd w:val="clear" w:color="auto" w:fill="auto"/>
            <w:noWrap/>
            <w:vAlign w:val="bottom"/>
            <w:hideMark/>
          </w:tcPr>
          <w:p w:rsidR="000E44B1" w:rsidRPr="000E44B1" w:rsidRDefault="000E44B1" w:rsidP="000E44B1">
            <w:pPr>
              <w:spacing w:after="0" w:line="240" w:lineRule="auto"/>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Počiatočné zásoby</w:t>
            </w:r>
          </w:p>
        </w:tc>
        <w:tc>
          <w:tcPr>
            <w:tcW w:w="851" w:type="dxa"/>
            <w:tcBorders>
              <w:top w:val="nil"/>
              <w:left w:val="nil"/>
              <w:bottom w:val="single" w:sz="4" w:space="0" w:color="auto"/>
              <w:right w:val="single" w:sz="4" w:space="0" w:color="auto"/>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84</w:t>
            </w:r>
          </w:p>
        </w:tc>
        <w:tc>
          <w:tcPr>
            <w:tcW w:w="992"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0</w:t>
            </w:r>
          </w:p>
        </w:tc>
      </w:tr>
      <w:tr w:rsidR="000E44B1" w:rsidRPr="000E44B1" w:rsidTr="006750D5">
        <w:trPr>
          <w:trHeight w:val="300"/>
        </w:trPr>
        <w:tc>
          <w:tcPr>
            <w:tcW w:w="3417" w:type="dxa"/>
            <w:tcBorders>
              <w:top w:val="nil"/>
              <w:left w:val="nil"/>
              <w:bottom w:val="nil"/>
              <w:right w:val="single" w:sz="4" w:space="0" w:color="auto"/>
            </w:tcBorders>
            <w:shd w:val="clear" w:color="auto" w:fill="auto"/>
            <w:noWrap/>
            <w:vAlign w:val="bottom"/>
            <w:hideMark/>
          </w:tcPr>
          <w:p w:rsidR="000E44B1" w:rsidRPr="000E44B1" w:rsidRDefault="000E44B1" w:rsidP="000E44B1">
            <w:pPr>
              <w:spacing w:after="0" w:line="240" w:lineRule="auto"/>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Hrubá domáca produkcia</w:t>
            </w:r>
          </w:p>
        </w:tc>
        <w:tc>
          <w:tcPr>
            <w:tcW w:w="851" w:type="dxa"/>
            <w:tcBorders>
              <w:top w:val="nil"/>
              <w:left w:val="nil"/>
              <w:bottom w:val="nil"/>
              <w:right w:val="single" w:sz="4" w:space="0" w:color="auto"/>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1 795</w:t>
            </w:r>
          </w:p>
        </w:tc>
        <w:tc>
          <w:tcPr>
            <w:tcW w:w="992"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1 012</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1 178</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1 208</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1 345</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1 188</w:t>
            </w:r>
          </w:p>
        </w:tc>
      </w:tr>
      <w:tr w:rsidR="000E44B1" w:rsidRPr="000E44B1" w:rsidTr="006750D5">
        <w:trPr>
          <w:trHeight w:val="300"/>
        </w:trPr>
        <w:tc>
          <w:tcPr>
            <w:tcW w:w="3417" w:type="dxa"/>
            <w:tcBorders>
              <w:top w:val="nil"/>
              <w:left w:val="nil"/>
              <w:bottom w:val="nil"/>
              <w:right w:val="single" w:sz="4" w:space="0" w:color="auto"/>
            </w:tcBorders>
            <w:shd w:val="clear" w:color="auto" w:fill="auto"/>
            <w:noWrap/>
            <w:vAlign w:val="bottom"/>
            <w:hideMark/>
          </w:tcPr>
          <w:p w:rsidR="000E44B1" w:rsidRPr="000E44B1" w:rsidRDefault="000E44B1" w:rsidP="000E44B1">
            <w:pPr>
              <w:spacing w:after="0" w:line="240" w:lineRule="auto"/>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Dovoz</w:t>
            </w:r>
          </w:p>
        </w:tc>
        <w:tc>
          <w:tcPr>
            <w:tcW w:w="851" w:type="dxa"/>
            <w:tcBorders>
              <w:top w:val="nil"/>
              <w:left w:val="nil"/>
              <w:bottom w:val="nil"/>
              <w:right w:val="single" w:sz="4" w:space="0" w:color="auto"/>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29</w:t>
            </w:r>
          </w:p>
        </w:tc>
        <w:tc>
          <w:tcPr>
            <w:tcW w:w="992"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41</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49</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19</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22</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67</w:t>
            </w:r>
          </w:p>
        </w:tc>
      </w:tr>
      <w:tr w:rsidR="000E44B1" w:rsidRPr="000E44B1" w:rsidTr="006750D5">
        <w:trPr>
          <w:trHeight w:val="300"/>
        </w:trPr>
        <w:tc>
          <w:tcPr>
            <w:tcW w:w="3417" w:type="dxa"/>
            <w:tcBorders>
              <w:top w:val="nil"/>
              <w:left w:val="nil"/>
              <w:bottom w:val="single" w:sz="4" w:space="0" w:color="auto"/>
              <w:right w:val="single" w:sz="4" w:space="0" w:color="auto"/>
            </w:tcBorders>
            <w:shd w:val="clear" w:color="auto" w:fill="auto"/>
            <w:noWrap/>
            <w:vAlign w:val="bottom"/>
            <w:hideMark/>
          </w:tcPr>
          <w:p w:rsidR="000E44B1" w:rsidRPr="000E44B1" w:rsidRDefault="000E44B1" w:rsidP="000E44B1">
            <w:pPr>
              <w:spacing w:after="0" w:line="240" w:lineRule="auto"/>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 xml:space="preserve"> - v tom z EÚ</w:t>
            </w:r>
          </w:p>
        </w:tc>
        <w:tc>
          <w:tcPr>
            <w:tcW w:w="851" w:type="dxa"/>
            <w:tcBorders>
              <w:top w:val="nil"/>
              <w:left w:val="nil"/>
              <w:bottom w:val="single" w:sz="4" w:space="0" w:color="auto"/>
              <w:right w:val="single" w:sz="4" w:space="0" w:color="auto"/>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29</w:t>
            </w:r>
          </w:p>
        </w:tc>
        <w:tc>
          <w:tcPr>
            <w:tcW w:w="992"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25</w:t>
            </w:r>
          </w:p>
        </w:tc>
        <w:tc>
          <w:tcPr>
            <w:tcW w:w="960"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28</w:t>
            </w:r>
          </w:p>
        </w:tc>
        <w:tc>
          <w:tcPr>
            <w:tcW w:w="960"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8</w:t>
            </w:r>
          </w:p>
        </w:tc>
        <w:tc>
          <w:tcPr>
            <w:tcW w:w="960"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9</w:t>
            </w:r>
          </w:p>
        </w:tc>
        <w:tc>
          <w:tcPr>
            <w:tcW w:w="960"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54</w:t>
            </w:r>
          </w:p>
        </w:tc>
      </w:tr>
      <w:tr w:rsidR="000E44B1" w:rsidRPr="000E44B1" w:rsidTr="006750D5">
        <w:trPr>
          <w:trHeight w:val="300"/>
        </w:trPr>
        <w:tc>
          <w:tcPr>
            <w:tcW w:w="3417" w:type="dxa"/>
            <w:tcBorders>
              <w:top w:val="nil"/>
              <w:left w:val="nil"/>
              <w:bottom w:val="nil"/>
              <w:right w:val="single" w:sz="4" w:space="0" w:color="auto"/>
            </w:tcBorders>
            <w:shd w:val="clear" w:color="000000" w:fill="F2F2F2"/>
            <w:noWrap/>
            <w:vAlign w:val="bottom"/>
            <w:hideMark/>
          </w:tcPr>
          <w:p w:rsidR="000E44B1" w:rsidRPr="000E44B1" w:rsidRDefault="000E44B1" w:rsidP="000E44B1">
            <w:pPr>
              <w:spacing w:after="0" w:line="240" w:lineRule="auto"/>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Celková ponuka</w:t>
            </w:r>
          </w:p>
        </w:tc>
        <w:tc>
          <w:tcPr>
            <w:tcW w:w="851" w:type="dxa"/>
            <w:tcBorders>
              <w:top w:val="nil"/>
              <w:left w:val="nil"/>
              <w:bottom w:val="nil"/>
              <w:right w:val="single" w:sz="4" w:space="0" w:color="auto"/>
            </w:tcBorders>
            <w:shd w:val="clear" w:color="000000" w:fill="F2F2F2"/>
            <w:noWrap/>
            <w:vAlign w:val="bottom"/>
            <w:hideMark/>
          </w:tcPr>
          <w:p w:rsidR="000E44B1" w:rsidRPr="000E44B1" w:rsidRDefault="000E44B1" w:rsidP="000E44B1">
            <w:pPr>
              <w:spacing w:after="0" w:line="240" w:lineRule="auto"/>
              <w:jc w:val="right"/>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1 824</w:t>
            </w:r>
          </w:p>
        </w:tc>
        <w:tc>
          <w:tcPr>
            <w:tcW w:w="992" w:type="dxa"/>
            <w:tcBorders>
              <w:top w:val="nil"/>
              <w:left w:val="nil"/>
              <w:bottom w:val="nil"/>
              <w:right w:val="nil"/>
            </w:tcBorders>
            <w:shd w:val="clear" w:color="000000" w:fill="F2F2F2"/>
            <w:noWrap/>
            <w:vAlign w:val="bottom"/>
            <w:hideMark/>
          </w:tcPr>
          <w:p w:rsidR="000E44B1" w:rsidRPr="000E44B1" w:rsidRDefault="000E44B1" w:rsidP="000E44B1">
            <w:pPr>
              <w:spacing w:after="0" w:line="240" w:lineRule="auto"/>
              <w:jc w:val="right"/>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1 053</w:t>
            </w:r>
          </w:p>
        </w:tc>
        <w:tc>
          <w:tcPr>
            <w:tcW w:w="960" w:type="dxa"/>
            <w:tcBorders>
              <w:top w:val="nil"/>
              <w:left w:val="nil"/>
              <w:bottom w:val="nil"/>
              <w:right w:val="nil"/>
            </w:tcBorders>
            <w:shd w:val="clear" w:color="000000" w:fill="F2F2F2"/>
            <w:noWrap/>
            <w:vAlign w:val="bottom"/>
            <w:hideMark/>
          </w:tcPr>
          <w:p w:rsidR="000E44B1" w:rsidRPr="000E44B1" w:rsidRDefault="000E44B1" w:rsidP="000E44B1">
            <w:pPr>
              <w:spacing w:after="0" w:line="240" w:lineRule="auto"/>
              <w:jc w:val="right"/>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1 226</w:t>
            </w:r>
          </w:p>
        </w:tc>
        <w:tc>
          <w:tcPr>
            <w:tcW w:w="960" w:type="dxa"/>
            <w:tcBorders>
              <w:top w:val="nil"/>
              <w:left w:val="nil"/>
              <w:bottom w:val="nil"/>
              <w:right w:val="nil"/>
            </w:tcBorders>
            <w:shd w:val="clear" w:color="000000" w:fill="F2F2F2"/>
            <w:noWrap/>
            <w:vAlign w:val="bottom"/>
            <w:hideMark/>
          </w:tcPr>
          <w:p w:rsidR="000E44B1" w:rsidRPr="000E44B1" w:rsidRDefault="000E44B1" w:rsidP="000E44B1">
            <w:pPr>
              <w:spacing w:after="0" w:line="240" w:lineRule="auto"/>
              <w:jc w:val="right"/>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1 227</w:t>
            </w:r>
          </w:p>
        </w:tc>
        <w:tc>
          <w:tcPr>
            <w:tcW w:w="960" w:type="dxa"/>
            <w:tcBorders>
              <w:top w:val="nil"/>
              <w:left w:val="nil"/>
              <w:bottom w:val="nil"/>
              <w:right w:val="nil"/>
            </w:tcBorders>
            <w:shd w:val="clear" w:color="000000" w:fill="F2F2F2"/>
            <w:noWrap/>
            <w:vAlign w:val="bottom"/>
            <w:hideMark/>
          </w:tcPr>
          <w:p w:rsidR="000E44B1" w:rsidRPr="000E44B1" w:rsidRDefault="000E44B1" w:rsidP="000E44B1">
            <w:pPr>
              <w:spacing w:after="0" w:line="240" w:lineRule="auto"/>
              <w:jc w:val="right"/>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1 368</w:t>
            </w:r>
          </w:p>
        </w:tc>
        <w:tc>
          <w:tcPr>
            <w:tcW w:w="960" w:type="dxa"/>
            <w:tcBorders>
              <w:top w:val="nil"/>
              <w:left w:val="nil"/>
              <w:bottom w:val="nil"/>
              <w:right w:val="nil"/>
            </w:tcBorders>
            <w:shd w:val="clear" w:color="000000" w:fill="F2F2F2"/>
            <w:noWrap/>
            <w:vAlign w:val="bottom"/>
            <w:hideMark/>
          </w:tcPr>
          <w:p w:rsidR="000E44B1" w:rsidRPr="000E44B1" w:rsidRDefault="000E44B1" w:rsidP="000E44B1">
            <w:pPr>
              <w:spacing w:after="0" w:line="240" w:lineRule="auto"/>
              <w:jc w:val="right"/>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1 255</w:t>
            </w:r>
          </w:p>
        </w:tc>
      </w:tr>
      <w:tr w:rsidR="000E44B1" w:rsidRPr="000E44B1" w:rsidTr="006750D5">
        <w:trPr>
          <w:trHeight w:val="300"/>
        </w:trPr>
        <w:tc>
          <w:tcPr>
            <w:tcW w:w="3417" w:type="dxa"/>
            <w:tcBorders>
              <w:top w:val="nil"/>
              <w:left w:val="nil"/>
              <w:bottom w:val="nil"/>
              <w:right w:val="single" w:sz="4" w:space="0" w:color="auto"/>
            </w:tcBorders>
            <w:shd w:val="clear" w:color="auto" w:fill="auto"/>
            <w:noWrap/>
            <w:vAlign w:val="bottom"/>
            <w:hideMark/>
          </w:tcPr>
          <w:p w:rsidR="000E44B1" w:rsidRPr="000E44B1" w:rsidRDefault="000E44B1" w:rsidP="000E44B1">
            <w:pPr>
              <w:spacing w:after="0" w:line="240" w:lineRule="auto"/>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Vývoz</w:t>
            </w:r>
          </w:p>
        </w:tc>
        <w:tc>
          <w:tcPr>
            <w:tcW w:w="851" w:type="dxa"/>
            <w:tcBorders>
              <w:top w:val="nil"/>
              <w:left w:val="nil"/>
              <w:bottom w:val="nil"/>
              <w:right w:val="single" w:sz="4" w:space="0" w:color="auto"/>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751</w:t>
            </w:r>
          </w:p>
        </w:tc>
        <w:tc>
          <w:tcPr>
            <w:tcW w:w="992"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752</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788</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502</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661</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784</w:t>
            </w:r>
          </w:p>
        </w:tc>
      </w:tr>
      <w:tr w:rsidR="000E44B1" w:rsidRPr="000E44B1" w:rsidTr="006750D5">
        <w:trPr>
          <w:trHeight w:val="300"/>
        </w:trPr>
        <w:tc>
          <w:tcPr>
            <w:tcW w:w="3417" w:type="dxa"/>
            <w:tcBorders>
              <w:top w:val="nil"/>
              <w:left w:val="nil"/>
              <w:bottom w:val="nil"/>
              <w:right w:val="single" w:sz="4" w:space="0" w:color="auto"/>
            </w:tcBorders>
            <w:shd w:val="clear" w:color="auto" w:fill="auto"/>
            <w:noWrap/>
            <w:vAlign w:val="bottom"/>
            <w:hideMark/>
          </w:tcPr>
          <w:p w:rsidR="000E44B1" w:rsidRPr="000E44B1" w:rsidRDefault="00325A32" w:rsidP="000E44B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v tom do</w:t>
            </w:r>
            <w:r w:rsidR="000E44B1" w:rsidRPr="000E44B1">
              <w:rPr>
                <w:rFonts w:ascii="Times New Roman" w:eastAsia="Times New Roman" w:hAnsi="Times New Roman" w:cs="Times New Roman"/>
                <w:color w:val="000000"/>
                <w:sz w:val="20"/>
                <w:szCs w:val="20"/>
              </w:rPr>
              <w:t xml:space="preserve"> EÚ</w:t>
            </w:r>
          </w:p>
        </w:tc>
        <w:tc>
          <w:tcPr>
            <w:tcW w:w="851" w:type="dxa"/>
            <w:tcBorders>
              <w:top w:val="nil"/>
              <w:left w:val="nil"/>
              <w:bottom w:val="nil"/>
              <w:right w:val="single" w:sz="4" w:space="0" w:color="auto"/>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751</w:t>
            </w:r>
          </w:p>
        </w:tc>
        <w:tc>
          <w:tcPr>
            <w:tcW w:w="992"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752</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787</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502</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661</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784</w:t>
            </w:r>
          </w:p>
        </w:tc>
      </w:tr>
      <w:tr w:rsidR="000E44B1" w:rsidRPr="000E44B1" w:rsidTr="006750D5">
        <w:trPr>
          <w:trHeight w:val="300"/>
        </w:trPr>
        <w:tc>
          <w:tcPr>
            <w:tcW w:w="3417"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Spotreba mäsa</w:t>
            </w:r>
          </w:p>
        </w:tc>
        <w:tc>
          <w:tcPr>
            <w:tcW w:w="851" w:type="dxa"/>
            <w:tcBorders>
              <w:top w:val="nil"/>
              <w:left w:val="single" w:sz="4" w:space="0" w:color="auto"/>
              <w:bottom w:val="nil"/>
              <w:right w:val="single" w:sz="4" w:space="0" w:color="auto"/>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1 070</w:t>
            </w:r>
          </w:p>
        </w:tc>
        <w:tc>
          <w:tcPr>
            <w:tcW w:w="992"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300</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437</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725</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706</w:t>
            </w:r>
          </w:p>
        </w:tc>
        <w:tc>
          <w:tcPr>
            <w:tcW w:w="960" w:type="dxa"/>
            <w:tcBorders>
              <w:top w:val="nil"/>
              <w:left w:val="nil"/>
              <w:bottom w:val="nil"/>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471</w:t>
            </w:r>
          </w:p>
        </w:tc>
      </w:tr>
      <w:tr w:rsidR="000E44B1" w:rsidRPr="000E44B1" w:rsidTr="006750D5">
        <w:trPr>
          <w:trHeight w:val="300"/>
        </w:trPr>
        <w:tc>
          <w:tcPr>
            <w:tcW w:w="3417" w:type="dxa"/>
            <w:tcBorders>
              <w:top w:val="nil"/>
              <w:left w:val="nil"/>
              <w:bottom w:val="single" w:sz="4" w:space="0" w:color="auto"/>
              <w:right w:val="single" w:sz="4" w:space="0" w:color="auto"/>
            </w:tcBorders>
            <w:shd w:val="clear" w:color="auto" w:fill="auto"/>
            <w:noWrap/>
            <w:vAlign w:val="bottom"/>
            <w:hideMark/>
          </w:tcPr>
          <w:p w:rsidR="000E44B1" w:rsidRPr="000E44B1" w:rsidRDefault="000E44B1" w:rsidP="000E44B1">
            <w:pPr>
              <w:spacing w:after="0" w:line="240" w:lineRule="auto"/>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Ostatné úbytky</w:t>
            </w:r>
          </w:p>
        </w:tc>
        <w:tc>
          <w:tcPr>
            <w:tcW w:w="851" w:type="dxa"/>
            <w:tcBorders>
              <w:top w:val="nil"/>
              <w:left w:val="nil"/>
              <w:bottom w:val="single" w:sz="4" w:space="0" w:color="auto"/>
              <w:right w:val="single" w:sz="4" w:space="0" w:color="auto"/>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0</w:t>
            </w:r>
          </w:p>
        </w:tc>
      </w:tr>
      <w:tr w:rsidR="000E44B1" w:rsidRPr="000E44B1" w:rsidTr="006750D5">
        <w:trPr>
          <w:trHeight w:val="300"/>
        </w:trPr>
        <w:tc>
          <w:tcPr>
            <w:tcW w:w="3417" w:type="dxa"/>
            <w:tcBorders>
              <w:top w:val="nil"/>
              <w:left w:val="nil"/>
              <w:bottom w:val="nil"/>
              <w:right w:val="single" w:sz="4" w:space="0" w:color="auto"/>
            </w:tcBorders>
            <w:shd w:val="clear" w:color="000000" w:fill="F2F2F2"/>
            <w:noWrap/>
            <w:vAlign w:val="bottom"/>
            <w:hideMark/>
          </w:tcPr>
          <w:p w:rsidR="000E44B1" w:rsidRPr="000E44B1" w:rsidRDefault="000E44B1" w:rsidP="000E44B1">
            <w:pPr>
              <w:spacing w:after="0" w:line="240" w:lineRule="auto"/>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Celkové použitie</w:t>
            </w:r>
          </w:p>
        </w:tc>
        <w:tc>
          <w:tcPr>
            <w:tcW w:w="851" w:type="dxa"/>
            <w:tcBorders>
              <w:top w:val="nil"/>
              <w:left w:val="nil"/>
              <w:bottom w:val="nil"/>
              <w:right w:val="single" w:sz="4" w:space="0" w:color="auto"/>
            </w:tcBorders>
            <w:shd w:val="clear" w:color="000000" w:fill="F2F2F2"/>
            <w:noWrap/>
            <w:vAlign w:val="bottom"/>
            <w:hideMark/>
          </w:tcPr>
          <w:p w:rsidR="000E44B1" w:rsidRPr="000E44B1" w:rsidRDefault="000E44B1" w:rsidP="000E44B1">
            <w:pPr>
              <w:spacing w:after="0" w:line="240" w:lineRule="auto"/>
              <w:jc w:val="right"/>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1 822</w:t>
            </w:r>
          </w:p>
        </w:tc>
        <w:tc>
          <w:tcPr>
            <w:tcW w:w="992" w:type="dxa"/>
            <w:tcBorders>
              <w:top w:val="nil"/>
              <w:left w:val="nil"/>
              <w:bottom w:val="nil"/>
              <w:right w:val="nil"/>
            </w:tcBorders>
            <w:shd w:val="clear" w:color="000000" w:fill="F2F2F2"/>
            <w:noWrap/>
            <w:vAlign w:val="bottom"/>
            <w:hideMark/>
          </w:tcPr>
          <w:p w:rsidR="000E44B1" w:rsidRPr="000E44B1" w:rsidRDefault="000E44B1" w:rsidP="000E44B1">
            <w:pPr>
              <w:spacing w:after="0" w:line="240" w:lineRule="auto"/>
              <w:jc w:val="right"/>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1 053</w:t>
            </w:r>
          </w:p>
        </w:tc>
        <w:tc>
          <w:tcPr>
            <w:tcW w:w="960" w:type="dxa"/>
            <w:tcBorders>
              <w:top w:val="nil"/>
              <w:left w:val="nil"/>
              <w:bottom w:val="nil"/>
              <w:right w:val="nil"/>
            </w:tcBorders>
            <w:shd w:val="clear" w:color="000000" w:fill="F2F2F2"/>
            <w:noWrap/>
            <w:vAlign w:val="bottom"/>
            <w:hideMark/>
          </w:tcPr>
          <w:p w:rsidR="000E44B1" w:rsidRPr="000E44B1" w:rsidRDefault="000E44B1" w:rsidP="000E44B1">
            <w:pPr>
              <w:spacing w:after="0" w:line="240" w:lineRule="auto"/>
              <w:jc w:val="right"/>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1 226</w:t>
            </w:r>
          </w:p>
        </w:tc>
        <w:tc>
          <w:tcPr>
            <w:tcW w:w="960" w:type="dxa"/>
            <w:tcBorders>
              <w:top w:val="nil"/>
              <w:left w:val="nil"/>
              <w:bottom w:val="nil"/>
              <w:right w:val="nil"/>
            </w:tcBorders>
            <w:shd w:val="clear" w:color="000000" w:fill="F2F2F2"/>
            <w:noWrap/>
            <w:vAlign w:val="bottom"/>
            <w:hideMark/>
          </w:tcPr>
          <w:p w:rsidR="000E44B1" w:rsidRPr="000E44B1" w:rsidRDefault="000E44B1" w:rsidP="000E44B1">
            <w:pPr>
              <w:spacing w:after="0" w:line="240" w:lineRule="auto"/>
              <w:jc w:val="right"/>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1 227</w:t>
            </w:r>
          </w:p>
        </w:tc>
        <w:tc>
          <w:tcPr>
            <w:tcW w:w="960" w:type="dxa"/>
            <w:tcBorders>
              <w:top w:val="nil"/>
              <w:left w:val="nil"/>
              <w:bottom w:val="nil"/>
              <w:right w:val="nil"/>
            </w:tcBorders>
            <w:shd w:val="clear" w:color="000000" w:fill="F2F2F2"/>
            <w:noWrap/>
            <w:vAlign w:val="bottom"/>
            <w:hideMark/>
          </w:tcPr>
          <w:p w:rsidR="000E44B1" w:rsidRPr="000E44B1" w:rsidRDefault="000E44B1" w:rsidP="000E44B1">
            <w:pPr>
              <w:spacing w:after="0" w:line="240" w:lineRule="auto"/>
              <w:jc w:val="right"/>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1 368</w:t>
            </w:r>
          </w:p>
        </w:tc>
        <w:tc>
          <w:tcPr>
            <w:tcW w:w="960" w:type="dxa"/>
            <w:tcBorders>
              <w:top w:val="nil"/>
              <w:left w:val="nil"/>
              <w:bottom w:val="nil"/>
              <w:right w:val="nil"/>
            </w:tcBorders>
            <w:shd w:val="clear" w:color="000000" w:fill="F2F2F2"/>
            <w:noWrap/>
            <w:vAlign w:val="bottom"/>
            <w:hideMark/>
          </w:tcPr>
          <w:p w:rsidR="000E44B1" w:rsidRPr="000E44B1" w:rsidRDefault="000E44B1" w:rsidP="000E44B1">
            <w:pPr>
              <w:spacing w:after="0" w:line="240" w:lineRule="auto"/>
              <w:jc w:val="right"/>
              <w:rPr>
                <w:rFonts w:ascii="Times New Roman" w:eastAsia="Times New Roman" w:hAnsi="Times New Roman" w:cs="Times New Roman"/>
                <w:b/>
                <w:bCs/>
                <w:color w:val="000000"/>
                <w:sz w:val="20"/>
                <w:szCs w:val="20"/>
              </w:rPr>
            </w:pPr>
            <w:r w:rsidRPr="000E44B1">
              <w:rPr>
                <w:rFonts w:ascii="Times New Roman" w:eastAsia="Times New Roman" w:hAnsi="Times New Roman" w:cs="Times New Roman"/>
                <w:b/>
                <w:bCs/>
                <w:color w:val="000000"/>
                <w:sz w:val="20"/>
                <w:szCs w:val="20"/>
              </w:rPr>
              <w:t>1 255</w:t>
            </w:r>
          </w:p>
        </w:tc>
      </w:tr>
      <w:tr w:rsidR="000E44B1" w:rsidRPr="000E44B1" w:rsidTr="006750D5">
        <w:trPr>
          <w:trHeight w:val="300"/>
        </w:trPr>
        <w:tc>
          <w:tcPr>
            <w:tcW w:w="3417" w:type="dxa"/>
            <w:tcBorders>
              <w:top w:val="nil"/>
              <w:left w:val="nil"/>
              <w:bottom w:val="single" w:sz="4" w:space="0" w:color="auto"/>
              <w:right w:val="single" w:sz="4" w:space="0" w:color="auto"/>
            </w:tcBorders>
            <w:shd w:val="clear" w:color="auto" w:fill="auto"/>
            <w:noWrap/>
            <w:vAlign w:val="bottom"/>
            <w:hideMark/>
          </w:tcPr>
          <w:p w:rsidR="000E44B1" w:rsidRPr="000E44B1" w:rsidRDefault="000E44B1" w:rsidP="000E44B1">
            <w:pPr>
              <w:spacing w:after="0" w:line="240" w:lineRule="auto"/>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Konečné zásoby</w:t>
            </w:r>
          </w:p>
        </w:tc>
        <w:tc>
          <w:tcPr>
            <w:tcW w:w="851" w:type="dxa"/>
            <w:tcBorders>
              <w:top w:val="nil"/>
              <w:left w:val="nil"/>
              <w:bottom w:val="single" w:sz="4" w:space="0" w:color="auto"/>
              <w:right w:val="single" w:sz="4" w:space="0" w:color="auto"/>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86</w:t>
            </w:r>
          </w:p>
        </w:tc>
        <w:tc>
          <w:tcPr>
            <w:tcW w:w="992"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0E44B1" w:rsidRPr="000E44B1" w:rsidRDefault="000E44B1" w:rsidP="000E44B1">
            <w:pPr>
              <w:spacing w:after="0" w:line="240" w:lineRule="auto"/>
              <w:jc w:val="right"/>
              <w:rPr>
                <w:rFonts w:ascii="Times New Roman" w:eastAsia="Times New Roman" w:hAnsi="Times New Roman" w:cs="Times New Roman"/>
                <w:color w:val="000000"/>
                <w:sz w:val="20"/>
                <w:szCs w:val="20"/>
              </w:rPr>
            </w:pPr>
            <w:r w:rsidRPr="000E44B1">
              <w:rPr>
                <w:rFonts w:ascii="Times New Roman" w:eastAsia="Times New Roman" w:hAnsi="Times New Roman" w:cs="Times New Roman"/>
                <w:color w:val="000000"/>
                <w:sz w:val="20"/>
                <w:szCs w:val="20"/>
              </w:rPr>
              <w:t>0</w:t>
            </w:r>
          </w:p>
        </w:tc>
      </w:tr>
    </w:tbl>
    <w:p w:rsidR="006750D5" w:rsidRPr="002D778F" w:rsidRDefault="006750D5" w:rsidP="006750D5">
      <w:pPr>
        <w:spacing w:after="0" w:line="240" w:lineRule="auto"/>
        <w:jc w:val="right"/>
        <w:rPr>
          <w:rFonts w:ascii="Times New Roman" w:hAnsi="Times New Roman" w:cs="Times New Roman"/>
          <w:sz w:val="20"/>
          <w:szCs w:val="20"/>
        </w:rPr>
      </w:pPr>
      <w:r w:rsidRPr="002D778F">
        <w:rPr>
          <w:rFonts w:ascii="Times New Roman" w:hAnsi="Times New Roman" w:cs="Times New Roman"/>
          <w:sz w:val="20"/>
          <w:szCs w:val="20"/>
        </w:rPr>
        <w:t>Zdroj: VÚEPP</w:t>
      </w:r>
    </w:p>
    <w:p w:rsidR="00426828" w:rsidRDefault="00426828" w:rsidP="00915E7B">
      <w:pPr>
        <w:spacing w:after="0" w:line="240" w:lineRule="auto"/>
        <w:jc w:val="both"/>
        <w:rPr>
          <w:rFonts w:ascii="Times New Roman" w:hAnsi="Times New Roman" w:cs="Times New Roman"/>
          <w:sz w:val="24"/>
          <w:szCs w:val="24"/>
        </w:rPr>
      </w:pPr>
    </w:p>
    <w:p w:rsidR="00915E7B" w:rsidRDefault="00915E7B" w:rsidP="00915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hľadiska prvovýroby teda dochádza ku zaujímavému momentu, kedy </w:t>
      </w:r>
      <w:r w:rsidR="00426828">
        <w:rPr>
          <w:rFonts w:ascii="Times New Roman" w:hAnsi="Times New Roman" w:cs="Times New Roman"/>
          <w:sz w:val="24"/>
          <w:szCs w:val="24"/>
        </w:rPr>
        <w:t xml:space="preserve">sa hrubá domáca produkcia plne prispôsobuje domácim spotrebiteľským preferenciám, pričom objem vývozu je relatívne stabilný. </w:t>
      </w:r>
    </w:p>
    <w:p w:rsidR="00426828" w:rsidRDefault="00426828" w:rsidP="00915E7B">
      <w:pPr>
        <w:spacing w:after="0" w:line="240" w:lineRule="auto"/>
        <w:jc w:val="both"/>
        <w:rPr>
          <w:rFonts w:ascii="Times New Roman" w:hAnsi="Times New Roman" w:cs="Times New Roman"/>
          <w:sz w:val="24"/>
          <w:szCs w:val="24"/>
        </w:rPr>
      </w:pPr>
    </w:p>
    <w:p w:rsidR="00C859BE" w:rsidRDefault="00063A4B" w:rsidP="00915E7B">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Graf č. </w:t>
      </w:r>
      <w:r w:rsidR="00C970F8">
        <w:rPr>
          <w:rFonts w:ascii="Times New Roman" w:hAnsi="Times New Roman" w:cs="Times New Roman"/>
          <w:sz w:val="20"/>
          <w:szCs w:val="20"/>
        </w:rPr>
        <w:t>23</w:t>
      </w:r>
      <w:r w:rsidR="00C859BE" w:rsidRPr="00C55549">
        <w:rPr>
          <w:rFonts w:ascii="Times New Roman" w:hAnsi="Times New Roman" w:cs="Times New Roman"/>
          <w:sz w:val="20"/>
          <w:szCs w:val="20"/>
        </w:rPr>
        <w:t>:</w:t>
      </w:r>
      <w:r w:rsidR="00C859BE">
        <w:rPr>
          <w:rFonts w:ascii="Times New Roman" w:hAnsi="Times New Roman" w:cs="Times New Roman"/>
          <w:sz w:val="20"/>
          <w:szCs w:val="20"/>
        </w:rPr>
        <w:t xml:space="preserve"> Vývoj hrubej domácej produkcie, zahraničného obchodu a spotrebiteľských preferencií</w:t>
      </w:r>
    </w:p>
    <w:p w:rsidR="00426828" w:rsidRDefault="00C859BE" w:rsidP="00915E7B">
      <w:pPr>
        <w:spacing w:after="0" w:line="240" w:lineRule="auto"/>
        <w:jc w:val="both"/>
        <w:rPr>
          <w:rFonts w:ascii="Times New Roman" w:hAnsi="Times New Roman" w:cs="Times New Roman"/>
          <w:sz w:val="24"/>
          <w:szCs w:val="24"/>
        </w:rPr>
      </w:pPr>
      <w:r>
        <w:rPr>
          <w:noProof/>
        </w:rPr>
        <w:drawing>
          <wp:inline distT="0" distB="0" distL="0" distR="0" wp14:anchorId="1644D160" wp14:editId="6920FD5B">
            <wp:extent cx="5760720" cy="3046947"/>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859BE" w:rsidRPr="002D778F" w:rsidRDefault="00C859BE" w:rsidP="00C859BE">
      <w:pPr>
        <w:spacing w:after="0" w:line="240" w:lineRule="auto"/>
        <w:jc w:val="right"/>
        <w:rPr>
          <w:rFonts w:ascii="Times New Roman" w:hAnsi="Times New Roman" w:cs="Times New Roman"/>
          <w:sz w:val="20"/>
          <w:szCs w:val="20"/>
        </w:rPr>
      </w:pPr>
      <w:r w:rsidRPr="002D778F">
        <w:rPr>
          <w:rFonts w:ascii="Times New Roman" w:hAnsi="Times New Roman" w:cs="Times New Roman"/>
          <w:sz w:val="20"/>
          <w:szCs w:val="20"/>
        </w:rPr>
        <w:t>Zdroj: VÚEPP</w:t>
      </w:r>
    </w:p>
    <w:p w:rsidR="00CF7553" w:rsidRDefault="00CF7553" w:rsidP="00CF7553">
      <w:pPr>
        <w:spacing w:after="0" w:line="240" w:lineRule="auto"/>
        <w:jc w:val="both"/>
        <w:rPr>
          <w:rFonts w:ascii="Times New Roman" w:hAnsi="Times New Roman" w:cs="Times New Roman"/>
          <w:sz w:val="24"/>
          <w:szCs w:val="24"/>
        </w:rPr>
      </w:pPr>
    </w:p>
    <w:p w:rsidR="00F22F32" w:rsidRDefault="00F22F32" w:rsidP="00C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Hrubá domáca produkcia ovčieho mäsa naopak vôbec neovplyvňuje početnosť oviec na Slovensku, ktorý vykazuje zo strednodobého hľadiska stabilný rast. Tento vývoj je daný predovšetkým relatívne ľahkou zmenou pomerov extenzívnej a intenzí</w:t>
      </w:r>
      <w:r w:rsidR="00063A4B">
        <w:rPr>
          <w:rFonts w:ascii="Times New Roman" w:hAnsi="Times New Roman" w:cs="Times New Roman"/>
          <w:sz w:val="24"/>
          <w:szCs w:val="24"/>
        </w:rPr>
        <w:t>vnej časti chovov a produkčným zameraním.</w:t>
      </w:r>
    </w:p>
    <w:p w:rsidR="00F22F32" w:rsidRDefault="00063A4B" w:rsidP="00CF7553">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Graf č. </w:t>
      </w:r>
      <w:r w:rsidR="00C970F8">
        <w:rPr>
          <w:rFonts w:ascii="Times New Roman" w:hAnsi="Times New Roman" w:cs="Times New Roman"/>
          <w:sz w:val="20"/>
          <w:szCs w:val="20"/>
        </w:rPr>
        <w:t>24</w:t>
      </w:r>
      <w:r w:rsidR="00401741" w:rsidRPr="00C55549">
        <w:rPr>
          <w:rFonts w:ascii="Times New Roman" w:hAnsi="Times New Roman" w:cs="Times New Roman"/>
          <w:sz w:val="20"/>
          <w:szCs w:val="20"/>
        </w:rPr>
        <w:t>:</w:t>
      </w:r>
      <w:r w:rsidR="00401741">
        <w:rPr>
          <w:rFonts w:ascii="Times New Roman" w:hAnsi="Times New Roman" w:cs="Times New Roman"/>
          <w:sz w:val="20"/>
          <w:szCs w:val="20"/>
        </w:rPr>
        <w:t xml:space="preserve"> Vývoj hrubej domácej produkcie a početnosti oviec</w:t>
      </w:r>
    </w:p>
    <w:p w:rsidR="00F22F32" w:rsidRDefault="00F22F32" w:rsidP="00CF7553">
      <w:pPr>
        <w:spacing w:after="0" w:line="240" w:lineRule="auto"/>
        <w:jc w:val="both"/>
        <w:rPr>
          <w:rFonts w:ascii="Times New Roman" w:hAnsi="Times New Roman" w:cs="Times New Roman"/>
          <w:sz w:val="24"/>
          <w:szCs w:val="24"/>
        </w:rPr>
      </w:pPr>
      <w:r>
        <w:rPr>
          <w:noProof/>
        </w:rPr>
        <w:drawing>
          <wp:inline distT="0" distB="0" distL="0" distR="0" wp14:anchorId="31A46FB7" wp14:editId="0C5E894A">
            <wp:extent cx="5779008" cy="2333548"/>
            <wp:effectExtent l="0" t="0" r="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01741" w:rsidRPr="002D778F" w:rsidRDefault="00401741" w:rsidP="00401741">
      <w:pPr>
        <w:spacing w:after="0" w:line="240" w:lineRule="auto"/>
        <w:jc w:val="right"/>
        <w:rPr>
          <w:rFonts w:ascii="Times New Roman" w:hAnsi="Times New Roman" w:cs="Times New Roman"/>
          <w:sz w:val="20"/>
          <w:szCs w:val="20"/>
        </w:rPr>
      </w:pPr>
      <w:r w:rsidRPr="002D778F">
        <w:rPr>
          <w:rFonts w:ascii="Times New Roman" w:hAnsi="Times New Roman" w:cs="Times New Roman"/>
          <w:sz w:val="20"/>
          <w:szCs w:val="20"/>
        </w:rPr>
        <w:t>Zdroj: VÚEPP</w:t>
      </w:r>
    </w:p>
    <w:p w:rsidR="00F22F32" w:rsidRDefault="00F22F32" w:rsidP="00CF7553">
      <w:pPr>
        <w:spacing w:after="0" w:line="240" w:lineRule="auto"/>
        <w:jc w:val="both"/>
        <w:rPr>
          <w:rFonts w:ascii="Times New Roman" w:hAnsi="Times New Roman" w:cs="Times New Roman"/>
          <w:sz w:val="24"/>
          <w:szCs w:val="24"/>
        </w:rPr>
      </w:pPr>
    </w:p>
    <w:p w:rsidR="00EC503D" w:rsidRDefault="00CF7553" w:rsidP="00CF7553">
      <w:pPr>
        <w:spacing w:after="0" w:line="240" w:lineRule="auto"/>
        <w:jc w:val="both"/>
        <w:rPr>
          <w:rFonts w:ascii="Times New Roman" w:hAnsi="Times New Roman" w:cs="Times New Roman"/>
          <w:sz w:val="24"/>
          <w:szCs w:val="24"/>
        </w:rPr>
      </w:pPr>
      <w:r w:rsidRPr="00CF7553">
        <w:rPr>
          <w:rFonts w:ascii="Times New Roman" w:hAnsi="Times New Roman" w:cs="Times New Roman"/>
          <w:sz w:val="24"/>
          <w:szCs w:val="24"/>
        </w:rPr>
        <w:t xml:space="preserve">Z hľadiska </w:t>
      </w:r>
      <w:r>
        <w:rPr>
          <w:rFonts w:ascii="Times New Roman" w:hAnsi="Times New Roman" w:cs="Times New Roman"/>
          <w:sz w:val="24"/>
          <w:szCs w:val="24"/>
        </w:rPr>
        <w:t>spracovania hrubej domácej produkcie, túto ovplyvňuje predovšetkým stabilný zahraničný odbyt a domáce spotrebiteľské preferencie. Objem spracovania hrubej domácej produkcie</w:t>
      </w:r>
      <w:r w:rsidR="00EC503D">
        <w:rPr>
          <w:rFonts w:ascii="Times New Roman" w:hAnsi="Times New Roman" w:cs="Times New Roman"/>
          <w:sz w:val="24"/>
          <w:szCs w:val="24"/>
        </w:rPr>
        <w:t xml:space="preserve"> takto</w:t>
      </w:r>
      <w:r>
        <w:rPr>
          <w:rFonts w:ascii="Times New Roman" w:hAnsi="Times New Roman" w:cs="Times New Roman"/>
          <w:sz w:val="24"/>
          <w:szCs w:val="24"/>
        </w:rPr>
        <w:t>, oproti referenčnej úrovni roka 2002, klesol</w:t>
      </w:r>
      <w:r w:rsidR="00EC503D">
        <w:rPr>
          <w:rFonts w:ascii="Times New Roman" w:hAnsi="Times New Roman" w:cs="Times New Roman"/>
          <w:sz w:val="24"/>
          <w:szCs w:val="24"/>
        </w:rPr>
        <w:t xml:space="preserve">. </w:t>
      </w:r>
      <w:r>
        <w:rPr>
          <w:rFonts w:ascii="Times New Roman" w:hAnsi="Times New Roman" w:cs="Times New Roman"/>
          <w:sz w:val="24"/>
          <w:szCs w:val="24"/>
        </w:rPr>
        <w:t xml:space="preserve">Je </w:t>
      </w:r>
      <w:r w:rsidR="00EC503D">
        <w:rPr>
          <w:rFonts w:ascii="Times New Roman" w:hAnsi="Times New Roman" w:cs="Times New Roman"/>
          <w:sz w:val="24"/>
          <w:szCs w:val="24"/>
        </w:rPr>
        <w:t xml:space="preserve">však potrebné uviesť, že objem spracovania klesal v priamej korelácii s poklesom domácej spotreby. </w:t>
      </w:r>
      <w:r w:rsidR="00617A84">
        <w:rPr>
          <w:rFonts w:ascii="Times New Roman" w:hAnsi="Times New Roman" w:cs="Times New Roman"/>
          <w:sz w:val="24"/>
          <w:szCs w:val="24"/>
        </w:rPr>
        <w:t xml:space="preserve">Mierne nekonzistentný vývoj v rokoch 2007, 2008 a čiastočne aj v roku 2009 </w:t>
      </w:r>
      <w:r w:rsidR="00CF31DC">
        <w:rPr>
          <w:rFonts w:ascii="Times New Roman" w:hAnsi="Times New Roman" w:cs="Times New Roman"/>
          <w:sz w:val="24"/>
          <w:szCs w:val="24"/>
        </w:rPr>
        <w:t>bol</w:t>
      </w:r>
      <w:r w:rsidR="00617A84">
        <w:rPr>
          <w:rFonts w:ascii="Times New Roman" w:hAnsi="Times New Roman" w:cs="Times New Roman"/>
          <w:sz w:val="24"/>
          <w:szCs w:val="24"/>
        </w:rPr>
        <w:t xml:space="preserve"> daný štru</w:t>
      </w:r>
      <w:r w:rsidR="00A41B06">
        <w:rPr>
          <w:rFonts w:ascii="Times New Roman" w:hAnsi="Times New Roman" w:cs="Times New Roman"/>
          <w:sz w:val="24"/>
          <w:szCs w:val="24"/>
        </w:rPr>
        <w:t>ktúrou vývozu domácej produkcie</w:t>
      </w:r>
      <w:r w:rsidR="00617A84">
        <w:rPr>
          <w:rFonts w:ascii="Times New Roman" w:hAnsi="Times New Roman" w:cs="Times New Roman"/>
          <w:sz w:val="24"/>
          <w:szCs w:val="24"/>
        </w:rPr>
        <w:t>.</w:t>
      </w:r>
    </w:p>
    <w:p w:rsidR="00617A84" w:rsidRDefault="00617A84" w:rsidP="00CF7553">
      <w:pPr>
        <w:spacing w:after="0" w:line="240" w:lineRule="auto"/>
        <w:jc w:val="both"/>
        <w:rPr>
          <w:rFonts w:ascii="Times New Roman" w:hAnsi="Times New Roman" w:cs="Times New Roman"/>
          <w:sz w:val="24"/>
          <w:szCs w:val="24"/>
        </w:rPr>
      </w:pPr>
    </w:p>
    <w:p w:rsidR="00CF7553" w:rsidRDefault="00063A4B" w:rsidP="00CF755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Graf č. </w:t>
      </w:r>
      <w:r w:rsidR="00C970F8">
        <w:rPr>
          <w:rFonts w:ascii="Times New Roman" w:hAnsi="Times New Roman" w:cs="Times New Roman"/>
          <w:sz w:val="20"/>
          <w:szCs w:val="20"/>
        </w:rPr>
        <w:t>25</w:t>
      </w:r>
      <w:r w:rsidR="00EC503D" w:rsidRPr="00C55549">
        <w:rPr>
          <w:rFonts w:ascii="Times New Roman" w:hAnsi="Times New Roman" w:cs="Times New Roman"/>
          <w:sz w:val="20"/>
          <w:szCs w:val="20"/>
        </w:rPr>
        <w:t>:</w:t>
      </w:r>
      <w:r w:rsidR="00EC503D">
        <w:rPr>
          <w:rFonts w:ascii="Times New Roman" w:hAnsi="Times New Roman" w:cs="Times New Roman"/>
          <w:sz w:val="20"/>
          <w:szCs w:val="20"/>
        </w:rPr>
        <w:t xml:space="preserve"> Vývoj </w:t>
      </w:r>
      <w:r w:rsidR="00617A84">
        <w:rPr>
          <w:rFonts w:ascii="Times New Roman" w:hAnsi="Times New Roman" w:cs="Times New Roman"/>
          <w:sz w:val="20"/>
          <w:szCs w:val="20"/>
        </w:rPr>
        <w:t>zabití jatočných oviec v porovnaní s hrubou domácou produkciou a domácou spotrebou</w:t>
      </w:r>
    </w:p>
    <w:p w:rsidR="00EC503D" w:rsidRDefault="00EC503D" w:rsidP="00CF7553">
      <w:pPr>
        <w:spacing w:after="0" w:line="240" w:lineRule="auto"/>
        <w:jc w:val="both"/>
        <w:rPr>
          <w:rFonts w:ascii="Times New Roman" w:hAnsi="Times New Roman" w:cs="Times New Roman"/>
          <w:sz w:val="24"/>
          <w:szCs w:val="24"/>
        </w:rPr>
      </w:pPr>
      <w:r>
        <w:rPr>
          <w:noProof/>
        </w:rPr>
        <w:drawing>
          <wp:inline distT="0" distB="0" distL="0" distR="0" wp14:anchorId="21C58C24" wp14:editId="329DF3A8">
            <wp:extent cx="5779008" cy="2179930"/>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17A84" w:rsidRPr="002D778F" w:rsidRDefault="00617A84" w:rsidP="00617A84">
      <w:pPr>
        <w:spacing w:after="0" w:line="240" w:lineRule="auto"/>
        <w:jc w:val="right"/>
        <w:rPr>
          <w:rFonts w:ascii="Times New Roman" w:hAnsi="Times New Roman" w:cs="Times New Roman"/>
          <w:sz w:val="20"/>
          <w:szCs w:val="20"/>
        </w:rPr>
      </w:pPr>
      <w:r w:rsidRPr="002D778F">
        <w:rPr>
          <w:rFonts w:ascii="Times New Roman" w:hAnsi="Times New Roman" w:cs="Times New Roman"/>
          <w:sz w:val="20"/>
          <w:szCs w:val="20"/>
        </w:rPr>
        <w:t>Zdroj: VÚEPP</w:t>
      </w:r>
    </w:p>
    <w:p w:rsidR="00CF31DC" w:rsidRDefault="00CF31DC" w:rsidP="00CF7553">
      <w:pPr>
        <w:spacing w:after="0" w:line="240" w:lineRule="auto"/>
        <w:jc w:val="both"/>
        <w:rPr>
          <w:rFonts w:ascii="Times New Roman" w:hAnsi="Times New Roman" w:cs="Times New Roman"/>
          <w:sz w:val="24"/>
          <w:szCs w:val="24"/>
        </w:rPr>
      </w:pPr>
    </w:p>
    <w:p w:rsidR="00CF7553" w:rsidRDefault="00CF31DC" w:rsidP="00C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Domáci spracovateľský priemysel takto spracúva 44,3 % hrubej domácej produkcie ovčieho mäsa, čo tvorí až 111,72 % domácej spotreby. </w:t>
      </w:r>
      <w:r w:rsidR="003A5431">
        <w:rPr>
          <w:rFonts w:ascii="Times New Roman" w:hAnsi="Times New Roman" w:cs="Times New Roman"/>
          <w:sz w:val="24"/>
          <w:szCs w:val="24"/>
        </w:rPr>
        <w:t>Do</w:t>
      </w:r>
      <w:r w:rsidR="00617A84">
        <w:rPr>
          <w:rFonts w:ascii="Times New Roman" w:hAnsi="Times New Roman" w:cs="Times New Roman"/>
          <w:sz w:val="24"/>
          <w:szCs w:val="24"/>
        </w:rPr>
        <w:t>máca spotreba</w:t>
      </w:r>
      <w:r w:rsidR="003A5431">
        <w:rPr>
          <w:rFonts w:ascii="Times New Roman" w:hAnsi="Times New Roman" w:cs="Times New Roman"/>
          <w:sz w:val="24"/>
          <w:szCs w:val="24"/>
        </w:rPr>
        <w:t xml:space="preserve"> ovčieho mäsa </w:t>
      </w:r>
      <w:r w:rsidR="00401741">
        <w:rPr>
          <w:rFonts w:ascii="Times New Roman" w:hAnsi="Times New Roman" w:cs="Times New Roman"/>
          <w:sz w:val="24"/>
          <w:szCs w:val="24"/>
        </w:rPr>
        <w:t>sa vyvíja</w:t>
      </w:r>
      <w:r w:rsidR="003A5431">
        <w:rPr>
          <w:rFonts w:ascii="Times New Roman" w:hAnsi="Times New Roman" w:cs="Times New Roman"/>
          <w:sz w:val="24"/>
          <w:szCs w:val="24"/>
        </w:rPr>
        <w:t>, s primeraným časovým oneskorením,</w:t>
      </w:r>
      <w:r w:rsidR="00617A84">
        <w:rPr>
          <w:rFonts w:ascii="Times New Roman" w:hAnsi="Times New Roman" w:cs="Times New Roman"/>
          <w:sz w:val="24"/>
          <w:szCs w:val="24"/>
        </w:rPr>
        <w:t xml:space="preserve"> v priamej korelácii s cenovou úrovňou ovčieho mäsa. </w:t>
      </w:r>
      <w:r w:rsidR="00730709">
        <w:rPr>
          <w:rFonts w:ascii="Times New Roman" w:hAnsi="Times New Roman" w:cs="Times New Roman"/>
          <w:sz w:val="24"/>
          <w:szCs w:val="24"/>
        </w:rPr>
        <w:t xml:space="preserve">To znamená, že súčasná úroveň výkupných cien zabezpečuje na trhu s ovčím mäsom relatívnu rovnováhu, kedy sa dopyt vyrovnáva s ponukou a súčasne </w:t>
      </w:r>
      <w:r w:rsidR="00E836A4">
        <w:rPr>
          <w:rFonts w:ascii="Times New Roman" w:hAnsi="Times New Roman" w:cs="Times New Roman"/>
          <w:sz w:val="24"/>
          <w:szCs w:val="24"/>
        </w:rPr>
        <w:t xml:space="preserve">tak </w:t>
      </w:r>
      <w:r w:rsidR="00730709">
        <w:rPr>
          <w:rFonts w:ascii="Times New Roman" w:hAnsi="Times New Roman" w:cs="Times New Roman"/>
          <w:sz w:val="24"/>
          <w:szCs w:val="24"/>
        </w:rPr>
        <w:t>prvovýrobca</w:t>
      </w:r>
      <w:r w:rsidR="00E836A4">
        <w:rPr>
          <w:rFonts w:ascii="Times New Roman" w:hAnsi="Times New Roman" w:cs="Times New Roman"/>
          <w:sz w:val="24"/>
          <w:szCs w:val="24"/>
        </w:rPr>
        <w:t xml:space="preserve"> ako aj spracovateľ nedosahujú</w:t>
      </w:r>
      <w:r w:rsidR="00730709">
        <w:rPr>
          <w:rFonts w:ascii="Times New Roman" w:hAnsi="Times New Roman" w:cs="Times New Roman"/>
          <w:sz w:val="24"/>
          <w:szCs w:val="24"/>
        </w:rPr>
        <w:t xml:space="preserve"> primárnu stratu z produkcie.</w:t>
      </w:r>
      <w:r w:rsidR="004C3901">
        <w:rPr>
          <w:rFonts w:ascii="Times New Roman" w:hAnsi="Times New Roman" w:cs="Times New Roman"/>
          <w:sz w:val="24"/>
          <w:szCs w:val="24"/>
        </w:rPr>
        <w:t xml:space="preserve"> Je však nutné podotknúť, že produkcia ovčieho mäsa je realizovaná z veľkej časti v zahraničí, ktorého potenciál nie je zo strany slovenských producentov plne využitý. Domáci dopyt je nízky a jeho podiel je ďalej štatisticky znižovaný stále väčším podielom neoficiálnej spotreby, ktorej výška je priamo ovplyvnená legislatívne náročnými podmienkami domáceho oficiálneho predaja. </w:t>
      </w:r>
    </w:p>
    <w:p w:rsidR="00CF7553" w:rsidRDefault="00CF7553" w:rsidP="00CF7553">
      <w:pPr>
        <w:spacing w:after="0" w:line="240" w:lineRule="auto"/>
        <w:jc w:val="both"/>
        <w:rPr>
          <w:rFonts w:ascii="Times New Roman" w:hAnsi="Times New Roman" w:cs="Times New Roman"/>
          <w:sz w:val="24"/>
          <w:szCs w:val="24"/>
        </w:rPr>
      </w:pPr>
    </w:p>
    <w:p w:rsidR="00401741" w:rsidRDefault="00063A4B" w:rsidP="00CF7553">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Graf č. 2</w:t>
      </w:r>
      <w:r w:rsidR="00C970F8">
        <w:rPr>
          <w:rFonts w:ascii="Times New Roman" w:hAnsi="Times New Roman" w:cs="Times New Roman"/>
          <w:sz w:val="20"/>
          <w:szCs w:val="20"/>
        </w:rPr>
        <w:t>6</w:t>
      </w:r>
      <w:r w:rsidR="003A5431" w:rsidRPr="00C55549">
        <w:rPr>
          <w:rFonts w:ascii="Times New Roman" w:hAnsi="Times New Roman" w:cs="Times New Roman"/>
          <w:sz w:val="20"/>
          <w:szCs w:val="20"/>
        </w:rPr>
        <w:t>:</w:t>
      </w:r>
      <w:r w:rsidR="003A5431">
        <w:rPr>
          <w:rFonts w:ascii="Times New Roman" w:hAnsi="Times New Roman" w:cs="Times New Roman"/>
          <w:sz w:val="20"/>
          <w:szCs w:val="20"/>
        </w:rPr>
        <w:t xml:space="preserve"> Vývoj výkupných cien jatočných jahniat a oviec a domácej spotreby na obyvateľa</w:t>
      </w:r>
    </w:p>
    <w:p w:rsidR="00017726" w:rsidRDefault="003A5431" w:rsidP="00CF7553">
      <w:pPr>
        <w:spacing w:after="0" w:line="240" w:lineRule="auto"/>
        <w:jc w:val="both"/>
        <w:rPr>
          <w:rFonts w:ascii="Times New Roman" w:hAnsi="Times New Roman" w:cs="Times New Roman"/>
          <w:sz w:val="24"/>
          <w:szCs w:val="24"/>
        </w:rPr>
      </w:pPr>
      <w:r>
        <w:rPr>
          <w:noProof/>
        </w:rPr>
        <w:drawing>
          <wp:inline distT="0" distB="0" distL="0" distR="0" wp14:anchorId="70993ECF" wp14:editId="420B6FAE">
            <wp:extent cx="5720486" cy="2062887"/>
            <wp:effectExtent l="0" t="0" r="0" b="0"/>
            <wp:docPr id="55" name="Graf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17726" w:rsidRPr="00730709" w:rsidRDefault="00730709" w:rsidP="0073070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730709" w:rsidRDefault="00730709" w:rsidP="00730709">
      <w:pPr>
        <w:spacing w:after="0" w:line="240" w:lineRule="auto"/>
        <w:jc w:val="both"/>
        <w:rPr>
          <w:rFonts w:ascii="Times New Roman" w:hAnsi="Times New Roman" w:cs="Times New Roman"/>
          <w:sz w:val="24"/>
          <w:szCs w:val="24"/>
        </w:rPr>
      </w:pPr>
    </w:p>
    <w:p w:rsidR="003156D3" w:rsidRPr="0097752F" w:rsidRDefault="00730709" w:rsidP="0097752F">
      <w:pPr>
        <w:pBdr>
          <w:top w:val="single" w:sz="4" w:space="1" w:color="auto"/>
          <w:bottom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základe týchto skutočností môžeme konštatovať, že trh s ovčím mäsom je z hľadiska potravinovej vertikály </w:t>
      </w:r>
      <w:r w:rsidR="004C3901">
        <w:rPr>
          <w:rFonts w:ascii="Times New Roman" w:hAnsi="Times New Roman" w:cs="Times New Roman"/>
          <w:sz w:val="24"/>
          <w:szCs w:val="24"/>
        </w:rPr>
        <w:t>v relatívnej rovnováhe, danej vysokým podielom zahraničného dopytu</w:t>
      </w:r>
      <w:r>
        <w:rPr>
          <w:rFonts w:ascii="Times New Roman" w:hAnsi="Times New Roman" w:cs="Times New Roman"/>
          <w:sz w:val="24"/>
          <w:szCs w:val="24"/>
        </w:rPr>
        <w:t xml:space="preserve"> </w:t>
      </w:r>
      <w:r w:rsidR="004C3901">
        <w:rPr>
          <w:rFonts w:ascii="Times New Roman" w:hAnsi="Times New Roman" w:cs="Times New Roman"/>
          <w:sz w:val="24"/>
          <w:szCs w:val="24"/>
        </w:rPr>
        <w:t xml:space="preserve">v pomere k domácemu dopytu po ovčom mäse. Na posilnenie krehkej rovnováhy v potravinovej vertikále v tejto komodite je potrebné </w:t>
      </w:r>
      <w:proofErr w:type="spellStart"/>
      <w:r w:rsidR="004C3901">
        <w:rPr>
          <w:rFonts w:ascii="Times New Roman" w:hAnsi="Times New Roman" w:cs="Times New Roman"/>
          <w:sz w:val="24"/>
          <w:szCs w:val="24"/>
        </w:rPr>
        <w:t>diverzifikovať</w:t>
      </w:r>
      <w:proofErr w:type="spellEnd"/>
      <w:r w:rsidR="004C3901">
        <w:rPr>
          <w:rFonts w:ascii="Times New Roman" w:hAnsi="Times New Roman" w:cs="Times New Roman"/>
          <w:sz w:val="24"/>
          <w:szCs w:val="24"/>
        </w:rPr>
        <w:t xml:space="preserve"> odbytové trhy v zahraničí a odstrániť legislatívne prekážky domáceho predaja. </w:t>
      </w:r>
    </w:p>
    <w:p w:rsidR="003156D3" w:rsidRPr="003156D3" w:rsidRDefault="003156D3" w:rsidP="0027754B">
      <w:pPr>
        <w:spacing w:after="0" w:line="240" w:lineRule="auto"/>
      </w:pPr>
    </w:p>
    <w:p w:rsidR="00F45455" w:rsidRDefault="00F45455" w:rsidP="0027754B">
      <w:pPr>
        <w:pStyle w:val="Nadpis3"/>
        <w:numPr>
          <w:ilvl w:val="2"/>
          <w:numId w:val="8"/>
        </w:numPr>
      </w:pPr>
      <w:bookmarkStart w:id="24" w:name="_Toc359550645"/>
      <w:r>
        <w:t>Kozie mäso</w:t>
      </w:r>
      <w:bookmarkEnd w:id="24"/>
    </w:p>
    <w:p w:rsidR="00F45455" w:rsidRDefault="00F45455" w:rsidP="003204DF">
      <w:pPr>
        <w:spacing w:after="0" w:line="240" w:lineRule="auto"/>
        <w:jc w:val="both"/>
        <w:rPr>
          <w:rFonts w:ascii="Times New Roman" w:hAnsi="Times New Roman" w:cs="Times New Roman"/>
          <w:sz w:val="24"/>
          <w:szCs w:val="24"/>
        </w:rPr>
      </w:pPr>
    </w:p>
    <w:p w:rsidR="003204DF" w:rsidRDefault="003204DF" w:rsidP="003204DF">
      <w:pPr>
        <w:spacing w:after="0" w:line="240" w:lineRule="auto"/>
        <w:jc w:val="both"/>
        <w:rPr>
          <w:rFonts w:ascii="Times New Roman" w:hAnsi="Times New Roman" w:cs="Times New Roman"/>
          <w:sz w:val="24"/>
          <w:szCs w:val="24"/>
        </w:rPr>
      </w:pPr>
      <w:r w:rsidRPr="007C5739">
        <w:rPr>
          <w:rFonts w:ascii="Times New Roman" w:hAnsi="Times New Roman" w:cs="Times New Roman"/>
          <w:sz w:val="24"/>
          <w:szCs w:val="24"/>
        </w:rPr>
        <w:t>Domáci dop</w:t>
      </w:r>
      <w:r>
        <w:rPr>
          <w:rFonts w:ascii="Times New Roman" w:hAnsi="Times New Roman" w:cs="Times New Roman"/>
          <w:sz w:val="24"/>
          <w:szCs w:val="24"/>
        </w:rPr>
        <w:t xml:space="preserve">yt po kozom mäse meriame pomocou štatisticky nameranej spotreby v tonách za rok, čo predstavuje objem 258,3 ton. Hrubá domáca produkcia predstavuje taktiež objem         258,3 ton. Znamená to, že produkcia v SR dosahuje 100 % domáceho dopytu, čo znamená, že produkčná výkonnosť v tejto komodite je, z hľadiska prvovýroby, dostatočná. Je však potrebné uviesť, že dostatočná úroveň produkčnej výkonnosti je trvalo dosahovaná v dôsledku poklesu domácej spotreby kozieho mäsa, ktorá, oproti referenčnej úrovni roka 2002, poklesla o cca 23 %.  </w:t>
      </w:r>
    </w:p>
    <w:p w:rsidR="0097752F" w:rsidRPr="003204DF" w:rsidRDefault="0097752F" w:rsidP="003204DF">
      <w:pPr>
        <w:spacing w:after="0" w:line="240" w:lineRule="auto"/>
        <w:jc w:val="both"/>
        <w:rPr>
          <w:rFonts w:ascii="Times New Roman" w:hAnsi="Times New Roman" w:cs="Times New Roman"/>
          <w:sz w:val="24"/>
          <w:szCs w:val="24"/>
        </w:rPr>
      </w:pPr>
    </w:p>
    <w:p w:rsidR="00F45455" w:rsidRPr="003204DF" w:rsidRDefault="0027754B" w:rsidP="003204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w:t>
      </w:r>
      <w:r w:rsidR="00BE29EE">
        <w:rPr>
          <w:rFonts w:ascii="Times New Roman" w:hAnsi="Times New Roman" w:cs="Times New Roman"/>
          <w:sz w:val="20"/>
          <w:szCs w:val="20"/>
        </w:rPr>
        <w:t>23</w:t>
      </w:r>
      <w:r w:rsidR="003204DF" w:rsidRPr="00A855A4">
        <w:rPr>
          <w:rFonts w:ascii="Times New Roman" w:hAnsi="Times New Roman" w:cs="Times New Roman"/>
          <w:sz w:val="20"/>
          <w:szCs w:val="20"/>
        </w:rPr>
        <w:t xml:space="preserve">: </w:t>
      </w:r>
      <w:r w:rsidR="003204DF" w:rsidRPr="00193623">
        <w:rPr>
          <w:rFonts w:ascii="Times New Roman" w:hAnsi="Times New Roman" w:cs="Times New Roman"/>
          <w:sz w:val="20"/>
          <w:szCs w:val="20"/>
        </w:rPr>
        <w:t xml:space="preserve">Bilancia </w:t>
      </w:r>
      <w:r w:rsidR="008A7B4C">
        <w:rPr>
          <w:rFonts w:ascii="Times New Roman" w:hAnsi="Times New Roman" w:cs="Times New Roman"/>
          <w:sz w:val="20"/>
          <w:szCs w:val="20"/>
        </w:rPr>
        <w:t>kozieho</w:t>
      </w:r>
      <w:r w:rsidR="003204DF" w:rsidRPr="00193623">
        <w:rPr>
          <w:rFonts w:ascii="Times New Roman" w:hAnsi="Times New Roman" w:cs="Times New Roman"/>
          <w:sz w:val="20"/>
          <w:szCs w:val="20"/>
        </w:rPr>
        <w:t xml:space="preserve"> mäsa v tonách jatočnej hmotnosti</w:t>
      </w:r>
    </w:p>
    <w:tbl>
      <w:tblPr>
        <w:tblW w:w="9068" w:type="dxa"/>
        <w:tblInd w:w="55" w:type="dxa"/>
        <w:tblCellMar>
          <w:left w:w="70" w:type="dxa"/>
          <w:right w:w="70" w:type="dxa"/>
        </w:tblCellMar>
        <w:tblLook w:val="04A0" w:firstRow="1" w:lastRow="0" w:firstColumn="1" w:lastColumn="0" w:noHBand="0" w:noVBand="1"/>
      </w:tblPr>
      <w:tblGrid>
        <w:gridCol w:w="3134"/>
        <w:gridCol w:w="1134"/>
        <w:gridCol w:w="960"/>
        <w:gridCol w:w="960"/>
        <w:gridCol w:w="960"/>
        <w:gridCol w:w="960"/>
        <w:gridCol w:w="960"/>
      </w:tblGrid>
      <w:tr w:rsidR="003204DF" w:rsidRPr="003204DF" w:rsidTr="003204DF">
        <w:trPr>
          <w:trHeight w:val="300"/>
        </w:trPr>
        <w:tc>
          <w:tcPr>
            <w:tcW w:w="3134" w:type="dxa"/>
            <w:tcBorders>
              <w:top w:val="single" w:sz="4" w:space="0" w:color="auto"/>
              <w:left w:val="nil"/>
              <w:bottom w:val="single" w:sz="4" w:space="0" w:color="auto"/>
              <w:right w:val="single" w:sz="4" w:space="0" w:color="auto"/>
            </w:tcBorders>
            <w:shd w:val="clear" w:color="000000" w:fill="D9D9D9"/>
            <w:noWrap/>
            <w:vAlign w:val="bottom"/>
            <w:hideMark/>
          </w:tcPr>
          <w:p w:rsidR="003204DF" w:rsidRPr="003204DF" w:rsidRDefault="003204DF" w:rsidP="003204DF">
            <w:pPr>
              <w:spacing w:after="0" w:line="240" w:lineRule="auto"/>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Ukazovateľ</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3204DF" w:rsidRPr="003204DF" w:rsidRDefault="003204DF" w:rsidP="003204DF">
            <w:pPr>
              <w:spacing w:after="0" w:line="240" w:lineRule="auto"/>
              <w:jc w:val="right"/>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2002</w:t>
            </w:r>
          </w:p>
        </w:tc>
        <w:tc>
          <w:tcPr>
            <w:tcW w:w="960" w:type="dxa"/>
            <w:tcBorders>
              <w:top w:val="single" w:sz="4" w:space="0" w:color="auto"/>
              <w:left w:val="nil"/>
              <w:bottom w:val="single" w:sz="4" w:space="0" w:color="auto"/>
              <w:right w:val="nil"/>
            </w:tcBorders>
            <w:shd w:val="clear" w:color="000000" w:fill="D9D9D9"/>
            <w:noWrap/>
            <w:vAlign w:val="bottom"/>
            <w:hideMark/>
          </w:tcPr>
          <w:p w:rsidR="003204DF" w:rsidRPr="003204DF" w:rsidRDefault="003204DF" w:rsidP="003204DF">
            <w:pPr>
              <w:spacing w:after="0" w:line="240" w:lineRule="auto"/>
              <w:jc w:val="right"/>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2007</w:t>
            </w:r>
          </w:p>
        </w:tc>
        <w:tc>
          <w:tcPr>
            <w:tcW w:w="960" w:type="dxa"/>
            <w:tcBorders>
              <w:top w:val="single" w:sz="4" w:space="0" w:color="auto"/>
              <w:left w:val="nil"/>
              <w:bottom w:val="single" w:sz="4" w:space="0" w:color="auto"/>
              <w:right w:val="nil"/>
            </w:tcBorders>
            <w:shd w:val="clear" w:color="000000" w:fill="D9D9D9"/>
            <w:noWrap/>
            <w:vAlign w:val="bottom"/>
            <w:hideMark/>
          </w:tcPr>
          <w:p w:rsidR="003204DF" w:rsidRPr="003204DF" w:rsidRDefault="003204DF" w:rsidP="003204DF">
            <w:pPr>
              <w:spacing w:after="0" w:line="240" w:lineRule="auto"/>
              <w:jc w:val="right"/>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2008</w:t>
            </w:r>
          </w:p>
        </w:tc>
        <w:tc>
          <w:tcPr>
            <w:tcW w:w="960" w:type="dxa"/>
            <w:tcBorders>
              <w:top w:val="single" w:sz="4" w:space="0" w:color="auto"/>
              <w:left w:val="nil"/>
              <w:bottom w:val="single" w:sz="4" w:space="0" w:color="auto"/>
              <w:right w:val="nil"/>
            </w:tcBorders>
            <w:shd w:val="clear" w:color="000000" w:fill="D9D9D9"/>
            <w:noWrap/>
            <w:vAlign w:val="bottom"/>
            <w:hideMark/>
          </w:tcPr>
          <w:p w:rsidR="003204DF" w:rsidRPr="003204DF" w:rsidRDefault="003204DF" w:rsidP="003204DF">
            <w:pPr>
              <w:spacing w:after="0" w:line="240" w:lineRule="auto"/>
              <w:jc w:val="right"/>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2009</w:t>
            </w:r>
          </w:p>
        </w:tc>
        <w:tc>
          <w:tcPr>
            <w:tcW w:w="960" w:type="dxa"/>
            <w:tcBorders>
              <w:top w:val="single" w:sz="4" w:space="0" w:color="auto"/>
              <w:left w:val="nil"/>
              <w:bottom w:val="single" w:sz="4" w:space="0" w:color="auto"/>
              <w:right w:val="nil"/>
            </w:tcBorders>
            <w:shd w:val="clear" w:color="000000" w:fill="D9D9D9"/>
            <w:noWrap/>
            <w:vAlign w:val="bottom"/>
            <w:hideMark/>
          </w:tcPr>
          <w:p w:rsidR="003204DF" w:rsidRPr="003204DF" w:rsidRDefault="003204DF" w:rsidP="003204DF">
            <w:pPr>
              <w:spacing w:after="0" w:line="240" w:lineRule="auto"/>
              <w:jc w:val="right"/>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2010</w:t>
            </w:r>
          </w:p>
        </w:tc>
        <w:tc>
          <w:tcPr>
            <w:tcW w:w="960" w:type="dxa"/>
            <w:tcBorders>
              <w:top w:val="single" w:sz="4" w:space="0" w:color="auto"/>
              <w:left w:val="nil"/>
              <w:bottom w:val="single" w:sz="4" w:space="0" w:color="auto"/>
              <w:right w:val="nil"/>
            </w:tcBorders>
            <w:shd w:val="clear" w:color="000000" w:fill="D9D9D9"/>
            <w:noWrap/>
            <w:vAlign w:val="bottom"/>
            <w:hideMark/>
          </w:tcPr>
          <w:p w:rsidR="003204DF" w:rsidRPr="003204DF" w:rsidRDefault="003204DF" w:rsidP="003204DF">
            <w:pPr>
              <w:spacing w:after="0" w:line="240" w:lineRule="auto"/>
              <w:jc w:val="right"/>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2011</w:t>
            </w:r>
          </w:p>
        </w:tc>
      </w:tr>
      <w:tr w:rsidR="003204DF" w:rsidRPr="003204DF" w:rsidTr="003204DF">
        <w:trPr>
          <w:trHeight w:val="300"/>
        </w:trPr>
        <w:tc>
          <w:tcPr>
            <w:tcW w:w="3134" w:type="dxa"/>
            <w:tcBorders>
              <w:top w:val="nil"/>
              <w:left w:val="nil"/>
              <w:bottom w:val="single" w:sz="4" w:space="0" w:color="auto"/>
              <w:right w:val="single" w:sz="4" w:space="0" w:color="auto"/>
            </w:tcBorders>
            <w:shd w:val="clear" w:color="auto" w:fill="auto"/>
            <w:noWrap/>
            <w:vAlign w:val="bottom"/>
            <w:hideMark/>
          </w:tcPr>
          <w:p w:rsidR="003204DF" w:rsidRPr="003204DF" w:rsidRDefault="003204DF" w:rsidP="003204DF">
            <w:pPr>
              <w:spacing w:after="0" w:line="240" w:lineRule="auto"/>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Počiatočné zásoby</w:t>
            </w:r>
          </w:p>
        </w:tc>
        <w:tc>
          <w:tcPr>
            <w:tcW w:w="1134" w:type="dxa"/>
            <w:tcBorders>
              <w:top w:val="nil"/>
              <w:left w:val="nil"/>
              <w:bottom w:val="single" w:sz="4" w:space="0" w:color="auto"/>
              <w:right w:val="single" w:sz="4" w:space="0" w:color="auto"/>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r>
      <w:tr w:rsidR="003204DF" w:rsidRPr="003204DF" w:rsidTr="003204DF">
        <w:trPr>
          <w:trHeight w:val="300"/>
        </w:trPr>
        <w:tc>
          <w:tcPr>
            <w:tcW w:w="3134" w:type="dxa"/>
            <w:tcBorders>
              <w:top w:val="nil"/>
              <w:left w:val="nil"/>
              <w:bottom w:val="nil"/>
              <w:right w:val="single" w:sz="4" w:space="0" w:color="auto"/>
            </w:tcBorders>
            <w:shd w:val="clear" w:color="auto" w:fill="auto"/>
            <w:noWrap/>
            <w:vAlign w:val="bottom"/>
            <w:hideMark/>
          </w:tcPr>
          <w:p w:rsidR="003204DF" w:rsidRPr="003204DF" w:rsidRDefault="003204DF" w:rsidP="003204DF">
            <w:pPr>
              <w:spacing w:after="0" w:line="240" w:lineRule="auto"/>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Hrubá domáca produkcia</w:t>
            </w:r>
          </w:p>
        </w:tc>
        <w:tc>
          <w:tcPr>
            <w:tcW w:w="1134" w:type="dxa"/>
            <w:tcBorders>
              <w:top w:val="nil"/>
              <w:left w:val="nil"/>
              <w:bottom w:val="nil"/>
              <w:right w:val="single" w:sz="4" w:space="0" w:color="auto"/>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339,0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298,0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298,0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257,2</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258,5</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258,3</w:t>
            </w:r>
          </w:p>
        </w:tc>
      </w:tr>
      <w:tr w:rsidR="003204DF" w:rsidRPr="003204DF" w:rsidTr="003204DF">
        <w:trPr>
          <w:trHeight w:val="300"/>
        </w:trPr>
        <w:tc>
          <w:tcPr>
            <w:tcW w:w="3134" w:type="dxa"/>
            <w:tcBorders>
              <w:top w:val="nil"/>
              <w:left w:val="nil"/>
              <w:bottom w:val="nil"/>
              <w:right w:val="single" w:sz="4" w:space="0" w:color="auto"/>
            </w:tcBorders>
            <w:shd w:val="clear" w:color="auto" w:fill="auto"/>
            <w:noWrap/>
            <w:vAlign w:val="bottom"/>
            <w:hideMark/>
          </w:tcPr>
          <w:p w:rsidR="003204DF" w:rsidRPr="003204DF" w:rsidRDefault="003204DF" w:rsidP="003204DF">
            <w:pPr>
              <w:spacing w:after="0" w:line="240" w:lineRule="auto"/>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Dovoz</w:t>
            </w:r>
          </w:p>
        </w:tc>
        <w:tc>
          <w:tcPr>
            <w:tcW w:w="1134" w:type="dxa"/>
            <w:tcBorders>
              <w:top w:val="nil"/>
              <w:left w:val="nil"/>
              <w:bottom w:val="nil"/>
              <w:right w:val="single" w:sz="4" w:space="0" w:color="auto"/>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0,6</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r>
      <w:tr w:rsidR="003204DF" w:rsidRPr="003204DF" w:rsidTr="003204DF">
        <w:trPr>
          <w:trHeight w:val="300"/>
        </w:trPr>
        <w:tc>
          <w:tcPr>
            <w:tcW w:w="3134" w:type="dxa"/>
            <w:tcBorders>
              <w:top w:val="nil"/>
              <w:left w:val="nil"/>
              <w:bottom w:val="single" w:sz="4" w:space="0" w:color="auto"/>
              <w:right w:val="single" w:sz="4" w:space="0" w:color="auto"/>
            </w:tcBorders>
            <w:shd w:val="clear" w:color="auto" w:fill="auto"/>
            <w:noWrap/>
            <w:vAlign w:val="bottom"/>
            <w:hideMark/>
          </w:tcPr>
          <w:p w:rsidR="003204DF" w:rsidRPr="003204DF" w:rsidRDefault="003204DF" w:rsidP="003204DF">
            <w:pPr>
              <w:spacing w:after="0" w:line="240" w:lineRule="auto"/>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 xml:space="preserve"> - v tom z EÚ</w:t>
            </w:r>
          </w:p>
        </w:tc>
        <w:tc>
          <w:tcPr>
            <w:tcW w:w="1134" w:type="dxa"/>
            <w:tcBorders>
              <w:top w:val="nil"/>
              <w:left w:val="nil"/>
              <w:bottom w:val="single" w:sz="4" w:space="0" w:color="auto"/>
              <w:right w:val="single" w:sz="4" w:space="0" w:color="auto"/>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r>
      <w:tr w:rsidR="003204DF" w:rsidRPr="003204DF" w:rsidTr="003204DF">
        <w:trPr>
          <w:trHeight w:val="300"/>
        </w:trPr>
        <w:tc>
          <w:tcPr>
            <w:tcW w:w="3134" w:type="dxa"/>
            <w:tcBorders>
              <w:top w:val="nil"/>
              <w:left w:val="nil"/>
              <w:bottom w:val="nil"/>
              <w:right w:val="single" w:sz="4" w:space="0" w:color="auto"/>
            </w:tcBorders>
            <w:shd w:val="clear" w:color="000000" w:fill="F2F2F2"/>
            <w:noWrap/>
            <w:vAlign w:val="bottom"/>
            <w:hideMark/>
          </w:tcPr>
          <w:p w:rsidR="003204DF" w:rsidRPr="003204DF" w:rsidRDefault="003204DF" w:rsidP="003204DF">
            <w:pPr>
              <w:spacing w:after="0" w:line="240" w:lineRule="auto"/>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Celková ponuka</w:t>
            </w:r>
          </w:p>
        </w:tc>
        <w:tc>
          <w:tcPr>
            <w:tcW w:w="1134" w:type="dxa"/>
            <w:tcBorders>
              <w:top w:val="nil"/>
              <w:left w:val="nil"/>
              <w:bottom w:val="nil"/>
              <w:right w:val="single" w:sz="4" w:space="0" w:color="auto"/>
            </w:tcBorders>
            <w:shd w:val="clear" w:color="000000" w:fill="F2F2F2"/>
            <w:noWrap/>
            <w:vAlign w:val="bottom"/>
            <w:hideMark/>
          </w:tcPr>
          <w:p w:rsidR="003204DF" w:rsidRPr="003204DF" w:rsidRDefault="003204DF" w:rsidP="003204DF">
            <w:pPr>
              <w:spacing w:after="0" w:line="240" w:lineRule="auto"/>
              <w:jc w:val="right"/>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339,0</w:t>
            </w:r>
          </w:p>
        </w:tc>
        <w:tc>
          <w:tcPr>
            <w:tcW w:w="960" w:type="dxa"/>
            <w:tcBorders>
              <w:top w:val="nil"/>
              <w:left w:val="nil"/>
              <w:bottom w:val="nil"/>
              <w:right w:val="nil"/>
            </w:tcBorders>
            <w:shd w:val="clear" w:color="000000" w:fill="F2F2F2"/>
            <w:noWrap/>
            <w:vAlign w:val="bottom"/>
            <w:hideMark/>
          </w:tcPr>
          <w:p w:rsidR="003204DF" w:rsidRPr="003204DF" w:rsidRDefault="003204DF" w:rsidP="003204DF">
            <w:pPr>
              <w:spacing w:after="0" w:line="240" w:lineRule="auto"/>
              <w:jc w:val="right"/>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298,0</w:t>
            </w:r>
          </w:p>
        </w:tc>
        <w:tc>
          <w:tcPr>
            <w:tcW w:w="960" w:type="dxa"/>
            <w:tcBorders>
              <w:top w:val="nil"/>
              <w:left w:val="nil"/>
              <w:bottom w:val="nil"/>
              <w:right w:val="nil"/>
            </w:tcBorders>
            <w:shd w:val="clear" w:color="000000" w:fill="F2F2F2"/>
            <w:noWrap/>
            <w:vAlign w:val="bottom"/>
            <w:hideMark/>
          </w:tcPr>
          <w:p w:rsidR="003204DF" w:rsidRPr="003204DF" w:rsidRDefault="003204DF" w:rsidP="003204DF">
            <w:pPr>
              <w:spacing w:after="0" w:line="240" w:lineRule="auto"/>
              <w:jc w:val="right"/>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298,0</w:t>
            </w:r>
          </w:p>
        </w:tc>
        <w:tc>
          <w:tcPr>
            <w:tcW w:w="960" w:type="dxa"/>
            <w:tcBorders>
              <w:top w:val="nil"/>
              <w:left w:val="nil"/>
              <w:bottom w:val="nil"/>
              <w:right w:val="nil"/>
            </w:tcBorders>
            <w:shd w:val="clear" w:color="000000" w:fill="F2F2F2"/>
            <w:noWrap/>
            <w:vAlign w:val="bottom"/>
            <w:hideMark/>
          </w:tcPr>
          <w:p w:rsidR="003204DF" w:rsidRPr="003204DF" w:rsidRDefault="003204DF" w:rsidP="003204DF">
            <w:pPr>
              <w:spacing w:after="0" w:line="240" w:lineRule="auto"/>
              <w:jc w:val="right"/>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257,2</w:t>
            </w:r>
          </w:p>
        </w:tc>
        <w:tc>
          <w:tcPr>
            <w:tcW w:w="960" w:type="dxa"/>
            <w:tcBorders>
              <w:top w:val="nil"/>
              <w:left w:val="nil"/>
              <w:bottom w:val="nil"/>
              <w:right w:val="nil"/>
            </w:tcBorders>
            <w:shd w:val="clear" w:color="000000" w:fill="F2F2F2"/>
            <w:noWrap/>
            <w:vAlign w:val="bottom"/>
            <w:hideMark/>
          </w:tcPr>
          <w:p w:rsidR="003204DF" w:rsidRPr="003204DF" w:rsidRDefault="003204DF" w:rsidP="003204DF">
            <w:pPr>
              <w:spacing w:after="0" w:line="240" w:lineRule="auto"/>
              <w:jc w:val="right"/>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259,1</w:t>
            </w:r>
          </w:p>
        </w:tc>
        <w:tc>
          <w:tcPr>
            <w:tcW w:w="960" w:type="dxa"/>
            <w:tcBorders>
              <w:top w:val="nil"/>
              <w:left w:val="nil"/>
              <w:bottom w:val="nil"/>
              <w:right w:val="nil"/>
            </w:tcBorders>
            <w:shd w:val="clear" w:color="000000" w:fill="F2F2F2"/>
            <w:noWrap/>
            <w:vAlign w:val="bottom"/>
            <w:hideMark/>
          </w:tcPr>
          <w:p w:rsidR="003204DF" w:rsidRPr="003204DF" w:rsidRDefault="003204DF" w:rsidP="003204DF">
            <w:pPr>
              <w:spacing w:after="0" w:line="240" w:lineRule="auto"/>
              <w:jc w:val="right"/>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258,3</w:t>
            </w:r>
          </w:p>
        </w:tc>
      </w:tr>
      <w:tr w:rsidR="003204DF" w:rsidRPr="003204DF" w:rsidTr="003204DF">
        <w:trPr>
          <w:trHeight w:val="300"/>
        </w:trPr>
        <w:tc>
          <w:tcPr>
            <w:tcW w:w="3134" w:type="dxa"/>
            <w:tcBorders>
              <w:top w:val="nil"/>
              <w:left w:val="nil"/>
              <w:bottom w:val="nil"/>
              <w:right w:val="single" w:sz="4" w:space="0" w:color="auto"/>
            </w:tcBorders>
            <w:shd w:val="clear" w:color="auto" w:fill="auto"/>
            <w:noWrap/>
            <w:vAlign w:val="bottom"/>
            <w:hideMark/>
          </w:tcPr>
          <w:p w:rsidR="003204DF" w:rsidRPr="003204DF" w:rsidRDefault="003204DF" w:rsidP="003204DF">
            <w:pPr>
              <w:spacing w:after="0" w:line="240" w:lineRule="auto"/>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Vývoz</w:t>
            </w:r>
          </w:p>
        </w:tc>
        <w:tc>
          <w:tcPr>
            <w:tcW w:w="1134" w:type="dxa"/>
            <w:tcBorders>
              <w:top w:val="nil"/>
              <w:left w:val="nil"/>
              <w:bottom w:val="nil"/>
              <w:right w:val="single" w:sz="4" w:space="0" w:color="auto"/>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3,0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r>
      <w:tr w:rsidR="003204DF" w:rsidRPr="003204DF" w:rsidTr="003204DF">
        <w:trPr>
          <w:trHeight w:val="300"/>
        </w:trPr>
        <w:tc>
          <w:tcPr>
            <w:tcW w:w="3134" w:type="dxa"/>
            <w:tcBorders>
              <w:top w:val="nil"/>
              <w:left w:val="nil"/>
              <w:bottom w:val="nil"/>
              <w:right w:val="single" w:sz="4" w:space="0" w:color="auto"/>
            </w:tcBorders>
            <w:shd w:val="clear" w:color="auto" w:fill="auto"/>
            <w:noWrap/>
            <w:vAlign w:val="bottom"/>
            <w:hideMark/>
          </w:tcPr>
          <w:p w:rsidR="003204DF" w:rsidRPr="003204DF" w:rsidRDefault="00325A32" w:rsidP="003204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v tom do</w:t>
            </w:r>
            <w:r w:rsidR="003204DF" w:rsidRPr="003204DF">
              <w:rPr>
                <w:rFonts w:ascii="Times New Roman" w:eastAsia="Times New Roman" w:hAnsi="Times New Roman" w:cs="Times New Roman"/>
                <w:color w:val="000000"/>
                <w:sz w:val="20"/>
                <w:szCs w:val="20"/>
              </w:rPr>
              <w:t xml:space="preserve"> EÚ</w:t>
            </w:r>
          </w:p>
        </w:tc>
        <w:tc>
          <w:tcPr>
            <w:tcW w:w="1134" w:type="dxa"/>
            <w:tcBorders>
              <w:top w:val="nil"/>
              <w:left w:val="nil"/>
              <w:bottom w:val="nil"/>
              <w:right w:val="single" w:sz="4" w:space="0" w:color="auto"/>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3,0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r>
      <w:tr w:rsidR="003204DF" w:rsidRPr="003204DF" w:rsidTr="003204DF">
        <w:trPr>
          <w:trHeight w:val="300"/>
        </w:trPr>
        <w:tc>
          <w:tcPr>
            <w:tcW w:w="3134"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Spotreba mäsa</w:t>
            </w:r>
          </w:p>
        </w:tc>
        <w:tc>
          <w:tcPr>
            <w:tcW w:w="1134" w:type="dxa"/>
            <w:tcBorders>
              <w:top w:val="nil"/>
              <w:left w:val="single" w:sz="4" w:space="0" w:color="auto"/>
              <w:bottom w:val="nil"/>
              <w:right w:val="single" w:sz="4" w:space="0" w:color="auto"/>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336,0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298,0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298,0</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257,2</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259,1</w:t>
            </w:r>
          </w:p>
        </w:tc>
        <w:tc>
          <w:tcPr>
            <w:tcW w:w="960" w:type="dxa"/>
            <w:tcBorders>
              <w:top w:val="nil"/>
              <w:left w:val="nil"/>
              <w:bottom w:val="nil"/>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258,3</w:t>
            </w:r>
          </w:p>
        </w:tc>
      </w:tr>
      <w:tr w:rsidR="003204DF" w:rsidRPr="003204DF" w:rsidTr="003204DF">
        <w:trPr>
          <w:trHeight w:val="300"/>
        </w:trPr>
        <w:tc>
          <w:tcPr>
            <w:tcW w:w="3134" w:type="dxa"/>
            <w:tcBorders>
              <w:top w:val="nil"/>
              <w:left w:val="nil"/>
              <w:bottom w:val="single" w:sz="4" w:space="0" w:color="auto"/>
              <w:right w:val="single" w:sz="4" w:space="0" w:color="auto"/>
            </w:tcBorders>
            <w:shd w:val="clear" w:color="auto" w:fill="auto"/>
            <w:noWrap/>
            <w:vAlign w:val="bottom"/>
            <w:hideMark/>
          </w:tcPr>
          <w:p w:rsidR="003204DF" w:rsidRPr="003204DF" w:rsidRDefault="003204DF" w:rsidP="003204DF">
            <w:pPr>
              <w:spacing w:after="0" w:line="240" w:lineRule="auto"/>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Ostatné úbytky</w:t>
            </w:r>
          </w:p>
        </w:tc>
        <w:tc>
          <w:tcPr>
            <w:tcW w:w="1134" w:type="dxa"/>
            <w:tcBorders>
              <w:top w:val="nil"/>
              <w:left w:val="nil"/>
              <w:bottom w:val="single" w:sz="4" w:space="0" w:color="auto"/>
              <w:right w:val="single" w:sz="4" w:space="0" w:color="auto"/>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r>
      <w:tr w:rsidR="003204DF" w:rsidRPr="003204DF" w:rsidTr="003204DF">
        <w:trPr>
          <w:trHeight w:val="300"/>
        </w:trPr>
        <w:tc>
          <w:tcPr>
            <w:tcW w:w="3134" w:type="dxa"/>
            <w:tcBorders>
              <w:top w:val="nil"/>
              <w:left w:val="nil"/>
              <w:bottom w:val="nil"/>
              <w:right w:val="single" w:sz="4" w:space="0" w:color="auto"/>
            </w:tcBorders>
            <w:shd w:val="clear" w:color="000000" w:fill="F2F2F2"/>
            <w:noWrap/>
            <w:vAlign w:val="bottom"/>
            <w:hideMark/>
          </w:tcPr>
          <w:p w:rsidR="003204DF" w:rsidRPr="003204DF" w:rsidRDefault="003204DF" w:rsidP="003204DF">
            <w:pPr>
              <w:spacing w:after="0" w:line="240" w:lineRule="auto"/>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Celkové použitie</w:t>
            </w:r>
          </w:p>
        </w:tc>
        <w:tc>
          <w:tcPr>
            <w:tcW w:w="1134" w:type="dxa"/>
            <w:tcBorders>
              <w:top w:val="nil"/>
              <w:left w:val="nil"/>
              <w:bottom w:val="nil"/>
              <w:right w:val="single" w:sz="4" w:space="0" w:color="auto"/>
            </w:tcBorders>
            <w:shd w:val="clear" w:color="000000" w:fill="F2F2F2"/>
            <w:noWrap/>
            <w:vAlign w:val="bottom"/>
            <w:hideMark/>
          </w:tcPr>
          <w:p w:rsidR="003204DF" w:rsidRPr="003204DF" w:rsidRDefault="003204DF" w:rsidP="003204DF">
            <w:pPr>
              <w:spacing w:after="0" w:line="240" w:lineRule="auto"/>
              <w:jc w:val="right"/>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339,0</w:t>
            </w:r>
          </w:p>
        </w:tc>
        <w:tc>
          <w:tcPr>
            <w:tcW w:w="960" w:type="dxa"/>
            <w:tcBorders>
              <w:top w:val="nil"/>
              <w:left w:val="nil"/>
              <w:bottom w:val="nil"/>
              <w:right w:val="nil"/>
            </w:tcBorders>
            <w:shd w:val="clear" w:color="000000" w:fill="F2F2F2"/>
            <w:noWrap/>
            <w:vAlign w:val="bottom"/>
            <w:hideMark/>
          </w:tcPr>
          <w:p w:rsidR="003204DF" w:rsidRPr="003204DF" w:rsidRDefault="003204DF" w:rsidP="003204DF">
            <w:pPr>
              <w:spacing w:after="0" w:line="240" w:lineRule="auto"/>
              <w:jc w:val="right"/>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298,0</w:t>
            </w:r>
          </w:p>
        </w:tc>
        <w:tc>
          <w:tcPr>
            <w:tcW w:w="960" w:type="dxa"/>
            <w:tcBorders>
              <w:top w:val="nil"/>
              <w:left w:val="nil"/>
              <w:bottom w:val="nil"/>
              <w:right w:val="nil"/>
            </w:tcBorders>
            <w:shd w:val="clear" w:color="000000" w:fill="F2F2F2"/>
            <w:noWrap/>
            <w:vAlign w:val="bottom"/>
            <w:hideMark/>
          </w:tcPr>
          <w:p w:rsidR="003204DF" w:rsidRPr="003204DF" w:rsidRDefault="003204DF" w:rsidP="003204DF">
            <w:pPr>
              <w:spacing w:after="0" w:line="240" w:lineRule="auto"/>
              <w:jc w:val="right"/>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298,0</w:t>
            </w:r>
          </w:p>
        </w:tc>
        <w:tc>
          <w:tcPr>
            <w:tcW w:w="960" w:type="dxa"/>
            <w:tcBorders>
              <w:top w:val="nil"/>
              <w:left w:val="nil"/>
              <w:bottom w:val="nil"/>
              <w:right w:val="nil"/>
            </w:tcBorders>
            <w:shd w:val="clear" w:color="000000" w:fill="F2F2F2"/>
            <w:noWrap/>
            <w:vAlign w:val="bottom"/>
            <w:hideMark/>
          </w:tcPr>
          <w:p w:rsidR="003204DF" w:rsidRPr="003204DF" w:rsidRDefault="003204DF" w:rsidP="003204DF">
            <w:pPr>
              <w:spacing w:after="0" w:line="240" w:lineRule="auto"/>
              <w:jc w:val="right"/>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257,2</w:t>
            </w:r>
          </w:p>
        </w:tc>
        <w:tc>
          <w:tcPr>
            <w:tcW w:w="960" w:type="dxa"/>
            <w:tcBorders>
              <w:top w:val="nil"/>
              <w:left w:val="nil"/>
              <w:bottom w:val="nil"/>
              <w:right w:val="nil"/>
            </w:tcBorders>
            <w:shd w:val="clear" w:color="000000" w:fill="F2F2F2"/>
            <w:noWrap/>
            <w:vAlign w:val="bottom"/>
            <w:hideMark/>
          </w:tcPr>
          <w:p w:rsidR="003204DF" w:rsidRPr="003204DF" w:rsidRDefault="003204DF" w:rsidP="003204DF">
            <w:pPr>
              <w:spacing w:after="0" w:line="240" w:lineRule="auto"/>
              <w:jc w:val="right"/>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259,1</w:t>
            </w:r>
          </w:p>
        </w:tc>
        <w:tc>
          <w:tcPr>
            <w:tcW w:w="960" w:type="dxa"/>
            <w:tcBorders>
              <w:top w:val="nil"/>
              <w:left w:val="nil"/>
              <w:bottom w:val="nil"/>
              <w:right w:val="nil"/>
            </w:tcBorders>
            <w:shd w:val="clear" w:color="000000" w:fill="F2F2F2"/>
            <w:noWrap/>
            <w:vAlign w:val="bottom"/>
            <w:hideMark/>
          </w:tcPr>
          <w:p w:rsidR="003204DF" w:rsidRPr="003204DF" w:rsidRDefault="003204DF" w:rsidP="003204DF">
            <w:pPr>
              <w:spacing w:after="0" w:line="240" w:lineRule="auto"/>
              <w:jc w:val="right"/>
              <w:rPr>
                <w:rFonts w:ascii="Times New Roman" w:eastAsia="Times New Roman" w:hAnsi="Times New Roman" w:cs="Times New Roman"/>
                <w:b/>
                <w:bCs/>
                <w:color w:val="000000"/>
                <w:sz w:val="20"/>
                <w:szCs w:val="20"/>
              </w:rPr>
            </w:pPr>
            <w:r w:rsidRPr="003204DF">
              <w:rPr>
                <w:rFonts w:ascii="Times New Roman" w:eastAsia="Times New Roman" w:hAnsi="Times New Roman" w:cs="Times New Roman"/>
                <w:b/>
                <w:bCs/>
                <w:color w:val="000000"/>
                <w:sz w:val="20"/>
                <w:szCs w:val="20"/>
              </w:rPr>
              <w:t>258,3</w:t>
            </w:r>
          </w:p>
        </w:tc>
      </w:tr>
      <w:tr w:rsidR="003204DF" w:rsidRPr="003204DF" w:rsidTr="003204DF">
        <w:trPr>
          <w:trHeight w:val="300"/>
        </w:trPr>
        <w:tc>
          <w:tcPr>
            <w:tcW w:w="3134" w:type="dxa"/>
            <w:tcBorders>
              <w:top w:val="nil"/>
              <w:left w:val="nil"/>
              <w:bottom w:val="single" w:sz="4" w:space="0" w:color="auto"/>
              <w:right w:val="single" w:sz="4" w:space="0" w:color="auto"/>
            </w:tcBorders>
            <w:shd w:val="clear" w:color="auto" w:fill="auto"/>
            <w:noWrap/>
            <w:vAlign w:val="bottom"/>
            <w:hideMark/>
          </w:tcPr>
          <w:p w:rsidR="003204DF" w:rsidRPr="003204DF" w:rsidRDefault="003204DF" w:rsidP="003204DF">
            <w:pPr>
              <w:spacing w:after="0" w:line="240" w:lineRule="auto"/>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Konečné zásoby</w:t>
            </w:r>
          </w:p>
        </w:tc>
        <w:tc>
          <w:tcPr>
            <w:tcW w:w="1134" w:type="dxa"/>
            <w:tcBorders>
              <w:top w:val="nil"/>
              <w:left w:val="nil"/>
              <w:bottom w:val="single" w:sz="4" w:space="0" w:color="auto"/>
              <w:right w:val="single" w:sz="4" w:space="0" w:color="auto"/>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3204DF" w:rsidRPr="003204DF" w:rsidRDefault="003204DF" w:rsidP="003204DF">
            <w:pPr>
              <w:spacing w:after="0" w:line="240" w:lineRule="auto"/>
              <w:jc w:val="right"/>
              <w:rPr>
                <w:rFonts w:ascii="Times New Roman" w:eastAsia="Times New Roman" w:hAnsi="Times New Roman" w:cs="Times New Roman"/>
                <w:color w:val="000000"/>
                <w:sz w:val="20"/>
                <w:szCs w:val="20"/>
              </w:rPr>
            </w:pPr>
            <w:r w:rsidRPr="003204DF">
              <w:rPr>
                <w:rFonts w:ascii="Times New Roman" w:eastAsia="Times New Roman" w:hAnsi="Times New Roman" w:cs="Times New Roman"/>
                <w:color w:val="000000"/>
                <w:sz w:val="20"/>
                <w:szCs w:val="20"/>
              </w:rPr>
              <w:t>0,0</w:t>
            </w:r>
          </w:p>
        </w:tc>
      </w:tr>
    </w:tbl>
    <w:p w:rsidR="003204DF" w:rsidRPr="00730709" w:rsidRDefault="003204DF" w:rsidP="003204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27754B" w:rsidRDefault="0027754B" w:rsidP="00325A32">
      <w:pPr>
        <w:spacing w:after="0" w:line="240" w:lineRule="auto"/>
        <w:jc w:val="both"/>
        <w:rPr>
          <w:rFonts w:ascii="Times New Roman" w:hAnsi="Times New Roman" w:cs="Times New Roman"/>
          <w:sz w:val="24"/>
          <w:szCs w:val="24"/>
        </w:rPr>
      </w:pPr>
    </w:p>
    <w:p w:rsidR="002B7DF0" w:rsidRDefault="00325A32" w:rsidP="00325A32">
      <w:pPr>
        <w:spacing w:after="0" w:line="240" w:lineRule="auto"/>
        <w:jc w:val="both"/>
        <w:rPr>
          <w:rFonts w:ascii="Times New Roman" w:hAnsi="Times New Roman" w:cs="Times New Roman"/>
          <w:sz w:val="24"/>
          <w:szCs w:val="24"/>
        </w:rPr>
      </w:pPr>
      <w:r w:rsidRPr="00325A32">
        <w:rPr>
          <w:rFonts w:ascii="Times New Roman" w:hAnsi="Times New Roman" w:cs="Times New Roman"/>
          <w:sz w:val="24"/>
          <w:szCs w:val="24"/>
        </w:rPr>
        <w:t>Nakoľko sa hrubá domáca produkcia plne prispôsobuje domácemu dopytu zahraničný obchod s kozím mäsom nie je zaznamenaný.</w:t>
      </w:r>
      <w:r w:rsidR="002B7DF0">
        <w:rPr>
          <w:rFonts w:ascii="Times New Roman" w:hAnsi="Times New Roman" w:cs="Times New Roman"/>
          <w:sz w:val="24"/>
          <w:szCs w:val="24"/>
        </w:rPr>
        <w:t xml:space="preserve"> Taktiež sa v rámci potravinovej vertikály kozieho mäsa netvoria žiadne zásoby, čo znamená, že trh je v rovnováhe. Je to dané pôsobením dvoch </w:t>
      </w:r>
      <w:r w:rsidR="002B7DF0">
        <w:rPr>
          <w:rFonts w:ascii="Times New Roman" w:hAnsi="Times New Roman" w:cs="Times New Roman"/>
          <w:sz w:val="24"/>
          <w:szCs w:val="24"/>
        </w:rPr>
        <w:lastRenderedPageBreak/>
        <w:t>hlavných faktorov, a to relatívne ľahkou zmenou pomerov extenzívnej a intenzívnej časti chovov a značnou mierou samozásobenia, ktoré nie je v bilancii zahrnuté.</w:t>
      </w:r>
    </w:p>
    <w:p w:rsidR="002B7DF0" w:rsidRDefault="002B7DF0" w:rsidP="00325A32">
      <w:pPr>
        <w:spacing w:after="0" w:line="240" w:lineRule="auto"/>
        <w:jc w:val="both"/>
        <w:rPr>
          <w:rFonts w:ascii="Times New Roman" w:hAnsi="Times New Roman" w:cs="Times New Roman"/>
          <w:sz w:val="24"/>
          <w:szCs w:val="24"/>
        </w:rPr>
      </w:pPr>
    </w:p>
    <w:p w:rsidR="003204DF" w:rsidRDefault="002B7DF0" w:rsidP="00325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Rovnováha na trhu s kozím mäsom znamená, že prvovýrobcovia realizujú na domácom trhu celú svoju produkciu, spracovatelia prvovýrobnú produkciu spracujú a celú spracovanú produkciu zrealizujú na spotrebiteľskom trhu. </w:t>
      </w:r>
      <w:r w:rsidR="00632C3D">
        <w:rPr>
          <w:rFonts w:ascii="Times New Roman" w:hAnsi="Times New Roman" w:cs="Times New Roman"/>
          <w:sz w:val="24"/>
          <w:szCs w:val="24"/>
        </w:rPr>
        <w:t>Je však nutné uviesť, že domáci dopyt je nízky a  je ďalej štatisticky znižovaný stále väčším podielom neoficiálnej spotreby, ktorej výška je priamo ovplyvnená legislatívne náročnými podmienkami domáceho oficiálneho predaja.</w:t>
      </w:r>
    </w:p>
    <w:p w:rsidR="002B7DF0" w:rsidRDefault="002B7DF0" w:rsidP="002B7DF0">
      <w:pPr>
        <w:spacing w:after="0" w:line="240" w:lineRule="auto"/>
        <w:jc w:val="both"/>
        <w:rPr>
          <w:rFonts w:ascii="Times New Roman" w:hAnsi="Times New Roman" w:cs="Times New Roman"/>
          <w:sz w:val="24"/>
          <w:szCs w:val="24"/>
        </w:rPr>
      </w:pPr>
    </w:p>
    <w:p w:rsidR="002B7DF0" w:rsidRDefault="002B7DF0" w:rsidP="00632C3D">
      <w:pPr>
        <w:pBdr>
          <w:top w:val="single" w:sz="4" w:space="1" w:color="auto"/>
          <w:bottom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základe týchto skutočností môžeme konštatovať, že trh s kozím mäsom </w:t>
      </w:r>
      <w:r w:rsidR="00823940">
        <w:rPr>
          <w:rFonts w:ascii="Times New Roman" w:hAnsi="Times New Roman" w:cs="Times New Roman"/>
          <w:sz w:val="24"/>
          <w:szCs w:val="24"/>
        </w:rPr>
        <w:t xml:space="preserve">je z hľadiska potravinovej vertikály zdravý a plne korešponduje s cieľmi tejto strednodobej koncepcie.  </w:t>
      </w:r>
      <w:r w:rsidR="00823940" w:rsidRPr="00632C3D">
        <w:rPr>
          <w:rFonts w:ascii="Times New Roman" w:hAnsi="Times New Roman" w:cs="Times New Roman"/>
          <w:sz w:val="24"/>
          <w:szCs w:val="24"/>
        </w:rPr>
        <w:t>Na posilnenie krehkej rovnováhy v potravinovej vertikál</w:t>
      </w:r>
      <w:r w:rsidR="00823940">
        <w:rPr>
          <w:rFonts w:ascii="Times New Roman" w:hAnsi="Times New Roman" w:cs="Times New Roman"/>
          <w:sz w:val="24"/>
          <w:szCs w:val="24"/>
        </w:rPr>
        <w:t xml:space="preserve">e v tejto komodite je potrebné </w:t>
      </w:r>
      <w:r w:rsidR="00823940" w:rsidRPr="00632C3D">
        <w:rPr>
          <w:rFonts w:ascii="Times New Roman" w:hAnsi="Times New Roman" w:cs="Times New Roman"/>
          <w:sz w:val="24"/>
          <w:szCs w:val="24"/>
        </w:rPr>
        <w:t>odstrániť legislatívne prekážky domáceho predaja.</w:t>
      </w:r>
    </w:p>
    <w:p w:rsidR="00F45455" w:rsidRPr="00F45455" w:rsidRDefault="00F45455" w:rsidP="00817EFC">
      <w:pPr>
        <w:spacing w:after="0" w:line="240" w:lineRule="auto"/>
      </w:pPr>
    </w:p>
    <w:p w:rsidR="002B5CA9" w:rsidRPr="0037507D" w:rsidRDefault="008B1083" w:rsidP="000D68DC">
      <w:pPr>
        <w:pStyle w:val="Nadpis3"/>
        <w:numPr>
          <w:ilvl w:val="2"/>
          <w:numId w:val="8"/>
        </w:numPr>
      </w:pPr>
      <w:bookmarkStart w:id="25" w:name="_Toc359550646"/>
      <w:r w:rsidRPr="0037507D">
        <w:t>Mlieko a mliečne výrobky</w:t>
      </w:r>
      <w:bookmarkEnd w:id="25"/>
    </w:p>
    <w:p w:rsidR="008B1083" w:rsidRDefault="008B1083" w:rsidP="008B1083">
      <w:pPr>
        <w:spacing w:after="0" w:line="240" w:lineRule="auto"/>
        <w:jc w:val="both"/>
        <w:rPr>
          <w:rFonts w:ascii="Times New Roman" w:hAnsi="Times New Roman" w:cs="Times New Roman"/>
          <w:b/>
          <w:sz w:val="24"/>
          <w:szCs w:val="24"/>
        </w:rPr>
      </w:pPr>
    </w:p>
    <w:p w:rsidR="003F21F1" w:rsidRDefault="00D42324" w:rsidP="00126ADC">
      <w:pPr>
        <w:spacing w:after="0" w:line="240" w:lineRule="auto"/>
        <w:jc w:val="both"/>
        <w:rPr>
          <w:rFonts w:ascii="Times New Roman" w:hAnsi="Times New Roman" w:cs="Times New Roman"/>
          <w:sz w:val="24"/>
          <w:szCs w:val="24"/>
        </w:rPr>
      </w:pPr>
      <w:r w:rsidRPr="007C5739">
        <w:rPr>
          <w:rFonts w:ascii="Times New Roman" w:hAnsi="Times New Roman" w:cs="Times New Roman"/>
          <w:sz w:val="24"/>
          <w:szCs w:val="24"/>
        </w:rPr>
        <w:t>Domáci dop</w:t>
      </w:r>
      <w:r>
        <w:rPr>
          <w:rFonts w:ascii="Times New Roman" w:hAnsi="Times New Roman" w:cs="Times New Roman"/>
          <w:sz w:val="24"/>
          <w:szCs w:val="24"/>
        </w:rPr>
        <w:t xml:space="preserve">yt po mlieku a mliečnych výrobkoch meriame pomocou štatisticky nameranej spotreby v tonách za rok, pričom mliečne výrobky prepočítavame na spotrebu mlieka v tonách, čo predstavuje objem 863 812 ton. Hrubá domáca produkcia predstavuje objem </w:t>
      </w:r>
      <w:r w:rsidR="00A14BF6">
        <w:rPr>
          <w:rFonts w:ascii="Times New Roman" w:hAnsi="Times New Roman" w:cs="Times New Roman"/>
          <w:sz w:val="24"/>
          <w:szCs w:val="24"/>
        </w:rPr>
        <w:t xml:space="preserve">      928 315</w:t>
      </w:r>
      <w:r>
        <w:rPr>
          <w:rFonts w:ascii="Times New Roman" w:hAnsi="Times New Roman" w:cs="Times New Roman"/>
          <w:sz w:val="24"/>
          <w:szCs w:val="24"/>
        </w:rPr>
        <w:t xml:space="preserve"> ton</w:t>
      </w:r>
      <w:r w:rsidR="00C77E00">
        <w:rPr>
          <w:rFonts w:ascii="Times New Roman" w:hAnsi="Times New Roman" w:cs="Times New Roman"/>
          <w:sz w:val="24"/>
          <w:szCs w:val="24"/>
        </w:rPr>
        <w:t>, čo však zahŕňa aj produkciu na kŕmne účely</w:t>
      </w:r>
      <w:r>
        <w:rPr>
          <w:rFonts w:ascii="Times New Roman" w:hAnsi="Times New Roman" w:cs="Times New Roman"/>
          <w:sz w:val="24"/>
          <w:szCs w:val="24"/>
        </w:rPr>
        <w:t xml:space="preserve">. </w:t>
      </w:r>
      <w:r w:rsidR="00C77E00" w:rsidRPr="00C77E00">
        <w:rPr>
          <w:rFonts w:ascii="Times New Roman" w:hAnsi="Times New Roman" w:cs="Times New Roman"/>
          <w:sz w:val="24"/>
          <w:szCs w:val="24"/>
          <w:highlight w:val="yellow"/>
        </w:rPr>
        <w:t>Potravinárska produkcia v SR takto dosiahla 97 % domáceho dopytu</w:t>
      </w:r>
      <w:r w:rsidRPr="00C77E00">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FD770A">
        <w:rPr>
          <w:rFonts w:ascii="Times New Roman" w:hAnsi="Times New Roman" w:cs="Times New Roman"/>
          <w:sz w:val="24"/>
          <w:szCs w:val="24"/>
        </w:rPr>
        <w:t xml:space="preserve"> Je však potrebné uviesť, že súčasná produkčná výkonnosť sa dosahuje v podmienkach čiastočne regulovaného trhu, kde platia pridelené mliečne kvóty na úrovni EÚ. Tieto kvóty budú zrušené v roku 2015. Bez prijatia účinných opatrení na reguláciu trhu s mliekom v EÚ po roku 2015 bude súčasná úroveň produkcie mlieka a mliečnych výrobkov ohrozená a môže klesnúť až na dolnú hranicu požadovanej produkčnej výkonnosti, t.j. 80 %.</w:t>
      </w:r>
      <w:r w:rsidR="00DD4BF4">
        <w:rPr>
          <w:rFonts w:ascii="Times New Roman" w:hAnsi="Times New Roman" w:cs="Times New Roman"/>
          <w:sz w:val="24"/>
          <w:szCs w:val="24"/>
        </w:rPr>
        <w:t xml:space="preserve"> </w:t>
      </w:r>
      <w:r w:rsidR="00CC3FF0" w:rsidRPr="00CC3FF0">
        <w:rPr>
          <w:rFonts w:ascii="Times New Roman" w:hAnsi="Times New Roman" w:cs="Times New Roman"/>
          <w:sz w:val="24"/>
          <w:szCs w:val="24"/>
          <w:highlight w:val="yellow"/>
        </w:rPr>
        <w:t xml:space="preserve">Navyše, z hľadiska samotnej potravinárskej spotreby je nutné, v tejto komodite, vzhľadom na jej špecifický charakter v štruktúre spotreby obyvateľstva, hovoriť aj o odporúčanej dávke na obyvateľa. </w:t>
      </w:r>
      <w:r w:rsidR="00CC3FF0">
        <w:rPr>
          <w:rFonts w:ascii="Times New Roman" w:hAnsi="Times New Roman" w:cs="Times New Roman"/>
          <w:sz w:val="24"/>
          <w:szCs w:val="24"/>
          <w:highlight w:val="yellow"/>
        </w:rPr>
        <w:t xml:space="preserve">Súčasná spotreba mlieka a mliečnych výrobkov, ktorá tvorí hlavný parameter výpočtov miery sebestačnosti, zaostáva za odporúčanou dávkou o cca </w:t>
      </w:r>
      <w:r w:rsidR="0044663F">
        <w:rPr>
          <w:rFonts w:ascii="Times New Roman" w:hAnsi="Times New Roman" w:cs="Times New Roman"/>
          <w:sz w:val="24"/>
          <w:szCs w:val="24"/>
          <w:highlight w:val="yellow"/>
        </w:rPr>
        <w:t>60 kg</w:t>
      </w:r>
      <w:r w:rsidR="00CC3FF0">
        <w:rPr>
          <w:rFonts w:ascii="Times New Roman" w:hAnsi="Times New Roman" w:cs="Times New Roman"/>
          <w:sz w:val="24"/>
          <w:szCs w:val="24"/>
          <w:highlight w:val="yellow"/>
        </w:rPr>
        <w:t xml:space="preserve"> spotreby mlieka a mliečnych výrobkov na obyvateľa</w:t>
      </w:r>
      <w:r w:rsidR="0044663F">
        <w:rPr>
          <w:rFonts w:ascii="Times New Roman" w:hAnsi="Times New Roman" w:cs="Times New Roman"/>
          <w:sz w:val="24"/>
          <w:szCs w:val="24"/>
          <w:highlight w:val="yellow"/>
        </w:rPr>
        <w:t xml:space="preserve"> za rok</w:t>
      </w:r>
      <w:r w:rsidR="00CC3FF0">
        <w:rPr>
          <w:rFonts w:ascii="Times New Roman" w:hAnsi="Times New Roman" w:cs="Times New Roman"/>
          <w:sz w:val="24"/>
          <w:szCs w:val="24"/>
          <w:highlight w:val="yellow"/>
        </w:rPr>
        <w:t xml:space="preserve">. </w:t>
      </w:r>
      <w:r w:rsidR="00CC3FF0" w:rsidRPr="00CC3FF0">
        <w:rPr>
          <w:rFonts w:ascii="Times New Roman" w:hAnsi="Times New Roman" w:cs="Times New Roman"/>
          <w:sz w:val="24"/>
          <w:szCs w:val="24"/>
          <w:highlight w:val="yellow"/>
        </w:rPr>
        <w:t xml:space="preserve">V tomto ukazovateli </w:t>
      </w:r>
      <w:r w:rsidR="0044663F">
        <w:rPr>
          <w:rFonts w:ascii="Times New Roman" w:hAnsi="Times New Roman" w:cs="Times New Roman"/>
          <w:sz w:val="24"/>
          <w:szCs w:val="24"/>
          <w:highlight w:val="yellow"/>
        </w:rPr>
        <w:t xml:space="preserve">teda </w:t>
      </w:r>
      <w:r w:rsidR="00CC3FF0" w:rsidRPr="00CC3FF0">
        <w:rPr>
          <w:rFonts w:ascii="Times New Roman" w:hAnsi="Times New Roman" w:cs="Times New Roman"/>
          <w:sz w:val="24"/>
          <w:szCs w:val="24"/>
          <w:highlight w:val="yellow"/>
        </w:rPr>
        <w:t>vykazuje Slovenská republika značné rezervy, ktoré by bo</w:t>
      </w:r>
      <w:r w:rsidR="00CC3FF0" w:rsidRPr="0044663F">
        <w:rPr>
          <w:rFonts w:ascii="Times New Roman" w:hAnsi="Times New Roman" w:cs="Times New Roman"/>
          <w:sz w:val="24"/>
          <w:szCs w:val="24"/>
          <w:highlight w:val="yellow"/>
        </w:rPr>
        <w:t xml:space="preserve">lo účelné vykryť domácou produkciou a zvýšením ponuky mlieka a mliečnych výrobkov z domácich zdrojov.  </w:t>
      </w:r>
      <w:r w:rsidR="0044663F" w:rsidRPr="0044663F">
        <w:rPr>
          <w:rFonts w:ascii="Times New Roman" w:hAnsi="Times New Roman" w:cs="Times New Roman"/>
          <w:sz w:val="24"/>
          <w:szCs w:val="24"/>
          <w:highlight w:val="yellow"/>
        </w:rPr>
        <w:t>Zároveň je potrebné aktívne vplývať na výchovu obyvateľstva SR k zdravej výžive, v ktorej má spotreba mlieka a mliečnych výrobkov nezastupiteľné miesto.</w:t>
      </w:r>
      <w:r w:rsidR="00C71440">
        <w:rPr>
          <w:rFonts w:ascii="Times New Roman" w:hAnsi="Times New Roman" w:cs="Times New Roman"/>
          <w:sz w:val="24"/>
          <w:szCs w:val="24"/>
        </w:rPr>
        <w:t xml:space="preserve"> </w:t>
      </w:r>
      <w:r w:rsidR="00C71440" w:rsidRPr="00C71440">
        <w:rPr>
          <w:rFonts w:ascii="Times New Roman" w:hAnsi="Times New Roman" w:cs="Times New Roman"/>
          <w:sz w:val="24"/>
          <w:szCs w:val="24"/>
          <w:highlight w:val="yellow"/>
        </w:rPr>
        <w:t>Ak by sa mala dodržať odporúčaná spotreba mlieka je potrebné zvýšiť produkciu mlieka na úroveň 1 064 000 ton mlieka.</w:t>
      </w:r>
      <w:r w:rsidR="00C71440">
        <w:rPr>
          <w:rFonts w:ascii="Times New Roman" w:hAnsi="Times New Roman" w:cs="Times New Roman"/>
          <w:sz w:val="24"/>
          <w:szCs w:val="24"/>
        </w:rPr>
        <w:t xml:space="preserve"> </w:t>
      </w:r>
    </w:p>
    <w:p w:rsidR="003F21F1" w:rsidRDefault="003F21F1" w:rsidP="00126ADC">
      <w:pPr>
        <w:spacing w:after="0" w:line="240" w:lineRule="auto"/>
        <w:jc w:val="both"/>
        <w:rPr>
          <w:rFonts w:ascii="Times New Roman" w:hAnsi="Times New Roman" w:cs="Times New Roman"/>
          <w:sz w:val="24"/>
          <w:szCs w:val="24"/>
        </w:rPr>
      </w:pPr>
    </w:p>
    <w:p w:rsidR="00E4176C" w:rsidRDefault="00E4176C" w:rsidP="00126ADC">
      <w:pPr>
        <w:spacing w:after="0" w:line="240" w:lineRule="auto"/>
        <w:jc w:val="both"/>
        <w:rPr>
          <w:rFonts w:ascii="Times New Roman" w:hAnsi="Times New Roman" w:cs="Times New Roman"/>
          <w:sz w:val="24"/>
          <w:szCs w:val="24"/>
        </w:rPr>
      </w:pPr>
      <w:r w:rsidRPr="004E47F4">
        <w:rPr>
          <w:rFonts w:ascii="Times New Roman" w:hAnsi="Times New Roman" w:cs="Times New Roman"/>
          <w:sz w:val="24"/>
          <w:szCs w:val="24"/>
          <w:highlight w:val="yellow"/>
        </w:rPr>
        <w:t xml:space="preserve">V tomto smere by mal byť riešený aj posledný článok potravinovej vertikály, a to odbyt, kde je nevyhnutné pristupovať k dôslednému dodržiavaniu zákona o neprimeraných podmienkach v obchodných vzťahoch, ktorých predmetom sú potraviny a rozvinutím alternatívnych </w:t>
      </w:r>
      <w:r w:rsidR="004E47F4" w:rsidRPr="004E47F4">
        <w:rPr>
          <w:rFonts w:ascii="Times New Roman" w:hAnsi="Times New Roman" w:cs="Times New Roman"/>
          <w:sz w:val="24"/>
          <w:szCs w:val="24"/>
          <w:highlight w:val="yellow"/>
        </w:rPr>
        <w:t>foriem predaja, najmä rozvoj regionálnych farmárskych trhov.</w:t>
      </w:r>
    </w:p>
    <w:p w:rsidR="00E4176C" w:rsidRDefault="00E4176C" w:rsidP="00126ADC">
      <w:pPr>
        <w:spacing w:after="0" w:line="240" w:lineRule="auto"/>
        <w:jc w:val="both"/>
        <w:rPr>
          <w:rFonts w:ascii="Times New Roman" w:hAnsi="Times New Roman" w:cs="Times New Roman"/>
          <w:sz w:val="24"/>
          <w:szCs w:val="24"/>
        </w:rPr>
      </w:pPr>
    </w:p>
    <w:p w:rsidR="00761A1D" w:rsidRDefault="0027563B" w:rsidP="00126A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zohľadnení objemu vývozu a jeho štruktúry je však potrebné uviesť, že až 75,1 % vývozu tvorí tekuté mlieko, teda produkt s nízkou pridanou hodnotou</w:t>
      </w:r>
      <w:r w:rsidR="003F21F1">
        <w:rPr>
          <w:rFonts w:ascii="Times New Roman" w:hAnsi="Times New Roman" w:cs="Times New Roman"/>
          <w:sz w:val="24"/>
          <w:szCs w:val="24"/>
        </w:rPr>
        <w:t>, a len 24,9 % masla, syrov, tvarohov a</w:t>
      </w:r>
      <w:r w:rsidR="0027754B">
        <w:rPr>
          <w:rFonts w:ascii="Times New Roman" w:hAnsi="Times New Roman" w:cs="Times New Roman"/>
          <w:sz w:val="24"/>
          <w:szCs w:val="24"/>
        </w:rPr>
        <w:t> ostatných mliečnych</w:t>
      </w:r>
      <w:r w:rsidR="003F21F1">
        <w:rPr>
          <w:rFonts w:ascii="Times New Roman" w:hAnsi="Times New Roman" w:cs="Times New Roman"/>
          <w:sz w:val="24"/>
          <w:szCs w:val="24"/>
        </w:rPr>
        <w:t xml:space="preserve"> výrobkov</w:t>
      </w:r>
      <w:r>
        <w:rPr>
          <w:rFonts w:ascii="Times New Roman" w:hAnsi="Times New Roman" w:cs="Times New Roman"/>
          <w:sz w:val="24"/>
          <w:szCs w:val="24"/>
        </w:rPr>
        <w:t xml:space="preserve">. </w:t>
      </w:r>
      <w:r w:rsidR="003F21F1">
        <w:rPr>
          <w:rFonts w:ascii="Times New Roman" w:hAnsi="Times New Roman" w:cs="Times New Roman"/>
          <w:sz w:val="24"/>
          <w:szCs w:val="24"/>
        </w:rPr>
        <w:t>Podiel týchto výrobkov na celkovom dovoze je však až 47,7 %.</w:t>
      </w:r>
      <w:r w:rsidR="00393C0D">
        <w:rPr>
          <w:rFonts w:ascii="Times New Roman" w:hAnsi="Times New Roman" w:cs="Times New Roman"/>
          <w:sz w:val="24"/>
          <w:szCs w:val="24"/>
        </w:rPr>
        <w:t xml:space="preserve">Rozdiel medzi </w:t>
      </w:r>
      <w:r w:rsidR="005919D2">
        <w:rPr>
          <w:rFonts w:ascii="Times New Roman" w:hAnsi="Times New Roman" w:cs="Times New Roman"/>
          <w:sz w:val="24"/>
          <w:szCs w:val="24"/>
        </w:rPr>
        <w:t>objemom mlieka a mliečnych výrobkov, ktorý</w:t>
      </w:r>
      <w:r w:rsidR="00393C0D">
        <w:rPr>
          <w:rFonts w:ascii="Times New Roman" w:hAnsi="Times New Roman" w:cs="Times New Roman"/>
          <w:sz w:val="24"/>
          <w:szCs w:val="24"/>
        </w:rPr>
        <w:t xml:space="preserve"> na Slovensku ostáva a domácou spotrebou sa takto kryje dovozom v objeme až 587 833 ton, čo tvorí viac ako 68 % domácej spotreby. Slovenskí </w:t>
      </w:r>
      <w:r w:rsidR="005919D2">
        <w:rPr>
          <w:rFonts w:ascii="Times New Roman" w:hAnsi="Times New Roman" w:cs="Times New Roman"/>
          <w:sz w:val="24"/>
          <w:szCs w:val="24"/>
        </w:rPr>
        <w:t>spracovatelia</w:t>
      </w:r>
      <w:r w:rsidR="00393C0D">
        <w:rPr>
          <w:rFonts w:ascii="Times New Roman" w:hAnsi="Times New Roman" w:cs="Times New Roman"/>
          <w:sz w:val="24"/>
          <w:szCs w:val="24"/>
        </w:rPr>
        <w:t xml:space="preserve"> takto vyvážajú domácu produkciu, ktorú by mohli z 88 % realizovať na Slovensku. </w:t>
      </w:r>
    </w:p>
    <w:p w:rsidR="00D42324" w:rsidRPr="00D42324" w:rsidRDefault="0027754B" w:rsidP="00126A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Tab. č.</w:t>
      </w:r>
      <w:r w:rsidR="00BE29EE">
        <w:rPr>
          <w:rFonts w:ascii="Times New Roman" w:hAnsi="Times New Roman" w:cs="Times New Roman"/>
          <w:sz w:val="20"/>
          <w:szCs w:val="20"/>
        </w:rPr>
        <w:t>24</w:t>
      </w:r>
      <w:r w:rsidR="00D42324" w:rsidRPr="00A855A4">
        <w:rPr>
          <w:rFonts w:ascii="Times New Roman" w:hAnsi="Times New Roman" w:cs="Times New Roman"/>
          <w:sz w:val="20"/>
          <w:szCs w:val="20"/>
        </w:rPr>
        <w:t>:</w:t>
      </w:r>
      <w:r w:rsidR="00D42324" w:rsidRPr="00D42324">
        <w:rPr>
          <w:rFonts w:ascii="Times New Roman" w:hAnsi="Times New Roman" w:cs="Times New Roman"/>
          <w:sz w:val="20"/>
          <w:szCs w:val="20"/>
        </w:rPr>
        <w:t>Bilancia mlieka a mliečnych výrobkov v tonách (v prepočte na mlieko)</w:t>
      </w:r>
    </w:p>
    <w:tbl>
      <w:tblPr>
        <w:tblW w:w="9002" w:type="dxa"/>
        <w:tblInd w:w="55" w:type="dxa"/>
        <w:tblCellMar>
          <w:left w:w="70" w:type="dxa"/>
          <w:right w:w="70" w:type="dxa"/>
        </w:tblCellMar>
        <w:tblLook w:val="04A0" w:firstRow="1" w:lastRow="0" w:firstColumn="1" w:lastColumn="0" w:noHBand="0" w:noVBand="1"/>
      </w:tblPr>
      <w:tblGrid>
        <w:gridCol w:w="2850"/>
        <w:gridCol w:w="1058"/>
        <w:gridCol w:w="1058"/>
        <w:gridCol w:w="1058"/>
        <w:gridCol w:w="1058"/>
        <w:gridCol w:w="960"/>
        <w:gridCol w:w="960"/>
      </w:tblGrid>
      <w:tr w:rsidR="007728AF" w:rsidRPr="007728AF" w:rsidTr="007728AF">
        <w:trPr>
          <w:trHeight w:val="300"/>
        </w:trPr>
        <w:tc>
          <w:tcPr>
            <w:tcW w:w="2850" w:type="dxa"/>
            <w:tcBorders>
              <w:top w:val="single" w:sz="4" w:space="0" w:color="auto"/>
              <w:left w:val="nil"/>
              <w:bottom w:val="single" w:sz="4" w:space="0" w:color="auto"/>
              <w:right w:val="single" w:sz="4" w:space="0" w:color="auto"/>
            </w:tcBorders>
            <w:shd w:val="clear" w:color="000000" w:fill="D9D9D9"/>
            <w:noWrap/>
            <w:vAlign w:val="bottom"/>
            <w:hideMark/>
          </w:tcPr>
          <w:p w:rsidR="007728AF" w:rsidRPr="007728AF" w:rsidRDefault="007728AF" w:rsidP="007728AF">
            <w:pPr>
              <w:spacing w:after="0" w:line="240" w:lineRule="auto"/>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Ukazovateľ</w:t>
            </w:r>
          </w:p>
        </w:tc>
        <w:tc>
          <w:tcPr>
            <w:tcW w:w="1058" w:type="dxa"/>
            <w:tcBorders>
              <w:top w:val="single" w:sz="4" w:space="0" w:color="auto"/>
              <w:left w:val="nil"/>
              <w:bottom w:val="single" w:sz="4" w:space="0" w:color="auto"/>
              <w:right w:val="single" w:sz="4" w:space="0" w:color="auto"/>
            </w:tcBorders>
            <w:shd w:val="clear" w:color="000000" w:fill="D9D9D9"/>
            <w:noWrap/>
            <w:vAlign w:val="bottom"/>
            <w:hideMark/>
          </w:tcPr>
          <w:p w:rsidR="007728AF" w:rsidRPr="007728AF" w:rsidRDefault="007728AF" w:rsidP="007728AF">
            <w:pPr>
              <w:spacing w:after="0" w:line="240" w:lineRule="auto"/>
              <w:jc w:val="right"/>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2002</w:t>
            </w:r>
          </w:p>
        </w:tc>
        <w:tc>
          <w:tcPr>
            <w:tcW w:w="1058" w:type="dxa"/>
            <w:tcBorders>
              <w:top w:val="single" w:sz="4" w:space="0" w:color="auto"/>
              <w:left w:val="nil"/>
              <w:bottom w:val="single" w:sz="4" w:space="0" w:color="auto"/>
              <w:right w:val="nil"/>
            </w:tcBorders>
            <w:shd w:val="clear" w:color="000000" w:fill="D9D9D9"/>
            <w:noWrap/>
            <w:vAlign w:val="bottom"/>
            <w:hideMark/>
          </w:tcPr>
          <w:p w:rsidR="007728AF" w:rsidRPr="007728AF" w:rsidRDefault="007728AF" w:rsidP="007728AF">
            <w:pPr>
              <w:spacing w:after="0" w:line="240" w:lineRule="auto"/>
              <w:jc w:val="right"/>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2007</w:t>
            </w:r>
          </w:p>
        </w:tc>
        <w:tc>
          <w:tcPr>
            <w:tcW w:w="1058" w:type="dxa"/>
            <w:tcBorders>
              <w:top w:val="single" w:sz="4" w:space="0" w:color="auto"/>
              <w:left w:val="nil"/>
              <w:bottom w:val="single" w:sz="4" w:space="0" w:color="auto"/>
              <w:right w:val="nil"/>
            </w:tcBorders>
            <w:shd w:val="clear" w:color="000000" w:fill="D9D9D9"/>
            <w:noWrap/>
            <w:vAlign w:val="bottom"/>
            <w:hideMark/>
          </w:tcPr>
          <w:p w:rsidR="007728AF" w:rsidRPr="007728AF" w:rsidRDefault="007728AF" w:rsidP="007728AF">
            <w:pPr>
              <w:spacing w:after="0" w:line="240" w:lineRule="auto"/>
              <w:jc w:val="right"/>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2008</w:t>
            </w:r>
          </w:p>
        </w:tc>
        <w:tc>
          <w:tcPr>
            <w:tcW w:w="1058" w:type="dxa"/>
            <w:tcBorders>
              <w:top w:val="single" w:sz="4" w:space="0" w:color="auto"/>
              <w:left w:val="nil"/>
              <w:bottom w:val="single" w:sz="4" w:space="0" w:color="auto"/>
              <w:right w:val="nil"/>
            </w:tcBorders>
            <w:shd w:val="clear" w:color="000000" w:fill="D9D9D9"/>
            <w:noWrap/>
            <w:vAlign w:val="bottom"/>
            <w:hideMark/>
          </w:tcPr>
          <w:p w:rsidR="007728AF" w:rsidRPr="007728AF" w:rsidRDefault="007728AF" w:rsidP="007728AF">
            <w:pPr>
              <w:spacing w:after="0" w:line="240" w:lineRule="auto"/>
              <w:jc w:val="right"/>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2009</w:t>
            </w:r>
          </w:p>
        </w:tc>
        <w:tc>
          <w:tcPr>
            <w:tcW w:w="960" w:type="dxa"/>
            <w:tcBorders>
              <w:top w:val="single" w:sz="4" w:space="0" w:color="auto"/>
              <w:left w:val="nil"/>
              <w:bottom w:val="single" w:sz="4" w:space="0" w:color="auto"/>
              <w:right w:val="nil"/>
            </w:tcBorders>
            <w:shd w:val="clear" w:color="000000" w:fill="D9D9D9"/>
            <w:noWrap/>
            <w:vAlign w:val="bottom"/>
            <w:hideMark/>
          </w:tcPr>
          <w:p w:rsidR="007728AF" w:rsidRPr="007728AF" w:rsidRDefault="007728AF" w:rsidP="007728AF">
            <w:pPr>
              <w:spacing w:after="0" w:line="240" w:lineRule="auto"/>
              <w:jc w:val="right"/>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2010</w:t>
            </w:r>
          </w:p>
        </w:tc>
        <w:tc>
          <w:tcPr>
            <w:tcW w:w="960" w:type="dxa"/>
            <w:tcBorders>
              <w:top w:val="single" w:sz="4" w:space="0" w:color="auto"/>
              <w:left w:val="nil"/>
              <w:bottom w:val="single" w:sz="4" w:space="0" w:color="auto"/>
              <w:right w:val="nil"/>
            </w:tcBorders>
            <w:shd w:val="clear" w:color="000000" w:fill="D9D9D9"/>
            <w:noWrap/>
            <w:vAlign w:val="bottom"/>
            <w:hideMark/>
          </w:tcPr>
          <w:p w:rsidR="007728AF" w:rsidRPr="007728AF" w:rsidRDefault="007728AF" w:rsidP="007728AF">
            <w:pPr>
              <w:spacing w:after="0" w:line="240" w:lineRule="auto"/>
              <w:jc w:val="right"/>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2011</w:t>
            </w:r>
          </w:p>
        </w:tc>
      </w:tr>
      <w:tr w:rsidR="007728AF" w:rsidRPr="007728AF" w:rsidTr="007728AF">
        <w:trPr>
          <w:trHeight w:val="300"/>
        </w:trPr>
        <w:tc>
          <w:tcPr>
            <w:tcW w:w="2850" w:type="dxa"/>
            <w:tcBorders>
              <w:top w:val="nil"/>
              <w:left w:val="nil"/>
              <w:bottom w:val="single" w:sz="4" w:space="0" w:color="auto"/>
              <w:right w:val="single" w:sz="4" w:space="0" w:color="auto"/>
            </w:tcBorders>
            <w:shd w:val="clear" w:color="auto" w:fill="auto"/>
            <w:noWrap/>
            <w:vAlign w:val="bottom"/>
            <w:hideMark/>
          </w:tcPr>
          <w:p w:rsidR="007728AF" w:rsidRPr="007728AF" w:rsidRDefault="007728AF" w:rsidP="007728AF">
            <w:pPr>
              <w:spacing w:after="0" w:line="240" w:lineRule="auto"/>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Počiatočné zásoby</w:t>
            </w:r>
          </w:p>
        </w:tc>
        <w:tc>
          <w:tcPr>
            <w:tcW w:w="1058" w:type="dxa"/>
            <w:tcBorders>
              <w:top w:val="nil"/>
              <w:left w:val="nil"/>
              <w:bottom w:val="single" w:sz="4" w:space="0" w:color="auto"/>
              <w:right w:val="single" w:sz="4" w:space="0" w:color="auto"/>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21 115</w:t>
            </w:r>
          </w:p>
        </w:tc>
        <w:tc>
          <w:tcPr>
            <w:tcW w:w="1058" w:type="dxa"/>
            <w:tcBorders>
              <w:top w:val="nil"/>
              <w:left w:val="nil"/>
              <w:bottom w:val="single" w:sz="4" w:space="0" w:color="auto"/>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27 678</w:t>
            </w:r>
          </w:p>
        </w:tc>
        <w:tc>
          <w:tcPr>
            <w:tcW w:w="1058" w:type="dxa"/>
            <w:tcBorders>
              <w:top w:val="nil"/>
              <w:left w:val="nil"/>
              <w:bottom w:val="single" w:sz="4" w:space="0" w:color="auto"/>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32 714</w:t>
            </w:r>
          </w:p>
        </w:tc>
        <w:tc>
          <w:tcPr>
            <w:tcW w:w="1058" w:type="dxa"/>
            <w:tcBorders>
              <w:top w:val="nil"/>
              <w:left w:val="nil"/>
              <w:bottom w:val="single" w:sz="4" w:space="0" w:color="auto"/>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39 524</w:t>
            </w:r>
          </w:p>
        </w:tc>
        <w:tc>
          <w:tcPr>
            <w:tcW w:w="960" w:type="dxa"/>
            <w:tcBorders>
              <w:top w:val="nil"/>
              <w:left w:val="nil"/>
              <w:bottom w:val="single" w:sz="4" w:space="0" w:color="auto"/>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26 002</w:t>
            </w:r>
          </w:p>
        </w:tc>
        <w:tc>
          <w:tcPr>
            <w:tcW w:w="960" w:type="dxa"/>
            <w:tcBorders>
              <w:top w:val="nil"/>
              <w:left w:val="nil"/>
              <w:bottom w:val="single" w:sz="4" w:space="0" w:color="auto"/>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19 197</w:t>
            </w:r>
          </w:p>
        </w:tc>
      </w:tr>
      <w:tr w:rsidR="007728AF" w:rsidRPr="007728AF" w:rsidTr="007728AF">
        <w:trPr>
          <w:trHeight w:val="300"/>
        </w:trPr>
        <w:tc>
          <w:tcPr>
            <w:tcW w:w="2850" w:type="dxa"/>
            <w:tcBorders>
              <w:top w:val="nil"/>
              <w:left w:val="nil"/>
              <w:bottom w:val="nil"/>
              <w:right w:val="single" w:sz="4" w:space="0" w:color="auto"/>
            </w:tcBorders>
            <w:shd w:val="clear" w:color="auto" w:fill="auto"/>
            <w:noWrap/>
            <w:vAlign w:val="bottom"/>
            <w:hideMark/>
          </w:tcPr>
          <w:p w:rsidR="007728AF" w:rsidRPr="007728AF" w:rsidRDefault="00D42324" w:rsidP="007728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Hrubá domáca p</w:t>
            </w:r>
            <w:r w:rsidR="007728AF" w:rsidRPr="007728AF">
              <w:rPr>
                <w:rFonts w:ascii="Times New Roman" w:eastAsia="Times New Roman" w:hAnsi="Times New Roman" w:cs="Times New Roman"/>
                <w:color w:val="000000"/>
                <w:sz w:val="20"/>
                <w:szCs w:val="20"/>
              </w:rPr>
              <w:t>rodukcia</w:t>
            </w:r>
          </w:p>
        </w:tc>
        <w:tc>
          <w:tcPr>
            <w:tcW w:w="1058" w:type="dxa"/>
            <w:tcBorders>
              <w:top w:val="nil"/>
              <w:left w:val="nil"/>
              <w:bottom w:val="nil"/>
              <w:right w:val="single" w:sz="4" w:space="0" w:color="auto"/>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1 197 800</w:t>
            </w:r>
          </w:p>
        </w:tc>
        <w:tc>
          <w:tcPr>
            <w:tcW w:w="1058" w:type="dxa"/>
            <w:tcBorders>
              <w:top w:val="nil"/>
              <w:left w:val="nil"/>
              <w:bottom w:val="nil"/>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1 074 655</w:t>
            </w:r>
          </w:p>
        </w:tc>
        <w:tc>
          <w:tcPr>
            <w:tcW w:w="1058" w:type="dxa"/>
            <w:tcBorders>
              <w:top w:val="nil"/>
              <w:left w:val="nil"/>
              <w:bottom w:val="nil"/>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1 057 249</w:t>
            </w:r>
          </w:p>
        </w:tc>
        <w:tc>
          <w:tcPr>
            <w:tcW w:w="1058" w:type="dxa"/>
            <w:tcBorders>
              <w:top w:val="nil"/>
              <w:left w:val="nil"/>
              <w:bottom w:val="nil"/>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957 327</w:t>
            </w:r>
          </w:p>
        </w:tc>
        <w:tc>
          <w:tcPr>
            <w:tcW w:w="960" w:type="dxa"/>
            <w:tcBorders>
              <w:top w:val="nil"/>
              <w:left w:val="nil"/>
              <w:bottom w:val="nil"/>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917 977</w:t>
            </w:r>
          </w:p>
        </w:tc>
        <w:tc>
          <w:tcPr>
            <w:tcW w:w="960" w:type="dxa"/>
            <w:tcBorders>
              <w:top w:val="nil"/>
              <w:left w:val="nil"/>
              <w:bottom w:val="nil"/>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928 315</w:t>
            </w:r>
          </w:p>
        </w:tc>
      </w:tr>
      <w:tr w:rsidR="007728AF" w:rsidRPr="007728AF" w:rsidTr="007728AF">
        <w:trPr>
          <w:trHeight w:val="300"/>
        </w:trPr>
        <w:tc>
          <w:tcPr>
            <w:tcW w:w="2850" w:type="dxa"/>
            <w:tcBorders>
              <w:top w:val="nil"/>
              <w:left w:val="nil"/>
              <w:bottom w:val="single" w:sz="4" w:space="0" w:color="auto"/>
              <w:right w:val="single" w:sz="4" w:space="0" w:color="auto"/>
            </w:tcBorders>
            <w:shd w:val="clear" w:color="auto" w:fill="auto"/>
            <w:noWrap/>
            <w:vAlign w:val="bottom"/>
            <w:hideMark/>
          </w:tcPr>
          <w:p w:rsidR="007728AF" w:rsidRPr="007728AF" w:rsidRDefault="007728AF" w:rsidP="007728AF">
            <w:pPr>
              <w:spacing w:after="0" w:line="240" w:lineRule="auto"/>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Dovoz</w:t>
            </w:r>
          </w:p>
        </w:tc>
        <w:tc>
          <w:tcPr>
            <w:tcW w:w="1058" w:type="dxa"/>
            <w:tcBorders>
              <w:top w:val="nil"/>
              <w:left w:val="nil"/>
              <w:bottom w:val="single" w:sz="4" w:space="0" w:color="auto"/>
              <w:right w:val="single" w:sz="4" w:space="0" w:color="auto"/>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92 479</w:t>
            </w:r>
          </w:p>
        </w:tc>
        <w:tc>
          <w:tcPr>
            <w:tcW w:w="1058" w:type="dxa"/>
            <w:tcBorders>
              <w:top w:val="nil"/>
              <w:left w:val="nil"/>
              <w:bottom w:val="single" w:sz="4" w:space="0" w:color="auto"/>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412 757</w:t>
            </w:r>
          </w:p>
        </w:tc>
        <w:tc>
          <w:tcPr>
            <w:tcW w:w="1058" w:type="dxa"/>
            <w:tcBorders>
              <w:top w:val="nil"/>
              <w:left w:val="nil"/>
              <w:bottom w:val="single" w:sz="4" w:space="0" w:color="auto"/>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447 320</w:t>
            </w:r>
          </w:p>
        </w:tc>
        <w:tc>
          <w:tcPr>
            <w:tcW w:w="1058" w:type="dxa"/>
            <w:tcBorders>
              <w:top w:val="nil"/>
              <w:left w:val="nil"/>
              <w:bottom w:val="single" w:sz="4" w:space="0" w:color="auto"/>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455 773</w:t>
            </w:r>
          </w:p>
        </w:tc>
        <w:tc>
          <w:tcPr>
            <w:tcW w:w="960" w:type="dxa"/>
            <w:tcBorders>
              <w:top w:val="nil"/>
              <w:left w:val="nil"/>
              <w:bottom w:val="single" w:sz="4" w:space="0" w:color="auto"/>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615 503</w:t>
            </w:r>
          </w:p>
        </w:tc>
        <w:tc>
          <w:tcPr>
            <w:tcW w:w="960" w:type="dxa"/>
            <w:tcBorders>
              <w:top w:val="nil"/>
              <w:left w:val="nil"/>
              <w:bottom w:val="single" w:sz="4" w:space="0" w:color="auto"/>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587 833</w:t>
            </w:r>
          </w:p>
        </w:tc>
      </w:tr>
      <w:tr w:rsidR="007728AF" w:rsidRPr="007728AF" w:rsidTr="007728AF">
        <w:trPr>
          <w:trHeight w:val="300"/>
        </w:trPr>
        <w:tc>
          <w:tcPr>
            <w:tcW w:w="2850" w:type="dxa"/>
            <w:tcBorders>
              <w:top w:val="nil"/>
              <w:left w:val="nil"/>
              <w:bottom w:val="nil"/>
              <w:right w:val="single" w:sz="4" w:space="0" w:color="auto"/>
            </w:tcBorders>
            <w:shd w:val="clear" w:color="000000" w:fill="F2F2F2"/>
            <w:noWrap/>
            <w:vAlign w:val="bottom"/>
            <w:hideMark/>
          </w:tcPr>
          <w:p w:rsidR="007728AF" w:rsidRPr="007728AF" w:rsidRDefault="007728AF" w:rsidP="007728AF">
            <w:pPr>
              <w:spacing w:after="0" w:line="240" w:lineRule="auto"/>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Celková ponuka</w:t>
            </w:r>
          </w:p>
        </w:tc>
        <w:tc>
          <w:tcPr>
            <w:tcW w:w="1058" w:type="dxa"/>
            <w:tcBorders>
              <w:top w:val="nil"/>
              <w:left w:val="nil"/>
              <w:bottom w:val="nil"/>
              <w:right w:val="single" w:sz="4" w:space="0" w:color="auto"/>
            </w:tcBorders>
            <w:shd w:val="clear" w:color="000000" w:fill="F2F2F2"/>
            <w:noWrap/>
            <w:vAlign w:val="bottom"/>
            <w:hideMark/>
          </w:tcPr>
          <w:p w:rsidR="007728AF" w:rsidRPr="007728AF" w:rsidRDefault="007728AF" w:rsidP="007728AF">
            <w:pPr>
              <w:spacing w:after="0" w:line="240" w:lineRule="auto"/>
              <w:jc w:val="right"/>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1 148 233</w:t>
            </w:r>
          </w:p>
        </w:tc>
        <w:tc>
          <w:tcPr>
            <w:tcW w:w="1058" w:type="dxa"/>
            <w:tcBorders>
              <w:top w:val="nil"/>
              <w:left w:val="nil"/>
              <w:bottom w:val="nil"/>
              <w:right w:val="nil"/>
            </w:tcBorders>
            <w:shd w:val="clear" w:color="000000" w:fill="F2F2F2"/>
            <w:noWrap/>
            <w:vAlign w:val="bottom"/>
            <w:hideMark/>
          </w:tcPr>
          <w:p w:rsidR="007728AF" w:rsidRPr="007728AF" w:rsidRDefault="007728AF" w:rsidP="007728AF">
            <w:pPr>
              <w:spacing w:after="0" w:line="240" w:lineRule="auto"/>
              <w:jc w:val="right"/>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1 413 997</w:t>
            </w:r>
          </w:p>
        </w:tc>
        <w:tc>
          <w:tcPr>
            <w:tcW w:w="1058" w:type="dxa"/>
            <w:tcBorders>
              <w:top w:val="nil"/>
              <w:left w:val="nil"/>
              <w:bottom w:val="nil"/>
              <w:right w:val="nil"/>
            </w:tcBorders>
            <w:shd w:val="clear" w:color="000000" w:fill="F2F2F2"/>
            <w:noWrap/>
            <w:vAlign w:val="bottom"/>
            <w:hideMark/>
          </w:tcPr>
          <w:p w:rsidR="007728AF" w:rsidRPr="007728AF" w:rsidRDefault="007728AF" w:rsidP="007728AF">
            <w:pPr>
              <w:spacing w:after="0" w:line="240" w:lineRule="auto"/>
              <w:jc w:val="right"/>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1 435 027</w:t>
            </w:r>
          </w:p>
        </w:tc>
        <w:tc>
          <w:tcPr>
            <w:tcW w:w="1058" w:type="dxa"/>
            <w:tcBorders>
              <w:top w:val="nil"/>
              <w:left w:val="nil"/>
              <w:bottom w:val="nil"/>
              <w:right w:val="nil"/>
            </w:tcBorders>
            <w:shd w:val="clear" w:color="000000" w:fill="F2F2F2"/>
            <w:noWrap/>
            <w:vAlign w:val="bottom"/>
            <w:hideMark/>
          </w:tcPr>
          <w:p w:rsidR="007728AF" w:rsidRPr="007728AF" w:rsidRDefault="007728AF" w:rsidP="007728AF">
            <w:pPr>
              <w:spacing w:after="0" w:line="240" w:lineRule="auto"/>
              <w:jc w:val="right"/>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1 359 374</w:t>
            </w:r>
          </w:p>
        </w:tc>
        <w:tc>
          <w:tcPr>
            <w:tcW w:w="960" w:type="dxa"/>
            <w:tcBorders>
              <w:top w:val="nil"/>
              <w:left w:val="nil"/>
              <w:bottom w:val="nil"/>
              <w:right w:val="nil"/>
            </w:tcBorders>
            <w:shd w:val="clear" w:color="000000" w:fill="F2F2F2"/>
            <w:noWrap/>
            <w:vAlign w:val="bottom"/>
            <w:hideMark/>
          </w:tcPr>
          <w:p w:rsidR="007728AF" w:rsidRPr="007728AF" w:rsidRDefault="007728AF" w:rsidP="007728AF">
            <w:pPr>
              <w:spacing w:after="0" w:line="240" w:lineRule="auto"/>
              <w:jc w:val="right"/>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1 463 508</w:t>
            </w:r>
          </w:p>
        </w:tc>
        <w:tc>
          <w:tcPr>
            <w:tcW w:w="960" w:type="dxa"/>
            <w:tcBorders>
              <w:top w:val="nil"/>
              <w:left w:val="nil"/>
              <w:bottom w:val="nil"/>
              <w:right w:val="nil"/>
            </w:tcBorders>
            <w:shd w:val="clear" w:color="000000" w:fill="F2F2F2"/>
            <w:noWrap/>
            <w:vAlign w:val="bottom"/>
            <w:hideMark/>
          </w:tcPr>
          <w:p w:rsidR="007728AF" w:rsidRPr="007728AF" w:rsidRDefault="007728AF" w:rsidP="007728AF">
            <w:pPr>
              <w:spacing w:after="0" w:line="240" w:lineRule="auto"/>
              <w:jc w:val="right"/>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1 440 270</w:t>
            </w:r>
          </w:p>
        </w:tc>
      </w:tr>
      <w:tr w:rsidR="007728AF" w:rsidRPr="007728AF" w:rsidTr="007728AF">
        <w:trPr>
          <w:trHeight w:val="300"/>
        </w:trPr>
        <w:tc>
          <w:tcPr>
            <w:tcW w:w="2850" w:type="dxa"/>
            <w:tcBorders>
              <w:top w:val="nil"/>
              <w:left w:val="nil"/>
              <w:bottom w:val="nil"/>
              <w:right w:val="single" w:sz="4" w:space="0" w:color="auto"/>
            </w:tcBorders>
            <w:shd w:val="clear" w:color="auto" w:fill="auto"/>
            <w:noWrap/>
            <w:vAlign w:val="bottom"/>
            <w:hideMark/>
          </w:tcPr>
          <w:p w:rsidR="007728AF" w:rsidRPr="007728AF" w:rsidRDefault="007728AF" w:rsidP="007728AF">
            <w:pPr>
              <w:spacing w:after="0" w:line="240" w:lineRule="auto"/>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Vývoz</w:t>
            </w:r>
          </w:p>
        </w:tc>
        <w:tc>
          <w:tcPr>
            <w:tcW w:w="1058" w:type="dxa"/>
            <w:tcBorders>
              <w:top w:val="nil"/>
              <w:left w:val="nil"/>
              <w:bottom w:val="nil"/>
              <w:right w:val="single" w:sz="4" w:space="0" w:color="auto"/>
            </w:tcBorders>
            <w:shd w:val="clear" w:color="auto" w:fill="auto"/>
            <w:noWrap/>
            <w:vAlign w:val="bottom"/>
            <w:hideMark/>
          </w:tcPr>
          <w:p w:rsidR="007728AF" w:rsidRPr="007728AF" w:rsidRDefault="006B5EAD" w:rsidP="007728A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257 921</w:t>
            </w:r>
          </w:p>
        </w:tc>
        <w:tc>
          <w:tcPr>
            <w:tcW w:w="1058" w:type="dxa"/>
            <w:tcBorders>
              <w:top w:val="nil"/>
              <w:left w:val="nil"/>
              <w:bottom w:val="nil"/>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550 205</w:t>
            </w:r>
          </w:p>
        </w:tc>
        <w:tc>
          <w:tcPr>
            <w:tcW w:w="1058" w:type="dxa"/>
            <w:tcBorders>
              <w:top w:val="nil"/>
              <w:left w:val="nil"/>
              <w:bottom w:val="nil"/>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589 655</w:t>
            </w:r>
          </w:p>
        </w:tc>
        <w:tc>
          <w:tcPr>
            <w:tcW w:w="1058" w:type="dxa"/>
            <w:tcBorders>
              <w:top w:val="nil"/>
              <w:left w:val="nil"/>
              <w:bottom w:val="nil"/>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483 752</w:t>
            </w:r>
          </w:p>
        </w:tc>
        <w:tc>
          <w:tcPr>
            <w:tcW w:w="960" w:type="dxa"/>
            <w:tcBorders>
              <w:top w:val="nil"/>
              <w:left w:val="nil"/>
              <w:bottom w:val="nil"/>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546 610</w:t>
            </w:r>
          </w:p>
        </w:tc>
        <w:tc>
          <w:tcPr>
            <w:tcW w:w="960" w:type="dxa"/>
            <w:tcBorders>
              <w:top w:val="nil"/>
              <w:left w:val="nil"/>
              <w:bottom w:val="nil"/>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549 006</w:t>
            </w:r>
          </w:p>
        </w:tc>
      </w:tr>
      <w:tr w:rsidR="007728AF" w:rsidRPr="007728AF" w:rsidTr="007728AF">
        <w:trPr>
          <w:trHeight w:val="300"/>
        </w:trPr>
        <w:tc>
          <w:tcPr>
            <w:tcW w:w="2850" w:type="dxa"/>
            <w:tcBorders>
              <w:top w:val="nil"/>
              <w:left w:val="nil"/>
              <w:bottom w:val="nil"/>
              <w:right w:val="single" w:sz="4" w:space="0" w:color="auto"/>
            </w:tcBorders>
            <w:shd w:val="clear" w:color="auto" w:fill="auto"/>
            <w:noWrap/>
            <w:vAlign w:val="bottom"/>
            <w:hideMark/>
          </w:tcPr>
          <w:p w:rsidR="007728AF" w:rsidRPr="007728AF" w:rsidRDefault="007728AF" w:rsidP="007728AF">
            <w:pPr>
              <w:spacing w:after="0" w:line="240" w:lineRule="auto"/>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Domáca spotreba</w:t>
            </w:r>
          </w:p>
        </w:tc>
        <w:tc>
          <w:tcPr>
            <w:tcW w:w="1058" w:type="dxa"/>
            <w:tcBorders>
              <w:top w:val="nil"/>
              <w:left w:val="nil"/>
              <w:bottom w:val="nil"/>
              <w:right w:val="single" w:sz="4" w:space="0" w:color="auto"/>
            </w:tcBorders>
            <w:shd w:val="clear" w:color="auto" w:fill="auto"/>
            <w:noWrap/>
            <w:vAlign w:val="bottom"/>
            <w:hideMark/>
          </w:tcPr>
          <w:p w:rsidR="007728AF" w:rsidRPr="007728AF" w:rsidRDefault="006B5EAD" w:rsidP="007728A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853 818</w:t>
            </w:r>
          </w:p>
        </w:tc>
        <w:tc>
          <w:tcPr>
            <w:tcW w:w="1058" w:type="dxa"/>
            <w:tcBorders>
              <w:top w:val="nil"/>
              <w:left w:val="nil"/>
              <w:bottom w:val="nil"/>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831 078</w:t>
            </w:r>
          </w:p>
        </w:tc>
        <w:tc>
          <w:tcPr>
            <w:tcW w:w="1058" w:type="dxa"/>
            <w:tcBorders>
              <w:top w:val="nil"/>
              <w:left w:val="nil"/>
              <w:bottom w:val="nil"/>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805 847</w:t>
            </w:r>
          </w:p>
        </w:tc>
        <w:tc>
          <w:tcPr>
            <w:tcW w:w="1058" w:type="dxa"/>
            <w:tcBorders>
              <w:top w:val="nil"/>
              <w:left w:val="nil"/>
              <w:bottom w:val="nil"/>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849 620</w:t>
            </w:r>
          </w:p>
        </w:tc>
        <w:tc>
          <w:tcPr>
            <w:tcW w:w="960" w:type="dxa"/>
            <w:tcBorders>
              <w:top w:val="nil"/>
              <w:left w:val="nil"/>
              <w:bottom w:val="nil"/>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897 702</w:t>
            </w:r>
          </w:p>
        </w:tc>
        <w:tc>
          <w:tcPr>
            <w:tcW w:w="960" w:type="dxa"/>
            <w:tcBorders>
              <w:top w:val="nil"/>
              <w:left w:val="nil"/>
              <w:bottom w:val="nil"/>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863 812</w:t>
            </w:r>
          </w:p>
        </w:tc>
      </w:tr>
      <w:tr w:rsidR="007728AF" w:rsidRPr="007728AF" w:rsidTr="007728AF">
        <w:trPr>
          <w:trHeight w:val="300"/>
        </w:trPr>
        <w:tc>
          <w:tcPr>
            <w:tcW w:w="2850" w:type="dxa"/>
            <w:tcBorders>
              <w:top w:val="single" w:sz="4" w:space="0" w:color="auto"/>
              <w:left w:val="nil"/>
              <w:bottom w:val="nil"/>
              <w:right w:val="single" w:sz="4" w:space="0" w:color="auto"/>
            </w:tcBorders>
            <w:shd w:val="clear" w:color="000000" w:fill="F2F2F2"/>
            <w:noWrap/>
            <w:vAlign w:val="bottom"/>
            <w:hideMark/>
          </w:tcPr>
          <w:p w:rsidR="007728AF" w:rsidRPr="007728AF" w:rsidRDefault="007728AF" w:rsidP="007728AF">
            <w:pPr>
              <w:spacing w:after="0" w:line="240" w:lineRule="auto"/>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Celkové použitie</w:t>
            </w:r>
          </w:p>
        </w:tc>
        <w:tc>
          <w:tcPr>
            <w:tcW w:w="1058" w:type="dxa"/>
            <w:tcBorders>
              <w:top w:val="single" w:sz="4" w:space="0" w:color="auto"/>
              <w:left w:val="nil"/>
              <w:bottom w:val="nil"/>
              <w:right w:val="single" w:sz="4" w:space="0" w:color="auto"/>
            </w:tcBorders>
            <w:shd w:val="clear" w:color="000000" w:fill="F2F2F2"/>
            <w:noWrap/>
            <w:vAlign w:val="bottom"/>
            <w:hideMark/>
          </w:tcPr>
          <w:p w:rsidR="007728AF" w:rsidRPr="007728AF" w:rsidRDefault="007728AF" w:rsidP="007728AF">
            <w:pPr>
              <w:spacing w:after="0" w:line="240" w:lineRule="auto"/>
              <w:jc w:val="right"/>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1 111 739</w:t>
            </w:r>
          </w:p>
        </w:tc>
        <w:tc>
          <w:tcPr>
            <w:tcW w:w="1058" w:type="dxa"/>
            <w:tcBorders>
              <w:top w:val="single" w:sz="4" w:space="0" w:color="auto"/>
              <w:left w:val="nil"/>
              <w:bottom w:val="nil"/>
              <w:right w:val="nil"/>
            </w:tcBorders>
            <w:shd w:val="clear" w:color="000000" w:fill="F2F2F2"/>
            <w:noWrap/>
            <w:vAlign w:val="bottom"/>
            <w:hideMark/>
          </w:tcPr>
          <w:p w:rsidR="007728AF" w:rsidRPr="007728AF" w:rsidRDefault="007728AF" w:rsidP="007728AF">
            <w:pPr>
              <w:spacing w:after="0" w:line="240" w:lineRule="auto"/>
              <w:jc w:val="right"/>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1 381 283</w:t>
            </w:r>
          </w:p>
        </w:tc>
        <w:tc>
          <w:tcPr>
            <w:tcW w:w="1058" w:type="dxa"/>
            <w:tcBorders>
              <w:top w:val="single" w:sz="4" w:space="0" w:color="auto"/>
              <w:left w:val="nil"/>
              <w:bottom w:val="nil"/>
              <w:right w:val="nil"/>
            </w:tcBorders>
            <w:shd w:val="clear" w:color="000000" w:fill="F2F2F2"/>
            <w:noWrap/>
            <w:vAlign w:val="bottom"/>
            <w:hideMark/>
          </w:tcPr>
          <w:p w:rsidR="007728AF" w:rsidRPr="007728AF" w:rsidRDefault="007728AF" w:rsidP="007728AF">
            <w:pPr>
              <w:spacing w:after="0" w:line="240" w:lineRule="auto"/>
              <w:jc w:val="right"/>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1 395 502</w:t>
            </w:r>
          </w:p>
        </w:tc>
        <w:tc>
          <w:tcPr>
            <w:tcW w:w="1058" w:type="dxa"/>
            <w:tcBorders>
              <w:top w:val="single" w:sz="4" w:space="0" w:color="auto"/>
              <w:left w:val="nil"/>
              <w:bottom w:val="nil"/>
              <w:right w:val="nil"/>
            </w:tcBorders>
            <w:shd w:val="clear" w:color="000000" w:fill="F2F2F2"/>
            <w:noWrap/>
            <w:vAlign w:val="bottom"/>
            <w:hideMark/>
          </w:tcPr>
          <w:p w:rsidR="007728AF" w:rsidRPr="007728AF" w:rsidRDefault="007728AF" w:rsidP="007728AF">
            <w:pPr>
              <w:spacing w:after="0" w:line="240" w:lineRule="auto"/>
              <w:jc w:val="right"/>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1 333 372</w:t>
            </w:r>
          </w:p>
        </w:tc>
        <w:tc>
          <w:tcPr>
            <w:tcW w:w="960" w:type="dxa"/>
            <w:tcBorders>
              <w:top w:val="single" w:sz="4" w:space="0" w:color="auto"/>
              <w:left w:val="nil"/>
              <w:bottom w:val="nil"/>
              <w:right w:val="nil"/>
            </w:tcBorders>
            <w:shd w:val="clear" w:color="000000" w:fill="F2F2F2"/>
            <w:noWrap/>
            <w:vAlign w:val="bottom"/>
            <w:hideMark/>
          </w:tcPr>
          <w:p w:rsidR="007728AF" w:rsidRPr="007728AF" w:rsidRDefault="007728AF" w:rsidP="007728AF">
            <w:pPr>
              <w:spacing w:after="0" w:line="240" w:lineRule="auto"/>
              <w:jc w:val="right"/>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1 444 312</w:t>
            </w:r>
          </w:p>
        </w:tc>
        <w:tc>
          <w:tcPr>
            <w:tcW w:w="960" w:type="dxa"/>
            <w:tcBorders>
              <w:top w:val="single" w:sz="4" w:space="0" w:color="auto"/>
              <w:left w:val="nil"/>
              <w:bottom w:val="nil"/>
              <w:right w:val="nil"/>
            </w:tcBorders>
            <w:shd w:val="clear" w:color="000000" w:fill="F2F2F2"/>
            <w:noWrap/>
            <w:vAlign w:val="bottom"/>
            <w:hideMark/>
          </w:tcPr>
          <w:p w:rsidR="007728AF" w:rsidRPr="007728AF" w:rsidRDefault="007728AF" w:rsidP="007728AF">
            <w:pPr>
              <w:spacing w:after="0" w:line="240" w:lineRule="auto"/>
              <w:jc w:val="right"/>
              <w:rPr>
                <w:rFonts w:ascii="Times New Roman" w:eastAsia="Times New Roman" w:hAnsi="Times New Roman" w:cs="Times New Roman"/>
                <w:b/>
                <w:bCs/>
                <w:color w:val="000000"/>
                <w:sz w:val="20"/>
                <w:szCs w:val="20"/>
              </w:rPr>
            </w:pPr>
            <w:r w:rsidRPr="007728AF">
              <w:rPr>
                <w:rFonts w:ascii="Times New Roman" w:eastAsia="Times New Roman" w:hAnsi="Times New Roman" w:cs="Times New Roman"/>
                <w:b/>
                <w:bCs/>
                <w:color w:val="000000"/>
                <w:sz w:val="20"/>
                <w:szCs w:val="20"/>
              </w:rPr>
              <w:t>1 412 818</w:t>
            </w:r>
          </w:p>
        </w:tc>
      </w:tr>
      <w:tr w:rsidR="007728AF" w:rsidRPr="007728AF" w:rsidTr="007728AF">
        <w:trPr>
          <w:trHeight w:val="300"/>
        </w:trPr>
        <w:tc>
          <w:tcPr>
            <w:tcW w:w="2850" w:type="dxa"/>
            <w:tcBorders>
              <w:top w:val="nil"/>
              <w:left w:val="nil"/>
              <w:bottom w:val="single" w:sz="4" w:space="0" w:color="auto"/>
              <w:right w:val="single" w:sz="4" w:space="0" w:color="auto"/>
            </w:tcBorders>
            <w:shd w:val="clear" w:color="auto" w:fill="auto"/>
            <w:noWrap/>
            <w:vAlign w:val="bottom"/>
            <w:hideMark/>
          </w:tcPr>
          <w:p w:rsidR="007728AF" w:rsidRPr="007728AF" w:rsidRDefault="007728AF" w:rsidP="007728AF">
            <w:pPr>
              <w:spacing w:after="0" w:line="240" w:lineRule="auto"/>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Konečné zásoby</w:t>
            </w:r>
          </w:p>
        </w:tc>
        <w:tc>
          <w:tcPr>
            <w:tcW w:w="1058" w:type="dxa"/>
            <w:tcBorders>
              <w:top w:val="nil"/>
              <w:left w:val="nil"/>
              <w:bottom w:val="single" w:sz="4" w:space="0" w:color="auto"/>
              <w:right w:val="single" w:sz="4" w:space="0" w:color="auto"/>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36 494</w:t>
            </w:r>
          </w:p>
        </w:tc>
        <w:tc>
          <w:tcPr>
            <w:tcW w:w="1058" w:type="dxa"/>
            <w:tcBorders>
              <w:top w:val="nil"/>
              <w:left w:val="nil"/>
              <w:bottom w:val="single" w:sz="4" w:space="0" w:color="auto"/>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32 714</w:t>
            </w:r>
          </w:p>
        </w:tc>
        <w:tc>
          <w:tcPr>
            <w:tcW w:w="1058" w:type="dxa"/>
            <w:tcBorders>
              <w:top w:val="nil"/>
              <w:left w:val="nil"/>
              <w:bottom w:val="single" w:sz="4" w:space="0" w:color="auto"/>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39 524</w:t>
            </w:r>
          </w:p>
        </w:tc>
        <w:tc>
          <w:tcPr>
            <w:tcW w:w="1058" w:type="dxa"/>
            <w:tcBorders>
              <w:top w:val="nil"/>
              <w:left w:val="nil"/>
              <w:bottom w:val="single" w:sz="4" w:space="0" w:color="auto"/>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26 002</w:t>
            </w:r>
          </w:p>
        </w:tc>
        <w:tc>
          <w:tcPr>
            <w:tcW w:w="960" w:type="dxa"/>
            <w:tcBorders>
              <w:top w:val="nil"/>
              <w:left w:val="nil"/>
              <w:bottom w:val="single" w:sz="4" w:space="0" w:color="auto"/>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19 197</w:t>
            </w:r>
          </w:p>
        </w:tc>
        <w:tc>
          <w:tcPr>
            <w:tcW w:w="960" w:type="dxa"/>
            <w:tcBorders>
              <w:top w:val="nil"/>
              <w:left w:val="nil"/>
              <w:bottom w:val="single" w:sz="4" w:space="0" w:color="auto"/>
              <w:right w:val="nil"/>
            </w:tcBorders>
            <w:shd w:val="clear" w:color="auto" w:fill="auto"/>
            <w:noWrap/>
            <w:vAlign w:val="bottom"/>
            <w:hideMark/>
          </w:tcPr>
          <w:p w:rsidR="007728AF" w:rsidRPr="007728AF" w:rsidRDefault="007728AF" w:rsidP="007728AF">
            <w:pPr>
              <w:spacing w:after="0" w:line="240" w:lineRule="auto"/>
              <w:jc w:val="right"/>
              <w:rPr>
                <w:rFonts w:ascii="Times New Roman" w:eastAsia="Times New Roman" w:hAnsi="Times New Roman" w:cs="Times New Roman"/>
                <w:color w:val="000000"/>
                <w:sz w:val="20"/>
                <w:szCs w:val="20"/>
              </w:rPr>
            </w:pPr>
            <w:r w:rsidRPr="007728AF">
              <w:rPr>
                <w:rFonts w:ascii="Times New Roman" w:eastAsia="Times New Roman" w:hAnsi="Times New Roman" w:cs="Times New Roman"/>
                <w:color w:val="000000"/>
                <w:sz w:val="20"/>
                <w:szCs w:val="20"/>
              </w:rPr>
              <w:t>27 452</w:t>
            </w:r>
          </w:p>
        </w:tc>
      </w:tr>
    </w:tbl>
    <w:p w:rsidR="00D42324" w:rsidRPr="002D778F" w:rsidRDefault="00D42324" w:rsidP="00D42324">
      <w:pPr>
        <w:spacing w:after="0" w:line="240" w:lineRule="auto"/>
        <w:jc w:val="right"/>
        <w:rPr>
          <w:rFonts w:ascii="Times New Roman" w:hAnsi="Times New Roman" w:cs="Times New Roman"/>
          <w:sz w:val="20"/>
          <w:szCs w:val="20"/>
        </w:rPr>
      </w:pPr>
      <w:r w:rsidRPr="002D778F">
        <w:rPr>
          <w:rFonts w:ascii="Times New Roman" w:hAnsi="Times New Roman" w:cs="Times New Roman"/>
          <w:sz w:val="20"/>
          <w:szCs w:val="20"/>
        </w:rPr>
        <w:t>Zdroj: VÚEPP</w:t>
      </w:r>
    </w:p>
    <w:p w:rsidR="00126ADC" w:rsidRDefault="00126ADC" w:rsidP="00126ADC">
      <w:pPr>
        <w:spacing w:after="0" w:line="240" w:lineRule="auto"/>
        <w:jc w:val="both"/>
        <w:rPr>
          <w:rFonts w:ascii="Times New Roman" w:hAnsi="Times New Roman" w:cs="Times New Roman"/>
          <w:sz w:val="24"/>
          <w:szCs w:val="24"/>
        </w:rPr>
      </w:pPr>
    </w:p>
    <w:p w:rsidR="00126ADC" w:rsidRDefault="00A14BF6" w:rsidP="00126A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Vysoká miera </w:t>
      </w:r>
      <w:r w:rsidR="006B5EAD">
        <w:rPr>
          <w:rFonts w:ascii="Times New Roman" w:hAnsi="Times New Roman" w:cs="Times New Roman"/>
          <w:sz w:val="24"/>
          <w:szCs w:val="24"/>
        </w:rPr>
        <w:t>produkčnej výkonnosti</w:t>
      </w:r>
      <w:r>
        <w:rPr>
          <w:rFonts w:ascii="Times New Roman" w:hAnsi="Times New Roman" w:cs="Times New Roman"/>
          <w:sz w:val="24"/>
          <w:szCs w:val="24"/>
        </w:rPr>
        <w:t xml:space="preserve"> tejto komodity je v prvovýrobe dosahovaná aj napriek trvalému a dramatickému poklesu stavov dojníc a trvalému poklesu hrubej domácej produkcie mlieka a mliečnych výrobkov.</w:t>
      </w:r>
    </w:p>
    <w:p w:rsidR="003F21F1" w:rsidRDefault="003F21F1" w:rsidP="00126ADC">
      <w:pPr>
        <w:spacing w:after="0" w:line="240" w:lineRule="auto"/>
        <w:jc w:val="both"/>
        <w:rPr>
          <w:rFonts w:ascii="Times New Roman" w:hAnsi="Times New Roman" w:cs="Times New Roman"/>
          <w:sz w:val="20"/>
          <w:szCs w:val="20"/>
        </w:rPr>
      </w:pPr>
    </w:p>
    <w:p w:rsidR="00761A1D" w:rsidRDefault="0027754B" w:rsidP="00126ADC">
      <w:pPr>
        <w:spacing w:after="0" w:line="240" w:lineRule="auto"/>
        <w:jc w:val="both"/>
        <w:rPr>
          <w:rFonts w:ascii="Times New Roman" w:hAnsi="Times New Roman" w:cs="Times New Roman"/>
          <w:sz w:val="24"/>
          <w:szCs w:val="24"/>
        </w:rPr>
      </w:pPr>
      <w:r>
        <w:rPr>
          <w:rFonts w:ascii="Times New Roman" w:hAnsi="Times New Roman" w:cs="Times New Roman"/>
          <w:sz w:val="20"/>
          <w:szCs w:val="20"/>
        </w:rPr>
        <w:t>Graf č. 2</w:t>
      </w:r>
      <w:r w:rsidR="00C970F8">
        <w:rPr>
          <w:rFonts w:ascii="Times New Roman" w:hAnsi="Times New Roman" w:cs="Times New Roman"/>
          <w:sz w:val="20"/>
          <w:szCs w:val="20"/>
        </w:rPr>
        <w:t>7</w:t>
      </w:r>
      <w:r w:rsidR="00761A1D" w:rsidRPr="00C55549">
        <w:rPr>
          <w:rFonts w:ascii="Times New Roman" w:hAnsi="Times New Roman" w:cs="Times New Roman"/>
          <w:sz w:val="20"/>
          <w:szCs w:val="20"/>
        </w:rPr>
        <w:t>:</w:t>
      </w:r>
      <w:r w:rsidR="00BD3B11">
        <w:rPr>
          <w:rFonts w:ascii="Times New Roman" w:hAnsi="Times New Roman" w:cs="Times New Roman"/>
          <w:sz w:val="20"/>
          <w:szCs w:val="20"/>
        </w:rPr>
        <w:t xml:space="preserve"> Vývoj hrubej domácej produkcie mlieka a priemerného počtu dojníc</w:t>
      </w:r>
    </w:p>
    <w:p w:rsidR="00A14BF6" w:rsidRDefault="00761A1D" w:rsidP="00126ADC">
      <w:pPr>
        <w:spacing w:after="0" w:line="240" w:lineRule="auto"/>
        <w:jc w:val="both"/>
        <w:rPr>
          <w:rFonts w:ascii="Times New Roman" w:hAnsi="Times New Roman" w:cs="Times New Roman"/>
          <w:sz w:val="24"/>
          <w:szCs w:val="24"/>
        </w:rPr>
      </w:pPr>
      <w:r>
        <w:rPr>
          <w:noProof/>
        </w:rPr>
        <w:drawing>
          <wp:inline distT="0" distB="0" distL="0" distR="0" wp14:anchorId="4BC83004" wp14:editId="59E6E012">
            <wp:extent cx="5779008" cy="2772460"/>
            <wp:effectExtent l="0" t="0" r="0" b="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61A1D" w:rsidRPr="002D778F" w:rsidRDefault="00761A1D" w:rsidP="00761A1D">
      <w:pPr>
        <w:spacing w:after="0" w:line="240" w:lineRule="auto"/>
        <w:jc w:val="right"/>
        <w:rPr>
          <w:rFonts w:ascii="Times New Roman" w:hAnsi="Times New Roman" w:cs="Times New Roman"/>
          <w:sz w:val="20"/>
          <w:szCs w:val="20"/>
        </w:rPr>
      </w:pPr>
      <w:r w:rsidRPr="002D778F">
        <w:rPr>
          <w:rFonts w:ascii="Times New Roman" w:hAnsi="Times New Roman" w:cs="Times New Roman"/>
          <w:sz w:val="20"/>
          <w:szCs w:val="20"/>
        </w:rPr>
        <w:t>Zdroj: VÚEPP</w:t>
      </w:r>
    </w:p>
    <w:p w:rsidR="00761A1D" w:rsidRDefault="00761A1D" w:rsidP="00126ADC">
      <w:pPr>
        <w:spacing w:after="0" w:line="240" w:lineRule="auto"/>
        <w:jc w:val="both"/>
        <w:rPr>
          <w:rFonts w:ascii="Times New Roman" w:hAnsi="Times New Roman" w:cs="Times New Roman"/>
          <w:sz w:val="24"/>
          <w:szCs w:val="24"/>
        </w:rPr>
      </w:pPr>
    </w:p>
    <w:p w:rsidR="00761A1D" w:rsidRDefault="00393C0D" w:rsidP="00126A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hľadiska </w:t>
      </w:r>
      <w:r w:rsidR="005919D2">
        <w:rPr>
          <w:rFonts w:ascii="Times New Roman" w:hAnsi="Times New Roman" w:cs="Times New Roman"/>
          <w:sz w:val="24"/>
          <w:szCs w:val="24"/>
        </w:rPr>
        <w:t>požadovanej produkčnej výkonnosti</w:t>
      </w:r>
      <w:r>
        <w:rPr>
          <w:rFonts w:ascii="Times New Roman" w:hAnsi="Times New Roman" w:cs="Times New Roman"/>
          <w:sz w:val="24"/>
          <w:szCs w:val="24"/>
        </w:rPr>
        <w:t xml:space="preserve"> je možné reflektovať dva momenty. Prvým je vysoká miera nadprodukcie a druhým je bilancia zahraničného obchodu s mliekom a mliečnymi výrobkami.</w:t>
      </w:r>
    </w:p>
    <w:p w:rsidR="00DB49CD" w:rsidRDefault="00DB49CD" w:rsidP="00126ADC">
      <w:pPr>
        <w:spacing w:after="0" w:line="240" w:lineRule="auto"/>
        <w:jc w:val="both"/>
        <w:rPr>
          <w:rFonts w:ascii="Times New Roman" w:hAnsi="Times New Roman" w:cs="Times New Roman"/>
          <w:sz w:val="24"/>
          <w:szCs w:val="24"/>
        </w:rPr>
      </w:pPr>
    </w:p>
    <w:p w:rsidR="00547CD9" w:rsidRDefault="00393C0D" w:rsidP="00547C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Pokiaľ ide o kvantitatívnu stránku produkcie mlieka a mliečnych výrobkov, p</w:t>
      </w:r>
      <w:r w:rsidRPr="00126ADC">
        <w:rPr>
          <w:rFonts w:ascii="Times New Roman" w:hAnsi="Times New Roman" w:cs="Times New Roman"/>
          <w:sz w:val="24"/>
          <w:szCs w:val="24"/>
        </w:rPr>
        <w:t xml:space="preserve">očet dojníc mal v období  rokov 2008 - 2011 klesajúcu tendenciu. Uvedená nepriaznivá skutočnosť mala vplyv na zníženú produkciu mlieka za sledované obdobie. </w:t>
      </w:r>
      <w:r w:rsidR="00783F50">
        <w:rPr>
          <w:rFonts w:ascii="Times New Roman" w:hAnsi="Times New Roman" w:cs="Times New Roman"/>
          <w:sz w:val="24"/>
          <w:szCs w:val="24"/>
        </w:rPr>
        <w:t>Z kvalitatívneho hľadiska sa p</w:t>
      </w:r>
      <w:r>
        <w:rPr>
          <w:rFonts w:ascii="Times New Roman" w:hAnsi="Times New Roman" w:cs="Times New Roman"/>
          <w:sz w:val="24"/>
          <w:szCs w:val="24"/>
        </w:rPr>
        <w:t>rudký prepad stavov dojníc, najmä v porovnaní s rokom 2002 neprejavil v takom istom rozsahu na hrubej produkcii mlieka len vďaka rastu úžitkovosti</w:t>
      </w:r>
      <w:r w:rsidR="00A5172D">
        <w:rPr>
          <w:rFonts w:ascii="Times New Roman" w:hAnsi="Times New Roman" w:cs="Times New Roman"/>
          <w:sz w:val="24"/>
          <w:szCs w:val="24"/>
        </w:rPr>
        <w:t xml:space="preserve"> (viď graf č. 18)</w:t>
      </w:r>
      <w:r>
        <w:rPr>
          <w:rFonts w:ascii="Times New Roman" w:hAnsi="Times New Roman" w:cs="Times New Roman"/>
          <w:sz w:val="24"/>
          <w:szCs w:val="24"/>
        </w:rPr>
        <w:t>.</w:t>
      </w:r>
      <w:r w:rsidR="00547CD9">
        <w:rPr>
          <w:rFonts w:ascii="Times New Roman" w:hAnsi="Times New Roman" w:cs="Times New Roman"/>
          <w:sz w:val="24"/>
          <w:szCs w:val="24"/>
        </w:rPr>
        <w:t xml:space="preserve">Avšak aj napriek pozitívnemu vývoju kvalitatívnej stránky produkcie mlieka a mliečnych výrobkov je potrebné konštatovať, že táto nedosahuje priemerné európske parametre. </w:t>
      </w:r>
    </w:p>
    <w:p w:rsidR="00A5172D" w:rsidRDefault="00A5172D" w:rsidP="00393C0D">
      <w:pPr>
        <w:spacing w:after="0" w:line="240" w:lineRule="auto"/>
        <w:jc w:val="both"/>
        <w:rPr>
          <w:rFonts w:ascii="Times New Roman" w:hAnsi="Times New Roman" w:cs="Times New Roman"/>
          <w:sz w:val="24"/>
          <w:szCs w:val="24"/>
        </w:rPr>
      </w:pPr>
    </w:p>
    <w:p w:rsidR="00817EFC" w:rsidRDefault="00817EFC" w:rsidP="00393C0D">
      <w:pPr>
        <w:spacing w:after="0" w:line="240" w:lineRule="auto"/>
        <w:jc w:val="both"/>
        <w:rPr>
          <w:rFonts w:ascii="Times New Roman" w:hAnsi="Times New Roman" w:cs="Times New Roman"/>
          <w:sz w:val="24"/>
          <w:szCs w:val="24"/>
        </w:rPr>
      </w:pPr>
    </w:p>
    <w:p w:rsidR="00817EFC" w:rsidRDefault="00817EFC" w:rsidP="00393C0D">
      <w:pPr>
        <w:spacing w:after="0" w:line="240" w:lineRule="auto"/>
        <w:jc w:val="both"/>
        <w:rPr>
          <w:rFonts w:ascii="Times New Roman" w:hAnsi="Times New Roman" w:cs="Times New Roman"/>
          <w:sz w:val="24"/>
          <w:szCs w:val="24"/>
        </w:rPr>
      </w:pPr>
    </w:p>
    <w:p w:rsidR="00A5172D" w:rsidRDefault="0027754B" w:rsidP="00393C0D">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Graf č. 2</w:t>
      </w:r>
      <w:r w:rsidR="00C970F8">
        <w:rPr>
          <w:rFonts w:ascii="Times New Roman" w:hAnsi="Times New Roman" w:cs="Times New Roman"/>
          <w:sz w:val="20"/>
          <w:szCs w:val="20"/>
        </w:rPr>
        <w:t>8</w:t>
      </w:r>
      <w:r w:rsidR="00CB064E" w:rsidRPr="00C55549">
        <w:rPr>
          <w:rFonts w:ascii="Times New Roman" w:hAnsi="Times New Roman" w:cs="Times New Roman"/>
          <w:sz w:val="20"/>
          <w:szCs w:val="20"/>
        </w:rPr>
        <w:t>:</w:t>
      </w:r>
      <w:r w:rsidR="00BD3B11">
        <w:rPr>
          <w:rFonts w:ascii="Times New Roman" w:hAnsi="Times New Roman" w:cs="Times New Roman"/>
          <w:sz w:val="20"/>
          <w:szCs w:val="20"/>
        </w:rPr>
        <w:t xml:space="preserve"> Vývoj úžitkovosti dojníc a priemerného počtu dojníc</w:t>
      </w:r>
    </w:p>
    <w:p w:rsidR="00A5172D" w:rsidRDefault="00CB064E" w:rsidP="00393C0D">
      <w:pPr>
        <w:spacing w:after="0" w:line="240" w:lineRule="auto"/>
        <w:jc w:val="both"/>
        <w:rPr>
          <w:rFonts w:ascii="Times New Roman" w:hAnsi="Times New Roman" w:cs="Times New Roman"/>
          <w:sz w:val="24"/>
          <w:szCs w:val="24"/>
        </w:rPr>
      </w:pPr>
      <w:r>
        <w:rPr>
          <w:noProof/>
        </w:rPr>
        <w:drawing>
          <wp:inline distT="0" distB="0" distL="0" distR="0" wp14:anchorId="092EEB7C" wp14:editId="680C9876">
            <wp:extent cx="5771692" cy="3079699"/>
            <wp:effectExtent l="0" t="0" r="0"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5172D" w:rsidRPr="00FD770A" w:rsidRDefault="00946D64" w:rsidP="00FD770A">
      <w:pPr>
        <w:spacing w:after="0" w:line="240" w:lineRule="auto"/>
        <w:jc w:val="right"/>
        <w:rPr>
          <w:rFonts w:ascii="Times New Roman" w:hAnsi="Times New Roman" w:cs="Times New Roman"/>
          <w:sz w:val="20"/>
          <w:szCs w:val="20"/>
        </w:rPr>
      </w:pPr>
      <w:r w:rsidRPr="002D778F">
        <w:rPr>
          <w:rFonts w:ascii="Times New Roman" w:hAnsi="Times New Roman" w:cs="Times New Roman"/>
          <w:sz w:val="20"/>
          <w:szCs w:val="20"/>
        </w:rPr>
        <w:t>Zdroj: VÚEPP</w:t>
      </w:r>
    </w:p>
    <w:p w:rsidR="00817EFC" w:rsidRDefault="00817EFC" w:rsidP="00547CD9">
      <w:pPr>
        <w:spacing w:after="0" w:line="240" w:lineRule="auto"/>
        <w:jc w:val="both"/>
        <w:rPr>
          <w:rFonts w:ascii="Times New Roman" w:hAnsi="Times New Roman" w:cs="Times New Roman"/>
          <w:sz w:val="24"/>
          <w:szCs w:val="24"/>
        </w:rPr>
      </w:pPr>
    </w:p>
    <w:p w:rsidR="00803715" w:rsidRDefault="00803715" w:rsidP="00547CD9">
      <w:pPr>
        <w:spacing w:after="0" w:line="240" w:lineRule="auto"/>
        <w:jc w:val="both"/>
        <w:rPr>
          <w:rFonts w:ascii="Times New Roman" w:hAnsi="Times New Roman" w:cs="Times New Roman"/>
          <w:sz w:val="24"/>
          <w:szCs w:val="24"/>
        </w:rPr>
      </w:pPr>
      <w:r w:rsidRPr="00803715">
        <w:rPr>
          <w:rFonts w:ascii="Times New Roman" w:hAnsi="Times New Roman" w:cs="Times New Roman"/>
          <w:sz w:val="24"/>
          <w:szCs w:val="24"/>
        </w:rPr>
        <w:t>V priebehu roku 2011 spracovatelia nakúpili spolu 811,5 tis. t mlieka</w:t>
      </w:r>
      <w:r>
        <w:rPr>
          <w:rFonts w:ascii="Times New Roman" w:hAnsi="Times New Roman" w:cs="Times New Roman"/>
          <w:sz w:val="24"/>
          <w:szCs w:val="24"/>
        </w:rPr>
        <w:t xml:space="preserve">. </w:t>
      </w:r>
      <w:r w:rsidR="00651663" w:rsidRPr="00803715">
        <w:rPr>
          <w:rFonts w:ascii="Times New Roman" w:hAnsi="Times New Roman" w:cs="Times New Roman"/>
          <w:sz w:val="24"/>
          <w:szCs w:val="24"/>
        </w:rPr>
        <w:t xml:space="preserve">Súčasná produkčná výkonnosť spracovateľského priemyslu takto predstavuje </w:t>
      </w:r>
      <w:r w:rsidR="00651663">
        <w:rPr>
          <w:rFonts w:ascii="Times New Roman" w:hAnsi="Times New Roman" w:cs="Times New Roman"/>
          <w:sz w:val="24"/>
          <w:szCs w:val="24"/>
        </w:rPr>
        <w:t>93,94</w:t>
      </w:r>
      <w:r w:rsidR="00651663" w:rsidRPr="00803715">
        <w:rPr>
          <w:rFonts w:ascii="Times New Roman" w:hAnsi="Times New Roman" w:cs="Times New Roman"/>
          <w:sz w:val="24"/>
          <w:szCs w:val="24"/>
        </w:rPr>
        <w:t xml:space="preserve"> % súčasnej spotreby </w:t>
      </w:r>
      <w:r w:rsidR="00651663">
        <w:rPr>
          <w:rFonts w:ascii="Times New Roman" w:hAnsi="Times New Roman" w:cs="Times New Roman"/>
          <w:sz w:val="24"/>
          <w:szCs w:val="24"/>
        </w:rPr>
        <w:t>mlieka a mliečnych výrobkov</w:t>
      </w:r>
      <w:r w:rsidR="00651663" w:rsidRPr="00803715">
        <w:rPr>
          <w:rFonts w:ascii="Times New Roman" w:hAnsi="Times New Roman" w:cs="Times New Roman"/>
          <w:sz w:val="24"/>
          <w:szCs w:val="24"/>
        </w:rPr>
        <w:t xml:space="preserve"> na Slovensku.</w:t>
      </w:r>
      <w:r w:rsidR="00651663">
        <w:rPr>
          <w:rFonts w:ascii="Times New Roman" w:hAnsi="Times New Roman" w:cs="Times New Roman"/>
          <w:sz w:val="24"/>
          <w:szCs w:val="24"/>
        </w:rPr>
        <w:t xml:space="preserve"> Môžeme teda konštatovať, že súčasná produkčná výkonnosť spracovateľského priemyslu je postačujúca. Úzkym miestom v tejto časti potravinovej vertikály je nízka miera </w:t>
      </w:r>
      <w:r w:rsidR="005919D2">
        <w:rPr>
          <w:rFonts w:ascii="Times New Roman" w:hAnsi="Times New Roman" w:cs="Times New Roman"/>
          <w:sz w:val="24"/>
          <w:szCs w:val="24"/>
        </w:rPr>
        <w:t>umiestnenia produktov domáceho spracovateľského priemyslu na domácom trhu</w:t>
      </w:r>
      <w:r w:rsidR="00651663">
        <w:rPr>
          <w:rFonts w:ascii="Times New Roman" w:hAnsi="Times New Roman" w:cs="Times New Roman"/>
          <w:sz w:val="24"/>
          <w:szCs w:val="24"/>
        </w:rPr>
        <w:t xml:space="preserve">. </w:t>
      </w:r>
    </w:p>
    <w:p w:rsidR="003703A4" w:rsidRDefault="003703A4" w:rsidP="00547CD9">
      <w:pPr>
        <w:spacing w:after="0" w:line="240" w:lineRule="auto"/>
        <w:jc w:val="both"/>
        <w:rPr>
          <w:rFonts w:ascii="Times New Roman" w:hAnsi="Times New Roman" w:cs="Times New Roman"/>
          <w:sz w:val="24"/>
          <w:szCs w:val="24"/>
        </w:rPr>
      </w:pPr>
    </w:p>
    <w:p w:rsidR="00CA347E" w:rsidRPr="00CA347E" w:rsidRDefault="00CA347E" w:rsidP="00547C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w:t>
      </w:r>
      <w:r w:rsidR="0027754B">
        <w:rPr>
          <w:rFonts w:ascii="Times New Roman" w:hAnsi="Times New Roman" w:cs="Times New Roman"/>
          <w:sz w:val="20"/>
          <w:szCs w:val="20"/>
        </w:rPr>
        <w:t>af č. 2</w:t>
      </w:r>
      <w:r w:rsidR="00C970F8">
        <w:rPr>
          <w:rFonts w:ascii="Times New Roman" w:hAnsi="Times New Roman" w:cs="Times New Roman"/>
          <w:sz w:val="20"/>
          <w:szCs w:val="20"/>
        </w:rPr>
        <w:t>9</w:t>
      </w:r>
      <w:r w:rsidRPr="00C55549">
        <w:rPr>
          <w:rFonts w:ascii="Times New Roman" w:hAnsi="Times New Roman" w:cs="Times New Roman"/>
          <w:sz w:val="20"/>
          <w:szCs w:val="20"/>
        </w:rPr>
        <w:t>:</w:t>
      </w:r>
      <w:r>
        <w:rPr>
          <w:rFonts w:ascii="Times New Roman" w:hAnsi="Times New Roman" w:cs="Times New Roman"/>
          <w:sz w:val="20"/>
          <w:szCs w:val="20"/>
        </w:rPr>
        <w:t xml:space="preserve"> Vývoj cien na jednotlivých stupňoch potravinovej vertikály (cena v EUR/1 kg resp. l</w:t>
      </w:r>
      <w:r w:rsidRPr="0000713C">
        <w:rPr>
          <w:rFonts w:ascii="Times New Roman" w:hAnsi="Times New Roman" w:cs="Times New Roman"/>
          <w:sz w:val="20"/>
          <w:szCs w:val="20"/>
        </w:rPr>
        <w:t xml:space="preserve"> bez DPH</w:t>
      </w:r>
      <w:r>
        <w:rPr>
          <w:rFonts w:ascii="Times New Roman" w:hAnsi="Times New Roman" w:cs="Times New Roman"/>
          <w:sz w:val="20"/>
          <w:szCs w:val="20"/>
        </w:rPr>
        <w:t>)</w:t>
      </w:r>
    </w:p>
    <w:p w:rsidR="003703A4" w:rsidRDefault="003703A4" w:rsidP="00547CD9">
      <w:pPr>
        <w:spacing w:after="0" w:line="240" w:lineRule="auto"/>
        <w:jc w:val="both"/>
        <w:rPr>
          <w:rFonts w:ascii="Times New Roman" w:hAnsi="Times New Roman" w:cs="Times New Roman"/>
          <w:sz w:val="24"/>
          <w:szCs w:val="24"/>
        </w:rPr>
      </w:pPr>
      <w:r>
        <w:rPr>
          <w:noProof/>
        </w:rPr>
        <w:drawing>
          <wp:inline distT="0" distB="0" distL="0" distR="0" wp14:anchorId="4641CB59" wp14:editId="6522DF0F">
            <wp:extent cx="5771692" cy="2523744"/>
            <wp:effectExtent l="0" t="0" r="0" b="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A347E" w:rsidRPr="002D778F" w:rsidRDefault="00CA347E" w:rsidP="00CA347E">
      <w:pPr>
        <w:spacing w:after="0" w:line="240" w:lineRule="auto"/>
        <w:jc w:val="right"/>
        <w:rPr>
          <w:rFonts w:ascii="Times New Roman" w:hAnsi="Times New Roman" w:cs="Times New Roman"/>
          <w:sz w:val="20"/>
          <w:szCs w:val="20"/>
        </w:rPr>
      </w:pPr>
      <w:r w:rsidRPr="002D778F">
        <w:rPr>
          <w:rFonts w:ascii="Times New Roman" w:hAnsi="Times New Roman" w:cs="Times New Roman"/>
          <w:sz w:val="20"/>
          <w:szCs w:val="20"/>
        </w:rPr>
        <w:t>Zdroj: VÚEPP</w:t>
      </w:r>
    </w:p>
    <w:p w:rsidR="00803715" w:rsidRDefault="00803715" w:rsidP="00547CD9">
      <w:pPr>
        <w:spacing w:after="0" w:line="240" w:lineRule="auto"/>
        <w:jc w:val="both"/>
        <w:rPr>
          <w:rFonts w:ascii="Times New Roman" w:hAnsi="Times New Roman" w:cs="Times New Roman"/>
          <w:sz w:val="24"/>
          <w:szCs w:val="24"/>
        </w:rPr>
      </w:pPr>
    </w:p>
    <w:p w:rsidR="00611841" w:rsidRDefault="00CA347E" w:rsidP="006118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základe analýzy vývoja cien v rámci potravinovej vertikály je zrejmé, že príčina nízkej miery </w:t>
      </w:r>
      <w:r w:rsidR="005919D2">
        <w:rPr>
          <w:rFonts w:ascii="Times New Roman" w:hAnsi="Times New Roman" w:cs="Times New Roman"/>
          <w:sz w:val="24"/>
          <w:szCs w:val="24"/>
        </w:rPr>
        <w:t>umiestnenia produktov domáceho spracovateľského priemyslu na domácom trhu</w:t>
      </w:r>
      <w:r>
        <w:rPr>
          <w:rFonts w:ascii="Times New Roman" w:hAnsi="Times New Roman" w:cs="Times New Roman"/>
          <w:sz w:val="24"/>
          <w:szCs w:val="24"/>
        </w:rPr>
        <w:t xml:space="preserve"> tkvie v nízkej nákupnej cene</w:t>
      </w:r>
      <w:r w:rsidRPr="00CA347E">
        <w:rPr>
          <w:rFonts w:ascii="Times New Roman" w:hAnsi="Times New Roman" w:cs="Times New Roman"/>
          <w:sz w:val="24"/>
          <w:szCs w:val="24"/>
        </w:rPr>
        <w:t xml:space="preserve"> surového kravského mlieka</w:t>
      </w:r>
      <w:r w:rsidR="008F51FB">
        <w:rPr>
          <w:rFonts w:ascii="Times New Roman" w:hAnsi="Times New Roman" w:cs="Times New Roman"/>
          <w:sz w:val="24"/>
          <w:szCs w:val="24"/>
        </w:rPr>
        <w:t xml:space="preserve"> a nízkej odbytovej cene spracovateľov, ktoré</w:t>
      </w:r>
      <w:r>
        <w:rPr>
          <w:rFonts w:ascii="Times New Roman" w:hAnsi="Times New Roman" w:cs="Times New Roman"/>
          <w:sz w:val="24"/>
          <w:szCs w:val="24"/>
        </w:rPr>
        <w:t>, po radikáln</w:t>
      </w:r>
      <w:r w:rsidR="008F51FB">
        <w:rPr>
          <w:rFonts w:ascii="Times New Roman" w:hAnsi="Times New Roman" w:cs="Times New Roman"/>
          <w:sz w:val="24"/>
          <w:szCs w:val="24"/>
        </w:rPr>
        <w:t xml:space="preserve">om poklese v roku 2009, </w:t>
      </w:r>
      <w:r w:rsidR="0092070F">
        <w:rPr>
          <w:rFonts w:ascii="Times New Roman" w:hAnsi="Times New Roman" w:cs="Times New Roman"/>
          <w:sz w:val="24"/>
          <w:szCs w:val="24"/>
        </w:rPr>
        <w:t>stále ne</w:t>
      </w:r>
      <w:r w:rsidR="008F51FB">
        <w:rPr>
          <w:rFonts w:ascii="Times New Roman" w:hAnsi="Times New Roman" w:cs="Times New Roman"/>
          <w:sz w:val="24"/>
          <w:szCs w:val="24"/>
        </w:rPr>
        <w:t>dosiahli</w:t>
      </w:r>
      <w:r>
        <w:rPr>
          <w:rFonts w:ascii="Times New Roman" w:hAnsi="Times New Roman" w:cs="Times New Roman"/>
          <w:sz w:val="24"/>
          <w:szCs w:val="24"/>
        </w:rPr>
        <w:t xml:space="preserve"> predkrízové úrovne.</w:t>
      </w:r>
      <w:r w:rsidR="004D6C7B">
        <w:rPr>
          <w:rFonts w:ascii="Times New Roman" w:hAnsi="Times New Roman" w:cs="Times New Roman"/>
          <w:sz w:val="24"/>
          <w:szCs w:val="24"/>
        </w:rPr>
        <w:t xml:space="preserve"> </w:t>
      </w:r>
      <w:r w:rsidR="0092070F">
        <w:rPr>
          <w:rFonts w:ascii="Times New Roman" w:hAnsi="Times New Roman" w:cs="Times New Roman"/>
          <w:sz w:val="24"/>
          <w:szCs w:val="24"/>
        </w:rPr>
        <w:t>J</w:t>
      </w:r>
      <w:r w:rsidR="00611841">
        <w:rPr>
          <w:rFonts w:ascii="Times New Roman" w:hAnsi="Times New Roman" w:cs="Times New Roman"/>
          <w:sz w:val="24"/>
          <w:szCs w:val="24"/>
        </w:rPr>
        <w:t xml:space="preserve">e potrebné </w:t>
      </w:r>
      <w:r w:rsidR="0092070F">
        <w:rPr>
          <w:rFonts w:ascii="Times New Roman" w:hAnsi="Times New Roman" w:cs="Times New Roman"/>
          <w:sz w:val="24"/>
          <w:szCs w:val="24"/>
        </w:rPr>
        <w:t xml:space="preserve">preto </w:t>
      </w:r>
      <w:r w:rsidR="00611841">
        <w:rPr>
          <w:rFonts w:ascii="Times New Roman" w:hAnsi="Times New Roman" w:cs="Times New Roman"/>
          <w:sz w:val="24"/>
          <w:szCs w:val="24"/>
        </w:rPr>
        <w:t xml:space="preserve">konštatovať, že </w:t>
      </w:r>
      <w:r w:rsidR="0092070F">
        <w:rPr>
          <w:rFonts w:ascii="Times New Roman" w:hAnsi="Times New Roman" w:cs="Times New Roman"/>
          <w:sz w:val="24"/>
          <w:szCs w:val="24"/>
        </w:rPr>
        <w:t xml:space="preserve">nielen ceny prvovýrobcov, ale aj ceny spracovateľov </w:t>
      </w:r>
      <w:r w:rsidR="00611841">
        <w:rPr>
          <w:rFonts w:ascii="Times New Roman" w:hAnsi="Times New Roman" w:cs="Times New Roman"/>
          <w:sz w:val="24"/>
          <w:szCs w:val="24"/>
        </w:rPr>
        <w:t xml:space="preserve">v roku 2011 </w:t>
      </w:r>
      <w:r w:rsidR="00611841">
        <w:rPr>
          <w:rFonts w:ascii="Times New Roman" w:hAnsi="Times New Roman" w:cs="Times New Roman"/>
          <w:sz w:val="24"/>
          <w:szCs w:val="24"/>
        </w:rPr>
        <w:lastRenderedPageBreak/>
        <w:t xml:space="preserve">nepokrývali ani vlastné náklady na </w:t>
      </w:r>
      <w:r w:rsidR="0092070F">
        <w:rPr>
          <w:rFonts w:ascii="Times New Roman" w:hAnsi="Times New Roman" w:cs="Times New Roman"/>
          <w:sz w:val="24"/>
          <w:szCs w:val="24"/>
        </w:rPr>
        <w:t xml:space="preserve">hrubú prvovýrobnú produkciu </w:t>
      </w:r>
      <w:r w:rsidR="00611841">
        <w:rPr>
          <w:rFonts w:ascii="Times New Roman" w:hAnsi="Times New Roman" w:cs="Times New Roman"/>
          <w:sz w:val="24"/>
          <w:szCs w:val="24"/>
        </w:rPr>
        <w:t xml:space="preserve">1 l mlieka, vypočítané pomocou vyčíslenia jednotlivých kalkulačných položiek vlastných nákladov na jednotku produkcie. Takto vypočítané vlastné náklady na 1 l mlieka </w:t>
      </w:r>
      <w:r w:rsidR="003E1DE4">
        <w:rPr>
          <w:rFonts w:ascii="Times New Roman" w:hAnsi="Times New Roman" w:cs="Times New Roman"/>
          <w:sz w:val="24"/>
          <w:szCs w:val="24"/>
        </w:rPr>
        <w:t>dosahovali v roku 2011 výšku 0,3</w:t>
      </w:r>
      <w:r w:rsidR="00611841">
        <w:rPr>
          <w:rFonts w:ascii="Times New Roman" w:hAnsi="Times New Roman" w:cs="Times New Roman"/>
          <w:sz w:val="24"/>
          <w:szCs w:val="24"/>
        </w:rPr>
        <w:t>9 EUR/l. Strata prvovýrobcu</w:t>
      </w:r>
      <w:r w:rsidR="003E1DE4">
        <w:rPr>
          <w:rFonts w:ascii="Times New Roman" w:hAnsi="Times New Roman" w:cs="Times New Roman"/>
          <w:sz w:val="24"/>
          <w:szCs w:val="24"/>
        </w:rPr>
        <w:t xml:space="preserve"> sa takto pohybuje na úrovni 0,0</w:t>
      </w:r>
      <w:r w:rsidR="00611841">
        <w:rPr>
          <w:rFonts w:ascii="Times New Roman" w:hAnsi="Times New Roman" w:cs="Times New Roman"/>
          <w:sz w:val="24"/>
          <w:szCs w:val="24"/>
        </w:rPr>
        <w:t>7 EUR/l.</w:t>
      </w:r>
    </w:p>
    <w:p w:rsidR="0027754B" w:rsidRDefault="0027754B" w:rsidP="008B1083">
      <w:pPr>
        <w:spacing w:after="0" w:line="240" w:lineRule="auto"/>
        <w:jc w:val="both"/>
        <w:rPr>
          <w:rFonts w:ascii="Times New Roman" w:hAnsi="Times New Roman" w:cs="Times New Roman"/>
          <w:sz w:val="20"/>
          <w:szCs w:val="20"/>
        </w:rPr>
      </w:pPr>
    </w:p>
    <w:p w:rsidR="00730864" w:rsidRDefault="00C970F8" w:rsidP="008B108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Graf č. 30</w:t>
      </w:r>
      <w:r w:rsidR="00730864" w:rsidRPr="00C55549">
        <w:rPr>
          <w:rFonts w:ascii="Times New Roman" w:hAnsi="Times New Roman" w:cs="Times New Roman"/>
          <w:sz w:val="20"/>
          <w:szCs w:val="20"/>
        </w:rPr>
        <w:t>:</w:t>
      </w:r>
      <w:r w:rsidR="00BD3B11">
        <w:rPr>
          <w:rFonts w:ascii="Times New Roman" w:hAnsi="Times New Roman" w:cs="Times New Roman"/>
          <w:sz w:val="20"/>
          <w:szCs w:val="20"/>
        </w:rPr>
        <w:t xml:space="preserve"> Vývoj cenových indexov na jednotlivých stupňoch potravinovej vertikály</w:t>
      </w:r>
    </w:p>
    <w:p w:rsidR="00730864" w:rsidRDefault="00730864" w:rsidP="008B1083">
      <w:pPr>
        <w:spacing w:after="0" w:line="240" w:lineRule="auto"/>
        <w:jc w:val="both"/>
        <w:rPr>
          <w:rFonts w:ascii="Times New Roman" w:hAnsi="Times New Roman" w:cs="Times New Roman"/>
          <w:sz w:val="24"/>
          <w:szCs w:val="24"/>
        </w:rPr>
      </w:pPr>
      <w:r>
        <w:rPr>
          <w:noProof/>
        </w:rPr>
        <w:drawing>
          <wp:inline distT="0" distB="0" distL="0" distR="0" wp14:anchorId="05D43877" wp14:editId="3986E3EE">
            <wp:extent cx="5771692" cy="2333548"/>
            <wp:effectExtent l="0" t="0" r="0" b="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30864" w:rsidRPr="002D778F" w:rsidRDefault="00730864" w:rsidP="00730864">
      <w:pPr>
        <w:spacing w:after="0" w:line="240" w:lineRule="auto"/>
        <w:jc w:val="right"/>
        <w:rPr>
          <w:rFonts w:ascii="Times New Roman" w:hAnsi="Times New Roman" w:cs="Times New Roman"/>
          <w:sz w:val="20"/>
          <w:szCs w:val="20"/>
        </w:rPr>
      </w:pPr>
      <w:r w:rsidRPr="002D778F">
        <w:rPr>
          <w:rFonts w:ascii="Times New Roman" w:hAnsi="Times New Roman" w:cs="Times New Roman"/>
          <w:sz w:val="20"/>
          <w:szCs w:val="20"/>
        </w:rPr>
        <w:t>Zdroj: VÚEPP</w:t>
      </w:r>
    </w:p>
    <w:p w:rsidR="007B5BCA" w:rsidRDefault="007B5BCA" w:rsidP="008B1083">
      <w:pPr>
        <w:spacing w:after="0" w:line="240" w:lineRule="auto"/>
        <w:jc w:val="both"/>
        <w:rPr>
          <w:rFonts w:ascii="Times New Roman" w:hAnsi="Times New Roman" w:cs="Times New Roman"/>
          <w:sz w:val="24"/>
          <w:szCs w:val="24"/>
        </w:rPr>
      </w:pPr>
    </w:p>
    <w:p w:rsidR="008B1083" w:rsidRPr="0079447D" w:rsidRDefault="00CA347E" w:rsidP="008B1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pohľadu cenotvorby v rámci potravinovej vertikály zohráva </w:t>
      </w:r>
      <w:r w:rsidR="0092070F">
        <w:rPr>
          <w:rFonts w:ascii="Times New Roman" w:hAnsi="Times New Roman" w:cs="Times New Roman"/>
          <w:sz w:val="24"/>
          <w:szCs w:val="24"/>
        </w:rPr>
        <w:t xml:space="preserve">teda </w:t>
      </w:r>
      <w:r>
        <w:rPr>
          <w:rFonts w:ascii="Times New Roman" w:hAnsi="Times New Roman" w:cs="Times New Roman"/>
          <w:sz w:val="24"/>
          <w:szCs w:val="24"/>
        </w:rPr>
        <w:t xml:space="preserve">negatívnu úlohu posledný článok, teda predajca, ktorý finálnu spotrebiteľskú cenu </w:t>
      </w:r>
      <w:proofErr w:type="spellStart"/>
      <w:r w:rsidR="0079447D">
        <w:rPr>
          <w:rFonts w:ascii="Times New Roman" w:hAnsi="Times New Roman" w:cs="Times New Roman"/>
          <w:sz w:val="24"/>
          <w:szCs w:val="24"/>
        </w:rPr>
        <w:t>navy</w:t>
      </w:r>
      <w:r>
        <w:rPr>
          <w:rFonts w:ascii="Times New Roman" w:hAnsi="Times New Roman" w:cs="Times New Roman"/>
          <w:sz w:val="24"/>
          <w:szCs w:val="24"/>
        </w:rPr>
        <w:t>šuje</w:t>
      </w:r>
      <w:proofErr w:type="spellEnd"/>
      <w:r>
        <w:rPr>
          <w:rFonts w:ascii="Times New Roman" w:hAnsi="Times New Roman" w:cs="Times New Roman"/>
          <w:sz w:val="24"/>
          <w:szCs w:val="24"/>
        </w:rPr>
        <w:t xml:space="preserve"> oproti spracovateľskej cene priemerne až o 56,5 %. Nízka výkupná cena </w:t>
      </w:r>
      <w:r w:rsidRPr="00CA347E">
        <w:rPr>
          <w:rFonts w:ascii="Times New Roman" w:hAnsi="Times New Roman" w:cs="Times New Roman"/>
          <w:sz w:val="24"/>
          <w:szCs w:val="24"/>
        </w:rPr>
        <w:t>surového kravského mlieka</w:t>
      </w:r>
      <w:r>
        <w:rPr>
          <w:rFonts w:ascii="Times New Roman" w:hAnsi="Times New Roman" w:cs="Times New Roman"/>
          <w:sz w:val="24"/>
          <w:szCs w:val="24"/>
        </w:rPr>
        <w:t xml:space="preserve"> takto </w:t>
      </w:r>
      <w:r w:rsidR="0092070F">
        <w:rPr>
          <w:rFonts w:ascii="Times New Roman" w:hAnsi="Times New Roman" w:cs="Times New Roman"/>
          <w:sz w:val="24"/>
          <w:szCs w:val="24"/>
        </w:rPr>
        <w:t>posúva</w:t>
      </w:r>
      <w:r>
        <w:rPr>
          <w:rFonts w:ascii="Times New Roman" w:hAnsi="Times New Roman" w:cs="Times New Roman"/>
          <w:sz w:val="24"/>
          <w:szCs w:val="24"/>
        </w:rPr>
        <w:t xml:space="preserve"> prvovýrobcov </w:t>
      </w:r>
      <w:r w:rsidR="0092070F">
        <w:rPr>
          <w:rFonts w:ascii="Times New Roman" w:hAnsi="Times New Roman" w:cs="Times New Roman"/>
          <w:sz w:val="24"/>
          <w:szCs w:val="24"/>
        </w:rPr>
        <w:t>do existenčnej úrovne stratovosti produkcie</w:t>
      </w:r>
      <w:r w:rsidR="0079447D">
        <w:rPr>
          <w:rFonts w:ascii="Times New Roman" w:hAnsi="Times New Roman" w:cs="Times New Roman"/>
          <w:sz w:val="24"/>
          <w:szCs w:val="24"/>
        </w:rPr>
        <w:t xml:space="preserve">, spracovatelia sú tlačení finálnym článkom potravinovej vertikály do minimálnej ceny spracovaného mlieka, čo ich núti </w:t>
      </w:r>
      <w:r w:rsidR="0092070F">
        <w:rPr>
          <w:rFonts w:ascii="Times New Roman" w:hAnsi="Times New Roman" w:cs="Times New Roman"/>
          <w:sz w:val="24"/>
          <w:szCs w:val="24"/>
        </w:rPr>
        <w:t>vyvážať svoju produkciu do zahraničia</w:t>
      </w:r>
      <w:r w:rsidR="0079447D">
        <w:rPr>
          <w:rFonts w:ascii="Times New Roman" w:hAnsi="Times New Roman" w:cs="Times New Roman"/>
          <w:sz w:val="24"/>
          <w:szCs w:val="24"/>
        </w:rPr>
        <w:t xml:space="preserve">, tak aby si zabezpečili aspoň minimálnu ziskovosť a finálny článok potravinovej vertikály má dostatok priestoru pohybovať so spotrebiteľskými cenami mlieka podľa potreby.  </w:t>
      </w:r>
    </w:p>
    <w:p w:rsidR="00DB49CD" w:rsidRDefault="00DB49CD" w:rsidP="00DB49CD">
      <w:pPr>
        <w:pBdr>
          <w:bottom w:val="single" w:sz="4" w:space="1" w:color="auto"/>
        </w:pBdr>
        <w:spacing w:after="0" w:line="240" w:lineRule="auto"/>
        <w:jc w:val="both"/>
        <w:rPr>
          <w:rFonts w:ascii="Times New Roman" w:hAnsi="Times New Roman" w:cs="Times New Roman"/>
          <w:sz w:val="24"/>
          <w:szCs w:val="24"/>
        </w:rPr>
      </w:pPr>
    </w:p>
    <w:p w:rsidR="0092070F" w:rsidRDefault="00DB49CD" w:rsidP="00DB4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základe vykonanej analýzy celej potravinovej vertikály mlieka a mliečnych výrobkov považujeme za potrebné </w:t>
      </w:r>
      <w:r w:rsidR="00C71440" w:rsidRPr="00C71440">
        <w:rPr>
          <w:rFonts w:ascii="Times New Roman" w:hAnsi="Times New Roman" w:cs="Times New Roman"/>
          <w:sz w:val="24"/>
          <w:szCs w:val="24"/>
          <w:highlight w:val="yellow"/>
        </w:rPr>
        <w:t>dosiahnuť nasledovné ciele</w:t>
      </w:r>
      <w:r w:rsidR="00A06456">
        <w:rPr>
          <w:rFonts w:ascii="Times New Roman" w:hAnsi="Times New Roman" w:cs="Times New Roman"/>
          <w:sz w:val="24"/>
          <w:szCs w:val="24"/>
        </w:rPr>
        <w:t xml:space="preserve"> a realizáciu opatrení</w:t>
      </w:r>
      <w:r w:rsidR="0041579A">
        <w:rPr>
          <w:rFonts w:ascii="Times New Roman" w:hAnsi="Times New Roman" w:cs="Times New Roman"/>
          <w:sz w:val="24"/>
          <w:szCs w:val="24"/>
        </w:rPr>
        <w:t>:</w:t>
      </w:r>
    </w:p>
    <w:p w:rsidR="00DB49CD" w:rsidRPr="00A06456" w:rsidRDefault="00BE137F" w:rsidP="000D68DC">
      <w:pPr>
        <w:pStyle w:val="Odsekzoznamu"/>
        <w:numPr>
          <w:ilvl w:val="0"/>
          <w:numId w:val="6"/>
        </w:numPr>
        <w:spacing w:after="0" w:line="240" w:lineRule="auto"/>
        <w:jc w:val="both"/>
        <w:rPr>
          <w:rFonts w:ascii="Times New Roman" w:hAnsi="Times New Roman" w:cs="Times New Roman"/>
          <w:sz w:val="24"/>
          <w:szCs w:val="24"/>
          <w:highlight w:val="yellow"/>
        </w:rPr>
      </w:pPr>
      <w:r w:rsidRPr="00BE137F">
        <w:rPr>
          <w:rFonts w:ascii="Times New Roman" w:eastAsia="Times New Roman" w:hAnsi="Times New Roman" w:cs="Times New Roman"/>
          <w:color w:val="000000"/>
          <w:sz w:val="24"/>
          <w:szCs w:val="24"/>
          <w:highlight w:val="yellow"/>
        </w:rPr>
        <w:t>maximálne sa priblížiť k výkupnej cene</w:t>
      </w:r>
      <w:r w:rsidR="00DB49CD" w:rsidRPr="00BE137F">
        <w:rPr>
          <w:rFonts w:ascii="Times New Roman" w:eastAsia="Times New Roman" w:hAnsi="Times New Roman" w:cs="Times New Roman"/>
          <w:color w:val="000000"/>
          <w:sz w:val="24"/>
          <w:szCs w:val="24"/>
          <w:highlight w:val="yellow"/>
        </w:rPr>
        <w:t xml:space="preserve"> pre prvovýrobcov za 1 l surovéh</w:t>
      </w:r>
      <w:r w:rsidR="003E1DE4" w:rsidRPr="00BE137F">
        <w:rPr>
          <w:rFonts w:ascii="Times New Roman" w:eastAsia="Times New Roman" w:hAnsi="Times New Roman" w:cs="Times New Roman"/>
          <w:color w:val="000000"/>
          <w:sz w:val="24"/>
          <w:szCs w:val="24"/>
          <w:highlight w:val="yellow"/>
        </w:rPr>
        <w:t>o kravského mlieka na úrovni</w:t>
      </w:r>
      <w:r w:rsidR="00DB49CD" w:rsidRPr="00BE137F">
        <w:rPr>
          <w:rFonts w:ascii="Times New Roman" w:eastAsia="Times New Roman" w:hAnsi="Times New Roman" w:cs="Times New Roman"/>
          <w:color w:val="000000"/>
          <w:sz w:val="24"/>
          <w:szCs w:val="24"/>
          <w:highlight w:val="yellow"/>
        </w:rPr>
        <w:t>, ktorá by pokrývala vlastné náklady na 1 l surového kravského mlieka</w:t>
      </w:r>
      <w:r w:rsidR="00A06456">
        <w:rPr>
          <w:rFonts w:ascii="Times New Roman" w:eastAsia="Times New Roman" w:hAnsi="Times New Roman" w:cs="Times New Roman"/>
          <w:color w:val="000000"/>
          <w:sz w:val="24"/>
          <w:szCs w:val="24"/>
          <w:highlight w:val="yellow"/>
        </w:rPr>
        <w:t>;</w:t>
      </w:r>
    </w:p>
    <w:p w:rsidR="00A06456" w:rsidRPr="00767936" w:rsidRDefault="00A06456" w:rsidP="00A06456">
      <w:pPr>
        <w:pStyle w:val="Odsekzoznamu"/>
        <w:numPr>
          <w:ilvl w:val="0"/>
          <w:numId w:val="6"/>
        </w:numPr>
        <w:spacing w:after="0" w:line="240" w:lineRule="auto"/>
        <w:jc w:val="both"/>
        <w:rPr>
          <w:rFonts w:ascii="Times New Roman" w:hAnsi="Times New Roman" w:cs="Times New Roman"/>
          <w:sz w:val="24"/>
          <w:szCs w:val="24"/>
          <w:highlight w:val="yellow"/>
        </w:rPr>
      </w:pPr>
      <w:r w:rsidRPr="00767936">
        <w:rPr>
          <w:rFonts w:ascii="Times New Roman" w:hAnsi="Times New Roman" w:cs="Times New Roman"/>
          <w:sz w:val="24"/>
          <w:szCs w:val="24"/>
          <w:highlight w:val="yellow"/>
        </w:rPr>
        <w:t>podporiť investície do modernizácie technologického vybavenia a podpora inovácií výrobkov.</w:t>
      </w:r>
    </w:p>
    <w:p w:rsidR="00FD770A" w:rsidRPr="00DB49CD" w:rsidRDefault="00FD770A" w:rsidP="000D68DC">
      <w:pPr>
        <w:pStyle w:val="Odsekzoznamu"/>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presadiť prijatie účinných opatrení na reguláciu trhu s mliekom v EÚ na obdobie po roku 2015</w:t>
      </w:r>
    </w:p>
    <w:p w:rsidR="00730864" w:rsidRPr="008B1083" w:rsidRDefault="00730864" w:rsidP="00264729">
      <w:pPr>
        <w:pBdr>
          <w:top w:val="single" w:sz="4" w:space="1" w:color="auto"/>
        </w:pBdr>
        <w:spacing w:after="0" w:line="240" w:lineRule="auto"/>
        <w:jc w:val="both"/>
        <w:rPr>
          <w:rFonts w:ascii="Times New Roman" w:hAnsi="Times New Roman" w:cs="Times New Roman"/>
          <w:b/>
          <w:sz w:val="24"/>
          <w:szCs w:val="24"/>
        </w:rPr>
      </w:pPr>
    </w:p>
    <w:p w:rsidR="008B1083" w:rsidRPr="00352722" w:rsidRDefault="003B6A4E" w:rsidP="000D68DC">
      <w:pPr>
        <w:pStyle w:val="Nadpis3"/>
        <w:numPr>
          <w:ilvl w:val="2"/>
          <w:numId w:val="8"/>
        </w:numPr>
      </w:pPr>
      <w:bookmarkStart w:id="26" w:name="_Toc359550647"/>
      <w:r>
        <w:t>Konzumné v</w:t>
      </w:r>
      <w:r w:rsidR="008B1083">
        <w:t>ajcia</w:t>
      </w:r>
      <w:bookmarkEnd w:id="26"/>
    </w:p>
    <w:p w:rsidR="00183D42" w:rsidRDefault="00183D42" w:rsidP="002B5CA9">
      <w:pPr>
        <w:spacing w:after="0" w:line="240" w:lineRule="auto"/>
        <w:rPr>
          <w:rFonts w:ascii="Times New Roman" w:hAnsi="Times New Roman" w:cs="Times New Roman"/>
          <w:sz w:val="24"/>
          <w:szCs w:val="24"/>
        </w:rPr>
      </w:pPr>
    </w:p>
    <w:p w:rsidR="008B1083" w:rsidRDefault="008B1083" w:rsidP="008B1083">
      <w:pPr>
        <w:spacing w:after="0" w:line="240" w:lineRule="auto"/>
        <w:jc w:val="both"/>
        <w:rPr>
          <w:rFonts w:ascii="Times New Roman" w:hAnsi="Times New Roman" w:cs="Times New Roman"/>
          <w:sz w:val="24"/>
          <w:szCs w:val="24"/>
        </w:rPr>
      </w:pPr>
      <w:r w:rsidRPr="007C5739">
        <w:rPr>
          <w:rFonts w:ascii="Times New Roman" w:hAnsi="Times New Roman" w:cs="Times New Roman"/>
          <w:sz w:val="24"/>
          <w:szCs w:val="24"/>
        </w:rPr>
        <w:t>Domáci dop</w:t>
      </w:r>
      <w:r>
        <w:rPr>
          <w:rFonts w:ascii="Times New Roman" w:hAnsi="Times New Roman" w:cs="Times New Roman"/>
          <w:sz w:val="24"/>
          <w:szCs w:val="24"/>
        </w:rPr>
        <w:t xml:space="preserve">yt po </w:t>
      </w:r>
      <w:r w:rsidR="003B6A4E">
        <w:rPr>
          <w:rFonts w:ascii="Times New Roman" w:hAnsi="Times New Roman" w:cs="Times New Roman"/>
          <w:sz w:val="24"/>
          <w:szCs w:val="24"/>
        </w:rPr>
        <w:t>konzumných vajciach</w:t>
      </w:r>
      <w:r>
        <w:rPr>
          <w:rFonts w:ascii="Times New Roman" w:hAnsi="Times New Roman" w:cs="Times New Roman"/>
          <w:sz w:val="24"/>
          <w:szCs w:val="24"/>
        </w:rPr>
        <w:t xml:space="preserve"> meriame pomocou štatisticky nameranej spotreby v</w:t>
      </w:r>
      <w:r w:rsidR="003B6A4E">
        <w:rPr>
          <w:rFonts w:ascii="Times New Roman" w:hAnsi="Times New Roman" w:cs="Times New Roman"/>
          <w:sz w:val="24"/>
          <w:szCs w:val="24"/>
        </w:rPr>
        <w:t> tis. ks</w:t>
      </w:r>
      <w:r>
        <w:rPr>
          <w:rFonts w:ascii="Times New Roman" w:hAnsi="Times New Roman" w:cs="Times New Roman"/>
          <w:sz w:val="24"/>
          <w:szCs w:val="24"/>
        </w:rPr>
        <w:t xml:space="preserve"> za rok, čo predstavuje objem </w:t>
      </w:r>
      <w:r w:rsidR="003B6A4E">
        <w:rPr>
          <w:rFonts w:ascii="Times New Roman" w:hAnsi="Times New Roman" w:cs="Times New Roman"/>
          <w:sz w:val="24"/>
          <w:szCs w:val="24"/>
        </w:rPr>
        <w:t>1 118 440 tis. ks</w:t>
      </w:r>
      <w:r>
        <w:rPr>
          <w:rFonts w:ascii="Times New Roman" w:hAnsi="Times New Roman" w:cs="Times New Roman"/>
          <w:sz w:val="24"/>
          <w:szCs w:val="24"/>
        </w:rPr>
        <w:t xml:space="preserve">. Hrubá domáca produkcia predstavuje objem </w:t>
      </w:r>
      <w:r w:rsidR="003B6A4E">
        <w:rPr>
          <w:rFonts w:ascii="Times New Roman" w:hAnsi="Times New Roman" w:cs="Times New Roman"/>
          <w:sz w:val="24"/>
          <w:szCs w:val="24"/>
        </w:rPr>
        <w:t>1 113 040 tis. ks</w:t>
      </w:r>
      <w:r>
        <w:rPr>
          <w:rFonts w:ascii="Times New Roman" w:hAnsi="Times New Roman" w:cs="Times New Roman"/>
          <w:sz w:val="24"/>
          <w:szCs w:val="24"/>
        </w:rPr>
        <w:t xml:space="preserve">. Znamená to, že produkcia v SR dosahuje </w:t>
      </w:r>
      <w:r w:rsidR="003B6A4E">
        <w:rPr>
          <w:rFonts w:ascii="Times New Roman" w:hAnsi="Times New Roman" w:cs="Times New Roman"/>
          <w:sz w:val="24"/>
          <w:szCs w:val="24"/>
        </w:rPr>
        <w:t>99,52</w:t>
      </w:r>
      <w:r>
        <w:rPr>
          <w:rFonts w:ascii="Times New Roman" w:hAnsi="Times New Roman" w:cs="Times New Roman"/>
          <w:sz w:val="24"/>
          <w:szCs w:val="24"/>
        </w:rPr>
        <w:t xml:space="preserve"> % domáceho dopytu, čo znamená, že </w:t>
      </w:r>
      <w:r w:rsidR="00234CCD">
        <w:rPr>
          <w:rFonts w:ascii="Times New Roman" w:hAnsi="Times New Roman" w:cs="Times New Roman"/>
          <w:sz w:val="24"/>
          <w:szCs w:val="24"/>
        </w:rPr>
        <w:t>produkčná výkonnosť</w:t>
      </w:r>
      <w:r>
        <w:rPr>
          <w:rFonts w:ascii="Times New Roman" w:hAnsi="Times New Roman" w:cs="Times New Roman"/>
          <w:sz w:val="24"/>
          <w:szCs w:val="24"/>
        </w:rPr>
        <w:t xml:space="preserve"> v tejto komodite, z hľadiska prvovýroby, </w:t>
      </w:r>
      <w:r w:rsidR="003B6A4E">
        <w:rPr>
          <w:rFonts w:ascii="Times New Roman" w:hAnsi="Times New Roman" w:cs="Times New Roman"/>
          <w:sz w:val="24"/>
          <w:szCs w:val="24"/>
        </w:rPr>
        <w:t>vysoko</w:t>
      </w:r>
      <w:r w:rsidR="00F6585B">
        <w:rPr>
          <w:rFonts w:ascii="Times New Roman" w:hAnsi="Times New Roman" w:cs="Times New Roman"/>
          <w:sz w:val="24"/>
          <w:szCs w:val="24"/>
        </w:rPr>
        <w:t xml:space="preserve"> </w:t>
      </w:r>
      <w:r w:rsidR="003B6A4E">
        <w:rPr>
          <w:rFonts w:ascii="Times New Roman" w:hAnsi="Times New Roman" w:cs="Times New Roman"/>
          <w:sz w:val="24"/>
          <w:szCs w:val="24"/>
        </w:rPr>
        <w:t xml:space="preserve">prevyšuje </w:t>
      </w:r>
      <w:r>
        <w:rPr>
          <w:rFonts w:ascii="Times New Roman" w:hAnsi="Times New Roman" w:cs="Times New Roman"/>
          <w:sz w:val="24"/>
          <w:szCs w:val="24"/>
        </w:rPr>
        <w:t xml:space="preserve">stanovený cieľ. </w:t>
      </w:r>
    </w:p>
    <w:p w:rsidR="00DB49CD" w:rsidRDefault="00DB49CD" w:rsidP="008B1083">
      <w:pPr>
        <w:spacing w:after="0" w:line="240" w:lineRule="auto"/>
        <w:jc w:val="both"/>
        <w:rPr>
          <w:rFonts w:ascii="Times New Roman" w:hAnsi="Times New Roman" w:cs="Times New Roman"/>
          <w:sz w:val="24"/>
          <w:szCs w:val="24"/>
        </w:rPr>
      </w:pPr>
    </w:p>
    <w:p w:rsidR="007B5BCA" w:rsidRDefault="007B5BCA" w:rsidP="008B1083">
      <w:pPr>
        <w:spacing w:after="0" w:line="240" w:lineRule="auto"/>
        <w:jc w:val="both"/>
        <w:rPr>
          <w:rFonts w:ascii="Times New Roman" w:hAnsi="Times New Roman" w:cs="Times New Roman"/>
          <w:sz w:val="24"/>
          <w:szCs w:val="24"/>
        </w:rPr>
      </w:pPr>
    </w:p>
    <w:p w:rsidR="008B1083" w:rsidRPr="008B1083" w:rsidRDefault="003E1DE4" w:rsidP="008B10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Tab. č.</w:t>
      </w:r>
      <w:r w:rsidR="00BE29EE">
        <w:rPr>
          <w:rFonts w:ascii="Times New Roman" w:hAnsi="Times New Roman" w:cs="Times New Roman"/>
          <w:sz w:val="20"/>
          <w:szCs w:val="20"/>
        </w:rPr>
        <w:t>25</w:t>
      </w:r>
      <w:r w:rsidR="008B1083" w:rsidRPr="00A855A4">
        <w:rPr>
          <w:rFonts w:ascii="Times New Roman" w:hAnsi="Times New Roman" w:cs="Times New Roman"/>
          <w:sz w:val="20"/>
          <w:szCs w:val="20"/>
        </w:rPr>
        <w:t xml:space="preserve">: </w:t>
      </w:r>
      <w:r w:rsidR="008B1083" w:rsidRPr="008B1083">
        <w:rPr>
          <w:rFonts w:ascii="Times New Roman" w:hAnsi="Times New Roman" w:cs="Times New Roman"/>
          <w:sz w:val="20"/>
          <w:szCs w:val="20"/>
        </w:rPr>
        <w:t>Bilancia výroby a použitia konzumných vajec v škrupine v SR (vrátane výrobkov)</w:t>
      </w:r>
      <w:r w:rsidR="008B1083">
        <w:rPr>
          <w:rFonts w:ascii="Times New Roman" w:hAnsi="Times New Roman" w:cs="Times New Roman"/>
          <w:sz w:val="20"/>
          <w:szCs w:val="20"/>
        </w:rPr>
        <w:t xml:space="preserve"> v tis. ks</w:t>
      </w:r>
    </w:p>
    <w:tbl>
      <w:tblPr>
        <w:tblW w:w="9036" w:type="dxa"/>
        <w:tblInd w:w="55" w:type="dxa"/>
        <w:tblCellMar>
          <w:left w:w="70" w:type="dxa"/>
          <w:right w:w="70" w:type="dxa"/>
        </w:tblCellMar>
        <w:tblLook w:val="04A0" w:firstRow="1" w:lastRow="0" w:firstColumn="1" w:lastColumn="0" w:noHBand="0" w:noVBand="1"/>
      </w:tblPr>
      <w:tblGrid>
        <w:gridCol w:w="3276"/>
        <w:gridCol w:w="960"/>
        <w:gridCol w:w="960"/>
        <w:gridCol w:w="960"/>
        <w:gridCol w:w="960"/>
        <w:gridCol w:w="960"/>
        <w:gridCol w:w="960"/>
      </w:tblGrid>
      <w:tr w:rsidR="00CC0745" w:rsidRPr="00CC0745" w:rsidTr="00CC0745">
        <w:trPr>
          <w:trHeight w:val="300"/>
        </w:trPr>
        <w:tc>
          <w:tcPr>
            <w:tcW w:w="3276" w:type="dxa"/>
            <w:tcBorders>
              <w:top w:val="single" w:sz="4" w:space="0" w:color="auto"/>
              <w:left w:val="nil"/>
              <w:bottom w:val="single" w:sz="4" w:space="0" w:color="auto"/>
              <w:right w:val="single" w:sz="4" w:space="0" w:color="auto"/>
            </w:tcBorders>
            <w:shd w:val="clear" w:color="000000" w:fill="D9D9D9"/>
            <w:noWrap/>
            <w:vAlign w:val="bottom"/>
            <w:hideMark/>
          </w:tcPr>
          <w:p w:rsidR="00CC0745" w:rsidRPr="00CC0745" w:rsidRDefault="00CC0745" w:rsidP="00CC0745">
            <w:pPr>
              <w:spacing w:after="0" w:line="240" w:lineRule="auto"/>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Ukazovateľ</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CC0745" w:rsidRPr="00CC0745" w:rsidRDefault="00CC0745" w:rsidP="00CC0745">
            <w:pPr>
              <w:spacing w:after="0" w:line="240" w:lineRule="auto"/>
              <w:jc w:val="right"/>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2002</w:t>
            </w:r>
          </w:p>
        </w:tc>
        <w:tc>
          <w:tcPr>
            <w:tcW w:w="960" w:type="dxa"/>
            <w:tcBorders>
              <w:top w:val="single" w:sz="4" w:space="0" w:color="auto"/>
              <w:left w:val="nil"/>
              <w:bottom w:val="single" w:sz="4" w:space="0" w:color="auto"/>
              <w:right w:val="nil"/>
            </w:tcBorders>
            <w:shd w:val="clear" w:color="000000" w:fill="D9D9D9"/>
            <w:noWrap/>
            <w:vAlign w:val="bottom"/>
            <w:hideMark/>
          </w:tcPr>
          <w:p w:rsidR="00CC0745" w:rsidRPr="00CC0745" w:rsidRDefault="00CC0745" w:rsidP="00CC0745">
            <w:pPr>
              <w:spacing w:after="0" w:line="240" w:lineRule="auto"/>
              <w:jc w:val="right"/>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2007</w:t>
            </w:r>
          </w:p>
        </w:tc>
        <w:tc>
          <w:tcPr>
            <w:tcW w:w="960" w:type="dxa"/>
            <w:tcBorders>
              <w:top w:val="single" w:sz="4" w:space="0" w:color="auto"/>
              <w:left w:val="nil"/>
              <w:bottom w:val="single" w:sz="4" w:space="0" w:color="auto"/>
              <w:right w:val="nil"/>
            </w:tcBorders>
            <w:shd w:val="clear" w:color="000000" w:fill="D9D9D9"/>
            <w:noWrap/>
            <w:vAlign w:val="bottom"/>
            <w:hideMark/>
          </w:tcPr>
          <w:p w:rsidR="00CC0745" w:rsidRPr="00CC0745" w:rsidRDefault="00CC0745" w:rsidP="00CC0745">
            <w:pPr>
              <w:spacing w:after="0" w:line="240" w:lineRule="auto"/>
              <w:jc w:val="right"/>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2008</w:t>
            </w:r>
          </w:p>
        </w:tc>
        <w:tc>
          <w:tcPr>
            <w:tcW w:w="960" w:type="dxa"/>
            <w:tcBorders>
              <w:top w:val="single" w:sz="4" w:space="0" w:color="auto"/>
              <w:left w:val="nil"/>
              <w:bottom w:val="single" w:sz="4" w:space="0" w:color="auto"/>
              <w:right w:val="nil"/>
            </w:tcBorders>
            <w:shd w:val="clear" w:color="000000" w:fill="D9D9D9"/>
            <w:noWrap/>
            <w:vAlign w:val="bottom"/>
            <w:hideMark/>
          </w:tcPr>
          <w:p w:rsidR="00CC0745" w:rsidRPr="00CC0745" w:rsidRDefault="00CC0745" w:rsidP="00CC0745">
            <w:pPr>
              <w:spacing w:after="0" w:line="240" w:lineRule="auto"/>
              <w:jc w:val="right"/>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2009</w:t>
            </w:r>
          </w:p>
        </w:tc>
        <w:tc>
          <w:tcPr>
            <w:tcW w:w="960" w:type="dxa"/>
            <w:tcBorders>
              <w:top w:val="single" w:sz="4" w:space="0" w:color="auto"/>
              <w:left w:val="nil"/>
              <w:bottom w:val="single" w:sz="4" w:space="0" w:color="auto"/>
              <w:right w:val="nil"/>
            </w:tcBorders>
            <w:shd w:val="clear" w:color="000000" w:fill="D9D9D9"/>
            <w:noWrap/>
            <w:vAlign w:val="bottom"/>
            <w:hideMark/>
          </w:tcPr>
          <w:p w:rsidR="00CC0745" w:rsidRPr="00CC0745" w:rsidRDefault="00CC0745" w:rsidP="00CC0745">
            <w:pPr>
              <w:spacing w:after="0" w:line="240" w:lineRule="auto"/>
              <w:jc w:val="right"/>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2010</w:t>
            </w:r>
          </w:p>
        </w:tc>
        <w:tc>
          <w:tcPr>
            <w:tcW w:w="960" w:type="dxa"/>
            <w:tcBorders>
              <w:top w:val="single" w:sz="4" w:space="0" w:color="auto"/>
              <w:left w:val="nil"/>
              <w:bottom w:val="single" w:sz="4" w:space="0" w:color="auto"/>
              <w:right w:val="nil"/>
            </w:tcBorders>
            <w:shd w:val="clear" w:color="000000" w:fill="D9D9D9"/>
            <w:noWrap/>
            <w:vAlign w:val="bottom"/>
            <w:hideMark/>
          </w:tcPr>
          <w:p w:rsidR="00CC0745" w:rsidRPr="00CC0745" w:rsidRDefault="00CC0745" w:rsidP="00CC0745">
            <w:pPr>
              <w:spacing w:after="0" w:line="240" w:lineRule="auto"/>
              <w:jc w:val="right"/>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2011</w:t>
            </w:r>
          </w:p>
        </w:tc>
      </w:tr>
      <w:tr w:rsidR="00CC0745" w:rsidRPr="00CC0745" w:rsidTr="00CC0745">
        <w:trPr>
          <w:trHeight w:val="300"/>
        </w:trPr>
        <w:tc>
          <w:tcPr>
            <w:tcW w:w="3276" w:type="dxa"/>
            <w:tcBorders>
              <w:top w:val="nil"/>
              <w:left w:val="nil"/>
              <w:bottom w:val="single" w:sz="4" w:space="0" w:color="auto"/>
              <w:right w:val="single" w:sz="4" w:space="0" w:color="auto"/>
            </w:tcBorders>
            <w:shd w:val="clear" w:color="auto" w:fill="auto"/>
            <w:noWrap/>
            <w:vAlign w:val="bottom"/>
            <w:hideMark/>
          </w:tcPr>
          <w:p w:rsidR="00CC0745" w:rsidRPr="00CC0745" w:rsidRDefault="00CC0745" w:rsidP="00CC0745">
            <w:pPr>
              <w:spacing w:after="0" w:line="240" w:lineRule="auto"/>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Počiatočné zásoby</w:t>
            </w:r>
          </w:p>
        </w:tc>
        <w:tc>
          <w:tcPr>
            <w:tcW w:w="960" w:type="dxa"/>
            <w:tcBorders>
              <w:top w:val="nil"/>
              <w:left w:val="nil"/>
              <w:bottom w:val="single" w:sz="4" w:space="0" w:color="auto"/>
              <w:right w:val="single" w:sz="4" w:space="0" w:color="auto"/>
            </w:tcBorders>
            <w:shd w:val="clear" w:color="auto" w:fill="auto"/>
            <w:noWrap/>
            <w:vAlign w:val="bottom"/>
            <w:hideMark/>
          </w:tcPr>
          <w:p w:rsidR="00CC0745" w:rsidRPr="00CC0745" w:rsidRDefault="006B5EAD" w:rsidP="00CC074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11 198</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11 033</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17 954</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17 109</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18 378</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19 692</w:t>
            </w:r>
          </w:p>
        </w:tc>
      </w:tr>
      <w:tr w:rsidR="00CC0745" w:rsidRPr="00CC0745" w:rsidTr="00CC0745">
        <w:trPr>
          <w:trHeight w:val="300"/>
        </w:trPr>
        <w:tc>
          <w:tcPr>
            <w:tcW w:w="3276" w:type="dxa"/>
            <w:tcBorders>
              <w:top w:val="nil"/>
              <w:left w:val="nil"/>
              <w:bottom w:val="nil"/>
              <w:right w:val="single" w:sz="4" w:space="0" w:color="auto"/>
            </w:tcBorders>
            <w:shd w:val="clear" w:color="auto" w:fill="auto"/>
            <w:noWrap/>
            <w:vAlign w:val="bottom"/>
            <w:hideMark/>
          </w:tcPr>
          <w:p w:rsidR="00CC0745" w:rsidRPr="00CC0745" w:rsidRDefault="00CC0745" w:rsidP="00CC0745">
            <w:pPr>
              <w:spacing w:after="0" w:line="240" w:lineRule="auto"/>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Produkcia konzumných vajec</w:t>
            </w:r>
          </w:p>
        </w:tc>
        <w:tc>
          <w:tcPr>
            <w:tcW w:w="960" w:type="dxa"/>
            <w:tcBorders>
              <w:top w:val="nil"/>
              <w:left w:val="nil"/>
              <w:bottom w:val="nil"/>
              <w:right w:val="single" w:sz="4" w:space="0" w:color="auto"/>
            </w:tcBorders>
            <w:shd w:val="clear" w:color="auto" w:fill="auto"/>
            <w:noWrap/>
            <w:vAlign w:val="bottom"/>
            <w:hideMark/>
          </w:tcPr>
          <w:p w:rsidR="00CC0745" w:rsidRPr="00CC0745" w:rsidRDefault="00CC0745" w:rsidP="006B5EAD">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w:t>
            </w:r>
            <w:r w:rsidR="006B5EAD">
              <w:rPr>
                <w:rFonts w:ascii="Times New Roman" w:eastAsia="Times New Roman" w:hAnsi="Times New Roman" w:cs="Times New Roman"/>
                <w:color w:val="000000"/>
                <w:sz w:val="20"/>
                <w:szCs w:val="20"/>
              </w:rPr>
              <w:t> 132 000</w:t>
            </w:r>
          </w:p>
        </w:tc>
        <w:tc>
          <w:tcPr>
            <w:tcW w:w="960" w:type="dxa"/>
            <w:tcBorders>
              <w:top w:val="nil"/>
              <w:left w:val="nil"/>
              <w:bottom w:val="nil"/>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1 095 998</w:t>
            </w:r>
          </w:p>
        </w:tc>
        <w:tc>
          <w:tcPr>
            <w:tcW w:w="960" w:type="dxa"/>
            <w:tcBorders>
              <w:top w:val="nil"/>
              <w:left w:val="nil"/>
              <w:bottom w:val="nil"/>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1 091 552</w:t>
            </w:r>
          </w:p>
        </w:tc>
        <w:tc>
          <w:tcPr>
            <w:tcW w:w="960" w:type="dxa"/>
            <w:tcBorders>
              <w:top w:val="nil"/>
              <w:left w:val="nil"/>
              <w:bottom w:val="nil"/>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1 066 244</w:t>
            </w:r>
          </w:p>
        </w:tc>
        <w:tc>
          <w:tcPr>
            <w:tcW w:w="960" w:type="dxa"/>
            <w:tcBorders>
              <w:top w:val="nil"/>
              <w:left w:val="nil"/>
              <w:bottom w:val="nil"/>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1 127 083</w:t>
            </w:r>
          </w:p>
        </w:tc>
        <w:tc>
          <w:tcPr>
            <w:tcW w:w="960" w:type="dxa"/>
            <w:tcBorders>
              <w:top w:val="nil"/>
              <w:left w:val="nil"/>
              <w:bottom w:val="nil"/>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1 113 040</w:t>
            </w:r>
          </w:p>
        </w:tc>
      </w:tr>
      <w:tr w:rsidR="00CC0745" w:rsidRPr="00CC0745" w:rsidTr="00CC0745">
        <w:trPr>
          <w:trHeight w:val="300"/>
        </w:trPr>
        <w:tc>
          <w:tcPr>
            <w:tcW w:w="3276" w:type="dxa"/>
            <w:tcBorders>
              <w:top w:val="nil"/>
              <w:left w:val="nil"/>
              <w:bottom w:val="single" w:sz="4" w:space="0" w:color="auto"/>
              <w:right w:val="single" w:sz="4" w:space="0" w:color="auto"/>
            </w:tcBorders>
            <w:shd w:val="clear" w:color="auto" w:fill="auto"/>
            <w:noWrap/>
            <w:vAlign w:val="bottom"/>
            <w:hideMark/>
          </w:tcPr>
          <w:p w:rsidR="00CC0745" w:rsidRPr="00CC0745" w:rsidRDefault="00CC0745" w:rsidP="00CC0745">
            <w:pPr>
              <w:spacing w:after="0" w:line="240" w:lineRule="auto"/>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Dovoz</w:t>
            </w:r>
          </w:p>
        </w:tc>
        <w:tc>
          <w:tcPr>
            <w:tcW w:w="960" w:type="dxa"/>
            <w:tcBorders>
              <w:top w:val="nil"/>
              <w:left w:val="nil"/>
              <w:bottom w:val="single" w:sz="4" w:space="0" w:color="auto"/>
              <w:right w:val="single" w:sz="4" w:space="0" w:color="auto"/>
            </w:tcBorders>
            <w:shd w:val="clear" w:color="auto" w:fill="auto"/>
            <w:noWrap/>
            <w:vAlign w:val="bottom"/>
            <w:hideMark/>
          </w:tcPr>
          <w:p w:rsidR="00CC0745" w:rsidRPr="00CC0745" w:rsidRDefault="006B5EAD" w:rsidP="00CC074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63 471</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18 322</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215 451</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223 875</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203 456</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95 391</w:t>
            </w:r>
          </w:p>
        </w:tc>
      </w:tr>
      <w:tr w:rsidR="00CC0745" w:rsidRPr="00CC0745" w:rsidTr="00CC0745">
        <w:trPr>
          <w:trHeight w:val="300"/>
        </w:trPr>
        <w:tc>
          <w:tcPr>
            <w:tcW w:w="3276" w:type="dxa"/>
            <w:tcBorders>
              <w:top w:val="nil"/>
              <w:left w:val="nil"/>
              <w:bottom w:val="nil"/>
              <w:right w:val="single" w:sz="4" w:space="0" w:color="auto"/>
            </w:tcBorders>
            <w:shd w:val="clear" w:color="000000" w:fill="F2F2F2"/>
            <w:noWrap/>
            <w:vAlign w:val="bottom"/>
            <w:hideMark/>
          </w:tcPr>
          <w:p w:rsidR="00CC0745" w:rsidRPr="00CC0745" w:rsidRDefault="00CC0745" w:rsidP="00CC0745">
            <w:pPr>
              <w:spacing w:after="0" w:line="240" w:lineRule="auto"/>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Celková ponuka</w:t>
            </w:r>
          </w:p>
        </w:tc>
        <w:tc>
          <w:tcPr>
            <w:tcW w:w="960" w:type="dxa"/>
            <w:tcBorders>
              <w:top w:val="nil"/>
              <w:left w:val="nil"/>
              <w:bottom w:val="nil"/>
              <w:right w:val="single" w:sz="4" w:space="0" w:color="auto"/>
            </w:tcBorders>
            <w:shd w:val="clear" w:color="000000" w:fill="F2F2F2"/>
            <w:noWrap/>
            <w:vAlign w:val="bottom"/>
            <w:hideMark/>
          </w:tcPr>
          <w:p w:rsidR="00CC0745" w:rsidRPr="00CC0745" w:rsidRDefault="00CC0745" w:rsidP="006B5EAD">
            <w:pPr>
              <w:spacing w:after="0" w:line="240" w:lineRule="auto"/>
              <w:jc w:val="right"/>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1</w:t>
            </w:r>
            <w:r w:rsidR="006B5EAD">
              <w:rPr>
                <w:rFonts w:ascii="Times New Roman" w:eastAsia="Times New Roman" w:hAnsi="Times New Roman" w:cs="Times New Roman"/>
                <w:b/>
                <w:bCs/>
                <w:color w:val="000000"/>
                <w:sz w:val="20"/>
                <w:szCs w:val="20"/>
              </w:rPr>
              <w:t> 206 669</w:t>
            </w:r>
          </w:p>
        </w:tc>
        <w:tc>
          <w:tcPr>
            <w:tcW w:w="960" w:type="dxa"/>
            <w:tcBorders>
              <w:top w:val="nil"/>
              <w:left w:val="nil"/>
              <w:bottom w:val="nil"/>
              <w:right w:val="nil"/>
            </w:tcBorders>
            <w:shd w:val="clear" w:color="000000" w:fill="F2F2F2"/>
            <w:noWrap/>
            <w:vAlign w:val="bottom"/>
            <w:hideMark/>
          </w:tcPr>
          <w:p w:rsidR="00CC0745" w:rsidRPr="00CC0745" w:rsidRDefault="00CC0745" w:rsidP="00CC0745">
            <w:pPr>
              <w:spacing w:after="0" w:line="240" w:lineRule="auto"/>
              <w:jc w:val="right"/>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1 125 352</w:t>
            </w:r>
          </w:p>
        </w:tc>
        <w:tc>
          <w:tcPr>
            <w:tcW w:w="960" w:type="dxa"/>
            <w:tcBorders>
              <w:top w:val="nil"/>
              <w:left w:val="nil"/>
              <w:bottom w:val="nil"/>
              <w:right w:val="nil"/>
            </w:tcBorders>
            <w:shd w:val="clear" w:color="000000" w:fill="F2F2F2"/>
            <w:noWrap/>
            <w:vAlign w:val="bottom"/>
            <w:hideMark/>
          </w:tcPr>
          <w:p w:rsidR="00CC0745" w:rsidRPr="00CC0745" w:rsidRDefault="00CC0745" w:rsidP="00CC0745">
            <w:pPr>
              <w:spacing w:after="0" w:line="240" w:lineRule="auto"/>
              <w:jc w:val="right"/>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1 324 957</w:t>
            </w:r>
          </w:p>
        </w:tc>
        <w:tc>
          <w:tcPr>
            <w:tcW w:w="960" w:type="dxa"/>
            <w:tcBorders>
              <w:top w:val="nil"/>
              <w:left w:val="nil"/>
              <w:bottom w:val="nil"/>
              <w:right w:val="nil"/>
            </w:tcBorders>
            <w:shd w:val="clear" w:color="000000" w:fill="F2F2F2"/>
            <w:noWrap/>
            <w:vAlign w:val="bottom"/>
            <w:hideMark/>
          </w:tcPr>
          <w:p w:rsidR="00CC0745" w:rsidRPr="00CC0745" w:rsidRDefault="00CC0745" w:rsidP="00CC0745">
            <w:pPr>
              <w:spacing w:after="0" w:line="240" w:lineRule="auto"/>
              <w:jc w:val="right"/>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1 307 228</w:t>
            </w:r>
          </w:p>
        </w:tc>
        <w:tc>
          <w:tcPr>
            <w:tcW w:w="960" w:type="dxa"/>
            <w:tcBorders>
              <w:top w:val="nil"/>
              <w:left w:val="nil"/>
              <w:bottom w:val="nil"/>
              <w:right w:val="nil"/>
            </w:tcBorders>
            <w:shd w:val="clear" w:color="000000" w:fill="F2F2F2"/>
            <w:noWrap/>
            <w:vAlign w:val="bottom"/>
            <w:hideMark/>
          </w:tcPr>
          <w:p w:rsidR="00CC0745" w:rsidRPr="00CC0745" w:rsidRDefault="00CC0745" w:rsidP="00CC0745">
            <w:pPr>
              <w:spacing w:after="0" w:line="240" w:lineRule="auto"/>
              <w:jc w:val="right"/>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1 348 917</w:t>
            </w:r>
          </w:p>
        </w:tc>
        <w:tc>
          <w:tcPr>
            <w:tcW w:w="960" w:type="dxa"/>
            <w:tcBorders>
              <w:top w:val="nil"/>
              <w:left w:val="nil"/>
              <w:bottom w:val="nil"/>
              <w:right w:val="nil"/>
            </w:tcBorders>
            <w:shd w:val="clear" w:color="000000" w:fill="F2F2F2"/>
            <w:noWrap/>
            <w:vAlign w:val="bottom"/>
            <w:hideMark/>
          </w:tcPr>
          <w:p w:rsidR="00CC0745" w:rsidRPr="00CC0745" w:rsidRDefault="00CC0745" w:rsidP="00CC0745">
            <w:pPr>
              <w:spacing w:after="0" w:line="240" w:lineRule="auto"/>
              <w:jc w:val="right"/>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1 228 123</w:t>
            </w:r>
          </w:p>
        </w:tc>
      </w:tr>
      <w:tr w:rsidR="00CC0745" w:rsidRPr="00CC0745" w:rsidTr="00CC0745">
        <w:trPr>
          <w:trHeight w:val="300"/>
        </w:trPr>
        <w:tc>
          <w:tcPr>
            <w:tcW w:w="3276" w:type="dxa"/>
            <w:tcBorders>
              <w:top w:val="nil"/>
              <w:left w:val="nil"/>
              <w:bottom w:val="nil"/>
              <w:right w:val="single" w:sz="4" w:space="0" w:color="auto"/>
            </w:tcBorders>
            <w:shd w:val="clear" w:color="auto" w:fill="auto"/>
            <w:noWrap/>
            <w:vAlign w:val="bottom"/>
            <w:hideMark/>
          </w:tcPr>
          <w:p w:rsidR="00CC0745" w:rsidRPr="00CC0745" w:rsidRDefault="00CC0745" w:rsidP="00CC0745">
            <w:pPr>
              <w:spacing w:after="0" w:line="240" w:lineRule="auto"/>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Spotreba celkom</w:t>
            </w:r>
          </w:p>
        </w:tc>
        <w:tc>
          <w:tcPr>
            <w:tcW w:w="960" w:type="dxa"/>
            <w:tcBorders>
              <w:top w:val="nil"/>
              <w:left w:val="nil"/>
              <w:bottom w:val="nil"/>
              <w:right w:val="single" w:sz="4" w:space="0" w:color="auto"/>
            </w:tcBorders>
            <w:shd w:val="clear" w:color="auto" w:fill="auto"/>
            <w:noWrap/>
            <w:vAlign w:val="bottom"/>
            <w:hideMark/>
          </w:tcPr>
          <w:p w:rsidR="00CC0745" w:rsidRPr="00CC0745" w:rsidRDefault="00CC0745" w:rsidP="006B5EAD">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w:t>
            </w:r>
            <w:r w:rsidR="006B5EAD">
              <w:rPr>
                <w:rFonts w:ascii="Times New Roman" w:eastAsia="Times New Roman" w:hAnsi="Times New Roman" w:cs="Times New Roman"/>
                <w:color w:val="000000"/>
                <w:sz w:val="20"/>
                <w:szCs w:val="20"/>
              </w:rPr>
              <w:t> 151 821</w:t>
            </w:r>
          </w:p>
        </w:tc>
        <w:tc>
          <w:tcPr>
            <w:tcW w:w="960" w:type="dxa"/>
            <w:tcBorders>
              <w:top w:val="nil"/>
              <w:left w:val="nil"/>
              <w:bottom w:val="nil"/>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994 126</w:t>
            </w:r>
          </w:p>
        </w:tc>
        <w:tc>
          <w:tcPr>
            <w:tcW w:w="960" w:type="dxa"/>
            <w:tcBorders>
              <w:top w:val="nil"/>
              <w:left w:val="nil"/>
              <w:bottom w:val="nil"/>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1 104 431</w:t>
            </w:r>
          </w:p>
        </w:tc>
        <w:tc>
          <w:tcPr>
            <w:tcW w:w="960" w:type="dxa"/>
            <w:tcBorders>
              <w:top w:val="nil"/>
              <w:left w:val="nil"/>
              <w:bottom w:val="nil"/>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1 082 984</w:t>
            </w:r>
          </w:p>
        </w:tc>
        <w:tc>
          <w:tcPr>
            <w:tcW w:w="960" w:type="dxa"/>
            <w:tcBorders>
              <w:top w:val="nil"/>
              <w:left w:val="nil"/>
              <w:bottom w:val="nil"/>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1 128 384</w:t>
            </w:r>
          </w:p>
        </w:tc>
        <w:tc>
          <w:tcPr>
            <w:tcW w:w="960" w:type="dxa"/>
            <w:tcBorders>
              <w:top w:val="nil"/>
              <w:left w:val="nil"/>
              <w:bottom w:val="nil"/>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1 118 440</w:t>
            </w:r>
          </w:p>
        </w:tc>
      </w:tr>
      <w:tr w:rsidR="00CC0745" w:rsidRPr="00CC0745" w:rsidTr="00CC0745">
        <w:trPr>
          <w:trHeight w:val="300"/>
        </w:trPr>
        <w:tc>
          <w:tcPr>
            <w:tcW w:w="3276" w:type="dxa"/>
            <w:tcBorders>
              <w:top w:val="nil"/>
              <w:left w:val="nil"/>
              <w:bottom w:val="single" w:sz="4" w:space="0" w:color="auto"/>
              <w:right w:val="single" w:sz="4" w:space="0" w:color="auto"/>
            </w:tcBorders>
            <w:shd w:val="clear" w:color="auto" w:fill="auto"/>
            <w:noWrap/>
            <w:vAlign w:val="bottom"/>
            <w:hideMark/>
          </w:tcPr>
          <w:p w:rsidR="00CC0745" w:rsidRPr="00CC0745" w:rsidRDefault="00CC0745" w:rsidP="00CC0745">
            <w:pPr>
              <w:spacing w:after="0" w:line="240" w:lineRule="auto"/>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Vývoz</w:t>
            </w:r>
          </w:p>
        </w:tc>
        <w:tc>
          <w:tcPr>
            <w:tcW w:w="960" w:type="dxa"/>
            <w:tcBorders>
              <w:top w:val="nil"/>
              <w:left w:val="nil"/>
              <w:bottom w:val="single" w:sz="4" w:space="0" w:color="auto"/>
              <w:right w:val="single" w:sz="4" w:space="0" w:color="auto"/>
            </w:tcBorders>
            <w:shd w:val="clear" w:color="auto" w:fill="auto"/>
            <w:noWrap/>
            <w:vAlign w:val="bottom"/>
            <w:hideMark/>
          </w:tcPr>
          <w:p w:rsidR="00CC0745" w:rsidRPr="00CC0745" w:rsidRDefault="006B5EAD" w:rsidP="00CC074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22 671</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116 043</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203 417</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204 866</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200 841</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99 432</w:t>
            </w:r>
          </w:p>
        </w:tc>
      </w:tr>
      <w:tr w:rsidR="00CC0745" w:rsidRPr="00CC0745" w:rsidTr="00CC0745">
        <w:trPr>
          <w:trHeight w:val="300"/>
        </w:trPr>
        <w:tc>
          <w:tcPr>
            <w:tcW w:w="3276" w:type="dxa"/>
            <w:tcBorders>
              <w:top w:val="nil"/>
              <w:left w:val="nil"/>
              <w:bottom w:val="nil"/>
              <w:right w:val="single" w:sz="4" w:space="0" w:color="auto"/>
            </w:tcBorders>
            <w:shd w:val="clear" w:color="000000" w:fill="F2F2F2"/>
            <w:noWrap/>
            <w:vAlign w:val="bottom"/>
            <w:hideMark/>
          </w:tcPr>
          <w:p w:rsidR="00CC0745" w:rsidRPr="00CC0745" w:rsidRDefault="00CC0745" w:rsidP="00CC0745">
            <w:pPr>
              <w:spacing w:after="0" w:line="240" w:lineRule="auto"/>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Celkové použitie</w:t>
            </w:r>
          </w:p>
        </w:tc>
        <w:tc>
          <w:tcPr>
            <w:tcW w:w="960" w:type="dxa"/>
            <w:tcBorders>
              <w:top w:val="nil"/>
              <w:left w:val="nil"/>
              <w:bottom w:val="nil"/>
              <w:right w:val="single" w:sz="4" w:space="0" w:color="auto"/>
            </w:tcBorders>
            <w:shd w:val="clear" w:color="000000" w:fill="F2F2F2"/>
            <w:noWrap/>
            <w:vAlign w:val="bottom"/>
            <w:hideMark/>
          </w:tcPr>
          <w:p w:rsidR="00CC0745" w:rsidRPr="00CC0745" w:rsidRDefault="006B5EAD" w:rsidP="00CC0745">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1 1</w:t>
            </w:r>
            <w:r w:rsidR="00CC0745" w:rsidRPr="00CC0745">
              <w:rPr>
                <w:rFonts w:ascii="Times New Roman" w:eastAsia="Times New Roman" w:hAnsi="Times New Roman" w:cs="Times New Roman"/>
                <w:b/>
                <w:bCs/>
                <w:color w:val="000000"/>
                <w:sz w:val="20"/>
                <w:szCs w:val="20"/>
              </w:rPr>
              <w:t>7</w:t>
            </w:r>
            <w:r>
              <w:rPr>
                <w:rFonts w:ascii="Times New Roman" w:eastAsia="Times New Roman" w:hAnsi="Times New Roman" w:cs="Times New Roman"/>
                <w:b/>
                <w:bCs/>
                <w:color w:val="000000"/>
                <w:sz w:val="20"/>
                <w:szCs w:val="20"/>
              </w:rPr>
              <w:t>4 4</w:t>
            </w:r>
            <w:r w:rsidR="00CC0745" w:rsidRPr="00CC0745">
              <w:rPr>
                <w:rFonts w:ascii="Times New Roman" w:eastAsia="Times New Roman" w:hAnsi="Times New Roman" w:cs="Times New Roman"/>
                <w:b/>
                <w:bCs/>
                <w:color w:val="000000"/>
                <w:sz w:val="20"/>
                <w:szCs w:val="20"/>
              </w:rPr>
              <w:t>9</w:t>
            </w:r>
            <w:r>
              <w:rPr>
                <w:rFonts w:ascii="Times New Roman" w:eastAsia="Times New Roman" w:hAnsi="Times New Roman" w:cs="Times New Roman"/>
                <w:b/>
                <w:bCs/>
                <w:color w:val="000000"/>
                <w:sz w:val="20"/>
                <w:szCs w:val="20"/>
              </w:rPr>
              <w:t>2</w:t>
            </w:r>
          </w:p>
        </w:tc>
        <w:tc>
          <w:tcPr>
            <w:tcW w:w="960" w:type="dxa"/>
            <w:tcBorders>
              <w:top w:val="nil"/>
              <w:left w:val="nil"/>
              <w:bottom w:val="nil"/>
              <w:right w:val="nil"/>
            </w:tcBorders>
            <w:shd w:val="clear" w:color="000000" w:fill="F2F2F2"/>
            <w:noWrap/>
            <w:vAlign w:val="bottom"/>
            <w:hideMark/>
          </w:tcPr>
          <w:p w:rsidR="00CC0745" w:rsidRPr="00CC0745" w:rsidRDefault="00CC0745" w:rsidP="00CC0745">
            <w:pPr>
              <w:spacing w:after="0" w:line="240" w:lineRule="auto"/>
              <w:jc w:val="right"/>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1 110 169</w:t>
            </w:r>
          </w:p>
        </w:tc>
        <w:tc>
          <w:tcPr>
            <w:tcW w:w="960" w:type="dxa"/>
            <w:tcBorders>
              <w:top w:val="nil"/>
              <w:left w:val="nil"/>
              <w:bottom w:val="nil"/>
              <w:right w:val="nil"/>
            </w:tcBorders>
            <w:shd w:val="clear" w:color="000000" w:fill="F2F2F2"/>
            <w:noWrap/>
            <w:vAlign w:val="bottom"/>
            <w:hideMark/>
          </w:tcPr>
          <w:p w:rsidR="00CC0745" w:rsidRPr="00CC0745" w:rsidRDefault="00CC0745" w:rsidP="00CC0745">
            <w:pPr>
              <w:spacing w:after="0" w:line="240" w:lineRule="auto"/>
              <w:jc w:val="right"/>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1 307 848</w:t>
            </w:r>
          </w:p>
        </w:tc>
        <w:tc>
          <w:tcPr>
            <w:tcW w:w="960" w:type="dxa"/>
            <w:tcBorders>
              <w:top w:val="nil"/>
              <w:left w:val="nil"/>
              <w:bottom w:val="nil"/>
              <w:right w:val="nil"/>
            </w:tcBorders>
            <w:shd w:val="clear" w:color="000000" w:fill="F2F2F2"/>
            <w:noWrap/>
            <w:vAlign w:val="bottom"/>
            <w:hideMark/>
          </w:tcPr>
          <w:p w:rsidR="00CC0745" w:rsidRPr="00CC0745" w:rsidRDefault="00CC0745" w:rsidP="00CC0745">
            <w:pPr>
              <w:spacing w:after="0" w:line="240" w:lineRule="auto"/>
              <w:jc w:val="right"/>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1 287 850</w:t>
            </w:r>
          </w:p>
        </w:tc>
        <w:tc>
          <w:tcPr>
            <w:tcW w:w="960" w:type="dxa"/>
            <w:tcBorders>
              <w:top w:val="nil"/>
              <w:left w:val="nil"/>
              <w:bottom w:val="nil"/>
              <w:right w:val="nil"/>
            </w:tcBorders>
            <w:shd w:val="clear" w:color="000000" w:fill="F2F2F2"/>
            <w:noWrap/>
            <w:vAlign w:val="bottom"/>
            <w:hideMark/>
          </w:tcPr>
          <w:p w:rsidR="00CC0745" w:rsidRPr="00CC0745" w:rsidRDefault="00CC0745" w:rsidP="00CC0745">
            <w:pPr>
              <w:spacing w:after="0" w:line="240" w:lineRule="auto"/>
              <w:jc w:val="right"/>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1 329 225</w:t>
            </w:r>
          </w:p>
        </w:tc>
        <w:tc>
          <w:tcPr>
            <w:tcW w:w="960" w:type="dxa"/>
            <w:tcBorders>
              <w:top w:val="nil"/>
              <w:left w:val="nil"/>
              <w:bottom w:val="nil"/>
              <w:right w:val="nil"/>
            </w:tcBorders>
            <w:shd w:val="clear" w:color="000000" w:fill="F2F2F2"/>
            <w:noWrap/>
            <w:vAlign w:val="bottom"/>
            <w:hideMark/>
          </w:tcPr>
          <w:p w:rsidR="00CC0745" w:rsidRPr="00CC0745" w:rsidRDefault="00CC0745" w:rsidP="00CC0745">
            <w:pPr>
              <w:spacing w:after="0" w:line="240" w:lineRule="auto"/>
              <w:jc w:val="right"/>
              <w:rPr>
                <w:rFonts w:ascii="Times New Roman" w:eastAsia="Times New Roman" w:hAnsi="Times New Roman" w:cs="Times New Roman"/>
                <w:b/>
                <w:bCs/>
                <w:color w:val="000000"/>
                <w:sz w:val="20"/>
                <w:szCs w:val="20"/>
              </w:rPr>
            </w:pPr>
            <w:r w:rsidRPr="00CC0745">
              <w:rPr>
                <w:rFonts w:ascii="Times New Roman" w:eastAsia="Times New Roman" w:hAnsi="Times New Roman" w:cs="Times New Roman"/>
                <w:b/>
                <w:bCs/>
                <w:color w:val="000000"/>
                <w:sz w:val="20"/>
                <w:szCs w:val="20"/>
              </w:rPr>
              <w:t>1 217 872</w:t>
            </w:r>
          </w:p>
        </w:tc>
      </w:tr>
      <w:tr w:rsidR="00CC0745" w:rsidRPr="00CC0745" w:rsidTr="00CC0745">
        <w:trPr>
          <w:trHeight w:val="300"/>
        </w:trPr>
        <w:tc>
          <w:tcPr>
            <w:tcW w:w="3276" w:type="dxa"/>
            <w:tcBorders>
              <w:top w:val="nil"/>
              <w:left w:val="nil"/>
              <w:bottom w:val="single" w:sz="4" w:space="0" w:color="auto"/>
              <w:right w:val="single" w:sz="4" w:space="0" w:color="auto"/>
            </w:tcBorders>
            <w:shd w:val="clear" w:color="auto" w:fill="auto"/>
            <w:noWrap/>
            <w:vAlign w:val="bottom"/>
            <w:hideMark/>
          </w:tcPr>
          <w:p w:rsidR="00CC0745" w:rsidRPr="00CC0745" w:rsidRDefault="00CC0745" w:rsidP="00CC0745">
            <w:pPr>
              <w:spacing w:after="0" w:line="240" w:lineRule="auto"/>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Konečné zásoby</w:t>
            </w:r>
          </w:p>
        </w:tc>
        <w:tc>
          <w:tcPr>
            <w:tcW w:w="960" w:type="dxa"/>
            <w:tcBorders>
              <w:top w:val="nil"/>
              <w:left w:val="nil"/>
              <w:bottom w:val="single" w:sz="4" w:space="0" w:color="auto"/>
              <w:right w:val="single" w:sz="4" w:space="0" w:color="auto"/>
            </w:tcBorders>
            <w:shd w:val="clear" w:color="auto" w:fill="auto"/>
            <w:noWrap/>
            <w:vAlign w:val="bottom"/>
            <w:hideMark/>
          </w:tcPr>
          <w:p w:rsidR="00CC0745" w:rsidRPr="00CC0745" w:rsidRDefault="005A4E5D" w:rsidP="00CC074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32 177</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15 183</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17 109</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18 378</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19 692</w:t>
            </w:r>
          </w:p>
        </w:tc>
        <w:tc>
          <w:tcPr>
            <w:tcW w:w="960" w:type="dxa"/>
            <w:tcBorders>
              <w:top w:val="nil"/>
              <w:left w:val="nil"/>
              <w:bottom w:val="single" w:sz="4" w:space="0" w:color="auto"/>
              <w:right w:val="nil"/>
            </w:tcBorders>
            <w:shd w:val="clear" w:color="auto" w:fill="auto"/>
            <w:noWrap/>
            <w:vAlign w:val="bottom"/>
            <w:hideMark/>
          </w:tcPr>
          <w:p w:rsidR="00CC0745" w:rsidRPr="00CC0745" w:rsidRDefault="00CC0745" w:rsidP="00CC0745">
            <w:pPr>
              <w:spacing w:after="0" w:line="240" w:lineRule="auto"/>
              <w:jc w:val="right"/>
              <w:rPr>
                <w:rFonts w:ascii="Times New Roman" w:eastAsia="Times New Roman" w:hAnsi="Times New Roman" w:cs="Times New Roman"/>
                <w:color w:val="000000"/>
                <w:sz w:val="20"/>
                <w:szCs w:val="20"/>
              </w:rPr>
            </w:pPr>
            <w:r w:rsidRPr="00CC0745">
              <w:rPr>
                <w:rFonts w:ascii="Times New Roman" w:eastAsia="Times New Roman" w:hAnsi="Times New Roman" w:cs="Times New Roman"/>
                <w:color w:val="000000"/>
                <w:sz w:val="20"/>
                <w:szCs w:val="20"/>
              </w:rPr>
              <w:t>10 251</w:t>
            </w:r>
          </w:p>
        </w:tc>
      </w:tr>
    </w:tbl>
    <w:p w:rsidR="003B6A4E" w:rsidRDefault="003B6A4E" w:rsidP="00CC074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234CCD" w:rsidRDefault="00234CCD" w:rsidP="00FF6375">
      <w:pPr>
        <w:spacing w:after="0" w:line="240" w:lineRule="auto"/>
        <w:jc w:val="both"/>
        <w:rPr>
          <w:rFonts w:ascii="Times New Roman" w:hAnsi="Times New Roman" w:cs="Times New Roman"/>
          <w:sz w:val="24"/>
          <w:szCs w:val="24"/>
        </w:rPr>
      </w:pPr>
    </w:p>
    <w:p w:rsidR="003B6A4E" w:rsidRDefault="003B6A4E" w:rsidP="00FF6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celkovej produkcie konzumných vajec sa na Slovensku spotrebuje až 91%, čo znamená, že dovozom sa vykrýva celkový domáci dopyt len z 8,5 %-nej časti. </w:t>
      </w:r>
      <w:r w:rsidR="00FF6375">
        <w:rPr>
          <w:rFonts w:ascii="Times New Roman" w:hAnsi="Times New Roman" w:cs="Times New Roman"/>
          <w:sz w:val="24"/>
          <w:szCs w:val="24"/>
        </w:rPr>
        <w:t xml:space="preserve">Samotná produkcia konzumných vajec je zo strednodobého hľadiska stabilná a nič nenasvedčuje tomu, že by sa mala situácia zmeniť. </w:t>
      </w:r>
    </w:p>
    <w:p w:rsidR="00C17C9C" w:rsidRDefault="00C17C9C" w:rsidP="00FF6375">
      <w:pPr>
        <w:spacing w:after="0" w:line="240" w:lineRule="auto"/>
        <w:jc w:val="both"/>
        <w:rPr>
          <w:rFonts w:ascii="Times New Roman" w:hAnsi="Times New Roman" w:cs="Times New Roman"/>
          <w:sz w:val="20"/>
          <w:szCs w:val="20"/>
        </w:rPr>
      </w:pPr>
    </w:p>
    <w:p w:rsidR="00B0796C" w:rsidRPr="00B0796C" w:rsidRDefault="003E1DE4" w:rsidP="00FF637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Graf č. </w:t>
      </w:r>
      <w:r w:rsidR="00C970F8">
        <w:rPr>
          <w:rFonts w:ascii="Times New Roman" w:hAnsi="Times New Roman" w:cs="Times New Roman"/>
          <w:sz w:val="20"/>
          <w:szCs w:val="20"/>
        </w:rPr>
        <w:t>31</w:t>
      </w:r>
      <w:r w:rsidR="00B0796C" w:rsidRPr="00155936">
        <w:rPr>
          <w:rFonts w:ascii="Times New Roman" w:hAnsi="Times New Roman" w:cs="Times New Roman"/>
          <w:sz w:val="20"/>
          <w:szCs w:val="20"/>
        </w:rPr>
        <w:t>:</w:t>
      </w:r>
      <w:r w:rsidR="00B0796C">
        <w:rPr>
          <w:rFonts w:ascii="Times New Roman" w:hAnsi="Times New Roman" w:cs="Times New Roman"/>
          <w:sz w:val="20"/>
          <w:szCs w:val="20"/>
        </w:rPr>
        <w:t xml:space="preserve"> S</w:t>
      </w:r>
      <w:r w:rsidR="00B0796C" w:rsidRPr="008C3068">
        <w:rPr>
          <w:rFonts w:ascii="Times New Roman" w:hAnsi="Times New Roman" w:cs="Times New Roman"/>
          <w:sz w:val="20"/>
          <w:szCs w:val="20"/>
        </w:rPr>
        <w:t xml:space="preserve">potreba </w:t>
      </w:r>
      <w:r w:rsidR="00B0796C">
        <w:rPr>
          <w:rFonts w:ascii="Times New Roman" w:hAnsi="Times New Roman" w:cs="Times New Roman"/>
          <w:sz w:val="20"/>
          <w:szCs w:val="20"/>
        </w:rPr>
        <w:t>konzumných vajec</w:t>
      </w:r>
      <w:r w:rsidR="00B0796C" w:rsidRPr="008C3068">
        <w:rPr>
          <w:rFonts w:ascii="Times New Roman" w:hAnsi="Times New Roman" w:cs="Times New Roman"/>
          <w:sz w:val="20"/>
          <w:szCs w:val="20"/>
        </w:rPr>
        <w:t xml:space="preserve"> na obyvateľa v kg za rok</w:t>
      </w:r>
    </w:p>
    <w:p w:rsidR="00FF6375" w:rsidRDefault="00371706" w:rsidP="00FF6375">
      <w:pPr>
        <w:spacing w:after="0" w:line="240" w:lineRule="auto"/>
        <w:jc w:val="both"/>
        <w:rPr>
          <w:rFonts w:ascii="Times New Roman" w:hAnsi="Times New Roman" w:cs="Times New Roman"/>
          <w:sz w:val="24"/>
          <w:szCs w:val="24"/>
        </w:rPr>
      </w:pPr>
      <w:r>
        <w:rPr>
          <w:noProof/>
        </w:rPr>
        <w:drawing>
          <wp:inline distT="0" distB="0" distL="0" distR="0" wp14:anchorId="06E2EBDE" wp14:editId="4A7F6549">
            <wp:extent cx="5735116" cy="1470355"/>
            <wp:effectExtent l="0" t="0" r="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0796C" w:rsidRDefault="00B0796C" w:rsidP="00B0796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F6585B" w:rsidRDefault="00F6585B" w:rsidP="0031256C">
      <w:pPr>
        <w:spacing w:after="0" w:line="240" w:lineRule="auto"/>
        <w:jc w:val="both"/>
        <w:rPr>
          <w:rFonts w:ascii="Times New Roman" w:hAnsi="Times New Roman" w:cs="Times New Roman"/>
          <w:sz w:val="24"/>
          <w:szCs w:val="24"/>
        </w:rPr>
      </w:pPr>
    </w:p>
    <w:p w:rsidR="0031256C" w:rsidRDefault="0031256C" w:rsidP="003125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hľadiska súčasnej úrovne spotreby konzumných vajec, berúc do úvahy spotrebiteľské preferencie, môžeme konštatovať, že tieto sú v strednodobom horizonte stabilné a nadpriemerné oproti referenčnému roku 2002.</w:t>
      </w:r>
    </w:p>
    <w:p w:rsidR="00B0796C" w:rsidRDefault="00B0796C" w:rsidP="00FF6375">
      <w:pPr>
        <w:spacing w:after="0" w:line="240" w:lineRule="auto"/>
        <w:jc w:val="both"/>
        <w:rPr>
          <w:rFonts w:ascii="Times New Roman" w:hAnsi="Times New Roman" w:cs="Times New Roman"/>
          <w:sz w:val="24"/>
          <w:szCs w:val="24"/>
        </w:rPr>
      </w:pPr>
    </w:p>
    <w:p w:rsidR="00C448B2" w:rsidRPr="00C448B2" w:rsidRDefault="003E1DE4" w:rsidP="00FF637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Graf č. </w:t>
      </w:r>
      <w:r w:rsidR="00C970F8">
        <w:rPr>
          <w:rFonts w:ascii="Times New Roman" w:hAnsi="Times New Roman" w:cs="Times New Roman"/>
          <w:sz w:val="20"/>
          <w:szCs w:val="20"/>
        </w:rPr>
        <w:t>32</w:t>
      </w:r>
      <w:r w:rsidR="00C448B2" w:rsidRPr="00C55549">
        <w:rPr>
          <w:rFonts w:ascii="Times New Roman" w:hAnsi="Times New Roman" w:cs="Times New Roman"/>
          <w:sz w:val="20"/>
          <w:szCs w:val="20"/>
        </w:rPr>
        <w:t>:</w:t>
      </w:r>
      <w:r w:rsidR="00C448B2">
        <w:rPr>
          <w:rFonts w:ascii="Times New Roman" w:hAnsi="Times New Roman" w:cs="Times New Roman"/>
          <w:sz w:val="20"/>
          <w:szCs w:val="20"/>
        </w:rPr>
        <w:t xml:space="preserve"> Vývoj cien na jednotlivých stupňoch potravinovej vertikály (cena v EUR/1 ks </w:t>
      </w:r>
      <w:r w:rsidR="00C448B2" w:rsidRPr="0000713C">
        <w:rPr>
          <w:rFonts w:ascii="Times New Roman" w:hAnsi="Times New Roman" w:cs="Times New Roman"/>
          <w:sz w:val="20"/>
          <w:szCs w:val="20"/>
        </w:rPr>
        <w:t>bez DPH</w:t>
      </w:r>
      <w:r w:rsidR="00C448B2">
        <w:rPr>
          <w:rFonts w:ascii="Times New Roman" w:hAnsi="Times New Roman" w:cs="Times New Roman"/>
          <w:sz w:val="20"/>
          <w:szCs w:val="20"/>
        </w:rPr>
        <w:t>)</w:t>
      </w:r>
    </w:p>
    <w:p w:rsidR="008177AE" w:rsidRDefault="00C448B2" w:rsidP="00FF6375">
      <w:pPr>
        <w:spacing w:after="0" w:line="240" w:lineRule="auto"/>
        <w:jc w:val="both"/>
        <w:rPr>
          <w:rFonts w:ascii="Times New Roman" w:hAnsi="Times New Roman" w:cs="Times New Roman"/>
          <w:sz w:val="24"/>
          <w:szCs w:val="24"/>
        </w:rPr>
      </w:pPr>
      <w:r>
        <w:rPr>
          <w:noProof/>
        </w:rPr>
        <w:drawing>
          <wp:inline distT="0" distB="0" distL="0" distR="0" wp14:anchorId="145D7FDB" wp14:editId="61FEC255">
            <wp:extent cx="5786323" cy="2560320"/>
            <wp:effectExtent l="0" t="0" r="0"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177AE" w:rsidRPr="003E1DE4" w:rsidRDefault="00B51D5F" w:rsidP="003E1DE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B51D5F" w:rsidRDefault="00AC057E" w:rsidP="00FF6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Analýza cien na jednotlivých stupňoch potravinovej vertikály len potvrdzuje stabilný trend z hľadiska stredného obdobia. Stabilné ceny prvovýrobcov a minimálne navýšenia priemerných spotrebiteľských cien, spolu s vysokým percentom odbytu domácej produkcie na domácom trhu signalizujú, že trh je v tejto komodite zdravo konkurenčný a ponuka je takmer vyrovnaná s dopytom.</w:t>
      </w:r>
    </w:p>
    <w:p w:rsidR="005112BA" w:rsidRDefault="005112BA" w:rsidP="00FF6375">
      <w:pPr>
        <w:spacing w:after="0" w:line="240" w:lineRule="auto"/>
        <w:jc w:val="both"/>
        <w:rPr>
          <w:rFonts w:ascii="Times New Roman" w:hAnsi="Times New Roman" w:cs="Times New Roman"/>
          <w:sz w:val="24"/>
          <w:szCs w:val="24"/>
        </w:rPr>
      </w:pPr>
    </w:p>
    <w:p w:rsidR="005112BA" w:rsidRDefault="005112BA" w:rsidP="00511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Taktiež vývoj indexov cien na jednotlivých stupňoch potravinovej vertikály ukazuje približné kopírovanie cenových nárastov a poklesov pre prvovýrobu a odbyt.</w:t>
      </w:r>
    </w:p>
    <w:p w:rsidR="00B51D5F" w:rsidRDefault="00B51D5F" w:rsidP="00FF6375">
      <w:pPr>
        <w:spacing w:after="0" w:line="240" w:lineRule="auto"/>
        <w:jc w:val="both"/>
        <w:rPr>
          <w:rFonts w:ascii="Times New Roman" w:hAnsi="Times New Roman" w:cs="Times New Roman"/>
          <w:sz w:val="24"/>
          <w:szCs w:val="24"/>
        </w:rPr>
      </w:pPr>
    </w:p>
    <w:p w:rsidR="00AC057E" w:rsidRDefault="003E1DE4" w:rsidP="00FF6375">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Graf č. </w:t>
      </w:r>
      <w:r w:rsidR="00C970F8">
        <w:rPr>
          <w:rFonts w:ascii="Times New Roman" w:hAnsi="Times New Roman" w:cs="Times New Roman"/>
          <w:sz w:val="20"/>
          <w:szCs w:val="20"/>
        </w:rPr>
        <w:t>33</w:t>
      </w:r>
      <w:r w:rsidR="00AC057E" w:rsidRPr="00C55549">
        <w:rPr>
          <w:rFonts w:ascii="Times New Roman" w:hAnsi="Times New Roman" w:cs="Times New Roman"/>
          <w:sz w:val="20"/>
          <w:szCs w:val="20"/>
        </w:rPr>
        <w:t>:</w:t>
      </w:r>
      <w:r w:rsidR="00BD3B11">
        <w:rPr>
          <w:rFonts w:ascii="Times New Roman" w:hAnsi="Times New Roman" w:cs="Times New Roman"/>
          <w:sz w:val="20"/>
          <w:szCs w:val="20"/>
        </w:rPr>
        <w:t xml:space="preserve"> Vývoj cenových indexov na jednotlivých stupňoch potravinovej vertikály</w:t>
      </w:r>
    </w:p>
    <w:p w:rsidR="00AC057E" w:rsidRDefault="00AC057E" w:rsidP="00FF6375">
      <w:pPr>
        <w:spacing w:after="0" w:line="240" w:lineRule="auto"/>
        <w:jc w:val="both"/>
        <w:rPr>
          <w:rFonts w:ascii="Times New Roman" w:hAnsi="Times New Roman" w:cs="Times New Roman"/>
          <w:sz w:val="24"/>
          <w:szCs w:val="24"/>
        </w:rPr>
      </w:pPr>
      <w:r>
        <w:rPr>
          <w:noProof/>
        </w:rPr>
        <w:drawing>
          <wp:inline distT="0" distB="0" distL="0" distR="0" wp14:anchorId="0572258D" wp14:editId="07175091">
            <wp:extent cx="5735116" cy="2435962"/>
            <wp:effectExtent l="0" t="0" r="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C057E" w:rsidRPr="0097752F" w:rsidRDefault="00AC057E" w:rsidP="009775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183D42" w:rsidRDefault="00FF6375" w:rsidP="00DB49CD">
      <w:pPr>
        <w:pBdr>
          <w:top w:val="single" w:sz="4" w:space="1" w:color="auto"/>
          <w:bottom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Na základe týchto skutočností môžeme konštatovať, že trh s konzumných vajcami je z hľadiska potravinovej vertikály zdravý a plne korešponduje s cieľmi tejto strednodobej koncepcie.</w:t>
      </w:r>
    </w:p>
    <w:p w:rsidR="001B31FF" w:rsidRDefault="001B31FF" w:rsidP="00B0796C">
      <w:pPr>
        <w:spacing w:after="0" w:line="240" w:lineRule="auto"/>
        <w:jc w:val="both"/>
        <w:rPr>
          <w:rFonts w:ascii="Times New Roman" w:hAnsi="Times New Roman" w:cs="Times New Roman"/>
          <w:sz w:val="24"/>
          <w:szCs w:val="24"/>
        </w:rPr>
      </w:pPr>
    </w:p>
    <w:p w:rsidR="001B31FF" w:rsidRPr="00352722" w:rsidRDefault="001B31FF" w:rsidP="000D68DC">
      <w:pPr>
        <w:pStyle w:val="Nadpis3"/>
        <w:numPr>
          <w:ilvl w:val="2"/>
          <w:numId w:val="8"/>
        </w:numPr>
      </w:pPr>
      <w:bookmarkStart w:id="27" w:name="_Toc359550648"/>
      <w:r>
        <w:t xml:space="preserve">Identifikované scenáre vývoja z hľadiska zabezpečenia </w:t>
      </w:r>
      <w:r w:rsidR="00234CCD">
        <w:t>produkčnej výkonnosti</w:t>
      </w:r>
      <w:r>
        <w:t xml:space="preserve"> v nosných komoditách živočíšnej výroby na úrovni 80 % súčasnej spotreby obyvateľstva SR</w:t>
      </w:r>
      <w:bookmarkEnd w:id="27"/>
    </w:p>
    <w:p w:rsidR="00EE0E93" w:rsidRDefault="00EE0E93" w:rsidP="00B0796C">
      <w:pPr>
        <w:spacing w:after="0" w:line="240" w:lineRule="auto"/>
        <w:jc w:val="both"/>
        <w:rPr>
          <w:rFonts w:ascii="Times New Roman" w:hAnsi="Times New Roman" w:cs="Times New Roman"/>
          <w:sz w:val="24"/>
          <w:szCs w:val="24"/>
        </w:rPr>
      </w:pPr>
    </w:p>
    <w:p w:rsidR="00066B79" w:rsidRDefault="001B31FF" w:rsidP="00B0796C">
      <w:pPr>
        <w:spacing w:after="0" w:line="240" w:lineRule="auto"/>
        <w:jc w:val="both"/>
        <w:rPr>
          <w:rFonts w:ascii="Times New Roman" w:hAnsi="Times New Roman" w:cs="Times New Roman"/>
          <w:sz w:val="24"/>
          <w:szCs w:val="24"/>
        </w:rPr>
      </w:pPr>
      <w:r w:rsidRPr="00941A61">
        <w:rPr>
          <w:rFonts w:ascii="Times New Roman" w:hAnsi="Times New Roman" w:cs="Times New Roman"/>
          <w:sz w:val="24"/>
          <w:szCs w:val="24"/>
        </w:rPr>
        <w:t xml:space="preserve">Na základe vykonaných analýz potravinovej vertikály v nosných komoditách živočíšnej výroby je zrejmé, že cieľ dosiahnuť </w:t>
      </w:r>
      <w:r w:rsidR="00234CCD" w:rsidRPr="00941A61">
        <w:rPr>
          <w:rFonts w:ascii="Times New Roman" w:hAnsi="Times New Roman" w:cs="Times New Roman"/>
          <w:sz w:val="24"/>
          <w:szCs w:val="24"/>
        </w:rPr>
        <w:t>produkčnú výkonnosť</w:t>
      </w:r>
      <w:r w:rsidR="003748EC">
        <w:rPr>
          <w:rFonts w:ascii="Times New Roman" w:hAnsi="Times New Roman" w:cs="Times New Roman"/>
          <w:sz w:val="24"/>
          <w:szCs w:val="24"/>
        </w:rPr>
        <w:t xml:space="preserve"> </w:t>
      </w:r>
      <w:r w:rsidR="00066B79" w:rsidRPr="00941A61">
        <w:rPr>
          <w:rFonts w:ascii="Times New Roman" w:hAnsi="Times New Roman" w:cs="Times New Roman"/>
          <w:sz w:val="24"/>
          <w:szCs w:val="24"/>
        </w:rPr>
        <w:t xml:space="preserve">na úrovni 80 % súčasnej spotreby obyvateľstva bude možné dosiahnuť kombináciou kvantitatívnych a kvalitatívnych </w:t>
      </w:r>
      <w:r w:rsidR="00F20D4A">
        <w:rPr>
          <w:rFonts w:ascii="Times New Roman" w:hAnsi="Times New Roman" w:cs="Times New Roman"/>
          <w:sz w:val="24"/>
          <w:szCs w:val="24"/>
        </w:rPr>
        <w:t>znakov výroby</w:t>
      </w:r>
      <w:r w:rsidR="00066B79" w:rsidRPr="00941A61">
        <w:rPr>
          <w:rFonts w:ascii="Times New Roman" w:hAnsi="Times New Roman" w:cs="Times New Roman"/>
          <w:sz w:val="24"/>
          <w:szCs w:val="24"/>
        </w:rPr>
        <w:t>, a to na všetkých stupňoch potravinovej vertikály tak, aby sa naplnili parametre základných trhových ukazovateľov</w:t>
      </w:r>
      <w:r w:rsidR="00941A61" w:rsidRPr="00941A61">
        <w:rPr>
          <w:rFonts w:ascii="Times New Roman" w:hAnsi="Times New Roman" w:cs="Times New Roman"/>
          <w:sz w:val="24"/>
          <w:szCs w:val="24"/>
        </w:rPr>
        <w:t xml:space="preserve"> uvedené v tab. č. 23</w:t>
      </w:r>
      <w:r w:rsidR="009B2487" w:rsidRPr="00941A61">
        <w:rPr>
          <w:rFonts w:ascii="Times New Roman" w:hAnsi="Times New Roman" w:cs="Times New Roman"/>
          <w:sz w:val="24"/>
          <w:szCs w:val="24"/>
        </w:rPr>
        <w:t>.</w:t>
      </w:r>
    </w:p>
    <w:p w:rsidR="00066B79" w:rsidRDefault="00066B79" w:rsidP="00B0796C">
      <w:pPr>
        <w:spacing w:after="0" w:line="240" w:lineRule="auto"/>
        <w:jc w:val="both"/>
        <w:rPr>
          <w:rFonts w:ascii="Times New Roman" w:hAnsi="Times New Roman" w:cs="Times New Roman"/>
          <w:sz w:val="24"/>
          <w:szCs w:val="24"/>
        </w:rPr>
      </w:pPr>
    </w:p>
    <w:p w:rsidR="00DB49CD" w:rsidRPr="009B2487" w:rsidRDefault="006316DB" w:rsidP="00941A61">
      <w:pPr>
        <w:spacing w:after="0" w:line="240" w:lineRule="auto"/>
        <w:ind w:left="851" w:hanging="851"/>
        <w:jc w:val="both"/>
        <w:rPr>
          <w:rFonts w:ascii="Times New Roman" w:hAnsi="Times New Roman" w:cs="Times New Roman"/>
          <w:sz w:val="20"/>
          <w:szCs w:val="20"/>
        </w:rPr>
      </w:pPr>
      <w:r>
        <w:rPr>
          <w:rFonts w:ascii="Times New Roman" w:hAnsi="Times New Roman" w:cs="Times New Roman"/>
          <w:sz w:val="20"/>
          <w:szCs w:val="20"/>
        </w:rPr>
        <w:t>Tab. č. 26</w:t>
      </w:r>
      <w:r w:rsidR="009B2487" w:rsidRPr="00A855A4">
        <w:rPr>
          <w:rFonts w:ascii="Times New Roman" w:hAnsi="Times New Roman" w:cs="Times New Roman"/>
          <w:sz w:val="20"/>
          <w:szCs w:val="20"/>
        </w:rPr>
        <w:t xml:space="preserve">: </w:t>
      </w:r>
      <w:r w:rsidR="009B2487" w:rsidRPr="009B2487">
        <w:rPr>
          <w:rFonts w:ascii="Times New Roman" w:hAnsi="Times New Roman" w:cs="Times New Roman"/>
          <w:sz w:val="20"/>
          <w:szCs w:val="20"/>
        </w:rPr>
        <w:t xml:space="preserve">Parametre základných trhových ukazovateľov pre zabezpečenie </w:t>
      </w:r>
      <w:r w:rsidR="00F749E9">
        <w:rPr>
          <w:rFonts w:ascii="Times New Roman" w:hAnsi="Times New Roman" w:cs="Times New Roman"/>
          <w:sz w:val="20"/>
          <w:szCs w:val="20"/>
        </w:rPr>
        <w:t>produkčnej výkonnosti</w:t>
      </w:r>
      <w:r w:rsidR="009B2487" w:rsidRPr="009B2487">
        <w:rPr>
          <w:rFonts w:ascii="Times New Roman" w:hAnsi="Times New Roman" w:cs="Times New Roman"/>
          <w:sz w:val="20"/>
          <w:szCs w:val="20"/>
        </w:rPr>
        <w:t xml:space="preserve"> v nosných komoditách živočíšnej výroby na úrovni 80 % súčasnej spotreby obyvateľstva SR</w:t>
      </w:r>
    </w:p>
    <w:tbl>
      <w:tblPr>
        <w:tblW w:w="9600" w:type="dxa"/>
        <w:tblInd w:w="55" w:type="dxa"/>
        <w:tblCellMar>
          <w:left w:w="70" w:type="dxa"/>
          <w:right w:w="70" w:type="dxa"/>
        </w:tblCellMar>
        <w:tblLook w:val="04A0" w:firstRow="1" w:lastRow="0" w:firstColumn="1" w:lastColumn="0" w:noHBand="0" w:noVBand="1"/>
      </w:tblPr>
      <w:tblGrid>
        <w:gridCol w:w="2740"/>
        <w:gridCol w:w="6860"/>
      </w:tblGrid>
      <w:tr w:rsidR="009B2487" w:rsidRPr="009B2487" w:rsidTr="009B2487">
        <w:trPr>
          <w:trHeight w:val="1200"/>
        </w:trPr>
        <w:tc>
          <w:tcPr>
            <w:tcW w:w="2740" w:type="dxa"/>
            <w:tcBorders>
              <w:top w:val="single" w:sz="4" w:space="0" w:color="auto"/>
              <w:left w:val="nil"/>
              <w:bottom w:val="nil"/>
              <w:right w:val="single" w:sz="4" w:space="0" w:color="auto"/>
            </w:tcBorders>
            <w:shd w:val="clear" w:color="000000" w:fill="F2F2F2"/>
            <w:noWrap/>
            <w:hideMark/>
          </w:tcPr>
          <w:p w:rsidR="009B2487" w:rsidRPr="00DB49CD" w:rsidRDefault="009B2487" w:rsidP="009B2487">
            <w:pPr>
              <w:spacing w:after="0" w:line="240" w:lineRule="auto"/>
              <w:rPr>
                <w:rFonts w:ascii="Times New Roman" w:eastAsia="Times New Roman" w:hAnsi="Times New Roman" w:cs="Times New Roman"/>
                <w:b/>
                <w:bCs/>
                <w:color w:val="000000"/>
                <w:sz w:val="24"/>
                <w:szCs w:val="24"/>
              </w:rPr>
            </w:pPr>
            <w:r w:rsidRPr="00DB49CD">
              <w:rPr>
                <w:rFonts w:ascii="Times New Roman" w:eastAsia="Times New Roman" w:hAnsi="Times New Roman" w:cs="Times New Roman"/>
                <w:b/>
                <w:bCs/>
                <w:color w:val="000000"/>
                <w:sz w:val="24"/>
                <w:szCs w:val="24"/>
              </w:rPr>
              <w:t>Hovädzie a teľacie mäso</w:t>
            </w:r>
          </w:p>
        </w:tc>
        <w:tc>
          <w:tcPr>
            <w:tcW w:w="6860" w:type="dxa"/>
            <w:tcBorders>
              <w:top w:val="single" w:sz="4" w:space="0" w:color="auto"/>
              <w:left w:val="nil"/>
              <w:bottom w:val="single" w:sz="4" w:space="0" w:color="auto"/>
              <w:right w:val="nil"/>
            </w:tcBorders>
            <w:shd w:val="clear" w:color="000000" w:fill="F2F2F2"/>
            <w:hideMark/>
          </w:tcPr>
          <w:p w:rsidR="009B2487" w:rsidRPr="00DB49CD" w:rsidRDefault="009B2487" w:rsidP="00824D0E">
            <w:pPr>
              <w:spacing w:after="0" w:line="240" w:lineRule="auto"/>
              <w:jc w:val="both"/>
              <w:rPr>
                <w:rFonts w:ascii="Times New Roman" w:eastAsia="Times New Roman" w:hAnsi="Times New Roman" w:cs="Times New Roman"/>
                <w:color w:val="000000"/>
                <w:sz w:val="24"/>
                <w:szCs w:val="24"/>
              </w:rPr>
            </w:pPr>
            <w:r w:rsidRPr="00DB49CD">
              <w:rPr>
                <w:rFonts w:ascii="Times New Roman" w:eastAsia="Times New Roman" w:hAnsi="Times New Roman" w:cs="Times New Roman"/>
                <w:color w:val="000000"/>
                <w:sz w:val="24"/>
                <w:szCs w:val="24"/>
              </w:rPr>
              <w:t xml:space="preserve">zvýšiť výkonnosť spracovateľského priemyslu na Slovensku minimálne o 19,5 % súčasnej úrovne čistej produkcie hovädzieho a teľacieho mäsa, čo v absolútnom vyjadrení predstavuje zvýšenie výkonnosti v objeme </w:t>
            </w:r>
            <w:r w:rsidR="005112BA">
              <w:rPr>
                <w:rFonts w:ascii="Times New Roman" w:eastAsia="Times New Roman" w:hAnsi="Times New Roman" w:cs="Times New Roman"/>
                <w:color w:val="000000"/>
                <w:sz w:val="24"/>
                <w:szCs w:val="24"/>
              </w:rPr>
              <w:t>3 630</w:t>
            </w:r>
            <w:r w:rsidRPr="00DB49CD">
              <w:rPr>
                <w:rFonts w:ascii="Times New Roman" w:eastAsia="Times New Roman" w:hAnsi="Times New Roman" w:cs="Times New Roman"/>
                <w:color w:val="000000"/>
                <w:sz w:val="24"/>
                <w:szCs w:val="24"/>
              </w:rPr>
              <w:t xml:space="preserve"> ton v jatočnej hmotnosti.</w:t>
            </w:r>
          </w:p>
        </w:tc>
      </w:tr>
      <w:tr w:rsidR="009B2487" w:rsidRPr="009B2487" w:rsidTr="003E1DE4">
        <w:trPr>
          <w:trHeight w:val="600"/>
        </w:trPr>
        <w:tc>
          <w:tcPr>
            <w:tcW w:w="2740" w:type="dxa"/>
            <w:tcBorders>
              <w:top w:val="nil"/>
              <w:left w:val="nil"/>
              <w:bottom w:val="single" w:sz="4" w:space="0" w:color="auto"/>
              <w:right w:val="single" w:sz="4" w:space="0" w:color="auto"/>
            </w:tcBorders>
            <w:shd w:val="clear" w:color="000000" w:fill="F2F2F2"/>
            <w:noWrap/>
            <w:vAlign w:val="bottom"/>
            <w:hideMark/>
          </w:tcPr>
          <w:p w:rsidR="009B2487" w:rsidRPr="00DB49CD" w:rsidRDefault="009B2487" w:rsidP="009B2487">
            <w:pPr>
              <w:spacing w:after="0" w:line="240" w:lineRule="auto"/>
              <w:rPr>
                <w:rFonts w:ascii="Times New Roman" w:eastAsia="Times New Roman" w:hAnsi="Times New Roman" w:cs="Times New Roman"/>
                <w:b/>
                <w:bCs/>
                <w:color w:val="000000"/>
                <w:sz w:val="24"/>
                <w:szCs w:val="24"/>
              </w:rPr>
            </w:pPr>
            <w:r w:rsidRPr="00DB49CD">
              <w:rPr>
                <w:rFonts w:ascii="Times New Roman" w:eastAsia="Times New Roman" w:hAnsi="Times New Roman" w:cs="Times New Roman"/>
                <w:b/>
                <w:bCs/>
                <w:color w:val="000000"/>
                <w:sz w:val="24"/>
                <w:szCs w:val="24"/>
              </w:rPr>
              <w:t> </w:t>
            </w:r>
          </w:p>
        </w:tc>
        <w:tc>
          <w:tcPr>
            <w:tcW w:w="6860" w:type="dxa"/>
            <w:tcBorders>
              <w:top w:val="nil"/>
              <w:left w:val="nil"/>
              <w:bottom w:val="single" w:sz="4" w:space="0" w:color="auto"/>
              <w:right w:val="nil"/>
            </w:tcBorders>
            <w:shd w:val="clear" w:color="000000" w:fill="F2F2F2"/>
            <w:hideMark/>
          </w:tcPr>
          <w:p w:rsidR="009B2487" w:rsidRPr="00DB49CD" w:rsidRDefault="00BE137F" w:rsidP="00E66AC3">
            <w:pPr>
              <w:spacing w:after="0" w:line="240" w:lineRule="auto"/>
              <w:jc w:val="both"/>
              <w:rPr>
                <w:rFonts w:ascii="Times New Roman" w:eastAsia="Times New Roman" w:hAnsi="Times New Roman" w:cs="Times New Roman"/>
                <w:color w:val="000000"/>
                <w:sz w:val="24"/>
                <w:szCs w:val="24"/>
              </w:rPr>
            </w:pPr>
            <w:r w:rsidRPr="00BE137F">
              <w:rPr>
                <w:rFonts w:ascii="Times New Roman" w:eastAsia="Times New Roman" w:hAnsi="Times New Roman" w:cs="Times New Roman"/>
                <w:color w:val="000000"/>
                <w:sz w:val="24"/>
                <w:szCs w:val="24"/>
              </w:rPr>
              <w:t>maximálne sa priblížiť k priemernej výkupnej cene za 1 kg živej hmotnosti hovädzieho na úrovni, ktorá by pokrývala vlastné náklady na 1 kg prírastku</w:t>
            </w:r>
          </w:p>
        </w:tc>
      </w:tr>
      <w:tr w:rsidR="009B2487" w:rsidRPr="009B2487" w:rsidTr="003E1DE4">
        <w:trPr>
          <w:trHeight w:val="600"/>
        </w:trPr>
        <w:tc>
          <w:tcPr>
            <w:tcW w:w="2740" w:type="dxa"/>
            <w:tcBorders>
              <w:top w:val="single" w:sz="4" w:space="0" w:color="auto"/>
              <w:left w:val="nil"/>
              <w:bottom w:val="nil"/>
              <w:right w:val="single" w:sz="4" w:space="0" w:color="auto"/>
            </w:tcBorders>
            <w:shd w:val="clear" w:color="auto" w:fill="auto"/>
            <w:noWrap/>
            <w:hideMark/>
          </w:tcPr>
          <w:p w:rsidR="009B2487" w:rsidRPr="00DB49CD" w:rsidRDefault="009B2487" w:rsidP="009B2487">
            <w:pPr>
              <w:spacing w:after="0" w:line="240" w:lineRule="auto"/>
              <w:rPr>
                <w:rFonts w:ascii="Times New Roman" w:eastAsia="Times New Roman" w:hAnsi="Times New Roman" w:cs="Times New Roman"/>
                <w:b/>
                <w:bCs/>
                <w:color w:val="000000"/>
                <w:sz w:val="24"/>
                <w:szCs w:val="24"/>
              </w:rPr>
            </w:pPr>
            <w:r w:rsidRPr="00DB49CD">
              <w:rPr>
                <w:rFonts w:ascii="Times New Roman" w:eastAsia="Times New Roman" w:hAnsi="Times New Roman" w:cs="Times New Roman"/>
                <w:b/>
                <w:bCs/>
                <w:color w:val="000000"/>
                <w:sz w:val="24"/>
                <w:szCs w:val="24"/>
              </w:rPr>
              <w:lastRenderedPageBreak/>
              <w:t>Bravčové mäso</w:t>
            </w:r>
          </w:p>
        </w:tc>
        <w:tc>
          <w:tcPr>
            <w:tcW w:w="6860" w:type="dxa"/>
            <w:tcBorders>
              <w:top w:val="single" w:sz="4" w:space="0" w:color="auto"/>
              <w:left w:val="nil"/>
              <w:bottom w:val="single" w:sz="4" w:space="0" w:color="auto"/>
              <w:right w:val="nil"/>
            </w:tcBorders>
            <w:shd w:val="clear" w:color="auto" w:fill="auto"/>
            <w:hideMark/>
          </w:tcPr>
          <w:p w:rsidR="009B2487" w:rsidRPr="00DB49CD" w:rsidRDefault="009B2487" w:rsidP="00824D0E">
            <w:pPr>
              <w:spacing w:after="0" w:line="240" w:lineRule="auto"/>
              <w:jc w:val="both"/>
              <w:rPr>
                <w:rFonts w:ascii="Times New Roman" w:eastAsia="Times New Roman" w:hAnsi="Times New Roman" w:cs="Times New Roman"/>
                <w:color w:val="000000"/>
                <w:sz w:val="24"/>
                <w:szCs w:val="24"/>
              </w:rPr>
            </w:pPr>
            <w:r w:rsidRPr="00DB49CD">
              <w:rPr>
                <w:rFonts w:ascii="Times New Roman" w:eastAsia="Times New Roman" w:hAnsi="Times New Roman" w:cs="Times New Roman"/>
                <w:color w:val="000000"/>
                <w:sz w:val="24"/>
                <w:szCs w:val="24"/>
              </w:rPr>
              <w:t>zvýšiť počet prasníc o 30 000 ks a súčasne zvýšiť parametre ich reprodukčnej úžitkovosti na úroveň 20 – 21 odstavčiat na 1 prasnicu.</w:t>
            </w:r>
          </w:p>
        </w:tc>
      </w:tr>
      <w:tr w:rsidR="009B2487" w:rsidRPr="009B2487" w:rsidTr="009B2487">
        <w:trPr>
          <w:trHeight w:val="1200"/>
        </w:trPr>
        <w:tc>
          <w:tcPr>
            <w:tcW w:w="2740" w:type="dxa"/>
            <w:tcBorders>
              <w:top w:val="nil"/>
              <w:left w:val="nil"/>
              <w:bottom w:val="nil"/>
              <w:right w:val="single" w:sz="4" w:space="0" w:color="auto"/>
            </w:tcBorders>
            <w:shd w:val="clear" w:color="auto" w:fill="auto"/>
            <w:noWrap/>
            <w:hideMark/>
          </w:tcPr>
          <w:p w:rsidR="009B2487" w:rsidRPr="00DB49CD" w:rsidRDefault="009B2487" w:rsidP="009B2487">
            <w:pPr>
              <w:spacing w:after="0" w:line="240" w:lineRule="auto"/>
              <w:rPr>
                <w:rFonts w:ascii="Times New Roman" w:eastAsia="Times New Roman" w:hAnsi="Times New Roman" w:cs="Times New Roman"/>
                <w:b/>
                <w:bCs/>
                <w:color w:val="000000"/>
                <w:sz w:val="24"/>
                <w:szCs w:val="24"/>
              </w:rPr>
            </w:pPr>
            <w:r w:rsidRPr="00DB49CD">
              <w:rPr>
                <w:rFonts w:ascii="Times New Roman" w:eastAsia="Times New Roman" w:hAnsi="Times New Roman" w:cs="Times New Roman"/>
                <w:b/>
                <w:bCs/>
                <w:color w:val="000000"/>
                <w:sz w:val="24"/>
                <w:szCs w:val="24"/>
              </w:rPr>
              <w:t> </w:t>
            </w:r>
          </w:p>
        </w:tc>
        <w:tc>
          <w:tcPr>
            <w:tcW w:w="6860" w:type="dxa"/>
            <w:tcBorders>
              <w:top w:val="nil"/>
              <w:left w:val="nil"/>
              <w:bottom w:val="single" w:sz="4" w:space="0" w:color="auto"/>
              <w:right w:val="nil"/>
            </w:tcBorders>
            <w:shd w:val="clear" w:color="auto" w:fill="auto"/>
            <w:hideMark/>
          </w:tcPr>
          <w:p w:rsidR="009B2487" w:rsidRPr="00DB49CD" w:rsidRDefault="009B2487" w:rsidP="00824D0E">
            <w:pPr>
              <w:spacing w:after="0" w:line="240" w:lineRule="auto"/>
              <w:jc w:val="both"/>
              <w:rPr>
                <w:rFonts w:ascii="Times New Roman" w:eastAsia="Times New Roman" w:hAnsi="Times New Roman" w:cs="Times New Roman"/>
                <w:color w:val="000000"/>
                <w:sz w:val="24"/>
                <w:szCs w:val="24"/>
              </w:rPr>
            </w:pPr>
            <w:r w:rsidRPr="00DB49CD">
              <w:rPr>
                <w:rFonts w:ascii="Times New Roman" w:eastAsia="Times New Roman" w:hAnsi="Times New Roman" w:cs="Times New Roman"/>
                <w:color w:val="000000"/>
                <w:sz w:val="24"/>
                <w:szCs w:val="24"/>
              </w:rPr>
              <w:t>zvýšiť výkonnosť spracovateľského priemyslu na Slovensku minimálne o 42,53 % súčasnej úrovne čistej produkcie bravčového mäsa, čo v absolútnom vyjadrení predstavuje zvýšenie výkonnosti v objeme 272 942 ks, resp. 24 203 ton v jatočnej hmotnosti.</w:t>
            </w:r>
          </w:p>
        </w:tc>
      </w:tr>
      <w:tr w:rsidR="009B2487" w:rsidRPr="009B2487" w:rsidTr="009B2487">
        <w:trPr>
          <w:trHeight w:val="900"/>
        </w:trPr>
        <w:tc>
          <w:tcPr>
            <w:tcW w:w="2740" w:type="dxa"/>
            <w:tcBorders>
              <w:top w:val="nil"/>
              <w:left w:val="nil"/>
              <w:bottom w:val="single" w:sz="4" w:space="0" w:color="auto"/>
              <w:right w:val="single" w:sz="4" w:space="0" w:color="auto"/>
            </w:tcBorders>
            <w:shd w:val="clear" w:color="auto" w:fill="auto"/>
            <w:noWrap/>
            <w:hideMark/>
          </w:tcPr>
          <w:p w:rsidR="009B2487" w:rsidRPr="00DB49CD" w:rsidRDefault="009B2487" w:rsidP="009B2487">
            <w:pPr>
              <w:spacing w:after="0" w:line="240" w:lineRule="auto"/>
              <w:rPr>
                <w:rFonts w:ascii="Times New Roman" w:eastAsia="Times New Roman" w:hAnsi="Times New Roman" w:cs="Times New Roman"/>
                <w:b/>
                <w:bCs/>
                <w:color w:val="000000"/>
                <w:sz w:val="24"/>
                <w:szCs w:val="24"/>
              </w:rPr>
            </w:pPr>
            <w:r w:rsidRPr="00DB49CD">
              <w:rPr>
                <w:rFonts w:ascii="Times New Roman" w:eastAsia="Times New Roman" w:hAnsi="Times New Roman" w:cs="Times New Roman"/>
                <w:b/>
                <w:bCs/>
                <w:color w:val="000000"/>
                <w:sz w:val="24"/>
                <w:szCs w:val="24"/>
              </w:rPr>
              <w:t> </w:t>
            </w:r>
          </w:p>
        </w:tc>
        <w:tc>
          <w:tcPr>
            <w:tcW w:w="6860" w:type="dxa"/>
            <w:tcBorders>
              <w:top w:val="nil"/>
              <w:left w:val="nil"/>
              <w:bottom w:val="single" w:sz="4" w:space="0" w:color="auto"/>
              <w:right w:val="nil"/>
            </w:tcBorders>
            <w:shd w:val="clear" w:color="auto" w:fill="auto"/>
            <w:hideMark/>
          </w:tcPr>
          <w:p w:rsidR="009B2487" w:rsidRPr="00DB49CD" w:rsidRDefault="00BE137F" w:rsidP="00BE137F">
            <w:pPr>
              <w:spacing w:after="0" w:line="240" w:lineRule="auto"/>
              <w:jc w:val="both"/>
              <w:rPr>
                <w:rFonts w:ascii="Times New Roman" w:eastAsia="Times New Roman" w:hAnsi="Times New Roman" w:cs="Times New Roman"/>
                <w:color w:val="000000"/>
                <w:sz w:val="24"/>
                <w:szCs w:val="24"/>
              </w:rPr>
            </w:pPr>
            <w:r w:rsidRPr="00BE137F">
              <w:rPr>
                <w:rFonts w:ascii="Times New Roman" w:eastAsia="Times New Roman" w:hAnsi="Times New Roman" w:cs="Times New Roman"/>
                <w:color w:val="000000"/>
                <w:sz w:val="24"/>
                <w:szCs w:val="24"/>
              </w:rPr>
              <w:t xml:space="preserve">maximálne sa priblížiť k priemernej výkupnej cene za 1 kg živej hmotnosti </w:t>
            </w:r>
            <w:r>
              <w:rPr>
                <w:rFonts w:ascii="Times New Roman" w:eastAsia="Times New Roman" w:hAnsi="Times New Roman" w:cs="Times New Roman"/>
                <w:color w:val="000000"/>
                <w:sz w:val="24"/>
                <w:szCs w:val="24"/>
              </w:rPr>
              <w:t>bravčového mäsa</w:t>
            </w:r>
            <w:r w:rsidRPr="00BE137F">
              <w:rPr>
                <w:rFonts w:ascii="Times New Roman" w:eastAsia="Times New Roman" w:hAnsi="Times New Roman" w:cs="Times New Roman"/>
                <w:color w:val="000000"/>
                <w:sz w:val="24"/>
                <w:szCs w:val="24"/>
              </w:rPr>
              <w:t xml:space="preserve"> na úrovni, ktorá by pokrývala vlastné náklady na 1 kg prírastku</w:t>
            </w:r>
          </w:p>
        </w:tc>
      </w:tr>
      <w:tr w:rsidR="009B2487" w:rsidRPr="009B2487" w:rsidTr="009B2487">
        <w:trPr>
          <w:trHeight w:val="300"/>
        </w:trPr>
        <w:tc>
          <w:tcPr>
            <w:tcW w:w="2740" w:type="dxa"/>
            <w:tcBorders>
              <w:top w:val="nil"/>
              <w:left w:val="nil"/>
              <w:bottom w:val="nil"/>
              <w:right w:val="single" w:sz="4" w:space="0" w:color="auto"/>
            </w:tcBorders>
            <w:shd w:val="clear" w:color="000000" w:fill="F2F2F2"/>
            <w:noWrap/>
            <w:hideMark/>
          </w:tcPr>
          <w:p w:rsidR="009B2487" w:rsidRPr="00DB49CD" w:rsidRDefault="009B2487" w:rsidP="009B2487">
            <w:pPr>
              <w:spacing w:after="0" w:line="240" w:lineRule="auto"/>
              <w:rPr>
                <w:rFonts w:ascii="Times New Roman" w:eastAsia="Times New Roman" w:hAnsi="Times New Roman" w:cs="Times New Roman"/>
                <w:b/>
                <w:bCs/>
                <w:color w:val="000000"/>
                <w:sz w:val="24"/>
                <w:szCs w:val="24"/>
              </w:rPr>
            </w:pPr>
            <w:r w:rsidRPr="00DB49CD">
              <w:rPr>
                <w:rFonts w:ascii="Times New Roman" w:eastAsia="Times New Roman" w:hAnsi="Times New Roman" w:cs="Times New Roman"/>
                <w:b/>
                <w:bCs/>
                <w:color w:val="000000"/>
                <w:sz w:val="24"/>
                <w:szCs w:val="24"/>
              </w:rPr>
              <w:t>Hydina</w:t>
            </w:r>
          </w:p>
        </w:tc>
        <w:tc>
          <w:tcPr>
            <w:tcW w:w="6860" w:type="dxa"/>
            <w:tcBorders>
              <w:top w:val="nil"/>
              <w:left w:val="nil"/>
              <w:bottom w:val="single" w:sz="4" w:space="0" w:color="auto"/>
              <w:right w:val="nil"/>
            </w:tcBorders>
            <w:shd w:val="clear" w:color="000000" w:fill="F2F2F2"/>
            <w:hideMark/>
          </w:tcPr>
          <w:p w:rsidR="009B2487" w:rsidRPr="00941A61" w:rsidRDefault="00941A61" w:rsidP="00824D0E">
            <w:pPr>
              <w:spacing w:after="0" w:line="240" w:lineRule="auto"/>
              <w:jc w:val="both"/>
              <w:rPr>
                <w:rFonts w:ascii="Times New Roman" w:hAnsi="Times New Roman" w:cs="Times New Roman"/>
                <w:sz w:val="24"/>
                <w:szCs w:val="24"/>
              </w:rPr>
            </w:pPr>
            <w:r w:rsidRPr="00941A61">
              <w:rPr>
                <w:rFonts w:ascii="Times New Roman" w:eastAsia="Times New Roman" w:hAnsi="Times New Roman" w:cs="Times New Roman"/>
                <w:color w:val="000000"/>
                <w:sz w:val="24"/>
                <w:szCs w:val="24"/>
              </w:rPr>
              <w:t>zvýšiť početnosť hydiny (stavy v chove) minimálne o 885 737 ks (</w:t>
            </w:r>
            <w:r>
              <w:rPr>
                <w:rFonts w:ascii="Times New Roman" w:hAnsi="Times New Roman" w:cs="Times New Roman"/>
                <w:sz w:val="24"/>
                <w:szCs w:val="24"/>
              </w:rPr>
              <w:t>5 314 423 ks pri</w:t>
            </w:r>
            <w:r w:rsidRPr="00941A61">
              <w:rPr>
                <w:rFonts w:ascii="Times New Roman" w:hAnsi="Times New Roman" w:cs="Times New Roman"/>
                <w:sz w:val="24"/>
                <w:szCs w:val="24"/>
              </w:rPr>
              <w:t xml:space="preserve"> 6 turnusoch ročne);</w:t>
            </w:r>
          </w:p>
        </w:tc>
      </w:tr>
      <w:tr w:rsidR="009B2487" w:rsidRPr="009B2487" w:rsidTr="009B2487">
        <w:trPr>
          <w:trHeight w:val="1200"/>
        </w:trPr>
        <w:tc>
          <w:tcPr>
            <w:tcW w:w="2740" w:type="dxa"/>
            <w:tcBorders>
              <w:top w:val="nil"/>
              <w:left w:val="nil"/>
              <w:bottom w:val="nil"/>
              <w:right w:val="single" w:sz="4" w:space="0" w:color="auto"/>
            </w:tcBorders>
            <w:shd w:val="clear" w:color="000000" w:fill="F2F2F2"/>
            <w:noWrap/>
            <w:hideMark/>
          </w:tcPr>
          <w:p w:rsidR="009B2487" w:rsidRPr="00DB49CD" w:rsidRDefault="009B2487" w:rsidP="009B2487">
            <w:pPr>
              <w:spacing w:after="0" w:line="240" w:lineRule="auto"/>
              <w:rPr>
                <w:rFonts w:ascii="Times New Roman" w:eastAsia="Times New Roman" w:hAnsi="Times New Roman" w:cs="Times New Roman"/>
                <w:b/>
                <w:bCs/>
                <w:color w:val="000000"/>
                <w:sz w:val="24"/>
                <w:szCs w:val="24"/>
              </w:rPr>
            </w:pPr>
            <w:r w:rsidRPr="00DB49CD">
              <w:rPr>
                <w:rFonts w:ascii="Times New Roman" w:eastAsia="Times New Roman" w:hAnsi="Times New Roman" w:cs="Times New Roman"/>
                <w:b/>
                <w:bCs/>
                <w:color w:val="000000"/>
                <w:sz w:val="24"/>
                <w:szCs w:val="24"/>
              </w:rPr>
              <w:t> </w:t>
            </w:r>
          </w:p>
        </w:tc>
        <w:tc>
          <w:tcPr>
            <w:tcW w:w="6860" w:type="dxa"/>
            <w:tcBorders>
              <w:top w:val="nil"/>
              <w:left w:val="nil"/>
              <w:bottom w:val="single" w:sz="4" w:space="0" w:color="auto"/>
              <w:right w:val="nil"/>
            </w:tcBorders>
            <w:shd w:val="clear" w:color="000000" w:fill="F2F2F2"/>
            <w:hideMark/>
          </w:tcPr>
          <w:p w:rsidR="009B2487" w:rsidRPr="00DB49CD" w:rsidRDefault="00941A61" w:rsidP="00824D0E">
            <w:pPr>
              <w:spacing w:after="0" w:line="240" w:lineRule="auto"/>
              <w:jc w:val="both"/>
              <w:rPr>
                <w:rFonts w:ascii="Times New Roman" w:eastAsia="Times New Roman" w:hAnsi="Times New Roman" w:cs="Times New Roman"/>
                <w:color w:val="000000"/>
                <w:sz w:val="24"/>
                <w:szCs w:val="24"/>
              </w:rPr>
            </w:pPr>
            <w:r w:rsidRPr="00941A61">
              <w:rPr>
                <w:rFonts w:ascii="Times New Roman" w:eastAsia="Times New Roman" w:hAnsi="Times New Roman" w:cs="Times New Roman"/>
                <w:color w:val="000000"/>
                <w:sz w:val="24"/>
                <w:szCs w:val="24"/>
              </w:rPr>
              <w:t>zvýšiť výkonnosť spracovateľského priemyslu na Slovensku minimálne o 25,22 % súčasnej úrovne čistej produkcie hydinového mäsa, čo v absolútnom vyjadrení predstavuje zvýšenie výkonnosti v objeme 26 676</w:t>
            </w:r>
            <w:r>
              <w:rPr>
                <w:rFonts w:ascii="Times New Roman" w:eastAsia="Times New Roman" w:hAnsi="Times New Roman" w:cs="Times New Roman"/>
                <w:color w:val="000000"/>
                <w:sz w:val="24"/>
                <w:szCs w:val="24"/>
              </w:rPr>
              <w:t xml:space="preserve"> ton v jatočnej hmotnosti</w:t>
            </w:r>
          </w:p>
        </w:tc>
      </w:tr>
      <w:tr w:rsidR="009B2487" w:rsidRPr="009B2487" w:rsidTr="009B2487">
        <w:trPr>
          <w:trHeight w:val="900"/>
        </w:trPr>
        <w:tc>
          <w:tcPr>
            <w:tcW w:w="2740" w:type="dxa"/>
            <w:tcBorders>
              <w:top w:val="nil"/>
              <w:left w:val="nil"/>
              <w:bottom w:val="single" w:sz="4" w:space="0" w:color="auto"/>
              <w:right w:val="single" w:sz="4" w:space="0" w:color="auto"/>
            </w:tcBorders>
            <w:shd w:val="clear" w:color="000000" w:fill="F2F2F2"/>
            <w:noWrap/>
            <w:hideMark/>
          </w:tcPr>
          <w:p w:rsidR="009B2487" w:rsidRPr="00DB49CD" w:rsidRDefault="009B2487" w:rsidP="009B2487">
            <w:pPr>
              <w:spacing w:after="0" w:line="240" w:lineRule="auto"/>
              <w:rPr>
                <w:rFonts w:ascii="Times New Roman" w:eastAsia="Times New Roman" w:hAnsi="Times New Roman" w:cs="Times New Roman"/>
                <w:b/>
                <w:bCs/>
                <w:color w:val="000000"/>
                <w:sz w:val="24"/>
                <w:szCs w:val="24"/>
              </w:rPr>
            </w:pPr>
            <w:r w:rsidRPr="00DB49CD">
              <w:rPr>
                <w:rFonts w:ascii="Times New Roman" w:eastAsia="Times New Roman" w:hAnsi="Times New Roman" w:cs="Times New Roman"/>
                <w:b/>
                <w:bCs/>
                <w:color w:val="000000"/>
                <w:sz w:val="24"/>
                <w:szCs w:val="24"/>
              </w:rPr>
              <w:t> </w:t>
            </w:r>
          </w:p>
        </w:tc>
        <w:tc>
          <w:tcPr>
            <w:tcW w:w="6860" w:type="dxa"/>
            <w:tcBorders>
              <w:top w:val="nil"/>
              <w:left w:val="nil"/>
              <w:bottom w:val="single" w:sz="4" w:space="0" w:color="auto"/>
              <w:right w:val="nil"/>
            </w:tcBorders>
            <w:shd w:val="clear" w:color="000000" w:fill="F2F2F2"/>
            <w:hideMark/>
          </w:tcPr>
          <w:p w:rsidR="009B2487" w:rsidRPr="00DB49CD" w:rsidRDefault="00BE137F" w:rsidP="00BE137F">
            <w:pPr>
              <w:spacing w:after="0" w:line="240" w:lineRule="auto"/>
              <w:jc w:val="both"/>
              <w:rPr>
                <w:rFonts w:ascii="Times New Roman" w:eastAsia="Times New Roman" w:hAnsi="Times New Roman" w:cs="Times New Roman"/>
                <w:color w:val="000000"/>
                <w:sz w:val="24"/>
                <w:szCs w:val="24"/>
              </w:rPr>
            </w:pPr>
            <w:r w:rsidRPr="00BE137F">
              <w:rPr>
                <w:rFonts w:ascii="Times New Roman" w:eastAsia="Times New Roman" w:hAnsi="Times New Roman" w:cs="Times New Roman"/>
                <w:color w:val="000000"/>
                <w:sz w:val="24"/>
                <w:szCs w:val="24"/>
              </w:rPr>
              <w:t>maximálne sa priblížiť k priemernej výkupnej cene za 1 kg živej hmotnosti na úrovni, ktorá by pokrývala vlastné náklady na 1 kg prírastku</w:t>
            </w:r>
          </w:p>
        </w:tc>
      </w:tr>
      <w:tr w:rsidR="009B2487" w:rsidRPr="009B2487" w:rsidTr="00941A61">
        <w:trPr>
          <w:trHeight w:val="900"/>
        </w:trPr>
        <w:tc>
          <w:tcPr>
            <w:tcW w:w="2740" w:type="dxa"/>
            <w:tcBorders>
              <w:top w:val="nil"/>
              <w:left w:val="nil"/>
              <w:bottom w:val="nil"/>
              <w:right w:val="single" w:sz="4" w:space="0" w:color="auto"/>
            </w:tcBorders>
            <w:shd w:val="clear" w:color="auto" w:fill="auto"/>
            <w:noWrap/>
            <w:hideMark/>
          </w:tcPr>
          <w:p w:rsidR="009B2487" w:rsidRPr="00DB49CD" w:rsidRDefault="009B2487" w:rsidP="009B2487">
            <w:pPr>
              <w:spacing w:after="0" w:line="240" w:lineRule="auto"/>
              <w:rPr>
                <w:rFonts w:ascii="Times New Roman" w:eastAsia="Times New Roman" w:hAnsi="Times New Roman" w:cs="Times New Roman"/>
                <w:b/>
                <w:bCs/>
                <w:color w:val="000000"/>
                <w:sz w:val="24"/>
                <w:szCs w:val="24"/>
              </w:rPr>
            </w:pPr>
            <w:r w:rsidRPr="00DB49CD">
              <w:rPr>
                <w:rFonts w:ascii="Times New Roman" w:eastAsia="Times New Roman" w:hAnsi="Times New Roman" w:cs="Times New Roman"/>
                <w:b/>
                <w:bCs/>
                <w:color w:val="000000"/>
                <w:sz w:val="24"/>
                <w:szCs w:val="24"/>
              </w:rPr>
              <w:t>Mlieko a mliečne výrobky</w:t>
            </w:r>
          </w:p>
        </w:tc>
        <w:tc>
          <w:tcPr>
            <w:tcW w:w="6860" w:type="dxa"/>
            <w:tcBorders>
              <w:top w:val="nil"/>
              <w:left w:val="nil"/>
              <w:bottom w:val="single" w:sz="4" w:space="0" w:color="auto"/>
              <w:right w:val="nil"/>
            </w:tcBorders>
            <w:shd w:val="clear" w:color="auto" w:fill="auto"/>
            <w:hideMark/>
          </w:tcPr>
          <w:p w:rsidR="009B2487" w:rsidRPr="00DB49CD" w:rsidRDefault="00BE137F" w:rsidP="00E66AC3">
            <w:pPr>
              <w:spacing w:after="0" w:line="240" w:lineRule="auto"/>
              <w:jc w:val="both"/>
              <w:rPr>
                <w:rFonts w:ascii="Times New Roman" w:eastAsia="Times New Roman" w:hAnsi="Times New Roman" w:cs="Times New Roman"/>
                <w:color w:val="000000"/>
                <w:sz w:val="24"/>
                <w:szCs w:val="24"/>
              </w:rPr>
            </w:pPr>
            <w:r w:rsidRPr="00BE137F">
              <w:rPr>
                <w:rFonts w:ascii="Times New Roman" w:eastAsia="Times New Roman" w:hAnsi="Times New Roman" w:cs="Times New Roman"/>
                <w:color w:val="000000"/>
                <w:sz w:val="24"/>
                <w:szCs w:val="24"/>
              </w:rPr>
              <w:t>maximálne sa priblížiť k výkupnej cene pre prvovýrobcov za 1 l surového kravského mlieka na úrovni, ktorá by pokrývala vlastné náklady na 1 l surového kravského mlieka</w:t>
            </w:r>
          </w:p>
        </w:tc>
      </w:tr>
      <w:tr w:rsidR="00941A61" w:rsidRPr="009B2487" w:rsidTr="00941A61">
        <w:trPr>
          <w:trHeight w:val="563"/>
        </w:trPr>
        <w:tc>
          <w:tcPr>
            <w:tcW w:w="2740" w:type="dxa"/>
            <w:tcBorders>
              <w:top w:val="nil"/>
              <w:left w:val="nil"/>
              <w:bottom w:val="single" w:sz="4" w:space="0" w:color="auto"/>
              <w:right w:val="single" w:sz="4" w:space="0" w:color="auto"/>
            </w:tcBorders>
            <w:shd w:val="clear" w:color="auto" w:fill="auto"/>
            <w:noWrap/>
          </w:tcPr>
          <w:p w:rsidR="00941A61" w:rsidRPr="00DB49CD" w:rsidRDefault="00941A61" w:rsidP="009B2487">
            <w:pPr>
              <w:spacing w:after="0" w:line="240" w:lineRule="auto"/>
              <w:rPr>
                <w:rFonts w:ascii="Times New Roman" w:eastAsia="Times New Roman" w:hAnsi="Times New Roman" w:cs="Times New Roman"/>
                <w:b/>
                <w:bCs/>
                <w:color w:val="000000"/>
                <w:sz w:val="24"/>
                <w:szCs w:val="24"/>
              </w:rPr>
            </w:pPr>
          </w:p>
        </w:tc>
        <w:tc>
          <w:tcPr>
            <w:tcW w:w="6860" w:type="dxa"/>
            <w:tcBorders>
              <w:top w:val="single" w:sz="4" w:space="0" w:color="auto"/>
              <w:left w:val="nil"/>
              <w:bottom w:val="single" w:sz="4" w:space="0" w:color="auto"/>
              <w:right w:val="nil"/>
            </w:tcBorders>
            <w:shd w:val="clear" w:color="auto" w:fill="auto"/>
          </w:tcPr>
          <w:p w:rsidR="00941A61" w:rsidRPr="00DB49CD" w:rsidRDefault="00941A61" w:rsidP="00824D0E">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presadiť prijatie účinných opatrení na reguláciu trhu s mliekom v EÚ na obdobie po roku 2015</w:t>
            </w:r>
          </w:p>
        </w:tc>
      </w:tr>
    </w:tbl>
    <w:p w:rsidR="00AC057E" w:rsidRDefault="00DB49CD" w:rsidP="00DB49CD">
      <w:pPr>
        <w:rPr>
          <w:rFonts w:ascii="Times New Roman" w:hAnsi="Times New Roman" w:cs="Times New Roman"/>
          <w:sz w:val="24"/>
          <w:szCs w:val="24"/>
        </w:rPr>
      </w:pPr>
      <w:r>
        <w:rPr>
          <w:rFonts w:ascii="Times New Roman" w:hAnsi="Times New Roman" w:cs="Times New Roman"/>
          <w:sz w:val="24"/>
          <w:szCs w:val="24"/>
        </w:rPr>
        <w:br w:type="page"/>
      </w:r>
    </w:p>
    <w:p w:rsidR="00183D42" w:rsidRDefault="00183D42" w:rsidP="000D68DC">
      <w:pPr>
        <w:pStyle w:val="Nadpis2"/>
        <w:numPr>
          <w:ilvl w:val="1"/>
          <w:numId w:val="8"/>
        </w:numPr>
      </w:pPr>
      <w:bookmarkStart w:id="28" w:name="_Toc359550649"/>
      <w:r>
        <w:lastRenderedPageBreak/>
        <w:t>Krmoviny a kŕmne zmesi</w:t>
      </w:r>
      <w:bookmarkEnd w:id="28"/>
    </w:p>
    <w:p w:rsidR="00183D42" w:rsidRDefault="00183D42" w:rsidP="00183D42">
      <w:pPr>
        <w:pStyle w:val="Odsekzoznamu"/>
        <w:spacing w:after="0" w:line="240" w:lineRule="auto"/>
        <w:ind w:left="426"/>
        <w:jc w:val="both"/>
        <w:rPr>
          <w:rFonts w:ascii="Times New Roman" w:hAnsi="Times New Roman" w:cs="Times New Roman"/>
          <w:b/>
          <w:sz w:val="24"/>
          <w:szCs w:val="24"/>
          <w:u w:val="single"/>
        </w:rPr>
      </w:pPr>
    </w:p>
    <w:p w:rsidR="00D722E0" w:rsidRDefault="00D722E0" w:rsidP="004F5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hľadiska naplnenia strednodobého cieľa v oblasti produkčnej výkonnosti pre živočíšnu výrobu je nevyhnutné definovať dodatočnú potrebu krmovín a kŕmnych zmesí pre plánované zvýšenie stavov hospodárskych zvierat.</w:t>
      </w:r>
    </w:p>
    <w:p w:rsidR="00D722E0" w:rsidRDefault="00D722E0" w:rsidP="004F588B">
      <w:pPr>
        <w:spacing w:after="0" w:line="240" w:lineRule="auto"/>
        <w:jc w:val="both"/>
        <w:rPr>
          <w:rFonts w:ascii="Times New Roman" w:hAnsi="Times New Roman" w:cs="Times New Roman"/>
          <w:sz w:val="24"/>
          <w:szCs w:val="24"/>
        </w:rPr>
      </w:pPr>
    </w:p>
    <w:p w:rsidR="00D722E0" w:rsidRDefault="00D722E0" w:rsidP="000D68DC">
      <w:pPr>
        <w:pStyle w:val="Nadpis3"/>
        <w:numPr>
          <w:ilvl w:val="2"/>
          <w:numId w:val="8"/>
        </w:numPr>
        <w:rPr>
          <w:rFonts w:cs="Times New Roman"/>
          <w:szCs w:val="24"/>
        </w:rPr>
      </w:pPr>
      <w:bookmarkStart w:id="29" w:name="_Toc359550650"/>
      <w:r>
        <w:rPr>
          <w:rFonts w:cs="Times New Roman"/>
          <w:szCs w:val="24"/>
        </w:rPr>
        <w:t>Krmoviny</w:t>
      </w:r>
      <w:bookmarkEnd w:id="29"/>
    </w:p>
    <w:p w:rsidR="00D722E0" w:rsidRDefault="00D722E0" w:rsidP="004F588B">
      <w:pPr>
        <w:spacing w:after="0" w:line="240" w:lineRule="auto"/>
        <w:jc w:val="both"/>
        <w:rPr>
          <w:rFonts w:ascii="Times New Roman" w:hAnsi="Times New Roman" w:cs="Times New Roman"/>
          <w:sz w:val="24"/>
          <w:szCs w:val="24"/>
        </w:rPr>
      </w:pPr>
    </w:p>
    <w:p w:rsidR="004F588B" w:rsidRDefault="004F588B" w:rsidP="004F588B">
      <w:pPr>
        <w:spacing w:after="0" w:line="240" w:lineRule="auto"/>
        <w:jc w:val="both"/>
        <w:rPr>
          <w:rFonts w:ascii="Times New Roman" w:hAnsi="Times New Roman" w:cs="Times New Roman"/>
          <w:sz w:val="24"/>
          <w:szCs w:val="24"/>
        </w:rPr>
      </w:pPr>
      <w:r w:rsidRPr="004F588B">
        <w:rPr>
          <w:rFonts w:ascii="Times New Roman" w:hAnsi="Times New Roman" w:cs="Times New Roman"/>
          <w:sz w:val="24"/>
          <w:szCs w:val="24"/>
        </w:rPr>
        <w:t xml:space="preserve">Krmoviny na ornej pôde sú dôležitou súčasťou osevných postupov hlavne z dôvodu </w:t>
      </w:r>
      <w:proofErr w:type="spellStart"/>
      <w:r w:rsidRPr="004F588B">
        <w:rPr>
          <w:rFonts w:ascii="Times New Roman" w:hAnsi="Times New Roman" w:cs="Times New Roman"/>
          <w:sz w:val="24"/>
          <w:szCs w:val="24"/>
        </w:rPr>
        <w:t>predplodinového</w:t>
      </w:r>
      <w:proofErr w:type="spellEnd"/>
      <w:r w:rsidRPr="004F588B">
        <w:rPr>
          <w:rFonts w:ascii="Times New Roman" w:hAnsi="Times New Roman" w:cs="Times New Roman"/>
          <w:sz w:val="24"/>
          <w:szCs w:val="24"/>
        </w:rPr>
        <w:t xml:space="preserve"> efektu, ale kým ich význam z pohľadu krmív klesá, z pohľadu suroviny pre </w:t>
      </w:r>
      <w:proofErr w:type="spellStart"/>
      <w:r w:rsidRPr="004F588B">
        <w:rPr>
          <w:rFonts w:ascii="Times New Roman" w:hAnsi="Times New Roman" w:cs="Times New Roman"/>
          <w:sz w:val="24"/>
          <w:szCs w:val="24"/>
        </w:rPr>
        <w:t>bioplynové</w:t>
      </w:r>
      <w:proofErr w:type="spellEnd"/>
      <w:r w:rsidRPr="004F588B">
        <w:rPr>
          <w:rFonts w:ascii="Times New Roman" w:hAnsi="Times New Roman" w:cs="Times New Roman"/>
          <w:sz w:val="24"/>
          <w:szCs w:val="24"/>
        </w:rPr>
        <w:t xml:space="preserve"> stanice stúpa. Krmoviny rozdeľujeme na jednoročné a viacročné. </w:t>
      </w:r>
      <w:r>
        <w:rPr>
          <w:rFonts w:ascii="Times New Roman" w:hAnsi="Times New Roman" w:cs="Times New Roman"/>
          <w:sz w:val="24"/>
          <w:szCs w:val="24"/>
        </w:rPr>
        <w:t>K najdôležitejším druhom krmovín z pohľadu výživy hospodárskych zvierat patria:</w:t>
      </w:r>
    </w:p>
    <w:p w:rsidR="009C0FDF" w:rsidRDefault="009C0FDF" w:rsidP="004F588B">
      <w:pPr>
        <w:spacing w:after="0" w:line="240" w:lineRule="auto"/>
        <w:jc w:val="both"/>
        <w:rPr>
          <w:rFonts w:ascii="Times New Roman" w:hAnsi="Times New Roman" w:cs="Times New Roman"/>
          <w:sz w:val="24"/>
          <w:szCs w:val="24"/>
        </w:rPr>
      </w:pPr>
    </w:p>
    <w:p w:rsidR="004F588B" w:rsidRDefault="004F588B" w:rsidP="000D68DC">
      <w:pPr>
        <w:pStyle w:val="Odsekzoznamu"/>
        <w:numPr>
          <w:ilvl w:val="0"/>
          <w:numId w:val="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kukurica </w:t>
      </w:r>
      <w:r w:rsidRPr="004F588B">
        <w:rPr>
          <w:rFonts w:ascii="Times New Roman" w:hAnsi="Times New Roman" w:cs="Times New Roman"/>
          <w:sz w:val="24"/>
          <w:szCs w:val="24"/>
        </w:rPr>
        <w:t>na zelené kŕmenie a siláž</w:t>
      </w:r>
      <w:r>
        <w:rPr>
          <w:rFonts w:ascii="Times New Roman" w:hAnsi="Times New Roman" w:cs="Times New Roman"/>
          <w:sz w:val="24"/>
          <w:szCs w:val="24"/>
        </w:rPr>
        <w:t>;</w:t>
      </w:r>
    </w:p>
    <w:p w:rsidR="004F588B" w:rsidRDefault="004F588B" w:rsidP="000D68DC">
      <w:pPr>
        <w:pStyle w:val="Odsekzoznamu"/>
        <w:numPr>
          <w:ilvl w:val="0"/>
          <w:numId w:val="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lucerna siata;</w:t>
      </w:r>
    </w:p>
    <w:p w:rsidR="004F588B" w:rsidRDefault="004F588B" w:rsidP="000D68DC">
      <w:pPr>
        <w:pStyle w:val="Odsekzoznamu"/>
        <w:numPr>
          <w:ilvl w:val="0"/>
          <w:numId w:val="6"/>
        </w:numPr>
        <w:spacing w:after="0" w:line="240" w:lineRule="auto"/>
        <w:ind w:left="714" w:hanging="357"/>
      </w:pPr>
      <w:r>
        <w:rPr>
          <w:rFonts w:ascii="Times New Roman" w:hAnsi="Times New Roman" w:cs="Times New Roman"/>
          <w:sz w:val="24"/>
          <w:szCs w:val="24"/>
        </w:rPr>
        <w:t>ď</w:t>
      </w:r>
      <w:r w:rsidRPr="004F588B">
        <w:rPr>
          <w:rFonts w:ascii="Times New Roman" w:hAnsi="Times New Roman" w:cs="Times New Roman"/>
          <w:sz w:val="24"/>
          <w:szCs w:val="24"/>
        </w:rPr>
        <w:t>atelina lúčna</w:t>
      </w:r>
      <w:r>
        <w:rPr>
          <w:rFonts w:ascii="Times New Roman" w:hAnsi="Times New Roman" w:cs="Times New Roman"/>
          <w:sz w:val="24"/>
          <w:szCs w:val="24"/>
        </w:rPr>
        <w:t>; a</w:t>
      </w:r>
    </w:p>
    <w:p w:rsidR="004F588B" w:rsidRPr="005F4002" w:rsidRDefault="004F588B" w:rsidP="000D68DC">
      <w:pPr>
        <w:pStyle w:val="Odsekzoznamu"/>
        <w:numPr>
          <w:ilvl w:val="0"/>
          <w:numId w:val="6"/>
        </w:numPr>
        <w:spacing w:after="0" w:line="240" w:lineRule="auto"/>
        <w:ind w:left="714" w:hanging="357"/>
      </w:pPr>
      <w:r>
        <w:rPr>
          <w:rFonts w:ascii="Times New Roman" w:hAnsi="Times New Roman" w:cs="Times New Roman"/>
          <w:sz w:val="24"/>
          <w:szCs w:val="24"/>
        </w:rPr>
        <w:t>t</w:t>
      </w:r>
      <w:r w:rsidRPr="004F588B">
        <w:rPr>
          <w:rFonts w:ascii="Times New Roman" w:hAnsi="Times New Roman" w:cs="Times New Roman"/>
          <w:sz w:val="24"/>
          <w:szCs w:val="24"/>
        </w:rPr>
        <w:t>rvalé trávne porasty</w:t>
      </w:r>
      <w:r>
        <w:rPr>
          <w:rFonts w:ascii="Times New Roman" w:hAnsi="Times New Roman" w:cs="Times New Roman"/>
          <w:sz w:val="24"/>
          <w:szCs w:val="24"/>
        </w:rPr>
        <w:t>.</w:t>
      </w:r>
    </w:p>
    <w:p w:rsidR="005F4002" w:rsidRDefault="005F4002" w:rsidP="005F4002">
      <w:pPr>
        <w:spacing w:after="0" w:line="240" w:lineRule="auto"/>
      </w:pPr>
    </w:p>
    <w:p w:rsidR="005F4002" w:rsidRDefault="006316DB" w:rsidP="005F4002">
      <w:pPr>
        <w:spacing w:after="0" w:line="240" w:lineRule="auto"/>
      </w:pPr>
      <w:r>
        <w:rPr>
          <w:rFonts w:ascii="Times New Roman" w:hAnsi="Times New Roman" w:cs="Times New Roman"/>
          <w:sz w:val="20"/>
          <w:szCs w:val="20"/>
        </w:rPr>
        <w:t>Tab. č. 27</w:t>
      </w:r>
      <w:r w:rsidR="005F4002" w:rsidRPr="00A855A4">
        <w:rPr>
          <w:rFonts w:ascii="Times New Roman" w:hAnsi="Times New Roman" w:cs="Times New Roman"/>
          <w:sz w:val="20"/>
          <w:szCs w:val="20"/>
        </w:rPr>
        <w:t xml:space="preserve">: </w:t>
      </w:r>
      <w:r w:rsidR="005F4002">
        <w:rPr>
          <w:rFonts w:ascii="Times New Roman" w:hAnsi="Times New Roman" w:cs="Times New Roman"/>
          <w:sz w:val="20"/>
          <w:szCs w:val="20"/>
        </w:rPr>
        <w:t>Základné produkčné ukazovatele krmovín na ornej pôde</w:t>
      </w:r>
    </w:p>
    <w:tbl>
      <w:tblPr>
        <w:tblW w:w="9100" w:type="dxa"/>
        <w:tblInd w:w="55" w:type="dxa"/>
        <w:tblCellMar>
          <w:left w:w="70" w:type="dxa"/>
          <w:right w:w="70" w:type="dxa"/>
        </w:tblCellMar>
        <w:tblLook w:val="04A0" w:firstRow="1" w:lastRow="0" w:firstColumn="1" w:lastColumn="0" w:noHBand="0" w:noVBand="1"/>
      </w:tblPr>
      <w:tblGrid>
        <w:gridCol w:w="3340"/>
        <w:gridCol w:w="960"/>
        <w:gridCol w:w="960"/>
        <w:gridCol w:w="960"/>
        <w:gridCol w:w="960"/>
        <w:gridCol w:w="960"/>
        <w:gridCol w:w="960"/>
      </w:tblGrid>
      <w:tr w:rsidR="005F4002" w:rsidRPr="005F4002" w:rsidTr="005F4002">
        <w:trPr>
          <w:trHeight w:val="255"/>
        </w:trPr>
        <w:tc>
          <w:tcPr>
            <w:tcW w:w="3340" w:type="dxa"/>
            <w:tcBorders>
              <w:top w:val="nil"/>
              <w:left w:val="nil"/>
              <w:bottom w:val="single" w:sz="4" w:space="0" w:color="auto"/>
              <w:right w:val="single" w:sz="4" w:space="0" w:color="auto"/>
            </w:tcBorders>
            <w:shd w:val="clear" w:color="000000" w:fill="D9D9D9"/>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D9D9D9"/>
            <w:noWrap/>
            <w:vAlign w:val="bottom"/>
            <w:hideMark/>
          </w:tcPr>
          <w:p w:rsidR="005F4002" w:rsidRPr="005F4002" w:rsidRDefault="005F4002" w:rsidP="005F4002">
            <w:pPr>
              <w:spacing w:after="0" w:line="240" w:lineRule="auto"/>
              <w:jc w:val="center"/>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2002</w:t>
            </w:r>
          </w:p>
        </w:tc>
        <w:tc>
          <w:tcPr>
            <w:tcW w:w="960" w:type="dxa"/>
            <w:tcBorders>
              <w:top w:val="nil"/>
              <w:left w:val="nil"/>
              <w:bottom w:val="single" w:sz="4" w:space="0" w:color="auto"/>
              <w:right w:val="nil"/>
            </w:tcBorders>
            <w:shd w:val="clear" w:color="000000" w:fill="D9D9D9"/>
            <w:noWrap/>
            <w:vAlign w:val="bottom"/>
            <w:hideMark/>
          </w:tcPr>
          <w:p w:rsidR="005F4002" w:rsidRPr="005F4002" w:rsidRDefault="005F4002" w:rsidP="005F4002">
            <w:pPr>
              <w:spacing w:after="0" w:line="240" w:lineRule="auto"/>
              <w:jc w:val="center"/>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2007</w:t>
            </w:r>
          </w:p>
        </w:tc>
        <w:tc>
          <w:tcPr>
            <w:tcW w:w="960" w:type="dxa"/>
            <w:tcBorders>
              <w:top w:val="nil"/>
              <w:left w:val="nil"/>
              <w:bottom w:val="single" w:sz="4" w:space="0" w:color="auto"/>
              <w:right w:val="nil"/>
            </w:tcBorders>
            <w:shd w:val="clear" w:color="000000" w:fill="D9D9D9"/>
            <w:noWrap/>
            <w:vAlign w:val="bottom"/>
            <w:hideMark/>
          </w:tcPr>
          <w:p w:rsidR="005F4002" w:rsidRPr="005F4002" w:rsidRDefault="005F4002" w:rsidP="005F4002">
            <w:pPr>
              <w:spacing w:after="0" w:line="240" w:lineRule="auto"/>
              <w:jc w:val="center"/>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2008</w:t>
            </w:r>
          </w:p>
        </w:tc>
        <w:tc>
          <w:tcPr>
            <w:tcW w:w="960" w:type="dxa"/>
            <w:tcBorders>
              <w:top w:val="nil"/>
              <w:left w:val="nil"/>
              <w:bottom w:val="single" w:sz="4" w:space="0" w:color="auto"/>
              <w:right w:val="nil"/>
            </w:tcBorders>
            <w:shd w:val="clear" w:color="000000" w:fill="D9D9D9"/>
            <w:noWrap/>
            <w:vAlign w:val="bottom"/>
            <w:hideMark/>
          </w:tcPr>
          <w:p w:rsidR="005F4002" w:rsidRPr="005F4002" w:rsidRDefault="005F4002" w:rsidP="005F4002">
            <w:pPr>
              <w:spacing w:after="0" w:line="240" w:lineRule="auto"/>
              <w:jc w:val="center"/>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2009</w:t>
            </w:r>
          </w:p>
        </w:tc>
        <w:tc>
          <w:tcPr>
            <w:tcW w:w="960" w:type="dxa"/>
            <w:tcBorders>
              <w:top w:val="nil"/>
              <w:left w:val="nil"/>
              <w:bottom w:val="single" w:sz="4" w:space="0" w:color="auto"/>
              <w:right w:val="nil"/>
            </w:tcBorders>
            <w:shd w:val="clear" w:color="000000" w:fill="D9D9D9"/>
            <w:noWrap/>
            <w:vAlign w:val="bottom"/>
            <w:hideMark/>
          </w:tcPr>
          <w:p w:rsidR="005F4002" w:rsidRPr="005F4002" w:rsidRDefault="005F4002" w:rsidP="005F4002">
            <w:pPr>
              <w:spacing w:after="0" w:line="240" w:lineRule="auto"/>
              <w:jc w:val="center"/>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2010</w:t>
            </w:r>
          </w:p>
        </w:tc>
        <w:tc>
          <w:tcPr>
            <w:tcW w:w="960" w:type="dxa"/>
            <w:tcBorders>
              <w:top w:val="nil"/>
              <w:left w:val="nil"/>
              <w:bottom w:val="single" w:sz="4" w:space="0" w:color="auto"/>
              <w:right w:val="nil"/>
            </w:tcBorders>
            <w:shd w:val="clear" w:color="000000" w:fill="D9D9D9"/>
            <w:noWrap/>
            <w:vAlign w:val="bottom"/>
            <w:hideMark/>
          </w:tcPr>
          <w:p w:rsidR="005F4002" w:rsidRPr="005F4002" w:rsidRDefault="005F4002" w:rsidP="005F4002">
            <w:pPr>
              <w:spacing w:after="0" w:line="240" w:lineRule="auto"/>
              <w:jc w:val="center"/>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2011</w:t>
            </w:r>
          </w:p>
        </w:tc>
      </w:tr>
      <w:tr w:rsidR="005F4002" w:rsidRPr="005F4002" w:rsidTr="005F4002">
        <w:trPr>
          <w:trHeight w:val="255"/>
        </w:trPr>
        <w:tc>
          <w:tcPr>
            <w:tcW w:w="334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rPr>
                <w:rFonts w:ascii="Times New Roman" w:eastAsia="Times New Roman" w:hAnsi="Times New Roman" w:cs="Times New Roman"/>
                <w:b/>
                <w:bCs/>
                <w:color w:val="000000"/>
                <w:sz w:val="20"/>
                <w:szCs w:val="20"/>
              </w:rPr>
            </w:pPr>
            <w:r w:rsidRPr="005F4002">
              <w:rPr>
                <w:rFonts w:ascii="Times New Roman" w:eastAsia="Times New Roman" w:hAnsi="Times New Roman" w:cs="Times New Roman"/>
                <w:b/>
                <w:bCs/>
                <w:color w:val="000000"/>
                <w:sz w:val="20"/>
                <w:szCs w:val="20"/>
              </w:rPr>
              <w:t xml:space="preserve">Jednoročné krmoviny na ornej pôde </w:t>
            </w:r>
          </w:p>
        </w:tc>
        <w:tc>
          <w:tcPr>
            <w:tcW w:w="96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jc w:val="center"/>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center"/>
              <w:rPr>
                <w:rFonts w:ascii="Times New Roman" w:eastAsia="Times New Roman" w:hAnsi="Times New Roman" w:cs="Times New Roman"/>
                <w:color w:val="000000"/>
                <w:sz w:val="20"/>
                <w:szCs w:val="20"/>
              </w:rPr>
            </w:pPr>
          </w:p>
        </w:tc>
      </w:tr>
      <w:tr w:rsidR="005F4002" w:rsidRPr="005F4002" w:rsidTr="005F4002">
        <w:trPr>
          <w:trHeight w:val="255"/>
        </w:trPr>
        <w:tc>
          <w:tcPr>
            <w:tcW w:w="3340" w:type="dxa"/>
            <w:tcBorders>
              <w:top w:val="nil"/>
              <w:left w:val="nil"/>
              <w:bottom w:val="nil"/>
              <w:right w:val="single" w:sz="4" w:space="0" w:color="auto"/>
            </w:tcBorders>
            <w:shd w:val="clear" w:color="000000" w:fill="F2F2F2"/>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 xml:space="preserve">    Zberová plocha (ha)</w:t>
            </w:r>
          </w:p>
        </w:tc>
        <w:tc>
          <w:tcPr>
            <w:tcW w:w="960" w:type="dxa"/>
            <w:tcBorders>
              <w:top w:val="nil"/>
              <w:left w:val="nil"/>
              <w:bottom w:val="nil"/>
              <w:right w:val="single" w:sz="4" w:space="0" w:color="auto"/>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120 859</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96 429</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91 390</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85 970</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92 371</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95 280</w:t>
            </w:r>
          </w:p>
        </w:tc>
      </w:tr>
      <w:tr w:rsidR="005F4002" w:rsidRPr="005F4002" w:rsidTr="005F4002">
        <w:trPr>
          <w:trHeight w:val="255"/>
        </w:trPr>
        <w:tc>
          <w:tcPr>
            <w:tcW w:w="334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 xml:space="preserve">    Úroda (t)</w:t>
            </w:r>
          </w:p>
        </w:tc>
        <w:tc>
          <w:tcPr>
            <w:tcW w:w="96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3 021 880</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2 047 874</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2 426 079</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2 087 746</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1 924 283</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2 516 620</w:t>
            </w:r>
          </w:p>
        </w:tc>
      </w:tr>
      <w:tr w:rsidR="005F4002" w:rsidRPr="005F4002" w:rsidTr="005F4002">
        <w:trPr>
          <w:trHeight w:val="255"/>
        </w:trPr>
        <w:tc>
          <w:tcPr>
            <w:tcW w:w="3340" w:type="dxa"/>
            <w:tcBorders>
              <w:top w:val="nil"/>
              <w:left w:val="nil"/>
              <w:bottom w:val="single" w:sz="4" w:space="0" w:color="auto"/>
              <w:right w:val="single" w:sz="4" w:space="0" w:color="auto"/>
            </w:tcBorders>
            <w:shd w:val="clear" w:color="000000" w:fill="F2F2F2"/>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 xml:space="preserve">    Hektárová úroda (t/ha)</w:t>
            </w:r>
          </w:p>
        </w:tc>
        <w:tc>
          <w:tcPr>
            <w:tcW w:w="960" w:type="dxa"/>
            <w:tcBorders>
              <w:top w:val="nil"/>
              <w:left w:val="nil"/>
              <w:bottom w:val="single" w:sz="4" w:space="0" w:color="auto"/>
              <w:right w:val="single" w:sz="4" w:space="0" w:color="auto"/>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25,00</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21,24</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26,55</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24,28</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20,83</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26,41</w:t>
            </w:r>
          </w:p>
        </w:tc>
      </w:tr>
      <w:tr w:rsidR="005F4002" w:rsidRPr="005F4002" w:rsidTr="005F4002">
        <w:trPr>
          <w:trHeight w:val="255"/>
        </w:trPr>
        <w:tc>
          <w:tcPr>
            <w:tcW w:w="334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rPr>
                <w:rFonts w:ascii="Times New Roman" w:eastAsia="Times New Roman" w:hAnsi="Times New Roman" w:cs="Times New Roman"/>
                <w:b/>
                <w:bCs/>
                <w:color w:val="000000"/>
                <w:sz w:val="20"/>
                <w:szCs w:val="20"/>
              </w:rPr>
            </w:pPr>
            <w:r w:rsidRPr="005F4002">
              <w:rPr>
                <w:rFonts w:ascii="Times New Roman" w:eastAsia="Times New Roman" w:hAnsi="Times New Roman" w:cs="Times New Roman"/>
                <w:b/>
                <w:bCs/>
                <w:color w:val="000000"/>
                <w:sz w:val="20"/>
                <w:szCs w:val="20"/>
              </w:rPr>
              <w:t>Lucerna siata</w:t>
            </w:r>
          </w:p>
        </w:tc>
        <w:tc>
          <w:tcPr>
            <w:tcW w:w="96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p>
        </w:tc>
      </w:tr>
      <w:tr w:rsidR="005F4002" w:rsidRPr="005F4002" w:rsidTr="005F4002">
        <w:trPr>
          <w:trHeight w:val="255"/>
        </w:trPr>
        <w:tc>
          <w:tcPr>
            <w:tcW w:w="3340" w:type="dxa"/>
            <w:tcBorders>
              <w:top w:val="nil"/>
              <w:left w:val="nil"/>
              <w:bottom w:val="nil"/>
              <w:right w:val="single" w:sz="4" w:space="0" w:color="auto"/>
            </w:tcBorders>
            <w:shd w:val="clear" w:color="000000" w:fill="F2F2F2"/>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 xml:space="preserve">    Zberová plocha (ha)</w:t>
            </w:r>
          </w:p>
        </w:tc>
        <w:tc>
          <w:tcPr>
            <w:tcW w:w="960" w:type="dxa"/>
            <w:tcBorders>
              <w:top w:val="nil"/>
              <w:left w:val="nil"/>
              <w:bottom w:val="nil"/>
              <w:right w:val="single" w:sz="4" w:space="0" w:color="auto"/>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62 481</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52 198</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50 411</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51 568</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53 453</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48 648</w:t>
            </w:r>
          </w:p>
        </w:tc>
      </w:tr>
      <w:tr w:rsidR="005F4002" w:rsidRPr="005F4002" w:rsidTr="005F4002">
        <w:trPr>
          <w:trHeight w:val="255"/>
        </w:trPr>
        <w:tc>
          <w:tcPr>
            <w:tcW w:w="334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 xml:space="preserve">    Úroda (t)</w:t>
            </w:r>
          </w:p>
        </w:tc>
        <w:tc>
          <w:tcPr>
            <w:tcW w:w="96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471 437</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362 698</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382 903</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360 884</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348 151</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314 073</w:t>
            </w:r>
          </w:p>
        </w:tc>
      </w:tr>
      <w:tr w:rsidR="005F4002" w:rsidRPr="005F4002" w:rsidTr="005F4002">
        <w:trPr>
          <w:trHeight w:val="255"/>
        </w:trPr>
        <w:tc>
          <w:tcPr>
            <w:tcW w:w="3340" w:type="dxa"/>
            <w:tcBorders>
              <w:top w:val="nil"/>
              <w:left w:val="nil"/>
              <w:bottom w:val="single" w:sz="4" w:space="0" w:color="auto"/>
              <w:right w:val="single" w:sz="4" w:space="0" w:color="auto"/>
            </w:tcBorders>
            <w:shd w:val="clear" w:color="000000" w:fill="F2F2F2"/>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 xml:space="preserve">    Hektárová úroda (t/ha)</w:t>
            </w:r>
          </w:p>
        </w:tc>
        <w:tc>
          <w:tcPr>
            <w:tcW w:w="960" w:type="dxa"/>
            <w:tcBorders>
              <w:top w:val="nil"/>
              <w:left w:val="nil"/>
              <w:bottom w:val="single" w:sz="4" w:space="0" w:color="auto"/>
              <w:right w:val="single" w:sz="4" w:space="0" w:color="auto"/>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7,55</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6,95</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7,60</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7,00</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6,51</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6,46</w:t>
            </w:r>
          </w:p>
        </w:tc>
      </w:tr>
      <w:tr w:rsidR="005F4002" w:rsidRPr="005F4002" w:rsidTr="005F4002">
        <w:trPr>
          <w:trHeight w:val="300"/>
        </w:trPr>
        <w:tc>
          <w:tcPr>
            <w:tcW w:w="334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rPr>
                <w:rFonts w:ascii="Times New Roman" w:eastAsia="Times New Roman" w:hAnsi="Times New Roman" w:cs="Times New Roman"/>
                <w:b/>
                <w:bCs/>
                <w:color w:val="000000"/>
                <w:sz w:val="20"/>
                <w:szCs w:val="20"/>
              </w:rPr>
            </w:pPr>
            <w:r w:rsidRPr="005F4002">
              <w:rPr>
                <w:rFonts w:ascii="Times New Roman" w:eastAsia="Times New Roman" w:hAnsi="Times New Roman" w:cs="Times New Roman"/>
                <w:b/>
                <w:bCs/>
                <w:color w:val="000000"/>
                <w:sz w:val="20"/>
                <w:szCs w:val="20"/>
              </w:rPr>
              <w:t>Ďatelina červená dvojkosná</w:t>
            </w:r>
          </w:p>
        </w:tc>
        <w:tc>
          <w:tcPr>
            <w:tcW w:w="96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rPr>
                <w:rFonts w:ascii="Calibri" w:eastAsia="Times New Roman" w:hAnsi="Calibri" w:cs="Calibri"/>
                <w:color w:val="000000"/>
              </w:rPr>
            </w:pPr>
            <w:r w:rsidRPr="005F400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Calibri" w:eastAsia="Times New Roman" w:hAnsi="Calibri" w:cs="Calibri"/>
                <w:color w:val="000000"/>
              </w:rPr>
            </w:pPr>
          </w:p>
        </w:tc>
      </w:tr>
      <w:tr w:rsidR="005F4002" w:rsidRPr="005F4002" w:rsidTr="005F4002">
        <w:trPr>
          <w:trHeight w:val="255"/>
        </w:trPr>
        <w:tc>
          <w:tcPr>
            <w:tcW w:w="3340" w:type="dxa"/>
            <w:tcBorders>
              <w:top w:val="nil"/>
              <w:left w:val="nil"/>
              <w:bottom w:val="nil"/>
              <w:right w:val="single" w:sz="4" w:space="0" w:color="auto"/>
            </w:tcBorders>
            <w:shd w:val="clear" w:color="000000" w:fill="F2F2F2"/>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 xml:space="preserve">    Zberová plocha (ha)</w:t>
            </w:r>
          </w:p>
        </w:tc>
        <w:tc>
          <w:tcPr>
            <w:tcW w:w="960" w:type="dxa"/>
            <w:tcBorders>
              <w:top w:val="nil"/>
              <w:left w:val="nil"/>
              <w:bottom w:val="nil"/>
              <w:right w:val="single" w:sz="4" w:space="0" w:color="auto"/>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8 761</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4 869</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4 486</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4 751</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4 593</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4 351</w:t>
            </w:r>
          </w:p>
        </w:tc>
      </w:tr>
      <w:tr w:rsidR="005F4002" w:rsidRPr="005F4002" w:rsidTr="005F4002">
        <w:trPr>
          <w:trHeight w:val="255"/>
        </w:trPr>
        <w:tc>
          <w:tcPr>
            <w:tcW w:w="334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 xml:space="preserve">    Úroda (t)</w:t>
            </w:r>
          </w:p>
        </w:tc>
        <w:tc>
          <w:tcPr>
            <w:tcW w:w="96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51 301</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22 409</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21 586</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19 473</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17 933</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20 601</w:t>
            </w:r>
          </w:p>
        </w:tc>
      </w:tr>
      <w:tr w:rsidR="005F4002" w:rsidRPr="005F4002" w:rsidTr="005F4002">
        <w:trPr>
          <w:trHeight w:val="255"/>
        </w:trPr>
        <w:tc>
          <w:tcPr>
            <w:tcW w:w="3340" w:type="dxa"/>
            <w:tcBorders>
              <w:top w:val="nil"/>
              <w:left w:val="nil"/>
              <w:bottom w:val="single" w:sz="4" w:space="0" w:color="auto"/>
              <w:right w:val="single" w:sz="4" w:space="0" w:color="auto"/>
            </w:tcBorders>
            <w:shd w:val="clear" w:color="000000" w:fill="F2F2F2"/>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 xml:space="preserve">    Hektárová úroda (t/ha)</w:t>
            </w:r>
          </w:p>
        </w:tc>
        <w:tc>
          <w:tcPr>
            <w:tcW w:w="960" w:type="dxa"/>
            <w:tcBorders>
              <w:top w:val="nil"/>
              <w:left w:val="nil"/>
              <w:bottom w:val="single" w:sz="4" w:space="0" w:color="auto"/>
              <w:right w:val="single" w:sz="4" w:space="0" w:color="auto"/>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5,86</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4,60</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4,81</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4,10</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3,90</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4,73</w:t>
            </w:r>
          </w:p>
        </w:tc>
      </w:tr>
      <w:tr w:rsidR="005F4002" w:rsidRPr="005F4002" w:rsidTr="005F4002">
        <w:trPr>
          <w:trHeight w:val="300"/>
        </w:trPr>
        <w:tc>
          <w:tcPr>
            <w:tcW w:w="334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rPr>
                <w:rFonts w:ascii="Times New Roman" w:eastAsia="Times New Roman" w:hAnsi="Times New Roman" w:cs="Times New Roman"/>
                <w:b/>
                <w:bCs/>
                <w:color w:val="000000"/>
                <w:sz w:val="20"/>
                <w:szCs w:val="20"/>
              </w:rPr>
            </w:pPr>
            <w:r w:rsidRPr="005F4002">
              <w:rPr>
                <w:rFonts w:ascii="Times New Roman" w:eastAsia="Times New Roman" w:hAnsi="Times New Roman" w:cs="Times New Roman"/>
                <w:b/>
                <w:bCs/>
                <w:color w:val="000000"/>
                <w:sz w:val="20"/>
                <w:szCs w:val="20"/>
              </w:rPr>
              <w:t xml:space="preserve">Viacročné krmoviny na ornej pôde </w:t>
            </w:r>
          </w:p>
        </w:tc>
        <w:tc>
          <w:tcPr>
            <w:tcW w:w="96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rPr>
                <w:rFonts w:ascii="Calibri" w:eastAsia="Times New Roman" w:hAnsi="Calibri" w:cs="Calibri"/>
                <w:color w:val="000000"/>
              </w:rPr>
            </w:pPr>
            <w:r w:rsidRPr="005F400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Calibri" w:eastAsia="Times New Roman" w:hAnsi="Calibri" w:cs="Calibri"/>
                <w:color w:val="000000"/>
              </w:rPr>
            </w:pPr>
          </w:p>
        </w:tc>
      </w:tr>
      <w:tr w:rsidR="005F4002" w:rsidRPr="005F4002" w:rsidTr="005F4002">
        <w:trPr>
          <w:trHeight w:val="255"/>
        </w:trPr>
        <w:tc>
          <w:tcPr>
            <w:tcW w:w="3340" w:type="dxa"/>
            <w:tcBorders>
              <w:top w:val="nil"/>
              <w:left w:val="nil"/>
              <w:bottom w:val="nil"/>
              <w:right w:val="single" w:sz="4" w:space="0" w:color="auto"/>
            </w:tcBorders>
            <w:shd w:val="clear" w:color="000000" w:fill="F2F2F2"/>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 xml:space="preserve">    Zberová plocha (ha)</w:t>
            </w:r>
          </w:p>
        </w:tc>
        <w:tc>
          <w:tcPr>
            <w:tcW w:w="960" w:type="dxa"/>
            <w:tcBorders>
              <w:top w:val="nil"/>
              <w:left w:val="nil"/>
              <w:bottom w:val="nil"/>
              <w:right w:val="single" w:sz="4" w:space="0" w:color="auto"/>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128 885</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139 207</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140 796</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150 563</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160 546</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173 584</w:t>
            </w:r>
          </w:p>
        </w:tc>
      </w:tr>
      <w:tr w:rsidR="005F4002" w:rsidRPr="005F4002" w:rsidTr="005F4002">
        <w:trPr>
          <w:trHeight w:val="255"/>
        </w:trPr>
        <w:tc>
          <w:tcPr>
            <w:tcW w:w="334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 xml:space="preserve">    Úroda (t)</w:t>
            </w:r>
          </w:p>
        </w:tc>
        <w:tc>
          <w:tcPr>
            <w:tcW w:w="96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729 695</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623 511</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699 004</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642 936</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688 488</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673 349</w:t>
            </w:r>
          </w:p>
        </w:tc>
      </w:tr>
      <w:tr w:rsidR="005F4002" w:rsidRPr="005F4002" w:rsidTr="005F4002">
        <w:trPr>
          <w:trHeight w:val="255"/>
        </w:trPr>
        <w:tc>
          <w:tcPr>
            <w:tcW w:w="3340" w:type="dxa"/>
            <w:tcBorders>
              <w:top w:val="nil"/>
              <w:left w:val="nil"/>
              <w:bottom w:val="single" w:sz="4" w:space="0" w:color="auto"/>
              <w:right w:val="single" w:sz="4" w:space="0" w:color="auto"/>
            </w:tcBorders>
            <w:shd w:val="clear" w:color="000000" w:fill="F2F2F2"/>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 xml:space="preserve">    Hektárová úroda (t/ha)</w:t>
            </w:r>
          </w:p>
        </w:tc>
        <w:tc>
          <w:tcPr>
            <w:tcW w:w="960" w:type="dxa"/>
            <w:tcBorders>
              <w:top w:val="nil"/>
              <w:left w:val="nil"/>
              <w:bottom w:val="single" w:sz="4" w:space="0" w:color="auto"/>
              <w:right w:val="single" w:sz="4" w:space="0" w:color="auto"/>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5,66</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4,48</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4,96</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4,27</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4,29</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3,88</w:t>
            </w:r>
          </w:p>
        </w:tc>
      </w:tr>
      <w:tr w:rsidR="005F4002" w:rsidRPr="005F4002" w:rsidTr="005F4002">
        <w:trPr>
          <w:trHeight w:val="300"/>
        </w:trPr>
        <w:tc>
          <w:tcPr>
            <w:tcW w:w="334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rPr>
                <w:rFonts w:ascii="Times New Roman" w:eastAsia="Times New Roman" w:hAnsi="Times New Roman" w:cs="Times New Roman"/>
                <w:b/>
                <w:bCs/>
                <w:color w:val="000000"/>
                <w:sz w:val="20"/>
                <w:szCs w:val="20"/>
              </w:rPr>
            </w:pPr>
            <w:r w:rsidRPr="005F4002">
              <w:rPr>
                <w:rFonts w:ascii="Times New Roman" w:eastAsia="Times New Roman" w:hAnsi="Times New Roman" w:cs="Times New Roman"/>
                <w:b/>
                <w:bCs/>
                <w:color w:val="000000"/>
                <w:sz w:val="20"/>
                <w:szCs w:val="20"/>
              </w:rPr>
              <w:t>Trvalé trávne porasty</w:t>
            </w:r>
          </w:p>
        </w:tc>
        <w:tc>
          <w:tcPr>
            <w:tcW w:w="96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rPr>
                <w:rFonts w:ascii="Calibri" w:eastAsia="Times New Roman" w:hAnsi="Calibri" w:cs="Calibri"/>
                <w:color w:val="000000"/>
              </w:rPr>
            </w:pPr>
            <w:r w:rsidRPr="005F400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rPr>
                <w:rFonts w:ascii="Calibri" w:eastAsia="Times New Roman" w:hAnsi="Calibri" w:cs="Calibri"/>
                <w:color w:val="000000"/>
              </w:rPr>
            </w:pPr>
          </w:p>
        </w:tc>
      </w:tr>
      <w:tr w:rsidR="005F4002" w:rsidRPr="005F4002" w:rsidTr="005F4002">
        <w:trPr>
          <w:trHeight w:val="255"/>
        </w:trPr>
        <w:tc>
          <w:tcPr>
            <w:tcW w:w="3340" w:type="dxa"/>
            <w:tcBorders>
              <w:top w:val="nil"/>
              <w:left w:val="nil"/>
              <w:bottom w:val="nil"/>
              <w:right w:val="single" w:sz="4" w:space="0" w:color="auto"/>
            </w:tcBorders>
            <w:shd w:val="clear" w:color="000000" w:fill="F2F2F2"/>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 xml:space="preserve">    Zberová plocha (ha)</w:t>
            </w:r>
          </w:p>
        </w:tc>
        <w:tc>
          <w:tcPr>
            <w:tcW w:w="960" w:type="dxa"/>
            <w:tcBorders>
              <w:top w:val="nil"/>
              <w:left w:val="nil"/>
              <w:bottom w:val="nil"/>
              <w:right w:val="single" w:sz="4" w:space="0" w:color="auto"/>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771 009</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502 789</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503 976</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508 337</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489 403</w:t>
            </w:r>
          </w:p>
        </w:tc>
        <w:tc>
          <w:tcPr>
            <w:tcW w:w="960" w:type="dxa"/>
            <w:tcBorders>
              <w:top w:val="nil"/>
              <w:left w:val="nil"/>
              <w:bottom w:val="nil"/>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507 844</w:t>
            </w:r>
          </w:p>
        </w:tc>
      </w:tr>
      <w:tr w:rsidR="005F4002" w:rsidRPr="005F4002" w:rsidTr="005F4002">
        <w:trPr>
          <w:trHeight w:val="255"/>
        </w:trPr>
        <w:tc>
          <w:tcPr>
            <w:tcW w:w="334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 xml:space="preserve">    Úroda (t)</w:t>
            </w:r>
          </w:p>
        </w:tc>
        <w:tc>
          <w:tcPr>
            <w:tcW w:w="960" w:type="dxa"/>
            <w:tcBorders>
              <w:top w:val="nil"/>
              <w:left w:val="nil"/>
              <w:bottom w:val="nil"/>
              <w:right w:val="single" w:sz="4" w:space="0" w:color="auto"/>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1 266 473</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889 653</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998 471</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963 078</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1 014 653</w:t>
            </w:r>
          </w:p>
        </w:tc>
        <w:tc>
          <w:tcPr>
            <w:tcW w:w="960" w:type="dxa"/>
            <w:tcBorders>
              <w:top w:val="nil"/>
              <w:left w:val="nil"/>
              <w:bottom w:val="nil"/>
              <w:right w:val="nil"/>
            </w:tcBorders>
            <w:shd w:val="clear" w:color="auto" w:fill="auto"/>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1 013 575</w:t>
            </w:r>
          </w:p>
        </w:tc>
      </w:tr>
      <w:tr w:rsidR="005F4002" w:rsidRPr="005F4002" w:rsidTr="005F4002">
        <w:trPr>
          <w:trHeight w:val="255"/>
        </w:trPr>
        <w:tc>
          <w:tcPr>
            <w:tcW w:w="3340" w:type="dxa"/>
            <w:tcBorders>
              <w:top w:val="nil"/>
              <w:left w:val="nil"/>
              <w:bottom w:val="single" w:sz="4" w:space="0" w:color="auto"/>
              <w:right w:val="single" w:sz="4" w:space="0" w:color="auto"/>
            </w:tcBorders>
            <w:shd w:val="clear" w:color="000000" w:fill="F2F2F2"/>
            <w:noWrap/>
            <w:vAlign w:val="bottom"/>
            <w:hideMark/>
          </w:tcPr>
          <w:p w:rsidR="005F4002" w:rsidRPr="005F4002" w:rsidRDefault="005F4002" w:rsidP="005F4002">
            <w:pPr>
              <w:spacing w:after="0" w:line="240" w:lineRule="auto"/>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 xml:space="preserve">    Hektárová úroda (t/ha)</w:t>
            </w:r>
          </w:p>
        </w:tc>
        <w:tc>
          <w:tcPr>
            <w:tcW w:w="960" w:type="dxa"/>
            <w:tcBorders>
              <w:top w:val="nil"/>
              <w:left w:val="nil"/>
              <w:bottom w:val="single" w:sz="4" w:space="0" w:color="auto"/>
              <w:right w:val="single" w:sz="4" w:space="0" w:color="auto"/>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1,64</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1,78</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1,89</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2,07</w:t>
            </w:r>
          </w:p>
        </w:tc>
        <w:tc>
          <w:tcPr>
            <w:tcW w:w="960" w:type="dxa"/>
            <w:tcBorders>
              <w:top w:val="nil"/>
              <w:left w:val="nil"/>
              <w:bottom w:val="single" w:sz="4" w:space="0" w:color="auto"/>
              <w:right w:val="nil"/>
            </w:tcBorders>
            <w:shd w:val="clear" w:color="000000" w:fill="F2F2F2"/>
            <w:noWrap/>
            <w:vAlign w:val="bottom"/>
            <w:hideMark/>
          </w:tcPr>
          <w:p w:rsidR="005F4002" w:rsidRPr="005F4002" w:rsidRDefault="005F4002" w:rsidP="005F4002">
            <w:pPr>
              <w:spacing w:after="0" w:line="240" w:lineRule="auto"/>
              <w:jc w:val="right"/>
              <w:rPr>
                <w:rFonts w:ascii="Times New Roman" w:eastAsia="Times New Roman" w:hAnsi="Times New Roman" w:cs="Times New Roman"/>
                <w:color w:val="000000"/>
                <w:sz w:val="20"/>
                <w:szCs w:val="20"/>
              </w:rPr>
            </w:pPr>
            <w:r w:rsidRPr="005F4002">
              <w:rPr>
                <w:rFonts w:ascii="Times New Roman" w:eastAsia="Times New Roman" w:hAnsi="Times New Roman" w:cs="Times New Roman"/>
                <w:color w:val="000000"/>
                <w:sz w:val="20"/>
                <w:szCs w:val="20"/>
              </w:rPr>
              <w:t>2,00</w:t>
            </w:r>
          </w:p>
        </w:tc>
      </w:tr>
    </w:tbl>
    <w:p w:rsidR="00D722E0" w:rsidRDefault="00D722E0" w:rsidP="00D722E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Zdroj: </w:t>
      </w:r>
      <w:r w:rsidRPr="00D722E0">
        <w:rPr>
          <w:rFonts w:ascii="Times New Roman" w:hAnsi="Times New Roman" w:cs="Times New Roman"/>
          <w:sz w:val="20"/>
          <w:szCs w:val="20"/>
        </w:rPr>
        <w:t>CVRV - VÚRV Piešťany</w:t>
      </w:r>
    </w:p>
    <w:p w:rsidR="005F4002" w:rsidRDefault="005F4002" w:rsidP="005F4002">
      <w:pPr>
        <w:spacing w:after="0" w:line="240" w:lineRule="auto"/>
      </w:pPr>
    </w:p>
    <w:p w:rsidR="004F588B" w:rsidRDefault="004F588B" w:rsidP="004F5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Trvalý p</w:t>
      </w:r>
      <w:r w:rsidRPr="004F588B">
        <w:rPr>
          <w:rFonts w:ascii="Times New Roman" w:hAnsi="Times New Roman" w:cs="Times New Roman"/>
          <w:sz w:val="24"/>
          <w:szCs w:val="24"/>
        </w:rPr>
        <w:t xml:space="preserve">okles plôch kukurice na siláž </w:t>
      </w:r>
      <w:r>
        <w:rPr>
          <w:rFonts w:ascii="Times New Roman" w:hAnsi="Times New Roman" w:cs="Times New Roman"/>
          <w:sz w:val="24"/>
          <w:szCs w:val="24"/>
        </w:rPr>
        <w:t>je priamo úmerný</w:t>
      </w:r>
      <w:r w:rsidRPr="004F588B">
        <w:rPr>
          <w:rFonts w:ascii="Times New Roman" w:hAnsi="Times New Roman" w:cs="Times New Roman"/>
          <w:sz w:val="24"/>
          <w:szCs w:val="24"/>
        </w:rPr>
        <w:t xml:space="preserve"> výrazné</w:t>
      </w:r>
      <w:r>
        <w:rPr>
          <w:rFonts w:ascii="Times New Roman" w:hAnsi="Times New Roman" w:cs="Times New Roman"/>
          <w:sz w:val="24"/>
          <w:szCs w:val="24"/>
        </w:rPr>
        <w:t>mu zníženiu</w:t>
      </w:r>
      <w:r w:rsidRPr="004F588B">
        <w:rPr>
          <w:rFonts w:ascii="Times New Roman" w:hAnsi="Times New Roman" w:cs="Times New Roman"/>
          <w:sz w:val="24"/>
          <w:szCs w:val="24"/>
        </w:rPr>
        <w:t xml:space="preserve"> stavov hospodárskych zvierat </w:t>
      </w:r>
      <w:r>
        <w:rPr>
          <w:rFonts w:ascii="Times New Roman" w:hAnsi="Times New Roman" w:cs="Times New Roman"/>
          <w:sz w:val="24"/>
          <w:szCs w:val="24"/>
        </w:rPr>
        <w:t>predovšetkým hovädzieho dobytka</w:t>
      </w:r>
      <w:r w:rsidRPr="004F588B">
        <w:rPr>
          <w:rFonts w:ascii="Times New Roman" w:hAnsi="Times New Roman" w:cs="Times New Roman"/>
          <w:sz w:val="24"/>
          <w:szCs w:val="24"/>
        </w:rPr>
        <w:t xml:space="preserve">. Úrody sa počas tohto obdobia pohybovali okolo 25 </w:t>
      </w:r>
      <w:r>
        <w:rPr>
          <w:rFonts w:ascii="Times New Roman" w:hAnsi="Times New Roman" w:cs="Times New Roman"/>
          <w:sz w:val="24"/>
          <w:szCs w:val="24"/>
        </w:rPr>
        <w:t>t/ha</w:t>
      </w:r>
      <w:r w:rsidRPr="004F588B">
        <w:rPr>
          <w:rFonts w:ascii="Times New Roman" w:hAnsi="Times New Roman" w:cs="Times New Roman"/>
          <w:sz w:val="24"/>
          <w:szCs w:val="24"/>
        </w:rPr>
        <w:t xml:space="preserve">, s väčšími či menšími odchýlkami v jednotlivých rokoch. </w:t>
      </w:r>
      <w:r>
        <w:rPr>
          <w:rFonts w:ascii="Times New Roman" w:hAnsi="Times New Roman" w:cs="Times New Roman"/>
          <w:sz w:val="24"/>
          <w:szCs w:val="24"/>
        </w:rPr>
        <w:t>Kukurica</w:t>
      </w:r>
      <w:r w:rsidRPr="004F588B">
        <w:rPr>
          <w:rFonts w:ascii="Times New Roman" w:hAnsi="Times New Roman" w:cs="Times New Roman"/>
          <w:sz w:val="24"/>
          <w:szCs w:val="24"/>
        </w:rPr>
        <w:t xml:space="preserve"> na siláž v poslednom období nachádza uplatnenie ako komodita </w:t>
      </w:r>
      <w:r>
        <w:rPr>
          <w:rFonts w:ascii="Times New Roman" w:hAnsi="Times New Roman" w:cs="Times New Roman"/>
          <w:sz w:val="24"/>
          <w:szCs w:val="24"/>
        </w:rPr>
        <w:t xml:space="preserve">najmä </w:t>
      </w:r>
      <w:r w:rsidRPr="004F588B">
        <w:rPr>
          <w:rFonts w:ascii="Times New Roman" w:hAnsi="Times New Roman" w:cs="Times New Roman"/>
          <w:sz w:val="24"/>
          <w:szCs w:val="24"/>
        </w:rPr>
        <w:t>pre produkciu kukuričnej silá</w:t>
      </w:r>
      <w:r>
        <w:rPr>
          <w:rFonts w:ascii="Times New Roman" w:hAnsi="Times New Roman" w:cs="Times New Roman"/>
          <w:sz w:val="24"/>
          <w:szCs w:val="24"/>
        </w:rPr>
        <w:t xml:space="preserve">že pre </w:t>
      </w:r>
      <w:proofErr w:type="spellStart"/>
      <w:r>
        <w:rPr>
          <w:rFonts w:ascii="Times New Roman" w:hAnsi="Times New Roman" w:cs="Times New Roman"/>
          <w:sz w:val="24"/>
          <w:szCs w:val="24"/>
        </w:rPr>
        <w:t>bioplynové</w:t>
      </w:r>
      <w:proofErr w:type="spellEnd"/>
      <w:r>
        <w:rPr>
          <w:rFonts w:ascii="Times New Roman" w:hAnsi="Times New Roman" w:cs="Times New Roman"/>
          <w:sz w:val="24"/>
          <w:szCs w:val="24"/>
        </w:rPr>
        <w:t xml:space="preserve"> stanice. Predovšetkým </w:t>
      </w:r>
      <w:r w:rsidRPr="004F588B">
        <w:rPr>
          <w:rFonts w:ascii="Times New Roman" w:hAnsi="Times New Roman" w:cs="Times New Roman"/>
          <w:sz w:val="24"/>
          <w:szCs w:val="24"/>
        </w:rPr>
        <w:t>z tohto dôvodu možno aj očakávať postupný nárast pestovateľských plôch.</w:t>
      </w:r>
    </w:p>
    <w:p w:rsidR="00D0272E" w:rsidRDefault="00D0272E" w:rsidP="004F588B">
      <w:pPr>
        <w:spacing w:after="0" w:line="240" w:lineRule="auto"/>
        <w:jc w:val="both"/>
        <w:rPr>
          <w:rFonts w:ascii="Times New Roman" w:hAnsi="Times New Roman" w:cs="Times New Roman"/>
          <w:sz w:val="24"/>
          <w:szCs w:val="24"/>
        </w:rPr>
      </w:pPr>
    </w:p>
    <w:p w:rsidR="004F588B" w:rsidRDefault="004F588B" w:rsidP="004F5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Podobný vývoj ako pri kukurici je možné pozorovať aj v prípade lucerny siatej, ktorej </w:t>
      </w:r>
      <w:r w:rsidRPr="004F588B">
        <w:rPr>
          <w:rFonts w:ascii="Times New Roman" w:hAnsi="Times New Roman" w:cs="Times New Roman"/>
          <w:sz w:val="24"/>
          <w:szCs w:val="24"/>
        </w:rPr>
        <w:t xml:space="preserve">význam </w:t>
      </w:r>
      <w:r>
        <w:rPr>
          <w:rFonts w:ascii="Times New Roman" w:hAnsi="Times New Roman" w:cs="Times New Roman"/>
          <w:sz w:val="24"/>
          <w:szCs w:val="24"/>
        </w:rPr>
        <w:t xml:space="preserve">stúpa predovšetkým z hľadiska jej využitia </w:t>
      </w:r>
      <w:r w:rsidRPr="004F588B">
        <w:rPr>
          <w:rFonts w:ascii="Times New Roman" w:hAnsi="Times New Roman" w:cs="Times New Roman"/>
          <w:sz w:val="24"/>
          <w:szCs w:val="24"/>
        </w:rPr>
        <w:t xml:space="preserve">ako suroviny pre </w:t>
      </w:r>
      <w:proofErr w:type="spellStart"/>
      <w:r w:rsidRPr="004F588B">
        <w:rPr>
          <w:rFonts w:ascii="Times New Roman" w:hAnsi="Times New Roman" w:cs="Times New Roman"/>
          <w:sz w:val="24"/>
          <w:szCs w:val="24"/>
        </w:rPr>
        <w:t>bioplynové</w:t>
      </w:r>
      <w:proofErr w:type="spellEnd"/>
      <w:r w:rsidRPr="004F588B">
        <w:rPr>
          <w:rFonts w:ascii="Times New Roman" w:hAnsi="Times New Roman" w:cs="Times New Roman"/>
          <w:sz w:val="24"/>
          <w:szCs w:val="24"/>
        </w:rPr>
        <w:t xml:space="preserve"> stanice. </w:t>
      </w:r>
      <w:r>
        <w:rPr>
          <w:rFonts w:ascii="Times New Roman" w:hAnsi="Times New Roman" w:cs="Times New Roman"/>
          <w:sz w:val="24"/>
          <w:szCs w:val="24"/>
        </w:rPr>
        <w:t>V</w:t>
      </w:r>
      <w:r w:rsidR="009C0FDF">
        <w:rPr>
          <w:rFonts w:ascii="Times New Roman" w:hAnsi="Times New Roman" w:cs="Times New Roman"/>
          <w:sz w:val="24"/>
          <w:szCs w:val="24"/>
        </w:rPr>
        <w:t>roku2011</w:t>
      </w:r>
      <w:r w:rsidRPr="004F588B">
        <w:rPr>
          <w:rFonts w:ascii="Times New Roman" w:hAnsi="Times New Roman" w:cs="Times New Roman"/>
          <w:sz w:val="24"/>
          <w:szCs w:val="24"/>
        </w:rPr>
        <w:t xml:space="preserve"> zberové plochy lucerny siatej </w:t>
      </w:r>
      <w:r w:rsidR="009C0FDF">
        <w:rPr>
          <w:rFonts w:ascii="Times New Roman" w:hAnsi="Times New Roman" w:cs="Times New Roman"/>
          <w:sz w:val="24"/>
          <w:szCs w:val="24"/>
        </w:rPr>
        <w:t xml:space="preserve">dosiahli výmeru </w:t>
      </w:r>
      <w:r w:rsidRPr="004F588B">
        <w:rPr>
          <w:rFonts w:ascii="Times New Roman" w:hAnsi="Times New Roman" w:cs="Times New Roman"/>
          <w:sz w:val="24"/>
          <w:szCs w:val="24"/>
        </w:rPr>
        <w:t xml:space="preserve">48648 ha a hektárové úrody sa pohybovali </w:t>
      </w:r>
      <w:r w:rsidR="00FC7480">
        <w:rPr>
          <w:rFonts w:ascii="Times New Roman" w:hAnsi="Times New Roman" w:cs="Times New Roman"/>
          <w:sz w:val="24"/>
          <w:szCs w:val="24"/>
        </w:rPr>
        <w:t>cca</w:t>
      </w:r>
      <w:r w:rsidR="005B21B8">
        <w:rPr>
          <w:rFonts w:ascii="Times New Roman" w:hAnsi="Times New Roman" w:cs="Times New Roman"/>
          <w:sz w:val="24"/>
          <w:szCs w:val="24"/>
        </w:rPr>
        <w:t>6,46</w:t>
      </w:r>
      <w:r w:rsidR="009C0FDF">
        <w:rPr>
          <w:rFonts w:ascii="Times New Roman" w:hAnsi="Times New Roman" w:cs="Times New Roman"/>
          <w:sz w:val="24"/>
          <w:szCs w:val="24"/>
        </w:rPr>
        <w:t xml:space="preserve"> t/ha</w:t>
      </w:r>
      <w:r w:rsidRPr="004F588B">
        <w:rPr>
          <w:rFonts w:ascii="Times New Roman" w:hAnsi="Times New Roman" w:cs="Times New Roman"/>
          <w:sz w:val="24"/>
          <w:szCs w:val="24"/>
        </w:rPr>
        <w:t xml:space="preserve">. </w:t>
      </w:r>
      <w:r w:rsidR="009C0FDF">
        <w:rPr>
          <w:rFonts w:ascii="Times New Roman" w:hAnsi="Times New Roman" w:cs="Times New Roman"/>
          <w:sz w:val="24"/>
          <w:szCs w:val="24"/>
        </w:rPr>
        <w:t xml:space="preserve">Negatívny trend v smere úbytku zberových plôch lucerny siatej, </w:t>
      </w:r>
      <w:r w:rsidRPr="004F588B">
        <w:rPr>
          <w:rFonts w:ascii="Times New Roman" w:hAnsi="Times New Roman" w:cs="Times New Roman"/>
          <w:sz w:val="24"/>
          <w:szCs w:val="24"/>
        </w:rPr>
        <w:t>z dôvodu útlmu živočíšnej výroby</w:t>
      </w:r>
      <w:r w:rsidR="009C0FDF">
        <w:rPr>
          <w:rFonts w:ascii="Times New Roman" w:hAnsi="Times New Roman" w:cs="Times New Roman"/>
          <w:sz w:val="24"/>
          <w:szCs w:val="24"/>
        </w:rPr>
        <w:t>, tlmila relatívna stabilita hektárových úrod.</w:t>
      </w:r>
    </w:p>
    <w:p w:rsidR="009C0FDF" w:rsidRPr="004F588B" w:rsidRDefault="009C0FDF" w:rsidP="004F588B">
      <w:pPr>
        <w:spacing w:after="0" w:line="240" w:lineRule="auto"/>
        <w:jc w:val="both"/>
        <w:rPr>
          <w:rFonts w:ascii="Times New Roman" w:hAnsi="Times New Roman" w:cs="Times New Roman"/>
          <w:sz w:val="24"/>
          <w:szCs w:val="24"/>
        </w:rPr>
      </w:pPr>
    </w:p>
    <w:p w:rsidR="004F588B" w:rsidRDefault="00910567" w:rsidP="004F5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Význam ďateliny lúčnej</w:t>
      </w:r>
      <w:r w:rsidR="004F588B" w:rsidRPr="004F588B">
        <w:rPr>
          <w:rFonts w:ascii="Times New Roman" w:hAnsi="Times New Roman" w:cs="Times New Roman"/>
          <w:sz w:val="24"/>
          <w:szCs w:val="24"/>
        </w:rPr>
        <w:t>, podobne ako luc</w:t>
      </w:r>
      <w:r>
        <w:rPr>
          <w:rFonts w:ascii="Times New Roman" w:hAnsi="Times New Roman" w:cs="Times New Roman"/>
          <w:sz w:val="24"/>
          <w:szCs w:val="24"/>
        </w:rPr>
        <w:t>erny siatej</w:t>
      </w:r>
      <w:r w:rsidR="004F588B" w:rsidRPr="004F588B">
        <w:rPr>
          <w:rFonts w:ascii="Times New Roman" w:hAnsi="Times New Roman" w:cs="Times New Roman"/>
          <w:sz w:val="24"/>
          <w:szCs w:val="24"/>
        </w:rPr>
        <w:t xml:space="preserve">, </w:t>
      </w:r>
      <w:r>
        <w:rPr>
          <w:rFonts w:ascii="Times New Roman" w:hAnsi="Times New Roman" w:cs="Times New Roman"/>
          <w:sz w:val="24"/>
          <w:szCs w:val="24"/>
        </w:rPr>
        <w:t>v</w:t>
      </w:r>
      <w:r w:rsidR="004F588B" w:rsidRPr="004F588B">
        <w:rPr>
          <w:rFonts w:ascii="Times New Roman" w:hAnsi="Times New Roman" w:cs="Times New Roman"/>
          <w:sz w:val="24"/>
          <w:szCs w:val="24"/>
        </w:rPr>
        <w:t xml:space="preserve"> poslednom období stúpa ako suroviny pre </w:t>
      </w:r>
      <w:proofErr w:type="spellStart"/>
      <w:r w:rsidR="004F588B" w:rsidRPr="004F588B">
        <w:rPr>
          <w:rFonts w:ascii="Times New Roman" w:hAnsi="Times New Roman" w:cs="Times New Roman"/>
          <w:sz w:val="24"/>
          <w:szCs w:val="24"/>
        </w:rPr>
        <w:t>bioplynové</w:t>
      </w:r>
      <w:proofErr w:type="spellEnd"/>
      <w:r w:rsidR="004F588B" w:rsidRPr="004F588B">
        <w:rPr>
          <w:rFonts w:ascii="Times New Roman" w:hAnsi="Times New Roman" w:cs="Times New Roman"/>
          <w:sz w:val="24"/>
          <w:szCs w:val="24"/>
        </w:rPr>
        <w:t xml:space="preserve"> stanice. </w:t>
      </w:r>
      <w:r>
        <w:rPr>
          <w:rFonts w:ascii="Times New Roman" w:hAnsi="Times New Roman" w:cs="Times New Roman"/>
          <w:sz w:val="24"/>
          <w:szCs w:val="24"/>
        </w:rPr>
        <w:t>Z</w:t>
      </w:r>
      <w:r w:rsidR="004F588B" w:rsidRPr="004F588B">
        <w:rPr>
          <w:rFonts w:ascii="Times New Roman" w:hAnsi="Times New Roman" w:cs="Times New Roman"/>
          <w:sz w:val="24"/>
          <w:szCs w:val="24"/>
        </w:rPr>
        <w:t xml:space="preserve">berové plochy ďateliny lúčnej </w:t>
      </w:r>
      <w:r w:rsidR="002608BB">
        <w:rPr>
          <w:rFonts w:ascii="Times New Roman" w:hAnsi="Times New Roman" w:cs="Times New Roman"/>
          <w:sz w:val="24"/>
          <w:szCs w:val="24"/>
        </w:rPr>
        <w:t>majú výmeru</w:t>
      </w:r>
      <w:r w:rsidR="004F588B" w:rsidRPr="004F588B">
        <w:rPr>
          <w:rFonts w:ascii="Times New Roman" w:hAnsi="Times New Roman" w:cs="Times New Roman"/>
          <w:sz w:val="24"/>
          <w:szCs w:val="24"/>
        </w:rPr>
        <w:t xml:space="preserve"> 4351 ha a hektárové úrody sa </w:t>
      </w:r>
      <w:r>
        <w:rPr>
          <w:rFonts w:ascii="Times New Roman" w:hAnsi="Times New Roman" w:cs="Times New Roman"/>
          <w:sz w:val="24"/>
          <w:szCs w:val="24"/>
        </w:rPr>
        <w:t>pohybujú na úrovni cca</w:t>
      </w:r>
      <w:r w:rsidR="005B21B8">
        <w:rPr>
          <w:rFonts w:ascii="Times New Roman" w:hAnsi="Times New Roman" w:cs="Times New Roman"/>
          <w:sz w:val="24"/>
          <w:szCs w:val="24"/>
        </w:rPr>
        <w:t>4,73</w:t>
      </w:r>
      <w:r>
        <w:rPr>
          <w:rFonts w:ascii="Times New Roman" w:hAnsi="Times New Roman" w:cs="Times New Roman"/>
          <w:sz w:val="24"/>
          <w:szCs w:val="24"/>
        </w:rPr>
        <w:t>t/ha</w:t>
      </w:r>
      <w:r w:rsidR="004F588B" w:rsidRPr="004F588B">
        <w:rPr>
          <w:rFonts w:ascii="Times New Roman" w:hAnsi="Times New Roman" w:cs="Times New Roman"/>
          <w:sz w:val="24"/>
          <w:szCs w:val="24"/>
        </w:rPr>
        <w:t xml:space="preserve">. </w:t>
      </w:r>
      <w:r>
        <w:rPr>
          <w:rFonts w:ascii="Times New Roman" w:hAnsi="Times New Roman" w:cs="Times New Roman"/>
          <w:sz w:val="24"/>
          <w:szCs w:val="24"/>
        </w:rPr>
        <w:t>Redukcia plôch sa ď</w:t>
      </w:r>
      <w:r w:rsidR="004F588B" w:rsidRPr="004F588B">
        <w:rPr>
          <w:rFonts w:ascii="Times New Roman" w:hAnsi="Times New Roman" w:cs="Times New Roman"/>
          <w:sz w:val="24"/>
          <w:szCs w:val="24"/>
        </w:rPr>
        <w:t>ateliny lúčnej dotkla výraznejšie ako lucerny siate</w:t>
      </w:r>
      <w:r>
        <w:rPr>
          <w:rFonts w:ascii="Times New Roman" w:hAnsi="Times New Roman" w:cs="Times New Roman"/>
          <w:sz w:val="24"/>
          <w:szCs w:val="24"/>
        </w:rPr>
        <w:t>j</w:t>
      </w:r>
      <w:r w:rsidR="004F588B" w:rsidRPr="004F588B">
        <w:rPr>
          <w:rFonts w:ascii="Times New Roman" w:hAnsi="Times New Roman" w:cs="Times New Roman"/>
          <w:sz w:val="24"/>
          <w:szCs w:val="24"/>
        </w:rPr>
        <w:t xml:space="preserve">, </w:t>
      </w:r>
      <w:r>
        <w:rPr>
          <w:rFonts w:ascii="Times New Roman" w:hAnsi="Times New Roman" w:cs="Times New Roman"/>
          <w:sz w:val="24"/>
          <w:szCs w:val="24"/>
        </w:rPr>
        <w:t xml:space="preserve">a to </w:t>
      </w:r>
      <w:r w:rsidR="004F588B" w:rsidRPr="004F588B">
        <w:rPr>
          <w:rFonts w:ascii="Times New Roman" w:hAnsi="Times New Roman" w:cs="Times New Roman"/>
          <w:sz w:val="24"/>
          <w:szCs w:val="24"/>
        </w:rPr>
        <w:t xml:space="preserve">nielen z dôvodu redukcie stavov </w:t>
      </w:r>
      <w:r>
        <w:rPr>
          <w:rFonts w:ascii="Times New Roman" w:hAnsi="Times New Roman" w:cs="Times New Roman"/>
          <w:sz w:val="24"/>
          <w:szCs w:val="24"/>
        </w:rPr>
        <w:t>hospodárskych zvierat</w:t>
      </w:r>
      <w:r w:rsidR="004F588B" w:rsidRPr="004F588B">
        <w:rPr>
          <w:rFonts w:ascii="Times New Roman" w:hAnsi="Times New Roman" w:cs="Times New Roman"/>
          <w:sz w:val="24"/>
          <w:szCs w:val="24"/>
        </w:rPr>
        <w:t xml:space="preserve"> ale aj z dôvodu nižšej stability úrod v porovnaní s lucernou siatou, kde možno vidieť hlbší prepad čo sa týka úrod a aj ich výraznejšiu kolísavosť v jednotlivých rokoch.</w:t>
      </w:r>
    </w:p>
    <w:p w:rsidR="00910567" w:rsidRPr="004F588B" w:rsidRDefault="00910567" w:rsidP="004F588B">
      <w:pPr>
        <w:spacing w:after="0" w:line="240" w:lineRule="auto"/>
        <w:jc w:val="both"/>
        <w:rPr>
          <w:rFonts w:ascii="Times New Roman" w:hAnsi="Times New Roman" w:cs="Times New Roman"/>
          <w:sz w:val="24"/>
          <w:szCs w:val="24"/>
        </w:rPr>
      </w:pPr>
    </w:p>
    <w:p w:rsidR="00910567" w:rsidRDefault="00910567" w:rsidP="004F5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Výmera trvalých trávnych porastov</w:t>
      </w:r>
      <w:r w:rsidR="003748EC">
        <w:rPr>
          <w:rFonts w:ascii="Times New Roman" w:hAnsi="Times New Roman" w:cs="Times New Roman"/>
          <w:sz w:val="24"/>
          <w:szCs w:val="24"/>
        </w:rPr>
        <w:t xml:space="preserve"> </w:t>
      </w:r>
      <w:r>
        <w:rPr>
          <w:rFonts w:ascii="Times New Roman" w:hAnsi="Times New Roman" w:cs="Times New Roman"/>
          <w:sz w:val="24"/>
          <w:szCs w:val="24"/>
        </w:rPr>
        <w:t xml:space="preserve">sa v súčasnosti pohybuje na úrovni </w:t>
      </w:r>
      <w:r w:rsidR="005B21B8">
        <w:rPr>
          <w:rFonts w:ascii="Times New Roman" w:hAnsi="Times New Roman" w:cs="Times New Roman"/>
          <w:sz w:val="24"/>
          <w:szCs w:val="24"/>
        </w:rPr>
        <w:t>507 844</w:t>
      </w:r>
      <w:r w:rsidRPr="004F588B">
        <w:rPr>
          <w:rFonts w:ascii="Times New Roman" w:hAnsi="Times New Roman" w:cs="Times New Roman"/>
          <w:sz w:val="24"/>
          <w:szCs w:val="24"/>
        </w:rPr>
        <w:t xml:space="preserve"> ha</w:t>
      </w:r>
      <w:r>
        <w:rPr>
          <w:rFonts w:ascii="Times New Roman" w:hAnsi="Times New Roman" w:cs="Times New Roman"/>
          <w:sz w:val="24"/>
          <w:szCs w:val="24"/>
        </w:rPr>
        <w:t xml:space="preserve">. Hektárové úrody sú na úrovni približne </w:t>
      </w:r>
      <w:r w:rsidR="005B21B8">
        <w:rPr>
          <w:rFonts w:ascii="Times New Roman" w:hAnsi="Times New Roman" w:cs="Times New Roman"/>
          <w:sz w:val="24"/>
          <w:szCs w:val="24"/>
        </w:rPr>
        <w:t>2,00</w:t>
      </w:r>
      <w:r>
        <w:rPr>
          <w:rFonts w:ascii="Times New Roman" w:hAnsi="Times New Roman" w:cs="Times New Roman"/>
          <w:sz w:val="24"/>
          <w:szCs w:val="24"/>
        </w:rPr>
        <w:t xml:space="preserve"> t/ha. </w:t>
      </w:r>
      <w:r w:rsidR="002B0D5B" w:rsidRPr="004F588B">
        <w:rPr>
          <w:rFonts w:ascii="Times New Roman" w:hAnsi="Times New Roman" w:cs="Times New Roman"/>
          <w:sz w:val="24"/>
          <w:szCs w:val="24"/>
        </w:rPr>
        <w:t>Stabilný vývoj v zastúpení trvalých lúk v 90-tych rokoch bol narušený začiatkom tohto tisícročia, predpokladáme, že z dôvodu iného využitia týchto lúk</w:t>
      </w:r>
      <w:r w:rsidR="002B0D5B">
        <w:rPr>
          <w:rFonts w:ascii="Times New Roman" w:hAnsi="Times New Roman" w:cs="Times New Roman"/>
          <w:sz w:val="24"/>
          <w:szCs w:val="24"/>
        </w:rPr>
        <w:t>, predovšetkým v</w:t>
      </w:r>
      <w:r w:rsidR="003748EC">
        <w:rPr>
          <w:rFonts w:ascii="Times New Roman" w:hAnsi="Times New Roman" w:cs="Times New Roman"/>
          <w:sz w:val="24"/>
          <w:szCs w:val="24"/>
        </w:rPr>
        <w:t> </w:t>
      </w:r>
      <w:r w:rsidR="002B0D5B">
        <w:rPr>
          <w:rFonts w:ascii="Times New Roman" w:hAnsi="Times New Roman" w:cs="Times New Roman"/>
          <w:sz w:val="24"/>
          <w:szCs w:val="24"/>
        </w:rPr>
        <w:t>dôsledku</w:t>
      </w:r>
      <w:r w:rsidR="003748EC">
        <w:rPr>
          <w:rFonts w:ascii="Times New Roman" w:hAnsi="Times New Roman" w:cs="Times New Roman"/>
          <w:sz w:val="24"/>
          <w:szCs w:val="24"/>
        </w:rPr>
        <w:t xml:space="preserve"> </w:t>
      </w:r>
      <w:r w:rsidR="002B0D5B">
        <w:rPr>
          <w:rFonts w:ascii="Times New Roman" w:hAnsi="Times New Roman" w:cs="Times New Roman"/>
          <w:sz w:val="24"/>
          <w:szCs w:val="24"/>
        </w:rPr>
        <w:t>pestovania</w:t>
      </w:r>
      <w:r w:rsidR="002B0D5B" w:rsidRPr="004F588B">
        <w:rPr>
          <w:rFonts w:ascii="Times New Roman" w:hAnsi="Times New Roman" w:cs="Times New Roman"/>
          <w:sz w:val="24"/>
          <w:szCs w:val="24"/>
        </w:rPr>
        <w:t xml:space="preserve"> rýchlorastúcich drevín, </w:t>
      </w:r>
      <w:r w:rsidR="002B0D5B">
        <w:rPr>
          <w:rFonts w:ascii="Times New Roman" w:hAnsi="Times New Roman" w:cs="Times New Roman"/>
          <w:sz w:val="24"/>
          <w:szCs w:val="24"/>
        </w:rPr>
        <w:t xml:space="preserve">zvyšovania produkcie </w:t>
      </w:r>
      <w:r w:rsidR="002B0D5B" w:rsidRPr="004F588B">
        <w:rPr>
          <w:rFonts w:ascii="Times New Roman" w:hAnsi="Times New Roman" w:cs="Times New Roman"/>
          <w:sz w:val="24"/>
          <w:szCs w:val="24"/>
        </w:rPr>
        <w:t>obnoviteľných</w:t>
      </w:r>
      <w:r w:rsidR="002B0D5B">
        <w:rPr>
          <w:rFonts w:ascii="Times New Roman" w:hAnsi="Times New Roman" w:cs="Times New Roman"/>
          <w:sz w:val="24"/>
          <w:szCs w:val="24"/>
        </w:rPr>
        <w:t xml:space="preserve"> zdrojov energie, náletov drevín a realizácie </w:t>
      </w:r>
      <w:proofErr w:type="spellStart"/>
      <w:r w:rsidR="002B0D5B">
        <w:rPr>
          <w:rFonts w:ascii="Times New Roman" w:hAnsi="Times New Roman" w:cs="Times New Roman"/>
          <w:sz w:val="24"/>
          <w:szCs w:val="24"/>
        </w:rPr>
        <w:t>developerských</w:t>
      </w:r>
      <w:proofErr w:type="spellEnd"/>
      <w:r w:rsidR="002B0D5B">
        <w:rPr>
          <w:rFonts w:ascii="Times New Roman" w:hAnsi="Times New Roman" w:cs="Times New Roman"/>
          <w:sz w:val="24"/>
          <w:szCs w:val="24"/>
        </w:rPr>
        <w:t xml:space="preserve"> projektov</w:t>
      </w:r>
      <w:r w:rsidR="002B0D5B" w:rsidRPr="004F588B">
        <w:rPr>
          <w:rFonts w:ascii="Times New Roman" w:hAnsi="Times New Roman" w:cs="Times New Roman"/>
          <w:sz w:val="24"/>
          <w:szCs w:val="24"/>
        </w:rPr>
        <w:t>.</w:t>
      </w:r>
      <w:r w:rsidR="003748EC">
        <w:rPr>
          <w:rFonts w:ascii="Times New Roman" w:hAnsi="Times New Roman" w:cs="Times New Roman"/>
          <w:sz w:val="24"/>
          <w:szCs w:val="24"/>
        </w:rPr>
        <w:t xml:space="preserve"> </w:t>
      </w:r>
      <w:r w:rsidR="002B0D5B" w:rsidRPr="004F588B">
        <w:rPr>
          <w:rFonts w:ascii="Times New Roman" w:hAnsi="Times New Roman" w:cs="Times New Roman"/>
          <w:sz w:val="24"/>
          <w:szCs w:val="24"/>
        </w:rPr>
        <w:t xml:space="preserve">V poslednom období stúpa aj ich význam ako suroviny pre </w:t>
      </w:r>
      <w:proofErr w:type="spellStart"/>
      <w:r w:rsidR="002B0D5B" w:rsidRPr="004F588B">
        <w:rPr>
          <w:rFonts w:ascii="Times New Roman" w:hAnsi="Times New Roman" w:cs="Times New Roman"/>
          <w:sz w:val="24"/>
          <w:szCs w:val="24"/>
        </w:rPr>
        <w:t>bioplynové</w:t>
      </w:r>
      <w:proofErr w:type="spellEnd"/>
      <w:r w:rsidR="002B0D5B" w:rsidRPr="004F588B">
        <w:rPr>
          <w:rFonts w:ascii="Times New Roman" w:hAnsi="Times New Roman" w:cs="Times New Roman"/>
          <w:sz w:val="24"/>
          <w:szCs w:val="24"/>
        </w:rPr>
        <w:t xml:space="preserve"> stanice.</w:t>
      </w:r>
    </w:p>
    <w:p w:rsidR="00910567" w:rsidRDefault="00910567" w:rsidP="00A461E5">
      <w:pPr>
        <w:spacing w:after="0" w:line="240" w:lineRule="auto"/>
        <w:jc w:val="both"/>
        <w:rPr>
          <w:rFonts w:ascii="Times New Roman" w:hAnsi="Times New Roman" w:cs="Times New Roman"/>
          <w:sz w:val="24"/>
          <w:szCs w:val="24"/>
        </w:rPr>
      </w:pPr>
    </w:p>
    <w:p w:rsidR="00A461E5" w:rsidRDefault="00A461E5" w:rsidP="00A46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Vzhľadom na neexistenciu štatistík spotreby krmovín na ornej pôde sme na odhad sebestačnosti súčasnej domácej produkcie krmovín na ornej pôde použili indexové porovnanie vývoja počtu hovädzieho dobytka a úrod krmovín na ornej pôde. Z tohto indexového porovnania vyplýva, že domáca produkcia krmovín na ornej pôde plne závisí od vývoja počtu hospodárskych zvierat, a to predovšetkým hovädzieho dobytka. </w:t>
      </w:r>
      <w:r w:rsidR="00D0272E">
        <w:rPr>
          <w:rFonts w:ascii="Times New Roman" w:hAnsi="Times New Roman" w:cs="Times New Roman"/>
          <w:sz w:val="24"/>
          <w:szCs w:val="24"/>
        </w:rPr>
        <w:t xml:space="preserve">Mierne výkyvy v produkcii sú dané vývojom početnosti oviec a kôz. </w:t>
      </w:r>
    </w:p>
    <w:p w:rsidR="00D0272E" w:rsidRDefault="00D0272E" w:rsidP="00A461E5">
      <w:pPr>
        <w:spacing w:after="0" w:line="240" w:lineRule="auto"/>
        <w:jc w:val="both"/>
        <w:rPr>
          <w:rFonts w:ascii="Times New Roman" w:hAnsi="Times New Roman" w:cs="Times New Roman"/>
          <w:sz w:val="24"/>
          <w:szCs w:val="24"/>
        </w:rPr>
      </w:pPr>
    </w:p>
    <w:p w:rsidR="00A461E5" w:rsidRDefault="00C970F8" w:rsidP="00A461E5">
      <w:pPr>
        <w:spacing w:after="0" w:line="240" w:lineRule="auto"/>
        <w:jc w:val="both"/>
        <w:rPr>
          <w:rFonts w:ascii="Times New Roman" w:hAnsi="Times New Roman" w:cs="Times New Roman"/>
          <w:sz w:val="24"/>
          <w:szCs w:val="24"/>
        </w:rPr>
      </w:pPr>
      <w:r>
        <w:rPr>
          <w:rFonts w:ascii="Times New Roman" w:hAnsi="Times New Roman" w:cs="Times New Roman"/>
          <w:sz w:val="20"/>
          <w:szCs w:val="20"/>
        </w:rPr>
        <w:t>Graf č. 34</w:t>
      </w:r>
      <w:r w:rsidR="00A461E5" w:rsidRPr="00C55549">
        <w:rPr>
          <w:rFonts w:ascii="Times New Roman" w:hAnsi="Times New Roman" w:cs="Times New Roman"/>
          <w:sz w:val="20"/>
          <w:szCs w:val="20"/>
        </w:rPr>
        <w:t>:</w:t>
      </w:r>
      <w:r w:rsidR="00A461E5">
        <w:rPr>
          <w:rFonts w:ascii="Times New Roman" w:hAnsi="Times New Roman" w:cs="Times New Roman"/>
          <w:sz w:val="20"/>
          <w:szCs w:val="20"/>
        </w:rPr>
        <w:t xml:space="preserve"> Vývoj indexov počtu hovädzieho dobytka a úrody krmovín na ornej pôde</w:t>
      </w:r>
    </w:p>
    <w:p w:rsidR="00A461E5" w:rsidRDefault="00A461E5" w:rsidP="00A461E5">
      <w:pPr>
        <w:spacing w:after="0" w:line="240" w:lineRule="auto"/>
        <w:jc w:val="both"/>
        <w:rPr>
          <w:rFonts w:ascii="Times New Roman" w:hAnsi="Times New Roman" w:cs="Times New Roman"/>
          <w:sz w:val="24"/>
          <w:szCs w:val="24"/>
        </w:rPr>
      </w:pPr>
      <w:r w:rsidRPr="00A461E5">
        <w:rPr>
          <w:rFonts w:ascii="Times New Roman" w:hAnsi="Times New Roman" w:cs="Times New Roman"/>
          <w:noProof/>
          <w:sz w:val="24"/>
          <w:szCs w:val="24"/>
        </w:rPr>
        <w:drawing>
          <wp:inline distT="0" distB="0" distL="0" distR="0" wp14:anchorId="247A82F3" wp14:editId="0AFE6791">
            <wp:extent cx="5749747" cy="2018995"/>
            <wp:effectExtent l="0" t="0" r="0" b="635"/>
            <wp:docPr id="5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93F56" w:rsidRPr="002608BB" w:rsidRDefault="00A461E5" w:rsidP="002608B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 MPRV</w:t>
      </w:r>
    </w:p>
    <w:p w:rsidR="0034029F" w:rsidRDefault="0034029F" w:rsidP="00D722E0">
      <w:pPr>
        <w:pBdr>
          <w:bottom w:val="single" w:sz="4" w:space="1" w:color="auto"/>
        </w:pBdr>
        <w:spacing w:after="0" w:line="240" w:lineRule="auto"/>
        <w:jc w:val="both"/>
        <w:rPr>
          <w:rFonts w:ascii="Times New Roman" w:hAnsi="Times New Roman" w:cs="Times New Roman"/>
          <w:sz w:val="24"/>
          <w:szCs w:val="24"/>
        </w:rPr>
      </w:pPr>
    </w:p>
    <w:p w:rsidR="00F8743E" w:rsidRDefault="00F8743E" w:rsidP="00F8743E">
      <w:pPr>
        <w:spacing w:after="0" w:line="240" w:lineRule="auto"/>
        <w:jc w:val="both"/>
        <w:rPr>
          <w:rFonts w:ascii="Times New Roman" w:hAnsi="Times New Roman" w:cs="Times New Roman"/>
          <w:sz w:val="24"/>
          <w:szCs w:val="24"/>
        </w:rPr>
      </w:pPr>
      <w:r w:rsidRPr="00D722E0">
        <w:rPr>
          <w:rFonts w:ascii="Times New Roman" w:hAnsi="Times New Roman" w:cs="Times New Roman"/>
          <w:sz w:val="24"/>
          <w:szCs w:val="24"/>
        </w:rPr>
        <w:t>Sumárne je možné konštatovať, že krmoviny z hľadiska objemu ich ročnej produkcie plne postačujú pre sú</w:t>
      </w:r>
      <w:r>
        <w:rPr>
          <w:rFonts w:ascii="Times New Roman" w:hAnsi="Times New Roman" w:cs="Times New Roman"/>
          <w:sz w:val="24"/>
          <w:szCs w:val="24"/>
        </w:rPr>
        <w:t>časné potreby živočíšnej výroby, nakoľko pokles ich produkcie plne reflektoval úbytok stavov hospodárskych zvierat.</w:t>
      </w:r>
    </w:p>
    <w:p w:rsidR="00F8743E" w:rsidRPr="00557702" w:rsidRDefault="00F8743E" w:rsidP="00F8743E">
      <w:pPr>
        <w:spacing w:after="0" w:line="240" w:lineRule="auto"/>
        <w:jc w:val="both"/>
        <w:rPr>
          <w:rFonts w:ascii="Times New Roman" w:hAnsi="Times New Roman" w:cs="Times New Roman"/>
          <w:sz w:val="24"/>
          <w:szCs w:val="24"/>
        </w:rPr>
      </w:pPr>
      <w:r w:rsidRPr="00557702">
        <w:rPr>
          <w:rFonts w:ascii="Times New Roman" w:hAnsi="Times New Roman" w:cs="Times New Roman"/>
          <w:sz w:val="24"/>
          <w:szCs w:val="24"/>
        </w:rPr>
        <w:t xml:space="preserve">Po dosiahnutí koncepciou predpokladaného stavu hovädzieho dobytka a spotreby biomasy v </w:t>
      </w:r>
      <w:proofErr w:type="spellStart"/>
      <w:r w:rsidRPr="00557702">
        <w:rPr>
          <w:rFonts w:ascii="Times New Roman" w:hAnsi="Times New Roman" w:cs="Times New Roman"/>
          <w:sz w:val="24"/>
          <w:szCs w:val="24"/>
        </w:rPr>
        <w:t>bioplynových</w:t>
      </w:r>
      <w:proofErr w:type="spellEnd"/>
      <w:r w:rsidRPr="00557702">
        <w:rPr>
          <w:rFonts w:ascii="Times New Roman" w:hAnsi="Times New Roman" w:cs="Times New Roman"/>
          <w:sz w:val="24"/>
          <w:szCs w:val="24"/>
        </w:rPr>
        <w:t xml:space="preserve"> staniciach bude zvýšená spotreba produkcie krmovín, ktorú bude treba zabezpečiť využitím aj doteraz nevyužívaných plôch a zvýšením intenzity pestovania krmovín.   </w:t>
      </w:r>
    </w:p>
    <w:p w:rsidR="00D0272E" w:rsidRDefault="00D0272E" w:rsidP="00D722E0">
      <w:pPr>
        <w:pBdr>
          <w:top w:val="single" w:sz="4" w:space="1" w:color="auto"/>
        </w:pBdr>
        <w:spacing w:after="0" w:line="240" w:lineRule="auto"/>
        <w:jc w:val="both"/>
        <w:rPr>
          <w:rFonts w:ascii="Times New Roman" w:hAnsi="Times New Roman" w:cs="Times New Roman"/>
          <w:sz w:val="24"/>
          <w:szCs w:val="24"/>
        </w:rPr>
      </w:pPr>
    </w:p>
    <w:p w:rsidR="002A0E76" w:rsidRDefault="00D722E0" w:rsidP="000D68DC">
      <w:pPr>
        <w:pStyle w:val="Nadpis3"/>
        <w:numPr>
          <w:ilvl w:val="2"/>
          <w:numId w:val="8"/>
        </w:numPr>
        <w:rPr>
          <w:rFonts w:cs="Times New Roman"/>
          <w:szCs w:val="24"/>
        </w:rPr>
      </w:pPr>
      <w:bookmarkStart w:id="30" w:name="_Toc359550651"/>
      <w:r>
        <w:rPr>
          <w:rFonts w:cs="Times New Roman"/>
          <w:szCs w:val="24"/>
        </w:rPr>
        <w:lastRenderedPageBreak/>
        <w:t>Kŕmne zmesi</w:t>
      </w:r>
      <w:bookmarkEnd w:id="30"/>
    </w:p>
    <w:p w:rsidR="002A0E76" w:rsidRDefault="002A0E76" w:rsidP="008F49F9">
      <w:pPr>
        <w:spacing w:after="0" w:line="240" w:lineRule="auto"/>
        <w:jc w:val="both"/>
        <w:rPr>
          <w:rFonts w:ascii="Times New Roman" w:hAnsi="Times New Roman" w:cs="Times New Roman"/>
          <w:sz w:val="24"/>
          <w:szCs w:val="24"/>
        </w:rPr>
      </w:pPr>
    </w:p>
    <w:p w:rsidR="00BE6314" w:rsidRDefault="00BE6314" w:rsidP="00BE6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Kŕmne zmesi majú nezastupiteľný </w:t>
      </w:r>
      <w:r w:rsidRPr="00BE6314">
        <w:rPr>
          <w:rFonts w:ascii="Times New Roman" w:hAnsi="Times New Roman" w:cs="Times New Roman"/>
          <w:sz w:val="24"/>
          <w:szCs w:val="24"/>
        </w:rPr>
        <w:t>význam</w:t>
      </w:r>
      <w:r>
        <w:rPr>
          <w:rFonts w:ascii="Times New Roman" w:hAnsi="Times New Roman" w:cs="Times New Roman"/>
          <w:sz w:val="24"/>
          <w:szCs w:val="24"/>
        </w:rPr>
        <w:t xml:space="preserve"> vo výžive predovšetkým ošípaných, hydiny a hovädzieho dobytka</w:t>
      </w:r>
      <w:r w:rsidRPr="00BE6314">
        <w:rPr>
          <w:rFonts w:ascii="Times New Roman" w:hAnsi="Times New Roman" w:cs="Times New Roman"/>
          <w:sz w:val="24"/>
          <w:szCs w:val="24"/>
        </w:rPr>
        <w:t>. Ich úlohou je zabezpečiť zvieratám kvalitnú výživu tak, aby pri  dodržaní ostatných podmienok chovu, mohol sa plne prejaviť ich produkčný potenciál.</w:t>
      </w:r>
      <w:r w:rsidR="003748EC">
        <w:rPr>
          <w:rFonts w:ascii="Times New Roman" w:hAnsi="Times New Roman" w:cs="Times New Roman"/>
          <w:sz w:val="24"/>
          <w:szCs w:val="24"/>
        </w:rPr>
        <w:t xml:space="preserve"> </w:t>
      </w:r>
      <w:r w:rsidRPr="00BE6314">
        <w:rPr>
          <w:rFonts w:ascii="Times New Roman" w:hAnsi="Times New Roman" w:cs="Times New Roman"/>
          <w:sz w:val="24"/>
          <w:szCs w:val="24"/>
        </w:rPr>
        <w:t xml:space="preserve">Zabezpečenie </w:t>
      </w:r>
      <w:r>
        <w:rPr>
          <w:rFonts w:ascii="Times New Roman" w:hAnsi="Times New Roman" w:cs="Times New Roman"/>
          <w:sz w:val="24"/>
          <w:szCs w:val="24"/>
        </w:rPr>
        <w:t>kŕmnych zmesí</w:t>
      </w:r>
      <w:r w:rsidRPr="00BE6314">
        <w:rPr>
          <w:rFonts w:ascii="Times New Roman" w:hAnsi="Times New Roman" w:cs="Times New Roman"/>
          <w:sz w:val="24"/>
          <w:szCs w:val="24"/>
        </w:rPr>
        <w:t xml:space="preserve"> možno</w:t>
      </w:r>
      <w:r>
        <w:rPr>
          <w:rFonts w:ascii="Times New Roman" w:hAnsi="Times New Roman" w:cs="Times New Roman"/>
          <w:sz w:val="24"/>
          <w:szCs w:val="24"/>
        </w:rPr>
        <w:t xml:space="preserve"> hodnotiť z hľadiska zabezpečenia dostatočného množstva, primeranej kvality a </w:t>
      </w:r>
      <w:r w:rsidRPr="00BE6314">
        <w:rPr>
          <w:rFonts w:ascii="Times New Roman" w:hAnsi="Times New Roman" w:cs="Times New Roman"/>
          <w:sz w:val="24"/>
          <w:szCs w:val="24"/>
        </w:rPr>
        <w:t>vhodnej štruktúry.</w:t>
      </w:r>
    </w:p>
    <w:p w:rsidR="00BE6314" w:rsidRDefault="00BE6314" w:rsidP="00BE6314">
      <w:pPr>
        <w:spacing w:after="0" w:line="240" w:lineRule="auto"/>
        <w:jc w:val="both"/>
        <w:rPr>
          <w:rFonts w:ascii="Times New Roman" w:hAnsi="Times New Roman" w:cs="Times New Roman"/>
          <w:sz w:val="24"/>
          <w:szCs w:val="24"/>
        </w:rPr>
      </w:pPr>
    </w:p>
    <w:p w:rsidR="00BE6314" w:rsidRDefault="00BE6314" w:rsidP="00BE6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Najviac zastúpenými plodinami v kŕmnych zmesiach sú kŕmna pšenica, kŕmny jačmeň, ovos a kukurica na zrno. Z hľadiska zhodnotenia súčasného stavu produkcie kŕmnych zmesí na Slovensku budeme teda postupovať zhodnotením prvovýrobnej produkcie najviac zastúpených plodín.</w:t>
      </w:r>
    </w:p>
    <w:p w:rsidR="00BE6314" w:rsidRDefault="00BE6314" w:rsidP="00BE6314">
      <w:pPr>
        <w:spacing w:after="0" w:line="240" w:lineRule="auto"/>
        <w:jc w:val="both"/>
        <w:rPr>
          <w:rFonts w:ascii="Times New Roman" w:hAnsi="Times New Roman" w:cs="Times New Roman"/>
          <w:sz w:val="24"/>
          <w:szCs w:val="24"/>
        </w:rPr>
      </w:pPr>
    </w:p>
    <w:p w:rsidR="003A6ACA" w:rsidRPr="003A6ACA" w:rsidRDefault="006316DB" w:rsidP="003A6ACA">
      <w:pPr>
        <w:spacing w:after="0" w:line="240" w:lineRule="auto"/>
      </w:pPr>
      <w:r>
        <w:rPr>
          <w:rFonts w:ascii="Times New Roman" w:hAnsi="Times New Roman" w:cs="Times New Roman"/>
          <w:sz w:val="20"/>
          <w:szCs w:val="20"/>
        </w:rPr>
        <w:t>Tab. č. 28</w:t>
      </w:r>
      <w:r w:rsidR="003A6ACA" w:rsidRPr="00A855A4">
        <w:rPr>
          <w:rFonts w:ascii="Times New Roman" w:hAnsi="Times New Roman" w:cs="Times New Roman"/>
          <w:sz w:val="20"/>
          <w:szCs w:val="20"/>
        </w:rPr>
        <w:t xml:space="preserve">: </w:t>
      </w:r>
      <w:r w:rsidR="003A6ACA">
        <w:rPr>
          <w:rFonts w:ascii="Times New Roman" w:hAnsi="Times New Roman" w:cs="Times New Roman"/>
          <w:sz w:val="20"/>
          <w:szCs w:val="20"/>
        </w:rPr>
        <w:t>Základné produkčné ukazovatele najviac zastúpených plodín v kŕmnych zmesiach</w:t>
      </w:r>
    </w:p>
    <w:tbl>
      <w:tblPr>
        <w:tblW w:w="9030" w:type="dxa"/>
        <w:tblInd w:w="61" w:type="dxa"/>
        <w:tblCellMar>
          <w:left w:w="70" w:type="dxa"/>
          <w:right w:w="70" w:type="dxa"/>
        </w:tblCellMar>
        <w:tblLook w:val="04A0" w:firstRow="1" w:lastRow="0" w:firstColumn="1" w:lastColumn="0" w:noHBand="0" w:noVBand="1"/>
      </w:tblPr>
      <w:tblGrid>
        <w:gridCol w:w="3270"/>
        <w:gridCol w:w="960"/>
        <w:gridCol w:w="960"/>
        <w:gridCol w:w="960"/>
        <w:gridCol w:w="960"/>
        <w:gridCol w:w="960"/>
        <w:gridCol w:w="960"/>
      </w:tblGrid>
      <w:tr w:rsidR="003A6ACA" w:rsidRPr="003A6ACA" w:rsidTr="003A6ACA">
        <w:trPr>
          <w:trHeight w:val="300"/>
        </w:trPr>
        <w:tc>
          <w:tcPr>
            <w:tcW w:w="3270" w:type="dxa"/>
            <w:tcBorders>
              <w:top w:val="nil"/>
              <w:left w:val="nil"/>
              <w:bottom w:val="single" w:sz="4" w:space="0" w:color="auto"/>
              <w:right w:val="single" w:sz="4" w:space="0" w:color="auto"/>
            </w:tcBorders>
            <w:shd w:val="clear" w:color="000000" w:fill="D8D8D8"/>
            <w:noWrap/>
            <w:vAlign w:val="bottom"/>
            <w:hideMark/>
          </w:tcPr>
          <w:p w:rsidR="003A6ACA" w:rsidRPr="003A6ACA" w:rsidRDefault="003A6ACA" w:rsidP="003A6ACA">
            <w:pPr>
              <w:spacing w:after="0" w:line="240" w:lineRule="auto"/>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D8D8D8"/>
            <w:noWrap/>
            <w:vAlign w:val="bottom"/>
            <w:hideMark/>
          </w:tcPr>
          <w:p w:rsidR="003A6ACA" w:rsidRPr="003A6ACA" w:rsidRDefault="003A6ACA" w:rsidP="003A6ACA">
            <w:pPr>
              <w:spacing w:after="0" w:line="240" w:lineRule="auto"/>
              <w:jc w:val="center"/>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2002</w:t>
            </w:r>
          </w:p>
        </w:tc>
        <w:tc>
          <w:tcPr>
            <w:tcW w:w="960" w:type="dxa"/>
            <w:tcBorders>
              <w:top w:val="nil"/>
              <w:left w:val="nil"/>
              <w:bottom w:val="single" w:sz="4" w:space="0" w:color="auto"/>
              <w:right w:val="nil"/>
            </w:tcBorders>
            <w:shd w:val="clear" w:color="000000" w:fill="D8D8D8"/>
            <w:noWrap/>
            <w:vAlign w:val="bottom"/>
            <w:hideMark/>
          </w:tcPr>
          <w:p w:rsidR="003A6ACA" w:rsidRPr="003A6ACA" w:rsidRDefault="003A6ACA" w:rsidP="003A6ACA">
            <w:pPr>
              <w:spacing w:after="0" w:line="240" w:lineRule="auto"/>
              <w:jc w:val="center"/>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2007</w:t>
            </w:r>
          </w:p>
        </w:tc>
        <w:tc>
          <w:tcPr>
            <w:tcW w:w="960" w:type="dxa"/>
            <w:tcBorders>
              <w:top w:val="nil"/>
              <w:left w:val="nil"/>
              <w:bottom w:val="single" w:sz="4" w:space="0" w:color="auto"/>
              <w:right w:val="nil"/>
            </w:tcBorders>
            <w:shd w:val="clear" w:color="000000" w:fill="D8D8D8"/>
            <w:noWrap/>
            <w:vAlign w:val="bottom"/>
            <w:hideMark/>
          </w:tcPr>
          <w:p w:rsidR="003A6ACA" w:rsidRPr="003A6ACA" w:rsidRDefault="003A6ACA" w:rsidP="003A6ACA">
            <w:pPr>
              <w:spacing w:after="0" w:line="240" w:lineRule="auto"/>
              <w:jc w:val="center"/>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2008</w:t>
            </w:r>
          </w:p>
        </w:tc>
        <w:tc>
          <w:tcPr>
            <w:tcW w:w="960" w:type="dxa"/>
            <w:tcBorders>
              <w:top w:val="nil"/>
              <w:left w:val="nil"/>
              <w:bottom w:val="single" w:sz="4" w:space="0" w:color="auto"/>
              <w:right w:val="nil"/>
            </w:tcBorders>
            <w:shd w:val="clear" w:color="000000" w:fill="D8D8D8"/>
            <w:noWrap/>
            <w:vAlign w:val="bottom"/>
            <w:hideMark/>
          </w:tcPr>
          <w:p w:rsidR="003A6ACA" w:rsidRPr="003A6ACA" w:rsidRDefault="003A6ACA" w:rsidP="003A6ACA">
            <w:pPr>
              <w:spacing w:after="0" w:line="240" w:lineRule="auto"/>
              <w:jc w:val="center"/>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2009</w:t>
            </w:r>
          </w:p>
        </w:tc>
        <w:tc>
          <w:tcPr>
            <w:tcW w:w="960" w:type="dxa"/>
            <w:tcBorders>
              <w:top w:val="nil"/>
              <w:left w:val="nil"/>
              <w:bottom w:val="single" w:sz="4" w:space="0" w:color="auto"/>
              <w:right w:val="nil"/>
            </w:tcBorders>
            <w:shd w:val="clear" w:color="000000" w:fill="D8D8D8"/>
            <w:noWrap/>
            <w:vAlign w:val="bottom"/>
            <w:hideMark/>
          </w:tcPr>
          <w:p w:rsidR="003A6ACA" w:rsidRPr="003A6ACA" w:rsidRDefault="003A6ACA" w:rsidP="003A6ACA">
            <w:pPr>
              <w:spacing w:after="0" w:line="240" w:lineRule="auto"/>
              <w:jc w:val="center"/>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2010</w:t>
            </w:r>
          </w:p>
        </w:tc>
        <w:tc>
          <w:tcPr>
            <w:tcW w:w="960" w:type="dxa"/>
            <w:tcBorders>
              <w:top w:val="nil"/>
              <w:left w:val="nil"/>
              <w:bottom w:val="single" w:sz="4" w:space="0" w:color="auto"/>
              <w:right w:val="nil"/>
            </w:tcBorders>
            <w:shd w:val="clear" w:color="000000" w:fill="D8D8D8"/>
            <w:noWrap/>
            <w:vAlign w:val="bottom"/>
            <w:hideMark/>
          </w:tcPr>
          <w:p w:rsidR="003A6ACA" w:rsidRPr="003A6ACA" w:rsidRDefault="003A6ACA" w:rsidP="003A6ACA">
            <w:pPr>
              <w:spacing w:after="0" w:line="240" w:lineRule="auto"/>
              <w:jc w:val="center"/>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2011</w:t>
            </w:r>
          </w:p>
        </w:tc>
      </w:tr>
      <w:tr w:rsidR="003A6ACA" w:rsidRPr="003A6ACA" w:rsidTr="003A6ACA">
        <w:trPr>
          <w:trHeight w:val="300"/>
        </w:trPr>
        <w:tc>
          <w:tcPr>
            <w:tcW w:w="3270" w:type="dxa"/>
            <w:tcBorders>
              <w:top w:val="nil"/>
              <w:left w:val="nil"/>
              <w:bottom w:val="nil"/>
              <w:right w:val="single" w:sz="4" w:space="0" w:color="auto"/>
            </w:tcBorders>
            <w:shd w:val="clear" w:color="auto" w:fill="auto"/>
            <w:noWrap/>
            <w:vAlign w:val="bottom"/>
            <w:hideMark/>
          </w:tcPr>
          <w:p w:rsidR="003A6ACA" w:rsidRPr="003A6ACA" w:rsidRDefault="003A6ACA" w:rsidP="003A6ACA">
            <w:pPr>
              <w:spacing w:after="0" w:line="240" w:lineRule="auto"/>
              <w:rPr>
                <w:rFonts w:ascii="Times New Roman" w:eastAsia="Times New Roman" w:hAnsi="Times New Roman" w:cs="Times New Roman"/>
                <w:b/>
                <w:bCs/>
                <w:color w:val="000000"/>
                <w:sz w:val="20"/>
                <w:szCs w:val="20"/>
              </w:rPr>
            </w:pPr>
            <w:r w:rsidRPr="003A6ACA">
              <w:rPr>
                <w:rFonts w:ascii="Times New Roman" w:eastAsia="Times New Roman" w:hAnsi="Times New Roman" w:cs="Times New Roman"/>
                <w:b/>
                <w:bCs/>
                <w:color w:val="000000"/>
                <w:sz w:val="20"/>
                <w:szCs w:val="20"/>
              </w:rPr>
              <w:t>Kŕmna pšenica</w:t>
            </w:r>
          </w:p>
        </w:tc>
        <w:tc>
          <w:tcPr>
            <w:tcW w:w="960" w:type="dxa"/>
            <w:tcBorders>
              <w:top w:val="nil"/>
              <w:left w:val="nil"/>
              <w:bottom w:val="nil"/>
              <w:right w:val="single" w:sz="4" w:space="0" w:color="auto"/>
            </w:tcBorders>
            <w:shd w:val="clear" w:color="auto" w:fill="auto"/>
            <w:noWrap/>
            <w:vAlign w:val="bottom"/>
            <w:hideMark/>
          </w:tcPr>
          <w:p w:rsidR="003A6ACA" w:rsidRPr="003A6ACA" w:rsidRDefault="003A6ACA" w:rsidP="003A6ACA">
            <w:pPr>
              <w:spacing w:after="0" w:line="240" w:lineRule="auto"/>
              <w:jc w:val="center"/>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center"/>
              <w:rPr>
                <w:rFonts w:ascii="Times New Roman" w:eastAsia="Times New Roman" w:hAnsi="Times New Roman" w:cs="Times New Roman"/>
                <w:color w:val="000000"/>
                <w:sz w:val="20"/>
                <w:szCs w:val="20"/>
              </w:rPr>
            </w:pPr>
          </w:p>
        </w:tc>
      </w:tr>
      <w:tr w:rsidR="003A6ACA" w:rsidRPr="003A6ACA" w:rsidTr="003A6ACA">
        <w:trPr>
          <w:trHeight w:val="300"/>
        </w:trPr>
        <w:tc>
          <w:tcPr>
            <w:tcW w:w="3270" w:type="dxa"/>
            <w:tcBorders>
              <w:top w:val="nil"/>
              <w:left w:val="nil"/>
              <w:bottom w:val="nil"/>
              <w:right w:val="single" w:sz="4" w:space="0" w:color="auto"/>
            </w:tcBorders>
            <w:shd w:val="clear" w:color="000000" w:fill="F2F2F2"/>
            <w:noWrap/>
            <w:vAlign w:val="bottom"/>
            <w:hideMark/>
          </w:tcPr>
          <w:p w:rsidR="003A6ACA" w:rsidRPr="003A6ACA" w:rsidRDefault="003A6ACA" w:rsidP="003A6ACA">
            <w:pPr>
              <w:spacing w:after="0" w:line="240" w:lineRule="auto"/>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 xml:space="preserve">    Zberová plocha (ha)</w:t>
            </w:r>
          </w:p>
        </w:tc>
        <w:tc>
          <w:tcPr>
            <w:tcW w:w="960" w:type="dxa"/>
            <w:tcBorders>
              <w:top w:val="nil"/>
              <w:left w:val="nil"/>
              <w:bottom w:val="nil"/>
              <w:right w:val="single" w:sz="4" w:space="0" w:color="auto"/>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116 218</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77 973</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93 889</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81 049</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60 182</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63 486</w:t>
            </w:r>
          </w:p>
        </w:tc>
      </w:tr>
      <w:tr w:rsidR="003A6ACA" w:rsidRPr="003A6ACA" w:rsidTr="003A6ACA">
        <w:trPr>
          <w:trHeight w:val="300"/>
        </w:trPr>
        <w:tc>
          <w:tcPr>
            <w:tcW w:w="3270" w:type="dxa"/>
            <w:tcBorders>
              <w:top w:val="nil"/>
              <w:left w:val="nil"/>
              <w:bottom w:val="nil"/>
              <w:right w:val="single" w:sz="4" w:space="0" w:color="auto"/>
            </w:tcBorders>
            <w:shd w:val="clear" w:color="auto" w:fill="auto"/>
            <w:noWrap/>
            <w:vAlign w:val="bottom"/>
            <w:hideMark/>
          </w:tcPr>
          <w:p w:rsidR="003A6ACA" w:rsidRPr="003A6ACA" w:rsidRDefault="003A6ACA" w:rsidP="003A6ACA">
            <w:pPr>
              <w:spacing w:after="0" w:line="240" w:lineRule="auto"/>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 xml:space="preserve">    Úroda (t)</w:t>
            </w:r>
          </w:p>
        </w:tc>
        <w:tc>
          <w:tcPr>
            <w:tcW w:w="960" w:type="dxa"/>
            <w:tcBorders>
              <w:top w:val="nil"/>
              <w:left w:val="nil"/>
              <w:bottom w:val="nil"/>
              <w:right w:val="single" w:sz="4" w:space="0" w:color="auto"/>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445 115</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297 856</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457 238</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324 195</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208 230</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285 686</w:t>
            </w:r>
          </w:p>
        </w:tc>
      </w:tr>
      <w:tr w:rsidR="003A6ACA" w:rsidRPr="003A6ACA" w:rsidTr="003A6ACA">
        <w:trPr>
          <w:trHeight w:val="300"/>
        </w:trPr>
        <w:tc>
          <w:tcPr>
            <w:tcW w:w="3270" w:type="dxa"/>
            <w:tcBorders>
              <w:top w:val="nil"/>
              <w:left w:val="nil"/>
              <w:bottom w:val="single" w:sz="4" w:space="0" w:color="auto"/>
              <w:right w:val="single" w:sz="4" w:space="0" w:color="auto"/>
            </w:tcBorders>
            <w:shd w:val="clear" w:color="000000" w:fill="F2F2F2"/>
            <w:noWrap/>
            <w:vAlign w:val="bottom"/>
            <w:hideMark/>
          </w:tcPr>
          <w:p w:rsidR="003A6ACA" w:rsidRPr="003A6ACA" w:rsidRDefault="003A6ACA" w:rsidP="003A6ACA">
            <w:pPr>
              <w:spacing w:after="0" w:line="240" w:lineRule="auto"/>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 xml:space="preserve">    Hektárová úroda (t/ha)</w:t>
            </w:r>
          </w:p>
        </w:tc>
        <w:tc>
          <w:tcPr>
            <w:tcW w:w="960" w:type="dxa"/>
            <w:tcBorders>
              <w:top w:val="nil"/>
              <w:left w:val="nil"/>
              <w:bottom w:val="single" w:sz="4" w:space="0" w:color="auto"/>
              <w:right w:val="single" w:sz="4" w:space="0" w:color="auto"/>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3,83</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3,82</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4,87</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4,00</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3,46</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4,50</w:t>
            </w:r>
          </w:p>
        </w:tc>
      </w:tr>
      <w:tr w:rsidR="003A6ACA" w:rsidRPr="003A6ACA" w:rsidTr="003A6ACA">
        <w:trPr>
          <w:trHeight w:val="300"/>
        </w:trPr>
        <w:tc>
          <w:tcPr>
            <w:tcW w:w="3270" w:type="dxa"/>
            <w:tcBorders>
              <w:top w:val="nil"/>
              <w:left w:val="nil"/>
              <w:bottom w:val="nil"/>
              <w:right w:val="single" w:sz="4" w:space="0" w:color="auto"/>
            </w:tcBorders>
            <w:shd w:val="clear" w:color="auto" w:fill="auto"/>
            <w:noWrap/>
            <w:vAlign w:val="bottom"/>
            <w:hideMark/>
          </w:tcPr>
          <w:p w:rsidR="003A6ACA" w:rsidRPr="003A6ACA" w:rsidRDefault="003A6ACA" w:rsidP="003A6ACA">
            <w:pPr>
              <w:spacing w:after="0" w:line="240" w:lineRule="auto"/>
              <w:rPr>
                <w:rFonts w:ascii="Times New Roman" w:eastAsia="Times New Roman" w:hAnsi="Times New Roman" w:cs="Times New Roman"/>
                <w:b/>
                <w:bCs/>
                <w:color w:val="000000"/>
                <w:sz w:val="20"/>
                <w:szCs w:val="20"/>
              </w:rPr>
            </w:pPr>
            <w:r w:rsidRPr="003A6ACA">
              <w:rPr>
                <w:rFonts w:ascii="Times New Roman" w:eastAsia="Times New Roman" w:hAnsi="Times New Roman" w:cs="Times New Roman"/>
                <w:b/>
                <w:bCs/>
                <w:color w:val="000000"/>
                <w:sz w:val="20"/>
                <w:szCs w:val="20"/>
              </w:rPr>
              <w:t>Kŕmny jačmeň</w:t>
            </w:r>
          </w:p>
        </w:tc>
        <w:tc>
          <w:tcPr>
            <w:tcW w:w="960" w:type="dxa"/>
            <w:tcBorders>
              <w:top w:val="nil"/>
              <w:left w:val="nil"/>
              <w:bottom w:val="nil"/>
              <w:right w:val="single" w:sz="4" w:space="0" w:color="auto"/>
            </w:tcBorders>
            <w:shd w:val="clear" w:color="auto" w:fill="auto"/>
            <w:noWrap/>
            <w:vAlign w:val="bottom"/>
            <w:hideMark/>
          </w:tcPr>
          <w:p w:rsidR="003A6ACA" w:rsidRPr="003A6ACA" w:rsidRDefault="003A6ACA" w:rsidP="003A6ACA">
            <w:pPr>
              <w:spacing w:after="0" w:line="240" w:lineRule="auto"/>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rPr>
                <w:rFonts w:ascii="Times New Roman" w:eastAsia="Times New Roman" w:hAnsi="Times New Roman" w:cs="Times New Roman"/>
                <w:color w:val="000000"/>
                <w:sz w:val="20"/>
                <w:szCs w:val="20"/>
              </w:rPr>
            </w:pPr>
          </w:p>
        </w:tc>
      </w:tr>
      <w:tr w:rsidR="003A6ACA" w:rsidRPr="003A6ACA" w:rsidTr="003A6ACA">
        <w:trPr>
          <w:trHeight w:val="300"/>
        </w:trPr>
        <w:tc>
          <w:tcPr>
            <w:tcW w:w="3270" w:type="dxa"/>
            <w:tcBorders>
              <w:top w:val="nil"/>
              <w:left w:val="nil"/>
              <w:bottom w:val="nil"/>
              <w:right w:val="single" w:sz="4" w:space="0" w:color="auto"/>
            </w:tcBorders>
            <w:shd w:val="clear" w:color="000000" w:fill="F2F2F2"/>
            <w:noWrap/>
            <w:vAlign w:val="bottom"/>
            <w:hideMark/>
          </w:tcPr>
          <w:p w:rsidR="003A6ACA" w:rsidRPr="003A6ACA" w:rsidRDefault="003A6ACA" w:rsidP="003A6ACA">
            <w:pPr>
              <w:spacing w:after="0" w:line="240" w:lineRule="auto"/>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 xml:space="preserve">    Zberová plocha (ha)</w:t>
            </w:r>
          </w:p>
        </w:tc>
        <w:tc>
          <w:tcPr>
            <w:tcW w:w="960" w:type="dxa"/>
            <w:tcBorders>
              <w:top w:val="nil"/>
              <w:left w:val="nil"/>
              <w:bottom w:val="nil"/>
              <w:right w:val="single" w:sz="4" w:space="0" w:color="auto"/>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79 813</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49 302</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49 695</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57 099</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42 883</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33 114</w:t>
            </w:r>
          </w:p>
        </w:tc>
      </w:tr>
      <w:tr w:rsidR="003A6ACA" w:rsidRPr="003A6ACA" w:rsidTr="003A6ACA">
        <w:trPr>
          <w:trHeight w:val="300"/>
        </w:trPr>
        <w:tc>
          <w:tcPr>
            <w:tcW w:w="3270" w:type="dxa"/>
            <w:tcBorders>
              <w:top w:val="nil"/>
              <w:left w:val="nil"/>
              <w:bottom w:val="nil"/>
              <w:right w:val="single" w:sz="4" w:space="0" w:color="auto"/>
            </w:tcBorders>
            <w:shd w:val="clear" w:color="auto" w:fill="auto"/>
            <w:noWrap/>
            <w:vAlign w:val="bottom"/>
            <w:hideMark/>
          </w:tcPr>
          <w:p w:rsidR="003A6ACA" w:rsidRPr="003A6ACA" w:rsidRDefault="003A6ACA" w:rsidP="003A6ACA">
            <w:pPr>
              <w:spacing w:after="0" w:line="240" w:lineRule="auto"/>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 xml:space="preserve">    Úroda (t)</w:t>
            </w:r>
          </w:p>
        </w:tc>
        <w:tc>
          <w:tcPr>
            <w:tcW w:w="960" w:type="dxa"/>
            <w:tcBorders>
              <w:top w:val="nil"/>
              <w:left w:val="nil"/>
              <w:bottom w:val="nil"/>
              <w:right w:val="single" w:sz="4" w:space="0" w:color="auto"/>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284 931</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154 807</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207 727</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196 991</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116 641</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128 153</w:t>
            </w:r>
          </w:p>
        </w:tc>
      </w:tr>
      <w:tr w:rsidR="003A6ACA" w:rsidRPr="003A6ACA" w:rsidTr="003A6ACA">
        <w:trPr>
          <w:trHeight w:val="300"/>
        </w:trPr>
        <w:tc>
          <w:tcPr>
            <w:tcW w:w="3270" w:type="dxa"/>
            <w:tcBorders>
              <w:top w:val="nil"/>
              <w:left w:val="nil"/>
              <w:bottom w:val="single" w:sz="4" w:space="0" w:color="auto"/>
              <w:right w:val="single" w:sz="4" w:space="0" w:color="auto"/>
            </w:tcBorders>
            <w:shd w:val="clear" w:color="000000" w:fill="F2F2F2"/>
            <w:noWrap/>
            <w:vAlign w:val="bottom"/>
            <w:hideMark/>
          </w:tcPr>
          <w:p w:rsidR="003A6ACA" w:rsidRPr="003A6ACA" w:rsidRDefault="003A6ACA" w:rsidP="003A6ACA">
            <w:pPr>
              <w:spacing w:after="0" w:line="240" w:lineRule="auto"/>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 xml:space="preserve">    Hektárová úroda (t/ha)</w:t>
            </w:r>
          </w:p>
        </w:tc>
        <w:tc>
          <w:tcPr>
            <w:tcW w:w="960" w:type="dxa"/>
            <w:tcBorders>
              <w:top w:val="nil"/>
              <w:left w:val="nil"/>
              <w:bottom w:val="single" w:sz="4" w:space="0" w:color="auto"/>
              <w:right w:val="single" w:sz="4" w:space="0" w:color="auto"/>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3,57</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3,14</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4,18</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3,45</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2,72</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3,87</w:t>
            </w:r>
          </w:p>
        </w:tc>
      </w:tr>
      <w:tr w:rsidR="003A6ACA" w:rsidRPr="003A6ACA" w:rsidTr="003A6ACA">
        <w:trPr>
          <w:trHeight w:val="300"/>
        </w:trPr>
        <w:tc>
          <w:tcPr>
            <w:tcW w:w="3270" w:type="dxa"/>
            <w:tcBorders>
              <w:top w:val="nil"/>
              <w:left w:val="nil"/>
              <w:bottom w:val="nil"/>
              <w:right w:val="single" w:sz="4" w:space="0" w:color="auto"/>
            </w:tcBorders>
            <w:shd w:val="clear" w:color="auto" w:fill="auto"/>
            <w:noWrap/>
            <w:vAlign w:val="bottom"/>
            <w:hideMark/>
          </w:tcPr>
          <w:p w:rsidR="003A6ACA" w:rsidRPr="003A6ACA" w:rsidRDefault="003A6ACA" w:rsidP="003A6ACA">
            <w:pPr>
              <w:spacing w:after="0" w:line="240" w:lineRule="auto"/>
              <w:rPr>
                <w:rFonts w:ascii="Times New Roman" w:eastAsia="Times New Roman" w:hAnsi="Times New Roman" w:cs="Times New Roman"/>
                <w:b/>
                <w:bCs/>
                <w:color w:val="000000"/>
                <w:sz w:val="20"/>
                <w:szCs w:val="20"/>
              </w:rPr>
            </w:pPr>
            <w:r w:rsidRPr="003A6ACA">
              <w:rPr>
                <w:rFonts w:ascii="Times New Roman" w:eastAsia="Times New Roman" w:hAnsi="Times New Roman" w:cs="Times New Roman"/>
                <w:b/>
                <w:bCs/>
                <w:color w:val="000000"/>
                <w:sz w:val="20"/>
                <w:szCs w:val="20"/>
              </w:rPr>
              <w:t>Ovos</w:t>
            </w:r>
          </w:p>
        </w:tc>
        <w:tc>
          <w:tcPr>
            <w:tcW w:w="960" w:type="dxa"/>
            <w:tcBorders>
              <w:top w:val="nil"/>
              <w:left w:val="nil"/>
              <w:bottom w:val="nil"/>
              <w:right w:val="single" w:sz="4" w:space="0" w:color="auto"/>
            </w:tcBorders>
            <w:shd w:val="clear" w:color="auto" w:fill="auto"/>
            <w:noWrap/>
            <w:vAlign w:val="bottom"/>
            <w:hideMark/>
          </w:tcPr>
          <w:p w:rsidR="003A6ACA" w:rsidRPr="003A6ACA" w:rsidRDefault="003A6ACA" w:rsidP="003A6ACA">
            <w:pPr>
              <w:spacing w:after="0" w:line="240" w:lineRule="auto"/>
              <w:rPr>
                <w:rFonts w:ascii="Calibri" w:eastAsia="Times New Roman" w:hAnsi="Calibri" w:cs="Calibri"/>
                <w:color w:val="000000"/>
              </w:rPr>
            </w:pPr>
            <w:r w:rsidRPr="003A6AC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rPr>
                <w:rFonts w:ascii="Calibri" w:eastAsia="Times New Roman" w:hAnsi="Calibri" w:cs="Calibri"/>
                <w:color w:val="000000"/>
              </w:rPr>
            </w:pPr>
          </w:p>
        </w:tc>
      </w:tr>
      <w:tr w:rsidR="003A6ACA" w:rsidRPr="003A6ACA" w:rsidTr="003A6ACA">
        <w:trPr>
          <w:trHeight w:val="300"/>
        </w:trPr>
        <w:tc>
          <w:tcPr>
            <w:tcW w:w="3270" w:type="dxa"/>
            <w:tcBorders>
              <w:top w:val="nil"/>
              <w:left w:val="nil"/>
              <w:bottom w:val="nil"/>
              <w:right w:val="single" w:sz="4" w:space="0" w:color="auto"/>
            </w:tcBorders>
            <w:shd w:val="clear" w:color="000000" w:fill="F2F2F2"/>
            <w:noWrap/>
            <w:vAlign w:val="bottom"/>
            <w:hideMark/>
          </w:tcPr>
          <w:p w:rsidR="003A6ACA" w:rsidRPr="003A6ACA" w:rsidRDefault="003A6ACA" w:rsidP="003A6ACA">
            <w:pPr>
              <w:spacing w:after="0" w:line="240" w:lineRule="auto"/>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 xml:space="preserve">    Zberová plocha (ha)</w:t>
            </w:r>
          </w:p>
        </w:tc>
        <w:tc>
          <w:tcPr>
            <w:tcW w:w="960" w:type="dxa"/>
            <w:tcBorders>
              <w:top w:val="nil"/>
              <w:left w:val="nil"/>
              <w:bottom w:val="nil"/>
              <w:right w:val="single" w:sz="4" w:space="0" w:color="auto"/>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14 547</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14 110</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11 625</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10 611</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9 747</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10 202</w:t>
            </w:r>
          </w:p>
        </w:tc>
      </w:tr>
      <w:tr w:rsidR="003A6ACA" w:rsidRPr="003A6ACA" w:rsidTr="003A6ACA">
        <w:trPr>
          <w:trHeight w:val="300"/>
        </w:trPr>
        <w:tc>
          <w:tcPr>
            <w:tcW w:w="3270" w:type="dxa"/>
            <w:tcBorders>
              <w:top w:val="nil"/>
              <w:left w:val="nil"/>
              <w:bottom w:val="nil"/>
              <w:right w:val="single" w:sz="4" w:space="0" w:color="auto"/>
            </w:tcBorders>
            <w:shd w:val="clear" w:color="auto" w:fill="auto"/>
            <w:noWrap/>
            <w:vAlign w:val="bottom"/>
            <w:hideMark/>
          </w:tcPr>
          <w:p w:rsidR="003A6ACA" w:rsidRPr="003A6ACA" w:rsidRDefault="003A6ACA" w:rsidP="003A6ACA">
            <w:pPr>
              <w:spacing w:after="0" w:line="240" w:lineRule="auto"/>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 xml:space="preserve">    Úroda (t)</w:t>
            </w:r>
          </w:p>
        </w:tc>
        <w:tc>
          <w:tcPr>
            <w:tcW w:w="960" w:type="dxa"/>
            <w:tcBorders>
              <w:top w:val="nil"/>
              <w:left w:val="nil"/>
              <w:bottom w:val="nil"/>
              <w:right w:val="single" w:sz="4" w:space="0" w:color="auto"/>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30 840</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25 257</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23 947</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23 025</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16 277</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24 179</w:t>
            </w:r>
          </w:p>
        </w:tc>
      </w:tr>
      <w:tr w:rsidR="003A6ACA" w:rsidRPr="003A6ACA" w:rsidTr="003A6ACA">
        <w:trPr>
          <w:trHeight w:val="300"/>
        </w:trPr>
        <w:tc>
          <w:tcPr>
            <w:tcW w:w="3270" w:type="dxa"/>
            <w:tcBorders>
              <w:top w:val="nil"/>
              <w:left w:val="nil"/>
              <w:bottom w:val="single" w:sz="4" w:space="0" w:color="auto"/>
              <w:right w:val="single" w:sz="4" w:space="0" w:color="auto"/>
            </w:tcBorders>
            <w:shd w:val="clear" w:color="000000" w:fill="F2F2F2"/>
            <w:noWrap/>
            <w:vAlign w:val="bottom"/>
            <w:hideMark/>
          </w:tcPr>
          <w:p w:rsidR="003A6ACA" w:rsidRPr="003A6ACA" w:rsidRDefault="003A6ACA" w:rsidP="003A6ACA">
            <w:pPr>
              <w:spacing w:after="0" w:line="240" w:lineRule="auto"/>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 xml:space="preserve">    Hektárová úroda (t/ha)</w:t>
            </w:r>
          </w:p>
        </w:tc>
        <w:tc>
          <w:tcPr>
            <w:tcW w:w="960" w:type="dxa"/>
            <w:tcBorders>
              <w:top w:val="nil"/>
              <w:left w:val="nil"/>
              <w:bottom w:val="single" w:sz="4" w:space="0" w:color="auto"/>
              <w:right w:val="single" w:sz="4" w:space="0" w:color="auto"/>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2,12</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1,79</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2,06</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2,17</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1,67</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2,37</w:t>
            </w:r>
          </w:p>
        </w:tc>
      </w:tr>
      <w:tr w:rsidR="003A6ACA" w:rsidRPr="003A6ACA" w:rsidTr="003A6ACA">
        <w:trPr>
          <w:trHeight w:val="300"/>
        </w:trPr>
        <w:tc>
          <w:tcPr>
            <w:tcW w:w="3270" w:type="dxa"/>
            <w:tcBorders>
              <w:top w:val="nil"/>
              <w:left w:val="nil"/>
              <w:bottom w:val="nil"/>
              <w:right w:val="single" w:sz="4" w:space="0" w:color="auto"/>
            </w:tcBorders>
            <w:shd w:val="clear" w:color="auto" w:fill="auto"/>
            <w:noWrap/>
            <w:vAlign w:val="bottom"/>
            <w:hideMark/>
          </w:tcPr>
          <w:p w:rsidR="003A6ACA" w:rsidRPr="003A6ACA" w:rsidRDefault="003A6ACA" w:rsidP="003A6ACA">
            <w:pPr>
              <w:spacing w:after="0" w:line="240" w:lineRule="auto"/>
              <w:rPr>
                <w:rFonts w:ascii="Times New Roman" w:eastAsia="Times New Roman" w:hAnsi="Times New Roman" w:cs="Times New Roman"/>
                <w:b/>
                <w:bCs/>
                <w:color w:val="000000"/>
                <w:sz w:val="20"/>
                <w:szCs w:val="20"/>
              </w:rPr>
            </w:pPr>
            <w:r w:rsidRPr="003A6ACA">
              <w:rPr>
                <w:rFonts w:ascii="Times New Roman" w:eastAsia="Times New Roman" w:hAnsi="Times New Roman" w:cs="Times New Roman"/>
                <w:b/>
                <w:bCs/>
                <w:color w:val="000000"/>
                <w:sz w:val="20"/>
                <w:szCs w:val="20"/>
              </w:rPr>
              <w:t>Kukurica na zrno</w:t>
            </w:r>
          </w:p>
        </w:tc>
        <w:tc>
          <w:tcPr>
            <w:tcW w:w="960" w:type="dxa"/>
            <w:tcBorders>
              <w:top w:val="nil"/>
              <w:left w:val="nil"/>
              <w:bottom w:val="nil"/>
              <w:right w:val="single" w:sz="4" w:space="0" w:color="auto"/>
            </w:tcBorders>
            <w:shd w:val="clear" w:color="auto" w:fill="auto"/>
            <w:noWrap/>
            <w:vAlign w:val="bottom"/>
            <w:hideMark/>
          </w:tcPr>
          <w:p w:rsidR="003A6ACA" w:rsidRPr="003A6ACA" w:rsidRDefault="003A6ACA" w:rsidP="003A6ACA">
            <w:pPr>
              <w:spacing w:after="0" w:line="240" w:lineRule="auto"/>
              <w:rPr>
                <w:rFonts w:ascii="Calibri" w:eastAsia="Times New Roman" w:hAnsi="Calibri" w:cs="Calibri"/>
                <w:color w:val="000000"/>
              </w:rPr>
            </w:pPr>
            <w:r w:rsidRPr="003A6AC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rPr>
                <w:rFonts w:ascii="Calibri" w:eastAsia="Times New Roman" w:hAnsi="Calibri" w:cs="Calibri"/>
                <w:color w:val="000000"/>
              </w:rPr>
            </w:pPr>
          </w:p>
        </w:tc>
      </w:tr>
      <w:tr w:rsidR="003A6ACA" w:rsidRPr="003A6ACA" w:rsidTr="003A6ACA">
        <w:trPr>
          <w:trHeight w:val="300"/>
        </w:trPr>
        <w:tc>
          <w:tcPr>
            <w:tcW w:w="3270" w:type="dxa"/>
            <w:tcBorders>
              <w:top w:val="nil"/>
              <w:left w:val="nil"/>
              <w:bottom w:val="nil"/>
              <w:right w:val="single" w:sz="4" w:space="0" w:color="auto"/>
            </w:tcBorders>
            <w:shd w:val="clear" w:color="000000" w:fill="F2F2F2"/>
            <w:noWrap/>
            <w:vAlign w:val="bottom"/>
            <w:hideMark/>
          </w:tcPr>
          <w:p w:rsidR="003A6ACA" w:rsidRPr="003A6ACA" w:rsidRDefault="003A6ACA" w:rsidP="003A6ACA">
            <w:pPr>
              <w:spacing w:after="0" w:line="240" w:lineRule="auto"/>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 xml:space="preserve">    Zberová plocha (ha)</w:t>
            </w:r>
          </w:p>
        </w:tc>
        <w:tc>
          <w:tcPr>
            <w:tcW w:w="960" w:type="dxa"/>
            <w:tcBorders>
              <w:top w:val="nil"/>
              <w:left w:val="nil"/>
              <w:bottom w:val="nil"/>
              <w:right w:val="single" w:sz="4" w:space="0" w:color="auto"/>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78 585</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73 443</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82 560</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48 844</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52 136</w:t>
            </w:r>
          </w:p>
        </w:tc>
        <w:tc>
          <w:tcPr>
            <w:tcW w:w="960" w:type="dxa"/>
            <w:tcBorders>
              <w:top w:val="nil"/>
              <w:left w:val="nil"/>
              <w:bottom w:val="nil"/>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60 802</w:t>
            </w:r>
          </w:p>
        </w:tc>
      </w:tr>
      <w:tr w:rsidR="003A6ACA" w:rsidRPr="003A6ACA" w:rsidTr="003A6ACA">
        <w:trPr>
          <w:trHeight w:val="300"/>
        </w:trPr>
        <w:tc>
          <w:tcPr>
            <w:tcW w:w="3270" w:type="dxa"/>
            <w:tcBorders>
              <w:top w:val="nil"/>
              <w:left w:val="nil"/>
              <w:bottom w:val="nil"/>
              <w:right w:val="single" w:sz="4" w:space="0" w:color="auto"/>
            </w:tcBorders>
            <w:shd w:val="clear" w:color="auto" w:fill="auto"/>
            <w:noWrap/>
            <w:vAlign w:val="bottom"/>
            <w:hideMark/>
          </w:tcPr>
          <w:p w:rsidR="003A6ACA" w:rsidRPr="003A6ACA" w:rsidRDefault="003A6ACA" w:rsidP="003A6ACA">
            <w:pPr>
              <w:spacing w:after="0" w:line="240" w:lineRule="auto"/>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 xml:space="preserve">    Úroda (t)</w:t>
            </w:r>
          </w:p>
        </w:tc>
        <w:tc>
          <w:tcPr>
            <w:tcW w:w="960" w:type="dxa"/>
            <w:tcBorders>
              <w:top w:val="nil"/>
              <w:left w:val="nil"/>
              <w:bottom w:val="nil"/>
              <w:right w:val="single" w:sz="4" w:space="0" w:color="auto"/>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422 004</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291 568</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674 517</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334 580</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288 312</w:t>
            </w:r>
          </w:p>
        </w:tc>
        <w:tc>
          <w:tcPr>
            <w:tcW w:w="960" w:type="dxa"/>
            <w:tcBorders>
              <w:top w:val="nil"/>
              <w:left w:val="nil"/>
              <w:bottom w:val="nil"/>
              <w:right w:val="nil"/>
            </w:tcBorders>
            <w:shd w:val="clear" w:color="auto" w:fill="auto"/>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434 733</w:t>
            </w:r>
          </w:p>
        </w:tc>
      </w:tr>
      <w:tr w:rsidR="003A6ACA" w:rsidRPr="003A6ACA" w:rsidTr="003A6ACA">
        <w:trPr>
          <w:trHeight w:val="300"/>
        </w:trPr>
        <w:tc>
          <w:tcPr>
            <w:tcW w:w="3270" w:type="dxa"/>
            <w:tcBorders>
              <w:top w:val="nil"/>
              <w:left w:val="nil"/>
              <w:bottom w:val="single" w:sz="4" w:space="0" w:color="auto"/>
              <w:right w:val="single" w:sz="4" w:space="0" w:color="auto"/>
            </w:tcBorders>
            <w:shd w:val="clear" w:color="000000" w:fill="F2F2F2"/>
            <w:noWrap/>
            <w:vAlign w:val="bottom"/>
            <w:hideMark/>
          </w:tcPr>
          <w:p w:rsidR="003A6ACA" w:rsidRPr="003A6ACA" w:rsidRDefault="003A6ACA" w:rsidP="003A6ACA">
            <w:pPr>
              <w:spacing w:after="0" w:line="240" w:lineRule="auto"/>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 xml:space="preserve">    Hektárová úroda (t/ha)</w:t>
            </w:r>
          </w:p>
        </w:tc>
        <w:tc>
          <w:tcPr>
            <w:tcW w:w="960" w:type="dxa"/>
            <w:tcBorders>
              <w:top w:val="nil"/>
              <w:left w:val="nil"/>
              <w:bottom w:val="single" w:sz="4" w:space="0" w:color="auto"/>
              <w:right w:val="single" w:sz="4" w:space="0" w:color="auto"/>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5,37</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3,97</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8,17</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6,85</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5,53</w:t>
            </w:r>
          </w:p>
        </w:tc>
        <w:tc>
          <w:tcPr>
            <w:tcW w:w="960" w:type="dxa"/>
            <w:tcBorders>
              <w:top w:val="nil"/>
              <w:left w:val="nil"/>
              <w:bottom w:val="single" w:sz="4" w:space="0" w:color="auto"/>
              <w:right w:val="nil"/>
            </w:tcBorders>
            <w:shd w:val="clear" w:color="000000" w:fill="F2F2F2"/>
            <w:noWrap/>
            <w:vAlign w:val="bottom"/>
            <w:hideMark/>
          </w:tcPr>
          <w:p w:rsidR="003A6ACA" w:rsidRPr="003A6ACA" w:rsidRDefault="003A6ACA" w:rsidP="003A6ACA">
            <w:pPr>
              <w:spacing w:after="0" w:line="240" w:lineRule="auto"/>
              <w:jc w:val="right"/>
              <w:rPr>
                <w:rFonts w:ascii="Times New Roman" w:eastAsia="Times New Roman" w:hAnsi="Times New Roman" w:cs="Times New Roman"/>
                <w:color w:val="000000"/>
                <w:sz w:val="20"/>
                <w:szCs w:val="20"/>
              </w:rPr>
            </w:pPr>
            <w:r w:rsidRPr="003A6ACA">
              <w:rPr>
                <w:rFonts w:ascii="Times New Roman" w:eastAsia="Times New Roman" w:hAnsi="Times New Roman" w:cs="Times New Roman"/>
                <w:color w:val="000000"/>
                <w:sz w:val="20"/>
                <w:szCs w:val="20"/>
              </w:rPr>
              <w:t>7,15</w:t>
            </w:r>
          </w:p>
        </w:tc>
      </w:tr>
    </w:tbl>
    <w:p w:rsidR="003A6ACA" w:rsidRDefault="003A6ACA" w:rsidP="003A6AC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odhad MPRV</w:t>
      </w:r>
    </w:p>
    <w:p w:rsidR="00472A59" w:rsidRDefault="00472A59" w:rsidP="008F49F9">
      <w:pPr>
        <w:spacing w:after="0" w:line="240" w:lineRule="auto"/>
        <w:jc w:val="both"/>
        <w:rPr>
          <w:rFonts w:ascii="Times New Roman" w:hAnsi="Times New Roman" w:cs="Times New Roman"/>
          <w:sz w:val="24"/>
          <w:szCs w:val="24"/>
        </w:rPr>
      </w:pPr>
    </w:p>
    <w:p w:rsidR="00472A59" w:rsidRDefault="004F3204" w:rsidP="008F4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Vzhľadom na to, že obilniny na kŕmne účely nevyžadujú špeciálne pestovné postupy a v praxi sa rozdeľuje skutočné použitie úrody obilnín až po zbere, boli zberové plochy a úrody obilnín na kŕmnu spotrebu expertne odhadnuté, a to na základe pomerov ich spotreby na kŕmne účely k celkovej domácej spotrebe. </w:t>
      </w:r>
    </w:p>
    <w:p w:rsidR="00AB4E09" w:rsidRDefault="00AB4E09" w:rsidP="008F49F9">
      <w:pPr>
        <w:spacing w:after="0" w:line="240" w:lineRule="auto"/>
        <w:jc w:val="both"/>
        <w:rPr>
          <w:rFonts w:ascii="Times New Roman" w:hAnsi="Times New Roman" w:cs="Times New Roman"/>
          <w:sz w:val="24"/>
          <w:szCs w:val="24"/>
        </w:rPr>
      </w:pPr>
    </w:p>
    <w:p w:rsidR="00AB4E09" w:rsidRDefault="00450D08" w:rsidP="008F4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výpočtu</w:t>
      </w:r>
      <w:r w:rsidR="00AB4E09">
        <w:rPr>
          <w:rFonts w:ascii="Times New Roman" w:hAnsi="Times New Roman" w:cs="Times New Roman"/>
          <w:sz w:val="24"/>
          <w:szCs w:val="24"/>
        </w:rPr>
        <w:t>, že výpadok produkcie kŕmnej pšenice bol daný predovšetkým poklesom zberových plôch, ktorý nedokázala vykryť ani pokračujúca intenzifikácia produkcie. Použitie celkovej produkcie pšenice je determinované výškou domácej spotreby na potravinárske účely. Použitie časti produkcie pšenice na kŕmne účely sa takto z vyššie špecifikovaných dôvodov znížil, a to oproti referenčnému roku 2002 až o viac ako 35 %. Tento výpadok však korešpondoval s prepadom produkcie živočíšnej výroby.</w:t>
      </w:r>
    </w:p>
    <w:p w:rsidR="00AB4E09" w:rsidRDefault="00AB4E09" w:rsidP="008F49F9">
      <w:pPr>
        <w:spacing w:after="0" w:line="240" w:lineRule="auto"/>
        <w:jc w:val="both"/>
        <w:rPr>
          <w:rFonts w:ascii="Times New Roman" w:hAnsi="Times New Roman" w:cs="Times New Roman"/>
          <w:sz w:val="24"/>
          <w:szCs w:val="24"/>
        </w:rPr>
      </w:pPr>
    </w:p>
    <w:p w:rsidR="00AB4E09" w:rsidRDefault="00450D08" w:rsidP="008F4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Podobný vývoj ako pri pšenici sa zaznamenal aj pri jačmeni</w:t>
      </w:r>
      <w:r w:rsidR="00AB4E09">
        <w:rPr>
          <w:rFonts w:ascii="Times New Roman" w:hAnsi="Times New Roman" w:cs="Times New Roman"/>
          <w:sz w:val="24"/>
          <w:szCs w:val="24"/>
        </w:rPr>
        <w:t xml:space="preserve">, ktorého zberové plochy sa taktiež rapídne znížili, oproti roku 2002 až o 58,5 %. Tento výpadok vykryla intenzifikácia </w:t>
      </w:r>
      <w:r w:rsidR="00AB4E09">
        <w:rPr>
          <w:rFonts w:ascii="Times New Roman" w:hAnsi="Times New Roman" w:cs="Times New Roman"/>
          <w:sz w:val="24"/>
          <w:szCs w:val="24"/>
        </w:rPr>
        <w:lastRenderedPageBreak/>
        <w:t>produkcie len s veľmi malej časti a tak v súčasnosti zaznamenávame</w:t>
      </w:r>
      <w:r w:rsidR="00B47749">
        <w:rPr>
          <w:rFonts w:ascii="Times New Roman" w:hAnsi="Times New Roman" w:cs="Times New Roman"/>
          <w:sz w:val="24"/>
          <w:szCs w:val="24"/>
        </w:rPr>
        <w:t xml:space="preserve">, oproti referenčnému roku 2002, </w:t>
      </w:r>
      <w:r w:rsidR="00AB4E09">
        <w:rPr>
          <w:rFonts w:ascii="Times New Roman" w:hAnsi="Times New Roman" w:cs="Times New Roman"/>
          <w:sz w:val="24"/>
          <w:szCs w:val="24"/>
        </w:rPr>
        <w:t>až 55 % pokles produkcie jačmeňa</w:t>
      </w:r>
      <w:r w:rsidR="00B47749">
        <w:rPr>
          <w:rFonts w:ascii="Times New Roman" w:hAnsi="Times New Roman" w:cs="Times New Roman"/>
          <w:sz w:val="24"/>
          <w:szCs w:val="24"/>
        </w:rPr>
        <w:t xml:space="preserve">, ktorý je následne určený na kŕmne účely. </w:t>
      </w:r>
    </w:p>
    <w:p w:rsidR="00B47749" w:rsidRDefault="00B47749" w:rsidP="008F49F9">
      <w:pPr>
        <w:spacing w:after="0" w:line="240" w:lineRule="auto"/>
        <w:jc w:val="both"/>
        <w:rPr>
          <w:rFonts w:ascii="Times New Roman" w:hAnsi="Times New Roman" w:cs="Times New Roman"/>
          <w:sz w:val="24"/>
          <w:szCs w:val="24"/>
        </w:rPr>
      </w:pPr>
    </w:p>
    <w:p w:rsidR="002A0E76" w:rsidRDefault="00B47749" w:rsidP="008F4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produkcii ovsa bol taktiež zaznamenaný pokles celkových zberových plôch, čo spôsobilo celkový pokles produkcie ovsa. Tento výpadok produkcie bol však relatívne úspešne vyrovnaný pokračujúcou intenzifikáciou produkcie. Hlavne vplyvom spomínanej intenzifikácie je možné konštatovať, že celková produkcia ovsa a rovnako tak časť domácej produkcie ovsa, ktorá je určená na kŕmne účely, nezaznamenala až tak výrazný prepad ako v prípade jačmeňa a pšenice. </w:t>
      </w:r>
    </w:p>
    <w:p w:rsidR="00B47749" w:rsidRDefault="00B47749" w:rsidP="008F49F9">
      <w:pPr>
        <w:spacing w:after="0" w:line="240" w:lineRule="auto"/>
        <w:jc w:val="both"/>
        <w:rPr>
          <w:rFonts w:ascii="Times New Roman" w:hAnsi="Times New Roman" w:cs="Times New Roman"/>
          <w:sz w:val="24"/>
          <w:szCs w:val="24"/>
        </w:rPr>
      </w:pPr>
    </w:p>
    <w:p w:rsidR="00B47749" w:rsidRDefault="00B47749" w:rsidP="008F4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Najpriaznivejšia situácia je v produkcii kukurice na zrno, ktorej pokles zberových plôch úplne vykryla intenzifikácia jej produkcie a takto môžeme v súčasnosti pozorovať rast celkovej produkcie kukurice na zrno a čiastkovo aj kukurice na zrno,</w:t>
      </w:r>
      <w:r w:rsidR="003748EC">
        <w:rPr>
          <w:rFonts w:ascii="Times New Roman" w:hAnsi="Times New Roman" w:cs="Times New Roman"/>
          <w:sz w:val="24"/>
          <w:szCs w:val="24"/>
        </w:rPr>
        <w:t xml:space="preserve"> </w:t>
      </w:r>
      <w:r>
        <w:rPr>
          <w:rFonts w:ascii="Times New Roman" w:hAnsi="Times New Roman" w:cs="Times New Roman"/>
          <w:sz w:val="24"/>
          <w:szCs w:val="24"/>
        </w:rPr>
        <w:t>v porovnaní s rokom 2002, ktorá je určená na kŕmne účely, o viac ako 3 %.</w:t>
      </w:r>
    </w:p>
    <w:p w:rsidR="00B47749" w:rsidRDefault="00B47749" w:rsidP="008F49F9">
      <w:pPr>
        <w:spacing w:after="0" w:line="240" w:lineRule="auto"/>
        <w:jc w:val="both"/>
        <w:rPr>
          <w:rFonts w:ascii="Times New Roman" w:hAnsi="Times New Roman" w:cs="Times New Roman"/>
          <w:sz w:val="24"/>
          <w:szCs w:val="24"/>
        </w:rPr>
      </w:pPr>
    </w:p>
    <w:p w:rsidR="00013BD1" w:rsidRPr="00450D08" w:rsidRDefault="00013BD1" w:rsidP="00013BD1">
      <w:pPr>
        <w:spacing w:after="0" w:line="240" w:lineRule="auto"/>
        <w:jc w:val="both"/>
        <w:rPr>
          <w:rFonts w:ascii="Times New Roman" w:hAnsi="Times New Roman" w:cs="Times New Roman"/>
          <w:sz w:val="24"/>
          <w:szCs w:val="24"/>
        </w:rPr>
      </w:pPr>
      <w:r w:rsidRPr="00450D08">
        <w:rPr>
          <w:rFonts w:ascii="Times New Roman" w:hAnsi="Times New Roman" w:cs="Times New Roman"/>
          <w:sz w:val="24"/>
          <w:szCs w:val="24"/>
        </w:rPr>
        <w:t>V súčasnom období je možné konštatovať, že produkcia hlavných plodín zastúpených v kŕmnych zmesiach je stabilizovaná. Zaznamenaný prepad produkcie v porovnaní s rokom 2002 sa podarilo zastaviť udržaním ich pestovateľských plôch a zvyšovaním  hektárových úrod</w:t>
      </w:r>
      <w:r>
        <w:rPr>
          <w:rFonts w:ascii="Times New Roman" w:hAnsi="Times New Roman" w:cs="Times New Roman"/>
          <w:sz w:val="24"/>
          <w:szCs w:val="24"/>
        </w:rPr>
        <w:t>.</w:t>
      </w:r>
    </w:p>
    <w:p w:rsidR="00AF633F" w:rsidRDefault="00AF633F" w:rsidP="008F49F9">
      <w:pPr>
        <w:spacing w:after="0" w:line="240" w:lineRule="auto"/>
        <w:jc w:val="both"/>
        <w:rPr>
          <w:rFonts w:ascii="Times New Roman" w:hAnsi="Times New Roman" w:cs="Times New Roman"/>
          <w:sz w:val="24"/>
          <w:szCs w:val="24"/>
        </w:rPr>
      </w:pPr>
    </w:p>
    <w:p w:rsidR="00AF633F" w:rsidRPr="00AF633F" w:rsidRDefault="006F02F1" w:rsidP="00AF633F">
      <w:pPr>
        <w:spacing w:after="0" w:line="240" w:lineRule="auto"/>
      </w:pPr>
      <w:r>
        <w:rPr>
          <w:rFonts w:ascii="Times New Roman" w:hAnsi="Times New Roman" w:cs="Times New Roman"/>
          <w:sz w:val="20"/>
          <w:szCs w:val="20"/>
        </w:rPr>
        <w:t xml:space="preserve">Tab. č. </w:t>
      </w:r>
      <w:r w:rsidR="00AF633F">
        <w:rPr>
          <w:rFonts w:ascii="Times New Roman" w:hAnsi="Times New Roman" w:cs="Times New Roman"/>
          <w:sz w:val="20"/>
          <w:szCs w:val="20"/>
        </w:rPr>
        <w:t>2</w:t>
      </w:r>
      <w:r w:rsidR="006316DB">
        <w:rPr>
          <w:rFonts w:ascii="Times New Roman" w:hAnsi="Times New Roman" w:cs="Times New Roman"/>
          <w:sz w:val="20"/>
          <w:szCs w:val="20"/>
        </w:rPr>
        <w:t>9</w:t>
      </w:r>
      <w:r w:rsidR="00AF633F" w:rsidRPr="00A855A4">
        <w:rPr>
          <w:rFonts w:ascii="Times New Roman" w:hAnsi="Times New Roman" w:cs="Times New Roman"/>
          <w:sz w:val="20"/>
          <w:szCs w:val="20"/>
        </w:rPr>
        <w:t xml:space="preserve">: </w:t>
      </w:r>
      <w:r w:rsidR="00AF633F">
        <w:rPr>
          <w:rFonts w:ascii="Times New Roman" w:hAnsi="Times New Roman" w:cs="Times New Roman"/>
          <w:sz w:val="20"/>
          <w:szCs w:val="20"/>
        </w:rPr>
        <w:t>Sebestačnosť v produkcii hlavných plodín zastúpených v kŕmnych zmesiach</w:t>
      </w:r>
    </w:p>
    <w:tbl>
      <w:tblPr>
        <w:tblW w:w="9081" w:type="dxa"/>
        <w:tblInd w:w="61" w:type="dxa"/>
        <w:tblCellMar>
          <w:left w:w="70" w:type="dxa"/>
          <w:right w:w="70" w:type="dxa"/>
        </w:tblCellMar>
        <w:tblLook w:val="04A0" w:firstRow="1" w:lastRow="0" w:firstColumn="1" w:lastColumn="0" w:noHBand="0" w:noVBand="1"/>
      </w:tblPr>
      <w:tblGrid>
        <w:gridCol w:w="2180"/>
        <w:gridCol w:w="1940"/>
        <w:gridCol w:w="2123"/>
        <w:gridCol w:w="2838"/>
      </w:tblGrid>
      <w:tr w:rsidR="00F8743E" w:rsidRPr="00AF633F" w:rsidTr="00823940">
        <w:trPr>
          <w:trHeight w:val="476"/>
        </w:trPr>
        <w:tc>
          <w:tcPr>
            <w:tcW w:w="2180" w:type="dxa"/>
            <w:tcBorders>
              <w:top w:val="nil"/>
              <w:left w:val="nil"/>
              <w:bottom w:val="single" w:sz="8" w:space="0" w:color="auto"/>
              <w:right w:val="single" w:sz="8" w:space="0" w:color="auto"/>
            </w:tcBorders>
            <w:shd w:val="clear" w:color="000000" w:fill="D9D9D9"/>
            <w:hideMark/>
          </w:tcPr>
          <w:p w:rsidR="00F8743E" w:rsidRPr="00AF633F" w:rsidRDefault="00F8743E" w:rsidP="00823940">
            <w:pPr>
              <w:spacing w:after="0" w:line="240" w:lineRule="auto"/>
              <w:rPr>
                <w:rFonts w:ascii="Times New Roman" w:eastAsia="Times New Roman" w:hAnsi="Times New Roman" w:cs="Times New Roman"/>
                <w:color w:val="000000"/>
                <w:sz w:val="18"/>
                <w:szCs w:val="18"/>
              </w:rPr>
            </w:pPr>
            <w:r w:rsidRPr="00AF633F">
              <w:rPr>
                <w:rFonts w:ascii="Times New Roman" w:eastAsia="Times New Roman" w:hAnsi="Times New Roman" w:cs="Times New Roman"/>
                <w:color w:val="000000"/>
                <w:sz w:val="18"/>
                <w:szCs w:val="18"/>
              </w:rPr>
              <w:t> </w:t>
            </w:r>
          </w:p>
        </w:tc>
        <w:tc>
          <w:tcPr>
            <w:tcW w:w="1940" w:type="dxa"/>
            <w:tcBorders>
              <w:top w:val="nil"/>
              <w:left w:val="nil"/>
              <w:bottom w:val="single" w:sz="8" w:space="0" w:color="auto"/>
              <w:right w:val="nil"/>
            </w:tcBorders>
            <w:shd w:val="clear" w:color="000000" w:fill="D9D9D9"/>
            <w:hideMark/>
          </w:tcPr>
          <w:p w:rsidR="00F8743E" w:rsidRPr="00AF633F" w:rsidRDefault="00F8743E" w:rsidP="00823940">
            <w:pPr>
              <w:spacing w:after="0" w:line="240" w:lineRule="auto"/>
              <w:jc w:val="center"/>
              <w:rPr>
                <w:rFonts w:ascii="Times New Roman" w:eastAsia="Times New Roman" w:hAnsi="Times New Roman" w:cs="Times New Roman"/>
                <w:b/>
                <w:bCs/>
                <w:color w:val="000000"/>
                <w:sz w:val="18"/>
                <w:szCs w:val="18"/>
              </w:rPr>
            </w:pPr>
            <w:r w:rsidRPr="00AF633F">
              <w:rPr>
                <w:rFonts w:ascii="Times New Roman" w:eastAsia="Times New Roman" w:hAnsi="Times New Roman" w:cs="Times New Roman"/>
                <w:b/>
                <w:bCs/>
                <w:color w:val="000000"/>
                <w:sz w:val="18"/>
                <w:szCs w:val="18"/>
              </w:rPr>
              <w:t>Súčasná spotreba v tonách za rok</w:t>
            </w:r>
          </w:p>
        </w:tc>
        <w:tc>
          <w:tcPr>
            <w:tcW w:w="2123" w:type="dxa"/>
            <w:tcBorders>
              <w:top w:val="nil"/>
              <w:left w:val="nil"/>
              <w:bottom w:val="single" w:sz="8" w:space="0" w:color="auto"/>
              <w:right w:val="nil"/>
            </w:tcBorders>
            <w:shd w:val="clear" w:color="000000" w:fill="D9D9D9"/>
            <w:hideMark/>
          </w:tcPr>
          <w:p w:rsidR="00F8743E" w:rsidRPr="00AF633F" w:rsidRDefault="00F8743E" w:rsidP="00823940">
            <w:pPr>
              <w:spacing w:after="0" w:line="240" w:lineRule="auto"/>
              <w:jc w:val="center"/>
              <w:rPr>
                <w:rFonts w:ascii="Times New Roman" w:eastAsia="Times New Roman" w:hAnsi="Times New Roman" w:cs="Times New Roman"/>
                <w:b/>
                <w:bCs/>
                <w:color w:val="000000"/>
                <w:sz w:val="18"/>
                <w:szCs w:val="18"/>
              </w:rPr>
            </w:pPr>
            <w:r w:rsidRPr="00AF633F">
              <w:rPr>
                <w:rFonts w:ascii="Times New Roman" w:eastAsia="Times New Roman" w:hAnsi="Times New Roman" w:cs="Times New Roman"/>
                <w:b/>
                <w:bCs/>
                <w:color w:val="000000"/>
                <w:sz w:val="18"/>
                <w:szCs w:val="18"/>
              </w:rPr>
              <w:t>Súčasná produkcia v</w:t>
            </w:r>
            <w:r>
              <w:rPr>
                <w:rFonts w:ascii="Times New Roman" w:eastAsia="Times New Roman" w:hAnsi="Times New Roman" w:cs="Times New Roman"/>
                <w:b/>
                <w:bCs/>
                <w:color w:val="000000"/>
                <w:sz w:val="18"/>
                <w:szCs w:val="18"/>
              </w:rPr>
              <w:t> </w:t>
            </w:r>
            <w:r w:rsidRPr="00AF633F">
              <w:rPr>
                <w:rFonts w:ascii="Times New Roman" w:eastAsia="Times New Roman" w:hAnsi="Times New Roman" w:cs="Times New Roman"/>
                <w:b/>
                <w:bCs/>
                <w:color w:val="000000"/>
                <w:sz w:val="18"/>
                <w:szCs w:val="18"/>
              </w:rPr>
              <w:t>tonách</w:t>
            </w:r>
            <w:r>
              <w:rPr>
                <w:rFonts w:ascii="Times New Roman" w:eastAsia="Times New Roman" w:hAnsi="Times New Roman" w:cs="Times New Roman"/>
                <w:b/>
                <w:bCs/>
                <w:color w:val="000000"/>
                <w:sz w:val="18"/>
                <w:szCs w:val="18"/>
              </w:rPr>
              <w:t xml:space="preserve"> za rok</w:t>
            </w:r>
          </w:p>
        </w:tc>
        <w:tc>
          <w:tcPr>
            <w:tcW w:w="2838" w:type="dxa"/>
            <w:tcBorders>
              <w:top w:val="nil"/>
              <w:left w:val="nil"/>
              <w:bottom w:val="single" w:sz="8" w:space="0" w:color="auto"/>
              <w:right w:val="nil"/>
            </w:tcBorders>
            <w:shd w:val="clear" w:color="000000" w:fill="D9D9D9"/>
            <w:hideMark/>
          </w:tcPr>
          <w:p w:rsidR="00F8743E" w:rsidRPr="00AF633F" w:rsidRDefault="00F8743E" w:rsidP="00823940">
            <w:pPr>
              <w:spacing w:after="0" w:line="240" w:lineRule="auto"/>
              <w:jc w:val="center"/>
              <w:rPr>
                <w:rFonts w:ascii="Times New Roman" w:eastAsia="Times New Roman" w:hAnsi="Times New Roman" w:cs="Times New Roman"/>
                <w:b/>
                <w:bCs/>
                <w:color w:val="000000"/>
                <w:sz w:val="18"/>
                <w:szCs w:val="18"/>
              </w:rPr>
            </w:pPr>
            <w:r w:rsidRPr="00AF633F">
              <w:rPr>
                <w:rFonts w:ascii="Times New Roman" w:eastAsia="Times New Roman" w:hAnsi="Times New Roman" w:cs="Times New Roman"/>
                <w:b/>
                <w:bCs/>
                <w:color w:val="000000"/>
                <w:sz w:val="18"/>
                <w:szCs w:val="18"/>
              </w:rPr>
              <w:t>% sebestačnosti na základe súčasnej spotreby</w:t>
            </w:r>
          </w:p>
        </w:tc>
      </w:tr>
      <w:tr w:rsidR="00F8743E" w:rsidRPr="00AF633F" w:rsidTr="00823940">
        <w:trPr>
          <w:trHeight w:val="300"/>
        </w:trPr>
        <w:tc>
          <w:tcPr>
            <w:tcW w:w="2180" w:type="dxa"/>
            <w:tcBorders>
              <w:top w:val="nil"/>
              <w:left w:val="nil"/>
              <w:bottom w:val="nil"/>
              <w:right w:val="single" w:sz="8" w:space="0" w:color="auto"/>
            </w:tcBorders>
            <w:shd w:val="clear" w:color="auto" w:fill="auto"/>
            <w:vAlign w:val="bottom"/>
            <w:hideMark/>
          </w:tcPr>
          <w:p w:rsidR="00F8743E" w:rsidRPr="00557702" w:rsidRDefault="00F8743E" w:rsidP="00823940">
            <w:pPr>
              <w:spacing w:after="0" w:line="240" w:lineRule="auto"/>
              <w:rPr>
                <w:rFonts w:ascii="Times New Roman" w:eastAsia="Times New Roman" w:hAnsi="Times New Roman" w:cs="Times New Roman"/>
                <w:b/>
                <w:bCs/>
                <w:sz w:val="18"/>
                <w:szCs w:val="18"/>
              </w:rPr>
            </w:pPr>
            <w:r w:rsidRPr="00557702">
              <w:rPr>
                <w:rFonts w:ascii="Times New Roman" w:eastAsia="Times New Roman" w:hAnsi="Times New Roman" w:cs="Times New Roman"/>
                <w:b/>
                <w:bCs/>
                <w:sz w:val="18"/>
                <w:szCs w:val="18"/>
              </w:rPr>
              <w:t>Pšenica na kŕmenie</w:t>
            </w:r>
          </w:p>
        </w:tc>
        <w:tc>
          <w:tcPr>
            <w:tcW w:w="1940" w:type="dxa"/>
            <w:tcBorders>
              <w:top w:val="nil"/>
              <w:left w:val="nil"/>
              <w:bottom w:val="nil"/>
              <w:right w:val="nil"/>
            </w:tcBorders>
            <w:shd w:val="clear" w:color="auto" w:fill="auto"/>
            <w:vAlign w:val="bottom"/>
            <w:hideMark/>
          </w:tcPr>
          <w:p w:rsidR="00F8743E" w:rsidRPr="00557702" w:rsidRDefault="00F8743E"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270 000,00</w:t>
            </w:r>
          </w:p>
        </w:tc>
        <w:tc>
          <w:tcPr>
            <w:tcW w:w="2123" w:type="dxa"/>
            <w:tcBorders>
              <w:top w:val="nil"/>
              <w:left w:val="nil"/>
              <w:bottom w:val="nil"/>
              <w:right w:val="nil"/>
            </w:tcBorders>
            <w:shd w:val="clear" w:color="auto" w:fill="auto"/>
            <w:vAlign w:val="bottom"/>
            <w:hideMark/>
          </w:tcPr>
          <w:p w:rsidR="00F8743E" w:rsidRPr="00557702" w:rsidRDefault="00F8743E"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285 686,35</w:t>
            </w:r>
          </w:p>
        </w:tc>
        <w:tc>
          <w:tcPr>
            <w:tcW w:w="2838" w:type="dxa"/>
            <w:tcBorders>
              <w:top w:val="nil"/>
              <w:left w:val="nil"/>
              <w:bottom w:val="nil"/>
              <w:right w:val="nil"/>
            </w:tcBorders>
            <w:shd w:val="clear" w:color="auto" w:fill="auto"/>
            <w:vAlign w:val="bottom"/>
            <w:hideMark/>
          </w:tcPr>
          <w:p w:rsidR="00F8743E" w:rsidRPr="00557702" w:rsidRDefault="00F8743E"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105,81%</w:t>
            </w:r>
          </w:p>
        </w:tc>
      </w:tr>
      <w:tr w:rsidR="00F8743E" w:rsidRPr="00AF633F" w:rsidTr="00823940">
        <w:trPr>
          <w:trHeight w:val="300"/>
        </w:trPr>
        <w:tc>
          <w:tcPr>
            <w:tcW w:w="2180" w:type="dxa"/>
            <w:tcBorders>
              <w:top w:val="nil"/>
              <w:left w:val="nil"/>
              <w:bottom w:val="nil"/>
              <w:right w:val="single" w:sz="8" w:space="0" w:color="auto"/>
            </w:tcBorders>
            <w:shd w:val="clear" w:color="000000" w:fill="F2F2F2"/>
            <w:vAlign w:val="bottom"/>
            <w:hideMark/>
          </w:tcPr>
          <w:p w:rsidR="00F8743E" w:rsidRPr="00557702" w:rsidRDefault="00F8743E" w:rsidP="00823940">
            <w:pPr>
              <w:spacing w:after="0" w:line="240" w:lineRule="auto"/>
              <w:rPr>
                <w:rFonts w:ascii="Times New Roman" w:eastAsia="Times New Roman" w:hAnsi="Times New Roman" w:cs="Times New Roman"/>
                <w:b/>
                <w:bCs/>
                <w:sz w:val="18"/>
                <w:szCs w:val="18"/>
              </w:rPr>
            </w:pPr>
            <w:r w:rsidRPr="00557702">
              <w:rPr>
                <w:rFonts w:ascii="Times New Roman" w:eastAsia="Times New Roman" w:hAnsi="Times New Roman" w:cs="Times New Roman"/>
                <w:b/>
                <w:bCs/>
                <w:sz w:val="18"/>
                <w:szCs w:val="18"/>
              </w:rPr>
              <w:t>Jačmeň na kŕmenie</w:t>
            </w:r>
          </w:p>
        </w:tc>
        <w:tc>
          <w:tcPr>
            <w:tcW w:w="1940" w:type="dxa"/>
            <w:tcBorders>
              <w:top w:val="nil"/>
              <w:left w:val="nil"/>
              <w:bottom w:val="nil"/>
              <w:right w:val="nil"/>
            </w:tcBorders>
            <w:shd w:val="clear" w:color="000000" w:fill="F2F2F2"/>
            <w:vAlign w:val="bottom"/>
            <w:hideMark/>
          </w:tcPr>
          <w:p w:rsidR="00F8743E" w:rsidRPr="00557702" w:rsidRDefault="00F8743E"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120 000,00</w:t>
            </w:r>
          </w:p>
        </w:tc>
        <w:tc>
          <w:tcPr>
            <w:tcW w:w="2123" w:type="dxa"/>
            <w:tcBorders>
              <w:top w:val="nil"/>
              <w:left w:val="nil"/>
              <w:bottom w:val="nil"/>
              <w:right w:val="nil"/>
            </w:tcBorders>
            <w:shd w:val="clear" w:color="000000" w:fill="F2F2F2"/>
            <w:vAlign w:val="bottom"/>
            <w:hideMark/>
          </w:tcPr>
          <w:p w:rsidR="00F8743E" w:rsidRPr="00557702" w:rsidRDefault="00F8743E"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128 152,97</w:t>
            </w:r>
          </w:p>
        </w:tc>
        <w:tc>
          <w:tcPr>
            <w:tcW w:w="2838" w:type="dxa"/>
            <w:tcBorders>
              <w:top w:val="nil"/>
              <w:left w:val="nil"/>
              <w:bottom w:val="nil"/>
              <w:right w:val="nil"/>
            </w:tcBorders>
            <w:shd w:val="clear" w:color="000000" w:fill="F2F2F2"/>
            <w:vAlign w:val="bottom"/>
            <w:hideMark/>
          </w:tcPr>
          <w:p w:rsidR="00F8743E" w:rsidRPr="00557702" w:rsidRDefault="00F8743E"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106,79%</w:t>
            </w:r>
          </w:p>
        </w:tc>
      </w:tr>
      <w:tr w:rsidR="00F8743E" w:rsidRPr="00AF633F" w:rsidTr="00823940">
        <w:trPr>
          <w:trHeight w:val="300"/>
        </w:trPr>
        <w:tc>
          <w:tcPr>
            <w:tcW w:w="2180" w:type="dxa"/>
            <w:tcBorders>
              <w:top w:val="nil"/>
              <w:left w:val="nil"/>
              <w:bottom w:val="nil"/>
              <w:right w:val="single" w:sz="8" w:space="0" w:color="auto"/>
            </w:tcBorders>
            <w:shd w:val="clear" w:color="auto" w:fill="auto"/>
            <w:vAlign w:val="bottom"/>
            <w:hideMark/>
          </w:tcPr>
          <w:p w:rsidR="00F8743E" w:rsidRPr="00557702" w:rsidRDefault="00F8743E" w:rsidP="00823940">
            <w:pPr>
              <w:spacing w:after="0" w:line="240" w:lineRule="auto"/>
              <w:rPr>
                <w:rFonts w:ascii="Times New Roman" w:eastAsia="Times New Roman" w:hAnsi="Times New Roman" w:cs="Times New Roman"/>
                <w:b/>
                <w:bCs/>
                <w:sz w:val="18"/>
                <w:szCs w:val="18"/>
              </w:rPr>
            </w:pPr>
            <w:r w:rsidRPr="00557702">
              <w:rPr>
                <w:rFonts w:ascii="Times New Roman" w:eastAsia="Times New Roman" w:hAnsi="Times New Roman" w:cs="Times New Roman"/>
                <w:b/>
                <w:bCs/>
                <w:sz w:val="18"/>
                <w:szCs w:val="18"/>
              </w:rPr>
              <w:t>Ovos na kŕmenie</w:t>
            </w:r>
          </w:p>
        </w:tc>
        <w:tc>
          <w:tcPr>
            <w:tcW w:w="1940" w:type="dxa"/>
            <w:tcBorders>
              <w:top w:val="nil"/>
              <w:left w:val="nil"/>
              <w:bottom w:val="nil"/>
              <w:right w:val="nil"/>
            </w:tcBorders>
            <w:shd w:val="clear" w:color="auto" w:fill="auto"/>
            <w:vAlign w:val="bottom"/>
            <w:hideMark/>
          </w:tcPr>
          <w:p w:rsidR="00F8743E" w:rsidRPr="00557702" w:rsidRDefault="00F8743E"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18 000,00</w:t>
            </w:r>
          </w:p>
        </w:tc>
        <w:tc>
          <w:tcPr>
            <w:tcW w:w="2123" w:type="dxa"/>
            <w:tcBorders>
              <w:top w:val="nil"/>
              <w:left w:val="nil"/>
              <w:bottom w:val="nil"/>
              <w:right w:val="nil"/>
            </w:tcBorders>
            <w:shd w:val="clear" w:color="auto" w:fill="auto"/>
            <w:vAlign w:val="bottom"/>
            <w:hideMark/>
          </w:tcPr>
          <w:p w:rsidR="00F8743E" w:rsidRPr="00557702" w:rsidRDefault="00F8743E"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24 179,10</w:t>
            </w:r>
          </w:p>
        </w:tc>
        <w:tc>
          <w:tcPr>
            <w:tcW w:w="2838" w:type="dxa"/>
            <w:tcBorders>
              <w:top w:val="nil"/>
              <w:left w:val="nil"/>
              <w:bottom w:val="nil"/>
              <w:right w:val="nil"/>
            </w:tcBorders>
            <w:shd w:val="clear" w:color="auto" w:fill="auto"/>
            <w:vAlign w:val="bottom"/>
            <w:hideMark/>
          </w:tcPr>
          <w:p w:rsidR="00F8743E" w:rsidRPr="00557702" w:rsidRDefault="00F8743E"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134,33%</w:t>
            </w:r>
          </w:p>
        </w:tc>
      </w:tr>
      <w:tr w:rsidR="00F8743E" w:rsidRPr="00AF633F" w:rsidTr="00823940">
        <w:trPr>
          <w:trHeight w:val="315"/>
        </w:trPr>
        <w:tc>
          <w:tcPr>
            <w:tcW w:w="2180" w:type="dxa"/>
            <w:tcBorders>
              <w:top w:val="nil"/>
              <w:left w:val="nil"/>
              <w:bottom w:val="single" w:sz="8" w:space="0" w:color="auto"/>
              <w:right w:val="single" w:sz="8" w:space="0" w:color="auto"/>
            </w:tcBorders>
            <w:shd w:val="clear" w:color="000000" w:fill="F2F2F2"/>
            <w:vAlign w:val="bottom"/>
            <w:hideMark/>
          </w:tcPr>
          <w:p w:rsidR="00F8743E" w:rsidRPr="00557702" w:rsidRDefault="00F8743E" w:rsidP="00823940">
            <w:pPr>
              <w:spacing w:after="0" w:line="240" w:lineRule="auto"/>
              <w:rPr>
                <w:rFonts w:ascii="Times New Roman" w:eastAsia="Times New Roman" w:hAnsi="Times New Roman" w:cs="Times New Roman"/>
                <w:b/>
                <w:bCs/>
                <w:sz w:val="18"/>
                <w:szCs w:val="18"/>
              </w:rPr>
            </w:pPr>
            <w:r w:rsidRPr="00557702">
              <w:rPr>
                <w:rFonts w:ascii="Times New Roman" w:eastAsia="Times New Roman" w:hAnsi="Times New Roman" w:cs="Times New Roman"/>
                <w:b/>
                <w:bCs/>
                <w:sz w:val="18"/>
                <w:szCs w:val="18"/>
              </w:rPr>
              <w:t>Kukurica na zrno</w:t>
            </w:r>
          </w:p>
        </w:tc>
        <w:tc>
          <w:tcPr>
            <w:tcW w:w="1940" w:type="dxa"/>
            <w:tcBorders>
              <w:top w:val="nil"/>
              <w:left w:val="nil"/>
              <w:bottom w:val="single" w:sz="8" w:space="0" w:color="auto"/>
              <w:right w:val="nil"/>
            </w:tcBorders>
            <w:shd w:val="clear" w:color="000000" w:fill="F2F2F2"/>
            <w:vAlign w:val="bottom"/>
            <w:hideMark/>
          </w:tcPr>
          <w:p w:rsidR="00F8743E" w:rsidRPr="00557702" w:rsidRDefault="00F8743E"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240 000,00</w:t>
            </w:r>
          </w:p>
        </w:tc>
        <w:tc>
          <w:tcPr>
            <w:tcW w:w="2123" w:type="dxa"/>
            <w:tcBorders>
              <w:top w:val="nil"/>
              <w:left w:val="nil"/>
              <w:bottom w:val="single" w:sz="8" w:space="0" w:color="auto"/>
              <w:right w:val="nil"/>
            </w:tcBorders>
            <w:shd w:val="clear" w:color="000000" w:fill="F2F2F2"/>
            <w:vAlign w:val="bottom"/>
            <w:hideMark/>
          </w:tcPr>
          <w:p w:rsidR="00F8743E" w:rsidRPr="00557702" w:rsidRDefault="00F8743E"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434 732,88</w:t>
            </w:r>
          </w:p>
        </w:tc>
        <w:tc>
          <w:tcPr>
            <w:tcW w:w="2838" w:type="dxa"/>
            <w:tcBorders>
              <w:top w:val="nil"/>
              <w:left w:val="nil"/>
              <w:bottom w:val="single" w:sz="8" w:space="0" w:color="auto"/>
              <w:right w:val="nil"/>
            </w:tcBorders>
            <w:shd w:val="clear" w:color="000000" w:fill="F2F2F2"/>
            <w:vAlign w:val="bottom"/>
            <w:hideMark/>
          </w:tcPr>
          <w:p w:rsidR="00F8743E" w:rsidRPr="00557702" w:rsidRDefault="00F8743E"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181,14%</w:t>
            </w:r>
          </w:p>
        </w:tc>
      </w:tr>
    </w:tbl>
    <w:p w:rsidR="00AF633F" w:rsidRDefault="00AF633F" w:rsidP="00AF633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odhad MPRV</w:t>
      </w:r>
    </w:p>
    <w:p w:rsidR="00AF633F" w:rsidRDefault="00AF633F" w:rsidP="00AF633F">
      <w:pPr>
        <w:pBdr>
          <w:bottom w:val="single" w:sz="4" w:space="1" w:color="auto"/>
        </w:pBdr>
        <w:spacing w:after="0" w:line="240" w:lineRule="auto"/>
        <w:jc w:val="both"/>
        <w:rPr>
          <w:rFonts w:ascii="Times New Roman" w:hAnsi="Times New Roman" w:cs="Times New Roman"/>
          <w:sz w:val="24"/>
          <w:szCs w:val="24"/>
        </w:rPr>
      </w:pPr>
    </w:p>
    <w:p w:rsidR="00AF633F" w:rsidRPr="004F588B" w:rsidRDefault="00AF633F" w:rsidP="00AF633F">
      <w:pPr>
        <w:spacing w:after="0" w:line="240" w:lineRule="auto"/>
        <w:jc w:val="both"/>
        <w:rPr>
          <w:rFonts w:ascii="Times New Roman" w:hAnsi="Times New Roman" w:cs="Times New Roman"/>
          <w:sz w:val="24"/>
          <w:szCs w:val="24"/>
        </w:rPr>
      </w:pPr>
      <w:r w:rsidRPr="00D722E0">
        <w:rPr>
          <w:rFonts w:ascii="Times New Roman" w:hAnsi="Times New Roman" w:cs="Times New Roman"/>
          <w:sz w:val="24"/>
          <w:szCs w:val="24"/>
        </w:rPr>
        <w:t xml:space="preserve">Sumárne je možné konštatovať, že </w:t>
      </w:r>
      <w:r>
        <w:rPr>
          <w:rFonts w:ascii="Times New Roman" w:hAnsi="Times New Roman" w:cs="Times New Roman"/>
          <w:sz w:val="24"/>
          <w:szCs w:val="24"/>
        </w:rPr>
        <w:t>plodiny najviac zastúpené v kŕmnych zmesiach</w:t>
      </w:r>
      <w:r w:rsidRPr="00D722E0">
        <w:rPr>
          <w:rFonts w:ascii="Times New Roman" w:hAnsi="Times New Roman" w:cs="Times New Roman"/>
          <w:sz w:val="24"/>
          <w:szCs w:val="24"/>
        </w:rPr>
        <w:t xml:space="preserve"> z hľadiska objemu ich ročnej produkcie plne postačujú pre sú</w:t>
      </w:r>
      <w:r>
        <w:rPr>
          <w:rFonts w:ascii="Times New Roman" w:hAnsi="Times New Roman" w:cs="Times New Roman"/>
          <w:sz w:val="24"/>
          <w:szCs w:val="24"/>
        </w:rPr>
        <w:t>časné potreby živočíšnej výroby, nakoľko pokles ich produkcie plne reflektoval úbytok stavov hospodárskych zvierat.</w:t>
      </w:r>
    </w:p>
    <w:p w:rsidR="00AF633F" w:rsidRDefault="00AF633F" w:rsidP="00AF633F">
      <w:pPr>
        <w:pBdr>
          <w:top w:val="single" w:sz="4" w:space="1" w:color="auto"/>
        </w:pBdr>
        <w:spacing w:after="0" w:line="240" w:lineRule="auto"/>
        <w:jc w:val="both"/>
        <w:rPr>
          <w:rFonts w:ascii="Times New Roman" w:hAnsi="Times New Roman" w:cs="Times New Roman"/>
          <w:sz w:val="24"/>
          <w:szCs w:val="24"/>
        </w:rPr>
      </w:pPr>
    </w:p>
    <w:p w:rsidR="002A0E76" w:rsidRDefault="00472A59" w:rsidP="000D68DC">
      <w:pPr>
        <w:pStyle w:val="Nadpis3"/>
        <w:numPr>
          <w:ilvl w:val="2"/>
          <w:numId w:val="8"/>
        </w:numPr>
        <w:rPr>
          <w:rFonts w:cs="Times New Roman"/>
          <w:szCs w:val="24"/>
        </w:rPr>
      </w:pPr>
      <w:bookmarkStart w:id="31" w:name="_Toc359550652"/>
      <w:r>
        <w:rPr>
          <w:rFonts w:cs="Times New Roman"/>
          <w:szCs w:val="24"/>
        </w:rPr>
        <w:t>Kvantifikácia dodatočnej potreby krmovín a kŕmnych zmesí pre plánované zvyšovanie stavov hospodárskych zvierat</w:t>
      </w:r>
      <w:bookmarkEnd w:id="31"/>
    </w:p>
    <w:p w:rsidR="00472A59" w:rsidRDefault="00472A59" w:rsidP="008F49F9">
      <w:pPr>
        <w:spacing w:after="0" w:line="240" w:lineRule="auto"/>
        <w:jc w:val="both"/>
        <w:rPr>
          <w:rFonts w:ascii="Times New Roman" w:hAnsi="Times New Roman" w:cs="Times New Roman"/>
          <w:sz w:val="24"/>
          <w:szCs w:val="24"/>
        </w:rPr>
      </w:pPr>
    </w:p>
    <w:p w:rsidR="008F49F9" w:rsidRDefault="00CB502E" w:rsidP="008F4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základe identifikovaných scenárov vývoja </w:t>
      </w:r>
      <w:r w:rsidRPr="00CB502E">
        <w:rPr>
          <w:rFonts w:ascii="Times New Roman" w:hAnsi="Times New Roman" w:cs="Times New Roman"/>
          <w:sz w:val="24"/>
          <w:szCs w:val="24"/>
        </w:rPr>
        <w:t xml:space="preserve">z hľadiska zabezpečenia </w:t>
      </w:r>
      <w:r w:rsidR="00F749E9">
        <w:rPr>
          <w:rFonts w:ascii="Times New Roman" w:hAnsi="Times New Roman" w:cs="Times New Roman"/>
          <w:sz w:val="24"/>
          <w:szCs w:val="24"/>
        </w:rPr>
        <w:t>produkčnej výkonnosti</w:t>
      </w:r>
      <w:r w:rsidRPr="00CB502E">
        <w:rPr>
          <w:rFonts w:ascii="Times New Roman" w:hAnsi="Times New Roman" w:cs="Times New Roman"/>
          <w:sz w:val="24"/>
          <w:szCs w:val="24"/>
        </w:rPr>
        <w:t xml:space="preserve"> v nosných komoditách živočíšnej výroby na úrovni 80 % súčasnej spotreby obyvateľstva SR</w:t>
      </w:r>
      <w:r>
        <w:rPr>
          <w:rFonts w:ascii="Times New Roman" w:hAnsi="Times New Roman" w:cs="Times New Roman"/>
          <w:sz w:val="24"/>
          <w:szCs w:val="24"/>
        </w:rPr>
        <w:t xml:space="preserve"> boli definované ako početne nedostatočné kategórie hospodárskych zvierat ošípané a hydina.</w:t>
      </w:r>
    </w:p>
    <w:p w:rsidR="008F49F9" w:rsidRDefault="008F49F9" w:rsidP="008F49F9">
      <w:pPr>
        <w:spacing w:after="0" w:line="240" w:lineRule="auto"/>
        <w:jc w:val="both"/>
        <w:rPr>
          <w:rFonts w:ascii="Times New Roman" w:hAnsi="Times New Roman" w:cs="Times New Roman"/>
          <w:sz w:val="24"/>
          <w:szCs w:val="24"/>
        </w:rPr>
      </w:pPr>
    </w:p>
    <w:p w:rsidR="00E6088A" w:rsidRPr="00E6088A" w:rsidRDefault="00E6088A" w:rsidP="00E6088A">
      <w:pPr>
        <w:spacing w:after="0" w:line="240" w:lineRule="auto"/>
        <w:jc w:val="both"/>
        <w:rPr>
          <w:rFonts w:ascii="Times New Roman" w:hAnsi="Times New Roman" w:cs="Times New Roman"/>
          <w:sz w:val="24"/>
          <w:szCs w:val="24"/>
        </w:rPr>
      </w:pPr>
      <w:r w:rsidRPr="00E6088A">
        <w:rPr>
          <w:rFonts w:ascii="Times New Roman" w:hAnsi="Times New Roman" w:cs="Times New Roman"/>
          <w:sz w:val="24"/>
          <w:szCs w:val="24"/>
        </w:rPr>
        <w:t>Zvýšením počtu prasníc na 70 000 ks sa zabezpečí ročná produkcia jatočných ošípaných v celkovom počte 1 425 900 ks, čo pri jatočnej hmotnosti 109 kg/ks predstavuje prírastok hmotnosti 153 997 200 kg (pozn. 109 kg – 1 kg pri narodení, t.j. prírastok 108 kg/ks). Pri priemernej spotrebe všetkých kŕmnych zmesí na 1 kg prírastku 3,2 kg/</w:t>
      </w:r>
      <w:r w:rsidR="00FD057E">
        <w:rPr>
          <w:rFonts w:ascii="Times New Roman" w:hAnsi="Times New Roman" w:cs="Times New Roman"/>
          <w:sz w:val="24"/>
          <w:szCs w:val="24"/>
        </w:rPr>
        <w:t>kŕmny deň</w:t>
      </w:r>
      <w:r w:rsidRPr="00E6088A">
        <w:rPr>
          <w:rFonts w:ascii="Times New Roman" w:hAnsi="Times New Roman" w:cs="Times New Roman"/>
          <w:sz w:val="24"/>
          <w:szCs w:val="24"/>
        </w:rPr>
        <w:t xml:space="preserve"> je ročná potreba kŕmnych zmesí v celkovom objeme 492 791,04 t</w:t>
      </w:r>
      <w:r w:rsidR="005B311B">
        <w:rPr>
          <w:rFonts w:ascii="Times New Roman" w:hAnsi="Times New Roman" w:cs="Times New Roman"/>
          <w:sz w:val="24"/>
          <w:szCs w:val="24"/>
        </w:rPr>
        <w:t xml:space="preserve"> (t.j. nárast oproti potrebe           v roku 2011 o 212 697,05 t)</w:t>
      </w:r>
      <w:r w:rsidRPr="00E6088A">
        <w:rPr>
          <w:rFonts w:ascii="Times New Roman" w:hAnsi="Times New Roman" w:cs="Times New Roman"/>
          <w:sz w:val="24"/>
          <w:szCs w:val="24"/>
        </w:rPr>
        <w:t>.</w:t>
      </w:r>
    </w:p>
    <w:p w:rsidR="00E6088A" w:rsidRPr="00E6088A" w:rsidRDefault="00E6088A" w:rsidP="00E6088A">
      <w:pPr>
        <w:spacing w:after="0" w:line="240" w:lineRule="auto"/>
        <w:jc w:val="both"/>
        <w:rPr>
          <w:rFonts w:ascii="Times New Roman" w:hAnsi="Times New Roman" w:cs="Times New Roman"/>
          <w:sz w:val="24"/>
          <w:szCs w:val="24"/>
        </w:rPr>
      </w:pPr>
    </w:p>
    <w:p w:rsidR="008F49F9" w:rsidRDefault="00E6088A" w:rsidP="00E608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 zvýšení hrubej domácej produkcie </w:t>
      </w:r>
      <w:r w:rsidR="00FD057E">
        <w:rPr>
          <w:rFonts w:ascii="Times New Roman" w:hAnsi="Times New Roman" w:cs="Times New Roman"/>
          <w:sz w:val="24"/>
          <w:szCs w:val="24"/>
        </w:rPr>
        <w:t>hydiny na 82 503</w:t>
      </w:r>
      <w:r>
        <w:rPr>
          <w:rFonts w:ascii="Times New Roman" w:hAnsi="Times New Roman" w:cs="Times New Roman"/>
          <w:sz w:val="24"/>
          <w:szCs w:val="24"/>
        </w:rPr>
        <w:t xml:space="preserve"> t</w:t>
      </w:r>
      <w:r w:rsidR="00FD057E">
        <w:rPr>
          <w:rFonts w:ascii="Times New Roman" w:hAnsi="Times New Roman" w:cs="Times New Roman"/>
          <w:sz w:val="24"/>
          <w:szCs w:val="24"/>
        </w:rPr>
        <w:t>on</w:t>
      </w:r>
      <w:r>
        <w:rPr>
          <w:rFonts w:ascii="Times New Roman" w:hAnsi="Times New Roman" w:cs="Times New Roman"/>
          <w:sz w:val="24"/>
          <w:szCs w:val="24"/>
        </w:rPr>
        <w:t xml:space="preserve"> jatočnej hmotnosti (zvýšenie o 14,19% v porovnaní s rokom 2011) </w:t>
      </w:r>
      <w:r w:rsidR="00FD057E">
        <w:rPr>
          <w:rFonts w:ascii="Times New Roman" w:hAnsi="Times New Roman" w:cs="Times New Roman"/>
          <w:sz w:val="24"/>
          <w:szCs w:val="24"/>
        </w:rPr>
        <w:t xml:space="preserve">a </w:t>
      </w:r>
      <w:r>
        <w:rPr>
          <w:rFonts w:ascii="Times New Roman" w:hAnsi="Times New Roman" w:cs="Times New Roman"/>
          <w:sz w:val="24"/>
          <w:szCs w:val="24"/>
        </w:rPr>
        <w:t xml:space="preserve">pri priemernej spotrebe </w:t>
      </w:r>
      <w:r w:rsidR="00FD057E">
        <w:rPr>
          <w:rFonts w:ascii="Times New Roman" w:hAnsi="Times New Roman" w:cs="Times New Roman"/>
          <w:sz w:val="24"/>
          <w:szCs w:val="24"/>
        </w:rPr>
        <w:t>kŕmnych zmesí</w:t>
      </w:r>
      <w:r>
        <w:rPr>
          <w:rFonts w:ascii="Times New Roman" w:hAnsi="Times New Roman" w:cs="Times New Roman"/>
          <w:sz w:val="24"/>
          <w:szCs w:val="24"/>
        </w:rPr>
        <w:t xml:space="preserve"> na </w:t>
      </w:r>
      <w:r w:rsidR="00FD057E">
        <w:rPr>
          <w:rFonts w:ascii="Times New Roman" w:hAnsi="Times New Roman" w:cs="Times New Roman"/>
          <w:sz w:val="24"/>
          <w:szCs w:val="24"/>
        </w:rPr>
        <w:t xml:space="preserve">1 </w:t>
      </w:r>
      <w:r>
        <w:rPr>
          <w:rFonts w:ascii="Times New Roman" w:hAnsi="Times New Roman" w:cs="Times New Roman"/>
          <w:sz w:val="24"/>
          <w:szCs w:val="24"/>
        </w:rPr>
        <w:t xml:space="preserve">kg </w:t>
      </w:r>
      <w:r>
        <w:rPr>
          <w:rFonts w:ascii="Times New Roman" w:hAnsi="Times New Roman" w:cs="Times New Roman"/>
          <w:sz w:val="24"/>
          <w:szCs w:val="24"/>
        </w:rPr>
        <w:lastRenderedPageBreak/>
        <w:t xml:space="preserve">prírastku </w:t>
      </w:r>
      <w:r w:rsidR="00FD057E">
        <w:rPr>
          <w:rFonts w:ascii="Times New Roman" w:hAnsi="Times New Roman" w:cs="Times New Roman"/>
          <w:sz w:val="24"/>
          <w:szCs w:val="24"/>
        </w:rPr>
        <w:t xml:space="preserve">v objeme </w:t>
      </w:r>
      <w:r>
        <w:rPr>
          <w:rFonts w:ascii="Times New Roman" w:hAnsi="Times New Roman" w:cs="Times New Roman"/>
          <w:sz w:val="24"/>
          <w:szCs w:val="24"/>
        </w:rPr>
        <w:t>1,79 kg</w:t>
      </w:r>
      <w:r w:rsidR="00FD057E">
        <w:rPr>
          <w:rFonts w:ascii="Times New Roman" w:hAnsi="Times New Roman" w:cs="Times New Roman"/>
          <w:sz w:val="24"/>
          <w:szCs w:val="24"/>
        </w:rPr>
        <w:t>,</w:t>
      </w:r>
      <w:r>
        <w:rPr>
          <w:rFonts w:ascii="Times New Roman" w:hAnsi="Times New Roman" w:cs="Times New Roman"/>
          <w:sz w:val="24"/>
          <w:szCs w:val="24"/>
        </w:rPr>
        <w:t xml:space="preserve"> je ročná potreba kŕmnych zmesí pre </w:t>
      </w:r>
      <w:proofErr w:type="spellStart"/>
      <w:r>
        <w:rPr>
          <w:rFonts w:ascii="Times New Roman" w:hAnsi="Times New Roman" w:cs="Times New Roman"/>
          <w:sz w:val="24"/>
          <w:szCs w:val="24"/>
        </w:rPr>
        <w:t>brojlerové</w:t>
      </w:r>
      <w:proofErr w:type="spellEnd"/>
      <w:r>
        <w:rPr>
          <w:rFonts w:ascii="Times New Roman" w:hAnsi="Times New Roman" w:cs="Times New Roman"/>
          <w:sz w:val="24"/>
          <w:szCs w:val="24"/>
        </w:rPr>
        <w:t xml:space="preserve"> kurčatá v celkovom objeme 202 302 t. Za predpokladu priemerného počtu nosníc 6 200 tis. ks a priemernej dennej spotrebe kŕmnych zmesí na nosnicu na úrovni 0,115 kg je možné predpokladať spotrebu kŕmnych zmesí pre nosnice na úrovni </w:t>
      </w:r>
      <w:r w:rsidRPr="00066BE8">
        <w:rPr>
          <w:rFonts w:ascii="Times New Roman" w:hAnsi="Times New Roman" w:cs="Times New Roman"/>
          <w:sz w:val="24"/>
          <w:szCs w:val="24"/>
        </w:rPr>
        <w:t>260</w:t>
      </w:r>
      <w:r>
        <w:rPr>
          <w:rFonts w:ascii="Times New Roman" w:hAnsi="Times New Roman" w:cs="Times New Roman"/>
          <w:sz w:val="24"/>
          <w:szCs w:val="24"/>
        </w:rPr>
        <w:t> </w:t>
      </w:r>
      <w:r w:rsidRPr="00066BE8">
        <w:rPr>
          <w:rFonts w:ascii="Times New Roman" w:hAnsi="Times New Roman" w:cs="Times New Roman"/>
          <w:sz w:val="24"/>
          <w:szCs w:val="24"/>
        </w:rPr>
        <w:t>400</w:t>
      </w:r>
      <w:r>
        <w:rPr>
          <w:rFonts w:ascii="Times New Roman" w:hAnsi="Times New Roman" w:cs="Times New Roman"/>
          <w:sz w:val="24"/>
          <w:szCs w:val="24"/>
        </w:rPr>
        <w:t xml:space="preserve"> t.</w:t>
      </w:r>
      <w:r w:rsidR="005B311B">
        <w:rPr>
          <w:rFonts w:ascii="Times New Roman" w:hAnsi="Times New Roman" w:cs="Times New Roman"/>
          <w:sz w:val="24"/>
          <w:szCs w:val="24"/>
        </w:rPr>
        <w:t xml:space="preserve"> Celková ročná potreba kŕmnych zmesí pre početnosť hydiny v plánovaných parametroch produkcie je 462 702 t (t.j. nárast oproti potrebe v roku 2011 o 57 485,13 t).</w:t>
      </w:r>
    </w:p>
    <w:p w:rsidR="00FD057E" w:rsidRDefault="00FD057E" w:rsidP="00E6088A">
      <w:pPr>
        <w:spacing w:after="0" w:line="240" w:lineRule="auto"/>
        <w:jc w:val="both"/>
        <w:rPr>
          <w:rFonts w:ascii="Times New Roman" w:hAnsi="Times New Roman" w:cs="Times New Roman"/>
          <w:sz w:val="24"/>
          <w:szCs w:val="24"/>
        </w:rPr>
      </w:pPr>
    </w:p>
    <w:p w:rsidR="002A4352" w:rsidRDefault="005B311B" w:rsidP="00E608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Dodatočná</w:t>
      </w:r>
      <w:r w:rsidR="002A4352">
        <w:rPr>
          <w:rFonts w:ascii="Times New Roman" w:hAnsi="Times New Roman" w:cs="Times New Roman"/>
          <w:sz w:val="24"/>
          <w:szCs w:val="24"/>
        </w:rPr>
        <w:t xml:space="preserve"> potreba kŕmnych zmesí </w:t>
      </w:r>
      <w:r>
        <w:rPr>
          <w:rFonts w:ascii="Times New Roman" w:hAnsi="Times New Roman" w:cs="Times New Roman"/>
          <w:sz w:val="24"/>
          <w:szCs w:val="24"/>
        </w:rPr>
        <w:t xml:space="preserve">v súlade s identifikovanými scenármi vývoja v živočíšnej výrobe predstavuje objem </w:t>
      </w:r>
      <w:r w:rsidR="000B558C">
        <w:rPr>
          <w:rFonts w:ascii="Times New Roman" w:hAnsi="Times New Roman" w:cs="Times New Roman"/>
          <w:sz w:val="24"/>
          <w:szCs w:val="24"/>
        </w:rPr>
        <w:t>270 182,18</w:t>
      </w:r>
      <w:r w:rsidR="003B499A">
        <w:rPr>
          <w:rFonts w:ascii="Times New Roman" w:hAnsi="Times New Roman" w:cs="Times New Roman"/>
          <w:sz w:val="24"/>
          <w:szCs w:val="24"/>
        </w:rPr>
        <w:t xml:space="preserve"> t</w:t>
      </w:r>
      <w:r w:rsidR="006F5DAC">
        <w:rPr>
          <w:rFonts w:ascii="Times New Roman" w:hAnsi="Times New Roman" w:cs="Times New Roman"/>
          <w:sz w:val="24"/>
          <w:szCs w:val="24"/>
        </w:rPr>
        <w:t>.</w:t>
      </w:r>
    </w:p>
    <w:p w:rsidR="002A4352" w:rsidRDefault="002A4352" w:rsidP="00E6088A">
      <w:pPr>
        <w:spacing w:after="0" w:line="240" w:lineRule="auto"/>
        <w:jc w:val="both"/>
        <w:rPr>
          <w:rFonts w:ascii="Times New Roman" w:hAnsi="Times New Roman" w:cs="Times New Roman"/>
          <w:sz w:val="24"/>
          <w:szCs w:val="24"/>
        </w:rPr>
      </w:pPr>
    </w:p>
    <w:p w:rsidR="001E63F7" w:rsidRDefault="001E63F7" w:rsidP="001E63F7">
      <w:pPr>
        <w:spacing w:after="0" w:line="240" w:lineRule="auto"/>
        <w:jc w:val="both"/>
        <w:rPr>
          <w:rFonts w:ascii="Times New Roman" w:hAnsi="Times New Roman" w:cs="Times New Roman"/>
          <w:sz w:val="24"/>
          <w:szCs w:val="24"/>
        </w:rPr>
      </w:pPr>
      <w:r w:rsidRPr="002A4352">
        <w:rPr>
          <w:rFonts w:ascii="Times New Roman" w:hAnsi="Times New Roman" w:cs="Times New Roman"/>
          <w:sz w:val="24"/>
          <w:szCs w:val="24"/>
        </w:rPr>
        <w:t>V súlade s </w:t>
      </w:r>
      <w:proofErr w:type="spellStart"/>
      <w:r w:rsidRPr="002A4352">
        <w:rPr>
          <w:rFonts w:ascii="Times New Roman" w:hAnsi="Times New Roman" w:cs="Times New Roman"/>
          <w:sz w:val="24"/>
          <w:szCs w:val="24"/>
        </w:rPr>
        <w:t>nápočtom</w:t>
      </w:r>
      <w:proofErr w:type="spellEnd"/>
      <w:r w:rsidRPr="002A4352">
        <w:rPr>
          <w:rFonts w:ascii="Times New Roman" w:hAnsi="Times New Roman" w:cs="Times New Roman"/>
          <w:sz w:val="24"/>
          <w:szCs w:val="24"/>
        </w:rPr>
        <w:t xml:space="preserve"> potreby kŕmnych zmesí je dôležité kalkulovať aj s najviac zastúpenými</w:t>
      </w:r>
      <w:r>
        <w:rPr>
          <w:rFonts w:ascii="Times New Roman" w:hAnsi="Times New Roman" w:cs="Times New Roman"/>
          <w:sz w:val="24"/>
          <w:szCs w:val="24"/>
        </w:rPr>
        <w:t xml:space="preserve"> komoditami v kŕmnych zmesiach (viď tab. č.27).</w:t>
      </w:r>
    </w:p>
    <w:p w:rsidR="001E63F7" w:rsidRDefault="001E63F7" w:rsidP="001E63F7">
      <w:pPr>
        <w:spacing w:after="0" w:line="240" w:lineRule="auto"/>
        <w:jc w:val="both"/>
        <w:rPr>
          <w:rFonts w:ascii="Times New Roman" w:hAnsi="Times New Roman" w:cs="Times New Roman"/>
          <w:sz w:val="24"/>
          <w:szCs w:val="24"/>
        </w:rPr>
      </w:pPr>
    </w:p>
    <w:p w:rsidR="001E63F7" w:rsidRPr="002A4352" w:rsidRDefault="006316DB" w:rsidP="001E63F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č.30</w:t>
      </w:r>
      <w:r w:rsidR="001E63F7" w:rsidRPr="00A855A4">
        <w:rPr>
          <w:rFonts w:ascii="Times New Roman" w:hAnsi="Times New Roman" w:cs="Times New Roman"/>
          <w:sz w:val="20"/>
          <w:szCs w:val="20"/>
        </w:rPr>
        <w:t xml:space="preserve">: </w:t>
      </w:r>
      <w:r w:rsidR="001E63F7">
        <w:rPr>
          <w:rFonts w:ascii="Times New Roman" w:hAnsi="Times New Roman" w:cs="Times New Roman"/>
          <w:sz w:val="20"/>
          <w:szCs w:val="20"/>
        </w:rPr>
        <w:t>Vyčíslenie dodatočnej potreby najviac zastúpených komodít v kŕmnych zmesiach</w:t>
      </w:r>
    </w:p>
    <w:tbl>
      <w:tblPr>
        <w:tblW w:w="9081" w:type="dxa"/>
        <w:tblInd w:w="61" w:type="dxa"/>
        <w:tblCellMar>
          <w:left w:w="70" w:type="dxa"/>
          <w:right w:w="70" w:type="dxa"/>
        </w:tblCellMar>
        <w:tblLook w:val="04A0" w:firstRow="1" w:lastRow="0" w:firstColumn="1" w:lastColumn="0" w:noHBand="0" w:noVBand="1"/>
      </w:tblPr>
      <w:tblGrid>
        <w:gridCol w:w="1569"/>
        <w:gridCol w:w="1275"/>
        <w:gridCol w:w="1134"/>
        <w:gridCol w:w="1134"/>
        <w:gridCol w:w="1276"/>
        <w:gridCol w:w="1276"/>
        <w:gridCol w:w="1417"/>
      </w:tblGrid>
      <w:tr w:rsidR="001E63F7" w:rsidRPr="003C246C" w:rsidTr="00823940">
        <w:trPr>
          <w:trHeight w:val="735"/>
        </w:trPr>
        <w:tc>
          <w:tcPr>
            <w:tcW w:w="1569" w:type="dxa"/>
            <w:tcBorders>
              <w:top w:val="nil"/>
              <w:left w:val="nil"/>
              <w:bottom w:val="single" w:sz="8" w:space="0" w:color="auto"/>
              <w:right w:val="single" w:sz="8" w:space="0" w:color="auto"/>
            </w:tcBorders>
            <w:shd w:val="clear" w:color="000000" w:fill="D9D9D9"/>
            <w:hideMark/>
          </w:tcPr>
          <w:p w:rsidR="001E63F7" w:rsidRPr="003C246C" w:rsidRDefault="001E63F7" w:rsidP="00823940">
            <w:pPr>
              <w:spacing w:after="0" w:line="240" w:lineRule="auto"/>
              <w:rPr>
                <w:rFonts w:ascii="Times New Roman" w:eastAsia="Times New Roman" w:hAnsi="Times New Roman" w:cs="Times New Roman"/>
                <w:color w:val="000000"/>
                <w:sz w:val="18"/>
                <w:szCs w:val="18"/>
              </w:rPr>
            </w:pPr>
            <w:r w:rsidRPr="003C246C">
              <w:rPr>
                <w:rFonts w:ascii="Times New Roman" w:eastAsia="Times New Roman" w:hAnsi="Times New Roman" w:cs="Times New Roman"/>
                <w:color w:val="000000"/>
                <w:sz w:val="18"/>
                <w:szCs w:val="18"/>
              </w:rPr>
              <w:t> </w:t>
            </w:r>
          </w:p>
        </w:tc>
        <w:tc>
          <w:tcPr>
            <w:tcW w:w="1275" w:type="dxa"/>
            <w:tcBorders>
              <w:top w:val="nil"/>
              <w:left w:val="nil"/>
              <w:bottom w:val="single" w:sz="8" w:space="0" w:color="auto"/>
              <w:right w:val="nil"/>
            </w:tcBorders>
            <w:shd w:val="clear" w:color="000000" w:fill="D9D9D9"/>
            <w:hideMark/>
          </w:tcPr>
          <w:p w:rsidR="001E63F7" w:rsidRPr="003C246C" w:rsidRDefault="001E63F7" w:rsidP="00823940">
            <w:pPr>
              <w:spacing w:after="0" w:line="240" w:lineRule="auto"/>
              <w:jc w:val="center"/>
              <w:rPr>
                <w:rFonts w:ascii="Times New Roman" w:eastAsia="Times New Roman" w:hAnsi="Times New Roman" w:cs="Times New Roman"/>
                <w:b/>
                <w:bCs/>
                <w:color w:val="000000"/>
                <w:sz w:val="18"/>
                <w:szCs w:val="18"/>
              </w:rPr>
            </w:pPr>
            <w:r w:rsidRPr="003C246C">
              <w:rPr>
                <w:rFonts w:ascii="Times New Roman" w:eastAsia="Times New Roman" w:hAnsi="Times New Roman" w:cs="Times New Roman"/>
                <w:b/>
                <w:bCs/>
                <w:color w:val="000000"/>
                <w:sz w:val="18"/>
                <w:szCs w:val="18"/>
              </w:rPr>
              <w:t>% zastúpenie obilnín v kŕmnych zmesiach</w:t>
            </w:r>
          </w:p>
        </w:tc>
        <w:tc>
          <w:tcPr>
            <w:tcW w:w="1134" w:type="dxa"/>
            <w:tcBorders>
              <w:top w:val="nil"/>
              <w:left w:val="nil"/>
              <w:bottom w:val="single" w:sz="8" w:space="0" w:color="auto"/>
              <w:right w:val="nil"/>
            </w:tcBorders>
            <w:shd w:val="clear" w:color="000000" w:fill="D9D9D9"/>
            <w:hideMark/>
          </w:tcPr>
          <w:p w:rsidR="001E63F7" w:rsidRPr="003C246C" w:rsidRDefault="001E63F7" w:rsidP="00823940">
            <w:pPr>
              <w:spacing w:after="0" w:line="240" w:lineRule="auto"/>
              <w:jc w:val="center"/>
              <w:rPr>
                <w:rFonts w:ascii="Times New Roman" w:eastAsia="Times New Roman" w:hAnsi="Times New Roman" w:cs="Times New Roman"/>
                <w:b/>
                <w:bCs/>
                <w:color w:val="000000"/>
                <w:sz w:val="18"/>
                <w:szCs w:val="18"/>
              </w:rPr>
            </w:pPr>
            <w:r w:rsidRPr="003C246C">
              <w:rPr>
                <w:rFonts w:ascii="Times New Roman" w:eastAsia="Times New Roman" w:hAnsi="Times New Roman" w:cs="Times New Roman"/>
                <w:b/>
                <w:bCs/>
                <w:color w:val="000000"/>
                <w:sz w:val="18"/>
                <w:szCs w:val="18"/>
              </w:rPr>
              <w:t>Súčasná spotreba v tonách za rok</w:t>
            </w:r>
          </w:p>
        </w:tc>
        <w:tc>
          <w:tcPr>
            <w:tcW w:w="1134" w:type="dxa"/>
            <w:tcBorders>
              <w:top w:val="nil"/>
              <w:left w:val="nil"/>
              <w:bottom w:val="single" w:sz="8" w:space="0" w:color="auto"/>
              <w:right w:val="nil"/>
            </w:tcBorders>
            <w:shd w:val="clear" w:color="000000" w:fill="D9D9D9"/>
            <w:hideMark/>
          </w:tcPr>
          <w:p w:rsidR="001E63F7" w:rsidRPr="003C246C" w:rsidRDefault="001E63F7" w:rsidP="00823940">
            <w:pPr>
              <w:spacing w:after="0" w:line="240" w:lineRule="auto"/>
              <w:jc w:val="center"/>
              <w:rPr>
                <w:rFonts w:ascii="Times New Roman" w:eastAsia="Times New Roman" w:hAnsi="Times New Roman" w:cs="Times New Roman"/>
                <w:b/>
                <w:bCs/>
                <w:color w:val="000000"/>
                <w:sz w:val="18"/>
                <w:szCs w:val="18"/>
              </w:rPr>
            </w:pPr>
            <w:r w:rsidRPr="003C246C">
              <w:rPr>
                <w:rFonts w:ascii="Times New Roman" w:eastAsia="Times New Roman" w:hAnsi="Times New Roman" w:cs="Times New Roman"/>
                <w:b/>
                <w:bCs/>
                <w:color w:val="000000"/>
                <w:sz w:val="18"/>
                <w:szCs w:val="18"/>
              </w:rPr>
              <w:t>Dodatočná potreba v tonách za rok</w:t>
            </w:r>
          </w:p>
        </w:tc>
        <w:tc>
          <w:tcPr>
            <w:tcW w:w="1276" w:type="dxa"/>
            <w:tcBorders>
              <w:top w:val="nil"/>
              <w:left w:val="nil"/>
              <w:bottom w:val="single" w:sz="8" w:space="0" w:color="auto"/>
              <w:right w:val="nil"/>
            </w:tcBorders>
            <w:shd w:val="clear" w:color="000000" w:fill="D9D9D9"/>
            <w:hideMark/>
          </w:tcPr>
          <w:p w:rsidR="001E63F7" w:rsidRPr="003C246C" w:rsidRDefault="001E63F7" w:rsidP="00823940">
            <w:pPr>
              <w:spacing w:after="0" w:line="240" w:lineRule="auto"/>
              <w:jc w:val="center"/>
              <w:rPr>
                <w:rFonts w:ascii="Times New Roman" w:eastAsia="Times New Roman" w:hAnsi="Times New Roman" w:cs="Times New Roman"/>
                <w:b/>
                <w:bCs/>
                <w:color w:val="000000"/>
                <w:sz w:val="18"/>
                <w:szCs w:val="18"/>
              </w:rPr>
            </w:pPr>
            <w:r w:rsidRPr="003C246C">
              <w:rPr>
                <w:rFonts w:ascii="Times New Roman" w:eastAsia="Times New Roman" w:hAnsi="Times New Roman" w:cs="Times New Roman"/>
                <w:b/>
                <w:bCs/>
                <w:color w:val="000000"/>
                <w:sz w:val="18"/>
                <w:szCs w:val="18"/>
              </w:rPr>
              <w:t>Plánovaná spotreba v tonách za rok</w:t>
            </w:r>
          </w:p>
        </w:tc>
        <w:tc>
          <w:tcPr>
            <w:tcW w:w="1276" w:type="dxa"/>
            <w:tcBorders>
              <w:top w:val="nil"/>
              <w:left w:val="nil"/>
              <w:bottom w:val="single" w:sz="8" w:space="0" w:color="auto"/>
              <w:right w:val="nil"/>
            </w:tcBorders>
            <w:shd w:val="clear" w:color="000000" w:fill="D9D9D9"/>
            <w:hideMark/>
          </w:tcPr>
          <w:p w:rsidR="001E63F7" w:rsidRPr="003C246C" w:rsidRDefault="001E63F7" w:rsidP="00823940">
            <w:pPr>
              <w:spacing w:after="0" w:line="240" w:lineRule="auto"/>
              <w:jc w:val="center"/>
              <w:rPr>
                <w:rFonts w:ascii="Times New Roman" w:eastAsia="Times New Roman" w:hAnsi="Times New Roman" w:cs="Times New Roman"/>
                <w:b/>
                <w:bCs/>
                <w:color w:val="000000"/>
                <w:sz w:val="18"/>
                <w:szCs w:val="18"/>
              </w:rPr>
            </w:pPr>
            <w:r w:rsidRPr="003C246C">
              <w:rPr>
                <w:rFonts w:ascii="Times New Roman" w:eastAsia="Times New Roman" w:hAnsi="Times New Roman" w:cs="Times New Roman"/>
                <w:b/>
                <w:bCs/>
                <w:color w:val="000000"/>
                <w:sz w:val="18"/>
                <w:szCs w:val="18"/>
              </w:rPr>
              <w:t>Súčasná produkcia v</w:t>
            </w:r>
            <w:r>
              <w:rPr>
                <w:rFonts w:ascii="Times New Roman" w:eastAsia="Times New Roman" w:hAnsi="Times New Roman" w:cs="Times New Roman"/>
                <w:b/>
                <w:bCs/>
                <w:color w:val="000000"/>
                <w:sz w:val="18"/>
                <w:szCs w:val="18"/>
              </w:rPr>
              <w:t> </w:t>
            </w:r>
            <w:r w:rsidRPr="003C246C">
              <w:rPr>
                <w:rFonts w:ascii="Times New Roman" w:eastAsia="Times New Roman" w:hAnsi="Times New Roman" w:cs="Times New Roman"/>
                <w:b/>
                <w:bCs/>
                <w:color w:val="000000"/>
                <w:sz w:val="18"/>
                <w:szCs w:val="18"/>
              </w:rPr>
              <w:t>tonách</w:t>
            </w:r>
            <w:r>
              <w:rPr>
                <w:rFonts w:ascii="Times New Roman" w:eastAsia="Times New Roman" w:hAnsi="Times New Roman" w:cs="Times New Roman"/>
                <w:b/>
                <w:bCs/>
                <w:color w:val="000000"/>
                <w:sz w:val="18"/>
                <w:szCs w:val="18"/>
              </w:rPr>
              <w:t xml:space="preserve"> za rok</w:t>
            </w:r>
          </w:p>
        </w:tc>
        <w:tc>
          <w:tcPr>
            <w:tcW w:w="1417" w:type="dxa"/>
            <w:tcBorders>
              <w:top w:val="nil"/>
              <w:left w:val="nil"/>
              <w:bottom w:val="single" w:sz="8" w:space="0" w:color="auto"/>
              <w:right w:val="nil"/>
            </w:tcBorders>
            <w:shd w:val="clear" w:color="000000" w:fill="D9D9D9"/>
            <w:hideMark/>
          </w:tcPr>
          <w:p w:rsidR="001E63F7" w:rsidRPr="003C246C" w:rsidRDefault="001E63F7" w:rsidP="00823940">
            <w:pPr>
              <w:spacing w:after="0" w:line="240" w:lineRule="auto"/>
              <w:jc w:val="center"/>
              <w:rPr>
                <w:rFonts w:ascii="Times New Roman" w:eastAsia="Times New Roman" w:hAnsi="Times New Roman" w:cs="Times New Roman"/>
                <w:b/>
                <w:bCs/>
                <w:color w:val="000000"/>
                <w:sz w:val="18"/>
                <w:szCs w:val="18"/>
              </w:rPr>
            </w:pPr>
            <w:r w:rsidRPr="003C246C">
              <w:rPr>
                <w:rFonts w:ascii="Times New Roman" w:eastAsia="Times New Roman" w:hAnsi="Times New Roman" w:cs="Times New Roman"/>
                <w:b/>
                <w:bCs/>
                <w:color w:val="000000"/>
                <w:sz w:val="18"/>
                <w:szCs w:val="18"/>
              </w:rPr>
              <w:t>% sebestačnosti na základe plánovanej spotreby</w:t>
            </w:r>
          </w:p>
        </w:tc>
      </w:tr>
      <w:tr w:rsidR="001E63F7" w:rsidRPr="003C246C" w:rsidTr="00823940">
        <w:trPr>
          <w:trHeight w:val="300"/>
        </w:trPr>
        <w:tc>
          <w:tcPr>
            <w:tcW w:w="1569" w:type="dxa"/>
            <w:tcBorders>
              <w:top w:val="nil"/>
              <w:left w:val="nil"/>
              <w:bottom w:val="nil"/>
              <w:right w:val="single" w:sz="8" w:space="0" w:color="auto"/>
            </w:tcBorders>
            <w:shd w:val="clear" w:color="auto" w:fill="auto"/>
            <w:vAlign w:val="bottom"/>
          </w:tcPr>
          <w:p w:rsidR="001E63F7" w:rsidRPr="00557702" w:rsidRDefault="001E63F7" w:rsidP="00823940">
            <w:pPr>
              <w:spacing w:after="0" w:line="240" w:lineRule="auto"/>
              <w:rPr>
                <w:rFonts w:ascii="Times New Roman" w:eastAsia="Times New Roman" w:hAnsi="Times New Roman" w:cs="Times New Roman"/>
                <w:b/>
                <w:bCs/>
                <w:sz w:val="24"/>
                <w:szCs w:val="24"/>
                <w:vertAlign w:val="subscript"/>
              </w:rPr>
            </w:pPr>
            <w:r w:rsidRPr="00557702">
              <w:rPr>
                <w:rFonts w:ascii="Times New Roman" w:eastAsia="Times New Roman" w:hAnsi="Times New Roman" w:cs="Times New Roman"/>
                <w:b/>
                <w:bCs/>
                <w:sz w:val="24"/>
                <w:szCs w:val="24"/>
                <w:vertAlign w:val="subscript"/>
              </w:rPr>
              <w:t>Pšenica na kŕmenie</w:t>
            </w:r>
          </w:p>
        </w:tc>
        <w:tc>
          <w:tcPr>
            <w:tcW w:w="1275" w:type="dxa"/>
            <w:tcBorders>
              <w:top w:val="nil"/>
              <w:left w:val="nil"/>
              <w:bottom w:val="nil"/>
              <w:right w:val="nil"/>
            </w:tcBorders>
            <w:shd w:val="clear" w:color="auto" w:fill="auto"/>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45,00%</w:t>
            </w:r>
          </w:p>
        </w:tc>
        <w:tc>
          <w:tcPr>
            <w:tcW w:w="1134" w:type="dxa"/>
            <w:tcBorders>
              <w:top w:val="nil"/>
              <w:left w:val="nil"/>
              <w:bottom w:val="nil"/>
              <w:right w:val="nil"/>
            </w:tcBorders>
            <w:shd w:val="clear" w:color="auto" w:fill="auto"/>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270 000,00</w:t>
            </w:r>
          </w:p>
        </w:tc>
        <w:tc>
          <w:tcPr>
            <w:tcW w:w="1134" w:type="dxa"/>
            <w:tcBorders>
              <w:top w:val="nil"/>
              <w:left w:val="nil"/>
              <w:bottom w:val="nil"/>
              <w:right w:val="nil"/>
            </w:tcBorders>
            <w:shd w:val="clear" w:color="auto" w:fill="auto"/>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121 581,98</w:t>
            </w:r>
          </w:p>
        </w:tc>
        <w:tc>
          <w:tcPr>
            <w:tcW w:w="1276" w:type="dxa"/>
            <w:tcBorders>
              <w:top w:val="nil"/>
              <w:left w:val="nil"/>
              <w:bottom w:val="nil"/>
              <w:right w:val="nil"/>
            </w:tcBorders>
            <w:shd w:val="clear" w:color="auto" w:fill="auto"/>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391 581,98</w:t>
            </w:r>
          </w:p>
        </w:tc>
        <w:tc>
          <w:tcPr>
            <w:tcW w:w="1276" w:type="dxa"/>
            <w:tcBorders>
              <w:top w:val="nil"/>
              <w:left w:val="nil"/>
              <w:bottom w:val="nil"/>
              <w:right w:val="nil"/>
            </w:tcBorders>
            <w:shd w:val="clear" w:color="auto" w:fill="auto"/>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285 686,35</w:t>
            </w:r>
          </w:p>
        </w:tc>
        <w:tc>
          <w:tcPr>
            <w:tcW w:w="1417" w:type="dxa"/>
            <w:tcBorders>
              <w:top w:val="nil"/>
              <w:left w:val="nil"/>
              <w:bottom w:val="nil"/>
              <w:right w:val="nil"/>
            </w:tcBorders>
            <w:shd w:val="clear" w:color="auto" w:fill="auto"/>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72,96%</w:t>
            </w:r>
          </w:p>
        </w:tc>
      </w:tr>
      <w:tr w:rsidR="001E63F7" w:rsidRPr="003C246C" w:rsidTr="00823940">
        <w:trPr>
          <w:trHeight w:val="300"/>
        </w:trPr>
        <w:tc>
          <w:tcPr>
            <w:tcW w:w="1569" w:type="dxa"/>
            <w:tcBorders>
              <w:top w:val="nil"/>
              <w:left w:val="nil"/>
              <w:bottom w:val="nil"/>
              <w:right w:val="single" w:sz="8" w:space="0" w:color="auto"/>
            </w:tcBorders>
            <w:shd w:val="clear" w:color="000000" w:fill="F2F2F2"/>
            <w:vAlign w:val="bottom"/>
          </w:tcPr>
          <w:p w:rsidR="001E63F7" w:rsidRPr="00557702" w:rsidRDefault="001E63F7" w:rsidP="00823940">
            <w:pPr>
              <w:spacing w:after="0" w:line="240" w:lineRule="auto"/>
              <w:rPr>
                <w:rFonts w:ascii="Times New Roman" w:eastAsia="Times New Roman" w:hAnsi="Times New Roman" w:cs="Times New Roman"/>
                <w:b/>
                <w:bCs/>
                <w:sz w:val="24"/>
                <w:szCs w:val="24"/>
                <w:vertAlign w:val="subscript"/>
              </w:rPr>
            </w:pPr>
            <w:r w:rsidRPr="00557702">
              <w:rPr>
                <w:rFonts w:ascii="Times New Roman" w:eastAsia="Times New Roman" w:hAnsi="Times New Roman" w:cs="Times New Roman"/>
                <w:b/>
                <w:bCs/>
                <w:sz w:val="24"/>
                <w:szCs w:val="24"/>
                <w:vertAlign w:val="subscript"/>
              </w:rPr>
              <w:t>Jačmeň na kŕmenie</w:t>
            </w:r>
          </w:p>
        </w:tc>
        <w:tc>
          <w:tcPr>
            <w:tcW w:w="1275" w:type="dxa"/>
            <w:tcBorders>
              <w:top w:val="nil"/>
              <w:left w:val="nil"/>
              <w:bottom w:val="nil"/>
              <w:right w:val="nil"/>
            </w:tcBorders>
            <w:shd w:val="clear" w:color="000000" w:fill="F2F2F2"/>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22,00%</w:t>
            </w:r>
          </w:p>
        </w:tc>
        <w:tc>
          <w:tcPr>
            <w:tcW w:w="1134" w:type="dxa"/>
            <w:tcBorders>
              <w:top w:val="nil"/>
              <w:left w:val="nil"/>
              <w:bottom w:val="nil"/>
              <w:right w:val="nil"/>
            </w:tcBorders>
            <w:shd w:val="clear" w:color="000000" w:fill="F2F2F2"/>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120 000,00</w:t>
            </w:r>
          </w:p>
        </w:tc>
        <w:tc>
          <w:tcPr>
            <w:tcW w:w="1134" w:type="dxa"/>
            <w:tcBorders>
              <w:top w:val="nil"/>
              <w:left w:val="nil"/>
              <w:bottom w:val="nil"/>
              <w:right w:val="nil"/>
            </w:tcBorders>
            <w:shd w:val="clear" w:color="000000" w:fill="F2F2F2"/>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59 440,08</w:t>
            </w:r>
          </w:p>
        </w:tc>
        <w:tc>
          <w:tcPr>
            <w:tcW w:w="1276" w:type="dxa"/>
            <w:tcBorders>
              <w:top w:val="nil"/>
              <w:left w:val="nil"/>
              <w:bottom w:val="nil"/>
              <w:right w:val="nil"/>
            </w:tcBorders>
            <w:shd w:val="clear" w:color="000000" w:fill="F2F2F2"/>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179 440,08</w:t>
            </w:r>
          </w:p>
        </w:tc>
        <w:tc>
          <w:tcPr>
            <w:tcW w:w="1276" w:type="dxa"/>
            <w:tcBorders>
              <w:top w:val="nil"/>
              <w:left w:val="nil"/>
              <w:bottom w:val="nil"/>
              <w:right w:val="nil"/>
            </w:tcBorders>
            <w:shd w:val="clear" w:color="000000" w:fill="F2F2F2"/>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128 152,97</w:t>
            </w:r>
          </w:p>
        </w:tc>
        <w:tc>
          <w:tcPr>
            <w:tcW w:w="1417" w:type="dxa"/>
            <w:tcBorders>
              <w:top w:val="nil"/>
              <w:left w:val="nil"/>
              <w:bottom w:val="nil"/>
              <w:right w:val="nil"/>
            </w:tcBorders>
            <w:shd w:val="clear" w:color="000000" w:fill="F2F2F2"/>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71,42%</w:t>
            </w:r>
          </w:p>
        </w:tc>
      </w:tr>
      <w:tr w:rsidR="001E63F7" w:rsidRPr="003C246C" w:rsidTr="00823940">
        <w:trPr>
          <w:trHeight w:val="300"/>
        </w:trPr>
        <w:tc>
          <w:tcPr>
            <w:tcW w:w="1569" w:type="dxa"/>
            <w:tcBorders>
              <w:top w:val="nil"/>
              <w:left w:val="nil"/>
              <w:bottom w:val="nil"/>
              <w:right w:val="single" w:sz="8" w:space="0" w:color="auto"/>
            </w:tcBorders>
            <w:shd w:val="clear" w:color="auto" w:fill="auto"/>
            <w:vAlign w:val="bottom"/>
          </w:tcPr>
          <w:p w:rsidR="001E63F7" w:rsidRPr="00557702" w:rsidRDefault="001E63F7" w:rsidP="00823940">
            <w:pPr>
              <w:spacing w:after="0" w:line="240" w:lineRule="auto"/>
              <w:rPr>
                <w:rFonts w:ascii="Times New Roman" w:eastAsia="Times New Roman" w:hAnsi="Times New Roman" w:cs="Times New Roman"/>
                <w:b/>
                <w:bCs/>
                <w:sz w:val="24"/>
                <w:szCs w:val="24"/>
                <w:vertAlign w:val="subscript"/>
              </w:rPr>
            </w:pPr>
            <w:r w:rsidRPr="00557702">
              <w:rPr>
                <w:rFonts w:ascii="Times New Roman" w:eastAsia="Times New Roman" w:hAnsi="Times New Roman" w:cs="Times New Roman"/>
                <w:b/>
                <w:bCs/>
                <w:sz w:val="24"/>
                <w:szCs w:val="24"/>
                <w:vertAlign w:val="subscript"/>
              </w:rPr>
              <w:t>Ovos na kŕmenie</w:t>
            </w:r>
          </w:p>
        </w:tc>
        <w:tc>
          <w:tcPr>
            <w:tcW w:w="1275" w:type="dxa"/>
            <w:tcBorders>
              <w:top w:val="nil"/>
              <w:left w:val="nil"/>
              <w:bottom w:val="nil"/>
              <w:right w:val="nil"/>
            </w:tcBorders>
            <w:shd w:val="clear" w:color="auto" w:fill="auto"/>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3,00%</w:t>
            </w:r>
          </w:p>
        </w:tc>
        <w:tc>
          <w:tcPr>
            <w:tcW w:w="1134" w:type="dxa"/>
            <w:tcBorders>
              <w:top w:val="nil"/>
              <w:left w:val="nil"/>
              <w:bottom w:val="nil"/>
              <w:right w:val="nil"/>
            </w:tcBorders>
            <w:shd w:val="clear" w:color="auto" w:fill="auto"/>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18 000,00</w:t>
            </w:r>
          </w:p>
        </w:tc>
        <w:tc>
          <w:tcPr>
            <w:tcW w:w="1134" w:type="dxa"/>
            <w:tcBorders>
              <w:top w:val="nil"/>
              <w:left w:val="nil"/>
              <w:bottom w:val="nil"/>
              <w:right w:val="nil"/>
            </w:tcBorders>
            <w:shd w:val="clear" w:color="auto" w:fill="auto"/>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8 105,47</w:t>
            </w:r>
          </w:p>
        </w:tc>
        <w:tc>
          <w:tcPr>
            <w:tcW w:w="1276" w:type="dxa"/>
            <w:tcBorders>
              <w:top w:val="nil"/>
              <w:left w:val="nil"/>
              <w:bottom w:val="nil"/>
              <w:right w:val="nil"/>
            </w:tcBorders>
            <w:shd w:val="clear" w:color="auto" w:fill="auto"/>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26 105,47</w:t>
            </w:r>
          </w:p>
        </w:tc>
        <w:tc>
          <w:tcPr>
            <w:tcW w:w="1276" w:type="dxa"/>
            <w:tcBorders>
              <w:top w:val="nil"/>
              <w:left w:val="nil"/>
              <w:bottom w:val="nil"/>
              <w:right w:val="nil"/>
            </w:tcBorders>
            <w:shd w:val="clear" w:color="auto" w:fill="auto"/>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24 179,10</w:t>
            </w:r>
          </w:p>
        </w:tc>
        <w:tc>
          <w:tcPr>
            <w:tcW w:w="1417" w:type="dxa"/>
            <w:tcBorders>
              <w:top w:val="nil"/>
              <w:left w:val="nil"/>
              <w:bottom w:val="nil"/>
              <w:right w:val="nil"/>
            </w:tcBorders>
            <w:shd w:val="clear" w:color="auto" w:fill="auto"/>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92,62%</w:t>
            </w:r>
          </w:p>
        </w:tc>
      </w:tr>
      <w:tr w:rsidR="001E63F7" w:rsidRPr="003C246C" w:rsidTr="00823940">
        <w:trPr>
          <w:trHeight w:val="315"/>
        </w:trPr>
        <w:tc>
          <w:tcPr>
            <w:tcW w:w="1569" w:type="dxa"/>
            <w:tcBorders>
              <w:top w:val="nil"/>
              <w:left w:val="nil"/>
              <w:bottom w:val="single" w:sz="8" w:space="0" w:color="auto"/>
              <w:right w:val="single" w:sz="8" w:space="0" w:color="auto"/>
            </w:tcBorders>
            <w:shd w:val="clear" w:color="000000" w:fill="F2F2F2"/>
            <w:vAlign w:val="bottom"/>
          </w:tcPr>
          <w:p w:rsidR="001E63F7" w:rsidRPr="00557702" w:rsidRDefault="001E63F7" w:rsidP="00823940">
            <w:pPr>
              <w:spacing w:after="0" w:line="240" w:lineRule="auto"/>
              <w:rPr>
                <w:rFonts w:ascii="Times New Roman" w:eastAsia="Times New Roman" w:hAnsi="Times New Roman" w:cs="Times New Roman"/>
                <w:b/>
                <w:bCs/>
                <w:sz w:val="24"/>
                <w:szCs w:val="24"/>
                <w:vertAlign w:val="subscript"/>
              </w:rPr>
            </w:pPr>
            <w:r w:rsidRPr="00557702">
              <w:rPr>
                <w:rFonts w:ascii="Times New Roman" w:eastAsia="Times New Roman" w:hAnsi="Times New Roman" w:cs="Times New Roman"/>
                <w:b/>
                <w:bCs/>
                <w:sz w:val="24"/>
                <w:szCs w:val="24"/>
                <w:vertAlign w:val="subscript"/>
              </w:rPr>
              <w:t>Kukurica na zrno</w:t>
            </w:r>
          </w:p>
        </w:tc>
        <w:tc>
          <w:tcPr>
            <w:tcW w:w="1275" w:type="dxa"/>
            <w:tcBorders>
              <w:top w:val="nil"/>
              <w:left w:val="nil"/>
              <w:bottom w:val="single" w:sz="8" w:space="0" w:color="auto"/>
              <w:right w:val="nil"/>
            </w:tcBorders>
            <w:shd w:val="clear" w:color="000000" w:fill="F2F2F2"/>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30,00%</w:t>
            </w:r>
          </w:p>
        </w:tc>
        <w:tc>
          <w:tcPr>
            <w:tcW w:w="1134" w:type="dxa"/>
            <w:tcBorders>
              <w:top w:val="nil"/>
              <w:left w:val="nil"/>
              <w:bottom w:val="single" w:sz="8" w:space="0" w:color="auto"/>
              <w:right w:val="nil"/>
            </w:tcBorders>
            <w:shd w:val="clear" w:color="000000" w:fill="F2F2F2"/>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240 000,00</w:t>
            </w:r>
          </w:p>
        </w:tc>
        <w:tc>
          <w:tcPr>
            <w:tcW w:w="1134" w:type="dxa"/>
            <w:tcBorders>
              <w:top w:val="nil"/>
              <w:left w:val="nil"/>
              <w:bottom w:val="single" w:sz="8" w:space="0" w:color="auto"/>
              <w:right w:val="nil"/>
            </w:tcBorders>
            <w:shd w:val="clear" w:color="000000" w:fill="F2F2F2"/>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81 054,65</w:t>
            </w:r>
          </w:p>
        </w:tc>
        <w:tc>
          <w:tcPr>
            <w:tcW w:w="1276" w:type="dxa"/>
            <w:tcBorders>
              <w:top w:val="nil"/>
              <w:left w:val="nil"/>
              <w:bottom w:val="single" w:sz="8" w:space="0" w:color="auto"/>
              <w:right w:val="nil"/>
            </w:tcBorders>
            <w:shd w:val="clear" w:color="000000" w:fill="F2F2F2"/>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321 054,65</w:t>
            </w:r>
          </w:p>
        </w:tc>
        <w:tc>
          <w:tcPr>
            <w:tcW w:w="1276" w:type="dxa"/>
            <w:tcBorders>
              <w:top w:val="nil"/>
              <w:left w:val="nil"/>
              <w:bottom w:val="single" w:sz="8" w:space="0" w:color="auto"/>
              <w:right w:val="nil"/>
            </w:tcBorders>
            <w:shd w:val="clear" w:color="000000" w:fill="F2F2F2"/>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434 732,88</w:t>
            </w:r>
          </w:p>
        </w:tc>
        <w:tc>
          <w:tcPr>
            <w:tcW w:w="1417" w:type="dxa"/>
            <w:tcBorders>
              <w:top w:val="nil"/>
              <w:left w:val="nil"/>
              <w:bottom w:val="single" w:sz="8" w:space="0" w:color="auto"/>
              <w:right w:val="nil"/>
            </w:tcBorders>
            <w:shd w:val="clear" w:color="000000" w:fill="F2F2F2"/>
            <w:vAlign w:val="bottom"/>
            <w:hideMark/>
          </w:tcPr>
          <w:p w:rsidR="001E63F7" w:rsidRPr="00557702" w:rsidRDefault="001E63F7" w:rsidP="00823940">
            <w:pPr>
              <w:spacing w:after="0" w:line="240" w:lineRule="auto"/>
              <w:jc w:val="right"/>
              <w:rPr>
                <w:rFonts w:ascii="Times New Roman" w:eastAsia="Times New Roman" w:hAnsi="Times New Roman" w:cs="Times New Roman"/>
                <w:sz w:val="18"/>
                <w:szCs w:val="18"/>
              </w:rPr>
            </w:pPr>
            <w:r w:rsidRPr="00557702">
              <w:rPr>
                <w:rFonts w:ascii="Times New Roman" w:eastAsia="Times New Roman" w:hAnsi="Times New Roman" w:cs="Times New Roman"/>
                <w:sz w:val="18"/>
                <w:szCs w:val="18"/>
              </w:rPr>
              <w:t>135,41%</w:t>
            </w:r>
          </w:p>
        </w:tc>
      </w:tr>
    </w:tbl>
    <w:p w:rsidR="001E63F7" w:rsidRDefault="001E63F7" w:rsidP="001E63F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MPRV SR</w:t>
      </w:r>
    </w:p>
    <w:p w:rsidR="001E63F7" w:rsidRDefault="001E63F7" w:rsidP="001E63F7">
      <w:pPr>
        <w:spacing w:after="0" w:line="240" w:lineRule="auto"/>
        <w:jc w:val="both"/>
        <w:rPr>
          <w:rFonts w:ascii="Times New Roman" w:hAnsi="Times New Roman" w:cs="Times New Roman"/>
          <w:sz w:val="24"/>
          <w:szCs w:val="24"/>
        </w:rPr>
      </w:pPr>
    </w:p>
    <w:p w:rsidR="001E63F7" w:rsidRDefault="001E63F7" w:rsidP="001E63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zabezpečenie dodatočnej potreby kŕmnych zmesí je teda potrebné zvýšiť produkciu komodít zastúpených v kŕmnych zmesiach, a to o nasledovné objemy:</w:t>
      </w:r>
    </w:p>
    <w:p w:rsidR="001E63F7" w:rsidRDefault="001E63F7" w:rsidP="001E63F7">
      <w:pPr>
        <w:spacing w:after="0" w:line="240" w:lineRule="auto"/>
        <w:jc w:val="both"/>
        <w:rPr>
          <w:rFonts w:ascii="Times New Roman" w:hAnsi="Times New Roman" w:cs="Times New Roman"/>
          <w:sz w:val="24"/>
          <w:szCs w:val="24"/>
        </w:rPr>
      </w:pPr>
    </w:p>
    <w:tbl>
      <w:tblPr>
        <w:tblW w:w="5402" w:type="dxa"/>
        <w:jc w:val="center"/>
        <w:tblInd w:w="55" w:type="dxa"/>
        <w:tblCellMar>
          <w:left w:w="70" w:type="dxa"/>
          <w:right w:w="70" w:type="dxa"/>
        </w:tblCellMar>
        <w:tblLook w:val="04A0" w:firstRow="1" w:lastRow="0" w:firstColumn="1" w:lastColumn="0" w:noHBand="0" w:noVBand="1"/>
      </w:tblPr>
      <w:tblGrid>
        <w:gridCol w:w="2850"/>
        <w:gridCol w:w="2552"/>
      </w:tblGrid>
      <w:tr w:rsidR="001E63F7" w:rsidRPr="001527FA" w:rsidTr="00823940">
        <w:trPr>
          <w:trHeight w:val="300"/>
          <w:jc w:val="center"/>
        </w:trPr>
        <w:tc>
          <w:tcPr>
            <w:tcW w:w="2850" w:type="dxa"/>
            <w:tcBorders>
              <w:top w:val="single" w:sz="4" w:space="0" w:color="auto"/>
              <w:left w:val="nil"/>
              <w:right w:val="single" w:sz="4" w:space="0" w:color="auto"/>
            </w:tcBorders>
            <w:shd w:val="clear" w:color="000000" w:fill="F2F2F2"/>
            <w:vAlign w:val="bottom"/>
            <w:hideMark/>
          </w:tcPr>
          <w:p w:rsidR="001E63F7" w:rsidRPr="00557702" w:rsidRDefault="001E63F7" w:rsidP="00823940">
            <w:pPr>
              <w:spacing w:after="0" w:line="240" w:lineRule="auto"/>
              <w:rPr>
                <w:rFonts w:ascii="Times New Roman" w:eastAsia="Times New Roman" w:hAnsi="Times New Roman" w:cs="Times New Roman"/>
                <w:b/>
                <w:bCs/>
                <w:sz w:val="24"/>
                <w:szCs w:val="24"/>
              </w:rPr>
            </w:pPr>
            <w:r w:rsidRPr="00557702">
              <w:rPr>
                <w:rFonts w:ascii="Times New Roman" w:eastAsia="Times New Roman" w:hAnsi="Times New Roman" w:cs="Times New Roman"/>
                <w:b/>
                <w:bCs/>
                <w:sz w:val="24"/>
                <w:szCs w:val="24"/>
              </w:rPr>
              <w:t>Jačmeň na kŕmenie</w:t>
            </w:r>
          </w:p>
        </w:tc>
        <w:tc>
          <w:tcPr>
            <w:tcW w:w="2552" w:type="dxa"/>
            <w:tcBorders>
              <w:top w:val="single" w:sz="4" w:space="0" w:color="auto"/>
              <w:left w:val="nil"/>
              <w:right w:val="nil"/>
            </w:tcBorders>
            <w:shd w:val="clear" w:color="000000" w:fill="F2F2F2"/>
            <w:vAlign w:val="bottom"/>
            <w:hideMark/>
          </w:tcPr>
          <w:p w:rsidR="001E63F7" w:rsidRPr="001527FA" w:rsidRDefault="001E63F7" w:rsidP="008239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51 287,11</w:t>
            </w:r>
            <w:r w:rsidRPr="00B82EAE">
              <w:rPr>
                <w:rFonts w:ascii="Times New Roman" w:eastAsia="Times New Roman" w:hAnsi="Times New Roman" w:cs="Times New Roman"/>
                <w:sz w:val="24"/>
                <w:szCs w:val="24"/>
              </w:rPr>
              <w:t xml:space="preserve"> ton</w:t>
            </w:r>
          </w:p>
        </w:tc>
      </w:tr>
      <w:tr w:rsidR="001E63F7" w:rsidRPr="001527FA" w:rsidTr="00823940">
        <w:trPr>
          <w:trHeight w:val="300"/>
          <w:jc w:val="center"/>
        </w:trPr>
        <w:tc>
          <w:tcPr>
            <w:tcW w:w="2850" w:type="dxa"/>
            <w:tcBorders>
              <w:top w:val="nil"/>
              <w:left w:val="nil"/>
              <w:bottom w:val="single" w:sz="4" w:space="0" w:color="auto"/>
              <w:right w:val="single" w:sz="4" w:space="0" w:color="auto"/>
            </w:tcBorders>
            <w:shd w:val="clear" w:color="auto" w:fill="auto"/>
            <w:vAlign w:val="bottom"/>
            <w:hideMark/>
          </w:tcPr>
          <w:p w:rsidR="001E63F7" w:rsidRPr="00557702" w:rsidRDefault="001E63F7" w:rsidP="00823940">
            <w:pPr>
              <w:spacing w:after="0" w:line="240" w:lineRule="auto"/>
              <w:rPr>
                <w:rFonts w:ascii="Times New Roman" w:eastAsia="Times New Roman" w:hAnsi="Times New Roman" w:cs="Times New Roman"/>
                <w:b/>
                <w:bCs/>
                <w:sz w:val="24"/>
                <w:szCs w:val="24"/>
              </w:rPr>
            </w:pPr>
            <w:r w:rsidRPr="00557702">
              <w:rPr>
                <w:rFonts w:ascii="Times New Roman" w:eastAsia="Times New Roman" w:hAnsi="Times New Roman" w:cs="Times New Roman"/>
                <w:b/>
                <w:bCs/>
                <w:sz w:val="24"/>
                <w:szCs w:val="24"/>
              </w:rPr>
              <w:t>Ovos na kŕmenie</w:t>
            </w:r>
          </w:p>
        </w:tc>
        <w:tc>
          <w:tcPr>
            <w:tcW w:w="2552" w:type="dxa"/>
            <w:tcBorders>
              <w:top w:val="nil"/>
              <w:left w:val="nil"/>
              <w:bottom w:val="single" w:sz="4" w:space="0" w:color="auto"/>
              <w:right w:val="nil"/>
            </w:tcBorders>
            <w:shd w:val="clear" w:color="auto" w:fill="auto"/>
            <w:vAlign w:val="bottom"/>
            <w:hideMark/>
          </w:tcPr>
          <w:p w:rsidR="001E63F7" w:rsidRPr="001527FA" w:rsidRDefault="001E63F7" w:rsidP="008239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1 926,36</w:t>
            </w:r>
            <w:r w:rsidRPr="00B82EAE">
              <w:rPr>
                <w:rFonts w:ascii="Times New Roman" w:eastAsia="Times New Roman" w:hAnsi="Times New Roman" w:cs="Times New Roman"/>
                <w:sz w:val="24"/>
                <w:szCs w:val="24"/>
              </w:rPr>
              <w:t xml:space="preserve"> ton</w:t>
            </w:r>
          </w:p>
        </w:tc>
      </w:tr>
    </w:tbl>
    <w:p w:rsidR="00472A59" w:rsidRDefault="00472A59" w:rsidP="003C246C">
      <w:pPr>
        <w:pStyle w:val="Nadpis2"/>
      </w:pPr>
    </w:p>
    <w:p w:rsidR="00472A59" w:rsidRDefault="00472A59" w:rsidP="00DF438E">
      <w:pPr>
        <w:pStyle w:val="Nadpis2"/>
      </w:pPr>
    </w:p>
    <w:p w:rsidR="00183D42" w:rsidRPr="00ED3D23" w:rsidRDefault="00183D42" w:rsidP="000D68DC">
      <w:pPr>
        <w:pStyle w:val="Nadpis2"/>
        <w:numPr>
          <w:ilvl w:val="1"/>
          <w:numId w:val="8"/>
        </w:numPr>
      </w:pPr>
      <w:bookmarkStart w:id="32" w:name="_Toc359550653"/>
      <w:r>
        <w:t>Rastlinná</w:t>
      </w:r>
      <w:r w:rsidRPr="00ED3D23">
        <w:t xml:space="preserve"> výroba</w:t>
      </w:r>
      <w:bookmarkEnd w:id="32"/>
    </w:p>
    <w:p w:rsidR="00183D42" w:rsidRDefault="00183D42" w:rsidP="00183D42">
      <w:pPr>
        <w:spacing w:after="0" w:line="240" w:lineRule="auto"/>
        <w:rPr>
          <w:rFonts w:ascii="Times New Roman" w:hAnsi="Times New Roman" w:cs="Times New Roman"/>
          <w:sz w:val="24"/>
          <w:szCs w:val="24"/>
        </w:rPr>
      </w:pPr>
    </w:p>
    <w:p w:rsidR="005F06FB" w:rsidRPr="005F06FB" w:rsidRDefault="00616E63" w:rsidP="005F0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Rastlinná výroba je základným odvetvím poľnohospodárstva</w:t>
      </w:r>
      <w:r w:rsidR="008B719F">
        <w:rPr>
          <w:rFonts w:ascii="Times New Roman" w:hAnsi="Times New Roman" w:cs="Times New Roman"/>
          <w:sz w:val="24"/>
          <w:szCs w:val="24"/>
        </w:rPr>
        <w:t xml:space="preserve">. Jej </w:t>
      </w:r>
      <w:r w:rsidRPr="00157EA7">
        <w:rPr>
          <w:rFonts w:ascii="Times New Roman" w:hAnsi="Times New Roman" w:cs="Times New Roman"/>
          <w:sz w:val="24"/>
          <w:szCs w:val="24"/>
        </w:rPr>
        <w:t>cieľom</w:t>
      </w:r>
      <w:r>
        <w:rPr>
          <w:rFonts w:ascii="Times New Roman" w:hAnsi="Times New Roman" w:cs="Times New Roman"/>
          <w:sz w:val="24"/>
          <w:szCs w:val="24"/>
        </w:rPr>
        <w:t xml:space="preserve"> je</w:t>
      </w:r>
      <w:r w:rsidRPr="00157EA7">
        <w:rPr>
          <w:rFonts w:ascii="Times New Roman" w:hAnsi="Times New Roman" w:cs="Times New Roman"/>
          <w:sz w:val="24"/>
          <w:szCs w:val="24"/>
        </w:rPr>
        <w:t xml:space="preserve"> dosiahnuť ekonomicky efektívne, stále a kvalitné úrody. Zaoberá sa pestovaním rastlín v najširšom zmysle, v ktorom sa využívajú rôzne praktické a vedecké, ako aj agrotechnické opatrenia, ktoré prispievajú k priaznivému stavu kultúrnych rastlín a k zvýšeniu ich produkcie i kvality.</w:t>
      </w:r>
      <w:r w:rsidR="003748EC">
        <w:rPr>
          <w:rFonts w:ascii="Times New Roman" w:hAnsi="Times New Roman" w:cs="Times New Roman"/>
          <w:sz w:val="24"/>
          <w:szCs w:val="24"/>
        </w:rPr>
        <w:t xml:space="preserve"> </w:t>
      </w:r>
      <w:r w:rsidRPr="00157EA7">
        <w:rPr>
          <w:rFonts w:ascii="Times New Roman" w:hAnsi="Times New Roman" w:cs="Times New Roman"/>
          <w:sz w:val="24"/>
          <w:szCs w:val="24"/>
        </w:rPr>
        <w:t xml:space="preserve">Vyrába potraviny, krmivá, a suroviny pre spracovateľský priemysel. </w:t>
      </w:r>
      <w:r w:rsidR="005F06FB" w:rsidRPr="005F06FB">
        <w:rPr>
          <w:rFonts w:ascii="Times New Roman" w:hAnsi="Times New Roman" w:cs="Times New Roman"/>
          <w:sz w:val="24"/>
          <w:szCs w:val="24"/>
        </w:rPr>
        <w:t xml:space="preserve">Zahŕňa </w:t>
      </w:r>
      <w:hyperlink r:id="rId43" w:tooltip="Obilninárstvo" w:history="1">
        <w:r w:rsidR="005F06FB" w:rsidRPr="005F06FB">
          <w:rPr>
            <w:rFonts w:ascii="Times New Roman" w:hAnsi="Times New Roman" w:cs="Times New Roman"/>
            <w:sz w:val="24"/>
            <w:szCs w:val="24"/>
          </w:rPr>
          <w:t>pestovanie obilnín</w:t>
        </w:r>
      </w:hyperlink>
      <w:r w:rsidR="005F06FB" w:rsidRPr="005F06FB">
        <w:rPr>
          <w:rFonts w:ascii="Times New Roman" w:hAnsi="Times New Roman" w:cs="Times New Roman"/>
          <w:sz w:val="24"/>
          <w:szCs w:val="24"/>
        </w:rPr>
        <w:t xml:space="preserve">, </w:t>
      </w:r>
      <w:hyperlink r:id="rId44" w:tooltip="Strukoviny" w:history="1">
        <w:r w:rsidR="005F06FB" w:rsidRPr="005F06FB">
          <w:rPr>
            <w:rFonts w:ascii="Times New Roman" w:hAnsi="Times New Roman" w:cs="Times New Roman"/>
            <w:sz w:val="24"/>
            <w:szCs w:val="24"/>
          </w:rPr>
          <w:t>strukovín</w:t>
        </w:r>
      </w:hyperlink>
      <w:r w:rsidR="005F06FB" w:rsidRPr="005F06FB">
        <w:rPr>
          <w:rFonts w:ascii="Times New Roman" w:hAnsi="Times New Roman" w:cs="Times New Roman"/>
          <w:sz w:val="24"/>
          <w:szCs w:val="24"/>
        </w:rPr>
        <w:t>, olejnín, okopanín, technických plodín, ovocia a zeleniny, chmeľu, hrozna na výrobu vína, osív a sadív, rezaných kvetov a iných špeciálnych</w:t>
      </w:r>
      <w:r w:rsidR="005F06FB">
        <w:rPr>
          <w:rFonts w:ascii="Times New Roman" w:hAnsi="Times New Roman" w:cs="Times New Roman"/>
          <w:sz w:val="24"/>
          <w:szCs w:val="24"/>
        </w:rPr>
        <w:t xml:space="preserve"> plodín (liečivé a koreninové),</w:t>
      </w:r>
      <w:r w:rsidR="005F06FB" w:rsidRPr="005F06FB">
        <w:rPr>
          <w:rFonts w:ascii="Times New Roman" w:hAnsi="Times New Roman" w:cs="Times New Roman"/>
          <w:sz w:val="24"/>
          <w:szCs w:val="24"/>
        </w:rPr>
        <w:t xml:space="preserve"> závlahy  a ďalšie strojnotechnologické zariadenia, vrátane výroby biomasy</w:t>
      </w:r>
      <w:r w:rsidR="005F06FB">
        <w:rPr>
          <w:rFonts w:ascii="Times New Roman" w:hAnsi="Times New Roman" w:cs="Times New Roman"/>
          <w:sz w:val="24"/>
          <w:szCs w:val="24"/>
        </w:rPr>
        <w:t>.</w:t>
      </w:r>
    </w:p>
    <w:p w:rsidR="00616E63" w:rsidRPr="00157EA7" w:rsidRDefault="00616E63" w:rsidP="00616E63">
      <w:pPr>
        <w:spacing w:after="0" w:line="240" w:lineRule="auto"/>
        <w:jc w:val="both"/>
        <w:rPr>
          <w:rFonts w:ascii="Times New Roman" w:hAnsi="Times New Roman" w:cs="Times New Roman"/>
          <w:sz w:val="24"/>
          <w:szCs w:val="24"/>
        </w:rPr>
      </w:pPr>
    </w:p>
    <w:p w:rsidR="00616E63" w:rsidRDefault="00616E63" w:rsidP="00616E63">
      <w:pPr>
        <w:spacing w:after="0" w:line="240" w:lineRule="auto"/>
        <w:jc w:val="both"/>
        <w:rPr>
          <w:rFonts w:ascii="Times New Roman" w:hAnsi="Times New Roman" w:cs="Times New Roman"/>
          <w:sz w:val="24"/>
          <w:szCs w:val="24"/>
        </w:rPr>
      </w:pPr>
      <w:r w:rsidRPr="00157EA7">
        <w:rPr>
          <w:rFonts w:ascii="Times New Roman" w:hAnsi="Times New Roman" w:cs="Times New Roman"/>
          <w:sz w:val="24"/>
          <w:szCs w:val="24"/>
        </w:rPr>
        <w:t xml:space="preserve">Rastlinná výroba patrí do aplikovanej rastlinnej </w:t>
      </w:r>
      <w:r>
        <w:rPr>
          <w:rFonts w:ascii="Times New Roman" w:hAnsi="Times New Roman" w:cs="Times New Roman"/>
          <w:sz w:val="24"/>
          <w:szCs w:val="24"/>
        </w:rPr>
        <w:t xml:space="preserve">ekológie, teda predovšetkým </w:t>
      </w:r>
      <w:r w:rsidRPr="00157EA7">
        <w:rPr>
          <w:rFonts w:ascii="Times New Roman" w:hAnsi="Times New Roman" w:cs="Times New Roman"/>
          <w:sz w:val="24"/>
          <w:szCs w:val="24"/>
        </w:rPr>
        <w:t xml:space="preserve">rieši vzťahy medzi rastlinou a faktormi vonkajšieho prostredia, uskutočňuje </w:t>
      </w:r>
      <w:r w:rsidR="005F06FB" w:rsidRPr="005F06FB">
        <w:rPr>
          <w:rFonts w:ascii="Times New Roman" w:hAnsi="Times New Roman" w:cs="Times New Roman"/>
          <w:sz w:val="24"/>
          <w:szCs w:val="24"/>
        </w:rPr>
        <w:t>pozberovú úpravu, skladovanie a finalizáciu výrobkov</w:t>
      </w:r>
      <w:r w:rsidRPr="00157EA7">
        <w:rPr>
          <w:rFonts w:ascii="Times New Roman" w:hAnsi="Times New Roman" w:cs="Times New Roman"/>
          <w:sz w:val="24"/>
          <w:szCs w:val="24"/>
        </w:rPr>
        <w:t>.</w:t>
      </w:r>
      <w:r>
        <w:rPr>
          <w:rFonts w:ascii="Times New Roman" w:hAnsi="Times New Roman" w:cs="Times New Roman"/>
          <w:sz w:val="24"/>
          <w:szCs w:val="24"/>
        </w:rPr>
        <w:t xml:space="preserve"> Medzi základné úlohy rastlinnej výroby patrí: </w:t>
      </w:r>
    </w:p>
    <w:p w:rsidR="00616E63" w:rsidRDefault="00616E63" w:rsidP="000D68DC">
      <w:pPr>
        <w:pStyle w:val="Odsekzoznamu"/>
        <w:numPr>
          <w:ilvl w:val="0"/>
          <w:numId w:val="4"/>
        </w:numPr>
        <w:spacing w:after="0" w:line="240" w:lineRule="auto"/>
        <w:jc w:val="both"/>
        <w:rPr>
          <w:rFonts w:ascii="Times New Roman" w:hAnsi="Times New Roman" w:cs="Times New Roman"/>
          <w:sz w:val="24"/>
          <w:szCs w:val="24"/>
        </w:rPr>
      </w:pPr>
      <w:r w:rsidRPr="00616E63">
        <w:rPr>
          <w:rFonts w:ascii="Times New Roman" w:hAnsi="Times New Roman" w:cs="Times New Roman"/>
          <w:sz w:val="24"/>
          <w:szCs w:val="24"/>
        </w:rPr>
        <w:t>zabezpečiť potravinovú bezpečnosť štátu a výživovú dostatočnosť obyvateľstva;</w:t>
      </w:r>
      <w:r>
        <w:rPr>
          <w:rFonts w:ascii="Times New Roman" w:hAnsi="Times New Roman" w:cs="Times New Roman"/>
          <w:sz w:val="24"/>
          <w:szCs w:val="24"/>
        </w:rPr>
        <w:t xml:space="preserve"> a</w:t>
      </w:r>
    </w:p>
    <w:p w:rsidR="00616E63" w:rsidRDefault="00616E63" w:rsidP="000D68DC">
      <w:pPr>
        <w:pStyle w:val="Odsekzoznamu"/>
        <w:numPr>
          <w:ilvl w:val="0"/>
          <w:numId w:val="4"/>
        </w:numPr>
        <w:spacing w:after="0" w:line="240" w:lineRule="auto"/>
        <w:jc w:val="both"/>
        <w:rPr>
          <w:rFonts w:ascii="Times New Roman" w:hAnsi="Times New Roman" w:cs="Times New Roman"/>
          <w:sz w:val="24"/>
          <w:szCs w:val="24"/>
        </w:rPr>
      </w:pPr>
      <w:r w:rsidRPr="00616E63">
        <w:rPr>
          <w:rFonts w:ascii="Times New Roman" w:hAnsi="Times New Roman" w:cs="Times New Roman"/>
          <w:sz w:val="24"/>
          <w:szCs w:val="24"/>
        </w:rPr>
        <w:t>optimalizovať oblastnú štruktúru poľnohospodárskej a potravinovej výroby</w:t>
      </w:r>
      <w:r>
        <w:rPr>
          <w:rFonts w:ascii="Times New Roman" w:hAnsi="Times New Roman" w:cs="Times New Roman"/>
          <w:sz w:val="24"/>
          <w:szCs w:val="24"/>
        </w:rPr>
        <w:t>.</w:t>
      </w:r>
    </w:p>
    <w:p w:rsidR="005B4A3C" w:rsidRDefault="005B4A3C" w:rsidP="00D518D1">
      <w:pPr>
        <w:spacing w:after="0" w:line="240" w:lineRule="auto"/>
        <w:jc w:val="both"/>
        <w:rPr>
          <w:rFonts w:ascii="Times New Roman" w:hAnsi="Times New Roman" w:cs="Times New Roman"/>
          <w:b/>
          <w:sz w:val="24"/>
          <w:szCs w:val="24"/>
        </w:rPr>
      </w:pPr>
    </w:p>
    <w:p w:rsidR="001E63F7" w:rsidRPr="00D518D1" w:rsidRDefault="001E63F7" w:rsidP="00D518D1">
      <w:pPr>
        <w:spacing w:after="0" w:line="240" w:lineRule="auto"/>
        <w:jc w:val="both"/>
        <w:rPr>
          <w:rFonts w:ascii="Times New Roman" w:hAnsi="Times New Roman" w:cs="Times New Roman"/>
          <w:b/>
          <w:sz w:val="24"/>
          <w:szCs w:val="24"/>
        </w:rPr>
      </w:pPr>
    </w:p>
    <w:p w:rsidR="00D518D1" w:rsidRPr="00264729" w:rsidRDefault="00D518D1" w:rsidP="000D68DC">
      <w:pPr>
        <w:pStyle w:val="Nadpis3"/>
        <w:numPr>
          <w:ilvl w:val="2"/>
          <w:numId w:val="8"/>
        </w:numPr>
      </w:pPr>
      <w:bookmarkStart w:id="33" w:name="_Toc359550654"/>
      <w:r w:rsidRPr="00264729">
        <w:lastRenderedPageBreak/>
        <w:t>Cukor</w:t>
      </w:r>
      <w:bookmarkEnd w:id="33"/>
    </w:p>
    <w:p w:rsidR="00D518D1" w:rsidRDefault="00D518D1" w:rsidP="00D518D1">
      <w:pPr>
        <w:spacing w:after="0" w:line="240" w:lineRule="auto"/>
        <w:jc w:val="both"/>
        <w:rPr>
          <w:rFonts w:ascii="Times New Roman" w:hAnsi="Times New Roman" w:cs="Times New Roman"/>
          <w:b/>
          <w:sz w:val="24"/>
          <w:szCs w:val="24"/>
        </w:rPr>
      </w:pPr>
    </w:p>
    <w:p w:rsidR="00814CBE" w:rsidRDefault="00814CBE" w:rsidP="00814CBE">
      <w:pPr>
        <w:spacing w:after="0" w:line="240" w:lineRule="auto"/>
        <w:jc w:val="both"/>
        <w:rPr>
          <w:rFonts w:ascii="Times New Roman" w:hAnsi="Times New Roman" w:cs="Times New Roman"/>
          <w:sz w:val="24"/>
          <w:szCs w:val="24"/>
        </w:rPr>
      </w:pPr>
      <w:r w:rsidRPr="00814CBE">
        <w:rPr>
          <w:rFonts w:ascii="Times New Roman" w:hAnsi="Times New Roman" w:cs="Times New Roman"/>
          <w:sz w:val="24"/>
          <w:szCs w:val="24"/>
        </w:rPr>
        <w:t>Produkcia kvótového cukru je viazaná na výšku vnútroštátnej a regionálnej kvóty vo výške 112 319,5 ton. Vnútroštátna kvóta 112 319,5 ton postačuje na pokrytie domácej spotreby na 62,98 %.</w:t>
      </w:r>
      <w:r w:rsidR="00E15550">
        <w:rPr>
          <w:rFonts w:ascii="Times New Roman" w:hAnsi="Times New Roman" w:cs="Times New Roman"/>
          <w:sz w:val="24"/>
          <w:szCs w:val="24"/>
        </w:rPr>
        <w:t xml:space="preserve"> </w:t>
      </w:r>
      <w:r w:rsidRPr="00814CBE">
        <w:rPr>
          <w:rFonts w:ascii="Times New Roman" w:hAnsi="Times New Roman" w:cs="Times New Roman"/>
          <w:sz w:val="24"/>
          <w:szCs w:val="24"/>
        </w:rPr>
        <w:t xml:space="preserve">Táto je rozdelená medzi dve funkčné spoločnosti: Považský cukor a.s. v Trenčianskej Teplej a Slovenské cukrovary s.r.o. v Seredi. Kapacita cukrovarov v plnej miere postačuje na produkciu pridelenej kvóty, oba spracovateľské závody sú počas kampane schopné spracovávať aj mimo kvótovú cukrovú repu a vyrábať mimo kvótový cukor a takýmto spôsobom optimalizovať efektivitu spracovania. </w:t>
      </w:r>
    </w:p>
    <w:p w:rsidR="00814CBE" w:rsidRDefault="00814CBE" w:rsidP="00814CBE">
      <w:pPr>
        <w:spacing w:after="0" w:line="240" w:lineRule="auto"/>
        <w:jc w:val="both"/>
        <w:rPr>
          <w:rFonts w:ascii="Times New Roman" w:hAnsi="Times New Roman" w:cs="Times New Roman"/>
          <w:sz w:val="24"/>
          <w:szCs w:val="24"/>
        </w:rPr>
      </w:pPr>
    </w:p>
    <w:p w:rsidR="00814CBE" w:rsidRDefault="00814CBE" w:rsidP="00814CBE">
      <w:pPr>
        <w:spacing w:after="0" w:line="240" w:lineRule="auto"/>
        <w:jc w:val="both"/>
        <w:rPr>
          <w:rFonts w:ascii="Times New Roman" w:hAnsi="Times New Roman" w:cs="Times New Roman"/>
          <w:sz w:val="24"/>
          <w:szCs w:val="24"/>
        </w:rPr>
      </w:pPr>
      <w:r w:rsidRPr="00814CBE">
        <w:rPr>
          <w:rFonts w:ascii="Times New Roman" w:hAnsi="Times New Roman" w:cs="Times New Roman"/>
          <w:sz w:val="24"/>
          <w:szCs w:val="24"/>
        </w:rPr>
        <w:t xml:space="preserve">Mimo kvótový cukor podľa nariadenia EÚ nie je možné predať na trhu EÚ, využíva sa v priemysle na nepotravinárske účely, je možné ho preniesť do produkcie nasledovného hospodárskeho roka. V posledných dvoch hospodárskych rokoch z dôvodu nenaplnenia plánovaných  bezcolných dovozov z krajín AKP a LDC povolila EÚ predaj </w:t>
      </w:r>
      <w:proofErr w:type="spellStart"/>
      <w:r w:rsidRPr="00814CBE">
        <w:rPr>
          <w:rFonts w:ascii="Times New Roman" w:hAnsi="Times New Roman" w:cs="Times New Roman"/>
          <w:sz w:val="24"/>
          <w:szCs w:val="24"/>
        </w:rPr>
        <w:t>mimokvótového</w:t>
      </w:r>
      <w:proofErr w:type="spellEnd"/>
      <w:r w:rsidRPr="00814CBE">
        <w:rPr>
          <w:rFonts w:ascii="Times New Roman" w:hAnsi="Times New Roman" w:cs="Times New Roman"/>
          <w:sz w:val="24"/>
          <w:szCs w:val="24"/>
        </w:rPr>
        <w:t xml:space="preserve"> cukru na trhu EÚ. Takýmto spôs</w:t>
      </w:r>
      <w:r>
        <w:rPr>
          <w:rFonts w:ascii="Times New Roman" w:hAnsi="Times New Roman" w:cs="Times New Roman"/>
          <w:sz w:val="24"/>
          <w:szCs w:val="24"/>
        </w:rPr>
        <w:t>obom sa na Slovensku realizoval</w:t>
      </w:r>
      <w:r w:rsidRPr="00814CBE">
        <w:rPr>
          <w:rFonts w:ascii="Times New Roman" w:hAnsi="Times New Roman" w:cs="Times New Roman"/>
          <w:sz w:val="24"/>
          <w:szCs w:val="24"/>
        </w:rPr>
        <w:t xml:space="preserve"> v</w:t>
      </w:r>
      <w:r>
        <w:rPr>
          <w:rFonts w:ascii="Times New Roman" w:hAnsi="Times New Roman" w:cs="Times New Roman"/>
          <w:sz w:val="24"/>
          <w:szCs w:val="24"/>
        </w:rPr>
        <w:t> hospodárskych rokoch</w:t>
      </w:r>
      <w:r w:rsidRPr="00814CBE">
        <w:rPr>
          <w:rFonts w:ascii="Times New Roman" w:hAnsi="Times New Roman" w:cs="Times New Roman"/>
          <w:sz w:val="24"/>
          <w:szCs w:val="24"/>
        </w:rPr>
        <w:t xml:space="preserve"> 2010/2011 </w:t>
      </w:r>
      <w:r>
        <w:rPr>
          <w:rFonts w:ascii="Times New Roman" w:hAnsi="Times New Roman" w:cs="Times New Roman"/>
          <w:sz w:val="24"/>
          <w:szCs w:val="24"/>
        </w:rPr>
        <w:t>objem 10 508,10 t</w:t>
      </w:r>
      <w:r w:rsidRPr="00814CBE">
        <w:rPr>
          <w:rFonts w:ascii="Times New Roman" w:hAnsi="Times New Roman" w:cs="Times New Roman"/>
          <w:sz w:val="24"/>
          <w:szCs w:val="24"/>
        </w:rPr>
        <w:t xml:space="preserve"> cukru a 2011/2012 </w:t>
      </w:r>
      <w:r>
        <w:rPr>
          <w:rFonts w:ascii="Times New Roman" w:hAnsi="Times New Roman" w:cs="Times New Roman"/>
          <w:sz w:val="24"/>
          <w:szCs w:val="24"/>
        </w:rPr>
        <w:t>objem 21 680 t</w:t>
      </w:r>
      <w:r w:rsidRPr="00814CBE">
        <w:rPr>
          <w:rFonts w:ascii="Times New Roman" w:hAnsi="Times New Roman" w:cs="Times New Roman"/>
          <w:sz w:val="24"/>
          <w:szCs w:val="24"/>
        </w:rPr>
        <w:t xml:space="preserve"> cukru. </w:t>
      </w:r>
    </w:p>
    <w:p w:rsidR="00D518D1" w:rsidRDefault="00D518D1" w:rsidP="00D518D1">
      <w:pPr>
        <w:spacing w:after="0" w:line="240" w:lineRule="auto"/>
        <w:jc w:val="both"/>
        <w:rPr>
          <w:rFonts w:ascii="Times New Roman" w:hAnsi="Times New Roman" w:cs="Times New Roman"/>
          <w:b/>
          <w:sz w:val="24"/>
          <w:szCs w:val="24"/>
        </w:rPr>
      </w:pPr>
    </w:p>
    <w:p w:rsidR="0064205F" w:rsidRPr="0064205F" w:rsidRDefault="006316DB" w:rsidP="00D518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č.31</w:t>
      </w:r>
      <w:r w:rsidR="0064205F" w:rsidRPr="00A855A4">
        <w:rPr>
          <w:rFonts w:ascii="Times New Roman" w:hAnsi="Times New Roman" w:cs="Times New Roman"/>
          <w:sz w:val="20"/>
          <w:szCs w:val="20"/>
        </w:rPr>
        <w:t xml:space="preserve">: </w:t>
      </w:r>
      <w:r w:rsidR="0064205F" w:rsidRPr="008B1083">
        <w:rPr>
          <w:rFonts w:ascii="Times New Roman" w:hAnsi="Times New Roman" w:cs="Times New Roman"/>
          <w:sz w:val="20"/>
          <w:szCs w:val="20"/>
        </w:rPr>
        <w:t xml:space="preserve">Bilancia </w:t>
      </w:r>
      <w:r w:rsidR="0064205F">
        <w:rPr>
          <w:rFonts w:ascii="Times New Roman" w:hAnsi="Times New Roman" w:cs="Times New Roman"/>
          <w:sz w:val="20"/>
          <w:szCs w:val="20"/>
        </w:rPr>
        <w:t>cukru v hospodárskych rokoch v tis. t</w:t>
      </w:r>
    </w:p>
    <w:tbl>
      <w:tblPr>
        <w:tblW w:w="9064" w:type="dxa"/>
        <w:tblInd w:w="55" w:type="dxa"/>
        <w:tblCellMar>
          <w:left w:w="70" w:type="dxa"/>
          <w:right w:w="70" w:type="dxa"/>
        </w:tblCellMar>
        <w:tblLook w:val="04A0" w:firstRow="1" w:lastRow="0" w:firstColumn="1" w:lastColumn="0" w:noHBand="0" w:noVBand="1"/>
      </w:tblPr>
      <w:tblGrid>
        <w:gridCol w:w="4268"/>
        <w:gridCol w:w="796"/>
        <w:gridCol w:w="800"/>
        <w:gridCol w:w="800"/>
        <w:gridCol w:w="800"/>
        <w:gridCol w:w="800"/>
        <w:gridCol w:w="800"/>
      </w:tblGrid>
      <w:tr w:rsidR="0064205F" w:rsidRPr="0064205F" w:rsidTr="0064205F">
        <w:trPr>
          <w:trHeight w:val="300"/>
        </w:trPr>
        <w:tc>
          <w:tcPr>
            <w:tcW w:w="4268" w:type="dxa"/>
            <w:tcBorders>
              <w:top w:val="single" w:sz="4" w:space="0" w:color="auto"/>
              <w:left w:val="nil"/>
              <w:bottom w:val="single" w:sz="4" w:space="0" w:color="auto"/>
              <w:right w:val="single" w:sz="4" w:space="0" w:color="auto"/>
            </w:tcBorders>
            <w:shd w:val="clear" w:color="000000" w:fill="D9D9D9"/>
            <w:noWrap/>
            <w:vAlign w:val="bottom"/>
            <w:hideMark/>
          </w:tcPr>
          <w:p w:rsidR="0064205F" w:rsidRPr="0064205F" w:rsidRDefault="0064205F" w:rsidP="0064205F">
            <w:pPr>
              <w:spacing w:after="0" w:line="240" w:lineRule="auto"/>
              <w:rPr>
                <w:rFonts w:ascii="Times New Roman" w:eastAsia="Times New Roman" w:hAnsi="Times New Roman" w:cs="Times New Roman"/>
                <w:b/>
                <w:bCs/>
                <w:color w:val="000000"/>
                <w:sz w:val="20"/>
                <w:szCs w:val="20"/>
              </w:rPr>
            </w:pPr>
            <w:r w:rsidRPr="0064205F">
              <w:rPr>
                <w:rFonts w:ascii="Times New Roman" w:eastAsia="Times New Roman" w:hAnsi="Times New Roman" w:cs="Times New Roman"/>
                <w:b/>
                <w:bCs/>
                <w:color w:val="000000"/>
                <w:sz w:val="20"/>
                <w:szCs w:val="20"/>
              </w:rPr>
              <w:t>Ukazovateľ</w:t>
            </w:r>
          </w:p>
        </w:tc>
        <w:tc>
          <w:tcPr>
            <w:tcW w:w="796" w:type="dxa"/>
            <w:tcBorders>
              <w:top w:val="single" w:sz="4" w:space="0" w:color="auto"/>
              <w:left w:val="nil"/>
              <w:bottom w:val="single" w:sz="4" w:space="0" w:color="auto"/>
              <w:right w:val="single" w:sz="4" w:space="0" w:color="auto"/>
            </w:tcBorders>
            <w:shd w:val="clear" w:color="000000" w:fill="D9D9D9"/>
            <w:noWrap/>
            <w:vAlign w:val="bottom"/>
            <w:hideMark/>
          </w:tcPr>
          <w:p w:rsidR="0064205F" w:rsidRPr="0064205F" w:rsidRDefault="0064205F" w:rsidP="0064205F">
            <w:pPr>
              <w:spacing w:after="0" w:line="240" w:lineRule="auto"/>
              <w:rPr>
                <w:rFonts w:ascii="Times New Roman" w:eastAsia="Times New Roman" w:hAnsi="Times New Roman" w:cs="Times New Roman"/>
                <w:b/>
                <w:bCs/>
                <w:color w:val="000000"/>
                <w:sz w:val="20"/>
                <w:szCs w:val="20"/>
              </w:rPr>
            </w:pPr>
            <w:r w:rsidRPr="0064205F">
              <w:rPr>
                <w:rFonts w:ascii="Times New Roman" w:eastAsia="Times New Roman" w:hAnsi="Times New Roman" w:cs="Times New Roman"/>
                <w:b/>
                <w:bCs/>
                <w:color w:val="000000"/>
                <w:sz w:val="20"/>
                <w:szCs w:val="20"/>
              </w:rPr>
              <w:t>2002/03</w:t>
            </w:r>
          </w:p>
        </w:tc>
        <w:tc>
          <w:tcPr>
            <w:tcW w:w="800" w:type="dxa"/>
            <w:tcBorders>
              <w:top w:val="single" w:sz="4" w:space="0" w:color="auto"/>
              <w:left w:val="nil"/>
              <w:bottom w:val="single" w:sz="4" w:space="0" w:color="auto"/>
              <w:right w:val="nil"/>
            </w:tcBorders>
            <w:shd w:val="clear" w:color="000000" w:fill="D9D9D9"/>
            <w:noWrap/>
            <w:vAlign w:val="bottom"/>
            <w:hideMark/>
          </w:tcPr>
          <w:p w:rsidR="0064205F" w:rsidRPr="0064205F" w:rsidRDefault="0064205F" w:rsidP="0064205F">
            <w:pPr>
              <w:spacing w:after="0" w:line="240" w:lineRule="auto"/>
              <w:rPr>
                <w:rFonts w:ascii="Times New Roman" w:eastAsia="Times New Roman" w:hAnsi="Times New Roman" w:cs="Times New Roman"/>
                <w:b/>
                <w:bCs/>
                <w:color w:val="000000"/>
                <w:sz w:val="20"/>
                <w:szCs w:val="20"/>
              </w:rPr>
            </w:pPr>
            <w:r w:rsidRPr="0064205F">
              <w:rPr>
                <w:rFonts w:ascii="Times New Roman" w:eastAsia="Times New Roman" w:hAnsi="Times New Roman" w:cs="Times New Roman"/>
                <w:b/>
                <w:bCs/>
                <w:color w:val="000000"/>
                <w:sz w:val="20"/>
                <w:szCs w:val="20"/>
              </w:rPr>
              <w:t>2007/08</w:t>
            </w:r>
          </w:p>
        </w:tc>
        <w:tc>
          <w:tcPr>
            <w:tcW w:w="800" w:type="dxa"/>
            <w:tcBorders>
              <w:top w:val="single" w:sz="4" w:space="0" w:color="auto"/>
              <w:left w:val="nil"/>
              <w:bottom w:val="single" w:sz="4" w:space="0" w:color="auto"/>
              <w:right w:val="nil"/>
            </w:tcBorders>
            <w:shd w:val="clear" w:color="000000" w:fill="D9D9D9"/>
            <w:noWrap/>
            <w:vAlign w:val="bottom"/>
            <w:hideMark/>
          </w:tcPr>
          <w:p w:rsidR="0064205F" w:rsidRPr="0064205F" w:rsidRDefault="0064205F" w:rsidP="0064205F">
            <w:pPr>
              <w:spacing w:after="0" w:line="240" w:lineRule="auto"/>
              <w:rPr>
                <w:rFonts w:ascii="Times New Roman" w:eastAsia="Times New Roman" w:hAnsi="Times New Roman" w:cs="Times New Roman"/>
                <w:b/>
                <w:bCs/>
                <w:color w:val="000000"/>
                <w:sz w:val="20"/>
                <w:szCs w:val="20"/>
              </w:rPr>
            </w:pPr>
            <w:r w:rsidRPr="0064205F">
              <w:rPr>
                <w:rFonts w:ascii="Times New Roman" w:eastAsia="Times New Roman" w:hAnsi="Times New Roman" w:cs="Times New Roman"/>
                <w:b/>
                <w:bCs/>
                <w:color w:val="000000"/>
                <w:sz w:val="20"/>
                <w:szCs w:val="20"/>
              </w:rPr>
              <w:t>2008/09</w:t>
            </w:r>
          </w:p>
        </w:tc>
        <w:tc>
          <w:tcPr>
            <w:tcW w:w="800" w:type="dxa"/>
            <w:tcBorders>
              <w:top w:val="single" w:sz="4" w:space="0" w:color="auto"/>
              <w:left w:val="nil"/>
              <w:bottom w:val="single" w:sz="4" w:space="0" w:color="auto"/>
              <w:right w:val="nil"/>
            </w:tcBorders>
            <w:shd w:val="clear" w:color="000000" w:fill="D9D9D9"/>
            <w:noWrap/>
            <w:vAlign w:val="bottom"/>
            <w:hideMark/>
          </w:tcPr>
          <w:p w:rsidR="0064205F" w:rsidRPr="0064205F" w:rsidRDefault="0064205F" w:rsidP="0064205F">
            <w:pPr>
              <w:spacing w:after="0" w:line="240" w:lineRule="auto"/>
              <w:rPr>
                <w:rFonts w:ascii="Times New Roman" w:eastAsia="Times New Roman" w:hAnsi="Times New Roman" w:cs="Times New Roman"/>
                <w:b/>
                <w:bCs/>
                <w:color w:val="000000"/>
                <w:sz w:val="20"/>
                <w:szCs w:val="20"/>
              </w:rPr>
            </w:pPr>
            <w:r w:rsidRPr="0064205F">
              <w:rPr>
                <w:rFonts w:ascii="Times New Roman" w:eastAsia="Times New Roman" w:hAnsi="Times New Roman" w:cs="Times New Roman"/>
                <w:b/>
                <w:bCs/>
                <w:color w:val="000000"/>
                <w:sz w:val="20"/>
                <w:szCs w:val="20"/>
              </w:rPr>
              <w:t>2009/10</w:t>
            </w:r>
          </w:p>
        </w:tc>
        <w:tc>
          <w:tcPr>
            <w:tcW w:w="800" w:type="dxa"/>
            <w:tcBorders>
              <w:top w:val="single" w:sz="4" w:space="0" w:color="auto"/>
              <w:left w:val="nil"/>
              <w:bottom w:val="single" w:sz="4" w:space="0" w:color="auto"/>
              <w:right w:val="nil"/>
            </w:tcBorders>
            <w:shd w:val="clear" w:color="000000" w:fill="D9D9D9"/>
            <w:noWrap/>
            <w:vAlign w:val="bottom"/>
            <w:hideMark/>
          </w:tcPr>
          <w:p w:rsidR="0064205F" w:rsidRPr="0064205F" w:rsidRDefault="0064205F" w:rsidP="0064205F">
            <w:pPr>
              <w:spacing w:after="0" w:line="240" w:lineRule="auto"/>
              <w:rPr>
                <w:rFonts w:ascii="Times New Roman" w:eastAsia="Times New Roman" w:hAnsi="Times New Roman" w:cs="Times New Roman"/>
                <w:b/>
                <w:bCs/>
                <w:color w:val="000000"/>
                <w:sz w:val="20"/>
                <w:szCs w:val="20"/>
              </w:rPr>
            </w:pPr>
            <w:r w:rsidRPr="0064205F">
              <w:rPr>
                <w:rFonts w:ascii="Times New Roman" w:eastAsia="Times New Roman" w:hAnsi="Times New Roman" w:cs="Times New Roman"/>
                <w:b/>
                <w:bCs/>
                <w:color w:val="000000"/>
                <w:sz w:val="20"/>
                <w:szCs w:val="20"/>
              </w:rPr>
              <w:t>2010/11</w:t>
            </w:r>
          </w:p>
        </w:tc>
        <w:tc>
          <w:tcPr>
            <w:tcW w:w="800" w:type="dxa"/>
            <w:tcBorders>
              <w:top w:val="single" w:sz="4" w:space="0" w:color="auto"/>
              <w:left w:val="nil"/>
              <w:bottom w:val="single" w:sz="4" w:space="0" w:color="auto"/>
              <w:right w:val="nil"/>
            </w:tcBorders>
            <w:shd w:val="clear" w:color="000000" w:fill="D9D9D9"/>
            <w:noWrap/>
            <w:vAlign w:val="bottom"/>
            <w:hideMark/>
          </w:tcPr>
          <w:p w:rsidR="0064205F" w:rsidRPr="0064205F" w:rsidRDefault="0064205F" w:rsidP="0064205F">
            <w:pPr>
              <w:spacing w:after="0" w:line="240" w:lineRule="auto"/>
              <w:rPr>
                <w:rFonts w:ascii="Times New Roman" w:eastAsia="Times New Roman" w:hAnsi="Times New Roman" w:cs="Times New Roman"/>
                <w:b/>
                <w:bCs/>
                <w:color w:val="000000"/>
                <w:sz w:val="20"/>
                <w:szCs w:val="20"/>
              </w:rPr>
            </w:pPr>
            <w:r w:rsidRPr="0064205F">
              <w:rPr>
                <w:rFonts w:ascii="Times New Roman" w:eastAsia="Times New Roman" w:hAnsi="Times New Roman" w:cs="Times New Roman"/>
                <w:b/>
                <w:bCs/>
                <w:color w:val="000000"/>
                <w:sz w:val="20"/>
                <w:szCs w:val="20"/>
              </w:rPr>
              <w:t>2011/12</w:t>
            </w:r>
          </w:p>
        </w:tc>
      </w:tr>
      <w:tr w:rsidR="0064205F" w:rsidRPr="0064205F" w:rsidTr="0064205F">
        <w:trPr>
          <w:trHeight w:val="300"/>
        </w:trPr>
        <w:tc>
          <w:tcPr>
            <w:tcW w:w="4268" w:type="dxa"/>
            <w:tcBorders>
              <w:top w:val="nil"/>
              <w:left w:val="nil"/>
              <w:bottom w:val="single" w:sz="4" w:space="0" w:color="auto"/>
              <w:right w:val="single" w:sz="4" w:space="0" w:color="auto"/>
            </w:tcBorders>
            <w:shd w:val="clear" w:color="auto" w:fill="auto"/>
            <w:noWrap/>
            <w:vAlign w:val="bottom"/>
            <w:hideMark/>
          </w:tcPr>
          <w:p w:rsidR="0064205F" w:rsidRPr="0064205F" w:rsidRDefault="0064205F" w:rsidP="0064205F">
            <w:pPr>
              <w:spacing w:after="0" w:line="240" w:lineRule="auto"/>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Počiatočné zásoby</w:t>
            </w:r>
          </w:p>
        </w:tc>
        <w:tc>
          <w:tcPr>
            <w:tcW w:w="796" w:type="dxa"/>
            <w:tcBorders>
              <w:top w:val="nil"/>
              <w:left w:val="nil"/>
              <w:bottom w:val="single" w:sz="4" w:space="0" w:color="auto"/>
              <w:right w:val="single" w:sz="4" w:space="0" w:color="auto"/>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72,1</w:t>
            </w:r>
          </w:p>
        </w:tc>
        <w:tc>
          <w:tcPr>
            <w:tcW w:w="800" w:type="dxa"/>
            <w:tcBorders>
              <w:top w:val="nil"/>
              <w:left w:val="nil"/>
              <w:bottom w:val="single" w:sz="4" w:space="0" w:color="auto"/>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30,7</w:t>
            </w:r>
          </w:p>
        </w:tc>
        <w:tc>
          <w:tcPr>
            <w:tcW w:w="800" w:type="dxa"/>
            <w:tcBorders>
              <w:top w:val="nil"/>
              <w:left w:val="nil"/>
              <w:bottom w:val="single" w:sz="4" w:space="0" w:color="auto"/>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12,2</w:t>
            </w:r>
          </w:p>
        </w:tc>
        <w:tc>
          <w:tcPr>
            <w:tcW w:w="800" w:type="dxa"/>
            <w:tcBorders>
              <w:top w:val="nil"/>
              <w:left w:val="nil"/>
              <w:bottom w:val="single" w:sz="4" w:space="0" w:color="auto"/>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15,8</w:t>
            </w:r>
          </w:p>
        </w:tc>
        <w:tc>
          <w:tcPr>
            <w:tcW w:w="800" w:type="dxa"/>
            <w:tcBorders>
              <w:top w:val="nil"/>
              <w:left w:val="nil"/>
              <w:bottom w:val="single" w:sz="4" w:space="0" w:color="auto"/>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14,1</w:t>
            </w:r>
          </w:p>
        </w:tc>
        <w:tc>
          <w:tcPr>
            <w:tcW w:w="800" w:type="dxa"/>
            <w:tcBorders>
              <w:top w:val="nil"/>
              <w:left w:val="nil"/>
              <w:bottom w:val="single" w:sz="4" w:space="0" w:color="auto"/>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36,3</w:t>
            </w:r>
          </w:p>
        </w:tc>
      </w:tr>
      <w:tr w:rsidR="0064205F" w:rsidRPr="0064205F" w:rsidTr="0064205F">
        <w:trPr>
          <w:trHeight w:val="300"/>
        </w:trPr>
        <w:tc>
          <w:tcPr>
            <w:tcW w:w="4268" w:type="dxa"/>
            <w:tcBorders>
              <w:top w:val="nil"/>
              <w:left w:val="nil"/>
              <w:bottom w:val="nil"/>
              <w:right w:val="single" w:sz="4" w:space="0" w:color="auto"/>
            </w:tcBorders>
            <w:shd w:val="clear" w:color="auto" w:fill="auto"/>
            <w:noWrap/>
            <w:vAlign w:val="bottom"/>
            <w:hideMark/>
          </w:tcPr>
          <w:p w:rsidR="0064205F" w:rsidRPr="0064205F" w:rsidRDefault="0064205F" w:rsidP="0064205F">
            <w:pPr>
              <w:spacing w:after="0" w:line="240" w:lineRule="auto"/>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Produkcia</w:t>
            </w:r>
          </w:p>
        </w:tc>
        <w:tc>
          <w:tcPr>
            <w:tcW w:w="796" w:type="dxa"/>
            <w:tcBorders>
              <w:top w:val="nil"/>
              <w:left w:val="nil"/>
              <w:bottom w:val="nil"/>
              <w:right w:val="single" w:sz="4" w:space="0" w:color="auto"/>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183,7</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128,4</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144,3</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166,0</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124,1</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175,1</w:t>
            </w:r>
          </w:p>
        </w:tc>
      </w:tr>
      <w:tr w:rsidR="0064205F" w:rsidRPr="0064205F" w:rsidTr="0064205F">
        <w:trPr>
          <w:trHeight w:val="300"/>
        </w:trPr>
        <w:tc>
          <w:tcPr>
            <w:tcW w:w="4268" w:type="dxa"/>
            <w:tcBorders>
              <w:top w:val="nil"/>
              <w:left w:val="nil"/>
              <w:bottom w:val="nil"/>
              <w:right w:val="single" w:sz="4" w:space="0" w:color="auto"/>
            </w:tcBorders>
            <w:shd w:val="clear" w:color="auto" w:fill="auto"/>
            <w:noWrap/>
            <w:vAlign w:val="bottom"/>
            <w:hideMark/>
          </w:tcPr>
          <w:p w:rsidR="0064205F" w:rsidRPr="0064205F" w:rsidRDefault="0064205F" w:rsidP="0064205F">
            <w:pPr>
              <w:spacing w:after="0" w:line="240" w:lineRule="auto"/>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Iné zdroje (odchýlka)</w:t>
            </w:r>
          </w:p>
        </w:tc>
        <w:tc>
          <w:tcPr>
            <w:tcW w:w="796" w:type="dxa"/>
            <w:tcBorders>
              <w:top w:val="nil"/>
              <w:left w:val="nil"/>
              <w:bottom w:val="nil"/>
              <w:right w:val="single" w:sz="4" w:space="0" w:color="auto"/>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5,7</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2,3</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0,0</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0,1</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7,2</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3,0</w:t>
            </w:r>
          </w:p>
        </w:tc>
      </w:tr>
      <w:tr w:rsidR="0064205F" w:rsidRPr="0064205F" w:rsidTr="0064205F">
        <w:trPr>
          <w:trHeight w:val="300"/>
        </w:trPr>
        <w:tc>
          <w:tcPr>
            <w:tcW w:w="4268" w:type="dxa"/>
            <w:tcBorders>
              <w:top w:val="nil"/>
              <w:left w:val="nil"/>
              <w:bottom w:val="single" w:sz="4" w:space="0" w:color="auto"/>
              <w:right w:val="single" w:sz="4" w:space="0" w:color="auto"/>
            </w:tcBorders>
            <w:shd w:val="clear" w:color="auto" w:fill="auto"/>
            <w:noWrap/>
            <w:vAlign w:val="bottom"/>
            <w:hideMark/>
          </w:tcPr>
          <w:p w:rsidR="0064205F" w:rsidRPr="0064205F" w:rsidRDefault="0064205F" w:rsidP="0064205F">
            <w:pPr>
              <w:spacing w:after="0" w:line="240" w:lineRule="auto"/>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Dovoz spolu</w:t>
            </w:r>
          </w:p>
        </w:tc>
        <w:tc>
          <w:tcPr>
            <w:tcW w:w="796" w:type="dxa"/>
            <w:tcBorders>
              <w:top w:val="nil"/>
              <w:left w:val="nil"/>
              <w:bottom w:val="single" w:sz="4" w:space="0" w:color="auto"/>
              <w:right w:val="single" w:sz="4" w:space="0" w:color="auto"/>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9,7</w:t>
            </w:r>
          </w:p>
        </w:tc>
        <w:tc>
          <w:tcPr>
            <w:tcW w:w="800" w:type="dxa"/>
            <w:tcBorders>
              <w:top w:val="nil"/>
              <w:left w:val="nil"/>
              <w:bottom w:val="single" w:sz="4" w:space="0" w:color="auto"/>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9,5</w:t>
            </w:r>
          </w:p>
        </w:tc>
        <w:tc>
          <w:tcPr>
            <w:tcW w:w="800" w:type="dxa"/>
            <w:tcBorders>
              <w:top w:val="nil"/>
              <w:left w:val="nil"/>
              <w:bottom w:val="single" w:sz="4" w:space="0" w:color="auto"/>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3,0</w:t>
            </w:r>
          </w:p>
        </w:tc>
        <w:tc>
          <w:tcPr>
            <w:tcW w:w="800" w:type="dxa"/>
            <w:tcBorders>
              <w:top w:val="nil"/>
              <w:left w:val="nil"/>
              <w:bottom w:val="single" w:sz="4" w:space="0" w:color="auto"/>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50,3</w:t>
            </w:r>
          </w:p>
        </w:tc>
        <w:tc>
          <w:tcPr>
            <w:tcW w:w="800" w:type="dxa"/>
            <w:tcBorders>
              <w:top w:val="nil"/>
              <w:left w:val="nil"/>
              <w:bottom w:val="single" w:sz="4" w:space="0" w:color="auto"/>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49,6</w:t>
            </w:r>
          </w:p>
        </w:tc>
        <w:tc>
          <w:tcPr>
            <w:tcW w:w="800" w:type="dxa"/>
            <w:tcBorders>
              <w:top w:val="nil"/>
              <w:left w:val="nil"/>
              <w:bottom w:val="single" w:sz="4" w:space="0" w:color="auto"/>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35,2</w:t>
            </w:r>
          </w:p>
        </w:tc>
      </w:tr>
      <w:tr w:rsidR="0064205F" w:rsidRPr="0064205F" w:rsidTr="0064205F">
        <w:trPr>
          <w:trHeight w:val="300"/>
        </w:trPr>
        <w:tc>
          <w:tcPr>
            <w:tcW w:w="4268" w:type="dxa"/>
            <w:tcBorders>
              <w:top w:val="nil"/>
              <w:left w:val="nil"/>
              <w:bottom w:val="nil"/>
              <w:right w:val="single" w:sz="4" w:space="0" w:color="auto"/>
            </w:tcBorders>
            <w:shd w:val="clear" w:color="000000" w:fill="F2F2F2"/>
            <w:noWrap/>
            <w:vAlign w:val="bottom"/>
            <w:hideMark/>
          </w:tcPr>
          <w:p w:rsidR="0064205F" w:rsidRPr="0064205F" w:rsidRDefault="0064205F" w:rsidP="0064205F">
            <w:pPr>
              <w:spacing w:after="0" w:line="240" w:lineRule="auto"/>
              <w:rPr>
                <w:rFonts w:ascii="Times New Roman" w:eastAsia="Times New Roman" w:hAnsi="Times New Roman" w:cs="Times New Roman"/>
                <w:b/>
                <w:bCs/>
                <w:color w:val="000000"/>
                <w:sz w:val="20"/>
                <w:szCs w:val="20"/>
              </w:rPr>
            </w:pPr>
            <w:r w:rsidRPr="0064205F">
              <w:rPr>
                <w:rFonts w:ascii="Times New Roman" w:eastAsia="Times New Roman" w:hAnsi="Times New Roman" w:cs="Times New Roman"/>
                <w:b/>
                <w:bCs/>
                <w:color w:val="000000"/>
                <w:sz w:val="20"/>
                <w:szCs w:val="20"/>
              </w:rPr>
              <w:t>Celková ponuka</w:t>
            </w:r>
          </w:p>
        </w:tc>
        <w:tc>
          <w:tcPr>
            <w:tcW w:w="796" w:type="dxa"/>
            <w:tcBorders>
              <w:top w:val="nil"/>
              <w:left w:val="nil"/>
              <w:bottom w:val="nil"/>
              <w:right w:val="single" w:sz="4" w:space="0" w:color="auto"/>
            </w:tcBorders>
            <w:shd w:val="clear" w:color="000000" w:fill="F2F2F2"/>
            <w:noWrap/>
            <w:vAlign w:val="bottom"/>
            <w:hideMark/>
          </w:tcPr>
          <w:p w:rsidR="0064205F" w:rsidRPr="0064205F" w:rsidRDefault="0064205F" w:rsidP="0064205F">
            <w:pPr>
              <w:spacing w:after="0" w:line="240" w:lineRule="auto"/>
              <w:jc w:val="right"/>
              <w:rPr>
                <w:rFonts w:ascii="Times New Roman" w:eastAsia="Times New Roman" w:hAnsi="Times New Roman" w:cs="Times New Roman"/>
                <w:b/>
                <w:bCs/>
                <w:color w:val="000000"/>
                <w:sz w:val="20"/>
                <w:szCs w:val="20"/>
              </w:rPr>
            </w:pPr>
            <w:r w:rsidRPr="0064205F">
              <w:rPr>
                <w:rFonts w:ascii="Times New Roman" w:eastAsia="Times New Roman" w:hAnsi="Times New Roman" w:cs="Times New Roman"/>
                <w:b/>
                <w:bCs/>
                <w:color w:val="000000"/>
                <w:sz w:val="20"/>
                <w:szCs w:val="20"/>
              </w:rPr>
              <w:t>271,2</w:t>
            </w:r>
          </w:p>
        </w:tc>
        <w:tc>
          <w:tcPr>
            <w:tcW w:w="800" w:type="dxa"/>
            <w:tcBorders>
              <w:top w:val="nil"/>
              <w:left w:val="nil"/>
              <w:bottom w:val="nil"/>
              <w:right w:val="nil"/>
            </w:tcBorders>
            <w:shd w:val="clear" w:color="000000" w:fill="F2F2F2"/>
            <w:noWrap/>
            <w:vAlign w:val="bottom"/>
            <w:hideMark/>
          </w:tcPr>
          <w:p w:rsidR="0064205F" w:rsidRPr="0064205F" w:rsidRDefault="0064205F" w:rsidP="0064205F">
            <w:pPr>
              <w:spacing w:after="0" w:line="240" w:lineRule="auto"/>
              <w:jc w:val="right"/>
              <w:rPr>
                <w:rFonts w:ascii="Times New Roman" w:eastAsia="Times New Roman" w:hAnsi="Times New Roman" w:cs="Times New Roman"/>
                <w:b/>
                <w:bCs/>
                <w:color w:val="000000"/>
                <w:sz w:val="20"/>
                <w:szCs w:val="20"/>
              </w:rPr>
            </w:pPr>
            <w:r w:rsidRPr="0064205F">
              <w:rPr>
                <w:rFonts w:ascii="Times New Roman" w:eastAsia="Times New Roman" w:hAnsi="Times New Roman" w:cs="Times New Roman"/>
                <w:b/>
                <w:bCs/>
                <w:color w:val="000000"/>
                <w:sz w:val="20"/>
                <w:szCs w:val="20"/>
              </w:rPr>
              <w:t>170,9</w:t>
            </w:r>
          </w:p>
        </w:tc>
        <w:tc>
          <w:tcPr>
            <w:tcW w:w="800" w:type="dxa"/>
            <w:tcBorders>
              <w:top w:val="nil"/>
              <w:left w:val="nil"/>
              <w:bottom w:val="nil"/>
              <w:right w:val="nil"/>
            </w:tcBorders>
            <w:shd w:val="clear" w:color="000000" w:fill="F2F2F2"/>
            <w:noWrap/>
            <w:vAlign w:val="bottom"/>
            <w:hideMark/>
          </w:tcPr>
          <w:p w:rsidR="0064205F" w:rsidRPr="0064205F" w:rsidRDefault="0064205F" w:rsidP="0064205F">
            <w:pPr>
              <w:spacing w:after="0" w:line="240" w:lineRule="auto"/>
              <w:jc w:val="right"/>
              <w:rPr>
                <w:rFonts w:ascii="Times New Roman" w:eastAsia="Times New Roman" w:hAnsi="Times New Roman" w:cs="Times New Roman"/>
                <w:b/>
                <w:bCs/>
                <w:color w:val="000000"/>
                <w:sz w:val="20"/>
                <w:szCs w:val="20"/>
              </w:rPr>
            </w:pPr>
            <w:r w:rsidRPr="0064205F">
              <w:rPr>
                <w:rFonts w:ascii="Times New Roman" w:eastAsia="Times New Roman" w:hAnsi="Times New Roman" w:cs="Times New Roman"/>
                <w:b/>
                <w:bCs/>
                <w:color w:val="000000"/>
                <w:sz w:val="20"/>
                <w:szCs w:val="20"/>
              </w:rPr>
              <w:t>159,5</w:t>
            </w:r>
          </w:p>
        </w:tc>
        <w:tc>
          <w:tcPr>
            <w:tcW w:w="800" w:type="dxa"/>
            <w:tcBorders>
              <w:top w:val="nil"/>
              <w:left w:val="nil"/>
              <w:bottom w:val="nil"/>
              <w:right w:val="nil"/>
            </w:tcBorders>
            <w:shd w:val="clear" w:color="000000" w:fill="F2F2F2"/>
            <w:noWrap/>
            <w:vAlign w:val="bottom"/>
            <w:hideMark/>
          </w:tcPr>
          <w:p w:rsidR="0064205F" w:rsidRPr="0064205F" w:rsidRDefault="0064205F" w:rsidP="0064205F">
            <w:pPr>
              <w:spacing w:after="0" w:line="240" w:lineRule="auto"/>
              <w:jc w:val="right"/>
              <w:rPr>
                <w:rFonts w:ascii="Times New Roman" w:eastAsia="Times New Roman" w:hAnsi="Times New Roman" w:cs="Times New Roman"/>
                <w:b/>
                <w:bCs/>
                <w:color w:val="000000"/>
                <w:sz w:val="20"/>
                <w:szCs w:val="20"/>
              </w:rPr>
            </w:pPr>
            <w:r w:rsidRPr="0064205F">
              <w:rPr>
                <w:rFonts w:ascii="Times New Roman" w:eastAsia="Times New Roman" w:hAnsi="Times New Roman" w:cs="Times New Roman"/>
                <w:b/>
                <w:bCs/>
                <w:color w:val="000000"/>
                <w:sz w:val="20"/>
                <w:szCs w:val="20"/>
              </w:rPr>
              <w:t>232,2</w:t>
            </w:r>
          </w:p>
        </w:tc>
        <w:tc>
          <w:tcPr>
            <w:tcW w:w="800" w:type="dxa"/>
            <w:tcBorders>
              <w:top w:val="nil"/>
              <w:left w:val="nil"/>
              <w:bottom w:val="nil"/>
              <w:right w:val="nil"/>
            </w:tcBorders>
            <w:shd w:val="clear" w:color="000000" w:fill="F2F2F2"/>
            <w:noWrap/>
            <w:vAlign w:val="bottom"/>
            <w:hideMark/>
          </w:tcPr>
          <w:p w:rsidR="0064205F" w:rsidRPr="0064205F" w:rsidRDefault="0064205F" w:rsidP="0064205F">
            <w:pPr>
              <w:spacing w:after="0" w:line="240" w:lineRule="auto"/>
              <w:jc w:val="right"/>
              <w:rPr>
                <w:rFonts w:ascii="Times New Roman" w:eastAsia="Times New Roman" w:hAnsi="Times New Roman" w:cs="Times New Roman"/>
                <w:b/>
                <w:bCs/>
                <w:color w:val="000000"/>
                <w:sz w:val="20"/>
                <w:szCs w:val="20"/>
              </w:rPr>
            </w:pPr>
            <w:r w:rsidRPr="0064205F">
              <w:rPr>
                <w:rFonts w:ascii="Times New Roman" w:eastAsia="Times New Roman" w:hAnsi="Times New Roman" w:cs="Times New Roman"/>
                <w:b/>
                <w:bCs/>
                <w:color w:val="000000"/>
                <w:sz w:val="20"/>
                <w:szCs w:val="20"/>
              </w:rPr>
              <w:t>195,0</w:t>
            </w:r>
          </w:p>
        </w:tc>
        <w:tc>
          <w:tcPr>
            <w:tcW w:w="800" w:type="dxa"/>
            <w:tcBorders>
              <w:top w:val="nil"/>
              <w:left w:val="nil"/>
              <w:bottom w:val="nil"/>
              <w:right w:val="nil"/>
            </w:tcBorders>
            <w:shd w:val="clear" w:color="000000" w:fill="F2F2F2"/>
            <w:noWrap/>
            <w:vAlign w:val="bottom"/>
            <w:hideMark/>
          </w:tcPr>
          <w:p w:rsidR="0064205F" w:rsidRPr="0064205F" w:rsidRDefault="0064205F" w:rsidP="0064205F">
            <w:pPr>
              <w:spacing w:after="0" w:line="240" w:lineRule="auto"/>
              <w:jc w:val="right"/>
              <w:rPr>
                <w:rFonts w:ascii="Times New Roman" w:eastAsia="Times New Roman" w:hAnsi="Times New Roman" w:cs="Times New Roman"/>
                <w:b/>
                <w:bCs/>
                <w:color w:val="000000"/>
                <w:sz w:val="20"/>
                <w:szCs w:val="20"/>
              </w:rPr>
            </w:pPr>
            <w:r w:rsidRPr="0064205F">
              <w:rPr>
                <w:rFonts w:ascii="Times New Roman" w:eastAsia="Times New Roman" w:hAnsi="Times New Roman" w:cs="Times New Roman"/>
                <w:b/>
                <w:bCs/>
                <w:color w:val="000000"/>
                <w:sz w:val="20"/>
                <w:szCs w:val="20"/>
              </w:rPr>
              <w:t>249,7</w:t>
            </w:r>
          </w:p>
        </w:tc>
      </w:tr>
      <w:tr w:rsidR="0064205F" w:rsidRPr="0064205F" w:rsidTr="0064205F">
        <w:trPr>
          <w:trHeight w:val="300"/>
        </w:trPr>
        <w:tc>
          <w:tcPr>
            <w:tcW w:w="4268" w:type="dxa"/>
            <w:tcBorders>
              <w:top w:val="nil"/>
              <w:left w:val="nil"/>
              <w:bottom w:val="nil"/>
              <w:right w:val="single" w:sz="4" w:space="0" w:color="auto"/>
            </w:tcBorders>
            <w:shd w:val="clear" w:color="auto" w:fill="auto"/>
            <w:noWrap/>
            <w:vAlign w:val="bottom"/>
            <w:hideMark/>
          </w:tcPr>
          <w:p w:rsidR="0064205F" w:rsidRPr="0064205F" w:rsidRDefault="0064205F" w:rsidP="0064205F">
            <w:pPr>
              <w:spacing w:after="0" w:line="240" w:lineRule="auto"/>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Dodávky pre obyv. a výrobu</w:t>
            </w:r>
          </w:p>
        </w:tc>
        <w:tc>
          <w:tcPr>
            <w:tcW w:w="796" w:type="dxa"/>
            <w:tcBorders>
              <w:top w:val="nil"/>
              <w:left w:val="nil"/>
              <w:bottom w:val="nil"/>
              <w:right w:val="single" w:sz="4" w:space="0" w:color="auto"/>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131,2</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52,1</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49,7</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41,8</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49,5</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56,2</w:t>
            </w:r>
          </w:p>
        </w:tc>
      </w:tr>
      <w:tr w:rsidR="0064205F" w:rsidRPr="0064205F" w:rsidTr="0064205F">
        <w:trPr>
          <w:trHeight w:val="300"/>
        </w:trPr>
        <w:tc>
          <w:tcPr>
            <w:tcW w:w="4268" w:type="dxa"/>
            <w:tcBorders>
              <w:top w:val="nil"/>
              <w:left w:val="nil"/>
              <w:bottom w:val="nil"/>
              <w:right w:val="single" w:sz="4" w:space="0" w:color="auto"/>
            </w:tcBorders>
            <w:shd w:val="clear" w:color="auto" w:fill="auto"/>
            <w:noWrap/>
            <w:vAlign w:val="bottom"/>
            <w:hideMark/>
          </w:tcPr>
          <w:p w:rsidR="0064205F" w:rsidRPr="0064205F" w:rsidRDefault="0064205F" w:rsidP="0064205F">
            <w:pPr>
              <w:spacing w:after="0" w:line="240" w:lineRule="auto"/>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Ostatné dodávky</w:t>
            </w:r>
          </w:p>
        </w:tc>
        <w:tc>
          <w:tcPr>
            <w:tcW w:w="796" w:type="dxa"/>
            <w:tcBorders>
              <w:top w:val="nil"/>
              <w:left w:val="nil"/>
              <w:bottom w:val="nil"/>
              <w:right w:val="single" w:sz="4" w:space="0" w:color="auto"/>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14,7</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74,7</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70,0</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45,8</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52,1</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60,0</w:t>
            </w:r>
          </w:p>
        </w:tc>
      </w:tr>
      <w:tr w:rsidR="0064205F" w:rsidRPr="0064205F" w:rsidTr="0064205F">
        <w:trPr>
          <w:trHeight w:val="300"/>
        </w:trPr>
        <w:tc>
          <w:tcPr>
            <w:tcW w:w="4268" w:type="dxa"/>
            <w:tcBorders>
              <w:top w:val="nil"/>
              <w:left w:val="nil"/>
              <w:bottom w:val="nil"/>
              <w:right w:val="single" w:sz="4" w:space="0" w:color="auto"/>
            </w:tcBorders>
            <w:shd w:val="clear" w:color="auto" w:fill="auto"/>
            <w:noWrap/>
            <w:vAlign w:val="bottom"/>
            <w:hideMark/>
          </w:tcPr>
          <w:p w:rsidR="0064205F" w:rsidRPr="0064205F" w:rsidRDefault="0064205F" w:rsidP="0064205F">
            <w:pPr>
              <w:spacing w:after="0" w:line="240" w:lineRule="auto"/>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Vývoz spolu</w:t>
            </w:r>
          </w:p>
        </w:tc>
        <w:tc>
          <w:tcPr>
            <w:tcW w:w="796" w:type="dxa"/>
            <w:tcBorders>
              <w:top w:val="nil"/>
              <w:left w:val="nil"/>
              <w:bottom w:val="nil"/>
              <w:right w:val="single" w:sz="4" w:space="0" w:color="auto"/>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37,9</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31,9</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24,0</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130,6</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57,1</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60,0</w:t>
            </w:r>
          </w:p>
        </w:tc>
      </w:tr>
      <w:tr w:rsidR="0064205F" w:rsidRPr="0064205F" w:rsidTr="0064205F">
        <w:trPr>
          <w:trHeight w:val="300"/>
        </w:trPr>
        <w:tc>
          <w:tcPr>
            <w:tcW w:w="4268" w:type="dxa"/>
            <w:tcBorders>
              <w:top w:val="nil"/>
              <w:left w:val="nil"/>
              <w:bottom w:val="nil"/>
              <w:right w:val="single" w:sz="4" w:space="0" w:color="auto"/>
            </w:tcBorders>
            <w:shd w:val="clear" w:color="auto" w:fill="auto"/>
            <w:noWrap/>
            <w:vAlign w:val="bottom"/>
            <w:hideMark/>
          </w:tcPr>
          <w:p w:rsidR="0064205F" w:rsidRPr="0064205F" w:rsidRDefault="0064205F" w:rsidP="0064205F">
            <w:pPr>
              <w:spacing w:after="0" w:line="240" w:lineRule="auto"/>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Spotreba</w:t>
            </w:r>
          </w:p>
        </w:tc>
        <w:tc>
          <w:tcPr>
            <w:tcW w:w="796" w:type="dxa"/>
            <w:tcBorders>
              <w:top w:val="nil"/>
              <w:left w:val="nil"/>
              <w:bottom w:val="nil"/>
              <w:right w:val="single" w:sz="4" w:space="0" w:color="auto"/>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183,8</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158,6</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143,7</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218,2</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158,7</w:t>
            </w:r>
          </w:p>
        </w:tc>
        <w:tc>
          <w:tcPr>
            <w:tcW w:w="800" w:type="dxa"/>
            <w:tcBorders>
              <w:top w:val="nil"/>
              <w:left w:val="nil"/>
              <w:bottom w:val="nil"/>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176,2</w:t>
            </w:r>
          </w:p>
        </w:tc>
      </w:tr>
      <w:tr w:rsidR="0064205F" w:rsidRPr="0064205F" w:rsidTr="0064205F">
        <w:trPr>
          <w:trHeight w:val="300"/>
        </w:trPr>
        <w:tc>
          <w:tcPr>
            <w:tcW w:w="4268" w:type="dxa"/>
            <w:tcBorders>
              <w:top w:val="nil"/>
              <w:left w:val="nil"/>
              <w:bottom w:val="single" w:sz="4" w:space="0" w:color="auto"/>
              <w:right w:val="single" w:sz="4" w:space="0" w:color="auto"/>
            </w:tcBorders>
            <w:shd w:val="clear" w:color="auto" w:fill="auto"/>
            <w:noWrap/>
            <w:vAlign w:val="bottom"/>
            <w:hideMark/>
          </w:tcPr>
          <w:p w:rsidR="0064205F" w:rsidRPr="0064205F" w:rsidRDefault="0064205F" w:rsidP="0064205F">
            <w:pPr>
              <w:spacing w:after="0" w:line="240" w:lineRule="auto"/>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Konečné zásoby</w:t>
            </w:r>
          </w:p>
        </w:tc>
        <w:tc>
          <w:tcPr>
            <w:tcW w:w="796" w:type="dxa"/>
            <w:tcBorders>
              <w:top w:val="nil"/>
              <w:left w:val="nil"/>
              <w:bottom w:val="single" w:sz="4" w:space="0" w:color="auto"/>
              <w:right w:val="single" w:sz="4" w:space="0" w:color="auto"/>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87,4</w:t>
            </w:r>
          </w:p>
        </w:tc>
        <w:tc>
          <w:tcPr>
            <w:tcW w:w="800" w:type="dxa"/>
            <w:tcBorders>
              <w:top w:val="nil"/>
              <w:left w:val="nil"/>
              <w:bottom w:val="single" w:sz="4" w:space="0" w:color="auto"/>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12,2</w:t>
            </w:r>
          </w:p>
        </w:tc>
        <w:tc>
          <w:tcPr>
            <w:tcW w:w="800" w:type="dxa"/>
            <w:tcBorders>
              <w:top w:val="nil"/>
              <w:left w:val="nil"/>
              <w:bottom w:val="single" w:sz="4" w:space="0" w:color="auto"/>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15,8</w:t>
            </w:r>
          </w:p>
        </w:tc>
        <w:tc>
          <w:tcPr>
            <w:tcW w:w="800" w:type="dxa"/>
            <w:tcBorders>
              <w:top w:val="nil"/>
              <w:left w:val="nil"/>
              <w:bottom w:val="single" w:sz="4" w:space="0" w:color="auto"/>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14,1</w:t>
            </w:r>
          </w:p>
        </w:tc>
        <w:tc>
          <w:tcPr>
            <w:tcW w:w="800" w:type="dxa"/>
            <w:tcBorders>
              <w:top w:val="nil"/>
              <w:left w:val="nil"/>
              <w:bottom w:val="single" w:sz="4" w:space="0" w:color="auto"/>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36,3</w:t>
            </w:r>
          </w:p>
        </w:tc>
        <w:tc>
          <w:tcPr>
            <w:tcW w:w="800" w:type="dxa"/>
            <w:tcBorders>
              <w:top w:val="nil"/>
              <w:left w:val="nil"/>
              <w:bottom w:val="single" w:sz="4" w:space="0" w:color="auto"/>
              <w:right w:val="nil"/>
            </w:tcBorders>
            <w:shd w:val="clear" w:color="auto" w:fill="auto"/>
            <w:noWrap/>
            <w:vAlign w:val="bottom"/>
            <w:hideMark/>
          </w:tcPr>
          <w:p w:rsidR="0064205F" w:rsidRPr="0064205F" w:rsidRDefault="0064205F" w:rsidP="0064205F">
            <w:pPr>
              <w:spacing w:after="0" w:line="240" w:lineRule="auto"/>
              <w:jc w:val="right"/>
              <w:rPr>
                <w:rFonts w:ascii="Times New Roman" w:eastAsia="Times New Roman" w:hAnsi="Times New Roman" w:cs="Times New Roman"/>
                <w:color w:val="000000"/>
                <w:sz w:val="20"/>
                <w:szCs w:val="20"/>
              </w:rPr>
            </w:pPr>
            <w:r w:rsidRPr="0064205F">
              <w:rPr>
                <w:rFonts w:ascii="Times New Roman" w:eastAsia="Times New Roman" w:hAnsi="Times New Roman" w:cs="Times New Roman"/>
                <w:color w:val="000000"/>
                <w:sz w:val="20"/>
                <w:szCs w:val="20"/>
              </w:rPr>
              <w:t>73,5</w:t>
            </w:r>
          </w:p>
        </w:tc>
      </w:tr>
    </w:tbl>
    <w:p w:rsidR="0064205F" w:rsidRDefault="0064205F" w:rsidP="0064205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64205F" w:rsidRDefault="0064205F" w:rsidP="00D518D1">
      <w:pPr>
        <w:spacing w:after="0" w:line="240" w:lineRule="auto"/>
        <w:jc w:val="both"/>
        <w:rPr>
          <w:rFonts w:ascii="Times New Roman" w:hAnsi="Times New Roman" w:cs="Times New Roman"/>
          <w:b/>
          <w:sz w:val="24"/>
          <w:szCs w:val="24"/>
        </w:rPr>
      </w:pPr>
    </w:p>
    <w:p w:rsidR="00A27089" w:rsidRDefault="00A27089" w:rsidP="00A27089">
      <w:pPr>
        <w:spacing w:after="0" w:line="240" w:lineRule="auto"/>
        <w:jc w:val="both"/>
        <w:rPr>
          <w:rFonts w:ascii="Times New Roman" w:hAnsi="Times New Roman" w:cs="Times New Roman"/>
          <w:sz w:val="24"/>
          <w:szCs w:val="24"/>
        </w:rPr>
      </w:pPr>
      <w:r w:rsidRPr="007C5739">
        <w:rPr>
          <w:rFonts w:ascii="Times New Roman" w:hAnsi="Times New Roman" w:cs="Times New Roman"/>
          <w:sz w:val="24"/>
          <w:szCs w:val="24"/>
        </w:rPr>
        <w:t>Domáci dop</w:t>
      </w:r>
      <w:r>
        <w:rPr>
          <w:rFonts w:ascii="Times New Roman" w:hAnsi="Times New Roman" w:cs="Times New Roman"/>
          <w:sz w:val="24"/>
          <w:szCs w:val="24"/>
        </w:rPr>
        <w:t>yt po cukre meriame pomocou štatisticky nameranej spotreby v tonách</w:t>
      </w:r>
      <w:r w:rsidR="005F06FB">
        <w:rPr>
          <w:rFonts w:ascii="Times New Roman" w:hAnsi="Times New Roman" w:cs="Times New Roman"/>
          <w:sz w:val="24"/>
          <w:szCs w:val="24"/>
        </w:rPr>
        <w:t xml:space="preserve"> za rok, čo predstavuje objem 17</w:t>
      </w:r>
      <w:r>
        <w:rPr>
          <w:rFonts w:ascii="Times New Roman" w:hAnsi="Times New Roman" w:cs="Times New Roman"/>
          <w:sz w:val="24"/>
          <w:szCs w:val="24"/>
        </w:rPr>
        <w:t xml:space="preserve">6,2 tis. t. </w:t>
      </w:r>
      <w:r w:rsidR="00F749E9">
        <w:rPr>
          <w:rFonts w:ascii="Times New Roman" w:hAnsi="Times New Roman" w:cs="Times New Roman"/>
          <w:sz w:val="24"/>
          <w:szCs w:val="24"/>
        </w:rPr>
        <w:t>D</w:t>
      </w:r>
      <w:r>
        <w:rPr>
          <w:rFonts w:ascii="Times New Roman" w:hAnsi="Times New Roman" w:cs="Times New Roman"/>
          <w:sz w:val="24"/>
          <w:szCs w:val="24"/>
        </w:rPr>
        <w:t xml:space="preserve">omáca produkcia predstavuje objem 175,1 tis. t. Cielená miera </w:t>
      </w:r>
      <w:r w:rsidR="005F06FB">
        <w:rPr>
          <w:rFonts w:ascii="Times New Roman" w:hAnsi="Times New Roman" w:cs="Times New Roman"/>
          <w:sz w:val="24"/>
          <w:szCs w:val="24"/>
        </w:rPr>
        <w:t>produkčnej výkonnosti</w:t>
      </w:r>
      <w:r>
        <w:rPr>
          <w:rFonts w:ascii="Times New Roman" w:hAnsi="Times New Roman" w:cs="Times New Roman"/>
          <w:sz w:val="24"/>
          <w:szCs w:val="24"/>
        </w:rPr>
        <w:t xml:space="preserve"> na úrovni 80 % v tejto komodite je trvalo dosahovaná </w:t>
      </w:r>
      <w:r w:rsidR="00B37EB4">
        <w:rPr>
          <w:rFonts w:ascii="Times New Roman" w:hAnsi="Times New Roman" w:cs="Times New Roman"/>
          <w:sz w:val="24"/>
          <w:szCs w:val="24"/>
        </w:rPr>
        <w:t xml:space="preserve">len po započítaní výroby </w:t>
      </w:r>
      <w:proofErr w:type="spellStart"/>
      <w:r w:rsidR="00B37EB4">
        <w:rPr>
          <w:rFonts w:ascii="Times New Roman" w:hAnsi="Times New Roman" w:cs="Times New Roman"/>
          <w:sz w:val="24"/>
          <w:szCs w:val="24"/>
        </w:rPr>
        <w:t>mimokvótového</w:t>
      </w:r>
      <w:proofErr w:type="spellEnd"/>
      <w:r w:rsidR="00B37EB4">
        <w:rPr>
          <w:rFonts w:ascii="Times New Roman" w:hAnsi="Times New Roman" w:cs="Times New Roman"/>
          <w:sz w:val="24"/>
          <w:szCs w:val="24"/>
        </w:rPr>
        <w:t xml:space="preserve"> cukru a</w:t>
      </w:r>
      <w:r>
        <w:rPr>
          <w:rFonts w:ascii="Times New Roman" w:hAnsi="Times New Roman" w:cs="Times New Roman"/>
          <w:sz w:val="24"/>
          <w:szCs w:val="24"/>
        </w:rPr>
        <w:t xml:space="preserve"> po zohľadnení vývozu, pričom v hospodárskom roku 2011/2012 dosiahla úroveň 99,05 %. Dovoz cukru na úrovni 35,2 tis. t predstavuje dodatočnú </w:t>
      </w:r>
      <w:r w:rsidR="005F06FB">
        <w:rPr>
          <w:rFonts w:ascii="Times New Roman" w:hAnsi="Times New Roman" w:cs="Times New Roman"/>
          <w:sz w:val="24"/>
          <w:szCs w:val="24"/>
        </w:rPr>
        <w:t>spotrebu</w:t>
      </w:r>
      <w:r>
        <w:rPr>
          <w:rFonts w:ascii="Times New Roman" w:hAnsi="Times New Roman" w:cs="Times New Roman"/>
          <w:sz w:val="24"/>
          <w:szCs w:val="24"/>
        </w:rPr>
        <w:t xml:space="preserve"> cukru, ktorý </w:t>
      </w:r>
      <w:r w:rsidR="005F06FB">
        <w:rPr>
          <w:rFonts w:ascii="Times New Roman" w:hAnsi="Times New Roman" w:cs="Times New Roman"/>
          <w:sz w:val="24"/>
          <w:szCs w:val="24"/>
        </w:rPr>
        <w:t>je súčasťou dovezených výrobkov</w:t>
      </w:r>
      <w:r>
        <w:rPr>
          <w:rFonts w:ascii="Times New Roman" w:hAnsi="Times New Roman" w:cs="Times New Roman"/>
          <w:sz w:val="24"/>
          <w:szCs w:val="24"/>
        </w:rPr>
        <w:t>.</w:t>
      </w:r>
    </w:p>
    <w:p w:rsidR="00032360" w:rsidRDefault="00032360" w:rsidP="00A27089">
      <w:pPr>
        <w:spacing w:after="0" w:line="240" w:lineRule="auto"/>
        <w:jc w:val="both"/>
        <w:rPr>
          <w:rFonts w:ascii="Times New Roman" w:hAnsi="Times New Roman" w:cs="Times New Roman"/>
          <w:sz w:val="24"/>
          <w:szCs w:val="24"/>
        </w:rPr>
      </w:pPr>
    </w:p>
    <w:p w:rsidR="006F4699" w:rsidRDefault="00F749E9" w:rsidP="00A27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032360">
        <w:rPr>
          <w:rFonts w:ascii="Times New Roman" w:hAnsi="Times New Roman" w:cs="Times New Roman"/>
          <w:sz w:val="24"/>
          <w:szCs w:val="24"/>
        </w:rPr>
        <w:t xml:space="preserve">omáca produkcia cukru </w:t>
      </w:r>
      <w:r w:rsidR="006F4699">
        <w:rPr>
          <w:rFonts w:ascii="Times New Roman" w:hAnsi="Times New Roman" w:cs="Times New Roman"/>
          <w:sz w:val="24"/>
          <w:szCs w:val="24"/>
        </w:rPr>
        <w:t>bola</w:t>
      </w:r>
      <w:r w:rsidR="00032360">
        <w:rPr>
          <w:rFonts w:ascii="Times New Roman" w:hAnsi="Times New Roman" w:cs="Times New Roman"/>
          <w:sz w:val="24"/>
          <w:szCs w:val="24"/>
        </w:rPr>
        <w:t xml:space="preserve"> v strednodobom horizonte </w:t>
      </w:r>
      <w:r w:rsidR="006F4699">
        <w:rPr>
          <w:rFonts w:ascii="Times New Roman" w:hAnsi="Times New Roman" w:cs="Times New Roman"/>
          <w:sz w:val="24"/>
          <w:szCs w:val="24"/>
        </w:rPr>
        <w:t xml:space="preserve">ovplyvnená predovšetkým rapídnym poklesom zberových plôch cukrovej repy, </w:t>
      </w:r>
      <w:r w:rsidR="00285771">
        <w:rPr>
          <w:rFonts w:ascii="Times New Roman" w:hAnsi="Times New Roman" w:cs="Times New Roman"/>
          <w:sz w:val="24"/>
          <w:szCs w:val="24"/>
        </w:rPr>
        <w:t>pričom</w:t>
      </w:r>
      <w:r w:rsidR="006F4699">
        <w:rPr>
          <w:rFonts w:ascii="Times New Roman" w:hAnsi="Times New Roman" w:cs="Times New Roman"/>
          <w:sz w:val="24"/>
          <w:szCs w:val="24"/>
        </w:rPr>
        <w:t xml:space="preserve"> tento prepad </w:t>
      </w:r>
      <w:r w:rsidR="00285771">
        <w:rPr>
          <w:rFonts w:ascii="Times New Roman" w:hAnsi="Times New Roman" w:cs="Times New Roman"/>
          <w:sz w:val="24"/>
          <w:szCs w:val="24"/>
        </w:rPr>
        <w:t>nebolo možné</w:t>
      </w:r>
      <w:r w:rsidR="006F4699">
        <w:rPr>
          <w:rFonts w:ascii="Times New Roman" w:hAnsi="Times New Roman" w:cs="Times New Roman"/>
          <w:sz w:val="24"/>
          <w:szCs w:val="24"/>
        </w:rPr>
        <w:t xml:space="preserve"> v plnej </w:t>
      </w:r>
      <w:r w:rsidR="00C32F26">
        <w:rPr>
          <w:rFonts w:ascii="Times New Roman" w:hAnsi="Times New Roman" w:cs="Times New Roman"/>
          <w:sz w:val="24"/>
          <w:szCs w:val="24"/>
        </w:rPr>
        <w:t>miere</w:t>
      </w:r>
      <w:r w:rsidR="00285771">
        <w:rPr>
          <w:rFonts w:ascii="Times New Roman" w:hAnsi="Times New Roman" w:cs="Times New Roman"/>
          <w:sz w:val="24"/>
          <w:szCs w:val="24"/>
        </w:rPr>
        <w:t>, v strednodobom horizonte</w:t>
      </w:r>
      <w:r w:rsidR="00CA4993">
        <w:rPr>
          <w:rFonts w:ascii="Times New Roman" w:hAnsi="Times New Roman" w:cs="Times New Roman"/>
          <w:sz w:val="24"/>
          <w:szCs w:val="24"/>
        </w:rPr>
        <w:t>,</w:t>
      </w:r>
      <w:r w:rsidR="00C32F26">
        <w:rPr>
          <w:rFonts w:ascii="Times New Roman" w:hAnsi="Times New Roman" w:cs="Times New Roman"/>
          <w:sz w:val="24"/>
          <w:szCs w:val="24"/>
        </w:rPr>
        <w:t xml:space="preserve"> korigov</w:t>
      </w:r>
      <w:r w:rsidR="00285771">
        <w:rPr>
          <w:rFonts w:ascii="Times New Roman" w:hAnsi="Times New Roman" w:cs="Times New Roman"/>
          <w:sz w:val="24"/>
          <w:szCs w:val="24"/>
        </w:rPr>
        <w:t>ať</w:t>
      </w:r>
      <w:r w:rsidR="006F4699">
        <w:rPr>
          <w:rFonts w:ascii="Times New Roman" w:hAnsi="Times New Roman" w:cs="Times New Roman"/>
          <w:sz w:val="24"/>
          <w:szCs w:val="24"/>
        </w:rPr>
        <w:t xml:space="preserve"> intenzifikáciou jej produkcie. </w:t>
      </w:r>
    </w:p>
    <w:p w:rsidR="006F4699" w:rsidRDefault="006F4699" w:rsidP="00A27089">
      <w:pPr>
        <w:spacing w:after="0" w:line="240" w:lineRule="auto"/>
        <w:jc w:val="both"/>
        <w:rPr>
          <w:rFonts w:ascii="Times New Roman" w:hAnsi="Times New Roman" w:cs="Times New Roman"/>
          <w:sz w:val="24"/>
          <w:szCs w:val="24"/>
        </w:rPr>
      </w:pPr>
    </w:p>
    <w:p w:rsidR="007C31B0" w:rsidRDefault="007C31B0" w:rsidP="00A27089">
      <w:pPr>
        <w:spacing w:after="0" w:line="240" w:lineRule="auto"/>
        <w:jc w:val="both"/>
        <w:rPr>
          <w:rFonts w:ascii="Times New Roman" w:hAnsi="Times New Roman" w:cs="Times New Roman"/>
          <w:sz w:val="24"/>
          <w:szCs w:val="24"/>
        </w:rPr>
      </w:pPr>
    </w:p>
    <w:p w:rsidR="007C31B0" w:rsidRDefault="007C31B0" w:rsidP="00A27089">
      <w:pPr>
        <w:spacing w:after="0" w:line="240" w:lineRule="auto"/>
        <w:jc w:val="both"/>
        <w:rPr>
          <w:rFonts w:ascii="Times New Roman" w:hAnsi="Times New Roman" w:cs="Times New Roman"/>
          <w:sz w:val="24"/>
          <w:szCs w:val="24"/>
        </w:rPr>
      </w:pPr>
    </w:p>
    <w:p w:rsidR="007C31B0" w:rsidRDefault="007C31B0" w:rsidP="00A27089">
      <w:pPr>
        <w:spacing w:after="0" w:line="240" w:lineRule="auto"/>
        <w:jc w:val="both"/>
        <w:rPr>
          <w:rFonts w:ascii="Times New Roman" w:hAnsi="Times New Roman" w:cs="Times New Roman"/>
          <w:sz w:val="24"/>
          <w:szCs w:val="24"/>
        </w:rPr>
      </w:pPr>
    </w:p>
    <w:p w:rsidR="00425665" w:rsidRDefault="00425665" w:rsidP="00A27089">
      <w:pPr>
        <w:spacing w:after="0" w:line="240" w:lineRule="auto"/>
        <w:jc w:val="both"/>
        <w:rPr>
          <w:rFonts w:ascii="Times New Roman" w:hAnsi="Times New Roman" w:cs="Times New Roman"/>
          <w:sz w:val="24"/>
          <w:szCs w:val="24"/>
        </w:rPr>
      </w:pPr>
    </w:p>
    <w:p w:rsidR="00425665" w:rsidRDefault="00425665" w:rsidP="00A27089">
      <w:pPr>
        <w:spacing w:after="0" w:line="240" w:lineRule="auto"/>
        <w:jc w:val="both"/>
        <w:rPr>
          <w:rFonts w:ascii="Times New Roman" w:hAnsi="Times New Roman" w:cs="Times New Roman"/>
          <w:sz w:val="20"/>
          <w:szCs w:val="20"/>
        </w:rPr>
      </w:pPr>
    </w:p>
    <w:p w:rsidR="00F6585B" w:rsidRDefault="00F6585B" w:rsidP="00A27089">
      <w:pPr>
        <w:spacing w:after="0" w:line="240" w:lineRule="auto"/>
        <w:jc w:val="both"/>
        <w:rPr>
          <w:rFonts w:ascii="Times New Roman" w:hAnsi="Times New Roman" w:cs="Times New Roman"/>
          <w:sz w:val="20"/>
          <w:szCs w:val="20"/>
        </w:rPr>
      </w:pPr>
    </w:p>
    <w:p w:rsidR="00F6585B" w:rsidRDefault="00F6585B" w:rsidP="00A27089">
      <w:pPr>
        <w:spacing w:after="0" w:line="240" w:lineRule="auto"/>
        <w:jc w:val="both"/>
        <w:rPr>
          <w:rFonts w:ascii="Times New Roman" w:hAnsi="Times New Roman" w:cs="Times New Roman"/>
          <w:sz w:val="20"/>
          <w:szCs w:val="20"/>
        </w:rPr>
      </w:pPr>
    </w:p>
    <w:p w:rsidR="00285771" w:rsidRDefault="00C970F8" w:rsidP="00A27089">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Graf č. 35</w:t>
      </w:r>
      <w:r w:rsidR="00285771" w:rsidRPr="00C55549">
        <w:rPr>
          <w:rFonts w:ascii="Times New Roman" w:hAnsi="Times New Roman" w:cs="Times New Roman"/>
          <w:sz w:val="20"/>
          <w:szCs w:val="20"/>
        </w:rPr>
        <w:t>:</w:t>
      </w:r>
      <w:r w:rsidR="00BD3B11">
        <w:rPr>
          <w:rFonts w:ascii="Times New Roman" w:hAnsi="Times New Roman" w:cs="Times New Roman"/>
          <w:sz w:val="20"/>
          <w:szCs w:val="20"/>
        </w:rPr>
        <w:t xml:space="preserve"> Vývoj zberových plôch a produkcie cukrovej repy</w:t>
      </w:r>
    </w:p>
    <w:p w:rsidR="00285771" w:rsidRDefault="00285771" w:rsidP="00A27089">
      <w:pPr>
        <w:spacing w:after="0" w:line="240" w:lineRule="auto"/>
        <w:jc w:val="both"/>
        <w:rPr>
          <w:rFonts w:ascii="Times New Roman" w:hAnsi="Times New Roman" w:cs="Times New Roman"/>
          <w:sz w:val="24"/>
          <w:szCs w:val="24"/>
        </w:rPr>
      </w:pPr>
      <w:r>
        <w:rPr>
          <w:noProof/>
        </w:rPr>
        <w:drawing>
          <wp:inline distT="0" distB="0" distL="0" distR="0" wp14:anchorId="5CD7DD7F" wp14:editId="60593756">
            <wp:extent cx="5789220" cy="2909455"/>
            <wp:effectExtent l="0" t="0" r="0" b="0"/>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E0F19" w:rsidRDefault="006E0F19" w:rsidP="006E0F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5F06FB" w:rsidRDefault="005F06FB" w:rsidP="00A27089">
      <w:pPr>
        <w:spacing w:after="0" w:line="240" w:lineRule="auto"/>
        <w:jc w:val="both"/>
        <w:rPr>
          <w:rFonts w:ascii="Times New Roman" w:hAnsi="Times New Roman" w:cs="Times New Roman"/>
          <w:sz w:val="24"/>
          <w:szCs w:val="24"/>
        </w:rPr>
      </w:pPr>
    </w:p>
    <w:p w:rsidR="00032360" w:rsidRDefault="00CA4993" w:rsidP="00A27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Avšak, p</w:t>
      </w:r>
      <w:r w:rsidR="006F4699">
        <w:rPr>
          <w:rFonts w:ascii="Times New Roman" w:hAnsi="Times New Roman" w:cs="Times New Roman"/>
          <w:sz w:val="24"/>
          <w:szCs w:val="24"/>
        </w:rPr>
        <w:t>ráve intenzifikácia produkcie cukrovej repy</w:t>
      </w:r>
      <w:r w:rsidR="00454E90">
        <w:rPr>
          <w:rFonts w:ascii="Times New Roman" w:hAnsi="Times New Roman" w:cs="Times New Roman"/>
          <w:sz w:val="24"/>
          <w:szCs w:val="24"/>
        </w:rPr>
        <w:t>, v podobe rastu hektárových úrod a rastu miery cukornatosti,</w:t>
      </w:r>
      <w:r w:rsidR="006F4699">
        <w:rPr>
          <w:rFonts w:ascii="Times New Roman" w:hAnsi="Times New Roman" w:cs="Times New Roman"/>
          <w:sz w:val="24"/>
          <w:szCs w:val="24"/>
        </w:rPr>
        <w:t xml:space="preserve"> zabezpečila, že domáca produkcia cukru v hospodárskom roku 2011/12 dosahovala kvantitatívne referenčné úrovne</w:t>
      </w:r>
      <w:r w:rsidR="00032360">
        <w:rPr>
          <w:rFonts w:ascii="Times New Roman" w:hAnsi="Times New Roman" w:cs="Times New Roman"/>
          <w:sz w:val="24"/>
          <w:szCs w:val="24"/>
        </w:rPr>
        <w:t xml:space="preserve"> hospodárskeho roka 2002/03</w:t>
      </w:r>
      <w:r w:rsidR="006F4699">
        <w:rPr>
          <w:rFonts w:ascii="Times New Roman" w:hAnsi="Times New Roman" w:cs="Times New Roman"/>
          <w:sz w:val="24"/>
          <w:szCs w:val="24"/>
        </w:rPr>
        <w:t xml:space="preserve"> na</w:t>
      </w:r>
      <w:r w:rsidR="00E15550">
        <w:rPr>
          <w:rFonts w:ascii="Times New Roman" w:hAnsi="Times New Roman" w:cs="Times New Roman"/>
          <w:sz w:val="24"/>
          <w:szCs w:val="24"/>
        </w:rPr>
        <w:t xml:space="preserve"> </w:t>
      </w:r>
      <w:r w:rsidR="006F4699">
        <w:rPr>
          <w:rFonts w:ascii="Times New Roman" w:hAnsi="Times New Roman" w:cs="Times New Roman"/>
          <w:sz w:val="24"/>
          <w:szCs w:val="24"/>
        </w:rPr>
        <w:t xml:space="preserve">95,32 %. </w:t>
      </w:r>
    </w:p>
    <w:p w:rsidR="00454E90" w:rsidRDefault="00454E90" w:rsidP="00A27089">
      <w:pPr>
        <w:spacing w:after="0" w:line="240" w:lineRule="auto"/>
        <w:jc w:val="both"/>
        <w:rPr>
          <w:rFonts w:ascii="Times New Roman" w:hAnsi="Times New Roman" w:cs="Times New Roman"/>
          <w:sz w:val="24"/>
          <w:szCs w:val="24"/>
        </w:rPr>
      </w:pPr>
    </w:p>
    <w:p w:rsidR="002A56A3" w:rsidRDefault="001C2862" w:rsidP="00A2708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Graf č</w:t>
      </w:r>
      <w:r w:rsidR="00060C8C">
        <w:rPr>
          <w:rFonts w:ascii="Times New Roman" w:hAnsi="Times New Roman" w:cs="Times New Roman"/>
          <w:sz w:val="20"/>
          <w:szCs w:val="20"/>
        </w:rPr>
        <w:t>. 3</w:t>
      </w:r>
      <w:r w:rsidR="00C970F8">
        <w:rPr>
          <w:rFonts w:ascii="Times New Roman" w:hAnsi="Times New Roman" w:cs="Times New Roman"/>
          <w:sz w:val="20"/>
          <w:szCs w:val="20"/>
        </w:rPr>
        <w:t>6</w:t>
      </w:r>
      <w:r w:rsidR="002A56A3" w:rsidRPr="00C55549">
        <w:rPr>
          <w:rFonts w:ascii="Times New Roman" w:hAnsi="Times New Roman" w:cs="Times New Roman"/>
          <w:sz w:val="20"/>
          <w:szCs w:val="20"/>
        </w:rPr>
        <w:t>:</w:t>
      </w:r>
      <w:r w:rsidR="002A56A3">
        <w:rPr>
          <w:rFonts w:ascii="Times New Roman" w:hAnsi="Times New Roman" w:cs="Times New Roman"/>
          <w:sz w:val="20"/>
          <w:szCs w:val="20"/>
        </w:rPr>
        <w:t xml:space="preserve"> Vývoj priemerných hektárových úrod a priemernej miery cukornatosti</w:t>
      </w:r>
    </w:p>
    <w:p w:rsidR="00454E90" w:rsidRDefault="00454E90" w:rsidP="00A27089">
      <w:pPr>
        <w:spacing w:after="0" w:line="240" w:lineRule="auto"/>
        <w:jc w:val="both"/>
        <w:rPr>
          <w:rFonts w:ascii="Times New Roman" w:hAnsi="Times New Roman" w:cs="Times New Roman"/>
          <w:sz w:val="24"/>
          <w:szCs w:val="24"/>
        </w:rPr>
      </w:pPr>
      <w:r>
        <w:rPr>
          <w:noProof/>
        </w:rPr>
        <w:drawing>
          <wp:inline distT="0" distB="0" distL="0" distR="0" wp14:anchorId="59ACD527" wp14:editId="567A1D1F">
            <wp:extent cx="5759532" cy="2796639"/>
            <wp:effectExtent l="0" t="0" r="0" b="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A56A3" w:rsidRDefault="002A56A3" w:rsidP="002A56A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2A56A3" w:rsidRDefault="002A56A3" w:rsidP="00A27089">
      <w:pPr>
        <w:spacing w:after="0" w:line="240" w:lineRule="auto"/>
        <w:jc w:val="both"/>
        <w:rPr>
          <w:rFonts w:ascii="Times New Roman" w:hAnsi="Times New Roman" w:cs="Times New Roman"/>
          <w:sz w:val="24"/>
          <w:szCs w:val="24"/>
        </w:rPr>
      </w:pPr>
    </w:p>
    <w:p w:rsidR="00E5783C" w:rsidRDefault="005E50E9" w:rsidP="00A27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Čo sa týka súčasnej úrovne spracovania produkcie cukrovej repy táto je na úrovni 100 % súčasných kapacít cukrovarov na Slovensku. Na základe toho je možné konštatovať, že súčasná domáca produkcia cukru je optimálna vzhľadom na potreby obyvateľstva a produkčnú výkonnosť prvovýroby. Zároveň</w:t>
      </w:r>
      <w:r w:rsidR="00157ED5">
        <w:rPr>
          <w:rFonts w:ascii="Times New Roman" w:hAnsi="Times New Roman" w:cs="Times New Roman"/>
          <w:sz w:val="24"/>
          <w:szCs w:val="24"/>
        </w:rPr>
        <w:t>,</w:t>
      </w:r>
      <w:r>
        <w:rPr>
          <w:rFonts w:ascii="Times New Roman" w:hAnsi="Times New Roman" w:cs="Times New Roman"/>
          <w:sz w:val="24"/>
          <w:szCs w:val="24"/>
        </w:rPr>
        <w:t xml:space="preserve"> domáca produkcia cukru plne </w:t>
      </w:r>
      <w:proofErr w:type="spellStart"/>
      <w:r>
        <w:rPr>
          <w:rFonts w:ascii="Times New Roman" w:hAnsi="Times New Roman" w:cs="Times New Roman"/>
          <w:sz w:val="24"/>
          <w:szCs w:val="24"/>
        </w:rPr>
        <w:t>koreluje</w:t>
      </w:r>
      <w:proofErr w:type="spellEnd"/>
      <w:r>
        <w:rPr>
          <w:rFonts w:ascii="Times New Roman" w:hAnsi="Times New Roman" w:cs="Times New Roman"/>
          <w:sz w:val="24"/>
          <w:szCs w:val="24"/>
        </w:rPr>
        <w:t xml:space="preserve"> so spotrebiteľskými preferenciami a teda korešponduje s priemernou spotrebou cukru na obyvateľa.</w:t>
      </w:r>
    </w:p>
    <w:p w:rsidR="007C31B0" w:rsidRDefault="007C31B0" w:rsidP="00A27089">
      <w:pPr>
        <w:spacing w:after="0" w:line="240" w:lineRule="auto"/>
        <w:jc w:val="both"/>
        <w:rPr>
          <w:rFonts w:ascii="Times New Roman" w:hAnsi="Times New Roman" w:cs="Times New Roman"/>
          <w:sz w:val="24"/>
          <w:szCs w:val="24"/>
        </w:rPr>
      </w:pPr>
    </w:p>
    <w:p w:rsidR="00D6047F" w:rsidRPr="00D6047F" w:rsidRDefault="00C970F8" w:rsidP="00A270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Graf č. 37</w:t>
      </w:r>
      <w:r w:rsidR="00D6047F" w:rsidRPr="00155936">
        <w:rPr>
          <w:rFonts w:ascii="Times New Roman" w:hAnsi="Times New Roman" w:cs="Times New Roman"/>
          <w:sz w:val="20"/>
          <w:szCs w:val="20"/>
        </w:rPr>
        <w:t>:</w:t>
      </w:r>
      <w:r w:rsidR="00D6047F">
        <w:rPr>
          <w:rFonts w:ascii="Times New Roman" w:hAnsi="Times New Roman" w:cs="Times New Roman"/>
          <w:sz w:val="20"/>
          <w:szCs w:val="20"/>
        </w:rPr>
        <w:t xml:space="preserve"> S</w:t>
      </w:r>
      <w:r w:rsidR="00D6047F" w:rsidRPr="008C3068">
        <w:rPr>
          <w:rFonts w:ascii="Times New Roman" w:hAnsi="Times New Roman" w:cs="Times New Roman"/>
          <w:sz w:val="20"/>
          <w:szCs w:val="20"/>
        </w:rPr>
        <w:t xml:space="preserve">potreba </w:t>
      </w:r>
      <w:r w:rsidR="00D6047F">
        <w:rPr>
          <w:rFonts w:ascii="Times New Roman" w:hAnsi="Times New Roman" w:cs="Times New Roman"/>
          <w:sz w:val="20"/>
          <w:szCs w:val="20"/>
        </w:rPr>
        <w:t>cukru</w:t>
      </w:r>
      <w:r w:rsidR="00D6047F" w:rsidRPr="008C3068">
        <w:rPr>
          <w:rFonts w:ascii="Times New Roman" w:hAnsi="Times New Roman" w:cs="Times New Roman"/>
          <w:sz w:val="20"/>
          <w:szCs w:val="20"/>
        </w:rPr>
        <w:t xml:space="preserve"> na obyvateľa v kg za rok</w:t>
      </w:r>
    </w:p>
    <w:p w:rsidR="00D6047F" w:rsidRDefault="00D6047F" w:rsidP="00A27089">
      <w:pPr>
        <w:spacing w:after="0" w:line="240" w:lineRule="auto"/>
        <w:jc w:val="both"/>
        <w:rPr>
          <w:rFonts w:ascii="Times New Roman" w:hAnsi="Times New Roman" w:cs="Times New Roman"/>
          <w:sz w:val="24"/>
          <w:szCs w:val="24"/>
        </w:rPr>
      </w:pPr>
      <w:r>
        <w:rPr>
          <w:noProof/>
        </w:rPr>
        <w:drawing>
          <wp:inline distT="0" distB="0" distL="0" distR="0" wp14:anchorId="25BC13F1" wp14:editId="3B55CAAF">
            <wp:extent cx="5759532" cy="1620981"/>
            <wp:effectExtent l="0" t="0" r="0" b="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6047F" w:rsidRDefault="00D6047F" w:rsidP="00D6047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5E50E9" w:rsidRDefault="005E50E9" w:rsidP="00A27089">
      <w:pPr>
        <w:spacing w:after="0" w:line="240" w:lineRule="auto"/>
        <w:jc w:val="both"/>
        <w:rPr>
          <w:rFonts w:ascii="Times New Roman" w:hAnsi="Times New Roman" w:cs="Times New Roman"/>
          <w:sz w:val="24"/>
          <w:szCs w:val="24"/>
        </w:rPr>
      </w:pPr>
    </w:p>
    <w:p w:rsidR="00D6047F" w:rsidRDefault="00D6047F" w:rsidP="00D60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Vzhľadom na to, že spotrebiteľské preferencie sú v spotrebe cukru v strednom období stabilné, je nutné tento trend zachovať a zastabilizovať súčasnú spotrebu cukru na obyvateľa minimálne na úrovni roku 2010.</w:t>
      </w:r>
    </w:p>
    <w:p w:rsidR="00D6047F" w:rsidRDefault="00D6047F" w:rsidP="00D6047F">
      <w:pPr>
        <w:spacing w:after="0" w:line="240" w:lineRule="auto"/>
        <w:jc w:val="both"/>
        <w:rPr>
          <w:rFonts w:ascii="Times New Roman" w:hAnsi="Times New Roman" w:cs="Times New Roman"/>
          <w:sz w:val="24"/>
          <w:szCs w:val="24"/>
        </w:rPr>
      </w:pPr>
    </w:p>
    <w:p w:rsidR="002945DD" w:rsidRPr="002945DD" w:rsidRDefault="00060C8C" w:rsidP="00D604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3</w:t>
      </w:r>
      <w:r w:rsidR="00C970F8">
        <w:rPr>
          <w:rFonts w:ascii="Times New Roman" w:hAnsi="Times New Roman" w:cs="Times New Roman"/>
          <w:sz w:val="20"/>
          <w:szCs w:val="20"/>
        </w:rPr>
        <w:t>8</w:t>
      </w:r>
      <w:r w:rsidR="002945DD" w:rsidRPr="00155936">
        <w:rPr>
          <w:rFonts w:ascii="Times New Roman" w:hAnsi="Times New Roman" w:cs="Times New Roman"/>
          <w:sz w:val="20"/>
          <w:szCs w:val="20"/>
        </w:rPr>
        <w:t>:</w:t>
      </w:r>
      <w:r w:rsidR="002945DD">
        <w:rPr>
          <w:rFonts w:ascii="Times New Roman" w:hAnsi="Times New Roman" w:cs="Times New Roman"/>
          <w:sz w:val="20"/>
          <w:szCs w:val="20"/>
        </w:rPr>
        <w:t xml:space="preserve"> Vývoj cien </w:t>
      </w:r>
      <w:r w:rsidR="00EF2DA3">
        <w:rPr>
          <w:rFonts w:ascii="Times New Roman" w:hAnsi="Times New Roman" w:cs="Times New Roman"/>
          <w:sz w:val="20"/>
          <w:szCs w:val="20"/>
        </w:rPr>
        <w:t xml:space="preserve">a nákladov </w:t>
      </w:r>
      <w:r w:rsidR="002945DD">
        <w:rPr>
          <w:rFonts w:ascii="Times New Roman" w:hAnsi="Times New Roman" w:cs="Times New Roman"/>
          <w:sz w:val="20"/>
          <w:szCs w:val="20"/>
        </w:rPr>
        <w:t>prvovýrobcov za tonu cukrovej repy použitej na výrobu cukru v EUR/t</w:t>
      </w:r>
    </w:p>
    <w:p w:rsidR="002945DD" w:rsidRDefault="000F6819" w:rsidP="00D6047F">
      <w:pPr>
        <w:spacing w:after="0" w:line="240" w:lineRule="auto"/>
        <w:jc w:val="both"/>
        <w:rPr>
          <w:rFonts w:ascii="Times New Roman" w:hAnsi="Times New Roman" w:cs="Times New Roman"/>
          <w:sz w:val="24"/>
          <w:szCs w:val="24"/>
        </w:rPr>
      </w:pPr>
      <w:r>
        <w:rPr>
          <w:noProof/>
        </w:rPr>
        <w:drawing>
          <wp:inline distT="0" distB="0" distL="0" distR="0" wp14:anchorId="654D7603" wp14:editId="67B53425">
            <wp:extent cx="5759532" cy="2844140"/>
            <wp:effectExtent l="0" t="0" r="0" b="0"/>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945DD" w:rsidRDefault="002945DD" w:rsidP="002945D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D736EF" w:rsidRDefault="00D736EF" w:rsidP="00EF2DA3">
      <w:pPr>
        <w:spacing w:after="0" w:line="240" w:lineRule="auto"/>
        <w:jc w:val="both"/>
        <w:rPr>
          <w:rFonts w:ascii="Times New Roman" w:hAnsi="Times New Roman" w:cs="Times New Roman"/>
          <w:sz w:val="24"/>
          <w:szCs w:val="24"/>
        </w:rPr>
      </w:pPr>
    </w:p>
    <w:p w:rsidR="0028634D" w:rsidRDefault="00EF2DA3" w:rsidP="00EF2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Ceny prvovýrobcov bez započítania dotácií, t.j. osobitnej platby na cukor a dočasnej štátnej pomoci, nepokrývajú vlastné náklady na produkciu 1 t cukrovej repy, vypočítané pomocou vyčíslenia jednotlivých kalkulačných položiek vlastných nákladov na jednotku produkcie. Takto vypočítané vlastné náklady na 1 t cukrovej repy dosahovali v roku 2010 výšku 29,57 EUR/t. Primárna strata prvovýrobcu sa takto pohybuje na úrovni 3,6 EUR/t.</w:t>
      </w:r>
      <w:r w:rsidR="00BE1615">
        <w:rPr>
          <w:rFonts w:ascii="Times New Roman" w:hAnsi="Times New Roman" w:cs="Times New Roman"/>
          <w:sz w:val="24"/>
          <w:szCs w:val="24"/>
        </w:rPr>
        <w:t xml:space="preserve"> </w:t>
      </w:r>
      <w:r>
        <w:rPr>
          <w:rFonts w:ascii="Times New Roman" w:hAnsi="Times New Roman" w:cs="Times New Roman"/>
          <w:sz w:val="24"/>
          <w:szCs w:val="24"/>
        </w:rPr>
        <w:t xml:space="preserve">Dotácie však túto stratu plne kryjú a umožňujú prvovýrobcovi dosahovať ziskovosť na úrovni </w:t>
      </w:r>
      <w:r w:rsidR="0028634D">
        <w:rPr>
          <w:rFonts w:ascii="Times New Roman" w:hAnsi="Times New Roman" w:cs="Times New Roman"/>
          <w:sz w:val="24"/>
          <w:szCs w:val="24"/>
        </w:rPr>
        <w:t>6,8 EUR/t a tým udržujú rovnovážny stav na trhu s cukrom.</w:t>
      </w:r>
    </w:p>
    <w:p w:rsidR="005112BA" w:rsidRDefault="005112BA" w:rsidP="005112BA">
      <w:pPr>
        <w:spacing w:after="0" w:line="240" w:lineRule="auto"/>
        <w:jc w:val="both"/>
        <w:rPr>
          <w:rFonts w:ascii="Times New Roman" w:hAnsi="Times New Roman" w:cs="Times New Roman"/>
          <w:sz w:val="24"/>
          <w:szCs w:val="24"/>
        </w:rPr>
      </w:pPr>
    </w:p>
    <w:p w:rsidR="005112BA" w:rsidRDefault="005112BA" w:rsidP="00511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Vyššie uvedené potvrdzuje aj vývoj cenových indexov na jednotlivých stupňoch potravinovej vertikály. </w:t>
      </w:r>
      <w:r w:rsidR="005F06FB">
        <w:rPr>
          <w:rFonts w:ascii="Times New Roman" w:hAnsi="Times New Roman" w:cs="Times New Roman"/>
          <w:sz w:val="24"/>
          <w:szCs w:val="24"/>
        </w:rPr>
        <w:t>O</w:t>
      </w:r>
      <w:r>
        <w:rPr>
          <w:rFonts w:ascii="Times New Roman" w:hAnsi="Times New Roman" w:cs="Times New Roman"/>
          <w:sz w:val="24"/>
          <w:szCs w:val="24"/>
        </w:rPr>
        <w:t>sobitná platba na cukor a dočasná štátna pomoc takto zabezpečujú na trhu s cukrom optimálny stav, kedy sa výroba optimálne intenzifikuje, kapacity spracovateľského priemyslu sa využívajú na 100 % a spotreba cukru na obyvateľa je stabilná.</w:t>
      </w:r>
    </w:p>
    <w:p w:rsidR="001C2862" w:rsidRDefault="001C2862" w:rsidP="002945DD">
      <w:pPr>
        <w:spacing w:after="0" w:line="240" w:lineRule="auto"/>
        <w:jc w:val="both"/>
        <w:rPr>
          <w:rFonts w:ascii="Times New Roman" w:hAnsi="Times New Roman" w:cs="Times New Roman"/>
          <w:sz w:val="24"/>
          <w:szCs w:val="24"/>
        </w:rPr>
      </w:pPr>
    </w:p>
    <w:p w:rsidR="0034029F" w:rsidRDefault="0034029F" w:rsidP="002945DD">
      <w:pPr>
        <w:spacing w:after="0" w:line="240" w:lineRule="auto"/>
        <w:jc w:val="both"/>
        <w:rPr>
          <w:rFonts w:ascii="Times New Roman" w:hAnsi="Times New Roman" w:cs="Times New Roman"/>
          <w:sz w:val="24"/>
          <w:szCs w:val="24"/>
        </w:rPr>
      </w:pPr>
    </w:p>
    <w:p w:rsidR="00425665" w:rsidRDefault="00425665" w:rsidP="002945DD">
      <w:pPr>
        <w:spacing w:after="0" w:line="240" w:lineRule="auto"/>
        <w:jc w:val="both"/>
        <w:rPr>
          <w:rFonts w:ascii="Times New Roman" w:hAnsi="Times New Roman" w:cs="Times New Roman"/>
          <w:sz w:val="20"/>
          <w:szCs w:val="20"/>
        </w:rPr>
      </w:pPr>
    </w:p>
    <w:p w:rsidR="0028634D" w:rsidRPr="0028634D" w:rsidRDefault="00C970F8" w:rsidP="002945DD">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Graf č. 39</w:t>
      </w:r>
      <w:r w:rsidR="0028634D" w:rsidRPr="00C55549">
        <w:rPr>
          <w:rFonts w:ascii="Times New Roman" w:hAnsi="Times New Roman" w:cs="Times New Roman"/>
          <w:sz w:val="20"/>
          <w:szCs w:val="20"/>
        </w:rPr>
        <w:t>:</w:t>
      </w:r>
      <w:r w:rsidR="0028634D">
        <w:rPr>
          <w:rFonts w:ascii="Times New Roman" w:hAnsi="Times New Roman" w:cs="Times New Roman"/>
          <w:sz w:val="20"/>
          <w:szCs w:val="20"/>
        </w:rPr>
        <w:t xml:space="preserve"> Vývoj cenových indexov na jednotlivých stupňoch potravinovej vertikály</w:t>
      </w:r>
    </w:p>
    <w:p w:rsidR="002945DD" w:rsidRDefault="002945DD" w:rsidP="00D6047F">
      <w:pPr>
        <w:spacing w:after="0" w:line="240" w:lineRule="auto"/>
        <w:jc w:val="both"/>
        <w:rPr>
          <w:rFonts w:ascii="Times New Roman" w:hAnsi="Times New Roman" w:cs="Times New Roman"/>
          <w:sz w:val="24"/>
          <w:szCs w:val="24"/>
        </w:rPr>
      </w:pPr>
      <w:r>
        <w:rPr>
          <w:noProof/>
        </w:rPr>
        <w:drawing>
          <wp:inline distT="0" distB="0" distL="0" distR="0" wp14:anchorId="2D9E4E3A" wp14:editId="2D2BD84B">
            <wp:extent cx="5757062" cy="1653235"/>
            <wp:effectExtent l="0" t="0" r="0" b="4445"/>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8634D" w:rsidRDefault="0028634D" w:rsidP="0028634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CF4A65" w:rsidRDefault="00CF4A65" w:rsidP="00BA7686">
      <w:pPr>
        <w:spacing w:after="0" w:line="240" w:lineRule="auto"/>
        <w:jc w:val="both"/>
        <w:rPr>
          <w:rFonts w:ascii="Times New Roman" w:hAnsi="Times New Roman" w:cs="Times New Roman"/>
          <w:sz w:val="24"/>
          <w:szCs w:val="24"/>
        </w:rPr>
      </w:pPr>
    </w:p>
    <w:p w:rsidR="00A6713F" w:rsidRDefault="00A6713F" w:rsidP="00A6713F">
      <w:pPr>
        <w:pBdr>
          <w:top w:val="single" w:sz="4" w:space="1" w:color="auto"/>
          <w:bottom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Na základe týchto skutočností môžeme konštatovať, že trh s cukrom je z hľadiska potravinovej vertikály zdravý a plne korešponduje s cieľmi tejto strednodobej koncepcie.</w:t>
      </w:r>
      <w:r w:rsidR="00306134">
        <w:rPr>
          <w:rFonts w:ascii="Times New Roman" w:hAnsi="Times New Roman" w:cs="Times New Roman"/>
          <w:sz w:val="24"/>
          <w:szCs w:val="24"/>
        </w:rPr>
        <w:t xml:space="preserve"> Pre zachovanie tohto stavu je potrebné </w:t>
      </w:r>
      <w:r w:rsidR="003748EC">
        <w:rPr>
          <w:rFonts w:ascii="Times New Roman" w:hAnsi="Times New Roman" w:cs="Times New Roman"/>
          <w:sz w:val="24"/>
          <w:szCs w:val="24"/>
        </w:rPr>
        <w:t>podporovať integrovanú produkciu cukrovej repy</w:t>
      </w:r>
      <w:r w:rsidR="00306134">
        <w:rPr>
          <w:rFonts w:ascii="Times New Roman" w:hAnsi="Times New Roman" w:cs="Times New Roman"/>
          <w:sz w:val="24"/>
          <w:szCs w:val="24"/>
        </w:rPr>
        <w:t xml:space="preserve"> ako </w:t>
      </w:r>
      <w:r w:rsidR="00B37EB4">
        <w:rPr>
          <w:rFonts w:ascii="Times New Roman" w:hAnsi="Times New Roman" w:cs="Times New Roman"/>
          <w:sz w:val="24"/>
          <w:szCs w:val="24"/>
        </w:rPr>
        <w:t>doplnku</w:t>
      </w:r>
      <w:r w:rsidR="00306134">
        <w:rPr>
          <w:rFonts w:ascii="Times New Roman" w:hAnsi="Times New Roman" w:cs="Times New Roman"/>
          <w:sz w:val="24"/>
          <w:szCs w:val="24"/>
        </w:rPr>
        <w:t xml:space="preserve"> priamych platieb </w:t>
      </w:r>
      <w:r w:rsidR="00B37EB4">
        <w:rPr>
          <w:rFonts w:ascii="Times New Roman" w:hAnsi="Times New Roman" w:cs="Times New Roman"/>
          <w:sz w:val="24"/>
          <w:szCs w:val="24"/>
        </w:rPr>
        <w:t xml:space="preserve">aj v budúcom programovom období, uplatňovať aj naďalej </w:t>
      </w:r>
      <w:r w:rsidR="00E80D96">
        <w:rPr>
          <w:rFonts w:ascii="Times New Roman" w:hAnsi="Times New Roman" w:cs="Times New Roman"/>
          <w:sz w:val="24"/>
          <w:szCs w:val="24"/>
        </w:rPr>
        <w:t xml:space="preserve">v intenciách spoločnej poľnohospodárskej politiky </w:t>
      </w:r>
      <w:r w:rsidR="00B37EB4">
        <w:rPr>
          <w:rFonts w:ascii="Times New Roman" w:hAnsi="Times New Roman" w:cs="Times New Roman"/>
          <w:sz w:val="24"/>
          <w:szCs w:val="24"/>
        </w:rPr>
        <w:t>osobitnú platbu na cukor a</w:t>
      </w:r>
      <w:r w:rsidR="00E80D96">
        <w:rPr>
          <w:rFonts w:ascii="Times New Roman" w:hAnsi="Times New Roman" w:cs="Times New Roman"/>
          <w:sz w:val="24"/>
          <w:szCs w:val="24"/>
        </w:rPr>
        <w:t xml:space="preserve"> v rámci možností štátneho rozpočtu </w:t>
      </w:r>
      <w:r w:rsidR="00B37EB4">
        <w:rPr>
          <w:rFonts w:ascii="Times New Roman" w:hAnsi="Times New Roman" w:cs="Times New Roman"/>
          <w:sz w:val="24"/>
          <w:szCs w:val="24"/>
        </w:rPr>
        <w:t>dočasnú štátnu pomoc. </w:t>
      </w:r>
    </w:p>
    <w:p w:rsidR="00DB49CD" w:rsidRPr="00BA7686" w:rsidRDefault="00DB49CD" w:rsidP="00BA7686">
      <w:pPr>
        <w:spacing w:after="0" w:line="240" w:lineRule="auto"/>
        <w:jc w:val="both"/>
        <w:rPr>
          <w:rFonts w:ascii="Times New Roman" w:hAnsi="Times New Roman" w:cs="Times New Roman"/>
          <w:b/>
          <w:sz w:val="24"/>
          <w:szCs w:val="24"/>
        </w:rPr>
      </w:pPr>
    </w:p>
    <w:p w:rsidR="00D518D1" w:rsidRDefault="00D518D1" w:rsidP="000D68DC">
      <w:pPr>
        <w:pStyle w:val="Nadpis3"/>
        <w:numPr>
          <w:ilvl w:val="2"/>
          <w:numId w:val="8"/>
        </w:numPr>
      </w:pPr>
      <w:bookmarkStart w:id="34" w:name="_Toc359550655"/>
      <w:r>
        <w:t>Pšenica</w:t>
      </w:r>
      <w:bookmarkEnd w:id="34"/>
    </w:p>
    <w:p w:rsidR="00E129C5" w:rsidRDefault="00E129C5" w:rsidP="00D518D1">
      <w:pPr>
        <w:spacing w:after="0" w:line="240" w:lineRule="auto"/>
        <w:jc w:val="both"/>
        <w:rPr>
          <w:rFonts w:ascii="Times New Roman" w:hAnsi="Times New Roman" w:cs="Times New Roman"/>
          <w:b/>
          <w:sz w:val="24"/>
          <w:szCs w:val="24"/>
        </w:rPr>
      </w:pPr>
    </w:p>
    <w:p w:rsidR="001D3FE2" w:rsidRDefault="001D3FE2" w:rsidP="001D3FE2">
      <w:pPr>
        <w:spacing w:after="0" w:line="240" w:lineRule="auto"/>
        <w:jc w:val="both"/>
        <w:rPr>
          <w:rFonts w:ascii="Times New Roman" w:hAnsi="Times New Roman" w:cs="Times New Roman"/>
          <w:sz w:val="24"/>
          <w:szCs w:val="24"/>
        </w:rPr>
      </w:pPr>
      <w:r w:rsidRPr="007C5739">
        <w:rPr>
          <w:rFonts w:ascii="Times New Roman" w:hAnsi="Times New Roman" w:cs="Times New Roman"/>
          <w:sz w:val="24"/>
          <w:szCs w:val="24"/>
        </w:rPr>
        <w:t>Domáci dop</w:t>
      </w:r>
      <w:r>
        <w:rPr>
          <w:rFonts w:ascii="Times New Roman" w:hAnsi="Times New Roman" w:cs="Times New Roman"/>
          <w:sz w:val="24"/>
          <w:szCs w:val="24"/>
        </w:rPr>
        <w:t>yt po pšenici meriame pomocou štatisticky nameranej spotreby v tis. t za rok, čo predstavuje objem 1 </w:t>
      </w:r>
      <w:r w:rsidR="00A43980">
        <w:rPr>
          <w:rFonts w:ascii="Times New Roman" w:hAnsi="Times New Roman" w:cs="Times New Roman"/>
          <w:sz w:val="24"/>
          <w:szCs w:val="24"/>
        </w:rPr>
        <w:t>041,6</w:t>
      </w:r>
      <w:r>
        <w:rPr>
          <w:rFonts w:ascii="Times New Roman" w:hAnsi="Times New Roman" w:cs="Times New Roman"/>
          <w:sz w:val="24"/>
          <w:szCs w:val="24"/>
        </w:rPr>
        <w:t xml:space="preserve"> tis. t. Z celkového objemu domáceho dopytu tvorí dopy</w:t>
      </w:r>
      <w:r w:rsidR="00A43980">
        <w:rPr>
          <w:rFonts w:ascii="Times New Roman" w:hAnsi="Times New Roman" w:cs="Times New Roman"/>
          <w:sz w:val="24"/>
          <w:szCs w:val="24"/>
        </w:rPr>
        <w:t>t po potravinárskej pšenici 47,</w:t>
      </w:r>
      <w:r>
        <w:rPr>
          <w:rFonts w:ascii="Times New Roman" w:hAnsi="Times New Roman" w:cs="Times New Roman"/>
          <w:sz w:val="24"/>
          <w:szCs w:val="24"/>
        </w:rPr>
        <w:t>8</w:t>
      </w:r>
      <w:r w:rsidR="00A43980">
        <w:rPr>
          <w:rFonts w:ascii="Times New Roman" w:hAnsi="Times New Roman" w:cs="Times New Roman"/>
          <w:sz w:val="24"/>
          <w:szCs w:val="24"/>
        </w:rPr>
        <w:t>2</w:t>
      </w:r>
      <w:r>
        <w:rPr>
          <w:rFonts w:ascii="Times New Roman" w:hAnsi="Times New Roman" w:cs="Times New Roman"/>
          <w:sz w:val="24"/>
          <w:szCs w:val="24"/>
        </w:rPr>
        <w:t xml:space="preserve"> %, t.j. 498,1 tis. t. </w:t>
      </w:r>
      <w:r w:rsidR="005F06FB">
        <w:rPr>
          <w:rFonts w:ascii="Times New Roman" w:hAnsi="Times New Roman" w:cs="Times New Roman"/>
          <w:sz w:val="24"/>
          <w:szCs w:val="24"/>
        </w:rPr>
        <w:t>D</w:t>
      </w:r>
      <w:r>
        <w:rPr>
          <w:rFonts w:ascii="Times New Roman" w:hAnsi="Times New Roman" w:cs="Times New Roman"/>
          <w:sz w:val="24"/>
          <w:szCs w:val="24"/>
        </w:rPr>
        <w:t xml:space="preserve">omáca produkcia predstavuje objem 1631,1 tis. t, z čoho produkcia potravinárskej pšenice tvorí 31,67 %, t.j. 516,5 tis. t. </w:t>
      </w:r>
      <w:r w:rsidR="00A43980">
        <w:rPr>
          <w:rFonts w:ascii="Times New Roman" w:hAnsi="Times New Roman" w:cs="Times New Roman"/>
          <w:sz w:val="24"/>
          <w:szCs w:val="24"/>
        </w:rPr>
        <w:t>Z bilancie vyplýva</w:t>
      </w:r>
      <w:r>
        <w:rPr>
          <w:rFonts w:ascii="Times New Roman" w:hAnsi="Times New Roman" w:cs="Times New Roman"/>
          <w:sz w:val="24"/>
          <w:szCs w:val="24"/>
        </w:rPr>
        <w:t>, že celková pro</w:t>
      </w:r>
      <w:r w:rsidR="00A43980">
        <w:rPr>
          <w:rFonts w:ascii="Times New Roman" w:hAnsi="Times New Roman" w:cs="Times New Roman"/>
          <w:sz w:val="24"/>
          <w:szCs w:val="24"/>
        </w:rPr>
        <w:t>dukcia pšenice v SR dosahuje 156,59</w:t>
      </w:r>
      <w:r>
        <w:rPr>
          <w:rFonts w:ascii="Times New Roman" w:hAnsi="Times New Roman" w:cs="Times New Roman"/>
          <w:sz w:val="24"/>
          <w:szCs w:val="24"/>
        </w:rPr>
        <w:t xml:space="preserve"> % domáceho dopytu, čo znamená, že </w:t>
      </w:r>
      <w:r w:rsidR="00A43980">
        <w:rPr>
          <w:rFonts w:ascii="Times New Roman" w:hAnsi="Times New Roman" w:cs="Times New Roman"/>
          <w:sz w:val="24"/>
          <w:szCs w:val="24"/>
        </w:rPr>
        <w:t>produkcia tejto komodity</w:t>
      </w:r>
      <w:r>
        <w:rPr>
          <w:rFonts w:ascii="Times New Roman" w:hAnsi="Times New Roman" w:cs="Times New Roman"/>
          <w:sz w:val="24"/>
          <w:szCs w:val="24"/>
        </w:rPr>
        <w:t xml:space="preserve">, z hľadiska prvovýroby, vysoko presahuje stanovený cieľ. Podobné parametre </w:t>
      </w:r>
      <w:r w:rsidR="005F06FB">
        <w:rPr>
          <w:rFonts w:ascii="Times New Roman" w:hAnsi="Times New Roman" w:cs="Times New Roman"/>
          <w:sz w:val="24"/>
          <w:szCs w:val="24"/>
        </w:rPr>
        <w:t>produkčnej výkonnosti</w:t>
      </w:r>
      <w:r>
        <w:rPr>
          <w:rFonts w:ascii="Times New Roman" w:hAnsi="Times New Roman" w:cs="Times New Roman"/>
          <w:sz w:val="24"/>
          <w:szCs w:val="24"/>
        </w:rPr>
        <w:t xml:space="preserve"> dosahuje aj</w:t>
      </w:r>
      <w:r w:rsidR="005F212F">
        <w:rPr>
          <w:rFonts w:ascii="Times New Roman" w:hAnsi="Times New Roman" w:cs="Times New Roman"/>
          <w:sz w:val="24"/>
          <w:szCs w:val="24"/>
        </w:rPr>
        <w:t>,</w:t>
      </w:r>
      <w:r w:rsidR="003748EC">
        <w:rPr>
          <w:rFonts w:ascii="Times New Roman" w:hAnsi="Times New Roman" w:cs="Times New Roman"/>
          <w:sz w:val="24"/>
          <w:szCs w:val="24"/>
        </w:rPr>
        <w:t xml:space="preserve"> </w:t>
      </w:r>
      <w:r w:rsidR="005F212F">
        <w:rPr>
          <w:rFonts w:ascii="Times New Roman" w:hAnsi="Times New Roman" w:cs="Times New Roman"/>
          <w:sz w:val="24"/>
          <w:szCs w:val="24"/>
        </w:rPr>
        <w:t>partikulárne, produkcia potravinárskej pšenice, keď táto dosahuje 103,69 % domáceho dopytu.</w:t>
      </w:r>
    </w:p>
    <w:p w:rsidR="00A847E4" w:rsidRDefault="00A847E4" w:rsidP="00D518D1">
      <w:pPr>
        <w:spacing w:after="0" w:line="240" w:lineRule="auto"/>
        <w:jc w:val="both"/>
        <w:rPr>
          <w:rFonts w:ascii="Times New Roman" w:hAnsi="Times New Roman" w:cs="Times New Roman"/>
          <w:b/>
          <w:sz w:val="24"/>
          <w:szCs w:val="24"/>
        </w:rPr>
      </w:pPr>
    </w:p>
    <w:p w:rsidR="005F212F" w:rsidRPr="005F212F" w:rsidRDefault="006316DB" w:rsidP="00D518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č.32</w:t>
      </w:r>
      <w:r w:rsidR="005F212F" w:rsidRPr="00A855A4">
        <w:rPr>
          <w:rFonts w:ascii="Times New Roman" w:hAnsi="Times New Roman" w:cs="Times New Roman"/>
          <w:sz w:val="20"/>
          <w:szCs w:val="20"/>
        </w:rPr>
        <w:t xml:space="preserve">: </w:t>
      </w:r>
      <w:r w:rsidR="005F212F" w:rsidRPr="008B1083">
        <w:rPr>
          <w:rFonts w:ascii="Times New Roman" w:hAnsi="Times New Roman" w:cs="Times New Roman"/>
          <w:sz w:val="20"/>
          <w:szCs w:val="20"/>
        </w:rPr>
        <w:t xml:space="preserve">Bilancia </w:t>
      </w:r>
      <w:r w:rsidR="005F212F">
        <w:rPr>
          <w:rFonts w:ascii="Times New Roman" w:hAnsi="Times New Roman" w:cs="Times New Roman"/>
          <w:sz w:val="20"/>
          <w:szCs w:val="20"/>
        </w:rPr>
        <w:t xml:space="preserve">pšenice v hospodárskych rokoch </w:t>
      </w:r>
    </w:p>
    <w:tbl>
      <w:tblPr>
        <w:tblW w:w="9140" w:type="dxa"/>
        <w:tblInd w:w="55" w:type="dxa"/>
        <w:tblCellMar>
          <w:left w:w="70" w:type="dxa"/>
          <w:right w:w="70" w:type="dxa"/>
        </w:tblCellMar>
        <w:tblLook w:val="04A0" w:firstRow="1" w:lastRow="0" w:firstColumn="1" w:lastColumn="0" w:noHBand="0" w:noVBand="1"/>
      </w:tblPr>
      <w:tblGrid>
        <w:gridCol w:w="2200"/>
        <w:gridCol w:w="960"/>
        <w:gridCol w:w="1180"/>
        <w:gridCol w:w="960"/>
        <w:gridCol w:w="960"/>
        <w:gridCol w:w="960"/>
        <w:gridCol w:w="960"/>
        <w:gridCol w:w="960"/>
      </w:tblGrid>
      <w:tr w:rsidR="00E129C5" w:rsidRPr="00E129C5" w:rsidTr="00E129C5">
        <w:trPr>
          <w:cantSplit/>
          <w:trHeight w:val="300"/>
        </w:trPr>
        <w:tc>
          <w:tcPr>
            <w:tcW w:w="2200" w:type="dxa"/>
            <w:tcBorders>
              <w:top w:val="nil"/>
              <w:left w:val="nil"/>
              <w:bottom w:val="single" w:sz="4" w:space="0" w:color="auto"/>
              <w:right w:val="nil"/>
            </w:tcBorders>
            <w:shd w:val="clear" w:color="000000" w:fill="D9D9D9"/>
            <w:vAlign w:val="center"/>
            <w:hideMark/>
          </w:tcPr>
          <w:p w:rsidR="00E129C5" w:rsidRPr="00E129C5" w:rsidRDefault="00E129C5" w:rsidP="00E129C5">
            <w:pPr>
              <w:spacing w:after="0" w:line="240" w:lineRule="auto"/>
              <w:rPr>
                <w:rFonts w:ascii="Times New Roman" w:eastAsia="Times New Roman" w:hAnsi="Times New Roman" w:cs="Times New Roman"/>
                <w:b/>
                <w:bCs/>
                <w:color w:val="000000"/>
                <w:sz w:val="20"/>
                <w:szCs w:val="20"/>
              </w:rPr>
            </w:pPr>
            <w:r w:rsidRPr="00E129C5">
              <w:rPr>
                <w:rFonts w:ascii="Times New Roman" w:eastAsia="Times New Roman" w:hAnsi="Times New Roman" w:cs="Times New Roman"/>
                <w:b/>
                <w:bCs/>
                <w:color w:val="000000"/>
                <w:sz w:val="20"/>
                <w:szCs w:val="20"/>
                <w:lang w:eastAsia="ar-SA"/>
              </w:rPr>
              <w:t>Ukazovateľ</w:t>
            </w:r>
          </w:p>
        </w:tc>
        <w:tc>
          <w:tcPr>
            <w:tcW w:w="960" w:type="dxa"/>
            <w:tcBorders>
              <w:top w:val="nil"/>
              <w:left w:val="nil"/>
              <w:bottom w:val="single" w:sz="4" w:space="0" w:color="auto"/>
              <w:right w:val="single" w:sz="4" w:space="0" w:color="auto"/>
            </w:tcBorders>
            <w:shd w:val="clear" w:color="000000" w:fill="D9D9D9"/>
            <w:vAlign w:val="center"/>
            <w:hideMark/>
          </w:tcPr>
          <w:p w:rsidR="00E129C5" w:rsidRPr="00E129C5" w:rsidRDefault="00E129C5" w:rsidP="00E129C5">
            <w:pPr>
              <w:spacing w:after="0" w:line="240" w:lineRule="auto"/>
              <w:rPr>
                <w:rFonts w:ascii="Times New Roman" w:eastAsia="Times New Roman" w:hAnsi="Times New Roman" w:cs="Times New Roman"/>
                <w:b/>
                <w:bCs/>
                <w:color w:val="000000"/>
                <w:sz w:val="20"/>
                <w:szCs w:val="20"/>
              </w:rPr>
            </w:pPr>
            <w:r w:rsidRPr="00E129C5">
              <w:rPr>
                <w:rFonts w:ascii="Times New Roman" w:eastAsia="Times New Roman" w:hAnsi="Times New Roman" w:cs="Times New Roman"/>
                <w:b/>
                <w:bCs/>
                <w:color w:val="000000"/>
                <w:sz w:val="20"/>
                <w:szCs w:val="20"/>
              </w:rPr>
              <w:t> </w:t>
            </w:r>
          </w:p>
        </w:tc>
        <w:tc>
          <w:tcPr>
            <w:tcW w:w="1180" w:type="dxa"/>
            <w:tcBorders>
              <w:top w:val="nil"/>
              <w:left w:val="nil"/>
              <w:bottom w:val="single" w:sz="4" w:space="0" w:color="auto"/>
              <w:right w:val="single" w:sz="4" w:space="0" w:color="auto"/>
            </w:tcBorders>
            <w:shd w:val="clear" w:color="000000" w:fill="D9D9D9"/>
            <w:vAlign w:val="center"/>
            <w:hideMark/>
          </w:tcPr>
          <w:p w:rsidR="00E129C5" w:rsidRPr="00E129C5" w:rsidRDefault="00A847E4" w:rsidP="00E129C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ar-SA"/>
              </w:rPr>
              <w:t>2002/</w:t>
            </w:r>
            <w:r w:rsidR="00E129C5" w:rsidRPr="00E129C5">
              <w:rPr>
                <w:rFonts w:ascii="Times New Roman" w:eastAsia="Times New Roman" w:hAnsi="Times New Roman" w:cs="Times New Roman"/>
                <w:b/>
                <w:bCs/>
                <w:color w:val="000000"/>
                <w:sz w:val="20"/>
                <w:szCs w:val="20"/>
                <w:lang w:eastAsia="ar-SA"/>
              </w:rPr>
              <w:t>03</w:t>
            </w:r>
          </w:p>
        </w:tc>
        <w:tc>
          <w:tcPr>
            <w:tcW w:w="960" w:type="dxa"/>
            <w:tcBorders>
              <w:top w:val="nil"/>
              <w:left w:val="nil"/>
              <w:bottom w:val="single" w:sz="4" w:space="0" w:color="auto"/>
              <w:right w:val="nil"/>
            </w:tcBorders>
            <w:shd w:val="clear" w:color="000000" w:fill="D9D9D9"/>
            <w:vAlign w:val="center"/>
            <w:hideMark/>
          </w:tcPr>
          <w:p w:rsidR="00E129C5" w:rsidRPr="00E129C5" w:rsidRDefault="00A847E4" w:rsidP="00E129C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ar-SA"/>
              </w:rPr>
              <w:t>2007/</w:t>
            </w:r>
            <w:r w:rsidR="00E129C5" w:rsidRPr="00E129C5">
              <w:rPr>
                <w:rFonts w:ascii="Times New Roman" w:eastAsia="Times New Roman" w:hAnsi="Times New Roman" w:cs="Times New Roman"/>
                <w:b/>
                <w:bCs/>
                <w:color w:val="000000"/>
                <w:sz w:val="20"/>
                <w:szCs w:val="20"/>
                <w:lang w:eastAsia="ar-SA"/>
              </w:rPr>
              <w:t>08</w:t>
            </w:r>
          </w:p>
        </w:tc>
        <w:tc>
          <w:tcPr>
            <w:tcW w:w="960" w:type="dxa"/>
            <w:tcBorders>
              <w:top w:val="nil"/>
              <w:left w:val="nil"/>
              <w:bottom w:val="single" w:sz="4" w:space="0" w:color="auto"/>
              <w:right w:val="nil"/>
            </w:tcBorders>
            <w:shd w:val="clear" w:color="000000" w:fill="D9D9D9"/>
            <w:vAlign w:val="center"/>
            <w:hideMark/>
          </w:tcPr>
          <w:p w:rsidR="00E129C5" w:rsidRPr="00E129C5" w:rsidRDefault="00A847E4" w:rsidP="00E129C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ar-SA"/>
              </w:rPr>
              <w:t>2008/</w:t>
            </w:r>
            <w:r w:rsidR="00E129C5" w:rsidRPr="00E129C5">
              <w:rPr>
                <w:rFonts w:ascii="Times New Roman" w:eastAsia="Times New Roman" w:hAnsi="Times New Roman" w:cs="Times New Roman"/>
                <w:b/>
                <w:bCs/>
                <w:color w:val="000000"/>
                <w:sz w:val="20"/>
                <w:szCs w:val="20"/>
                <w:lang w:eastAsia="ar-SA"/>
              </w:rPr>
              <w:t>09</w:t>
            </w:r>
          </w:p>
        </w:tc>
        <w:tc>
          <w:tcPr>
            <w:tcW w:w="960" w:type="dxa"/>
            <w:tcBorders>
              <w:top w:val="nil"/>
              <w:left w:val="nil"/>
              <w:bottom w:val="single" w:sz="4" w:space="0" w:color="auto"/>
              <w:right w:val="nil"/>
            </w:tcBorders>
            <w:shd w:val="clear" w:color="000000" w:fill="D9D9D9"/>
            <w:vAlign w:val="center"/>
            <w:hideMark/>
          </w:tcPr>
          <w:p w:rsidR="00E129C5" w:rsidRPr="00E129C5" w:rsidRDefault="00A847E4" w:rsidP="00E129C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ar-SA"/>
              </w:rPr>
              <w:t>2009/</w:t>
            </w:r>
            <w:r w:rsidR="00E129C5" w:rsidRPr="00E129C5">
              <w:rPr>
                <w:rFonts w:ascii="Times New Roman" w:eastAsia="Times New Roman" w:hAnsi="Times New Roman" w:cs="Times New Roman"/>
                <w:b/>
                <w:bCs/>
                <w:color w:val="000000"/>
                <w:sz w:val="20"/>
                <w:szCs w:val="20"/>
                <w:lang w:eastAsia="ar-SA"/>
              </w:rPr>
              <w:t>10</w:t>
            </w:r>
          </w:p>
        </w:tc>
        <w:tc>
          <w:tcPr>
            <w:tcW w:w="960" w:type="dxa"/>
            <w:tcBorders>
              <w:top w:val="nil"/>
              <w:left w:val="nil"/>
              <w:bottom w:val="single" w:sz="4" w:space="0" w:color="auto"/>
              <w:right w:val="nil"/>
            </w:tcBorders>
            <w:shd w:val="clear" w:color="000000" w:fill="D9D9D9"/>
            <w:vAlign w:val="center"/>
            <w:hideMark/>
          </w:tcPr>
          <w:p w:rsidR="00E129C5" w:rsidRPr="00E129C5" w:rsidRDefault="00A847E4" w:rsidP="00E129C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ar-SA"/>
              </w:rPr>
              <w:t>2010/</w:t>
            </w:r>
            <w:r w:rsidR="00E129C5" w:rsidRPr="00E129C5">
              <w:rPr>
                <w:rFonts w:ascii="Times New Roman" w:eastAsia="Times New Roman" w:hAnsi="Times New Roman" w:cs="Times New Roman"/>
                <w:b/>
                <w:bCs/>
                <w:color w:val="000000"/>
                <w:sz w:val="20"/>
                <w:szCs w:val="20"/>
                <w:lang w:eastAsia="ar-SA"/>
              </w:rPr>
              <w:t>11</w:t>
            </w:r>
          </w:p>
        </w:tc>
        <w:tc>
          <w:tcPr>
            <w:tcW w:w="960" w:type="dxa"/>
            <w:tcBorders>
              <w:top w:val="nil"/>
              <w:left w:val="nil"/>
              <w:bottom w:val="single" w:sz="4" w:space="0" w:color="auto"/>
              <w:right w:val="nil"/>
            </w:tcBorders>
            <w:shd w:val="clear" w:color="000000" w:fill="D9D9D9"/>
            <w:vAlign w:val="center"/>
            <w:hideMark/>
          </w:tcPr>
          <w:p w:rsidR="00E129C5" w:rsidRPr="00E129C5" w:rsidRDefault="00A847E4" w:rsidP="00E129C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ar-SA"/>
              </w:rPr>
              <w:t>2011/</w:t>
            </w:r>
            <w:r w:rsidR="00E129C5" w:rsidRPr="00E129C5">
              <w:rPr>
                <w:rFonts w:ascii="Times New Roman" w:eastAsia="Times New Roman" w:hAnsi="Times New Roman" w:cs="Times New Roman"/>
                <w:b/>
                <w:bCs/>
                <w:color w:val="000000"/>
                <w:sz w:val="20"/>
                <w:szCs w:val="20"/>
                <w:lang w:eastAsia="ar-SA"/>
              </w:rPr>
              <w:t>12</w:t>
            </w:r>
          </w:p>
        </w:tc>
      </w:tr>
      <w:tr w:rsidR="00E129C5" w:rsidRPr="00E129C5" w:rsidTr="00E129C5">
        <w:trPr>
          <w:trHeight w:val="300"/>
        </w:trPr>
        <w:tc>
          <w:tcPr>
            <w:tcW w:w="220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Osevná plocha</w:t>
            </w:r>
          </w:p>
        </w:tc>
        <w:tc>
          <w:tcPr>
            <w:tcW w:w="96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center"/>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tis. ha</w:t>
            </w:r>
          </w:p>
        </w:tc>
        <w:tc>
          <w:tcPr>
            <w:tcW w:w="118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406,1</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360,8</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374,4</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380,3</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349,7</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364</w:t>
            </w:r>
            <w:r w:rsidR="001B202B">
              <w:rPr>
                <w:rFonts w:ascii="Times New Roman" w:eastAsia="Times New Roman" w:hAnsi="Times New Roman" w:cs="Times New Roman"/>
                <w:color w:val="000000"/>
                <w:sz w:val="20"/>
                <w:szCs w:val="20"/>
                <w:lang w:eastAsia="ar-SA"/>
              </w:rPr>
              <w:t>,0</w:t>
            </w:r>
          </w:p>
        </w:tc>
      </w:tr>
      <w:tr w:rsidR="00E129C5" w:rsidRPr="00E129C5" w:rsidTr="00E129C5">
        <w:trPr>
          <w:trHeight w:val="300"/>
        </w:trPr>
        <w:tc>
          <w:tcPr>
            <w:tcW w:w="220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 xml:space="preserve">Zberová plocha </w:t>
            </w:r>
          </w:p>
        </w:tc>
        <w:tc>
          <w:tcPr>
            <w:tcW w:w="96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center"/>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tis. ha</w:t>
            </w:r>
          </w:p>
        </w:tc>
        <w:tc>
          <w:tcPr>
            <w:tcW w:w="118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405,8</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360,7</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373,7</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379,2</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342,1</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362,8</w:t>
            </w:r>
          </w:p>
        </w:tc>
      </w:tr>
      <w:tr w:rsidR="00E129C5" w:rsidRPr="00E129C5" w:rsidTr="00E129C5">
        <w:trPr>
          <w:trHeight w:val="300"/>
        </w:trPr>
        <w:tc>
          <w:tcPr>
            <w:tcW w:w="220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Hektárová úroda</w:t>
            </w:r>
          </w:p>
        </w:tc>
        <w:tc>
          <w:tcPr>
            <w:tcW w:w="96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center"/>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t/ha</w:t>
            </w:r>
          </w:p>
        </w:tc>
        <w:tc>
          <w:tcPr>
            <w:tcW w:w="118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3,83</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3,82</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4,87</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4</w:t>
            </w:r>
            <w:r w:rsidR="001B202B">
              <w:rPr>
                <w:rFonts w:ascii="Times New Roman" w:eastAsia="Times New Roman" w:hAnsi="Times New Roman" w:cs="Times New Roman"/>
                <w:color w:val="000000"/>
                <w:sz w:val="20"/>
                <w:szCs w:val="20"/>
                <w:lang w:eastAsia="ar-SA"/>
              </w:rPr>
              <w:t>,00</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3,46</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4,5</w:t>
            </w:r>
            <w:r w:rsidR="001B202B">
              <w:rPr>
                <w:rFonts w:ascii="Times New Roman" w:eastAsia="Times New Roman" w:hAnsi="Times New Roman" w:cs="Times New Roman"/>
                <w:color w:val="000000"/>
                <w:sz w:val="20"/>
                <w:szCs w:val="20"/>
                <w:lang w:eastAsia="ar-SA"/>
              </w:rPr>
              <w:t>0</w:t>
            </w:r>
          </w:p>
        </w:tc>
      </w:tr>
      <w:tr w:rsidR="00E129C5" w:rsidRPr="00E129C5" w:rsidTr="00E129C5">
        <w:trPr>
          <w:trHeight w:val="300"/>
        </w:trPr>
        <w:tc>
          <w:tcPr>
            <w:tcW w:w="220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 xml:space="preserve">Produkcia </w:t>
            </w:r>
          </w:p>
        </w:tc>
        <w:tc>
          <w:tcPr>
            <w:tcW w:w="96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center"/>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tis. t</w:t>
            </w:r>
          </w:p>
        </w:tc>
        <w:tc>
          <w:tcPr>
            <w:tcW w:w="118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1554,5</w:t>
            </w:r>
          </w:p>
        </w:tc>
        <w:tc>
          <w:tcPr>
            <w:tcW w:w="960" w:type="dxa"/>
            <w:tcBorders>
              <w:top w:val="nil"/>
              <w:left w:val="nil"/>
              <w:bottom w:val="nil"/>
              <w:right w:val="nil"/>
            </w:tcBorders>
            <w:shd w:val="clear" w:color="auto" w:fill="auto"/>
            <w:vAlign w:val="center"/>
            <w:hideMark/>
          </w:tcPr>
          <w:p w:rsidR="00E129C5" w:rsidRPr="00E129C5" w:rsidRDefault="001D3FE2" w:rsidP="00E129C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1 379,6</w:t>
            </w:r>
          </w:p>
        </w:tc>
        <w:tc>
          <w:tcPr>
            <w:tcW w:w="960" w:type="dxa"/>
            <w:tcBorders>
              <w:top w:val="nil"/>
              <w:left w:val="nil"/>
              <w:bottom w:val="nil"/>
              <w:right w:val="nil"/>
            </w:tcBorders>
            <w:shd w:val="clear" w:color="auto" w:fill="auto"/>
            <w:vAlign w:val="center"/>
            <w:hideMark/>
          </w:tcPr>
          <w:p w:rsidR="00E129C5" w:rsidRPr="00E129C5" w:rsidRDefault="001D3FE2" w:rsidP="00E129C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1 819,5</w:t>
            </w:r>
          </w:p>
        </w:tc>
        <w:tc>
          <w:tcPr>
            <w:tcW w:w="960" w:type="dxa"/>
            <w:tcBorders>
              <w:top w:val="nil"/>
              <w:left w:val="nil"/>
              <w:bottom w:val="nil"/>
              <w:right w:val="nil"/>
            </w:tcBorders>
            <w:shd w:val="clear" w:color="auto" w:fill="auto"/>
            <w:vAlign w:val="center"/>
            <w:hideMark/>
          </w:tcPr>
          <w:p w:rsidR="00E129C5" w:rsidRPr="00E129C5" w:rsidRDefault="001D3FE2" w:rsidP="00E129C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1 537,9</w:t>
            </w:r>
          </w:p>
        </w:tc>
        <w:tc>
          <w:tcPr>
            <w:tcW w:w="960" w:type="dxa"/>
            <w:tcBorders>
              <w:top w:val="nil"/>
              <w:left w:val="nil"/>
              <w:bottom w:val="nil"/>
              <w:right w:val="nil"/>
            </w:tcBorders>
            <w:shd w:val="clear" w:color="auto" w:fill="auto"/>
            <w:vAlign w:val="center"/>
            <w:hideMark/>
          </w:tcPr>
          <w:p w:rsidR="00E129C5" w:rsidRPr="00E129C5" w:rsidRDefault="001D3FE2" w:rsidP="00E129C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1 185,3</w:t>
            </w:r>
          </w:p>
        </w:tc>
        <w:tc>
          <w:tcPr>
            <w:tcW w:w="960" w:type="dxa"/>
            <w:tcBorders>
              <w:top w:val="nil"/>
              <w:left w:val="nil"/>
              <w:bottom w:val="nil"/>
              <w:right w:val="nil"/>
            </w:tcBorders>
            <w:shd w:val="clear" w:color="auto" w:fill="auto"/>
            <w:vAlign w:val="center"/>
            <w:hideMark/>
          </w:tcPr>
          <w:p w:rsidR="00E129C5" w:rsidRPr="00E129C5" w:rsidRDefault="001D3FE2" w:rsidP="00E129C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1 631,1</w:t>
            </w:r>
          </w:p>
        </w:tc>
      </w:tr>
      <w:tr w:rsidR="00E129C5" w:rsidRPr="00E129C5" w:rsidTr="00E129C5">
        <w:trPr>
          <w:trHeight w:val="300"/>
        </w:trPr>
        <w:tc>
          <w:tcPr>
            <w:tcW w:w="220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 potravinárska</w:t>
            </w:r>
          </w:p>
        </w:tc>
        <w:tc>
          <w:tcPr>
            <w:tcW w:w="96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center"/>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tis .t</w:t>
            </w:r>
          </w:p>
        </w:tc>
        <w:tc>
          <w:tcPr>
            <w:tcW w:w="118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621,1</w:t>
            </w:r>
          </w:p>
        </w:tc>
        <w:tc>
          <w:tcPr>
            <w:tcW w:w="960" w:type="dxa"/>
            <w:tcBorders>
              <w:top w:val="nil"/>
              <w:left w:val="nil"/>
              <w:bottom w:val="nil"/>
              <w:right w:val="nil"/>
            </w:tcBorders>
            <w:shd w:val="clear" w:color="auto" w:fill="auto"/>
            <w:vAlign w:val="center"/>
            <w:hideMark/>
          </w:tcPr>
          <w:p w:rsidR="00E129C5" w:rsidRPr="00E129C5" w:rsidRDefault="00E129C5" w:rsidP="001B202B">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528,0</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535,8</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499,4</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400,7</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516,5</w:t>
            </w:r>
          </w:p>
        </w:tc>
      </w:tr>
      <w:tr w:rsidR="00E129C5" w:rsidRPr="00E129C5" w:rsidTr="00E129C5">
        <w:trPr>
          <w:trHeight w:val="300"/>
        </w:trPr>
        <w:tc>
          <w:tcPr>
            <w:tcW w:w="220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 xml:space="preserve">Počiatočné zásoby </w:t>
            </w:r>
          </w:p>
        </w:tc>
        <w:tc>
          <w:tcPr>
            <w:tcW w:w="96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center"/>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tis. t</w:t>
            </w:r>
          </w:p>
        </w:tc>
        <w:tc>
          <w:tcPr>
            <w:tcW w:w="118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221,7</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173,8</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209,6</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520,3</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625,2</w:t>
            </w:r>
          </w:p>
        </w:tc>
        <w:tc>
          <w:tcPr>
            <w:tcW w:w="960" w:type="dxa"/>
            <w:tcBorders>
              <w:top w:val="nil"/>
              <w:left w:val="nil"/>
              <w:bottom w:val="nil"/>
              <w:right w:val="nil"/>
            </w:tcBorders>
            <w:shd w:val="clear" w:color="auto" w:fill="auto"/>
            <w:vAlign w:val="center"/>
            <w:hideMark/>
          </w:tcPr>
          <w:p w:rsidR="00E129C5" w:rsidRPr="00E129C5" w:rsidRDefault="00A43980" w:rsidP="00E129C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121,5</w:t>
            </w:r>
          </w:p>
        </w:tc>
      </w:tr>
      <w:tr w:rsidR="00E129C5" w:rsidRPr="00E129C5" w:rsidTr="00E129C5">
        <w:trPr>
          <w:trHeight w:val="300"/>
        </w:trPr>
        <w:tc>
          <w:tcPr>
            <w:tcW w:w="220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 xml:space="preserve">Dovoz </w:t>
            </w:r>
          </w:p>
        </w:tc>
        <w:tc>
          <w:tcPr>
            <w:tcW w:w="96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center"/>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tis. t</w:t>
            </w:r>
          </w:p>
        </w:tc>
        <w:tc>
          <w:tcPr>
            <w:tcW w:w="118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23,4</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54,5</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158,5</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103</w:t>
            </w:r>
            <w:r w:rsidR="001B202B">
              <w:rPr>
                <w:rFonts w:ascii="Times New Roman" w:eastAsia="Times New Roman" w:hAnsi="Times New Roman" w:cs="Times New Roman"/>
                <w:color w:val="000000"/>
                <w:sz w:val="20"/>
                <w:szCs w:val="20"/>
                <w:lang w:eastAsia="ar-SA"/>
              </w:rPr>
              <w:t>,0</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110</w:t>
            </w:r>
            <w:r w:rsidR="001B202B">
              <w:rPr>
                <w:rFonts w:ascii="Times New Roman" w:eastAsia="Times New Roman" w:hAnsi="Times New Roman" w:cs="Times New Roman"/>
                <w:color w:val="000000"/>
                <w:sz w:val="20"/>
                <w:szCs w:val="20"/>
                <w:lang w:eastAsia="ar-SA"/>
              </w:rPr>
              <w:t>,0</w:t>
            </w:r>
          </w:p>
        </w:tc>
        <w:tc>
          <w:tcPr>
            <w:tcW w:w="960" w:type="dxa"/>
            <w:tcBorders>
              <w:top w:val="nil"/>
              <w:left w:val="nil"/>
              <w:bottom w:val="nil"/>
              <w:right w:val="nil"/>
            </w:tcBorders>
            <w:shd w:val="clear" w:color="auto" w:fill="auto"/>
            <w:vAlign w:val="center"/>
            <w:hideMark/>
          </w:tcPr>
          <w:p w:rsidR="00E129C5" w:rsidRPr="00E129C5" w:rsidRDefault="00A43980" w:rsidP="00E129C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116,2</w:t>
            </w:r>
          </w:p>
        </w:tc>
      </w:tr>
      <w:tr w:rsidR="00E129C5" w:rsidRPr="00E129C5" w:rsidTr="00E129C5">
        <w:trPr>
          <w:trHeight w:val="300"/>
        </w:trPr>
        <w:tc>
          <w:tcPr>
            <w:tcW w:w="220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 xml:space="preserve">Ostatné zdroje </w:t>
            </w:r>
          </w:p>
        </w:tc>
        <w:tc>
          <w:tcPr>
            <w:tcW w:w="96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center"/>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tis. t</w:t>
            </w:r>
          </w:p>
        </w:tc>
        <w:tc>
          <w:tcPr>
            <w:tcW w:w="118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0</w:t>
            </w:r>
            <w:r w:rsidR="001B202B">
              <w:rPr>
                <w:rFonts w:ascii="Times New Roman" w:eastAsia="Times New Roman" w:hAnsi="Times New Roman" w:cs="Times New Roman"/>
                <w:color w:val="000000"/>
                <w:sz w:val="20"/>
                <w:szCs w:val="20"/>
                <w:lang w:eastAsia="ar-SA"/>
              </w:rPr>
              <w:t>,0</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50,8</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50,3</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59,1</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50,7</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52</w:t>
            </w:r>
          </w:p>
        </w:tc>
      </w:tr>
      <w:tr w:rsidR="00E129C5" w:rsidRPr="00E129C5" w:rsidTr="00E129C5">
        <w:trPr>
          <w:trHeight w:val="300"/>
        </w:trPr>
        <w:tc>
          <w:tcPr>
            <w:tcW w:w="2200" w:type="dxa"/>
            <w:tcBorders>
              <w:top w:val="nil"/>
              <w:left w:val="nil"/>
              <w:bottom w:val="single" w:sz="4" w:space="0" w:color="auto"/>
              <w:right w:val="nil"/>
            </w:tcBorders>
            <w:shd w:val="clear" w:color="000000" w:fill="F2F2F2"/>
            <w:vAlign w:val="center"/>
            <w:hideMark/>
          </w:tcPr>
          <w:p w:rsidR="00E129C5" w:rsidRPr="00E129C5" w:rsidRDefault="00E129C5" w:rsidP="00E129C5">
            <w:pPr>
              <w:spacing w:after="0" w:line="240" w:lineRule="auto"/>
              <w:rPr>
                <w:rFonts w:ascii="Times New Roman" w:eastAsia="Times New Roman" w:hAnsi="Times New Roman" w:cs="Times New Roman"/>
                <w:b/>
                <w:bCs/>
                <w:color w:val="000000"/>
                <w:sz w:val="20"/>
                <w:szCs w:val="20"/>
              </w:rPr>
            </w:pPr>
            <w:r w:rsidRPr="00E129C5">
              <w:rPr>
                <w:rFonts w:ascii="Times New Roman" w:eastAsia="Times New Roman" w:hAnsi="Times New Roman" w:cs="Times New Roman"/>
                <w:b/>
                <w:bCs/>
                <w:color w:val="000000"/>
                <w:sz w:val="20"/>
                <w:szCs w:val="20"/>
                <w:lang w:eastAsia="ar-SA"/>
              </w:rPr>
              <w:t xml:space="preserve">Celková ponuka </w:t>
            </w:r>
          </w:p>
        </w:tc>
        <w:tc>
          <w:tcPr>
            <w:tcW w:w="960" w:type="dxa"/>
            <w:tcBorders>
              <w:top w:val="nil"/>
              <w:left w:val="nil"/>
              <w:bottom w:val="single" w:sz="4" w:space="0" w:color="auto"/>
              <w:right w:val="single" w:sz="4" w:space="0" w:color="auto"/>
            </w:tcBorders>
            <w:shd w:val="clear" w:color="000000" w:fill="F2F2F2"/>
            <w:vAlign w:val="center"/>
            <w:hideMark/>
          </w:tcPr>
          <w:p w:rsidR="00E129C5" w:rsidRPr="00E129C5" w:rsidRDefault="00E129C5" w:rsidP="00E129C5">
            <w:pPr>
              <w:spacing w:after="0" w:line="240" w:lineRule="auto"/>
              <w:jc w:val="center"/>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tis. t</w:t>
            </w:r>
          </w:p>
        </w:tc>
        <w:tc>
          <w:tcPr>
            <w:tcW w:w="1180" w:type="dxa"/>
            <w:tcBorders>
              <w:top w:val="nil"/>
              <w:left w:val="nil"/>
              <w:bottom w:val="single" w:sz="4" w:space="0" w:color="auto"/>
              <w:right w:val="single" w:sz="4" w:space="0" w:color="auto"/>
            </w:tcBorders>
            <w:shd w:val="clear" w:color="000000" w:fill="F2F2F2"/>
            <w:vAlign w:val="center"/>
            <w:hideMark/>
          </w:tcPr>
          <w:p w:rsidR="00E129C5" w:rsidRPr="00E129C5" w:rsidRDefault="00E129C5" w:rsidP="00E129C5">
            <w:pPr>
              <w:spacing w:after="0" w:line="240" w:lineRule="auto"/>
              <w:jc w:val="right"/>
              <w:rPr>
                <w:rFonts w:ascii="Times New Roman" w:eastAsia="Times New Roman" w:hAnsi="Times New Roman" w:cs="Times New Roman"/>
                <w:b/>
                <w:bCs/>
                <w:color w:val="000000"/>
                <w:sz w:val="20"/>
                <w:szCs w:val="20"/>
              </w:rPr>
            </w:pPr>
            <w:r w:rsidRPr="00E129C5">
              <w:rPr>
                <w:rFonts w:ascii="Times New Roman" w:eastAsia="Times New Roman" w:hAnsi="Times New Roman" w:cs="Times New Roman"/>
                <w:b/>
                <w:bCs/>
                <w:color w:val="000000"/>
                <w:sz w:val="20"/>
                <w:szCs w:val="20"/>
                <w:lang w:eastAsia="ar-SA"/>
              </w:rPr>
              <w:t>1799,6</w:t>
            </w:r>
          </w:p>
        </w:tc>
        <w:tc>
          <w:tcPr>
            <w:tcW w:w="960" w:type="dxa"/>
            <w:tcBorders>
              <w:top w:val="nil"/>
              <w:left w:val="nil"/>
              <w:bottom w:val="single" w:sz="4" w:space="0" w:color="auto"/>
              <w:right w:val="nil"/>
            </w:tcBorders>
            <w:shd w:val="clear" w:color="000000" w:fill="F2F2F2"/>
            <w:vAlign w:val="center"/>
            <w:hideMark/>
          </w:tcPr>
          <w:p w:rsidR="00E129C5" w:rsidRPr="00E129C5" w:rsidRDefault="001B202B" w:rsidP="00E129C5">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ar-SA"/>
              </w:rPr>
              <w:t>1 658,7</w:t>
            </w:r>
          </w:p>
        </w:tc>
        <w:tc>
          <w:tcPr>
            <w:tcW w:w="960" w:type="dxa"/>
            <w:tcBorders>
              <w:top w:val="nil"/>
              <w:left w:val="nil"/>
              <w:bottom w:val="single" w:sz="4" w:space="0" w:color="auto"/>
              <w:right w:val="nil"/>
            </w:tcBorders>
            <w:shd w:val="clear" w:color="000000" w:fill="F2F2F2"/>
            <w:vAlign w:val="center"/>
            <w:hideMark/>
          </w:tcPr>
          <w:p w:rsidR="00E129C5" w:rsidRPr="00E129C5" w:rsidRDefault="001B202B" w:rsidP="00E129C5">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ar-SA"/>
              </w:rPr>
              <w:t>2 237,9</w:t>
            </w:r>
          </w:p>
        </w:tc>
        <w:tc>
          <w:tcPr>
            <w:tcW w:w="960" w:type="dxa"/>
            <w:tcBorders>
              <w:top w:val="nil"/>
              <w:left w:val="nil"/>
              <w:bottom w:val="single" w:sz="4" w:space="0" w:color="auto"/>
              <w:right w:val="nil"/>
            </w:tcBorders>
            <w:shd w:val="clear" w:color="000000" w:fill="F2F2F2"/>
            <w:vAlign w:val="center"/>
            <w:hideMark/>
          </w:tcPr>
          <w:p w:rsidR="00E129C5" w:rsidRPr="00E129C5" w:rsidRDefault="001B202B" w:rsidP="00E129C5">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ar-SA"/>
              </w:rPr>
              <w:t>2 220,3</w:t>
            </w:r>
          </w:p>
        </w:tc>
        <w:tc>
          <w:tcPr>
            <w:tcW w:w="960" w:type="dxa"/>
            <w:tcBorders>
              <w:top w:val="nil"/>
              <w:left w:val="nil"/>
              <w:bottom w:val="single" w:sz="4" w:space="0" w:color="auto"/>
              <w:right w:val="nil"/>
            </w:tcBorders>
            <w:shd w:val="clear" w:color="000000" w:fill="F2F2F2"/>
            <w:vAlign w:val="center"/>
            <w:hideMark/>
          </w:tcPr>
          <w:p w:rsidR="00E129C5" w:rsidRPr="00E129C5" w:rsidRDefault="001B202B" w:rsidP="00E129C5">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ar-SA"/>
              </w:rPr>
              <w:t>1 971,1</w:t>
            </w:r>
          </w:p>
        </w:tc>
        <w:tc>
          <w:tcPr>
            <w:tcW w:w="960" w:type="dxa"/>
            <w:tcBorders>
              <w:top w:val="nil"/>
              <w:left w:val="nil"/>
              <w:bottom w:val="single" w:sz="4" w:space="0" w:color="auto"/>
              <w:right w:val="nil"/>
            </w:tcBorders>
            <w:shd w:val="clear" w:color="000000" w:fill="F2F2F2"/>
            <w:vAlign w:val="center"/>
            <w:hideMark/>
          </w:tcPr>
          <w:p w:rsidR="00E129C5" w:rsidRPr="00E129C5" w:rsidRDefault="00A43980" w:rsidP="00A43980">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ar-SA"/>
              </w:rPr>
              <w:t>1 </w:t>
            </w:r>
            <w:r w:rsidR="00E129C5" w:rsidRPr="00E129C5">
              <w:rPr>
                <w:rFonts w:ascii="Times New Roman" w:eastAsia="Times New Roman" w:hAnsi="Times New Roman" w:cs="Times New Roman"/>
                <w:b/>
                <w:bCs/>
                <w:color w:val="000000"/>
                <w:sz w:val="20"/>
                <w:szCs w:val="20"/>
                <w:lang w:eastAsia="ar-SA"/>
              </w:rPr>
              <w:t>9</w:t>
            </w:r>
            <w:r>
              <w:rPr>
                <w:rFonts w:ascii="Times New Roman" w:eastAsia="Times New Roman" w:hAnsi="Times New Roman" w:cs="Times New Roman"/>
                <w:b/>
                <w:bCs/>
                <w:color w:val="000000"/>
                <w:sz w:val="20"/>
                <w:szCs w:val="20"/>
                <w:lang w:eastAsia="ar-SA"/>
              </w:rPr>
              <w:t>20,9</w:t>
            </w:r>
          </w:p>
        </w:tc>
      </w:tr>
      <w:tr w:rsidR="00E129C5" w:rsidRPr="00E129C5" w:rsidTr="00E129C5">
        <w:trPr>
          <w:trHeight w:val="300"/>
        </w:trPr>
        <w:tc>
          <w:tcPr>
            <w:tcW w:w="220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 xml:space="preserve">Domáca spotreba </w:t>
            </w:r>
          </w:p>
        </w:tc>
        <w:tc>
          <w:tcPr>
            <w:tcW w:w="96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center"/>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tis. t</w:t>
            </w:r>
          </w:p>
        </w:tc>
        <w:tc>
          <w:tcPr>
            <w:tcW w:w="118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1530,8</w:t>
            </w:r>
          </w:p>
        </w:tc>
        <w:tc>
          <w:tcPr>
            <w:tcW w:w="960" w:type="dxa"/>
            <w:tcBorders>
              <w:top w:val="nil"/>
              <w:left w:val="nil"/>
              <w:bottom w:val="nil"/>
              <w:right w:val="nil"/>
            </w:tcBorders>
            <w:shd w:val="clear" w:color="auto" w:fill="auto"/>
            <w:vAlign w:val="center"/>
            <w:hideMark/>
          </w:tcPr>
          <w:p w:rsidR="00E129C5" w:rsidRPr="00E129C5" w:rsidRDefault="001B202B" w:rsidP="00E129C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1 083,6</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1293,7</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1 024,10</w:t>
            </w:r>
          </w:p>
        </w:tc>
        <w:tc>
          <w:tcPr>
            <w:tcW w:w="960" w:type="dxa"/>
            <w:tcBorders>
              <w:top w:val="nil"/>
              <w:left w:val="nil"/>
              <w:bottom w:val="nil"/>
              <w:right w:val="nil"/>
            </w:tcBorders>
            <w:shd w:val="clear" w:color="auto" w:fill="auto"/>
            <w:vAlign w:val="center"/>
            <w:hideMark/>
          </w:tcPr>
          <w:p w:rsidR="00E129C5" w:rsidRPr="00E129C5" w:rsidRDefault="00A43980" w:rsidP="00E129C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1 060,3</w:t>
            </w:r>
          </w:p>
        </w:tc>
        <w:tc>
          <w:tcPr>
            <w:tcW w:w="960" w:type="dxa"/>
            <w:tcBorders>
              <w:top w:val="nil"/>
              <w:left w:val="nil"/>
              <w:bottom w:val="nil"/>
              <w:right w:val="nil"/>
            </w:tcBorders>
            <w:shd w:val="clear" w:color="auto" w:fill="auto"/>
            <w:vAlign w:val="center"/>
            <w:hideMark/>
          </w:tcPr>
          <w:p w:rsidR="00E129C5" w:rsidRPr="00E129C5" w:rsidRDefault="00A43980" w:rsidP="00E129C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1 041,6</w:t>
            </w:r>
          </w:p>
        </w:tc>
      </w:tr>
      <w:tr w:rsidR="00E129C5" w:rsidRPr="00E129C5" w:rsidTr="00E129C5">
        <w:trPr>
          <w:trHeight w:val="300"/>
        </w:trPr>
        <w:tc>
          <w:tcPr>
            <w:tcW w:w="220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 xml:space="preserve">- potravinárska </w:t>
            </w:r>
          </w:p>
        </w:tc>
        <w:tc>
          <w:tcPr>
            <w:tcW w:w="96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center"/>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tis. t</w:t>
            </w:r>
          </w:p>
        </w:tc>
        <w:tc>
          <w:tcPr>
            <w:tcW w:w="118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585</w:t>
            </w:r>
            <w:r w:rsidR="001B202B">
              <w:rPr>
                <w:rFonts w:ascii="Times New Roman" w:eastAsia="Times New Roman" w:hAnsi="Times New Roman" w:cs="Times New Roman"/>
                <w:color w:val="000000"/>
                <w:sz w:val="20"/>
                <w:szCs w:val="20"/>
                <w:lang w:eastAsia="ar-SA"/>
              </w:rPr>
              <w:t>,0</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490,4</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466,4</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434</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523,8</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498,1</w:t>
            </w:r>
          </w:p>
        </w:tc>
      </w:tr>
      <w:tr w:rsidR="00E129C5" w:rsidRPr="00E129C5" w:rsidTr="00E129C5">
        <w:trPr>
          <w:trHeight w:val="300"/>
        </w:trPr>
        <w:tc>
          <w:tcPr>
            <w:tcW w:w="220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 xml:space="preserve">Vývoz </w:t>
            </w:r>
          </w:p>
        </w:tc>
        <w:tc>
          <w:tcPr>
            <w:tcW w:w="96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center"/>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tis. t</w:t>
            </w:r>
          </w:p>
        </w:tc>
        <w:tc>
          <w:tcPr>
            <w:tcW w:w="118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35</w:t>
            </w:r>
            <w:r w:rsidR="001B202B">
              <w:rPr>
                <w:rFonts w:ascii="Times New Roman" w:eastAsia="Times New Roman" w:hAnsi="Times New Roman" w:cs="Times New Roman"/>
                <w:color w:val="000000"/>
                <w:sz w:val="20"/>
                <w:szCs w:val="20"/>
                <w:lang w:eastAsia="ar-SA"/>
              </w:rPr>
              <w:t>,0</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355</w:t>
            </w:r>
            <w:r w:rsidR="001B202B">
              <w:rPr>
                <w:rFonts w:ascii="Times New Roman" w:eastAsia="Times New Roman" w:hAnsi="Times New Roman" w:cs="Times New Roman"/>
                <w:color w:val="000000"/>
                <w:sz w:val="20"/>
                <w:szCs w:val="20"/>
                <w:lang w:eastAsia="ar-SA"/>
              </w:rPr>
              <w:t>,0</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385,9</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531,8</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453,7</w:t>
            </w:r>
          </w:p>
        </w:tc>
        <w:tc>
          <w:tcPr>
            <w:tcW w:w="960" w:type="dxa"/>
            <w:tcBorders>
              <w:top w:val="nil"/>
              <w:left w:val="nil"/>
              <w:bottom w:val="nil"/>
              <w:right w:val="nil"/>
            </w:tcBorders>
            <w:shd w:val="clear" w:color="auto" w:fill="auto"/>
            <w:vAlign w:val="center"/>
            <w:hideMark/>
          </w:tcPr>
          <w:p w:rsidR="00E129C5" w:rsidRPr="00E129C5" w:rsidRDefault="00A43980" w:rsidP="00E129C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561,6</w:t>
            </w:r>
          </w:p>
        </w:tc>
      </w:tr>
      <w:tr w:rsidR="00E129C5" w:rsidRPr="00E129C5" w:rsidTr="00E129C5">
        <w:trPr>
          <w:trHeight w:val="300"/>
        </w:trPr>
        <w:tc>
          <w:tcPr>
            <w:tcW w:w="220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 xml:space="preserve">Ostatné výdaje </w:t>
            </w:r>
          </w:p>
        </w:tc>
        <w:tc>
          <w:tcPr>
            <w:tcW w:w="96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center"/>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tis. t</w:t>
            </w:r>
          </w:p>
        </w:tc>
        <w:tc>
          <w:tcPr>
            <w:tcW w:w="1180" w:type="dxa"/>
            <w:tcBorders>
              <w:top w:val="nil"/>
              <w:left w:val="nil"/>
              <w:bottom w:val="nil"/>
              <w:right w:val="single" w:sz="4" w:space="0" w:color="auto"/>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38,6</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10,5</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38</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7,6</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8,1</w:t>
            </w:r>
          </w:p>
        </w:tc>
        <w:tc>
          <w:tcPr>
            <w:tcW w:w="960" w:type="dxa"/>
            <w:tcBorders>
              <w:top w:val="nil"/>
              <w:left w:val="nil"/>
              <w:bottom w:val="nil"/>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9,6</w:t>
            </w:r>
          </w:p>
        </w:tc>
      </w:tr>
      <w:tr w:rsidR="00E129C5" w:rsidRPr="00E129C5" w:rsidTr="006F02F1">
        <w:trPr>
          <w:trHeight w:val="300"/>
        </w:trPr>
        <w:tc>
          <w:tcPr>
            <w:tcW w:w="2200" w:type="dxa"/>
            <w:tcBorders>
              <w:top w:val="nil"/>
              <w:left w:val="nil"/>
              <w:bottom w:val="single" w:sz="4" w:space="0" w:color="auto"/>
              <w:right w:val="nil"/>
            </w:tcBorders>
            <w:shd w:val="clear" w:color="000000" w:fill="F2F2F2"/>
            <w:vAlign w:val="center"/>
            <w:hideMark/>
          </w:tcPr>
          <w:p w:rsidR="00E129C5" w:rsidRPr="00E129C5" w:rsidRDefault="00E129C5" w:rsidP="00E129C5">
            <w:pPr>
              <w:spacing w:after="0" w:line="240" w:lineRule="auto"/>
              <w:rPr>
                <w:rFonts w:ascii="Times New Roman" w:eastAsia="Times New Roman" w:hAnsi="Times New Roman" w:cs="Times New Roman"/>
                <w:b/>
                <w:bCs/>
                <w:color w:val="000000"/>
                <w:sz w:val="20"/>
                <w:szCs w:val="20"/>
              </w:rPr>
            </w:pPr>
            <w:r w:rsidRPr="00E129C5">
              <w:rPr>
                <w:rFonts w:ascii="Times New Roman" w:eastAsia="Times New Roman" w:hAnsi="Times New Roman" w:cs="Times New Roman"/>
                <w:b/>
                <w:bCs/>
                <w:color w:val="000000"/>
                <w:sz w:val="20"/>
                <w:szCs w:val="20"/>
                <w:lang w:eastAsia="ar-SA"/>
              </w:rPr>
              <w:t xml:space="preserve">Celkové použitie </w:t>
            </w:r>
          </w:p>
        </w:tc>
        <w:tc>
          <w:tcPr>
            <w:tcW w:w="960" w:type="dxa"/>
            <w:tcBorders>
              <w:top w:val="nil"/>
              <w:left w:val="nil"/>
              <w:bottom w:val="single" w:sz="4" w:space="0" w:color="auto"/>
              <w:right w:val="single" w:sz="4" w:space="0" w:color="auto"/>
            </w:tcBorders>
            <w:shd w:val="clear" w:color="000000" w:fill="F2F2F2"/>
            <w:vAlign w:val="center"/>
            <w:hideMark/>
          </w:tcPr>
          <w:p w:rsidR="00E129C5" w:rsidRPr="00E129C5" w:rsidRDefault="00E129C5" w:rsidP="00E129C5">
            <w:pPr>
              <w:spacing w:after="0" w:line="240" w:lineRule="auto"/>
              <w:jc w:val="center"/>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tis. t</w:t>
            </w:r>
          </w:p>
        </w:tc>
        <w:tc>
          <w:tcPr>
            <w:tcW w:w="1180" w:type="dxa"/>
            <w:tcBorders>
              <w:top w:val="nil"/>
              <w:left w:val="nil"/>
              <w:bottom w:val="single" w:sz="4" w:space="0" w:color="auto"/>
              <w:right w:val="single" w:sz="4" w:space="0" w:color="auto"/>
            </w:tcBorders>
            <w:shd w:val="clear" w:color="000000" w:fill="F2F2F2"/>
            <w:vAlign w:val="center"/>
            <w:hideMark/>
          </w:tcPr>
          <w:p w:rsidR="00E129C5" w:rsidRPr="00E129C5" w:rsidRDefault="00E129C5" w:rsidP="00E129C5">
            <w:pPr>
              <w:spacing w:after="0" w:line="240" w:lineRule="auto"/>
              <w:jc w:val="right"/>
              <w:rPr>
                <w:rFonts w:ascii="Times New Roman" w:eastAsia="Times New Roman" w:hAnsi="Times New Roman" w:cs="Times New Roman"/>
                <w:b/>
                <w:bCs/>
                <w:color w:val="000000"/>
                <w:sz w:val="20"/>
                <w:szCs w:val="20"/>
              </w:rPr>
            </w:pPr>
            <w:r w:rsidRPr="00E129C5">
              <w:rPr>
                <w:rFonts w:ascii="Times New Roman" w:eastAsia="Times New Roman" w:hAnsi="Times New Roman" w:cs="Times New Roman"/>
                <w:b/>
                <w:bCs/>
                <w:color w:val="000000"/>
                <w:sz w:val="20"/>
                <w:szCs w:val="20"/>
                <w:lang w:eastAsia="ar-SA"/>
              </w:rPr>
              <w:t>1604,4</w:t>
            </w:r>
          </w:p>
        </w:tc>
        <w:tc>
          <w:tcPr>
            <w:tcW w:w="960" w:type="dxa"/>
            <w:tcBorders>
              <w:top w:val="nil"/>
              <w:left w:val="nil"/>
              <w:bottom w:val="single" w:sz="4" w:space="0" w:color="auto"/>
              <w:right w:val="nil"/>
            </w:tcBorders>
            <w:shd w:val="clear" w:color="000000" w:fill="F2F2F2"/>
            <w:vAlign w:val="center"/>
            <w:hideMark/>
          </w:tcPr>
          <w:p w:rsidR="00E129C5" w:rsidRPr="00E129C5" w:rsidRDefault="001B202B" w:rsidP="00E129C5">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ar-SA"/>
              </w:rPr>
              <w:t>1 449,1</w:t>
            </w:r>
          </w:p>
        </w:tc>
        <w:tc>
          <w:tcPr>
            <w:tcW w:w="960" w:type="dxa"/>
            <w:tcBorders>
              <w:top w:val="nil"/>
              <w:left w:val="nil"/>
              <w:bottom w:val="single" w:sz="4" w:space="0" w:color="auto"/>
              <w:right w:val="nil"/>
            </w:tcBorders>
            <w:shd w:val="clear" w:color="000000" w:fill="F2F2F2"/>
            <w:vAlign w:val="center"/>
            <w:hideMark/>
          </w:tcPr>
          <w:p w:rsidR="00E129C5" w:rsidRPr="00E129C5" w:rsidRDefault="001B202B" w:rsidP="00E129C5">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ar-SA"/>
              </w:rPr>
              <w:t>1 717,6</w:t>
            </w:r>
          </w:p>
        </w:tc>
        <w:tc>
          <w:tcPr>
            <w:tcW w:w="960" w:type="dxa"/>
            <w:tcBorders>
              <w:top w:val="nil"/>
              <w:left w:val="nil"/>
              <w:bottom w:val="single" w:sz="4" w:space="0" w:color="auto"/>
              <w:right w:val="nil"/>
            </w:tcBorders>
            <w:shd w:val="clear" w:color="000000" w:fill="F2F2F2"/>
            <w:vAlign w:val="center"/>
            <w:hideMark/>
          </w:tcPr>
          <w:p w:rsidR="00E129C5" w:rsidRPr="00E129C5" w:rsidRDefault="00E129C5" w:rsidP="00E129C5">
            <w:pPr>
              <w:spacing w:after="0" w:line="240" w:lineRule="auto"/>
              <w:jc w:val="right"/>
              <w:rPr>
                <w:rFonts w:ascii="Times New Roman" w:eastAsia="Times New Roman" w:hAnsi="Times New Roman" w:cs="Times New Roman"/>
                <w:b/>
                <w:bCs/>
                <w:color w:val="000000"/>
                <w:sz w:val="20"/>
                <w:szCs w:val="20"/>
              </w:rPr>
            </w:pPr>
            <w:r w:rsidRPr="00E129C5">
              <w:rPr>
                <w:rFonts w:ascii="Times New Roman" w:eastAsia="Times New Roman" w:hAnsi="Times New Roman" w:cs="Times New Roman"/>
                <w:b/>
                <w:bCs/>
                <w:color w:val="000000"/>
                <w:sz w:val="20"/>
                <w:szCs w:val="20"/>
                <w:lang w:eastAsia="ar-SA"/>
              </w:rPr>
              <w:t>1563,5</w:t>
            </w:r>
          </w:p>
        </w:tc>
        <w:tc>
          <w:tcPr>
            <w:tcW w:w="960" w:type="dxa"/>
            <w:tcBorders>
              <w:top w:val="nil"/>
              <w:left w:val="nil"/>
              <w:bottom w:val="single" w:sz="4" w:space="0" w:color="auto"/>
              <w:right w:val="nil"/>
            </w:tcBorders>
            <w:shd w:val="clear" w:color="000000" w:fill="F2F2F2"/>
            <w:vAlign w:val="center"/>
            <w:hideMark/>
          </w:tcPr>
          <w:p w:rsidR="00E129C5" w:rsidRPr="00E129C5" w:rsidRDefault="001B202B" w:rsidP="00E129C5">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ar-SA"/>
              </w:rPr>
              <w:t>1 522,0</w:t>
            </w:r>
          </w:p>
        </w:tc>
        <w:tc>
          <w:tcPr>
            <w:tcW w:w="960" w:type="dxa"/>
            <w:tcBorders>
              <w:top w:val="nil"/>
              <w:left w:val="nil"/>
              <w:bottom w:val="single" w:sz="4" w:space="0" w:color="auto"/>
              <w:right w:val="nil"/>
            </w:tcBorders>
            <w:shd w:val="clear" w:color="000000" w:fill="F2F2F2"/>
            <w:vAlign w:val="center"/>
            <w:hideMark/>
          </w:tcPr>
          <w:p w:rsidR="00E129C5" w:rsidRPr="00E129C5" w:rsidRDefault="00E129C5" w:rsidP="00A43980">
            <w:pPr>
              <w:spacing w:after="0" w:line="240" w:lineRule="auto"/>
              <w:jc w:val="right"/>
              <w:rPr>
                <w:rFonts w:ascii="Times New Roman" w:eastAsia="Times New Roman" w:hAnsi="Times New Roman" w:cs="Times New Roman"/>
                <w:b/>
                <w:bCs/>
                <w:color w:val="000000"/>
                <w:sz w:val="20"/>
                <w:szCs w:val="20"/>
              </w:rPr>
            </w:pPr>
            <w:r w:rsidRPr="00E129C5">
              <w:rPr>
                <w:rFonts w:ascii="Times New Roman" w:eastAsia="Times New Roman" w:hAnsi="Times New Roman" w:cs="Times New Roman"/>
                <w:b/>
                <w:bCs/>
                <w:color w:val="000000"/>
                <w:sz w:val="20"/>
                <w:szCs w:val="20"/>
                <w:lang w:eastAsia="ar-SA"/>
              </w:rPr>
              <w:t xml:space="preserve"> 1 </w:t>
            </w:r>
            <w:r w:rsidR="00A43980">
              <w:rPr>
                <w:rFonts w:ascii="Times New Roman" w:eastAsia="Times New Roman" w:hAnsi="Times New Roman" w:cs="Times New Roman"/>
                <w:b/>
                <w:bCs/>
                <w:color w:val="000000"/>
                <w:sz w:val="20"/>
                <w:szCs w:val="20"/>
                <w:lang w:eastAsia="ar-SA"/>
              </w:rPr>
              <w:t>612,8</w:t>
            </w:r>
          </w:p>
        </w:tc>
      </w:tr>
      <w:tr w:rsidR="00E129C5" w:rsidRPr="00E129C5" w:rsidTr="006F02F1">
        <w:trPr>
          <w:trHeight w:val="300"/>
        </w:trPr>
        <w:tc>
          <w:tcPr>
            <w:tcW w:w="2200" w:type="dxa"/>
            <w:tcBorders>
              <w:top w:val="single" w:sz="4" w:space="0" w:color="auto"/>
              <w:left w:val="nil"/>
              <w:bottom w:val="single" w:sz="4" w:space="0" w:color="auto"/>
              <w:right w:val="nil"/>
            </w:tcBorders>
            <w:shd w:val="clear" w:color="auto" w:fill="auto"/>
            <w:vAlign w:val="center"/>
            <w:hideMark/>
          </w:tcPr>
          <w:p w:rsidR="00E129C5" w:rsidRPr="00E129C5" w:rsidRDefault="00E129C5" w:rsidP="00E129C5">
            <w:pPr>
              <w:spacing w:after="0" w:line="240" w:lineRule="auto"/>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 xml:space="preserve">Konečné zásoby spolu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129C5" w:rsidRPr="00E129C5" w:rsidRDefault="00E129C5" w:rsidP="00E129C5">
            <w:pPr>
              <w:spacing w:after="0" w:line="240" w:lineRule="auto"/>
              <w:jc w:val="center"/>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tis. 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195,2</w:t>
            </w:r>
          </w:p>
        </w:tc>
        <w:tc>
          <w:tcPr>
            <w:tcW w:w="960" w:type="dxa"/>
            <w:tcBorders>
              <w:top w:val="single" w:sz="4" w:space="0" w:color="auto"/>
              <w:left w:val="nil"/>
              <w:bottom w:val="single" w:sz="4" w:space="0" w:color="auto"/>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209,6</w:t>
            </w:r>
          </w:p>
        </w:tc>
        <w:tc>
          <w:tcPr>
            <w:tcW w:w="960" w:type="dxa"/>
            <w:tcBorders>
              <w:top w:val="single" w:sz="4" w:space="0" w:color="auto"/>
              <w:left w:val="nil"/>
              <w:bottom w:val="single" w:sz="4" w:space="0" w:color="auto"/>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520,3</w:t>
            </w:r>
          </w:p>
        </w:tc>
        <w:tc>
          <w:tcPr>
            <w:tcW w:w="960" w:type="dxa"/>
            <w:tcBorders>
              <w:top w:val="single" w:sz="4" w:space="0" w:color="auto"/>
              <w:left w:val="nil"/>
              <w:bottom w:val="single" w:sz="4" w:space="0" w:color="auto"/>
              <w:right w:val="nil"/>
            </w:tcBorders>
            <w:shd w:val="clear" w:color="auto" w:fill="auto"/>
            <w:vAlign w:val="center"/>
            <w:hideMark/>
          </w:tcPr>
          <w:p w:rsidR="00E129C5" w:rsidRPr="00E129C5" w:rsidRDefault="00E129C5" w:rsidP="00E129C5">
            <w:pPr>
              <w:spacing w:after="0" w:line="240" w:lineRule="auto"/>
              <w:jc w:val="right"/>
              <w:rPr>
                <w:rFonts w:ascii="Times New Roman" w:eastAsia="Times New Roman" w:hAnsi="Times New Roman" w:cs="Times New Roman"/>
                <w:color w:val="000000"/>
                <w:sz w:val="20"/>
                <w:szCs w:val="20"/>
              </w:rPr>
            </w:pPr>
            <w:r w:rsidRPr="00E129C5">
              <w:rPr>
                <w:rFonts w:ascii="Times New Roman" w:eastAsia="Times New Roman" w:hAnsi="Times New Roman" w:cs="Times New Roman"/>
                <w:color w:val="000000"/>
                <w:sz w:val="20"/>
                <w:szCs w:val="20"/>
                <w:lang w:eastAsia="ar-SA"/>
              </w:rPr>
              <w:t>656,7</w:t>
            </w:r>
          </w:p>
        </w:tc>
        <w:tc>
          <w:tcPr>
            <w:tcW w:w="960" w:type="dxa"/>
            <w:tcBorders>
              <w:top w:val="single" w:sz="4" w:space="0" w:color="auto"/>
              <w:left w:val="nil"/>
              <w:bottom w:val="single" w:sz="4" w:space="0" w:color="auto"/>
              <w:right w:val="nil"/>
            </w:tcBorders>
            <w:shd w:val="clear" w:color="auto" w:fill="auto"/>
            <w:vAlign w:val="center"/>
            <w:hideMark/>
          </w:tcPr>
          <w:p w:rsidR="00E129C5" w:rsidRPr="00E129C5" w:rsidRDefault="00A43980" w:rsidP="00E129C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124,6</w:t>
            </w:r>
          </w:p>
        </w:tc>
        <w:tc>
          <w:tcPr>
            <w:tcW w:w="960" w:type="dxa"/>
            <w:tcBorders>
              <w:top w:val="single" w:sz="4" w:space="0" w:color="auto"/>
              <w:left w:val="nil"/>
              <w:bottom w:val="single" w:sz="4" w:space="0" w:color="auto"/>
              <w:right w:val="nil"/>
            </w:tcBorders>
            <w:shd w:val="clear" w:color="auto" w:fill="auto"/>
            <w:vAlign w:val="center"/>
            <w:hideMark/>
          </w:tcPr>
          <w:p w:rsidR="00E129C5" w:rsidRPr="00E129C5" w:rsidRDefault="00A43980" w:rsidP="00E129C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308,2</w:t>
            </w:r>
          </w:p>
        </w:tc>
      </w:tr>
    </w:tbl>
    <w:p w:rsidR="00604564" w:rsidRDefault="00604564" w:rsidP="006045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5F212F" w:rsidRDefault="005F212F" w:rsidP="00D518D1">
      <w:pPr>
        <w:spacing w:after="0" w:line="240" w:lineRule="auto"/>
        <w:jc w:val="both"/>
        <w:rPr>
          <w:rFonts w:ascii="Times New Roman" w:hAnsi="Times New Roman" w:cs="Times New Roman"/>
          <w:sz w:val="24"/>
          <w:szCs w:val="24"/>
        </w:rPr>
      </w:pPr>
      <w:r w:rsidRPr="005F212F">
        <w:rPr>
          <w:rFonts w:ascii="Times New Roman" w:hAnsi="Times New Roman" w:cs="Times New Roman"/>
          <w:sz w:val="24"/>
          <w:szCs w:val="24"/>
        </w:rPr>
        <w:lastRenderedPageBreak/>
        <w:t xml:space="preserve">Z celkovej </w:t>
      </w:r>
      <w:r>
        <w:rPr>
          <w:rFonts w:ascii="Times New Roman" w:hAnsi="Times New Roman" w:cs="Times New Roman"/>
          <w:sz w:val="24"/>
          <w:szCs w:val="24"/>
        </w:rPr>
        <w:t xml:space="preserve">domácej produkcie pšenice sa na Slovensku použije </w:t>
      </w:r>
      <w:r w:rsidR="006F02F1">
        <w:rPr>
          <w:rFonts w:ascii="Times New Roman" w:hAnsi="Times New Roman" w:cs="Times New Roman"/>
          <w:sz w:val="24"/>
          <w:szCs w:val="24"/>
        </w:rPr>
        <w:t>65</w:t>
      </w:r>
      <w:r>
        <w:rPr>
          <w:rFonts w:ascii="Times New Roman" w:hAnsi="Times New Roman" w:cs="Times New Roman"/>
          <w:sz w:val="24"/>
          <w:szCs w:val="24"/>
        </w:rPr>
        <w:t>,5</w:t>
      </w:r>
      <w:r w:rsidR="006F02F1">
        <w:rPr>
          <w:rFonts w:ascii="Times New Roman" w:hAnsi="Times New Roman" w:cs="Times New Roman"/>
          <w:sz w:val="24"/>
          <w:szCs w:val="24"/>
        </w:rPr>
        <w:t>7</w:t>
      </w:r>
      <w:r>
        <w:rPr>
          <w:rFonts w:ascii="Times New Roman" w:hAnsi="Times New Roman" w:cs="Times New Roman"/>
          <w:sz w:val="24"/>
          <w:szCs w:val="24"/>
        </w:rPr>
        <w:t xml:space="preserve"> %, pričom </w:t>
      </w:r>
      <w:r w:rsidR="006F02F1">
        <w:rPr>
          <w:rFonts w:ascii="Times New Roman" w:hAnsi="Times New Roman" w:cs="Times New Roman"/>
          <w:sz w:val="24"/>
          <w:szCs w:val="24"/>
        </w:rPr>
        <w:t>34,43</w:t>
      </w:r>
      <w:r>
        <w:rPr>
          <w:rFonts w:ascii="Times New Roman" w:hAnsi="Times New Roman" w:cs="Times New Roman"/>
          <w:sz w:val="24"/>
          <w:szCs w:val="24"/>
        </w:rPr>
        <w:t xml:space="preserve"> % domácej produkcie </w:t>
      </w:r>
      <w:r w:rsidR="001B202B">
        <w:rPr>
          <w:rFonts w:ascii="Times New Roman" w:hAnsi="Times New Roman" w:cs="Times New Roman"/>
          <w:sz w:val="24"/>
          <w:szCs w:val="24"/>
        </w:rPr>
        <w:t xml:space="preserve">je určených na vývoz. Dovoz pšenice na Slovensku je zanedbateľný a je určený len na dopĺňanie zásob a import </w:t>
      </w:r>
      <w:r w:rsidR="006F02F1">
        <w:rPr>
          <w:rFonts w:ascii="Times New Roman" w:hAnsi="Times New Roman" w:cs="Times New Roman"/>
          <w:sz w:val="24"/>
          <w:szCs w:val="24"/>
        </w:rPr>
        <w:t>osiva</w:t>
      </w:r>
      <w:r w:rsidR="001B202B">
        <w:rPr>
          <w:rFonts w:ascii="Times New Roman" w:hAnsi="Times New Roman" w:cs="Times New Roman"/>
          <w:sz w:val="24"/>
          <w:szCs w:val="24"/>
        </w:rPr>
        <w:t xml:space="preserve"> v podobe nových odrôd. Každoročný prebytok pšenice z hľadiska prvovýroby vytvoril zásoby, ktoré v hospodárskom roku 2011/12 dosiahli objem </w:t>
      </w:r>
      <w:r w:rsidR="006F02F1">
        <w:rPr>
          <w:rFonts w:ascii="Times New Roman" w:hAnsi="Times New Roman" w:cs="Times New Roman"/>
          <w:sz w:val="24"/>
          <w:szCs w:val="24"/>
        </w:rPr>
        <w:t>308,2</w:t>
      </w:r>
      <w:r w:rsidR="001B202B">
        <w:rPr>
          <w:rFonts w:ascii="Times New Roman" w:hAnsi="Times New Roman" w:cs="Times New Roman"/>
          <w:sz w:val="24"/>
          <w:szCs w:val="24"/>
        </w:rPr>
        <w:t xml:space="preserve"> tis. t.  </w:t>
      </w:r>
    </w:p>
    <w:p w:rsidR="00604564" w:rsidRDefault="00604564" w:rsidP="00D518D1">
      <w:pPr>
        <w:spacing w:after="0" w:line="240" w:lineRule="auto"/>
        <w:jc w:val="both"/>
        <w:rPr>
          <w:rFonts w:ascii="Times New Roman" w:hAnsi="Times New Roman" w:cs="Times New Roman"/>
          <w:sz w:val="24"/>
          <w:szCs w:val="24"/>
        </w:rPr>
      </w:pPr>
    </w:p>
    <w:p w:rsidR="0013415B" w:rsidRDefault="0013415B" w:rsidP="00D51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Produkcia pšenice je takto, z kvantitatívneho hľadiska, optimálna a stabilná, pričom výnimku tvoril len záplavový rok 2010. Odhliadnuc od produkcie pšenice v hospodárskom roku 2010/11 je možné konštatovať, že celková domáca produkcia pšenice </w:t>
      </w:r>
      <w:r w:rsidR="005F06FB">
        <w:rPr>
          <w:rFonts w:ascii="Times New Roman" w:hAnsi="Times New Roman" w:cs="Times New Roman"/>
          <w:sz w:val="24"/>
          <w:szCs w:val="24"/>
        </w:rPr>
        <w:t>je stabilná</w:t>
      </w:r>
      <w:r>
        <w:rPr>
          <w:rFonts w:ascii="Times New Roman" w:hAnsi="Times New Roman" w:cs="Times New Roman"/>
          <w:sz w:val="24"/>
          <w:szCs w:val="24"/>
        </w:rPr>
        <w:t>, a to aj napriek poklesu zberových plôch oproti referenčnému hospodárskemu roku 2002/03.</w:t>
      </w:r>
    </w:p>
    <w:p w:rsidR="00264729" w:rsidRDefault="00264729" w:rsidP="00D518D1">
      <w:pPr>
        <w:spacing w:after="0" w:line="240" w:lineRule="auto"/>
        <w:jc w:val="both"/>
        <w:rPr>
          <w:rFonts w:ascii="Times New Roman" w:hAnsi="Times New Roman" w:cs="Times New Roman"/>
          <w:sz w:val="20"/>
          <w:szCs w:val="20"/>
        </w:rPr>
      </w:pPr>
    </w:p>
    <w:p w:rsidR="00416254" w:rsidRDefault="00C970F8" w:rsidP="00D518D1">
      <w:pPr>
        <w:spacing w:after="0" w:line="240" w:lineRule="auto"/>
        <w:jc w:val="both"/>
        <w:rPr>
          <w:rFonts w:ascii="Times New Roman" w:hAnsi="Times New Roman" w:cs="Times New Roman"/>
          <w:sz w:val="24"/>
          <w:szCs w:val="24"/>
        </w:rPr>
      </w:pPr>
      <w:r>
        <w:rPr>
          <w:rFonts w:ascii="Times New Roman" w:hAnsi="Times New Roman" w:cs="Times New Roman"/>
          <w:sz w:val="20"/>
          <w:szCs w:val="20"/>
        </w:rPr>
        <w:t>Graf č. 40</w:t>
      </w:r>
      <w:r w:rsidR="00416254" w:rsidRPr="00C55549">
        <w:rPr>
          <w:rFonts w:ascii="Times New Roman" w:hAnsi="Times New Roman" w:cs="Times New Roman"/>
          <w:sz w:val="20"/>
          <w:szCs w:val="20"/>
        </w:rPr>
        <w:t>:</w:t>
      </w:r>
      <w:r w:rsidR="00416254">
        <w:rPr>
          <w:rFonts w:ascii="Times New Roman" w:hAnsi="Times New Roman" w:cs="Times New Roman"/>
          <w:sz w:val="20"/>
          <w:szCs w:val="20"/>
        </w:rPr>
        <w:t xml:space="preserve"> Vývoj zberových plôch a produkcie pšenice</w:t>
      </w:r>
    </w:p>
    <w:p w:rsidR="0013415B" w:rsidRDefault="0013415B" w:rsidP="00D518D1">
      <w:pPr>
        <w:spacing w:after="0" w:line="240" w:lineRule="auto"/>
        <w:jc w:val="both"/>
        <w:rPr>
          <w:rFonts w:ascii="Times New Roman" w:hAnsi="Times New Roman" w:cs="Times New Roman"/>
          <w:sz w:val="24"/>
          <w:szCs w:val="24"/>
        </w:rPr>
      </w:pPr>
      <w:r>
        <w:rPr>
          <w:noProof/>
        </w:rPr>
        <w:drawing>
          <wp:inline distT="0" distB="0" distL="0" distR="0" wp14:anchorId="06158B31" wp14:editId="03899765">
            <wp:extent cx="5741719" cy="228600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16254" w:rsidRDefault="00416254" w:rsidP="004162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13415B" w:rsidRDefault="0013415B" w:rsidP="00D518D1">
      <w:pPr>
        <w:spacing w:after="0" w:line="240" w:lineRule="auto"/>
        <w:jc w:val="both"/>
        <w:rPr>
          <w:rFonts w:ascii="Times New Roman" w:hAnsi="Times New Roman" w:cs="Times New Roman"/>
          <w:sz w:val="24"/>
          <w:szCs w:val="24"/>
        </w:rPr>
      </w:pPr>
    </w:p>
    <w:p w:rsidR="00416254" w:rsidRDefault="00416254" w:rsidP="00D51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Výpadok produkcie pšenice, spôsobený poklesom zberových plôch vo výške </w:t>
      </w:r>
      <w:r w:rsidR="006F02F1">
        <w:rPr>
          <w:rFonts w:ascii="Times New Roman" w:hAnsi="Times New Roman" w:cs="Times New Roman"/>
          <w:sz w:val="24"/>
          <w:szCs w:val="24"/>
        </w:rPr>
        <w:t>10,6</w:t>
      </w:r>
      <w:r>
        <w:rPr>
          <w:rFonts w:ascii="Times New Roman" w:hAnsi="Times New Roman" w:cs="Times New Roman"/>
          <w:sz w:val="24"/>
          <w:szCs w:val="24"/>
        </w:rPr>
        <w:t xml:space="preserve"> % oproti referenčnému hospodárskemu roku 2002/03, bol v uplynulom strednodobom horizonte </w:t>
      </w:r>
      <w:r w:rsidR="006F02F1">
        <w:rPr>
          <w:rFonts w:ascii="Times New Roman" w:hAnsi="Times New Roman" w:cs="Times New Roman"/>
          <w:sz w:val="24"/>
          <w:szCs w:val="24"/>
        </w:rPr>
        <w:t>čiastočne</w:t>
      </w:r>
      <w:r>
        <w:rPr>
          <w:rFonts w:ascii="Times New Roman" w:hAnsi="Times New Roman" w:cs="Times New Roman"/>
          <w:sz w:val="24"/>
          <w:szCs w:val="24"/>
        </w:rPr>
        <w:t xml:space="preserve"> nahradený intenzifikáciou produkcie v podobe rastu hektárových výnosov oproti referenčnému obdobiu vo výške 17,5 %.</w:t>
      </w:r>
    </w:p>
    <w:p w:rsidR="00416254" w:rsidRDefault="00416254" w:rsidP="00D518D1">
      <w:pPr>
        <w:spacing w:after="0" w:line="240" w:lineRule="auto"/>
        <w:jc w:val="both"/>
        <w:rPr>
          <w:rFonts w:ascii="Times New Roman" w:hAnsi="Times New Roman" w:cs="Times New Roman"/>
          <w:sz w:val="24"/>
          <w:szCs w:val="24"/>
        </w:rPr>
      </w:pPr>
    </w:p>
    <w:p w:rsidR="00604564" w:rsidRDefault="00C970F8" w:rsidP="00D518D1">
      <w:pPr>
        <w:spacing w:after="0" w:line="240" w:lineRule="auto"/>
        <w:jc w:val="both"/>
        <w:rPr>
          <w:rFonts w:ascii="Times New Roman" w:hAnsi="Times New Roman" w:cs="Times New Roman"/>
          <w:sz w:val="24"/>
          <w:szCs w:val="24"/>
        </w:rPr>
      </w:pPr>
      <w:r>
        <w:rPr>
          <w:rFonts w:ascii="Times New Roman" w:hAnsi="Times New Roman" w:cs="Times New Roman"/>
          <w:sz w:val="20"/>
          <w:szCs w:val="20"/>
        </w:rPr>
        <w:t>Graf č. 41</w:t>
      </w:r>
      <w:r w:rsidR="00604564" w:rsidRPr="00C55549">
        <w:rPr>
          <w:rFonts w:ascii="Times New Roman" w:hAnsi="Times New Roman" w:cs="Times New Roman"/>
          <w:sz w:val="20"/>
          <w:szCs w:val="20"/>
        </w:rPr>
        <w:t>:</w:t>
      </w:r>
      <w:r w:rsidR="00604564">
        <w:rPr>
          <w:rFonts w:ascii="Times New Roman" w:hAnsi="Times New Roman" w:cs="Times New Roman"/>
          <w:sz w:val="20"/>
          <w:szCs w:val="20"/>
        </w:rPr>
        <w:t xml:space="preserve"> Vývoj zberových plôch a úrod na hektár</w:t>
      </w:r>
    </w:p>
    <w:p w:rsidR="00604564" w:rsidRPr="005F212F" w:rsidRDefault="00604564" w:rsidP="00D518D1">
      <w:pPr>
        <w:spacing w:after="0" w:line="240" w:lineRule="auto"/>
        <w:jc w:val="both"/>
        <w:rPr>
          <w:rFonts w:ascii="Times New Roman" w:hAnsi="Times New Roman" w:cs="Times New Roman"/>
          <w:sz w:val="24"/>
          <w:szCs w:val="24"/>
        </w:rPr>
      </w:pPr>
      <w:r>
        <w:rPr>
          <w:noProof/>
        </w:rPr>
        <w:drawing>
          <wp:inline distT="0" distB="0" distL="0" distR="0" wp14:anchorId="5081A0D5" wp14:editId="1803EC7D">
            <wp:extent cx="5717969" cy="2291938"/>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604564" w:rsidRDefault="00604564" w:rsidP="006045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9C07EC" w:rsidRDefault="009C07EC" w:rsidP="00D518D1">
      <w:pPr>
        <w:spacing w:after="0" w:line="240" w:lineRule="auto"/>
        <w:jc w:val="both"/>
        <w:rPr>
          <w:rFonts w:ascii="Times New Roman" w:hAnsi="Times New Roman" w:cs="Times New Roman"/>
          <w:b/>
          <w:sz w:val="24"/>
          <w:szCs w:val="24"/>
        </w:rPr>
      </w:pPr>
    </w:p>
    <w:p w:rsidR="009C07EC" w:rsidRDefault="00416254" w:rsidP="00D518D1">
      <w:pPr>
        <w:spacing w:after="0" w:line="240" w:lineRule="auto"/>
        <w:jc w:val="both"/>
        <w:rPr>
          <w:rFonts w:ascii="Times New Roman" w:hAnsi="Times New Roman" w:cs="Times New Roman"/>
          <w:sz w:val="24"/>
          <w:szCs w:val="24"/>
        </w:rPr>
      </w:pPr>
      <w:r w:rsidRPr="00416254">
        <w:rPr>
          <w:rFonts w:ascii="Times New Roman" w:hAnsi="Times New Roman" w:cs="Times New Roman"/>
          <w:sz w:val="24"/>
          <w:szCs w:val="24"/>
        </w:rPr>
        <w:t xml:space="preserve">V nasledujúcich rokoch nepredpokladáme výraznejšie výkyvy v produkcii ani v spotrebe pšenice. Situáciu však môže ovplyvniť vývoj klimatických zmien (sucho, záplavy, mrazy, </w:t>
      </w:r>
      <w:r w:rsidRPr="00416254">
        <w:rPr>
          <w:rFonts w:ascii="Times New Roman" w:hAnsi="Times New Roman" w:cs="Times New Roman"/>
          <w:sz w:val="24"/>
          <w:szCs w:val="24"/>
        </w:rPr>
        <w:lastRenderedPageBreak/>
        <w:t xml:space="preserve">prívalové dažde). Naďalej </w:t>
      </w:r>
      <w:r>
        <w:rPr>
          <w:rFonts w:ascii="Times New Roman" w:hAnsi="Times New Roman" w:cs="Times New Roman"/>
          <w:sz w:val="24"/>
          <w:szCs w:val="24"/>
        </w:rPr>
        <w:t xml:space="preserve">však </w:t>
      </w:r>
      <w:r w:rsidRPr="00416254">
        <w:rPr>
          <w:rFonts w:ascii="Times New Roman" w:hAnsi="Times New Roman" w:cs="Times New Roman"/>
          <w:sz w:val="24"/>
          <w:szCs w:val="24"/>
        </w:rPr>
        <w:t>možno predpokladať, že celková ponuka v</w:t>
      </w:r>
      <w:r>
        <w:rPr>
          <w:rFonts w:ascii="Times New Roman" w:hAnsi="Times New Roman" w:cs="Times New Roman"/>
          <w:sz w:val="24"/>
          <w:szCs w:val="24"/>
        </w:rPr>
        <w:t xml:space="preserve">ytvorená počiatočnými zásobami </w:t>
      </w:r>
      <w:r w:rsidRPr="00416254">
        <w:rPr>
          <w:rFonts w:ascii="Times New Roman" w:hAnsi="Times New Roman" w:cs="Times New Roman"/>
          <w:sz w:val="24"/>
          <w:szCs w:val="24"/>
        </w:rPr>
        <w:t>a produkciou bude</w:t>
      </w:r>
      <w:r w:rsidR="008B5695">
        <w:rPr>
          <w:rFonts w:ascii="Times New Roman" w:hAnsi="Times New Roman" w:cs="Times New Roman"/>
          <w:sz w:val="24"/>
          <w:szCs w:val="24"/>
        </w:rPr>
        <w:t>, na úrovni prvovýroby,</w:t>
      </w:r>
      <w:r w:rsidRPr="00416254">
        <w:rPr>
          <w:rFonts w:ascii="Times New Roman" w:hAnsi="Times New Roman" w:cs="Times New Roman"/>
          <w:sz w:val="24"/>
          <w:szCs w:val="24"/>
        </w:rPr>
        <w:t xml:space="preserve"> prevyšovať celkové použitie. </w:t>
      </w:r>
    </w:p>
    <w:p w:rsidR="008B5695" w:rsidRDefault="008B5695" w:rsidP="00D518D1">
      <w:pPr>
        <w:spacing w:after="0" w:line="240" w:lineRule="auto"/>
        <w:jc w:val="both"/>
        <w:rPr>
          <w:rFonts w:ascii="Times New Roman" w:hAnsi="Times New Roman" w:cs="Times New Roman"/>
          <w:sz w:val="24"/>
          <w:szCs w:val="24"/>
        </w:rPr>
      </w:pPr>
    </w:p>
    <w:p w:rsidR="008B5695" w:rsidRDefault="008B5695" w:rsidP="00D51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Čo sa týka spracovania domácej produkcie </w:t>
      </w:r>
      <w:r w:rsidR="00B85684">
        <w:rPr>
          <w:rFonts w:ascii="Times New Roman" w:hAnsi="Times New Roman" w:cs="Times New Roman"/>
          <w:sz w:val="24"/>
          <w:szCs w:val="24"/>
        </w:rPr>
        <w:t xml:space="preserve">potravinárskej </w:t>
      </w:r>
      <w:r>
        <w:rPr>
          <w:rFonts w:ascii="Times New Roman" w:hAnsi="Times New Roman" w:cs="Times New Roman"/>
          <w:sz w:val="24"/>
          <w:szCs w:val="24"/>
        </w:rPr>
        <w:t xml:space="preserve">pšenice, domáci mlynský priemysel spracúva domácu produkciu na 100 %. Za rok 2011 sa na Slovensku </w:t>
      </w:r>
      <w:r w:rsidR="009513D0">
        <w:rPr>
          <w:rFonts w:ascii="Times New Roman" w:hAnsi="Times New Roman" w:cs="Times New Roman"/>
          <w:sz w:val="24"/>
          <w:szCs w:val="24"/>
        </w:rPr>
        <w:t>zomlelo</w:t>
      </w:r>
      <w:r>
        <w:rPr>
          <w:rFonts w:ascii="Times New Roman" w:hAnsi="Times New Roman" w:cs="Times New Roman"/>
          <w:sz w:val="24"/>
          <w:szCs w:val="24"/>
        </w:rPr>
        <w:t xml:space="preserve"> 405 166 t </w:t>
      </w:r>
      <w:r w:rsidR="00F10181">
        <w:rPr>
          <w:rFonts w:ascii="Times New Roman" w:hAnsi="Times New Roman" w:cs="Times New Roman"/>
          <w:sz w:val="24"/>
          <w:szCs w:val="24"/>
        </w:rPr>
        <w:t>pšenice</w:t>
      </w:r>
      <w:r>
        <w:rPr>
          <w:rFonts w:ascii="Times New Roman" w:hAnsi="Times New Roman" w:cs="Times New Roman"/>
          <w:sz w:val="24"/>
          <w:szCs w:val="24"/>
        </w:rPr>
        <w:t xml:space="preserve">, čo predstavuje výťažnosť produkcie mlynského priemyslu, počítanú z celkovej domácej produkcie potravinárskej pšenice, na úrovni 78,4 %. </w:t>
      </w:r>
      <w:r w:rsidR="00F10181">
        <w:rPr>
          <w:rFonts w:ascii="Times New Roman" w:hAnsi="Times New Roman" w:cs="Times New Roman"/>
          <w:sz w:val="24"/>
          <w:szCs w:val="24"/>
        </w:rPr>
        <w:t>Produkčná k</w:t>
      </w:r>
      <w:r>
        <w:rPr>
          <w:rFonts w:ascii="Times New Roman" w:hAnsi="Times New Roman" w:cs="Times New Roman"/>
          <w:sz w:val="24"/>
          <w:szCs w:val="24"/>
        </w:rPr>
        <w:t xml:space="preserve">apacita mlynského priemyslu na Slovensku, ak počítame potenciálnu ročnú </w:t>
      </w:r>
      <w:r w:rsidR="00F10181">
        <w:rPr>
          <w:rFonts w:ascii="Times New Roman" w:hAnsi="Times New Roman" w:cs="Times New Roman"/>
          <w:sz w:val="24"/>
          <w:szCs w:val="24"/>
        </w:rPr>
        <w:t xml:space="preserve">produkčnú </w:t>
      </w:r>
      <w:r>
        <w:rPr>
          <w:rFonts w:ascii="Times New Roman" w:hAnsi="Times New Roman" w:cs="Times New Roman"/>
          <w:sz w:val="24"/>
          <w:szCs w:val="24"/>
        </w:rPr>
        <w:t xml:space="preserve">kapacitu v objeme 430 671 t </w:t>
      </w:r>
      <w:r w:rsidR="009513D0">
        <w:rPr>
          <w:rFonts w:ascii="Times New Roman" w:hAnsi="Times New Roman" w:cs="Times New Roman"/>
          <w:sz w:val="24"/>
          <w:szCs w:val="24"/>
        </w:rPr>
        <w:t>zomletej</w:t>
      </w:r>
      <w:r w:rsidR="00F10181">
        <w:rPr>
          <w:rFonts w:ascii="Times New Roman" w:hAnsi="Times New Roman" w:cs="Times New Roman"/>
          <w:sz w:val="24"/>
          <w:szCs w:val="24"/>
        </w:rPr>
        <w:t xml:space="preserve"> pšenice</w:t>
      </w:r>
      <w:r>
        <w:rPr>
          <w:rFonts w:ascii="Times New Roman" w:hAnsi="Times New Roman" w:cs="Times New Roman"/>
          <w:sz w:val="24"/>
          <w:szCs w:val="24"/>
        </w:rPr>
        <w:t xml:space="preserve">, sa takto využíva na 94 %. Súčasný objem spracovania potravinárskej pšenice v mlynskom priemysle pokrýva potreby Slovenska na 100 %. </w:t>
      </w:r>
      <w:r w:rsidR="00F10181">
        <w:rPr>
          <w:rFonts w:ascii="Times New Roman" w:hAnsi="Times New Roman" w:cs="Times New Roman"/>
          <w:sz w:val="24"/>
          <w:szCs w:val="24"/>
        </w:rPr>
        <w:t xml:space="preserve">Vývoz </w:t>
      </w:r>
      <w:r w:rsidR="009513D0">
        <w:rPr>
          <w:rFonts w:ascii="Times New Roman" w:hAnsi="Times New Roman" w:cs="Times New Roman"/>
          <w:sz w:val="24"/>
          <w:szCs w:val="24"/>
        </w:rPr>
        <w:t>zomletej</w:t>
      </w:r>
      <w:r w:rsidR="00F10181">
        <w:rPr>
          <w:rFonts w:ascii="Times New Roman" w:hAnsi="Times New Roman" w:cs="Times New Roman"/>
          <w:sz w:val="24"/>
          <w:szCs w:val="24"/>
        </w:rPr>
        <w:t xml:space="preserve"> pšenice do zahraničia predstavuje len nepatrný zlomok z celkovej produkcie mlynského priemyslu, a to 2 149 t. </w:t>
      </w:r>
    </w:p>
    <w:p w:rsidR="00F10181" w:rsidRDefault="00F10181" w:rsidP="00D518D1">
      <w:pPr>
        <w:spacing w:after="0" w:line="240" w:lineRule="auto"/>
        <w:jc w:val="both"/>
        <w:rPr>
          <w:rFonts w:ascii="Times New Roman" w:hAnsi="Times New Roman" w:cs="Times New Roman"/>
          <w:sz w:val="24"/>
          <w:szCs w:val="24"/>
        </w:rPr>
      </w:pPr>
    </w:p>
    <w:p w:rsidR="00F10181" w:rsidRDefault="00F10181" w:rsidP="00D51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w:t>
      </w:r>
      <w:r w:rsidR="00B85684">
        <w:rPr>
          <w:rFonts w:ascii="Times New Roman" w:hAnsi="Times New Roman" w:cs="Times New Roman"/>
          <w:sz w:val="24"/>
          <w:szCs w:val="24"/>
        </w:rPr>
        <w:t xml:space="preserve">o sa týka následného spracovania </w:t>
      </w:r>
      <w:r w:rsidR="009513D0">
        <w:rPr>
          <w:rFonts w:ascii="Times New Roman" w:hAnsi="Times New Roman" w:cs="Times New Roman"/>
          <w:sz w:val="24"/>
          <w:szCs w:val="24"/>
        </w:rPr>
        <w:t>zomletej</w:t>
      </w:r>
      <w:r w:rsidR="00B85684">
        <w:rPr>
          <w:rFonts w:ascii="Times New Roman" w:hAnsi="Times New Roman" w:cs="Times New Roman"/>
          <w:sz w:val="24"/>
          <w:szCs w:val="24"/>
        </w:rPr>
        <w:t xml:space="preserve"> pšenice na pšeničnú múku, objem tohto spracovania tvorí 100 % súčasnej úrovne vyprodukovaného </w:t>
      </w:r>
      <w:r w:rsidR="009513D0">
        <w:rPr>
          <w:rFonts w:ascii="Times New Roman" w:hAnsi="Times New Roman" w:cs="Times New Roman"/>
          <w:sz w:val="24"/>
          <w:szCs w:val="24"/>
        </w:rPr>
        <w:t>zomletej</w:t>
      </w:r>
      <w:r w:rsidR="00B85684">
        <w:rPr>
          <w:rFonts w:ascii="Times New Roman" w:hAnsi="Times New Roman" w:cs="Times New Roman"/>
          <w:sz w:val="24"/>
          <w:szCs w:val="24"/>
        </w:rPr>
        <w:t xml:space="preserve"> pšenice, teda v absolútnych číslach 306 638 t</w:t>
      </w:r>
      <w:r w:rsidR="00D57F63">
        <w:rPr>
          <w:rFonts w:ascii="Times New Roman" w:hAnsi="Times New Roman" w:cs="Times New Roman"/>
          <w:sz w:val="24"/>
          <w:szCs w:val="24"/>
        </w:rPr>
        <w:t>, pri priemernej produkčnej výťažnosti na úrovni 75,8 %</w:t>
      </w:r>
      <w:r w:rsidR="00B85684">
        <w:rPr>
          <w:rFonts w:ascii="Times New Roman" w:hAnsi="Times New Roman" w:cs="Times New Roman"/>
          <w:sz w:val="24"/>
          <w:szCs w:val="24"/>
        </w:rPr>
        <w:t>.</w:t>
      </w:r>
      <w:r w:rsidR="00D57F63">
        <w:rPr>
          <w:rFonts w:ascii="Times New Roman" w:hAnsi="Times New Roman" w:cs="Times New Roman"/>
          <w:sz w:val="24"/>
          <w:szCs w:val="24"/>
        </w:rPr>
        <w:t xml:space="preserve"> Produkčná kapacita mlynského priemyslu na Slovensku, ak počítame potenciálnu ročnú produkčnú kapacitu v objeme 377 957 t pšeničnej múky, sa takto využíva na 81,1 %. Súčasný objem spracovania </w:t>
      </w:r>
      <w:r w:rsidR="009513D0">
        <w:rPr>
          <w:rFonts w:ascii="Times New Roman" w:hAnsi="Times New Roman" w:cs="Times New Roman"/>
          <w:sz w:val="24"/>
          <w:szCs w:val="24"/>
        </w:rPr>
        <w:t>zomletej</w:t>
      </w:r>
      <w:r w:rsidR="00D57F63">
        <w:rPr>
          <w:rFonts w:ascii="Times New Roman" w:hAnsi="Times New Roman" w:cs="Times New Roman"/>
          <w:sz w:val="24"/>
          <w:szCs w:val="24"/>
        </w:rPr>
        <w:t xml:space="preserve"> pšenice, v podobe pšeničnej múky, v mlynskom priemysle taktiež pokrýva potreby Slovenska na </w:t>
      </w:r>
      <w:r w:rsidR="007200CD">
        <w:rPr>
          <w:rFonts w:ascii="Times New Roman" w:hAnsi="Times New Roman" w:cs="Times New Roman"/>
          <w:sz w:val="24"/>
          <w:szCs w:val="24"/>
        </w:rPr>
        <w:t>100 %. A</w:t>
      </w:r>
      <w:r w:rsidR="00D57F63">
        <w:rPr>
          <w:rFonts w:ascii="Times New Roman" w:hAnsi="Times New Roman" w:cs="Times New Roman"/>
          <w:sz w:val="24"/>
          <w:szCs w:val="24"/>
        </w:rPr>
        <w:t xml:space="preserve">však každoročný vývoz vo výške cca 32 % </w:t>
      </w:r>
      <w:r w:rsidR="007200CD">
        <w:rPr>
          <w:rFonts w:ascii="Times New Roman" w:hAnsi="Times New Roman" w:cs="Times New Roman"/>
          <w:sz w:val="24"/>
          <w:szCs w:val="24"/>
        </w:rPr>
        <w:t xml:space="preserve">domácej </w:t>
      </w:r>
      <w:r w:rsidR="00D57F63">
        <w:rPr>
          <w:rFonts w:ascii="Times New Roman" w:hAnsi="Times New Roman" w:cs="Times New Roman"/>
          <w:sz w:val="24"/>
          <w:szCs w:val="24"/>
        </w:rPr>
        <w:t xml:space="preserve">produkcie </w:t>
      </w:r>
      <w:r w:rsidR="007200CD">
        <w:rPr>
          <w:rFonts w:ascii="Times New Roman" w:hAnsi="Times New Roman" w:cs="Times New Roman"/>
          <w:sz w:val="24"/>
          <w:szCs w:val="24"/>
        </w:rPr>
        <w:t xml:space="preserve">pšeničnej múky </w:t>
      </w:r>
      <w:r w:rsidR="00D57F63">
        <w:rPr>
          <w:rFonts w:ascii="Times New Roman" w:hAnsi="Times New Roman" w:cs="Times New Roman"/>
          <w:sz w:val="24"/>
          <w:szCs w:val="24"/>
        </w:rPr>
        <w:t xml:space="preserve">(za rok 2011 bol celkový objem vývozu 99 240 t pšeničnej múky) vytvára nedostatok vo výške cca </w:t>
      </w:r>
      <w:r w:rsidR="007200CD">
        <w:rPr>
          <w:rFonts w:ascii="Times New Roman" w:hAnsi="Times New Roman" w:cs="Times New Roman"/>
          <w:sz w:val="24"/>
          <w:szCs w:val="24"/>
        </w:rPr>
        <w:t>14,6 % domácej produkcie pšeničnej múky (za rok 2011 bol celkový objem dovozu 44 864,7 t pšeničnej múky).</w:t>
      </w:r>
    </w:p>
    <w:p w:rsidR="00152C12" w:rsidRDefault="00152C12" w:rsidP="00D518D1">
      <w:pPr>
        <w:spacing w:after="0" w:line="240" w:lineRule="auto"/>
        <w:jc w:val="both"/>
        <w:rPr>
          <w:rFonts w:ascii="Times New Roman" w:hAnsi="Times New Roman" w:cs="Times New Roman"/>
          <w:sz w:val="24"/>
          <w:szCs w:val="24"/>
        </w:rPr>
      </w:pPr>
    </w:p>
    <w:p w:rsidR="007200CD" w:rsidRDefault="00152C12" w:rsidP="007200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vyššie uvedenej analýzy vertikály spracovateľského priemyslu na Slovensku môžeme konštatovať, že jeho produkčná výkonnosť je optimálna a plne pokrýva potreby Slovenska. Zachovanie</w:t>
      </w:r>
      <w:r w:rsidR="007200CD">
        <w:rPr>
          <w:rFonts w:ascii="Times New Roman" w:hAnsi="Times New Roman" w:cs="Times New Roman"/>
          <w:sz w:val="24"/>
          <w:szCs w:val="24"/>
        </w:rPr>
        <w:t xml:space="preserve"> produkčnej výkonnosti spracovateľského priemyslu je potrebné z hľadiska súčasnej úrovne spotreby </w:t>
      </w:r>
      <w:r>
        <w:rPr>
          <w:rFonts w:ascii="Times New Roman" w:hAnsi="Times New Roman" w:cs="Times New Roman"/>
          <w:sz w:val="24"/>
          <w:szCs w:val="24"/>
        </w:rPr>
        <w:t>potravinárskej pšenice</w:t>
      </w:r>
      <w:r w:rsidR="007200CD">
        <w:rPr>
          <w:rFonts w:ascii="Times New Roman" w:hAnsi="Times New Roman" w:cs="Times New Roman"/>
          <w:sz w:val="24"/>
          <w:szCs w:val="24"/>
        </w:rPr>
        <w:t xml:space="preserve">, berúc do úvahy spotrebiteľské preferencie. </w:t>
      </w:r>
    </w:p>
    <w:p w:rsidR="00152C12" w:rsidRDefault="00152C12" w:rsidP="007200CD">
      <w:pPr>
        <w:spacing w:after="0" w:line="240" w:lineRule="auto"/>
        <w:jc w:val="both"/>
        <w:rPr>
          <w:rFonts w:ascii="Times New Roman" w:hAnsi="Times New Roman" w:cs="Times New Roman"/>
          <w:sz w:val="24"/>
          <w:szCs w:val="24"/>
        </w:rPr>
      </w:pPr>
    </w:p>
    <w:p w:rsidR="00152C12" w:rsidRDefault="00C970F8" w:rsidP="007200C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Graf č. 42</w:t>
      </w:r>
      <w:r w:rsidR="00152C12" w:rsidRPr="00C55549">
        <w:rPr>
          <w:rFonts w:ascii="Times New Roman" w:hAnsi="Times New Roman" w:cs="Times New Roman"/>
          <w:sz w:val="20"/>
          <w:szCs w:val="20"/>
        </w:rPr>
        <w:t>:</w:t>
      </w:r>
      <w:r w:rsidR="00E043FB">
        <w:rPr>
          <w:rFonts w:ascii="Times New Roman" w:hAnsi="Times New Roman" w:cs="Times New Roman"/>
          <w:sz w:val="20"/>
          <w:szCs w:val="20"/>
        </w:rPr>
        <w:t>Vývoj spotreby potravinárskej pšenice na obyvateľa v kg za rok</w:t>
      </w:r>
    </w:p>
    <w:p w:rsidR="00152C12" w:rsidRDefault="00152C12" w:rsidP="007200CD">
      <w:pPr>
        <w:spacing w:after="0" w:line="240" w:lineRule="auto"/>
        <w:jc w:val="both"/>
        <w:rPr>
          <w:rFonts w:ascii="Times New Roman" w:hAnsi="Times New Roman" w:cs="Times New Roman"/>
          <w:sz w:val="24"/>
          <w:szCs w:val="24"/>
        </w:rPr>
      </w:pPr>
      <w:r>
        <w:rPr>
          <w:noProof/>
        </w:rPr>
        <w:drawing>
          <wp:inline distT="0" distB="0" distL="0" distR="0" wp14:anchorId="69943A78" wp14:editId="7693FD3C">
            <wp:extent cx="5723906" cy="2066306"/>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E043FB" w:rsidRDefault="00E043FB" w:rsidP="00E043F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7200CD" w:rsidRDefault="007200CD" w:rsidP="00D518D1">
      <w:pPr>
        <w:spacing w:after="0" w:line="240" w:lineRule="auto"/>
        <w:jc w:val="both"/>
        <w:rPr>
          <w:rFonts w:ascii="Times New Roman" w:hAnsi="Times New Roman" w:cs="Times New Roman"/>
          <w:sz w:val="24"/>
          <w:szCs w:val="24"/>
        </w:rPr>
      </w:pPr>
    </w:p>
    <w:p w:rsidR="00E043FB" w:rsidRDefault="00E043FB" w:rsidP="00E04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Vzhľadom na to, že spotrebiteľské preferencie sú v spotrebe potravinárskej pšenice v strednom období stabilné, je nutné tento trend zachovať a zastabilizovať súčasnú spotrebu potravinárskej pšenice na obyvateľa minimálne na úrovni roku 2011.</w:t>
      </w:r>
    </w:p>
    <w:p w:rsidR="008559AA" w:rsidRDefault="008559AA" w:rsidP="00D518D1">
      <w:pPr>
        <w:spacing w:after="0" w:line="240" w:lineRule="auto"/>
        <w:jc w:val="both"/>
        <w:rPr>
          <w:rFonts w:ascii="Times New Roman" w:hAnsi="Times New Roman" w:cs="Times New Roman"/>
          <w:sz w:val="24"/>
          <w:szCs w:val="24"/>
        </w:rPr>
      </w:pPr>
    </w:p>
    <w:p w:rsidR="0034029F" w:rsidRDefault="0034029F" w:rsidP="00D518D1">
      <w:pPr>
        <w:spacing w:after="0" w:line="240" w:lineRule="auto"/>
        <w:jc w:val="both"/>
        <w:rPr>
          <w:rFonts w:ascii="Times New Roman" w:hAnsi="Times New Roman" w:cs="Times New Roman"/>
          <w:sz w:val="24"/>
          <w:szCs w:val="24"/>
        </w:rPr>
      </w:pPr>
    </w:p>
    <w:p w:rsidR="00D82A6F" w:rsidRPr="00B674AD" w:rsidRDefault="00C970F8" w:rsidP="00D518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Graf č. 43</w:t>
      </w:r>
      <w:r w:rsidR="00B674AD" w:rsidRPr="00C55549">
        <w:rPr>
          <w:rFonts w:ascii="Times New Roman" w:hAnsi="Times New Roman" w:cs="Times New Roman"/>
          <w:sz w:val="20"/>
          <w:szCs w:val="20"/>
        </w:rPr>
        <w:t>:</w:t>
      </w:r>
      <w:r w:rsidR="00B674AD">
        <w:rPr>
          <w:rFonts w:ascii="Times New Roman" w:hAnsi="Times New Roman" w:cs="Times New Roman"/>
          <w:sz w:val="20"/>
          <w:szCs w:val="20"/>
        </w:rPr>
        <w:t xml:space="preserve"> Vývoj cien na jednotlivých stupňoch potravinovej vertikály (cena v EUR/1 kg</w:t>
      </w:r>
      <w:r w:rsidR="00B674AD" w:rsidRPr="0000713C">
        <w:rPr>
          <w:rFonts w:ascii="Times New Roman" w:hAnsi="Times New Roman" w:cs="Times New Roman"/>
          <w:sz w:val="20"/>
          <w:szCs w:val="20"/>
        </w:rPr>
        <w:t xml:space="preserve"> bez DPH</w:t>
      </w:r>
      <w:r w:rsidR="00B674AD">
        <w:rPr>
          <w:rFonts w:ascii="Times New Roman" w:hAnsi="Times New Roman" w:cs="Times New Roman"/>
          <w:sz w:val="20"/>
          <w:szCs w:val="20"/>
        </w:rPr>
        <w:t>)</w:t>
      </w:r>
    </w:p>
    <w:p w:rsidR="001F1317" w:rsidRPr="00416254" w:rsidRDefault="00D82A6F" w:rsidP="00D518D1">
      <w:pPr>
        <w:spacing w:after="0" w:line="240" w:lineRule="auto"/>
        <w:jc w:val="both"/>
        <w:rPr>
          <w:rFonts w:ascii="Times New Roman" w:hAnsi="Times New Roman" w:cs="Times New Roman"/>
          <w:sz w:val="24"/>
          <w:szCs w:val="24"/>
        </w:rPr>
      </w:pPr>
      <w:r>
        <w:rPr>
          <w:noProof/>
        </w:rPr>
        <w:drawing>
          <wp:inline distT="0" distB="0" distL="0" distR="0" wp14:anchorId="2666D95D" wp14:editId="52AD9449">
            <wp:extent cx="5765470" cy="2410690"/>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674AD" w:rsidRDefault="00B674AD" w:rsidP="00B674A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8559AA" w:rsidRDefault="008559AA" w:rsidP="00B674AD">
      <w:pPr>
        <w:spacing w:after="0" w:line="240" w:lineRule="auto"/>
        <w:jc w:val="both"/>
        <w:rPr>
          <w:rFonts w:ascii="Times New Roman" w:hAnsi="Times New Roman" w:cs="Times New Roman"/>
          <w:sz w:val="24"/>
          <w:szCs w:val="24"/>
        </w:rPr>
      </w:pPr>
    </w:p>
    <w:p w:rsidR="00B674AD" w:rsidRDefault="00B674AD" w:rsidP="00B67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Ceny prvovýrobcov sa v roku 2011 pohybovali nad úrovňou vlastných nákladov na 1 kg produkcie potravinárskej pšenice, vypočítaných pomocou vyčíslenia jednotlivých kalkulačných položiek vlastných nákladov na jednotku produkcie. Takto vypočítané vlastné náklady na 1 kg potravinárskej pšenice dosahovali v roku 2011 výšku 0,14 EUR/kg. Prvovýrobca takto dosahuje ziskovosť na úrovni 0,06 EUR/kg. Taktiež nárast ceny v ostatných článkoch potravinovej vertikály je optimálny. Vzhľadom na to, je potrebné udržať priemernú spotrebiteľskú cenu za kg na úrovni roku 2011 </w:t>
      </w:r>
      <w:r w:rsidR="00450C37">
        <w:rPr>
          <w:rFonts w:ascii="Times New Roman" w:hAnsi="Times New Roman" w:cs="Times New Roman"/>
          <w:sz w:val="24"/>
          <w:szCs w:val="24"/>
        </w:rPr>
        <w:t>zachovaním súčasných cenových úrovní</w:t>
      </w:r>
      <w:r w:rsidR="00AE192C">
        <w:rPr>
          <w:rFonts w:ascii="Times New Roman" w:hAnsi="Times New Roman" w:cs="Times New Roman"/>
          <w:sz w:val="24"/>
          <w:szCs w:val="24"/>
        </w:rPr>
        <w:t xml:space="preserve">, </w:t>
      </w:r>
      <w:r w:rsidR="00AE192C" w:rsidRPr="00AE192C">
        <w:rPr>
          <w:rFonts w:ascii="Times New Roman" w:hAnsi="Times New Roman" w:cs="Times New Roman"/>
          <w:sz w:val="24"/>
          <w:szCs w:val="24"/>
          <w:highlight w:val="yellow"/>
        </w:rPr>
        <w:t>ktoré samozrejme zohľadňujú priemernú mieru inflácie</w:t>
      </w:r>
      <w:r>
        <w:rPr>
          <w:rFonts w:ascii="Times New Roman" w:hAnsi="Times New Roman" w:cs="Times New Roman"/>
          <w:sz w:val="24"/>
          <w:szCs w:val="24"/>
        </w:rPr>
        <w:t xml:space="preserve">. </w:t>
      </w:r>
    </w:p>
    <w:p w:rsidR="00450C37" w:rsidRDefault="00450C37" w:rsidP="00B674AD">
      <w:pPr>
        <w:spacing w:after="0" w:line="240" w:lineRule="auto"/>
        <w:jc w:val="both"/>
        <w:rPr>
          <w:rFonts w:ascii="Times New Roman" w:hAnsi="Times New Roman" w:cs="Times New Roman"/>
          <w:sz w:val="24"/>
          <w:szCs w:val="24"/>
        </w:rPr>
      </w:pPr>
    </w:p>
    <w:p w:rsidR="00AC62A7" w:rsidRDefault="00C970F8" w:rsidP="00B674A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Graf č. 44</w:t>
      </w:r>
      <w:r w:rsidR="00AC62A7" w:rsidRPr="00C55549">
        <w:rPr>
          <w:rFonts w:ascii="Times New Roman" w:hAnsi="Times New Roman" w:cs="Times New Roman"/>
          <w:sz w:val="20"/>
          <w:szCs w:val="20"/>
        </w:rPr>
        <w:t>:</w:t>
      </w:r>
      <w:r w:rsidR="00AC62A7">
        <w:rPr>
          <w:rFonts w:ascii="Times New Roman" w:hAnsi="Times New Roman" w:cs="Times New Roman"/>
          <w:sz w:val="20"/>
          <w:szCs w:val="20"/>
        </w:rPr>
        <w:t xml:space="preserve"> Vývoj cenových indexov na jednotlivých stupňoch potravinovej vertikály</w:t>
      </w:r>
    </w:p>
    <w:p w:rsidR="00450C37" w:rsidRDefault="00180210" w:rsidP="00B674AD">
      <w:pPr>
        <w:spacing w:after="0" w:line="240" w:lineRule="auto"/>
        <w:jc w:val="both"/>
        <w:rPr>
          <w:rFonts w:ascii="Times New Roman" w:hAnsi="Times New Roman" w:cs="Times New Roman"/>
          <w:sz w:val="24"/>
          <w:szCs w:val="24"/>
        </w:rPr>
      </w:pPr>
      <w:r>
        <w:rPr>
          <w:noProof/>
        </w:rPr>
        <w:drawing>
          <wp:inline distT="0" distB="0" distL="0" distR="0" wp14:anchorId="681E83A4" wp14:editId="75AD2396">
            <wp:extent cx="5720486" cy="2048256"/>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C62A7" w:rsidRDefault="00AC62A7" w:rsidP="00AC62A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6B19BA" w:rsidRDefault="006B19BA" w:rsidP="002252AB">
      <w:pPr>
        <w:spacing w:after="0" w:line="240" w:lineRule="auto"/>
        <w:jc w:val="both"/>
        <w:rPr>
          <w:rFonts w:ascii="Times New Roman" w:hAnsi="Times New Roman" w:cs="Times New Roman"/>
          <w:sz w:val="24"/>
          <w:szCs w:val="24"/>
        </w:rPr>
      </w:pPr>
    </w:p>
    <w:p w:rsidR="002252AB" w:rsidRDefault="002252AB" w:rsidP="00225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Taktiež vývoj indexov cien na jednotlivých stupňoch potravinovej vertikály ukazuje približné kopírovanie cenových nárastov a poklesov pre prvovýrobu a odbyt.</w:t>
      </w:r>
      <w:r w:rsidR="001E63F7">
        <w:rPr>
          <w:rFonts w:ascii="Times New Roman" w:hAnsi="Times New Roman" w:cs="Times New Roman"/>
          <w:sz w:val="24"/>
          <w:szCs w:val="24"/>
        </w:rPr>
        <w:t xml:space="preserve"> </w:t>
      </w:r>
      <w:r w:rsidR="001E63F7" w:rsidRPr="00557702">
        <w:rPr>
          <w:rFonts w:ascii="Times New Roman" w:hAnsi="Times New Roman" w:cs="Times New Roman"/>
          <w:sz w:val="24"/>
          <w:szCs w:val="24"/>
        </w:rPr>
        <w:t>Z dôvodu zníženia cenovej marže pri pšenici mäkkej, sa zaujímavou komoditou, generujúcou vyššiu pridanú hodnotu, môže stať pšenica tvrdá a výroba cestovín, a tiež iné formy pšenice pre produkciu špeciálnych potravinových výrobkov.</w:t>
      </w:r>
    </w:p>
    <w:p w:rsidR="002252AB" w:rsidRDefault="002252AB" w:rsidP="002252AB">
      <w:pPr>
        <w:spacing w:after="0" w:line="240" w:lineRule="auto"/>
        <w:jc w:val="both"/>
        <w:rPr>
          <w:rFonts w:ascii="Times New Roman" w:hAnsi="Times New Roman" w:cs="Times New Roman"/>
          <w:sz w:val="24"/>
          <w:szCs w:val="24"/>
        </w:rPr>
      </w:pPr>
    </w:p>
    <w:p w:rsidR="002252AB" w:rsidRDefault="002252AB" w:rsidP="006B19BA">
      <w:pPr>
        <w:pBdr>
          <w:top w:val="single" w:sz="4" w:space="1" w:color="auto"/>
          <w:bottom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Na základe týchto skutočností môžeme konštatovať, že trh s potravinárskou pšenicou je z hľadiska potravinovej vertikály zdravý a plne korešponduje s cieľmi tejto strednodobej koncepcie.</w:t>
      </w:r>
    </w:p>
    <w:p w:rsidR="008559AA" w:rsidRPr="00D518D1" w:rsidRDefault="008559AA" w:rsidP="00D518D1">
      <w:pPr>
        <w:spacing w:after="0" w:line="240" w:lineRule="auto"/>
        <w:jc w:val="both"/>
        <w:rPr>
          <w:rFonts w:ascii="Times New Roman" w:hAnsi="Times New Roman" w:cs="Times New Roman"/>
          <w:b/>
          <w:sz w:val="24"/>
          <w:szCs w:val="24"/>
        </w:rPr>
      </w:pPr>
    </w:p>
    <w:p w:rsidR="00D518D1" w:rsidRDefault="00D518D1" w:rsidP="000D68DC">
      <w:pPr>
        <w:pStyle w:val="Nadpis3"/>
        <w:numPr>
          <w:ilvl w:val="2"/>
          <w:numId w:val="8"/>
        </w:numPr>
      </w:pPr>
      <w:bookmarkStart w:id="35" w:name="_Toc359550656"/>
      <w:r>
        <w:t>Raž</w:t>
      </w:r>
      <w:bookmarkEnd w:id="35"/>
    </w:p>
    <w:p w:rsidR="00BA7686" w:rsidRDefault="00BA7686" w:rsidP="002252AB">
      <w:pPr>
        <w:spacing w:after="0" w:line="240" w:lineRule="auto"/>
        <w:jc w:val="both"/>
        <w:rPr>
          <w:rFonts w:ascii="Times New Roman" w:hAnsi="Times New Roman" w:cs="Times New Roman"/>
          <w:b/>
          <w:sz w:val="24"/>
          <w:szCs w:val="24"/>
        </w:rPr>
      </w:pPr>
    </w:p>
    <w:p w:rsidR="00BD7099" w:rsidRDefault="00013709" w:rsidP="00680054">
      <w:pPr>
        <w:spacing w:after="0" w:line="240" w:lineRule="auto"/>
        <w:jc w:val="both"/>
        <w:rPr>
          <w:rFonts w:ascii="Times New Roman" w:hAnsi="Times New Roman" w:cs="Times New Roman"/>
          <w:sz w:val="24"/>
          <w:szCs w:val="24"/>
        </w:rPr>
      </w:pPr>
      <w:r w:rsidRPr="007C5739">
        <w:rPr>
          <w:rFonts w:ascii="Times New Roman" w:hAnsi="Times New Roman" w:cs="Times New Roman"/>
          <w:sz w:val="24"/>
          <w:szCs w:val="24"/>
        </w:rPr>
        <w:t>Domáci dop</w:t>
      </w:r>
      <w:r>
        <w:rPr>
          <w:rFonts w:ascii="Times New Roman" w:hAnsi="Times New Roman" w:cs="Times New Roman"/>
          <w:sz w:val="24"/>
          <w:szCs w:val="24"/>
        </w:rPr>
        <w:t xml:space="preserve">yt po </w:t>
      </w:r>
      <w:r w:rsidR="00680054">
        <w:rPr>
          <w:rFonts w:ascii="Times New Roman" w:hAnsi="Times New Roman" w:cs="Times New Roman"/>
          <w:sz w:val="24"/>
          <w:szCs w:val="24"/>
        </w:rPr>
        <w:t>raži</w:t>
      </w:r>
      <w:r>
        <w:rPr>
          <w:rFonts w:ascii="Times New Roman" w:hAnsi="Times New Roman" w:cs="Times New Roman"/>
          <w:sz w:val="24"/>
          <w:szCs w:val="24"/>
        </w:rPr>
        <w:t xml:space="preserve"> meriame pomocou štatisticky nameranej spotreby v tis. t za rok, čo predstavuje objem </w:t>
      </w:r>
      <w:r w:rsidR="000C5AFE">
        <w:rPr>
          <w:rFonts w:ascii="Times New Roman" w:hAnsi="Times New Roman" w:cs="Times New Roman"/>
          <w:sz w:val="24"/>
          <w:szCs w:val="24"/>
        </w:rPr>
        <w:t>43,4</w:t>
      </w:r>
      <w:r>
        <w:rPr>
          <w:rFonts w:ascii="Times New Roman" w:hAnsi="Times New Roman" w:cs="Times New Roman"/>
          <w:sz w:val="24"/>
          <w:szCs w:val="24"/>
        </w:rPr>
        <w:t xml:space="preserve"> tis. t. Z celkového objemu domáceho dopytu tvorí dopyt po </w:t>
      </w:r>
      <w:r w:rsidR="00680054">
        <w:rPr>
          <w:rFonts w:ascii="Times New Roman" w:hAnsi="Times New Roman" w:cs="Times New Roman"/>
          <w:sz w:val="24"/>
          <w:szCs w:val="24"/>
        </w:rPr>
        <w:t>raži</w:t>
      </w:r>
      <w:r w:rsidR="003748EC">
        <w:rPr>
          <w:rFonts w:ascii="Times New Roman" w:hAnsi="Times New Roman" w:cs="Times New Roman"/>
          <w:sz w:val="24"/>
          <w:szCs w:val="24"/>
        </w:rPr>
        <w:t xml:space="preserve"> </w:t>
      </w:r>
      <w:r w:rsidR="00F30D03">
        <w:rPr>
          <w:rFonts w:ascii="Times New Roman" w:hAnsi="Times New Roman" w:cs="Times New Roman"/>
          <w:sz w:val="24"/>
          <w:szCs w:val="24"/>
        </w:rPr>
        <w:t xml:space="preserve">na potravinárske účely </w:t>
      </w:r>
      <w:r w:rsidR="000C5AFE">
        <w:rPr>
          <w:rFonts w:ascii="Times New Roman" w:hAnsi="Times New Roman" w:cs="Times New Roman"/>
          <w:sz w:val="24"/>
          <w:szCs w:val="24"/>
        </w:rPr>
        <w:t>66,58</w:t>
      </w:r>
      <w:r>
        <w:rPr>
          <w:rFonts w:ascii="Times New Roman" w:hAnsi="Times New Roman" w:cs="Times New Roman"/>
          <w:sz w:val="24"/>
          <w:szCs w:val="24"/>
        </w:rPr>
        <w:t xml:space="preserve"> %, t.j. </w:t>
      </w:r>
      <w:r w:rsidR="000C5AFE">
        <w:rPr>
          <w:rFonts w:ascii="Times New Roman" w:hAnsi="Times New Roman" w:cs="Times New Roman"/>
          <w:sz w:val="24"/>
          <w:szCs w:val="24"/>
        </w:rPr>
        <w:t>28,9</w:t>
      </w:r>
      <w:r>
        <w:rPr>
          <w:rFonts w:ascii="Times New Roman" w:hAnsi="Times New Roman" w:cs="Times New Roman"/>
          <w:sz w:val="24"/>
          <w:szCs w:val="24"/>
        </w:rPr>
        <w:t xml:space="preserve"> tis. t. </w:t>
      </w:r>
      <w:r w:rsidR="005F06FB">
        <w:rPr>
          <w:rFonts w:ascii="Times New Roman" w:hAnsi="Times New Roman" w:cs="Times New Roman"/>
          <w:sz w:val="24"/>
          <w:szCs w:val="24"/>
        </w:rPr>
        <w:t>D</w:t>
      </w:r>
      <w:r>
        <w:rPr>
          <w:rFonts w:ascii="Times New Roman" w:hAnsi="Times New Roman" w:cs="Times New Roman"/>
          <w:sz w:val="24"/>
          <w:szCs w:val="24"/>
        </w:rPr>
        <w:t xml:space="preserve">omáca produkcia predstavuje objem </w:t>
      </w:r>
      <w:r w:rsidR="00EA2489">
        <w:rPr>
          <w:rFonts w:ascii="Times New Roman" w:hAnsi="Times New Roman" w:cs="Times New Roman"/>
          <w:sz w:val="24"/>
          <w:szCs w:val="24"/>
        </w:rPr>
        <w:t>41,2</w:t>
      </w:r>
      <w:r>
        <w:rPr>
          <w:rFonts w:ascii="Times New Roman" w:hAnsi="Times New Roman" w:cs="Times New Roman"/>
          <w:sz w:val="24"/>
          <w:szCs w:val="24"/>
        </w:rPr>
        <w:t xml:space="preserve"> tis. t, z čoho produkcia</w:t>
      </w:r>
      <w:r w:rsidR="00F30D03">
        <w:rPr>
          <w:rFonts w:ascii="Times New Roman" w:hAnsi="Times New Roman" w:cs="Times New Roman"/>
          <w:sz w:val="24"/>
          <w:szCs w:val="24"/>
        </w:rPr>
        <w:t xml:space="preserve"> raže na potravinárske účely tvorí cca 90</w:t>
      </w:r>
      <w:r>
        <w:rPr>
          <w:rFonts w:ascii="Times New Roman" w:hAnsi="Times New Roman" w:cs="Times New Roman"/>
          <w:sz w:val="24"/>
          <w:szCs w:val="24"/>
        </w:rPr>
        <w:t xml:space="preserve"> %, t.j. </w:t>
      </w:r>
      <w:r w:rsidR="00F30D03">
        <w:rPr>
          <w:rFonts w:ascii="Times New Roman" w:hAnsi="Times New Roman" w:cs="Times New Roman"/>
          <w:sz w:val="24"/>
          <w:szCs w:val="24"/>
        </w:rPr>
        <w:t>37,4</w:t>
      </w:r>
      <w:r>
        <w:rPr>
          <w:rFonts w:ascii="Times New Roman" w:hAnsi="Times New Roman" w:cs="Times New Roman"/>
          <w:sz w:val="24"/>
          <w:szCs w:val="24"/>
        </w:rPr>
        <w:t xml:space="preserve"> tis. t. </w:t>
      </w:r>
      <w:r w:rsidR="000C5AFE">
        <w:rPr>
          <w:rFonts w:ascii="Times New Roman" w:hAnsi="Times New Roman" w:cs="Times New Roman"/>
          <w:sz w:val="24"/>
          <w:szCs w:val="24"/>
        </w:rPr>
        <w:t>Z bilancie vyplýva</w:t>
      </w:r>
      <w:r>
        <w:rPr>
          <w:rFonts w:ascii="Times New Roman" w:hAnsi="Times New Roman" w:cs="Times New Roman"/>
          <w:sz w:val="24"/>
          <w:szCs w:val="24"/>
        </w:rPr>
        <w:t xml:space="preserve">, že celková produkcia </w:t>
      </w:r>
      <w:r w:rsidR="00F30D03">
        <w:rPr>
          <w:rFonts w:ascii="Times New Roman" w:hAnsi="Times New Roman" w:cs="Times New Roman"/>
          <w:sz w:val="24"/>
          <w:szCs w:val="24"/>
        </w:rPr>
        <w:t>raže</w:t>
      </w:r>
      <w:r>
        <w:rPr>
          <w:rFonts w:ascii="Times New Roman" w:hAnsi="Times New Roman" w:cs="Times New Roman"/>
          <w:sz w:val="24"/>
          <w:szCs w:val="24"/>
        </w:rPr>
        <w:t xml:space="preserve"> v SR dosahuje </w:t>
      </w:r>
      <w:r w:rsidR="000C5AFE">
        <w:rPr>
          <w:rFonts w:ascii="Times New Roman" w:hAnsi="Times New Roman" w:cs="Times New Roman"/>
          <w:sz w:val="24"/>
          <w:szCs w:val="24"/>
        </w:rPr>
        <w:t>94,93</w:t>
      </w:r>
      <w:r>
        <w:rPr>
          <w:rFonts w:ascii="Times New Roman" w:hAnsi="Times New Roman" w:cs="Times New Roman"/>
          <w:sz w:val="24"/>
          <w:szCs w:val="24"/>
        </w:rPr>
        <w:t xml:space="preserve"> % domáceho dopytu, čo znamená, že </w:t>
      </w:r>
      <w:r w:rsidR="005F06FB">
        <w:rPr>
          <w:rFonts w:ascii="Times New Roman" w:hAnsi="Times New Roman" w:cs="Times New Roman"/>
          <w:sz w:val="24"/>
          <w:szCs w:val="24"/>
        </w:rPr>
        <w:t>produkčná výkonnosť</w:t>
      </w:r>
      <w:r>
        <w:rPr>
          <w:rFonts w:ascii="Times New Roman" w:hAnsi="Times New Roman" w:cs="Times New Roman"/>
          <w:sz w:val="24"/>
          <w:szCs w:val="24"/>
        </w:rPr>
        <w:t xml:space="preserve"> v tejto komodite</w:t>
      </w:r>
      <w:r w:rsidR="00F30D03">
        <w:rPr>
          <w:rFonts w:ascii="Times New Roman" w:hAnsi="Times New Roman" w:cs="Times New Roman"/>
          <w:sz w:val="24"/>
          <w:szCs w:val="24"/>
        </w:rPr>
        <w:t xml:space="preserve"> je</w:t>
      </w:r>
      <w:r>
        <w:rPr>
          <w:rFonts w:ascii="Times New Roman" w:hAnsi="Times New Roman" w:cs="Times New Roman"/>
          <w:sz w:val="24"/>
          <w:szCs w:val="24"/>
        </w:rPr>
        <w:t xml:space="preserve">, z hľadiska prvovýroby, </w:t>
      </w:r>
      <w:r w:rsidR="00F30D03">
        <w:rPr>
          <w:rFonts w:ascii="Times New Roman" w:hAnsi="Times New Roman" w:cs="Times New Roman"/>
          <w:sz w:val="24"/>
          <w:szCs w:val="24"/>
        </w:rPr>
        <w:t>dostatočná v porovnaní so stanoveným cieľom</w:t>
      </w:r>
      <w:r>
        <w:rPr>
          <w:rFonts w:ascii="Times New Roman" w:hAnsi="Times New Roman" w:cs="Times New Roman"/>
          <w:sz w:val="24"/>
          <w:szCs w:val="24"/>
        </w:rPr>
        <w:t xml:space="preserve">. </w:t>
      </w:r>
      <w:r w:rsidR="00F30D03">
        <w:rPr>
          <w:rFonts w:ascii="Times New Roman" w:hAnsi="Times New Roman" w:cs="Times New Roman"/>
          <w:sz w:val="24"/>
          <w:szCs w:val="24"/>
        </w:rPr>
        <w:t>Stanovené</w:t>
      </w:r>
      <w:r>
        <w:rPr>
          <w:rFonts w:ascii="Times New Roman" w:hAnsi="Times New Roman" w:cs="Times New Roman"/>
          <w:sz w:val="24"/>
          <w:szCs w:val="24"/>
        </w:rPr>
        <w:t xml:space="preserve"> par</w:t>
      </w:r>
      <w:r w:rsidR="00F30D03">
        <w:rPr>
          <w:rFonts w:ascii="Times New Roman" w:hAnsi="Times New Roman" w:cs="Times New Roman"/>
          <w:sz w:val="24"/>
          <w:szCs w:val="24"/>
        </w:rPr>
        <w:t xml:space="preserve">ametre </w:t>
      </w:r>
      <w:r w:rsidR="00A32E77">
        <w:rPr>
          <w:rFonts w:ascii="Times New Roman" w:hAnsi="Times New Roman" w:cs="Times New Roman"/>
          <w:sz w:val="24"/>
          <w:szCs w:val="24"/>
        </w:rPr>
        <w:t>produkčnej výkonnosti</w:t>
      </w:r>
      <w:r w:rsidR="00F30D03">
        <w:rPr>
          <w:rFonts w:ascii="Times New Roman" w:hAnsi="Times New Roman" w:cs="Times New Roman"/>
          <w:sz w:val="24"/>
          <w:szCs w:val="24"/>
        </w:rPr>
        <w:t xml:space="preserve"> dosahuje</w:t>
      </w:r>
      <w:r w:rsidR="000C5AFE">
        <w:rPr>
          <w:rFonts w:ascii="Times New Roman" w:hAnsi="Times New Roman" w:cs="Times New Roman"/>
          <w:sz w:val="24"/>
          <w:szCs w:val="24"/>
        </w:rPr>
        <w:t xml:space="preserve"> aj</w:t>
      </w:r>
      <w:r>
        <w:rPr>
          <w:rFonts w:ascii="Times New Roman" w:hAnsi="Times New Roman" w:cs="Times New Roman"/>
          <w:sz w:val="24"/>
          <w:szCs w:val="24"/>
        </w:rPr>
        <w:t xml:space="preserve">, partikulárne, produkcia </w:t>
      </w:r>
      <w:r w:rsidR="00F30D03">
        <w:rPr>
          <w:rFonts w:ascii="Times New Roman" w:hAnsi="Times New Roman" w:cs="Times New Roman"/>
          <w:sz w:val="24"/>
          <w:szCs w:val="24"/>
        </w:rPr>
        <w:t>raže na potravinárske účely</w:t>
      </w:r>
      <w:r>
        <w:rPr>
          <w:rFonts w:ascii="Times New Roman" w:hAnsi="Times New Roman" w:cs="Times New Roman"/>
          <w:sz w:val="24"/>
          <w:szCs w:val="24"/>
        </w:rPr>
        <w:t>, keď</w:t>
      </w:r>
      <w:r w:rsidR="00F30D03">
        <w:rPr>
          <w:rFonts w:ascii="Times New Roman" w:hAnsi="Times New Roman" w:cs="Times New Roman"/>
          <w:sz w:val="24"/>
          <w:szCs w:val="24"/>
        </w:rPr>
        <w:t xml:space="preserve">že táto dosahuje </w:t>
      </w:r>
      <w:r w:rsidR="000C5AFE">
        <w:rPr>
          <w:rFonts w:ascii="Times New Roman" w:hAnsi="Times New Roman" w:cs="Times New Roman"/>
          <w:sz w:val="24"/>
          <w:szCs w:val="24"/>
        </w:rPr>
        <w:t>129,41</w:t>
      </w:r>
      <w:r>
        <w:rPr>
          <w:rFonts w:ascii="Times New Roman" w:hAnsi="Times New Roman" w:cs="Times New Roman"/>
          <w:sz w:val="24"/>
          <w:szCs w:val="24"/>
        </w:rPr>
        <w:t xml:space="preserve"> % domáceho dopytu.</w:t>
      </w:r>
      <w:r w:rsidR="00F30D03">
        <w:rPr>
          <w:rFonts w:ascii="Times New Roman" w:hAnsi="Times New Roman" w:cs="Times New Roman"/>
          <w:sz w:val="24"/>
          <w:szCs w:val="24"/>
        </w:rPr>
        <w:t xml:space="preserve"> Predmetom dovozu vo výške </w:t>
      </w:r>
      <w:r w:rsidR="000C5AFE">
        <w:rPr>
          <w:rFonts w:ascii="Times New Roman" w:hAnsi="Times New Roman" w:cs="Times New Roman"/>
          <w:sz w:val="24"/>
          <w:szCs w:val="24"/>
        </w:rPr>
        <w:t>6,2</w:t>
      </w:r>
      <w:r w:rsidR="00BD7099">
        <w:rPr>
          <w:rFonts w:ascii="Times New Roman" w:hAnsi="Times New Roman" w:cs="Times New Roman"/>
          <w:sz w:val="24"/>
          <w:szCs w:val="24"/>
        </w:rPr>
        <w:t xml:space="preserve"> tis. t teda takmer výlučne tvorí raž používaná do kŕmnych zmesí a ako</w:t>
      </w:r>
      <w:r w:rsidR="000C5AFE">
        <w:rPr>
          <w:rFonts w:ascii="Times New Roman" w:hAnsi="Times New Roman" w:cs="Times New Roman"/>
          <w:sz w:val="24"/>
          <w:szCs w:val="24"/>
        </w:rPr>
        <w:t xml:space="preserve"> sadivo. Naopak vývoz vo výške 5,6</w:t>
      </w:r>
      <w:r w:rsidR="00BD7099">
        <w:rPr>
          <w:rFonts w:ascii="Times New Roman" w:hAnsi="Times New Roman" w:cs="Times New Roman"/>
          <w:sz w:val="24"/>
          <w:szCs w:val="24"/>
        </w:rPr>
        <w:t xml:space="preserve"> tis. t tvorí takmer výlučne raž pre potravinárske účely.</w:t>
      </w:r>
    </w:p>
    <w:p w:rsidR="008559AA" w:rsidRDefault="008559AA" w:rsidP="00680054">
      <w:pPr>
        <w:spacing w:after="0" w:line="240" w:lineRule="auto"/>
        <w:jc w:val="both"/>
        <w:rPr>
          <w:rFonts w:ascii="Times New Roman" w:hAnsi="Times New Roman" w:cs="Times New Roman"/>
          <w:sz w:val="24"/>
          <w:szCs w:val="24"/>
        </w:rPr>
      </w:pPr>
    </w:p>
    <w:p w:rsidR="00BD7099" w:rsidRPr="00BD7099" w:rsidRDefault="00B16261" w:rsidP="006800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č.3</w:t>
      </w:r>
      <w:r w:rsidR="006316DB">
        <w:rPr>
          <w:rFonts w:ascii="Times New Roman" w:hAnsi="Times New Roman" w:cs="Times New Roman"/>
          <w:sz w:val="20"/>
          <w:szCs w:val="20"/>
        </w:rPr>
        <w:t>3</w:t>
      </w:r>
      <w:r w:rsidR="00BD7099" w:rsidRPr="00A855A4">
        <w:rPr>
          <w:rFonts w:ascii="Times New Roman" w:hAnsi="Times New Roman" w:cs="Times New Roman"/>
          <w:sz w:val="20"/>
          <w:szCs w:val="20"/>
        </w:rPr>
        <w:t xml:space="preserve">: </w:t>
      </w:r>
      <w:r w:rsidR="00BD7099" w:rsidRPr="008B1083">
        <w:rPr>
          <w:rFonts w:ascii="Times New Roman" w:hAnsi="Times New Roman" w:cs="Times New Roman"/>
          <w:sz w:val="20"/>
          <w:szCs w:val="20"/>
        </w:rPr>
        <w:t xml:space="preserve">Bilancia </w:t>
      </w:r>
      <w:r w:rsidR="00BD7099">
        <w:rPr>
          <w:rFonts w:ascii="Times New Roman" w:hAnsi="Times New Roman" w:cs="Times New Roman"/>
          <w:sz w:val="20"/>
          <w:szCs w:val="20"/>
        </w:rPr>
        <w:t xml:space="preserve">raže v hospodárskych rokoch </w:t>
      </w:r>
    </w:p>
    <w:tbl>
      <w:tblPr>
        <w:tblW w:w="9076" w:type="dxa"/>
        <w:tblInd w:w="55" w:type="dxa"/>
        <w:tblCellMar>
          <w:left w:w="70" w:type="dxa"/>
          <w:right w:w="70" w:type="dxa"/>
        </w:tblCellMar>
        <w:tblLook w:val="04A0" w:firstRow="1" w:lastRow="0" w:firstColumn="1" w:lastColumn="0" w:noHBand="0" w:noVBand="1"/>
      </w:tblPr>
      <w:tblGrid>
        <w:gridCol w:w="2142"/>
        <w:gridCol w:w="1134"/>
        <w:gridCol w:w="1000"/>
        <w:gridCol w:w="960"/>
        <w:gridCol w:w="960"/>
        <w:gridCol w:w="960"/>
        <w:gridCol w:w="960"/>
        <w:gridCol w:w="960"/>
      </w:tblGrid>
      <w:tr w:rsidR="00680054" w:rsidRPr="00680054" w:rsidTr="00F30D03">
        <w:trPr>
          <w:cantSplit/>
          <w:trHeight w:val="300"/>
        </w:trPr>
        <w:tc>
          <w:tcPr>
            <w:tcW w:w="2142" w:type="dxa"/>
            <w:tcBorders>
              <w:top w:val="nil"/>
              <w:left w:val="nil"/>
              <w:bottom w:val="single" w:sz="4" w:space="0" w:color="auto"/>
              <w:right w:val="nil"/>
            </w:tcBorders>
            <w:shd w:val="clear" w:color="000000" w:fill="D9D9D9"/>
            <w:vAlign w:val="center"/>
            <w:hideMark/>
          </w:tcPr>
          <w:p w:rsidR="00680054" w:rsidRPr="00680054" w:rsidRDefault="00680054" w:rsidP="00680054">
            <w:pPr>
              <w:spacing w:after="0" w:line="240" w:lineRule="auto"/>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Ukazovateľ</w:t>
            </w:r>
          </w:p>
        </w:tc>
        <w:tc>
          <w:tcPr>
            <w:tcW w:w="1134" w:type="dxa"/>
            <w:tcBorders>
              <w:top w:val="nil"/>
              <w:left w:val="nil"/>
              <w:bottom w:val="single" w:sz="4" w:space="0" w:color="auto"/>
              <w:right w:val="single" w:sz="4" w:space="0" w:color="auto"/>
            </w:tcBorders>
            <w:shd w:val="clear" w:color="000000" w:fill="D9D9D9"/>
            <w:vAlign w:val="center"/>
            <w:hideMark/>
          </w:tcPr>
          <w:p w:rsidR="00680054" w:rsidRPr="00680054" w:rsidRDefault="00680054" w:rsidP="00680054">
            <w:pPr>
              <w:spacing w:after="0" w:line="240" w:lineRule="auto"/>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rPr>
              <w:t> </w:t>
            </w:r>
          </w:p>
        </w:tc>
        <w:tc>
          <w:tcPr>
            <w:tcW w:w="1000" w:type="dxa"/>
            <w:tcBorders>
              <w:top w:val="nil"/>
              <w:left w:val="nil"/>
              <w:bottom w:val="single" w:sz="4" w:space="0" w:color="auto"/>
              <w:right w:val="single" w:sz="4" w:space="0" w:color="auto"/>
            </w:tcBorders>
            <w:shd w:val="clear" w:color="000000" w:fill="D9D9D9"/>
            <w:vAlign w:val="center"/>
            <w:hideMark/>
          </w:tcPr>
          <w:p w:rsidR="00680054" w:rsidRPr="00680054" w:rsidRDefault="0043448D" w:rsidP="0068005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ar-SA"/>
              </w:rPr>
              <w:t>2002/</w:t>
            </w:r>
            <w:r w:rsidR="00680054" w:rsidRPr="00680054">
              <w:rPr>
                <w:rFonts w:ascii="Times New Roman" w:eastAsia="Times New Roman" w:hAnsi="Times New Roman" w:cs="Times New Roman"/>
                <w:b/>
                <w:bCs/>
                <w:color w:val="000000"/>
                <w:sz w:val="20"/>
                <w:szCs w:val="20"/>
                <w:lang w:eastAsia="ar-SA"/>
              </w:rPr>
              <w:t>03</w:t>
            </w:r>
          </w:p>
        </w:tc>
        <w:tc>
          <w:tcPr>
            <w:tcW w:w="960" w:type="dxa"/>
            <w:tcBorders>
              <w:top w:val="nil"/>
              <w:left w:val="nil"/>
              <w:bottom w:val="single" w:sz="4" w:space="0" w:color="auto"/>
              <w:right w:val="nil"/>
            </w:tcBorders>
            <w:shd w:val="clear" w:color="000000" w:fill="D9D9D9"/>
            <w:vAlign w:val="center"/>
            <w:hideMark/>
          </w:tcPr>
          <w:p w:rsidR="00680054" w:rsidRPr="00680054" w:rsidRDefault="00680054" w:rsidP="00680054">
            <w:pPr>
              <w:spacing w:after="0" w:line="240" w:lineRule="auto"/>
              <w:jc w:val="center"/>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2007/08</w:t>
            </w:r>
          </w:p>
        </w:tc>
        <w:tc>
          <w:tcPr>
            <w:tcW w:w="960" w:type="dxa"/>
            <w:tcBorders>
              <w:top w:val="nil"/>
              <w:left w:val="nil"/>
              <w:bottom w:val="single" w:sz="4" w:space="0" w:color="auto"/>
              <w:right w:val="nil"/>
            </w:tcBorders>
            <w:shd w:val="clear" w:color="000000" w:fill="D9D9D9"/>
            <w:vAlign w:val="center"/>
            <w:hideMark/>
          </w:tcPr>
          <w:p w:rsidR="00680054" w:rsidRPr="00680054" w:rsidRDefault="00680054" w:rsidP="00680054">
            <w:pPr>
              <w:spacing w:after="0" w:line="240" w:lineRule="auto"/>
              <w:jc w:val="center"/>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2008/09</w:t>
            </w:r>
          </w:p>
        </w:tc>
        <w:tc>
          <w:tcPr>
            <w:tcW w:w="960" w:type="dxa"/>
            <w:tcBorders>
              <w:top w:val="nil"/>
              <w:left w:val="nil"/>
              <w:bottom w:val="single" w:sz="4" w:space="0" w:color="auto"/>
              <w:right w:val="nil"/>
            </w:tcBorders>
            <w:shd w:val="clear" w:color="000000" w:fill="D9D9D9"/>
            <w:vAlign w:val="center"/>
            <w:hideMark/>
          </w:tcPr>
          <w:p w:rsidR="00680054" w:rsidRPr="00680054" w:rsidRDefault="00680054" w:rsidP="00680054">
            <w:pPr>
              <w:spacing w:after="0" w:line="240" w:lineRule="auto"/>
              <w:jc w:val="center"/>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2009/10</w:t>
            </w:r>
          </w:p>
        </w:tc>
        <w:tc>
          <w:tcPr>
            <w:tcW w:w="960" w:type="dxa"/>
            <w:tcBorders>
              <w:top w:val="nil"/>
              <w:left w:val="nil"/>
              <w:bottom w:val="single" w:sz="4" w:space="0" w:color="auto"/>
              <w:right w:val="nil"/>
            </w:tcBorders>
            <w:shd w:val="clear" w:color="000000" w:fill="D9D9D9"/>
            <w:vAlign w:val="center"/>
            <w:hideMark/>
          </w:tcPr>
          <w:p w:rsidR="00680054" w:rsidRPr="00680054" w:rsidRDefault="00680054" w:rsidP="00680054">
            <w:pPr>
              <w:spacing w:after="0" w:line="240" w:lineRule="auto"/>
              <w:jc w:val="center"/>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2010/11</w:t>
            </w:r>
          </w:p>
        </w:tc>
        <w:tc>
          <w:tcPr>
            <w:tcW w:w="960" w:type="dxa"/>
            <w:tcBorders>
              <w:top w:val="nil"/>
              <w:left w:val="nil"/>
              <w:bottom w:val="single" w:sz="4" w:space="0" w:color="auto"/>
              <w:right w:val="nil"/>
            </w:tcBorders>
            <w:shd w:val="clear" w:color="000000" w:fill="D9D9D9"/>
            <w:vAlign w:val="center"/>
            <w:hideMark/>
          </w:tcPr>
          <w:p w:rsidR="00680054" w:rsidRPr="00680054" w:rsidRDefault="00680054" w:rsidP="00680054">
            <w:pPr>
              <w:spacing w:after="0" w:line="240" w:lineRule="auto"/>
              <w:jc w:val="center"/>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2011/12</w:t>
            </w:r>
          </w:p>
        </w:tc>
      </w:tr>
      <w:tr w:rsidR="00680054" w:rsidRPr="00680054" w:rsidTr="00F30D03">
        <w:trPr>
          <w:trHeight w:val="300"/>
        </w:trPr>
        <w:tc>
          <w:tcPr>
            <w:tcW w:w="2142" w:type="dxa"/>
            <w:tcBorders>
              <w:top w:val="nil"/>
              <w:left w:val="nil"/>
              <w:bottom w:val="nil"/>
              <w:right w:val="nil"/>
            </w:tcBorders>
            <w:shd w:val="clear" w:color="auto" w:fill="auto"/>
            <w:vAlign w:val="center"/>
            <w:hideMark/>
          </w:tcPr>
          <w:p w:rsidR="00680054" w:rsidRPr="00680054" w:rsidRDefault="00680054" w:rsidP="00680054">
            <w:pPr>
              <w:spacing w:after="0" w:line="240" w:lineRule="auto"/>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Osevná plocha</w:t>
            </w:r>
          </w:p>
        </w:tc>
        <w:tc>
          <w:tcPr>
            <w:tcW w:w="1134"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center"/>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tis. ha</w:t>
            </w:r>
          </w:p>
        </w:tc>
        <w:tc>
          <w:tcPr>
            <w:tcW w:w="1000"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38,2</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21,2</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26,2</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20,2</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17,1</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13,4</w:t>
            </w:r>
          </w:p>
        </w:tc>
      </w:tr>
      <w:tr w:rsidR="00680054" w:rsidRPr="00680054" w:rsidTr="00F30D03">
        <w:trPr>
          <w:trHeight w:val="300"/>
        </w:trPr>
        <w:tc>
          <w:tcPr>
            <w:tcW w:w="2142" w:type="dxa"/>
            <w:tcBorders>
              <w:top w:val="nil"/>
              <w:left w:val="nil"/>
              <w:bottom w:val="nil"/>
              <w:right w:val="nil"/>
            </w:tcBorders>
            <w:shd w:val="clear" w:color="auto" w:fill="auto"/>
            <w:vAlign w:val="center"/>
            <w:hideMark/>
          </w:tcPr>
          <w:p w:rsidR="00680054" w:rsidRPr="00680054" w:rsidRDefault="00680054" w:rsidP="00680054">
            <w:pPr>
              <w:spacing w:after="0" w:line="240" w:lineRule="auto"/>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 xml:space="preserve">Zberová plocha </w:t>
            </w:r>
          </w:p>
        </w:tc>
        <w:tc>
          <w:tcPr>
            <w:tcW w:w="1134"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center"/>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tis. ha</w:t>
            </w:r>
          </w:p>
        </w:tc>
        <w:tc>
          <w:tcPr>
            <w:tcW w:w="1000"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38,0</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20,7</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25,9</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19,9</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15,9</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13,0</w:t>
            </w:r>
          </w:p>
        </w:tc>
      </w:tr>
      <w:tr w:rsidR="00680054" w:rsidRPr="00680054" w:rsidTr="00F30D03">
        <w:trPr>
          <w:trHeight w:val="300"/>
        </w:trPr>
        <w:tc>
          <w:tcPr>
            <w:tcW w:w="2142" w:type="dxa"/>
            <w:tcBorders>
              <w:top w:val="nil"/>
              <w:left w:val="nil"/>
              <w:bottom w:val="nil"/>
              <w:right w:val="nil"/>
            </w:tcBorders>
            <w:shd w:val="clear" w:color="auto" w:fill="auto"/>
            <w:vAlign w:val="center"/>
            <w:hideMark/>
          </w:tcPr>
          <w:p w:rsidR="00680054" w:rsidRPr="00680054" w:rsidRDefault="00680054" w:rsidP="00680054">
            <w:pPr>
              <w:spacing w:after="0" w:line="240" w:lineRule="auto"/>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Hektárová úroda</w:t>
            </w:r>
          </w:p>
        </w:tc>
        <w:tc>
          <w:tcPr>
            <w:tcW w:w="1134"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center"/>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t/ha</w:t>
            </w:r>
          </w:p>
        </w:tc>
        <w:tc>
          <w:tcPr>
            <w:tcW w:w="1000"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2,54</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2,63</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3,10</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2,87</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2,23</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3,18</w:t>
            </w:r>
          </w:p>
        </w:tc>
      </w:tr>
      <w:tr w:rsidR="00680054" w:rsidRPr="00680054" w:rsidTr="00F30D03">
        <w:trPr>
          <w:trHeight w:val="300"/>
        </w:trPr>
        <w:tc>
          <w:tcPr>
            <w:tcW w:w="2142" w:type="dxa"/>
            <w:tcBorders>
              <w:top w:val="nil"/>
              <w:left w:val="nil"/>
              <w:bottom w:val="nil"/>
              <w:right w:val="nil"/>
            </w:tcBorders>
            <w:shd w:val="clear" w:color="auto" w:fill="auto"/>
            <w:vAlign w:val="center"/>
            <w:hideMark/>
          </w:tcPr>
          <w:p w:rsidR="00680054" w:rsidRPr="00680054" w:rsidRDefault="00680054" w:rsidP="00680054">
            <w:pPr>
              <w:spacing w:after="0" w:line="240" w:lineRule="auto"/>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 xml:space="preserve">Produkcia </w:t>
            </w:r>
          </w:p>
        </w:tc>
        <w:tc>
          <w:tcPr>
            <w:tcW w:w="1134"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center"/>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tis. t</w:t>
            </w:r>
          </w:p>
        </w:tc>
        <w:tc>
          <w:tcPr>
            <w:tcW w:w="1000"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96,5</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54,4</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80,3</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56,9</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35,5</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41,2</w:t>
            </w:r>
          </w:p>
        </w:tc>
      </w:tr>
      <w:tr w:rsidR="00680054" w:rsidRPr="00680054" w:rsidTr="00F30D03">
        <w:trPr>
          <w:trHeight w:val="300"/>
        </w:trPr>
        <w:tc>
          <w:tcPr>
            <w:tcW w:w="2142" w:type="dxa"/>
            <w:tcBorders>
              <w:top w:val="nil"/>
              <w:left w:val="nil"/>
              <w:bottom w:val="nil"/>
              <w:right w:val="nil"/>
            </w:tcBorders>
            <w:shd w:val="clear" w:color="auto" w:fill="auto"/>
            <w:vAlign w:val="center"/>
            <w:hideMark/>
          </w:tcPr>
          <w:p w:rsidR="00680054" w:rsidRPr="00680054" w:rsidRDefault="00680054" w:rsidP="00680054">
            <w:pPr>
              <w:spacing w:after="0" w:line="240" w:lineRule="auto"/>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 potravinárska</w:t>
            </w:r>
            <w:r w:rsidR="00F30D03">
              <w:rPr>
                <w:rFonts w:ascii="Times New Roman" w:eastAsia="Times New Roman" w:hAnsi="Times New Roman" w:cs="Times New Roman"/>
                <w:color w:val="000000"/>
                <w:sz w:val="20"/>
                <w:szCs w:val="20"/>
                <w:lang w:eastAsia="ar-SA"/>
              </w:rPr>
              <w:t>*</w:t>
            </w:r>
          </w:p>
        </w:tc>
        <w:tc>
          <w:tcPr>
            <w:tcW w:w="1134" w:type="dxa"/>
            <w:tcBorders>
              <w:top w:val="nil"/>
              <w:left w:val="nil"/>
              <w:bottom w:val="nil"/>
              <w:right w:val="single" w:sz="4" w:space="0" w:color="auto"/>
            </w:tcBorders>
            <w:shd w:val="clear" w:color="auto" w:fill="auto"/>
            <w:vAlign w:val="center"/>
            <w:hideMark/>
          </w:tcPr>
          <w:p w:rsidR="00680054" w:rsidRPr="00680054" w:rsidRDefault="00F30D03" w:rsidP="006800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tis. t</w:t>
            </w:r>
          </w:p>
        </w:tc>
        <w:tc>
          <w:tcPr>
            <w:tcW w:w="1000"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rPr>
              <w:t>87,6</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rPr>
              <w:t>49,4</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rPr>
              <w:t>72,9</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rPr>
              <w:t>51,7</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rPr>
              <w:t>32,2</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rPr>
              <w:t>37,4</w:t>
            </w:r>
          </w:p>
        </w:tc>
      </w:tr>
      <w:tr w:rsidR="00680054" w:rsidRPr="00680054" w:rsidTr="00F30D03">
        <w:trPr>
          <w:trHeight w:val="300"/>
        </w:trPr>
        <w:tc>
          <w:tcPr>
            <w:tcW w:w="2142" w:type="dxa"/>
            <w:tcBorders>
              <w:top w:val="nil"/>
              <w:left w:val="nil"/>
              <w:bottom w:val="nil"/>
              <w:right w:val="nil"/>
            </w:tcBorders>
            <w:shd w:val="clear" w:color="auto" w:fill="auto"/>
            <w:vAlign w:val="center"/>
            <w:hideMark/>
          </w:tcPr>
          <w:p w:rsidR="00680054" w:rsidRPr="00680054" w:rsidRDefault="00680054" w:rsidP="00680054">
            <w:pPr>
              <w:spacing w:after="0" w:line="240" w:lineRule="auto"/>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 xml:space="preserve">Počiatočné zásoby </w:t>
            </w:r>
          </w:p>
        </w:tc>
        <w:tc>
          <w:tcPr>
            <w:tcW w:w="1134"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center"/>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tis. t</w:t>
            </w:r>
          </w:p>
        </w:tc>
        <w:tc>
          <w:tcPr>
            <w:tcW w:w="1000"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18,0</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4,6</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7,8</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38,6</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35,0</w:t>
            </w:r>
          </w:p>
        </w:tc>
        <w:tc>
          <w:tcPr>
            <w:tcW w:w="960" w:type="dxa"/>
            <w:tcBorders>
              <w:top w:val="nil"/>
              <w:left w:val="nil"/>
              <w:bottom w:val="nil"/>
              <w:right w:val="nil"/>
            </w:tcBorders>
            <w:shd w:val="clear" w:color="auto" w:fill="auto"/>
            <w:vAlign w:val="center"/>
            <w:hideMark/>
          </w:tcPr>
          <w:p w:rsidR="00680054" w:rsidRPr="00680054" w:rsidRDefault="000C5AFE" w:rsidP="0068005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5,0</w:t>
            </w:r>
          </w:p>
        </w:tc>
      </w:tr>
      <w:tr w:rsidR="00680054" w:rsidRPr="00680054" w:rsidTr="00F30D03">
        <w:trPr>
          <w:trHeight w:val="300"/>
        </w:trPr>
        <w:tc>
          <w:tcPr>
            <w:tcW w:w="2142" w:type="dxa"/>
            <w:tcBorders>
              <w:top w:val="nil"/>
              <w:left w:val="nil"/>
              <w:bottom w:val="nil"/>
              <w:right w:val="nil"/>
            </w:tcBorders>
            <w:shd w:val="clear" w:color="auto" w:fill="auto"/>
            <w:vAlign w:val="center"/>
            <w:hideMark/>
          </w:tcPr>
          <w:p w:rsidR="00680054" w:rsidRPr="00680054" w:rsidRDefault="00680054" w:rsidP="00680054">
            <w:pPr>
              <w:spacing w:after="0" w:line="240" w:lineRule="auto"/>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 xml:space="preserve">Dovoz </w:t>
            </w:r>
          </w:p>
        </w:tc>
        <w:tc>
          <w:tcPr>
            <w:tcW w:w="1134"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center"/>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tis. t</w:t>
            </w:r>
          </w:p>
        </w:tc>
        <w:tc>
          <w:tcPr>
            <w:tcW w:w="1000"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0,0</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3,3</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8,5</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4,5</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7,1</w:t>
            </w:r>
          </w:p>
        </w:tc>
        <w:tc>
          <w:tcPr>
            <w:tcW w:w="960" w:type="dxa"/>
            <w:tcBorders>
              <w:top w:val="nil"/>
              <w:left w:val="nil"/>
              <w:bottom w:val="nil"/>
              <w:right w:val="nil"/>
            </w:tcBorders>
            <w:shd w:val="clear" w:color="auto" w:fill="auto"/>
            <w:vAlign w:val="center"/>
            <w:hideMark/>
          </w:tcPr>
          <w:p w:rsidR="00680054" w:rsidRPr="00680054" w:rsidRDefault="000C5AFE" w:rsidP="000C5AF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6</w:t>
            </w:r>
            <w:r w:rsidR="00680054" w:rsidRPr="00680054">
              <w:rPr>
                <w:rFonts w:ascii="Times New Roman" w:eastAsia="Times New Roman" w:hAnsi="Times New Roman" w:cs="Times New Roman"/>
                <w:color w:val="000000"/>
                <w:sz w:val="20"/>
                <w:szCs w:val="20"/>
                <w:lang w:eastAsia="ar-SA"/>
              </w:rPr>
              <w:t>,</w:t>
            </w:r>
            <w:r>
              <w:rPr>
                <w:rFonts w:ascii="Times New Roman" w:eastAsia="Times New Roman" w:hAnsi="Times New Roman" w:cs="Times New Roman"/>
                <w:color w:val="000000"/>
                <w:sz w:val="20"/>
                <w:szCs w:val="20"/>
                <w:lang w:eastAsia="ar-SA"/>
              </w:rPr>
              <w:t>2</w:t>
            </w:r>
          </w:p>
        </w:tc>
      </w:tr>
      <w:tr w:rsidR="00680054" w:rsidRPr="00680054" w:rsidTr="00F30D03">
        <w:trPr>
          <w:trHeight w:val="300"/>
        </w:trPr>
        <w:tc>
          <w:tcPr>
            <w:tcW w:w="2142" w:type="dxa"/>
            <w:tcBorders>
              <w:top w:val="nil"/>
              <w:left w:val="nil"/>
              <w:bottom w:val="nil"/>
              <w:right w:val="nil"/>
            </w:tcBorders>
            <w:shd w:val="clear" w:color="auto" w:fill="auto"/>
            <w:vAlign w:val="center"/>
            <w:hideMark/>
          </w:tcPr>
          <w:p w:rsidR="00680054" w:rsidRPr="00680054" w:rsidRDefault="00680054" w:rsidP="00680054">
            <w:pPr>
              <w:spacing w:after="0" w:line="240" w:lineRule="auto"/>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 xml:space="preserve">Ostatné zdroje </w:t>
            </w:r>
          </w:p>
        </w:tc>
        <w:tc>
          <w:tcPr>
            <w:tcW w:w="1134"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center"/>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tis. t</w:t>
            </w:r>
          </w:p>
        </w:tc>
        <w:tc>
          <w:tcPr>
            <w:tcW w:w="1000"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0,0</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1,4</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1,4</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1,4</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1,1</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1,8</w:t>
            </w:r>
          </w:p>
        </w:tc>
      </w:tr>
      <w:tr w:rsidR="00680054" w:rsidRPr="00680054" w:rsidTr="00F30D03">
        <w:trPr>
          <w:trHeight w:val="300"/>
        </w:trPr>
        <w:tc>
          <w:tcPr>
            <w:tcW w:w="2142" w:type="dxa"/>
            <w:tcBorders>
              <w:top w:val="nil"/>
              <w:left w:val="nil"/>
              <w:bottom w:val="single" w:sz="4" w:space="0" w:color="auto"/>
              <w:right w:val="nil"/>
            </w:tcBorders>
            <w:shd w:val="clear" w:color="000000" w:fill="F2F2F2"/>
            <w:vAlign w:val="center"/>
            <w:hideMark/>
          </w:tcPr>
          <w:p w:rsidR="00680054" w:rsidRPr="00680054" w:rsidRDefault="00680054" w:rsidP="00680054">
            <w:pPr>
              <w:spacing w:after="0" w:line="240" w:lineRule="auto"/>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 xml:space="preserve">Celková ponuka </w:t>
            </w:r>
          </w:p>
        </w:tc>
        <w:tc>
          <w:tcPr>
            <w:tcW w:w="1134" w:type="dxa"/>
            <w:tcBorders>
              <w:top w:val="nil"/>
              <w:left w:val="nil"/>
              <w:bottom w:val="single" w:sz="4" w:space="0" w:color="auto"/>
              <w:right w:val="single" w:sz="4" w:space="0" w:color="auto"/>
            </w:tcBorders>
            <w:shd w:val="clear" w:color="000000" w:fill="F2F2F2"/>
            <w:vAlign w:val="center"/>
            <w:hideMark/>
          </w:tcPr>
          <w:p w:rsidR="00680054" w:rsidRPr="00680054" w:rsidRDefault="00680054" w:rsidP="00680054">
            <w:pPr>
              <w:spacing w:after="0" w:line="240" w:lineRule="auto"/>
              <w:jc w:val="center"/>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tis. t</w:t>
            </w:r>
          </w:p>
        </w:tc>
        <w:tc>
          <w:tcPr>
            <w:tcW w:w="1000" w:type="dxa"/>
            <w:tcBorders>
              <w:top w:val="nil"/>
              <w:left w:val="nil"/>
              <w:bottom w:val="single" w:sz="4" w:space="0" w:color="auto"/>
              <w:right w:val="single" w:sz="4" w:space="0" w:color="auto"/>
            </w:tcBorders>
            <w:shd w:val="clear" w:color="000000" w:fill="F2F2F2"/>
            <w:vAlign w:val="center"/>
            <w:hideMark/>
          </w:tcPr>
          <w:p w:rsidR="00680054" w:rsidRPr="00680054" w:rsidRDefault="00680054" w:rsidP="00680054">
            <w:pPr>
              <w:spacing w:after="0" w:line="240" w:lineRule="auto"/>
              <w:jc w:val="right"/>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114,7</w:t>
            </w:r>
          </w:p>
        </w:tc>
        <w:tc>
          <w:tcPr>
            <w:tcW w:w="960" w:type="dxa"/>
            <w:tcBorders>
              <w:top w:val="nil"/>
              <w:left w:val="nil"/>
              <w:bottom w:val="single" w:sz="4" w:space="0" w:color="auto"/>
              <w:right w:val="nil"/>
            </w:tcBorders>
            <w:shd w:val="clear" w:color="000000" w:fill="F2F2F2"/>
            <w:vAlign w:val="center"/>
            <w:hideMark/>
          </w:tcPr>
          <w:p w:rsidR="00680054" w:rsidRPr="00680054" w:rsidRDefault="00680054" w:rsidP="00680054">
            <w:pPr>
              <w:spacing w:after="0" w:line="240" w:lineRule="auto"/>
              <w:jc w:val="right"/>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63,7</w:t>
            </w:r>
          </w:p>
        </w:tc>
        <w:tc>
          <w:tcPr>
            <w:tcW w:w="960" w:type="dxa"/>
            <w:tcBorders>
              <w:top w:val="nil"/>
              <w:left w:val="nil"/>
              <w:bottom w:val="single" w:sz="4" w:space="0" w:color="auto"/>
              <w:right w:val="nil"/>
            </w:tcBorders>
            <w:shd w:val="clear" w:color="000000" w:fill="F2F2F2"/>
            <w:vAlign w:val="center"/>
            <w:hideMark/>
          </w:tcPr>
          <w:p w:rsidR="00680054" w:rsidRPr="00680054" w:rsidRDefault="00680054" w:rsidP="00680054">
            <w:pPr>
              <w:spacing w:after="0" w:line="240" w:lineRule="auto"/>
              <w:jc w:val="right"/>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98,0</w:t>
            </w:r>
          </w:p>
        </w:tc>
        <w:tc>
          <w:tcPr>
            <w:tcW w:w="960" w:type="dxa"/>
            <w:tcBorders>
              <w:top w:val="nil"/>
              <w:left w:val="nil"/>
              <w:bottom w:val="single" w:sz="4" w:space="0" w:color="auto"/>
              <w:right w:val="nil"/>
            </w:tcBorders>
            <w:shd w:val="clear" w:color="000000" w:fill="F2F2F2"/>
            <w:vAlign w:val="center"/>
            <w:hideMark/>
          </w:tcPr>
          <w:p w:rsidR="00680054" w:rsidRPr="00680054" w:rsidRDefault="00680054" w:rsidP="00680054">
            <w:pPr>
              <w:spacing w:after="0" w:line="240" w:lineRule="auto"/>
              <w:jc w:val="right"/>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101,4</w:t>
            </w:r>
          </w:p>
        </w:tc>
        <w:tc>
          <w:tcPr>
            <w:tcW w:w="960" w:type="dxa"/>
            <w:tcBorders>
              <w:top w:val="nil"/>
              <w:left w:val="nil"/>
              <w:bottom w:val="single" w:sz="4" w:space="0" w:color="auto"/>
              <w:right w:val="nil"/>
            </w:tcBorders>
            <w:shd w:val="clear" w:color="000000" w:fill="F2F2F2"/>
            <w:vAlign w:val="center"/>
            <w:hideMark/>
          </w:tcPr>
          <w:p w:rsidR="00680054" w:rsidRPr="00680054" w:rsidRDefault="00680054" w:rsidP="00680054">
            <w:pPr>
              <w:spacing w:after="0" w:line="240" w:lineRule="auto"/>
              <w:jc w:val="right"/>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78,7</w:t>
            </w:r>
          </w:p>
        </w:tc>
        <w:tc>
          <w:tcPr>
            <w:tcW w:w="960" w:type="dxa"/>
            <w:tcBorders>
              <w:top w:val="nil"/>
              <w:left w:val="nil"/>
              <w:bottom w:val="single" w:sz="4" w:space="0" w:color="auto"/>
              <w:right w:val="nil"/>
            </w:tcBorders>
            <w:shd w:val="clear" w:color="000000" w:fill="F2F2F2"/>
            <w:vAlign w:val="center"/>
            <w:hideMark/>
          </w:tcPr>
          <w:p w:rsidR="00680054" w:rsidRPr="00680054" w:rsidRDefault="000C5AFE" w:rsidP="00680054">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ar-SA"/>
              </w:rPr>
              <w:t>54,2</w:t>
            </w:r>
          </w:p>
        </w:tc>
      </w:tr>
      <w:tr w:rsidR="00680054" w:rsidRPr="00680054" w:rsidTr="00F30D03">
        <w:trPr>
          <w:trHeight w:val="300"/>
        </w:trPr>
        <w:tc>
          <w:tcPr>
            <w:tcW w:w="2142" w:type="dxa"/>
            <w:tcBorders>
              <w:top w:val="nil"/>
              <w:left w:val="nil"/>
              <w:bottom w:val="nil"/>
              <w:right w:val="nil"/>
            </w:tcBorders>
            <w:shd w:val="clear" w:color="auto" w:fill="auto"/>
            <w:vAlign w:val="center"/>
            <w:hideMark/>
          </w:tcPr>
          <w:p w:rsidR="00680054" w:rsidRPr="00680054" w:rsidRDefault="00680054" w:rsidP="00680054">
            <w:pPr>
              <w:spacing w:after="0" w:line="240" w:lineRule="auto"/>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 xml:space="preserve">Domáca spotreba </w:t>
            </w:r>
          </w:p>
        </w:tc>
        <w:tc>
          <w:tcPr>
            <w:tcW w:w="1134"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center"/>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tis. t</w:t>
            </w:r>
          </w:p>
        </w:tc>
        <w:tc>
          <w:tcPr>
            <w:tcW w:w="1000"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76,0</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44,8</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49,4</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54,4</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56,6</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4</w:t>
            </w:r>
            <w:r w:rsidR="000C5AFE">
              <w:rPr>
                <w:rFonts w:ascii="Times New Roman" w:eastAsia="Times New Roman" w:hAnsi="Times New Roman" w:cs="Times New Roman"/>
                <w:color w:val="000000"/>
                <w:sz w:val="20"/>
                <w:szCs w:val="20"/>
                <w:lang w:eastAsia="ar-SA"/>
              </w:rPr>
              <w:t>3,4</w:t>
            </w:r>
          </w:p>
        </w:tc>
      </w:tr>
      <w:tr w:rsidR="00680054" w:rsidRPr="00680054" w:rsidTr="00F30D03">
        <w:trPr>
          <w:trHeight w:val="300"/>
        </w:trPr>
        <w:tc>
          <w:tcPr>
            <w:tcW w:w="2142" w:type="dxa"/>
            <w:tcBorders>
              <w:top w:val="nil"/>
              <w:left w:val="nil"/>
              <w:bottom w:val="nil"/>
              <w:right w:val="nil"/>
            </w:tcBorders>
            <w:shd w:val="clear" w:color="auto" w:fill="auto"/>
            <w:vAlign w:val="center"/>
            <w:hideMark/>
          </w:tcPr>
          <w:p w:rsidR="00680054" w:rsidRPr="00680054" w:rsidRDefault="00680054" w:rsidP="00680054">
            <w:pPr>
              <w:spacing w:after="0" w:line="240" w:lineRule="auto"/>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 xml:space="preserve">- potravinárska </w:t>
            </w:r>
          </w:p>
        </w:tc>
        <w:tc>
          <w:tcPr>
            <w:tcW w:w="1134"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center"/>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tis. t</w:t>
            </w:r>
          </w:p>
        </w:tc>
        <w:tc>
          <w:tcPr>
            <w:tcW w:w="1000"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48,1</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21,2</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22,0</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28,8</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34,6</w:t>
            </w:r>
          </w:p>
        </w:tc>
        <w:tc>
          <w:tcPr>
            <w:tcW w:w="960" w:type="dxa"/>
            <w:tcBorders>
              <w:top w:val="nil"/>
              <w:left w:val="nil"/>
              <w:bottom w:val="nil"/>
              <w:right w:val="nil"/>
            </w:tcBorders>
            <w:shd w:val="clear" w:color="auto" w:fill="auto"/>
            <w:vAlign w:val="center"/>
            <w:hideMark/>
          </w:tcPr>
          <w:p w:rsidR="00680054" w:rsidRPr="00680054" w:rsidRDefault="000C5AFE" w:rsidP="0068005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28,9</w:t>
            </w:r>
          </w:p>
        </w:tc>
      </w:tr>
      <w:tr w:rsidR="00680054" w:rsidRPr="00680054" w:rsidTr="00F30D03">
        <w:trPr>
          <w:trHeight w:val="300"/>
        </w:trPr>
        <w:tc>
          <w:tcPr>
            <w:tcW w:w="2142" w:type="dxa"/>
            <w:tcBorders>
              <w:top w:val="nil"/>
              <w:left w:val="nil"/>
              <w:bottom w:val="nil"/>
              <w:right w:val="nil"/>
            </w:tcBorders>
            <w:shd w:val="clear" w:color="auto" w:fill="auto"/>
            <w:vAlign w:val="center"/>
            <w:hideMark/>
          </w:tcPr>
          <w:p w:rsidR="00680054" w:rsidRPr="00680054" w:rsidRDefault="00680054" w:rsidP="00680054">
            <w:pPr>
              <w:spacing w:after="0" w:line="240" w:lineRule="auto"/>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 xml:space="preserve">Vývoz </w:t>
            </w:r>
          </w:p>
        </w:tc>
        <w:tc>
          <w:tcPr>
            <w:tcW w:w="1134"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center"/>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tis. t</w:t>
            </w:r>
          </w:p>
        </w:tc>
        <w:tc>
          <w:tcPr>
            <w:tcW w:w="1000"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27,1</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10,8</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9,9</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11,4</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10,7</w:t>
            </w:r>
          </w:p>
        </w:tc>
        <w:tc>
          <w:tcPr>
            <w:tcW w:w="960" w:type="dxa"/>
            <w:tcBorders>
              <w:top w:val="nil"/>
              <w:left w:val="nil"/>
              <w:bottom w:val="nil"/>
              <w:right w:val="nil"/>
            </w:tcBorders>
            <w:shd w:val="clear" w:color="auto" w:fill="auto"/>
            <w:vAlign w:val="center"/>
            <w:hideMark/>
          </w:tcPr>
          <w:p w:rsidR="00680054" w:rsidRPr="00680054" w:rsidRDefault="000C5AFE" w:rsidP="0068005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5,6</w:t>
            </w:r>
          </w:p>
        </w:tc>
      </w:tr>
      <w:tr w:rsidR="00680054" w:rsidRPr="00680054" w:rsidTr="00F30D03">
        <w:trPr>
          <w:trHeight w:val="300"/>
        </w:trPr>
        <w:tc>
          <w:tcPr>
            <w:tcW w:w="2142" w:type="dxa"/>
            <w:tcBorders>
              <w:top w:val="nil"/>
              <w:left w:val="nil"/>
              <w:bottom w:val="nil"/>
              <w:right w:val="nil"/>
            </w:tcBorders>
            <w:shd w:val="clear" w:color="auto" w:fill="auto"/>
            <w:vAlign w:val="center"/>
            <w:hideMark/>
          </w:tcPr>
          <w:p w:rsidR="00680054" w:rsidRPr="00680054" w:rsidRDefault="00680054" w:rsidP="00680054">
            <w:pPr>
              <w:spacing w:after="0" w:line="240" w:lineRule="auto"/>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 xml:space="preserve">Ostatné výdaje </w:t>
            </w:r>
          </w:p>
        </w:tc>
        <w:tc>
          <w:tcPr>
            <w:tcW w:w="1134"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center"/>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tis. t</w:t>
            </w:r>
          </w:p>
        </w:tc>
        <w:tc>
          <w:tcPr>
            <w:tcW w:w="1000" w:type="dxa"/>
            <w:tcBorders>
              <w:top w:val="nil"/>
              <w:left w:val="nil"/>
              <w:bottom w:val="nil"/>
              <w:right w:val="single" w:sz="4" w:space="0" w:color="auto"/>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0,0</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0,3</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0,2</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0,5</w:t>
            </w:r>
          </w:p>
        </w:tc>
        <w:tc>
          <w:tcPr>
            <w:tcW w:w="960" w:type="dxa"/>
            <w:tcBorders>
              <w:top w:val="nil"/>
              <w:left w:val="nil"/>
              <w:bottom w:val="nil"/>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0,4</w:t>
            </w:r>
          </w:p>
        </w:tc>
        <w:tc>
          <w:tcPr>
            <w:tcW w:w="960" w:type="dxa"/>
            <w:tcBorders>
              <w:top w:val="nil"/>
              <w:left w:val="nil"/>
              <w:bottom w:val="nil"/>
              <w:right w:val="nil"/>
            </w:tcBorders>
            <w:shd w:val="clear" w:color="auto" w:fill="auto"/>
            <w:vAlign w:val="center"/>
            <w:hideMark/>
          </w:tcPr>
          <w:p w:rsidR="00680054" w:rsidRPr="00680054" w:rsidRDefault="000C5AFE" w:rsidP="0068005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0,0</w:t>
            </w:r>
          </w:p>
        </w:tc>
      </w:tr>
      <w:tr w:rsidR="00680054" w:rsidRPr="00680054" w:rsidTr="00F30D03">
        <w:trPr>
          <w:trHeight w:val="300"/>
        </w:trPr>
        <w:tc>
          <w:tcPr>
            <w:tcW w:w="2142" w:type="dxa"/>
            <w:tcBorders>
              <w:top w:val="nil"/>
              <w:left w:val="nil"/>
              <w:bottom w:val="single" w:sz="4" w:space="0" w:color="auto"/>
              <w:right w:val="nil"/>
            </w:tcBorders>
            <w:shd w:val="clear" w:color="000000" w:fill="F2F2F2"/>
            <w:vAlign w:val="center"/>
            <w:hideMark/>
          </w:tcPr>
          <w:p w:rsidR="00680054" w:rsidRPr="00680054" w:rsidRDefault="00680054" w:rsidP="00680054">
            <w:pPr>
              <w:spacing w:after="0" w:line="240" w:lineRule="auto"/>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 xml:space="preserve">Celkové použitie </w:t>
            </w:r>
          </w:p>
        </w:tc>
        <w:tc>
          <w:tcPr>
            <w:tcW w:w="1134" w:type="dxa"/>
            <w:tcBorders>
              <w:top w:val="nil"/>
              <w:left w:val="nil"/>
              <w:bottom w:val="single" w:sz="4" w:space="0" w:color="auto"/>
              <w:right w:val="single" w:sz="4" w:space="0" w:color="auto"/>
            </w:tcBorders>
            <w:shd w:val="clear" w:color="000000" w:fill="F2F2F2"/>
            <w:vAlign w:val="center"/>
            <w:hideMark/>
          </w:tcPr>
          <w:p w:rsidR="00680054" w:rsidRPr="00680054" w:rsidRDefault="00680054" w:rsidP="00680054">
            <w:pPr>
              <w:spacing w:after="0" w:line="240" w:lineRule="auto"/>
              <w:jc w:val="center"/>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tis. t</w:t>
            </w:r>
          </w:p>
        </w:tc>
        <w:tc>
          <w:tcPr>
            <w:tcW w:w="1000" w:type="dxa"/>
            <w:tcBorders>
              <w:top w:val="nil"/>
              <w:left w:val="nil"/>
              <w:bottom w:val="single" w:sz="4" w:space="0" w:color="auto"/>
              <w:right w:val="single" w:sz="4" w:space="0" w:color="auto"/>
            </w:tcBorders>
            <w:shd w:val="clear" w:color="000000" w:fill="F2F2F2"/>
            <w:vAlign w:val="center"/>
            <w:hideMark/>
          </w:tcPr>
          <w:p w:rsidR="00680054" w:rsidRPr="00680054" w:rsidRDefault="00680054" w:rsidP="00680054">
            <w:pPr>
              <w:spacing w:after="0" w:line="240" w:lineRule="auto"/>
              <w:jc w:val="right"/>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103,1</w:t>
            </w:r>
          </w:p>
        </w:tc>
        <w:tc>
          <w:tcPr>
            <w:tcW w:w="960" w:type="dxa"/>
            <w:tcBorders>
              <w:top w:val="nil"/>
              <w:left w:val="nil"/>
              <w:bottom w:val="single" w:sz="4" w:space="0" w:color="auto"/>
              <w:right w:val="nil"/>
            </w:tcBorders>
            <w:shd w:val="clear" w:color="000000" w:fill="F2F2F2"/>
            <w:vAlign w:val="center"/>
            <w:hideMark/>
          </w:tcPr>
          <w:p w:rsidR="00680054" w:rsidRPr="00680054" w:rsidRDefault="00680054" w:rsidP="00680054">
            <w:pPr>
              <w:spacing w:after="0" w:line="240" w:lineRule="auto"/>
              <w:jc w:val="right"/>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55,9</w:t>
            </w:r>
          </w:p>
        </w:tc>
        <w:tc>
          <w:tcPr>
            <w:tcW w:w="960" w:type="dxa"/>
            <w:tcBorders>
              <w:top w:val="nil"/>
              <w:left w:val="nil"/>
              <w:bottom w:val="single" w:sz="4" w:space="0" w:color="auto"/>
              <w:right w:val="nil"/>
            </w:tcBorders>
            <w:shd w:val="clear" w:color="000000" w:fill="F2F2F2"/>
            <w:vAlign w:val="center"/>
            <w:hideMark/>
          </w:tcPr>
          <w:p w:rsidR="00680054" w:rsidRPr="00680054" w:rsidRDefault="00680054" w:rsidP="00680054">
            <w:pPr>
              <w:spacing w:after="0" w:line="240" w:lineRule="auto"/>
              <w:jc w:val="right"/>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59,4</w:t>
            </w:r>
          </w:p>
        </w:tc>
        <w:tc>
          <w:tcPr>
            <w:tcW w:w="960" w:type="dxa"/>
            <w:tcBorders>
              <w:top w:val="nil"/>
              <w:left w:val="nil"/>
              <w:bottom w:val="single" w:sz="4" w:space="0" w:color="auto"/>
              <w:right w:val="nil"/>
            </w:tcBorders>
            <w:shd w:val="clear" w:color="000000" w:fill="F2F2F2"/>
            <w:vAlign w:val="center"/>
            <w:hideMark/>
          </w:tcPr>
          <w:p w:rsidR="00680054" w:rsidRPr="00680054" w:rsidRDefault="00680054" w:rsidP="00680054">
            <w:pPr>
              <w:spacing w:after="0" w:line="240" w:lineRule="auto"/>
              <w:jc w:val="right"/>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66,4</w:t>
            </w:r>
          </w:p>
        </w:tc>
        <w:tc>
          <w:tcPr>
            <w:tcW w:w="960" w:type="dxa"/>
            <w:tcBorders>
              <w:top w:val="nil"/>
              <w:left w:val="nil"/>
              <w:bottom w:val="single" w:sz="4" w:space="0" w:color="auto"/>
              <w:right w:val="nil"/>
            </w:tcBorders>
            <w:shd w:val="clear" w:color="000000" w:fill="F2F2F2"/>
            <w:vAlign w:val="center"/>
            <w:hideMark/>
          </w:tcPr>
          <w:p w:rsidR="00680054" w:rsidRPr="00680054" w:rsidRDefault="00680054" w:rsidP="00680054">
            <w:pPr>
              <w:spacing w:after="0" w:line="240" w:lineRule="auto"/>
              <w:jc w:val="right"/>
              <w:rPr>
                <w:rFonts w:ascii="Times New Roman" w:eastAsia="Times New Roman" w:hAnsi="Times New Roman" w:cs="Times New Roman"/>
                <w:b/>
                <w:bCs/>
                <w:color w:val="000000"/>
                <w:sz w:val="20"/>
                <w:szCs w:val="20"/>
              </w:rPr>
            </w:pPr>
            <w:r w:rsidRPr="00680054">
              <w:rPr>
                <w:rFonts w:ascii="Times New Roman" w:eastAsia="Times New Roman" w:hAnsi="Times New Roman" w:cs="Times New Roman"/>
                <w:b/>
                <w:bCs/>
                <w:color w:val="000000"/>
                <w:sz w:val="20"/>
                <w:szCs w:val="20"/>
                <w:lang w:eastAsia="ar-SA"/>
              </w:rPr>
              <w:t>67,8</w:t>
            </w:r>
          </w:p>
        </w:tc>
        <w:tc>
          <w:tcPr>
            <w:tcW w:w="960" w:type="dxa"/>
            <w:tcBorders>
              <w:top w:val="nil"/>
              <w:left w:val="nil"/>
              <w:bottom w:val="single" w:sz="4" w:space="0" w:color="auto"/>
              <w:right w:val="nil"/>
            </w:tcBorders>
            <w:shd w:val="clear" w:color="000000" w:fill="F2F2F2"/>
            <w:vAlign w:val="center"/>
            <w:hideMark/>
          </w:tcPr>
          <w:p w:rsidR="00680054" w:rsidRPr="00680054" w:rsidRDefault="000C5AFE" w:rsidP="00680054">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ar-SA"/>
              </w:rPr>
              <w:t>49,1</w:t>
            </w:r>
          </w:p>
        </w:tc>
      </w:tr>
      <w:tr w:rsidR="00680054" w:rsidRPr="00680054" w:rsidTr="00F30D03">
        <w:trPr>
          <w:trHeight w:val="300"/>
        </w:trPr>
        <w:tc>
          <w:tcPr>
            <w:tcW w:w="2142" w:type="dxa"/>
            <w:tcBorders>
              <w:top w:val="nil"/>
              <w:left w:val="nil"/>
              <w:bottom w:val="single" w:sz="4" w:space="0" w:color="auto"/>
              <w:right w:val="nil"/>
            </w:tcBorders>
            <w:shd w:val="clear" w:color="auto" w:fill="auto"/>
            <w:vAlign w:val="center"/>
            <w:hideMark/>
          </w:tcPr>
          <w:p w:rsidR="00680054" w:rsidRPr="00680054" w:rsidRDefault="00680054" w:rsidP="00680054">
            <w:pPr>
              <w:spacing w:after="0" w:line="240" w:lineRule="auto"/>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 xml:space="preserve">Konečné zásoby spolu </w:t>
            </w:r>
          </w:p>
        </w:tc>
        <w:tc>
          <w:tcPr>
            <w:tcW w:w="1134" w:type="dxa"/>
            <w:tcBorders>
              <w:top w:val="nil"/>
              <w:left w:val="nil"/>
              <w:bottom w:val="single" w:sz="4" w:space="0" w:color="auto"/>
              <w:right w:val="single" w:sz="4" w:space="0" w:color="auto"/>
            </w:tcBorders>
            <w:shd w:val="clear" w:color="auto" w:fill="auto"/>
            <w:vAlign w:val="center"/>
            <w:hideMark/>
          </w:tcPr>
          <w:p w:rsidR="00680054" w:rsidRPr="00680054" w:rsidRDefault="00680054" w:rsidP="00680054">
            <w:pPr>
              <w:spacing w:after="0" w:line="240" w:lineRule="auto"/>
              <w:jc w:val="center"/>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tis. t</w:t>
            </w:r>
          </w:p>
        </w:tc>
        <w:tc>
          <w:tcPr>
            <w:tcW w:w="1000" w:type="dxa"/>
            <w:tcBorders>
              <w:top w:val="nil"/>
              <w:left w:val="nil"/>
              <w:bottom w:val="single" w:sz="4" w:space="0" w:color="auto"/>
              <w:right w:val="single" w:sz="4" w:space="0" w:color="auto"/>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11,6</w:t>
            </w:r>
          </w:p>
        </w:tc>
        <w:tc>
          <w:tcPr>
            <w:tcW w:w="960" w:type="dxa"/>
            <w:tcBorders>
              <w:top w:val="nil"/>
              <w:left w:val="nil"/>
              <w:bottom w:val="single" w:sz="4" w:space="0" w:color="auto"/>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7,8</w:t>
            </w:r>
          </w:p>
        </w:tc>
        <w:tc>
          <w:tcPr>
            <w:tcW w:w="960" w:type="dxa"/>
            <w:tcBorders>
              <w:top w:val="nil"/>
              <w:left w:val="nil"/>
              <w:bottom w:val="single" w:sz="4" w:space="0" w:color="auto"/>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38,6</w:t>
            </w:r>
          </w:p>
        </w:tc>
        <w:tc>
          <w:tcPr>
            <w:tcW w:w="960" w:type="dxa"/>
            <w:tcBorders>
              <w:top w:val="nil"/>
              <w:left w:val="nil"/>
              <w:bottom w:val="single" w:sz="4" w:space="0" w:color="auto"/>
              <w:right w:val="nil"/>
            </w:tcBorders>
            <w:shd w:val="clear" w:color="auto" w:fill="auto"/>
            <w:vAlign w:val="center"/>
            <w:hideMark/>
          </w:tcPr>
          <w:p w:rsidR="00680054" w:rsidRPr="00680054" w:rsidRDefault="00680054" w:rsidP="00680054">
            <w:pPr>
              <w:spacing w:after="0" w:line="240" w:lineRule="auto"/>
              <w:jc w:val="right"/>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lang w:eastAsia="ar-SA"/>
              </w:rPr>
              <w:t>35,0</w:t>
            </w:r>
          </w:p>
        </w:tc>
        <w:tc>
          <w:tcPr>
            <w:tcW w:w="960" w:type="dxa"/>
            <w:tcBorders>
              <w:top w:val="nil"/>
              <w:left w:val="nil"/>
              <w:bottom w:val="single" w:sz="4" w:space="0" w:color="auto"/>
              <w:right w:val="nil"/>
            </w:tcBorders>
            <w:shd w:val="clear" w:color="auto" w:fill="auto"/>
            <w:vAlign w:val="center"/>
            <w:hideMark/>
          </w:tcPr>
          <w:p w:rsidR="00680054" w:rsidRPr="00680054" w:rsidRDefault="000C5AFE" w:rsidP="0068005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5,0</w:t>
            </w:r>
          </w:p>
        </w:tc>
        <w:tc>
          <w:tcPr>
            <w:tcW w:w="960" w:type="dxa"/>
            <w:tcBorders>
              <w:top w:val="nil"/>
              <w:left w:val="nil"/>
              <w:bottom w:val="single" w:sz="4" w:space="0" w:color="auto"/>
              <w:right w:val="nil"/>
            </w:tcBorders>
            <w:shd w:val="clear" w:color="auto" w:fill="auto"/>
            <w:vAlign w:val="center"/>
            <w:hideMark/>
          </w:tcPr>
          <w:p w:rsidR="00680054" w:rsidRPr="00680054" w:rsidRDefault="000C5AFE" w:rsidP="0068005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ar-SA"/>
              </w:rPr>
              <w:t>5</w:t>
            </w:r>
            <w:r w:rsidR="00680054" w:rsidRPr="00680054">
              <w:rPr>
                <w:rFonts w:ascii="Times New Roman" w:eastAsia="Times New Roman" w:hAnsi="Times New Roman" w:cs="Times New Roman"/>
                <w:color w:val="000000"/>
                <w:sz w:val="20"/>
                <w:szCs w:val="20"/>
                <w:lang w:eastAsia="ar-SA"/>
              </w:rPr>
              <w:t>,</w:t>
            </w:r>
            <w:r>
              <w:rPr>
                <w:rFonts w:ascii="Times New Roman" w:eastAsia="Times New Roman" w:hAnsi="Times New Roman" w:cs="Times New Roman"/>
                <w:color w:val="000000"/>
                <w:sz w:val="20"/>
                <w:szCs w:val="20"/>
                <w:lang w:eastAsia="ar-SA"/>
              </w:rPr>
              <w:t>2</w:t>
            </w:r>
          </w:p>
        </w:tc>
      </w:tr>
      <w:tr w:rsidR="00680054" w:rsidRPr="00680054" w:rsidTr="00F30D03">
        <w:trPr>
          <w:trHeight w:val="300"/>
        </w:trPr>
        <w:tc>
          <w:tcPr>
            <w:tcW w:w="2142" w:type="dxa"/>
            <w:tcBorders>
              <w:top w:val="nil"/>
              <w:left w:val="nil"/>
              <w:bottom w:val="nil"/>
              <w:right w:val="nil"/>
            </w:tcBorders>
            <w:shd w:val="clear" w:color="auto" w:fill="auto"/>
            <w:vAlign w:val="center"/>
            <w:hideMark/>
          </w:tcPr>
          <w:p w:rsidR="00680054" w:rsidRPr="00680054" w:rsidRDefault="00680054" w:rsidP="00680054">
            <w:pPr>
              <w:spacing w:after="0" w:line="240" w:lineRule="auto"/>
              <w:rPr>
                <w:rFonts w:ascii="Times New Roman" w:eastAsia="Times New Roman" w:hAnsi="Times New Roman" w:cs="Times New Roman"/>
                <w:color w:val="000000"/>
                <w:sz w:val="20"/>
                <w:szCs w:val="20"/>
              </w:rPr>
            </w:pPr>
            <w:r w:rsidRPr="00680054">
              <w:rPr>
                <w:rFonts w:ascii="Times New Roman" w:eastAsia="Times New Roman" w:hAnsi="Times New Roman" w:cs="Times New Roman"/>
                <w:color w:val="000000"/>
                <w:sz w:val="20"/>
                <w:szCs w:val="20"/>
              </w:rPr>
              <w:t>* odhad</w:t>
            </w:r>
          </w:p>
        </w:tc>
        <w:tc>
          <w:tcPr>
            <w:tcW w:w="1134" w:type="dxa"/>
            <w:tcBorders>
              <w:top w:val="nil"/>
              <w:left w:val="nil"/>
              <w:bottom w:val="nil"/>
              <w:right w:val="nil"/>
            </w:tcBorders>
            <w:shd w:val="clear" w:color="auto" w:fill="auto"/>
            <w:noWrap/>
            <w:vAlign w:val="bottom"/>
            <w:hideMark/>
          </w:tcPr>
          <w:p w:rsidR="00680054" w:rsidRPr="00680054" w:rsidRDefault="00680054" w:rsidP="00680054">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680054" w:rsidRPr="00680054" w:rsidRDefault="00680054" w:rsidP="0068005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80054" w:rsidRPr="00680054" w:rsidRDefault="00680054" w:rsidP="0068005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80054" w:rsidRPr="00680054" w:rsidRDefault="00680054" w:rsidP="0068005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80054" w:rsidRPr="00680054" w:rsidRDefault="00680054" w:rsidP="0068005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80054" w:rsidRPr="00680054" w:rsidRDefault="00680054" w:rsidP="0068005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80054" w:rsidRPr="00680054" w:rsidRDefault="00680054" w:rsidP="00680054">
            <w:pPr>
              <w:spacing w:after="0" w:line="240" w:lineRule="auto"/>
              <w:rPr>
                <w:rFonts w:ascii="Calibri" w:eastAsia="Times New Roman" w:hAnsi="Calibri" w:cs="Calibri"/>
                <w:color w:val="000000"/>
              </w:rPr>
            </w:pPr>
          </w:p>
        </w:tc>
      </w:tr>
    </w:tbl>
    <w:p w:rsidR="00BD7099" w:rsidRDefault="00BD7099" w:rsidP="00BD709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264729" w:rsidRDefault="00264729" w:rsidP="00BD7099">
      <w:pPr>
        <w:spacing w:after="0" w:line="240" w:lineRule="auto"/>
        <w:jc w:val="both"/>
        <w:rPr>
          <w:rFonts w:ascii="Times New Roman" w:hAnsi="Times New Roman" w:cs="Times New Roman"/>
          <w:sz w:val="24"/>
          <w:szCs w:val="24"/>
        </w:rPr>
      </w:pPr>
    </w:p>
    <w:p w:rsidR="00BD7099" w:rsidRDefault="0043448D" w:rsidP="00BD70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Produkciu raže ovplyvnili v uplynulom strednodobom horizonte v porovnaní s referenčným hospodárskym rokom 2002/03 tieto skutočnosti:</w:t>
      </w:r>
    </w:p>
    <w:p w:rsidR="005F06FB" w:rsidRDefault="005F06FB" w:rsidP="00BD7099">
      <w:pPr>
        <w:spacing w:after="0" w:line="240" w:lineRule="auto"/>
        <w:jc w:val="both"/>
        <w:rPr>
          <w:rFonts w:ascii="Times New Roman" w:hAnsi="Times New Roman" w:cs="Times New Roman"/>
          <w:sz w:val="24"/>
          <w:szCs w:val="24"/>
        </w:rPr>
      </w:pPr>
    </w:p>
    <w:p w:rsidR="00FE7CEC" w:rsidRDefault="00FE7CEC" w:rsidP="000D68DC">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pokles zberových plôch raže o 65,8 %;</w:t>
      </w:r>
    </w:p>
    <w:p w:rsidR="00FE7CEC" w:rsidRDefault="00FE7CEC" w:rsidP="000D68DC">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rast hektárových úrod o 25,2 %;</w:t>
      </w:r>
    </w:p>
    <w:p w:rsidR="00FE7CEC" w:rsidRDefault="00FE7CEC" w:rsidP="000D68DC">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pokles domácej spotreby raže o 28,55 %, aj keď v posledných rokoch badať oži</w:t>
      </w:r>
      <w:r w:rsidR="005F06FB">
        <w:rPr>
          <w:rFonts w:ascii="Times New Roman" w:hAnsi="Times New Roman" w:cs="Times New Roman"/>
          <w:sz w:val="24"/>
          <w:szCs w:val="24"/>
        </w:rPr>
        <w:t>venie spotreby v tejto komodite.</w:t>
      </w:r>
    </w:p>
    <w:p w:rsidR="00087889" w:rsidRDefault="00087889" w:rsidP="00087889">
      <w:pPr>
        <w:spacing w:after="0" w:line="240" w:lineRule="auto"/>
        <w:jc w:val="both"/>
        <w:rPr>
          <w:rFonts w:ascii="Times New Roman" w:hAnsi="Times New Roman" w:cs="Times New Roman"/>
          <w:sz w:val="24"/>
          <w:szCs w:val="24"/>
        </w:rPr>
      </w:pPr>
    </w:p>
    <w:p w:rsidR="008559AA" w:rsidRDefault="008559AA" w:rsidP="00087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Radikálny pokles zberových plôch spôsobil výpadok produkcie raže vo výške 42 %, pričom ho nedokázala zastaviť ani pokračujúca intenzifikácia produkcie.  </w:t>
      </w:r>
    </w:p>
    <w:p w:rsidR="00264729" w:rsidRDefault="00264729" w:rsidP="00087889">
      <w:pPr>
        <w:spacing w:after="0" w:line="240" w:lineRule="auto"/>
        <w:jc w:val="both"/>
        <w:rPr>
          <w:rFonts w:ascii="Times New Roman" w:hAnsi="Times New Roman" w:cs="Times New Roman"/>
          <w:sz w:val="20"/>
          <w:szCs w:val="20"/>
        </w:rPr>
      </w:pPr>
    </w:p>
    <w:p w:rsidR="00EF0F29" w:rsidRDefault="00EF0F29" w:rsidP="00087889">
      <w:pPr>
        <w:spacing w:after="0" w:line="240" w:lineRule="auto"/>
        <w:jc w:val="both"/>
        <w:rPr>
          <w:rFonts w:ascii="Times New Roman" w:hAnsi="Times New Roman" w:cs="Times New Roman"/>
          <w:sz w:val="20"/>
          <w:szCs w:val="20"/>
        </w:rPr>
      </w:pPr>
    </w:p>
    <w:p w:rsidR="00EF0F29" w:rsidRDefault="00EF0F29" w:rsidP="00087889">
      <w:pPr>
        <w:spacing w:after="0" w:line="240" w:lineRule="auto"/>
        <w:jc w:val="both"/>
        <w:rPr>
          <w:rFonts w:ascii="Times New Roman" w:hAnsi="Times New Roman" w:cs="Times New Roman"/>
          <w:sz w:val="20"/>
          <w:szCs w:val="20"/>
        </w:rPr>
      </w:pPr>
    </w:p>
    <w:p w:rsidR="00EF0F29" w:rsidRDefault="00EF0F29" w:rsidP="00087889">
      <w:pPr>
        <w:spacing w:after="0" w:line="240" w:lineRule="auto"/>
        <w:jc w:val="both"/>
        <w:rPr>
          <w:rFonts w:ascii="Times New Roman" w:hAnsi="Times New Roman" w:cs="Times New Roman"/>
          <w:sz w:val="20"/>
          <w:szCs w:val="20"/>
        </w:rPr>
      </w:pPr>
    </w:p>
    <w:p w:rsidR="00EF0F29" w:rsidRDefault="00EF0F29" w:rsidP="00087889">
      <w:pPr>
        <w:spacing w:after="0" w:line="240" w:lineRule="auto"/>
        <w:jc w:val="both"/>
        <w:rPr>
          <w:rFonts w:ascii="Times New Roman" w:hAnsi="Times New Roman" w:cs="Times New Roman"/>
          <w:sz w:val="20"/>
          <w:szCs w:val="20"/>
        </w:rPr>
      </w:pPr>
    </w:p>
    <w:p w:rsidR="00817CC2" w:rsidRDefault="00C970F8" w:rsidP="0008788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Graf č. 45</w:t>
      </w:r>
      <w:r w:rsidR="00817CC2" w:rsidRPr="00C55549">
        <w:rPr>
          <w:rFonts w:ascii="Times New Roman" w:hAnsi="Times New Roman" w:cs="Times New Roman"/>
          <w:sz w:val="20"/>
          <w:szCs w:val="20"/>
        </w:rPr>
        <w:t>:</w:t>
      </w:r>
      <w:r w:rsidR="00817CC2">
        <w:rPr>
          <w:rFonts w:ascii="Times New Roman" w:hAnsi="Times New Roman" w:cs="Times New Roman"/>
          <w:sz w:val="20"/>
          <w:szCs w:val="20"/>
        </w:rPr>
        <w:t xml:space="preserve"> Vývoj </w:t>
      </w:r>
      <w:r w:rsidR="00F1652D">
        <w:rPr>
          <w:rFonts w:ascii="Times New Roman" w:hAnsi="Times New Roman" w:cs="Times New Roman"/>
          <w:sz w:val="20"/>
          <w:szCs w:val="20"/>
        </w:rPr>
        <w:t>produkcie a zberových plôch raže</w:t>
      </w:r>
    </w:p>
    <w:p w:rsidR="00087889" w:rsidRPr="00087889" w:rsidRDefault="00817CC2" w:rsidP="00087889">
      <w:pPr>
        <w:spacing w:after="0" w:line="240" w:lineRule="auto"/>
        <w:jc w:val="both"/>
        <w:rPr>
          <w:rFonts w:ascii="Times New Roman" w:hAnsi="Times New Roman" w:cs="Times New Roman"/>
          <w:sz w:val="24"/>
          <w:szCs w:val="24"/>
        </w:rPr>
      </w:pPr>
      <w:r>
        <w:rPr>
          <w:noProof/>
        </w:rPr>
        <w:drawing>
          <wp:inline distT="0" distB="0" distL="0" distR="0" wp14:anchorId="0E3B18BF" wp14:editId="0C311668">
            <wp:extent cx="5771407" cy="1603169"/>
            <wp:effectExtent l="0" t="0" r="0" b="0"/>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817CC2" w:rsidRDefault="00817CC2" w:rsidP="00817CC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EA2489" w:rsidRDefault="00EA2489" w:rsidP="00BD7099">
      <w:pPr>
        <w:spacing w:after="0" w:line="240" w:lineRule="auto"/>
        <w:jc w:val="both"/>
        <w:rPr>
          <w:rFonts w:ascii="Times New Roman" w:hAnsi="Times New Roman" w:cs="Times New Roman"/>
          <w:sz w:val="24"/>
          <w:szCs w:val="24"/>
        </w:rPr>
      </w:pPr>
    </w:p>
    <w:p w:rsidR="00D67564" w:rsidRDefault="00D67564" w:rsidP="00D67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Čo sa týka spracovania domácej produkcie raže na potravinárske účely, domáci mlynský priemysel spracúva domácu produkciu na 88,24 %. </w:t>
      </w:r>
      <w:r w:rsidR="00B9190D">
        <w:rPr>
          <w:rFonts w:ascii="Times New Roman" w:hAnsi="Times New Roman" w:cs="Times New Roman"/>
          <w:sz w:val="24"/>
          <w:szCs w:val="24"/>
        </w:rPr>
        <w:t xml:space="preserve">Zvyšok domácej produkcie raže na potravinárske účely sa vyvezie do zahraničia. </w:t>
      </w:r>
      <w:r>
        <w:rPr>
          <w:rFonts w:ascii="Times New Roman" w:hAnsi="Times New Roman" w:cs="Times New Roman"/>
          <w:sz w:val="24"/>
          <w:szCs w:val="24"/>
        </w:rPr>
        <w:t xml:space="preserve">Za rok 2011 sa na Slovensku vyprodukovalo </w:t>
      </w:r>
      <w:r w:rsidR="009513D0">
        <w:rPr>
          <w:rFonts w:ascii="Times New Roman" w:hAnsi="Times New Roman" w:cs="Times New Roman"/>
          <w:sz w:val="24"/>
          <w:szCs w:val="24"/>
        </w:rPr>
        <w:t xml:space="preserve">    </w:t>
      </w:r>
      <w:r>
        <w:rPr>
          <w:rFonts w:ascii="Times New Roman" w:hAnsi="Times New Roman" w:cs="Times New Roman"/>
          <w:sz w:val="24"/>
          <w:szCs w:val="24"/>
        </w:rPr>
        <w:t xml:space="preserve">26 881 t </w:t>
      </w:r>
      <w:r w:rsidR="009513D0">
        <w:rPr>
          <w:rFonts w:ascii="Times New Roman" w:hAnsi="Times New Roman" w:cs="Times New Roman"/>
          <w:sz w:val="24"/>
          <w:szCs w:val="24"/>
        </w:rPr>
        <w:t>zomletej</w:t>
      </w:r>
      <w:r>
        <w:rPr>
          <w:rFonts w:ascii="Times New Roman" w:hAnsi="Times New Roman" w:cs="Times New Roman"/>
          <w:sz w:val="24"/>
          <w:szCs w:val="24"/>
        </w:rPr>
        <w:t xml:space="preserve"> raže, čo predstavuje výťažnosť produkcie mlynského priemyslu, počítanú z celkovej domácej produkcie raže na potravinárske účely</w:t>
      </w:r>
      <w:r w:rsidR="00B9190D">
        <w:rPr>
          <w:rFonts w:ascii="Times New Roman" w:hAnsi="Times New Roman" w:cs="Times New Roman"/>
          <w:sz w:val="24"/>
          <w:szCs w:val="24"/>
        </w:rPr>
        <w:t xml:space="preserve"> očistenej o objem vývozu</w:t>
      </w:r>
      <w:r>
        <w:rPr>
          <w:rFonts w:ascii="Times New Roman" w:hAnsi="Times New Roman" w:cs="Times New Roman"/>
          <w:sz w:val="24"/>
          <w:szCs w:val="24"/>
        </w:rPr>
        <w:t xml:space="preserve">, na úrovni </w:t>
      </w:r>
      <w:r w:rsidR="00B9190D">
        <w:rPr>
          <w:rFonts w:ascii="Times New Roman" w:hAnsi="Times New Roman" w:cs="Times New Roman"/>
          <w:sz w:val="24"/>
          <w:szCs w:val="24"/>
        </w:rPr>
        <w:t>81</w:t>
      </w:r>
      <w:r>
        <w:rPr>
          <w:rFonts w:ascii="Times New Roman" w:hAnsi="Times New Roman" w:cs="Times New Roman"/>
          <w:sz w:val="24"/>
          <w:szCs w:val="24"/>
        </w:rPr>
        <w:t xml:space="preserve">,4 %. Produkčná kapacita mlynského priemyslu na Slovensku, ak počítame potenciálnu ročnú produkčnú kapacitu v objeme </w:t>
      </w:r>
      <w:r w:rsidR="00B9190D">
        <w:rPr>
          <w:rFonts w:ascii="Times New Roman" w:hAnsi="Times New Roman" w:cs="Times New Roman"/>
          <w:sz w:val="24"/>
          <w:szCs w:val="24"/>
        </w:rPr>
        <w:t>75 280</w:t>
      </w:r>
      <w:r>
        <w:rPr>
          <w:rFonts w:ascii="Times New Roman" w:hAnsi="Times New Roman" w:cs="Times New Roman"/>
          <w:sz w:val="24"/>
          <w:szCs w:val="24"/>
        </w:rPr>
        <w:t xml:space="preserve"> t </w:t>
      </w:r>
      <w:r w:rsidR="009513D0">
        <w:rPr>
          <w:rFonts w:ascii="Times New Roman" w:hAnsi="Times New Roman" w:cs="Times New Roman"/>
          <w:sz w:val="24"/>
          <w:szCs w:val="24"/>
        </w:rPr>
        <w:t>zomletej</w:t>
      </w:r>
      <w:r w:rsidR="00A73D60">
        <w:rPr>
          <w:rFonts w:ascii="Times New Roman" w:hAnsi="Times New Roman" w:cs="Times New Roman"/>
          <w:sz w:val="24"/>
          <w:szCs w:val="24"/>
        </w:rPr>
        <w:t xml:space="preserve"> </w:t>
      </w:r>
      <w:r w:rsidR="00B9190D">
        <w:rPr>
          <w:rFonts w:ascii="Times New Roman" w:hAnsi="Times New Roman" w:cs="Times New Roman"/>
          <w:sz w:val="24"/>
          <w:szCs w:val="24"/>
        </w:rPr>
        <w:t>raže</w:t>
      </w:r>
      <w:r>
        <w:rPr>
          <w:rFonts w:ascii="Times New Roman" w:hAnsi="Times New Roman" w:cs="Times New Roman"/>
          <w:sz w:val="24"/>
          <w:szCs w:val="24"/>
        </w:rPr>
        <w:t xml:space="preserve">, sa takto využíva na </w:t>
      </w:r>
      <w:r w:rsidR="00B9190D">
        <w:rPr>
          <w:rFonts w:ascii="Times New Roman" w:hAnsi="Times New Roman" w:cs="Times New Roman"/>
          <w:sz w:val="24"/>
          <w:szCs w:val="24"/>
        </w:rPr>
        <w:t>35,71</w:t>
      </w:r>
      <w:r>
        <w:rPr>
          <w:rFonts w:ascii="Times New Roman" w:hAnsi="Times New Roman" w:cs="Times New Roman"/>
          <w:sz w:val="24"/>
          <w:szCs w:val="24"/>
        </w:rPr>
        <w:t xml:space="preserve"> %. Súčasný objem spracovania </w:t>
      </w:r>
      <w:r w:rsidR="00B9190D">
        <w:rPr>
          <w:rFonts w:ascii="Times New Roman" w:hAnsi="Times New Roman" w:cs="Times New Roman"/>
          <w:sz w:val="24"/>
          <w:szCs w:val="24"/>
        </w:rPr>
        <w:t>raže na potravinárske účely</w:t>
      </w:r>
      <w:r>
        <w:rPr>
          <w:rFonts w:ascii="Times New Roman" w:hAnsi="Times New Roman" w:cs="Times New Roman"/>
          <w:sz w:val="24"/>
          <w:szCs w:val="24"/>
        </w:rPr>
        <w:t xml:space="preserve"> v mlynskom priemysle pokrýva potreby Slovenska na 100 %. Vývoz </w:t>
      </w:r>
      <w:r w:rsidR="009513D0">
        <w:rPr>
          <w:rFonts w:ascii="Times New Roman" w:hAnsi="Times New Roman" w:cs="Times New Roman"/>
          <w:sz w:val="24"/>
          <w:szCs w:val="24"/>
        </w:rPr>
        <w:t>zomletej</w:t>
      </w:r>
      <w:r w:rsidR="00A73D60">
        <w:rPr>
          <w:rFonts w:ascii="Times New Roman" w:hAnsi="Times New Roman" w:cs="Times New Roman"/>
          <w:sz w:val="24"/>
          <w:szCs w:val="24"/>
        </w:rPr>
        <w:t xml:space="preserve"> </w:t>
      </w:r>
      <w:r w:rsidR="00B9190D">
        <w:rPr>
          <w:rFonts w:ascii="Times New Roman" w:hAnsi="Times New Roman" w:cs="Times New Roman"/>
          <w:sz w:val="24"/>
          <w:szCs w:val="24"/>
        </w:rPr>
        <w:t>raže</w:t>
      </w:r>
      <w:r>
        <w:rPr>
          <w:rFonts w:ascii="Times New Roman" w:hAnsi="Times New Roman" w:cs="Times New Roman"/>
          <w:sz w:val="24"/>
          <w:szCs w:val="24"/>
        </w:rPr>
        <w:t xml:space="preserve"> do zahraničia </w:t>
      </w:r>
      <w:r w:rsidR="00B9190D">
        <w:rPr>
          <w:rFonts w:ascii="Times New Roman" w:hAnsi="Times New Roman" w:cs="Times New Roman"/>
          <w:sz w:val="24"/>
          <w:szCs w:val="24"/>
        </w:rPr>
        <w:t>sa nerealizuje</w:t>
      </w:r>
      <w:r>
        <w:rPr>
          <w:rFonts w:ascii="Times New Roman" w:hAnsi="Times New Roman" w:cs="Times New Roman"/>
          <w:sz w:val="24"/>
          <w:szCs w:val="24"/>
        </w:rPr>
        <w:t xml:space="preserve">. </w:t>
      </w:r>
    </w:p>
    <w:p w:rsidR="00D67564" w:rsidRDefault="00D67564" w:rsidP="00D67564">
      <w:pPr>
        <w:spacing w:after="0" w:line="240" w:lineRule="auto"/>
        <w:jc w:val="both"/>
        <w:rPr>
          <w:rFonts w:ascii="Times New Roman" w:hAnsi="Times New Roman" w:cs="Times New Roman"/>
          <w:sz w:val="24"/>
          <w:szCs w:val="24"/>
        </w:rPr>
      </w:pPr>
    </w:p>
    <w:p w:rsidR="00D67564" w:rsidRDefault="00D67564" w:rsidP="00D67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Čo sa týka následného spracovania </w:t>
      </w:r>
      <w:r w:rsidR="009513D0">
        <w:rPr>
          <w:rFonts w:ascii="Times New Roman" w:hAnsi="Times New Roman" w:cs="Times New Roman"/>
          <w:sz w:val="24"/>
          <w:szCs w:val="24"/>
        </w:rPr>
        <w:t>zomletej</w:t>
      </w:r>
      <w:r w:rsidR="00A73D60">
        <w:rPr>
          <w:rFonts w:ascii="Times New Roman" w:hAnsi="Times New Roman" w:cs="Times New Roman"/>
          <w:sz w:val="24"/>
          <w:szCs w:val="24"/>
        </w:rPr>
        <w:t xml:space="preserve"> </w:t>
      </w:r>
      <w:r w:rsidR="00B9190D">
        <w:rPr>
          <w:rFonts w:ascii="Times New Roman" w:hAnsi="Times New Roman" w:cs="Times New Roman"/>
          <w:sz w:val="24"/>
          <w:szCs w:val="24"/>
        </w:rPr>
        <w:t>raže</w:t>
      </w:r>
      <w:r>
        <w:rPr>
          <w:rFonts w:ascii="Times New Roman" w:hAnsi="Times New Roman" w:cs="Times New Roman"/>
          <w:sz w:val="24"/>
          <w:szCs w:val="24"/>
        </w:rPr>
        <w:t xml:space="preserve"> na </w:t>
      </w:r>
      <w:r w:rsidR="00B9190D">
        <w:rPr>
          <w:rFonts w:ascii="Times New Roman" w:hAnsi="Times New Roman" w:cs="Times New Roman"/>
          <w:sz w:val="24"/>
          <w:szCs w:val="24"/>
        </w:rPr>
        <w:t>ražnú</w:t>
      </w:r>
      <w:r>
        <w:rPr>
          <w:rFonts w:ascii="Times New Roman" w:hAnsi="Times New Roman" w:cs="Times New Roman"/>
          <w:sz w:val="24"/>
          <w:szCs w:val="24"/>
        </w:rPr>
        <w:t xml:space="preserve"> múku, objem tohto spracovania tvorí 100 % súčasnej úrovne vyprodukovaného </w:t>
      </w:r>
      <w:r w:rsidR="009513D0">
        <w:rPr>
          <w:rFonts w:ascii="Times New Roman" w:hAnsi="Times New Roman" w:cs="Times New Roman"/>
          <w:sz w:val="24"/>
          <w:szCs w:val="24"/>
        </w:rPr>
        <w:t>zomletej</w:t>
      </w:r>
      <w:r w:rsidR="00A73D60">
        <w:rPr>
          <w:rFonts w:ascii="Times New Roman" w:hAnsi="Times New Roman" w:cs="Times New Roman"/>
          <w:sz w:val="24"/>
          <w:szCs w:val="24"/>
        </w:rPr>
        <w:t xml:space="preserve"> </w:t>
      </w:r>
      <w:r w:rsidR="00B9190D">
        <w:rPr>
          <w:rFonts w:ascii="Times New Roman" w:hAnsi="Times New Roman" w:cs="Times New Roman"/>
          <w:sz w:val="24"/>
          <w:szCs w:val="24"/>
        </w:rPr>
        <w:t>raže</w:t>
      </w:r>
      <w:r>
        <w:rPr>
          <w:rFonts w:ascii="Times New Roman" w:hAnsi="Times New Roman" w:cs="Times New Roman"/>
          <w:sz w:val="24"/>
          <w:szCs w:val="24"/>
        </w:rPr>
        <w:t xml:space="preserve">, teda v absolútnych číslach </w:t>
      </w:r>
      <w:r w:rsidR="00B9190D">
        <w:rPr>
          <w:rFonts w:ascii="Times New Roman" w:hAnsi="Times New Roman" w:cs="Times New Roman"/>
          <w:sz w:val="24"/>
          <w:szCs w:val="24"/>
        </w:rPr>
        <w:t xml:space="preserve">      23 005</w:t>
      </w:r>
      <w:r>
        <w:rPr>
          <w:rFonts w:ascii="Times New Roman" w:hAnsi="Times New Roman" w:cs="Times New Roman"/>
          <w:sz w:val="24"/>
          <w:szCs w:val="24"/>
        </w:rPr>
        <w:t xml:space="preserve"> t, pri priemernej produkčnej výťažnosti na úrovni </w:t>
      </w:r>
      <w:r w:rsidR="00B9190D">
        <w:rPr>
          <w:rFonts w:ascii="Times New Roman" w:hAnsi="Times New Roman" w:cs="Times New Roman"/>
          <w:sz w:val="24"/>
          <w:szCs w:val="24"/>
        </w:rPr>
        <w:t>85,58</w:t>
      </w:r>
      <w:r>
        <w:rPr>
          <w:rFonts w:ascii="Times New Roman" w:hAnsi="Times New Roman" w:cs="Times New Roman"/>
          <w:sz w:val="24"/>
          <w:szCs w:val="24"/>
        </w:rPr>
        <w:t xml:space="preserve"> %. Produkčná kapacita mlynského priemyslu na Slovensku, ak počítame potenciálnu ročnú produkčnú kapacitu v objeme </w:t>
      </w:r>
      <w:r w:rsidR="00B9190D">
        <w:rPr>
          <w:rFonts w:ascii="Times New Roman" w:hAnsi="Times New Roman" w:cs="Times New Roman"/>
          <w:sz w:val="24"/>
          <w:szCs w:val="24"/>
        </w:rPr>
        <w:t>63 997</w:t>
      </w:r>
      <w:r>
        <w:rPr>
          <w:rFonts w:ascii="Times New Roman" w:hAnsi="Times New Roman" w:cs="Times New Roman"/>
          <w:sz w:val="24"/>
          <w:szCs w:val="24"/>
        </w:rPr>
        <w:t xml:space="preserve"> t </w:t>
      </w:r>
      <w:r w:rsidR="00B9190D">
        <w:rPr>
          <w:rFonts w:ascii="Times New Roman" w:hAnsi="Times New Roman" w:cs="Times New Roman"/>
          <w:sz w:val="24"/>
          <w:szCs w:val="24"/>
        </w:rPr>
        <w:t>ražnej</w:t>
      </w:r>
      <w:r>
        <w:rPr>
          <w:rFonts w:ascii="Times New Roman" w:hAnsi="Times New Roman" w:cs="Times New Roman"/>
          <w:sz w:val="24"/>
          <w:szCs w:val="24"/>
        </w:rPr>
        <w:t xml:space="preserve"> múky, sa takto využíva na </w:t>
      </w:r>
      <w:r w:rsidR="00B9190D">
        <w:rPr>
          <w:rFonts w:ascii="Times New Roman" w:hAnsi="Times New Roman" w:cs="Times New Roman"/>
          <w:sz w:val="24"/>
          <w:szCs w:val="24"/>
        </w:rPr>
        <w:t>35,95</w:t>
      </w:r>
      <w:r>
        <w:rPr>
          <w:rFonts w:ascii="Times New Roman" w:hAnsi="Times New Roman" w:cs="Times New Roman"/>
          <w:sz w:val="24"/>
          <w:szCs w:val="24"/>
        </w:rPr>
        <w:t xml:space="preserve"> %. Súčasný objem spracovania </w:t>
      </w:r>
      <w:r w:rsidR="009513D0">
        <w:rPr>
          <w:rFonts w:ascii="Times New Roman" w:hAnsi="Times New Roman" w:cs="Times New Roman"/>
          <w:sz w:val="24"/>
          <w:szCs w:val="24"/>
        </w:rPr>
        <w:t>zomletej</w:t>
      </w:r>
      <w:r w:rsidR="00A73D60">
        <w:rPr>
          <w:rFonts w:ascii="Times New Roman" w:hAnsi="Times New Roman" w:cs="Times New Roman"/>
          <w:sz w:val="24"/>
          <w:szCs w:val="24"/>
        </w:rPr>
        <w:t xml:space="preserve"> </w:t>
      </w:r>
      <w:r w:rsidR="00B9190D">
        <w:rPr>
          <w:rFonts w:ascii="Times New Roman" w:hAnsi="Times New Roman" w:cs="Times New Roman"/>
          <w:sz w:val="24"/>
          <w:szCs w:val="24"/>
        </w:rPr>
        <w:t>raže</w:t>
      </w:r>
      <w:r>
        <w:rPr>
          <w:rFonts w:ascii="Times New Roman" w:hAnsi="Times New Roman" w:cs="Times New Roman"/>
          <w:sz w:val="24"/>
          <w:szCs w:val="24"/>
        </w:rPr>
        <w:t xml:space="preserve">, v podobe </w:t>
      </w:r>
      <w:r w:rsidR="00B9190D">
        <w:rPr>
          <w:rFonts w:ascii="Times New Roman" w:hAnsi="Times New Roman" w:cs="Times New Roman"/>
          <w:sz w:val="24"/>
          <w:szCs w:val="24"/>
        </w:rPr>
        <w:t>ražnej</w:t>
      </w:r>
      <w:r>
        <w:rPr>
          <w:rFonts w:ascii="Times New Roman" w:hAnsi="Times New Roman" w:cs="Times New Roman"/>
          <w:sz w:val="24"/>
          <w:szCs w:val="24"/>
        </w:rPr>
        <w:t xml:space="preserve"> múky, v mlynskom priemysle taktiež pokrýva potreby Slovenska na </w:t>
      </w:r>
      <w:r w:rsidR="00981E47">
        <w:rPr>
          <w:rFonts w:ascii="Times New Roman" w:hAnsi="Times New Roman" w:cs="Times New Roman"/>
          <w:sz w:val="24"/>
          <w:szCs w:val="24"/>
        </w:rPr>
        <w:t>100 %</w:t>
      </w:r>
      <w:r>
        <w:rPr>
          <w:rFonts w:ascii="Times New Roman" w:hAnsi="Times New Roman" w:cs="Times New Roman"/>
          <w:sz w:val="24"/>
          <w:szCs w:val="24"/>
        </w:rPr>
        <w:t>.</w:t>
      </w:r>
    </w:p>
    <w:p w:rsidR="00D67564" w:rsidRDefault="00D67564" w:rsidP="00D67564">
      <w:pPr>
        <w:spacing w:after="0" w:line="240" w:lineRule="auto"/>
        <w:jc w:val="both"/>
        <w:rPr>
          <w:rFonts w:ascii="Times New Roman" w:hAnsi="Times New Roman" w:cs="Times New Roman"/>
          <w:sz w:val="24"/>
          <w:szCs w:val="24"/>
        </w:rPr>
      </w:pPr>
    </w:p>
    <w:p w:rsidR="00D67564" w:rsidRDefault="00D67564" w:rsidP="00D67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vyššie uvedenej analýzy vertikály spracovateľského priemyslu na Slovensku môžeme konštatovať, že jeho produkčná výkonnosť je</w:t>
      </w:r>
      <w:r w:rsidR="00981E47">
        <w:rPr>
          <w:rFonts w:ascii="Times New Roman" w:hAnsi="Times New Roman" w:cs="Times New Roman"/>
          <w:sz w:val="24"/>
          <w:szCs w:val="24"/>
        </w:rPr>
        <w:t xml:space="preserve">, vzhľadom na zabezpečenie </w:t>
      </w:r>
      <w:r w:rsidR="006B5EAD">
        <w:rPr>
          <w:rFonts w:ascii="Times New Roman" w:hAnsi="Times New Roman" w:cs="Times New Roman"/>
          <w:sz w:val="24"/>
          <w:szCs w:val="24"/>
        </w:rPr>
        <w:t>požadovanej produkčnej výkonnosti</w:t>
      </w:r>
      <w:r w:rsidR="00981E47">
        <w:rPr>
          <w:rFonts w:ascii="Times New Roman" w:hAnsi="Times New Roman" w:cs="Times New Roman"/>
          <w:sz w:val="24"/>
          <w:szCs w:val="24"/>
        </w:rPr>
        <w:t xml:space="preserve"> v tejto komodite</w:t>
      </w:r>
      <w:r>
        <w:rPr>
          <w:rFonts w:ascii="Times New Roman" w:hAnsi="Times New Roman" w:cs="Times New Roman"/>
          <w:sz w:val="24"/>
          <w:szCs w:val="24"/>
        </w:rPr>
        <w:t xml:space="preserve"> optimálna a plne pokrýva potreby Slovenska. </w:t>
      </w:r>
      <w:r w:rsidR="00981E47">
        <w:rPr>
          <w:rFonts w:ascii="Times New Roman" w:hAnsi="Times New Roman" w:cs="Times New Roman"/>
          <w:sz w:val="24"/>
          <w:szCs w:val="24"/>
        </w:rPr>
        <w:t xml:space="preserve">Vzhľadom na to, že je predpoklad rastu spotreby raže na obyvateľa je možné konštatovať, že súčasné kapacity spracovateľského priemyslu plne postačujú na jej vykrytie. </w:t>
      </w:r>
    </w:p>
    <w:p w:rsidR="00817CC2" w:rsidRDefault="00817CC2" w:rsidP="00BD7099">
      <w:pPr>
        <w:spacing w:after="0" w:line="240" w:lineRule="auto"/>
        <w:jc w:val="both"/>
        <w:rPr>
          <w:rFonts w:ascii="Times New Roman" w:hAnsi="Times New Roman" w:cs="Times New Roman"/>
          <w:sz w:val="24"/>
          <w:szCs w:val="24"/>
        </w:rPr>
      </w:pPr>
    </w:p>
    <w:p w:rsidR="00F1652D" w:rsidRPr="00BD7099" w:rsidRDefault="007B7BF4" w:rsidP="00BD709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Graf č. 4</w:t>
      </w:r>
      <w:r w:rsidR="00C970F8">
        <w:rPr>
          <w:rFonts w:ascii="Times New Roman" w:hAnsi="Times New Roman" w:cs="Times New Roman"/>
          <w:sz w:val="20"/>
          <w:szCs w:val="20"/>
        </w:rPr>
        <w:t>6</w:t>
      </w:r>
      <w:r w:rsidR="003D51B8" w:rsidRPr="00C55549">
        <w:rPr>
          <w:rFonts w:ascii="Times New Roman" w:hAnsi="Times New Roman" w:cs="Times New Roman"/>
          <w:sz w:val="20"/>
          <w:szCs w:val="20"/>
        </w:rPr>
        <w:t>:</w:t>
      </w:r>
      <w:r w:rsidR="003D51B8">
        <w:rPr>
          <w:rFonts w:ascii="Times New Roman" w:hAnsi="Times New Roman" w:cs="Times New Roman"/>
          <w:sz w:val="20"/>
          <w:szCs w:val="20"/>
        </w:rPr>
        <w:t xml:space="preserve"> Vývoj spotreby raže na potravinárske účely na obyvateľa v kg za rok</w:t>
      </w:r>
    </w:p>
    <w:p w:rsidR="00BD7099" w:rsidRPr="00BD7099" w:rsidRDefault="00F1652D" w:rsidP="00BD7099">
      <w:pPr>
        <w:spacing w:after="0" w:line="240" w:lineRule="auto"/>
        <w:jc w:val="both"/>
        <w:rPr>
          <w:rFonts w:ascii="Times New Roman" w:hAnsi="Times New Roman" w:cs="Times New Roman"/>
          <w:sz w:val="24"/>
          <w:szCs w:val="24"/>
        </w:rPr>
      </w:pPr>
      <w:r>
        <w:rPr>
          <w:noProof/>
        </w:rPr>
        <w:drawing>
          <wp:inline distT="0" distB="0" distL="0" distR="0" wp14:anchorId="52353E0A" wp14:editId="5F99F08E">
            <wp:extent cx="5720486" cy="1967789"/>
            <wp:effectExtent l="0" t="0" r="0"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D51B8" w:rsidRDefault="003D51B8" w:rsidP="003D51B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F6585B" w:rsidRDefault="00F6585B" w:rsidP="00BD7099">
      <w:pPr>
        <w:spacing w:after="0" w:line="240" w:lineRule="auto"/>
        <w:jc w:val="both"/>
        <w:rPr>
          <w:rFonts w:ascii="Times New Roman" w:hAnsi="Times New Roman" w:cs="Times New Roman"/>
          <w:sz w:val="24"/>
          <w:szCs w:val="24"/>
        </w:rPr>
      </w:pPr>
    </w:p>
    <w:p w:rsidR="00AC0325" w:rsidRDefault="00AC0325" w:rsidP="00BD70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Analýza cien v rámci potravinovej vertikály v porovnaní s vlastnými nákladmi prvovýrobcov na 1 kg produkcie ukázala za uplynulé stredné obdobie turbulentný vývoj na trhu s ražou. Ceny prvovýrobcov prešli od existenčnej úrovne</w:t>
      </w:r>
      <w:r w:rsidR="00174974">
        <w:rPr>
          <w:rFonts w:ascii="Times New Roman" w:hAnsi="Times New Roman" w:cs="Times New Roman"/>
          <w:sz w:val="24"/>
          <w:szCs w:val="24"/>
        </w:rPr>
        <w:t xml:space="preserve"> hospodárskeho roka 2009/10</w:t>
      </w:r>
      <w:r>
        <w:rPr>
          <w:rFonts w:ascii="Times New Roman" w:hAnsi="Times New Roman" w:cs="Times New Roman"/>
          <w:sz w:val="24"/>
          <w:szCs w:val="24"/>
        </w:rPr>
        <w:t xml:space="preserve">, kedy dosahovali straty z 1 kg produkcie na úrovni viac ako 0,08 EUR, až k úrovni, ktorú je možné definovať ako </w:t>
      </w:r>
      <w:r w:rsidR="00CD0305">
        <w:rPr>
          <w:rFonts w:ascii="Times New Roman" w:hAnsi="Times New Roman" w:cs="Times New Roman"/>
          <w:sz w:val="24"/>
          <w:szCs w:val="24"/>
        </w:rPr>
        <w:t>primeranú</w:t>
      </w:r>
      <w:r>
        <w:rPr>
          <w:rFonts w:ascii="Times New Roman" w:hAnsi="Times New Roman" w:cs="Times New Roman"/>
          <w:sz w:val="24"/>
          <w:szCs w:val="24"/>
        </w:rPr>
        <w:t xml:space="preserve">, dosahujúcu </w:t>
      </w:r>
      <w:r w:rsidR="00CD0305">
        <w:rPr>
          <w:rFonts w:ascii="Times New Roman" w:hAnsi="Times New Roman" w:cs="Times New Roman"/>
          <w:sz w:val="24"/>
          <w:szCs w:val="24"/>
        </w:rPr>
        <w:t xml:space="preserve">primárnu </w:t>
      </w:r>
      <w:r>
        <w:rPr>
          <w:rFonts w:ascii="Times New Roman" w:hAnsi="Times New Roman" w:cs="Times New Roman"/>
          <w:sz w:val="24"/>
          <w:szCs w:val="24"/>
        </w:rPr>
        <w:t xml:space="preserve">ziskovosť </w:t>
      </w:r>
      <w:r w:rsidR="00CD0305">
        <w:rPr>
          <w:rFonts w:ascii="Times New Roman" w:hAnsi="Times New Roman" w:cs="Times New Roman"/>
          <w:sz w:val="24"/>
          <w:szCs w:val="24"/>
        </w:rPr>
        <w:t xml:space="preserve">prvovýrobcu </w:t>
      </w:r>
      <w:r>
        <w:rPr>
          <w:rFonts w:ascii="Times New Roman" w:hAnsi="Times New Roman" w:cs="Times New Roman"/>
          <w:sz w:val="24"/>
          <w:szCs w:val="24"/>
        </w:rPr>
        <w:t xml:space="preserve">z 1 kg produkcie na úrovni 0,02 EUR. </w:t>
      </w:r>
      <w:r w:rsidR="00CD0305">
        <w:rPr>
          <w:rFonts w:ascii="Times New Roman" w:hAnsi="Times New Roman" w:cs="Times New Roman"/>
          <w:sz w:val="24"/>
          <w:szCs w:val="24"/>
        </w:rPr>
        <w:t>Spracovateľský priemysel sa taktiež spočiatku pohyboval na existenčnej úrovni, kedy v</w:t>
      </w:r>
      <w:r w:rsidR="00CA2C8A">
        <w:rPr>
          <w:rFonts w:ascii="Times New Roman" w:hAnsi="Times New Roman" w:cs="Times New Roman"/>
          <w:sz w:val="24"/>
          <w:szCs w:val="24"/>
        </w:rPr>
        <w:t> </w:t>
      </w:r>
      <w:r w:rsidR="00CD0305">
        <w:rPr>
          <w:rFonts w:ascii="Times New Roman" w:hAnsi="Times New Roman" w:cs="Times New Roman"/>
          <w:sz w:val="24"/>
          <w:szCs w:val="24"/>
        </w:rPr>
        <w:t>hospo</w:t>
      </w:r>
      <w:r w:rsidR="00CA2C8A">
        <w:rPr>
          <w:rFonts w:ascii="Times New Roman" w:hAnsi="Times New Roman" w:cs="Times New Roman"/>
          <w:sz w:val="24"/>
          <w:szCs w:val="24"/>
        </w:rPr>
        <w:t xml:space="preserve">dárskych rokoch 2007/08 a 2009/10 dosahoval primárnu stratu zo spracovania na úrovni 0,01 EUR/kg resp. 0,02 EUR/kg. </w:t>
      </w:r>
      <w:r w:rsidR="00174974">
        <w:rPr>
          <w:rFonts w:ascii="Times New Roman" w:hAnsi="Times New Roman" w:cs="Times New Roman"/>
          <w:sz w:val="24"/>
          <w:szCs w:val="24"/>
        </w:rPr>
        <w:t>V hospodárskom roku 2011/12 sa však táto anomália z trhu odstránila a </w:t>
      </w:r>
      <w:r w:rsidR="007F42DE">
        <w:rPr>
          <w:rFonts w:ascii="Times New Roman" w:hAnsi="Times New Roman" w:cs="Times New Roman"/>
          <w:sz w:val="24"/>
          <w:szCs w:val="24"/>
        </w:rPr>
        <w:t>obidva</w:t>
      </w:r>
      <w:r w:rsidR="00174974">
        <w:rPr>
          <w:rFonts w:ascii="Times New Roman" w:hAnsi="Times New Roman" w:cs="Times New Roman"/>
          <w:sz w:val="24"/>
          <w:szCs w:val="24"/>
        </w:rPr>
        <w:t xml:space="preserve"> články potravinovej vertikály dosahujú primeranú úroveň primárnej ziskovosti vo výške 0,02 EUR/kg.</w:t>
      </w:r>
    </w:p>
    <w:p w:rsidR="00CA2C8A" w:rsidRDefault="00CA2C8A" w:rsidP="00BD7099">
      <w:pPr>
        <w:spacing w:after="0" w:line="240" w:lineRule="auto"/>
        <w:jc w:val="both"/>
        <w:rPr>
          <w:rFonts w:ascii="Times New Roman" w:hAnsi="Times New Roman" w:cs="Times New Roman"/>
          <w:sz w:val="24"/>
          <w:szCs w:val="24"/>
        </w:rPr>
      </w:pPr>
    </w:p>
    <w:p w:rsidR="00CA2C8A" w:rsidRDefault="00B16261" w:rsidP="00CA2C8A">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4</w:t>
      </w:r>
      <w:r w:rsidR="00C970F8">
        <w:rPr>
          <w:rFonts w:ascii="Times New Roman" w:hAnsi="Times New Roman" w:cs="Times New Roman"/>
          <w:sz w:val="20"/>
          <w:szCs w:val="20"/>
        </w:rPr>
        <w:t>7</w:t>
      </w:r>
      <w:r w:rsidR="00CA2C8A" w:rsidRPr="00C55549">
        <w:rPr>
          <w:rFonts w:ascii="Times New Roman" w:hAnsi="Times New Roman" w:cs="Times New Roman"/>
          <w:sz w:val="20"/>
          <w:szCs w:val="20"/>
        </w:rPr>
        <w:t>:</w:t>
      </w:r>
      <w:r w:rsidR="00CA2C8A">
        <w:rPr>
          <w:rFonts w:ascii="Times New Roman" w:hAnsi="Times New Roman" w:cs="Times New Roman"/>
          <w:sz w:val="20"/>
          <w:szCs w:val="20"/>
        </w:rPr>
        <w:tab/>
        <w:t xml:space="preserve">Porovnanie cien na jednotlivých stupňoch potravinovej vertikály s nákladmi prvovýrobcov </w:t>
      </w:r>
    </w:p>
    <w:p w:rsidR="00CA2C8A" w:rsidRPr="00CA2C8A" w:rsidRDefault="00CA2C8A" w:rsidP="00CA2C8A">
      <w:pPr>
        <w:spacing w:after="0" w:line="240" w:lineRule="auto"/>
        <w:ind w:left="993"/>
        <w:jc w:val="both"/>
        <w:rPr>
          <w:rFonts w:ascii="Times New Roman" w:hAnsi="Times New Roman" w:cs="Times New Roman"/>
          <w:sz w:val="20"/>
          <w:szCs w:val="20"/>
        </w:rPr>
      </w:pPr>
      <w:r>
        <w:rPr>
          <w:rFonts w:ascii="Times New Roman" w:hAnsi="Times New Roman" w:cs="Times New Roman"/>
          <w:sz w:val="20"/>
          <w:szCs w:val="20"/>
        </w:rPr>
        <w:t>(cena v EUR/1 kg</w:t>
      </w:r>
      <w:r w:rsidRPr="0000713C">
        <w:rPr>
          <w:rFonts w:ascii="Times New Roman" w:hAnsi="Times New Roman" w:cs="Times New Roman"/>
          <w:sz w:val="20"/>
          <w:szCs w:val="20"/>
        </w:rPr>
        <w:t xml:space="preserve"> bez DPH</w:t>
      </w:r>
      <w:r>
        <w:rPr>
          <w:rFonts w:ascii="Times New Roman" w:hAnsi="Times New Roman" w:cs="Times New Roman"/>
          <w:sz w:val="20"/>
          <w:szCs w:val="20"/>
        </w:rPr>
        <w:t>)</w:t>
      </w:r>
    </w:p>
    <w:p w:rsidR="003D51B8" w:rsidRPr="00BD7099" w:rsidRDefault="00AC0325" w:rsidP="00BD7099">
      <w:pPr>
        <w:spacing w:after="0" w:line="240" w:lineRule="auto"/>
        <w:jc w:val="both"/>
        <w:rPr>
          <w:rFonts w:ascii="Times New Roman" w:hAnsi="Times New Roman" w:cs="Times New Roman"/>
          <w:sz w:val="24"/>
          <w:szCs w:val="24"/>
        </w:rPr>
      </w:pPr>
      <w:r>
        <w:rPr>
          <w:noProof/>
        </w:rPr>
        <w:drawing>
          <wp:inline distT="0" distB="0" distL="0" distR="0" wp14:anchorId="2FAE5925" wp14:editId="4E9EA6F3">
            <wp:extent cx="5729844" cy="1965366"/>
            <wp:effectExtent l="0" t="0" r="0" b="0"/>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A2C8A" w:rsidRDefault="00CA2C8A" w:rsidP="00CA2C8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BD7099" w:rsidRPr="00BD7099" w:rsidRDefault="00BD7099" w:rsidP="00BD7099">
      <w:pPr>
        <w:spacing w:after="0" w:line="240" w:lineRule="auto"/>
        <w:jc w:val="both"/>
        <w:rPr>
          <w:rFonts w:ascii="Times New Roman" w:hAnsi="Times New Roman" w:cs="Times New Roman"/>
          <w:sz w:val="24"/>
          <w:szCs w:val="24"/>
        </w:rPr>
      </w:pPr>
    </w:p>
    <w:p w:rsidR="00EF0F29" w:rsidRDefault="00EF0F29" w:rsidP="00EF0F29">
      <w:pPr>
        <w:pBdr>
          <w:top w:val="single" w:sz="4" w:space="1" w:color="auto"/>
          <w:bottom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Na základe týchto skutočností môžeme konštatovať, že trh s ražou je z hľadiska potravinovej vertikály zdravý a plne korešponduje s cieľmi tejto strednodobej koncepcie.</w:t>
      </w:r>
    </w:p>
    <w:p w:rsidR="00C234A1" w:rsidRDefault="00C234A1" w:rsidP="00174974">
      <w:pPr>
        <w:spacing w:after="0" w:line="240" w:lineRule="auto"/>
        <w:jc w:val="both"/>
        <w:rPr>
          <w:rFonts w:ascii="Times New Roman" w:hAnsi="Times New Roman" w:cs="Times New Roman"/>
          <w:sz w:val="24"/>
          <w:szCs w:val="24"/>
        </w:rPr>
      </w:pPr>
    </w:p>
    <w:p w:rsidR="00056EB0" w:rsidRDefault="0004467E" w:rsidP="000D68DC">
      <w:pPr>
        <w:pStyle w:val="Nadpis3"/>
        <w:numPr>
          <w:ilvl w:val="2"/>
          <w:numId w:val="8"/>
        </w:numPr>
      </w:pPr>
      <w:bookmarkStart w:id="36" w:name="_Toc359550657"/>
      <w:r>
        <w:t>Rastlinné jedlé tuky a oleje</w:t>
      </w:r>
      <w:bookmarkEnd w:id="36"/>
    </w:p>
    <w:p w:rsidR="00056EB0" w:rsidRDefault="00056EB0" w:rsidP="00174974">
      <w:pPr>
        <w:spacing w:after="0" w:line="240" w:lineRule="auto"/>
        <w:jc w:val="both"/>
        <w:rPr>
          <w:rFonts w:ascii="Times New Roman" w:hAnsi="Times New Roman" w:cs="Times New Roman"/>
          <w:sz w:val="24"/>
          <w:szCs w:val="24"/>
        </w:rPr>
      </w:pPr>
    </w:p>
    <w:p w:rsidR="00056EB0" w:rsidRDefault="007F42DE" w:rsidP="00174974">
      <w:pPr>
        <w:spacing w:after="0" w:line="240" w:lineRule="auto"/>
        <w:jc w:val="both"/>
        <w:rPr>
          <w:rFonts w:ascii="Times New Roman" w:hAnsi="Times New Roman" w:cs="Times New Roman"/>
          <w:sz w:val="24"/>
          <w:szCs w:val="24"/>
        </w:rPr>
      </w:pPr>
      <w:r w:rsidRPr="00EF0933">
        <w:rPr>
          <w:rFonts w:ascii="Times New Roman" w:hAnsi="Times New Roman" w:cs="Times New Roman"/>
          <w:sz w:val="24"/>
          <w:szCs w:val="24"/>
        </w:rPr>
        <w:t>Rastlinné jedlé</w:t>
      </w:r>
      <w:r w:rsidR="003E36AF">
        <w:rPr>
          <w:rFonts w:ascii="Times New Roman" w:hAnsi="Times New Roman" w:cs="Times New Roman"/>
          <w:sz w:val="24"/>
          <w:szCs w:val="24"/>
        </w:rPr>
        <w:t xml:space="preserve"> </w:t>
      </w:r>
      <w:r>
        <w:rPr>
          <w:rFonts w:ascii="Times New Roman" w:hAnsi="Times New Roman" w:cs="Times New Roman"/>
          <w:sz w:val="24"/>
          <w:szCs w:val="24"/>
        </w:rPr>
        <w:t xml:space="preserve">tuky a </w:t>
      </w:r>
      <w:r w:rsidRPr="007F42DE">
        <w:rPr>
          <w:rFonts w:ascii="Times New Roman" w:hAnsi="Times New Roman" w:cs="Times New Roman"/>
          <w:sz w:val="24"/>
          <w:szCs w:val="24"/>
        </w:rPr>
        <w:t>oleje sa získavajú lisovaním z olejnatých semien a plodov.</w:t>
      </w:r>
      <w:r>
        <w:rPr>
          <w:rFonts w:ascii="Times New Roman" w:hAnsi="Times New Roman" w:cs="Times New Roman"/>
          <w:sz w:val="24"/>
          <w:szCs w:val="24"/>
        </w:rPr>
        <w:t xml:space="preserve"> V podmienkach Slovenskej republiky sú najvýznamnejšími zdrojmi </w:t>
      </w:r>
      <w:r w:rsidRPr="007F42DE">
        <w:rPr>
          <w:rFonts w:ascii="Times New Roman" w:hAnsi="Times New Roman" w:cs="Times New Roman"/>
          <w:sz w:val="24"/>
          <w:szCs w:val="24"/>
        </w:rPr>
        <w:t>olejnatých semien a</w:t>
      </w:r>
      <w:r>
        <w:rPr>
          <w:rFonts w:ascii="Times New Roman" w:hAnsi="Times New Roman" w:cs="Times New Roman"/>
          <w:sz w:val="24"/>
          <w:szCs w:val="24"/>
        </w:rPr>
        <w:t> </w:t>
      </w:r>
      <w:r w:rsidRPr="007F42DE">
        <w:rPr>
          <w:rFonts w:ascii="Times New Roman" w:hAnsi="Times New Roman" w:cs="Times New Roman"/>
          <w:sz w:val="24"/>
          <w:szCs w:val="24"/>
        </w:rPr>
        <w:t>plodov</w:t>
      </w:r>
      <w:r>
        <w:rPr>
          <w:rFonts w:ascii="Times New Roman" w:hAnsi="Times New Roman" w:cs="Times New Roman"/>
          <w:sz w:val="24"/>
          <w:szCs w:val="24"/>
        </w:rPr>
        <w:t xml:space="preserve"> slnečnica a repka. Z pohľadu štruktúry produkcie a spotrebiteľských preferencií sú najvýznamnejšími produktmi rastlinné jedlé tuky, slnečnicový olej a repkový olej.  </w:t>
      </w:r>
    </w:p>
    <w:p w:rsidR="00E25EA1" w:rsidRDefault="00E25EA1" w:rsidP="00174974">
      <w:pPr>
        <w:spacing w:after="0" w:line="240" w:lineRule="auto"/>
        <w:jc w:val="both"/>
        <w:rPr>
          <w:rFonts w:ascii="Times New Roman" w:hAnsi="Times New Roman" w:cs="Times New Roman"/>
          <w:sz w:val="24"/>
          <w:szCs w:val="24"/>
        </w:rPr>
      </w:pPr>
    </w:p>
    <w:p w:rsidR="00264729" w:rsidRDefault="007F42DE" w:rsidP="00174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základe identifikácie celej potravinovej vertikály rastlinných jedlých tukov a olejov je možné konštatovať, že ich produkcia bola ovplyvnená </w:t>
      </w:r>
      <w:r w:rsidR="00577AE1">
        <w:rPr>
          <w:rFonts w:ascii="Times New Roman" w:hAnsi="Times New Roman" w:cs="Times New Roman"/>
          <w:sz w:val="24"/>
          <w:szCs w:val="24"/>
        </w:rPr>
        <w:t>prevažne negatívnym vývojom kvantitatívnych a kvalitatívnych parametrov v rámci všetkých článkov potravinovej vertikály. Súčasná finálna produkcia rastlinných a jedlých tukov bola, v porovnaní s referenčným rokom 2002, teda ovplyvnená negatí</w:t>
      </w:r>
      <w:r w:rsidR="008559AA">
        <w:rPr>
          <w:rFonts w:ascii="Times New Roman" w:hAnsi="Times New Roman" w:cs="Times New Roman"/>
          <w:sz w:val="24"/>
          <w:szCs w:val="24"/>
        </w:rPr>
        <w:t>vnym vývojom týchto parametrov:</w:t>
      </w:r>
    </w:p>
    <w:p w:rsidR="00264729" w:rsidRDefault="00264729" w:rsidP="00174974">
      <w:pPr>
        <w:spacing w:after="0" w:line="240" w:lineRule="auto"/>
        <w:jc w:val="both"/>
        <w:rPr>
          <w:rFonts w:ascii="Times New Roman" w:hAnsi="Times New Roman" w:cs="Times New Roman"/>
          <w:sz w:val="24"/>
          <w:szCs w:val="24"/>
        </w:rPr>
      </w:pPr>
    </w:p>
    <w:p w:rsidR="00A231A5" w:rsidRDefault="00A231A5" w:rsidP="000D68DC">
      <w:pPr>
        <w:pStyle w:val="Odsekzoznamu"/>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znížením spotreby repky v potravinárskom priemysle v porovnaní s referenčným obdobím o 81,6 %;    </w:t>
      </w:r>
    </w:p>
    <w:p w:rsidR="00264729" w:rsidRDefault="00A231A5" w:rsidP="000D68DC">
      <w:pPr>
        <w:pStyle w:val="Odsekzoznamu"/>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15-násobným zvýšením spotreby repky na výrobu </w:t>
      </w:r>
      <w:proofErr w:type="spellStart"/>
      <w:r>
        <w:rPr>
          <w:rFonts w:ascii="Times New Roman" w:hAnsi="Times New Roman" w:cs="Times New Roman"/>
          <w:sz w:val="24"/>
          <w:szCs w:val="24"/>
        </w:rPr>
        <w:t>bionafty</w:t>
      </w:r>
      <w:proofErr w:type="spellEnd"/>
      <w:r>
        <w:rPr>
          <w:rFonts w:ascii="Times New Roman" w:hAnsi="Times New Roman" w:cs="Times New Roman"/>
          <w:sz w:val="24"/>
          <w:szCs w:val="24"/>
        </w:rPr>
        <w:t xml:space="preserve"> v porovnaní s referenčným obdobím;</w:t>
      </w:r>
    </w:p>
    <w:p w:rsidR="00176BA0" w:rsidRPr="00264729" w:rsidRDefault="00EC3F59" w:rsidP="000D68DC">
      <w:pPr>
        <w:pStyle w:val="Odsekzoznamu"/>
        <w:numPr>
          <w:ilvl w:val="0"/>
          <w:numId w:val="7"/>
        </w:numPr>
        <w:spacing w:after="0" w:line="240" w:lineRule="auto"/>
        <w:jc w:val="both"/>
        <w:rPr>
          <w:rFonts w:ascii="Times New Roman" w:hAnsi="Times New Roman" w:cs="Times New Roman"/>
          <w:sz w:val="24"/>
          <w:szCs w:val="24"/>
        </w:rPr>
      </w:pPr>
      <w:r w:rsidRPr="00264729">
        <w:rPr>
          <w:rFonts w:ascii="Times New Roman" w:hAnsi="Times New Roman" w:cs="Times New Roman"/>
          <w:sz w:val="24"/>
          <w:szCs w:val="24"/>
        </w:rPr>
        <w:t>znížením spotreby slnečnice v potravinárskom priemysle v porovnaní s referenčným obdobím o 52,6 %;</w:t>
      </w:r>
    </w:p>
    <w:p w:rsidR="00176BA0" w:rsidRPr="00176BA0" w:rsidRDefault="00C970F8" w:rsidP="001749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Tab. č.34</w:t>
      </w:r>
      <w:r w:rsidR="00176BA0" w:rsidRPr="00A855A4">
        <w:rPr>
          <w:rFonts w:ascii="Times New Roman" w:hAnsi="Times New Roman" w:cs="Times New Roman"/>
          <w:sz w:val="20"/>
          <w:szCs w:val="20"/>
        </w:rPr>
        <w:t xml:space="preserve">: </w:t>
      </w:r>
      <w:r w:rsidR="00176BA0" w:rsidRPr="008B1083">
        <w:rPr>
          <w:rFonts w:ascii="Times New Roman" w:hAnsi="Times New Roman" w:cs="Times New Roman"/>
          <w:sz w:val="20"/>
          <w:szCs w:val="20"/>
        </w:rPr>
        <w:t xml:space="preserve">Bilancia </w:t>
      </w:r>
      <w:r w:rsidR="00176BA0">
        <w:rPr>
          <w:rFonts w:ascii="Times New Roman" w:hAnsi="Times New Roman" w:cs="Times New Roman"/>
          <w:sz w:val="20"/>
          <w:szCs w:val="20"/>
        </w:rPr>
        <w:t xml:space="preserve">rastlinných jedlých tukov a olejov v rámci potravinovej vertikály </w:t>
      </w:r>
    </w:p>
    <w:tbl>
      <w:tblPr>
        <w:tblW w:w="9087" w:type="dxa"/>
        <w:tblInd w:w="55" w:type="dxa"/>
        <w:tblCellMar>
          <w:left w:w="70" w:type="dxa"/>
          <w:right w:w="70" w:type="dxa"/>
        </w:tblCellMar>
        <w:tblLook w:val="04A0" w:firstRow="1" w:lastRow="0" w:firstColumn="1" w:lastColumn="0" w:noHBand="0" w:noVBand="1"/>
      </w:tblPr>
      <w:tblGrid>
        <w:gridCol w:w="3559"/>
        <w:gridCol w:w="440"/>
        <w:gridCol w:w="836"/>
        <w:gridCol w:w="850"/>
        <w:gridCol w:w="851"/>
        <w:gridCol w:w="851"/>
        <w:gridCol w:w="850"/>
        <w:gridCol w:w="850"/>
      </w:tblGrid>
      <w:tr w:rsidR="00176BA0" w:rsidRPr="00176BA0" w:rsidTr="00176BA0">
        <w:trPr>
          <w:trHeight w:val="300"/>
        </w:trPr>
        <w:tc>
          <w:tcPr>
            <w:tcW w:w="3559" w:type="dxa"/>
            <w:tcBorders>
              <w:top w:val="nil"/>
              <w:left w:val="nil"/>
              <w:bottom w:val="single" w:sz="4" w:space="0" w:color="auto"/>
              <w:right w:val="nil"/>
            </w:tcBorders>
            <w:shd w:val="clear" w:color="000000" w:fill="D9D9D9"/>
            <w:noWrap/>
            <w:vAlign w:val="center"/>
            <w:hideMark/>
          </w:tcPr>
          <w:p w:rsidR="00176BA0" w:rsidRPr="00176BA0" w:rsidRDefault="00176BA0" w:rsidP="00176BA0">
            <w:pPr>
              <w:spacing w:after="0" w:line="240" w:lineRule="auto"/>
              <w:jc w:val="center"/>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 </w:t>
            </w:r>
          </w:p>
        </w:tc>
        <w:tc>
          <w:tcPr>
            <w:tcW w:w="440" w:type="dxa"/>
            <w:tcBorders>
              <w:top w:val="nil"/>
              <w:left w:val="nil"/>
              <w:bottom w:val="single" w:sz="4" w:space="0" w:color="auto"/>
              <w:right w:val="single" w:sz="4" w:space="0" w:color="auto"/>
            </w:tcBorders>
            <w:shd w:val="clear" w:color="000000" w:fill="D9D9D9"/>
            <w:noWrap/>
            <w:vAlign w:val="center"/>
            <w:hideMark/>
          </w:tcPr>
          <w:p w:rsidR="00176BA0" w:rsidRPr="00176BA0" w:rsidRDefault="00176BA0" w:rsidP="00176BA0">
            <w:pPr>
              <w:spacing w:after="0" w:line="240" w:lineRule="auto"/>
              <w:jc w:val="center"/>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 </w:t>
            </w:r>
          </w:p>
        </w:tc>
        <w:tc>
          <w:tcPr>
            <w:tcW w:w="836" w:type="dxa"/>
            <w:tcBorders>
              <w:top w:val="nil"/>
              <w:left w:val="nil"/>
              <w:bottom w:val="single" w:sz="4" w:space="0" w:color="auto"/>
              <w:right w:val="single" w:sz="4" w:space="0" w:color="auto"/>
            </w:tcBorders>
            <w:shd w:val="clear" w:color="000000" w:fill="D9D9D9"/>
            <w:noWrap/>
            <w:vAlign w:val="center"/>
            <w:hideMark/>
          </w:tcPr>
          <w:p w:rsidR="00176BA0" w:rsidRPr="00176BA0" w:rsidRDefault="00176BA0" w:rsidP="00176BA0">
            <w:pPr>
              <w:spacing w:after="0" w:line="240" w:lineRule="auto"/>
              <w:jc w:val="center"/>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2002</w:t>
            </w:r>
          </w:p>
        </w:tc>
        <w:tc>
          <w:tcPr>
            <w:tcW w:w="850" w:type="dxa"/>
            <w:tcBorders>
              <w:top w:val="nil"/>
              <w:left w:val="nil"/>
              <w:bottom w:val="single" w:sz="4" w:space="0" w:color="auto"/>
              <w:right w:val="nil"/>
            </w:tcBorders>
            <w:shd w:val="clear" w:color="000000" w:fill="D9D9D9"/>
            <w:noWrap/>
            <w:vAlign w:val="center"/>
            <w:hideMark/>
          </w:tcPr>
          <w:p w:rsidR="00176BA0" w:rsidRPr="00176BA0" w:rsidRDefault="00176BA0" w:rsidP="00176BA0">
            <w:pPr>
              <w:spacing w:after="0" w:line="240" w:lineRule="auto"/>
              <w:jc w:val="center"/>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2007</w:t>
            </w:r>
          </w:p>
        </w:tc>
        <w:tc>
          <w:tcPr>
            <w:tcW w:w="851" w:type="dxa"/>
            <w:tcBorders>
              <w:top w:val="nil"/>
              <w:left w:val="nil"/>
              <w:bottom w:val="single" w:sz="4" w:space="0" w:color="auto"/>
              <w:right w:val="nil"/>
            </w:tcBorders>
            <w:shd w:val="clear" w:color="000000" w:fill="D9D9D9"/>
            <w:vAlign w:val="center"/>
            <w:hideMark/>
          </w:tcPr>
          <w:p w:rsidR="00176BA0" w:rsidRPr="00176BA0" w:rsidRDefault="00176BA0" w:rsidP="00176BA0">
            <w:pPr>
              <w:spacing w:after="0" w:line="240" w:lineRule="auto"/>
              <w:jc w:val="center"/>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2008</w:t>
            </w:r>
          </w:p>
        </w:tc>
        <w:tc>
          <w:tcPr>
            <w:tcW w:w="851" w:type="dxa"/>
            <w:tcBorders>
              <w:top w:val="nil"/>
              <w:left w:val="nil"/>
              <w:bottom w:val="single" w:sz="4" w:space="0" w:color="auto"/>
              <w:right w:val="nil"/>
            </w:tcBorders>
            <w:shd w:val="clear" w:color="000000" w:fill="D9D9D9"/>
            <w:noWrap/>
            <w:vAlign w:val="center"/>
            <w:hideMark/>
          </w:tcPr>
          <w:p w:rsidR="00176BA0" w:rsidRPr="00176BA0" w:rsidRDefault="00176BA0" w:rsidP="00176BA0">
            <w:pPr>
              <w:spacing w:after="0" w:line="240" w:lineRule="auto"/>
              <w:jc w:val="center"/>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2009</w:t>
            </w:r>
          </w:p>
        </w:tc>
        <w:tc>
          <w:tcPr>
            <w:tcW w:w="850" w:type="dxa"/>
            <w:tcBorders>
              <w:top w:val="nil"/>
              <w:left w:val="nil"/>
              <w:bottom w:val="single" w:sz="4" w:space="0" w:color="auto"/>
              <w:right w:val="nil"/>
            </w:tcBorders>
            <w:shd w:val="clear" w:color="000000" w:fill="D9D9D9"/>
            <w:vAlign w:val="center"/>
            <w:hideMark/>
          </w:tcPr>
          <w:p w:rsidR="00176BA0" w:rsidRPr="00176BA0" w:rsidRDefault="00176BA0" w:rsidP="00176BA0">
            <w:pPr>
              <w:spacing w:after="0" w:line="240" w:lineRule="auto"/>
              <w:jc w:val="center"/>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2010</w:t>
            </w:r>
          </w:p>
        </w:tc>
        <w:tc>
          <w:tcPr>
            <w:tcW w:w="850" w:type="dxa"/>
            <w:tcBorders>
              <w:top w:val="nil"/>
              <w:left w:val="nil"/>
              <w:bottom w:val="single" w:sz="4" w:space="0" w:color="auto"/>
              <w:right w:val="nil"/>
            </w:tcBorders>
            <w:shd w:val="clear" w:color="000000" w:fill="D9D9D9"/>
            <w:vAlign w:val="center"/>
            <w:hideMark/>
          </w:tcPr>
          <w:p w:rsidR="00176BA0" w:rsidRPr="00176BA0" w:rsidRDefault="00176BA0" w:rsidP="00176BA0">
            <w:pPr>
              <w:spacing w:after="0" w:line="240" w:lineRule="auto"/>
              <w:jc w:val="center"/>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2011</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Zberová plocha repky</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ha</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123 722</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153 830</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162 871</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166 476</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163 989</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143 676</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Zberová plocha slnečnice</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ha</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62 347</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64 746</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74 934</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82 944</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82 866</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88 694</w:t>
            </w:r>
          </w:p>
        </w:tc>
      </w:tr>
      <w:tr w:rsidR="00176BA0" w:rsidRPr="00176BA0" w:rsidTr="00176BA0">
        <w:trPr>
          <w:trHeight w:val="300"/>
        </w:trPr>
        <w:tc>
          <w:tcPr>
            <w:tcW w:w="3559"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Zberová plocha spolu</w:t>
            </w:r>
          </w:p>
        </w:tc>
        <w:tc>
          <w:tcPr>
            <w:tcW w:w="440"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center"/>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ha</w:t>
            </w:r>
          </w:p>
        </w:tc>
        <w:tc>
          <w:tcPr>
            <w:tcW w:w="836"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186 069</w:t>
            </w:r>
          </w:p>
        </w:tc>
        <w:tc>
          <w:tcPr>
            <w:tcW w:w="850"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218 576</w:t>
            </w:r>
          </w:p>
        </w:tc>
        <w:tc>
          <w:tcPr>
            <w:tcW w:w="851"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237 805</w:t>
            </w:r>
          </w:p>
        </w:tc>
        <w:tc>
          <w:tcPr>
            <w:tcW w:w="851"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249 420</w:t>
            </w:r>
          </w:p>
        </w:tc>
        <w:tc>
          <w:tcPr>
            <w:tcW w:w="850"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246 855</w:t>
            </w:r>
          </w:p>
        </w:tc>
        <w:tc>
          <w:tcPr>
            <w:tcW w:w="850"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232 370</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Hektárová úroda repky</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t/ha</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2,08</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2,09</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2,61</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2,32</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1,97</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2,33</w:t>
            </w:r>
          </w:p>
        </w:tc>
      </w:tr>
      <w:tr w:rsidR="00176BA0" w:rsidRPr="00176BA0" w:rsidTr="00176BA0">
        <w:trPr>
          <w:trHeight w:val="300"/>
        </w:trPr>
        <w:tc>
          <w:tcPr>
            <w:tcW w:w="3559" w:type="dxa"/>
            <w:tcBorders>
              <w:top w:val="nil"/>
              <w:left w:val="nil"/>
              <w:bottom w:val="single" w:sz="4" w:space="0" w:color="auto"/>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Hektárová úroda slnečnice</w:t>
            </w:r>
          </w:p>
        </w:tc>
        <w:tc>
          <w:tcPr>
            <w:tcW w:w="440" w:type="dxa"/>
            <w:tcBorders>
              <w:top w:val="nil"/>
              <w:left w:val="nil"/>
              <w:bottom w:val="single" w:sz="4" w:space="0" w:color="auto"/>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t/ha</w:t>
            </w:r>
          </w:p>
        </w:tc>
        <w:tc>
          <w:tcPr>
            <w:tcW w:w="836" w:type="dxa"/>
            <w:tcBorders>
              <w:top w:val="nil"/>
              <w:left w:val="nil"/>
              <w:bottom w:val="single" w:sz="4" w:space="0" w:color="auto"/>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1,87</w:t>
            </w:r>
          </w:p>
        </w:tc>
        <w:tc>
          <w:tcPr>
            <w:tcW w:w="850" w:type="dxa"/>
            <w:tcBorders>
              <w:top w:val="nil"/>
              <w:left w:val="nil"/>
              <w:bottom w:val="single" w:sz="4" w:space="0" w:color="auto"/>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2,05</w:t>
            </w:r>
          </w:p>
        </w:tc>
        <w:tc>
          <w:tcPr>
            <w:tcW w:w="851" w:type="dxa"/>
            <w:tcBorders>
              <w:top w:val="nil"/>
              <w:left w:val="nil"/>
              <w:bottom w:val="single" w:sz="4" w:space="0" w:color="auto"/>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2,57</w:t>
            </w:r>
          </w:p>
        </w:tc>
        <w:tc>
          <w:tcPr>
            <w:tcW w:w="851" w:type="dxa"/>
            <w:tcBorders>
              <w:top w:val="nil"/>
              <w:left w:val="nil"/>
              <w:bottom w:val="single" w:sz="4" w:space="0" w:color="auto"/>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2,26</w:t>
            </w:r>
          </w:p>
        </w:tc>
        <w:tc>
          <w:tcPr>
            <w:tcW w:w="850" w:type="dxa"/>
            <w:tcBorders>
              <w:top w:val="nil"/>
              <w:left w:val="nil"/>
              <w:bottom w:val="single" w:sz="4" w:space="0" w:color="auto"/>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1,81</w:t>
            </w:r>
          </w:p>
        </w:tc>
        <w:tc>
          <w:tcPr>
            <w:tcW w:w="850" w:type="dxa"/>
            <w:tcBorders>
              <w:top w:val="nil"/>
              <w:left w:val="nil"/>
              <w:bottom w:val="single" w:sz="4" w:space="0" w:color="auto"/>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2,27</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Produkcia repky</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257 307</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321 100</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424 444</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386 691</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322 452</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332 155</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 vývoz</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82 976</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140 036</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190 409</w:t>
            </w:r>
          </w:p>
        </w:tc>
        <w:tc>
          <w:tcPr>
            <w:tcW w:w="851" w:type="dxa"/>
            <w:tcBorders>
              <w:top w:val="nil"/>
              <w:left w:val="nil"/>
              <w:bottom w:val="nil"/>
              <w:right w:val="nil"/>
            </w:tcBorders>
            <w:shd w:val="clear" w:color="000000" w:fill="FFFFFF"/>
            <w:noWrap/>
            <w:vAlign w:val="center"/>
            <w:hideMark/>
          </w:tcPr>
          <w:p w:rsidR="00176BA0" w:rsidRPr="00176BA0" w:rsidRDefault="00EF0933" w:rsidP="00176BA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185 284</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177 657</w:t>
            </w:r>
          </w:p>
        </w:tc>
        <w:tc>
          <w:tcPr>
            <w:tcW w:w="850" w:type="dxa"/>
            <w:tcBorders>
              <w:top w:val="nil"/>
              <w:left w:val="nil"/>
              <w:bottom w:val="nil"/>
              <w:right w:val="nil"/>
            </w:tcBorders>
            <w:shd w:val="clear" w:color="000000" w:fill="FFFFFF"/>
            <w:vAlign w:val="center"/>
            <w:hideMark/>
          </w:tcPr>
          <w:p w:rsidR="00176BA0" w:rsidRPr="00176BA0" w:rsidRDefault="00EF0933" w:rsidP="00176BA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00176BA0" w:rsidRPr="00176BA0">
              <w:rPr>
                <w:rFonts w:ascii="Times New Roman" w:eastAsia="Times New Roman" w:hAnsi="Times New Roman" w:cs="Times New Roman"/>
                <w:color w:val="000000"/>
                <w:sz w:val="20"/>
                <w:szCs w:val="20"/>
              </w:rPr>
              <w:t>6 869</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 dovoz</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165</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5 842</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14 403</w:t>
            </w:r>
          </w:p>
        </w:tc>
        <w:tc>
          <w:tcPr>
            <w:tcW w:w="851" w:type="dxa"/>
            <w:tcBorders>
              <w:top w:val="nil"/>
              <w:left w:val="nil"/>
              <w:bottom w:val="nil"/>
              <w:right w:val="nil"/>
            </w:tcBorders>
            <w:shd w:val="clear" w:color="000000" w:fill="FFFFFF"/>
            <w:noWrap/>
            <w:vAlign w:val="center"/>
            <w:hideMark/>
          </w:tcPr>
          <w:p w:rsidR="00EF0933" w:rsidRPr="00176BA0" w:rsidRDefault="00EF0933" w:rsidP="00EF093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58 593</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95 857</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164 714</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Produkcia slnečnice</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116 876</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132 656</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192 346</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187 238</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150 326</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200 990</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 vývoz</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64 507</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97 678</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118 401</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133 521</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125 737</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213 320</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 dovoz</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769</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2 728</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6 055</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10 539</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32 411</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37 330</w:t>
            </w:r>
          </w:p>
        </w:tc>
      </w:tr>
      <w:tr w:rsidR="00176BA0" w:rsidRPr="00176BA0" w:rsidTr="00176BA0">
        <w:trPr>
          <w:trHeight w:val="300"/>
        </w:trPr>
        <w:tc>
          <w:tcPr>
            <w:tcW w:w="3559"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Hr. dom. produkcia</w:t>
            </w:r>
            <w:r w:rsidRPr="00176BA0">
              <w:rPr>
                <w:rFonts w:ascii="Times New Roman" w:eastAsia="Times New Roman" w:hAnsi="Times New Roman" w:cs="Times New Roman"/>
                <w:b/>
                <w:bCs/>
                <w:color w:val="000000"/>
                <w:sz w:val="20"/>
                <w:szCs w:val="20"/>
              </w:rPr>
              <w:t xml:space="preserve"> prvovýroby celkom</w:t>
            </w:r>
          </w:p>
        </w:tc>
        <w:tc>
          <w:tcPr>
            <w:tcW w:w="440"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center"/>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t</w:t>
            </w:r>
          </w:p>
        </w:tc>
        <w:tc>
          <w:tcPr>
            <w:tcW w:w="836"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374 183</w:t>
            </w:r>
          </w:p>
        </w:tc>
        <w:tc>
          <w:tcPr>
            <w:tcW w:w="850"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453 756</w:t>
            </w:r>
          </w:p>
        </w:tc>
        <w:tc>
          <w:tcPr>
            <w:tcW w:w="851"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616 790</w:t>
            </w:r>
          </w:p>
        </w:tc>
        <w:tc>
          <w:tcPr>
            <w:tcW w:w="851"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573 929</w:t>
            </w:r>
          </w:p>
        </w:tc>
        <w:tc>
          <w:tcPr>
            <w:tcW w:w="850"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472 778</w:t>
            </w:r>
          </w:p>
        </w:tc>
        <w:tc>
          <w:tcPr>
            <w:tcW w:w="850"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533 145</w:t>
            </w:r>
          </w:p>
        </w:tc>
      </w:tr>
      <w:tr w:rsidR="00176BA0" w:rsidRPr="00176BA0" w:rsidTr="00176BA0">
        <w:trPr>
          <w:trHeight w:val="300"/>
        </w:trPr>
        <w:tc>
          <w:tcPr>
            <w:tcW w:w="3559"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 vývoz prvovýroby celkom</w:t>
            </w:r>
          </w:p>
        </w:tc>
        <w:tc>
          <w:tcPr>
            <w:tcW w:w="440"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147 483</w:t>
            </w:r>
          </w:p>
        </w:tc>
        <w:tc>
          <w:tcPr>
            <w:tcW w:w="850"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237 714</w:t>
            </w:r>
          </w:p>
        </w:tc>
        <w:tc>
          <w:tcPr>
            <w:tcW w:w="851"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308 810</w:t>
            </w:r>
          </w:p>
        </w:tc>
        <w:tc>
          <w:tcPr>
            <w:tcW w:w="851" w:type="dxa"/>
            <w:tcBorders>
              <w:top w:val="nil"/>
              <w:left w:val="nil"/>
              <w:bottom w:val="single" w:sz="4" w:space="0" w:color="auto"/>
              <w:right w:val="nil"/>
            </w:tcBorders>
            <w:shd w:val="clear" w:color="000000" w:fill="F2F2F2"/>
            <w:noWrap/>
            <w:vAlign w:val="center"/>
            <w:hideMark/>
          </w:tcPr>
          <w:p w:rsidR="00176BA0" w:rsidRPr="00176BA0" w:rsidRDefault="00EF0933" w:rsidP="00176BA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318 805</w:t>
            </w:r>
          </w:p>
        </w:tc>
        <w:tc>
          <w:tcPr>
            <w:tcW w:w="850"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303 394</w:t>
            </w:r>
          </w:p>
        </w:tc>
        <w:tc>
          <w:tcPr>
            <w:tcW w:w="850" w:type="dxa"/>
            <w:tcBorders>
              <w:top w:val="nil"/>
              <w:left w:val="nil"/>
              <w:bottom w:val="single" w:sz="4" w:space="0" w:color="auto"/>
              <w:right w:val="nil"/>
            </w:tcBorders>
            <w:shd w:val="clear" w:color="000000" w:fill="F2F2F2"/>
            <w:vAlign w:val="center"/>
            <w:hideMark/>
          </w:tcPr>
          <w:p w:rsidR="00176BA0" w:rsidRPr="00176BA0" w:rsidRDefault="00EF0933" w:rsidP="00176BA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w:t>
            </w:r>
            <w:r w:rsidR="00176BA0" w:rsidRPr="00176BA0">
              <w:rPr>
                <w:rFonts w:ascii="Times New Roman" w:eastAsia="Times New Roman" w:hAnsi="Times New Roman" w:cs="Times New Roman"/>
                <w:color w:val="000000"/>
                <w:sz w:val="20"/>
                <w:szCs w:val="20"/>
              </w:rPr>
              <w:t xml:space="preserve"> 189</w:t>
            </w:r>
          </w:p>
        </w:tc>
      </w:tr>
      <w:tr w:rsidR="00176BA0" w:rsidRPr="00176BA0" w:rsidTr="00176BA0">
        <w:trPr>
          <w:trHeight w:val="300"/>
        </w:trPr>
        <w:tc>
          <w:tcPr>
            <w:tcW w:w="3559"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 dovoz prvovýroby celkom</w:t>
            </w:r>
          </w:p>
        </w:tc>
        <w:tc>
          <w:tcPr>
            <w:tcW w:w="440"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934</w:t>
            </w:r>
          </w:p>
        </w:tc>
        <w:tc>
          <w:tcPr>
            <w:tcW w:w="850"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8 570</w:t>
            </w:r>
          </w:p>
        </w:tc>
        <w:tc>
          <w:tcPr>
            <w:tcW w:w="851"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20 458</w:t>
            </w:r>
          </w:p>
        </w:tc>
        <w:tc>
          <w:tcPr>
            <w:tcW w:w="851" w:type="dxa"/>
            <w:tcBorders>
              <w:top w:val="nil"/>
              <w:left w:val="nil"/>
              <w:bottom w:val="single" w:sz="4" w:space="0" w:color="auto"/>
              <w:right w:val="nil"/>
            </w:tcBorders>
            <w:shd w:val="clear" w:color="000000" w:fill="F2F2F2"/>
            <w:noWrap/>
            <w:vAlign w:val="center"/>
            <w:hideMark/>
          </w:tcPr>
          <w:p w:rsidR="00176BA0" w:rsidRPr="00176BA0" w:rsidRDefault="00EF0933" w:rsidP="00176BA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69 132</w:t>
            </w:r>
          </w:p>
        </w:tc>
        <w:tc>
          <w:tcPr>
            <w:tcW w:w="850"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128 268</w:t>
            </w:r>
          </w:p>
        </w:tc>
        <w:tc>
          <w:tcPr>
            <w:tcW w:w="850"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202 044</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Domáca spotreba repky</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174 496</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186 906</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248 438</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260 000</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240 652</w:t>
            </w:r>
          </w:p>
        </w:tc>
        <w:tc>
          <w:tcPr>
            <w:tcW w:w="850" w:type="dxa"/>
            <w:tcBorders>
              <w:top w:val="nil"/>
              <w:left w:val="nil"/>
              <w:bottom w:val="nil"/>
              <w:right w:val="nil"/>
            </w:tcBorders>
            <w:shd w:val="clear" w:color="000000" w:fill="FFFFFF"/>
            <w:vAlign w:val="center"/>
            <w:hideMark/>
          </w:tcPr>
          <w:p w:rsidR="00176BA0" w:rsidRPr="00176BA0" w:rsidRDefault="00EF0933" w:rsidP="00176BA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r w:rsidR="00176BA0" w:rsidRPr="00176BA0">
              <w:rPr>
                <w:rFonts w:ascii="Times New Roman" w:eastAsia="Times New Roman" w:hAnsi="Times New Roman" w:cs="Times New Roman"/>
                <w:color w:val="000000"/>
                <w:sz w:val="20"/>
                <w:szCs w:val="20"/>
              </w:rPr>
              <w:t>0 000</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 potravinárska</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163 000</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53 000</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95 166</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80 000</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70 000</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30 000</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 MERO</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11 496</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133 906</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153 272</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180 000</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170 652</w:t>
            </w:r>
          </w:p>
        </w:tc>
        <w:tc>
          <w:tcPr>
            <w:tcW w:w="850" w:type="dxa"/>
            <w:tcBorders>
              <w:top w:val="nil"/>
              <w:left w:val="nil"/>
              <w:bottom w:val="nil"/>
              <w:right w:val="nil"/>
            </w:tcBorders>
            <w:shd w:val="clear" w:color="000000" w:fill="FFFFFF"/>
            <w:vAlign w:val="center"/>
            <w:hideMark/>
          </w:tcPr>
          <w:p w:rsidR="00176BA0" w:rsidRPr="00176BA0" w:rsidRDefault="00EF0933" w:rsidP="00176BA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sidR="00176BA0" w:rsidRPr="00176BA0">
              <w:rPr>
                <w:rFonts w:ascii="Times New Roman" w:eastAsia="Times New Roman" w:hAnsi="Times New Roman" w:cs="Times New Roman"/>
                <w:color w:val="000000"/>
                <w:sz w:val="20"/>
                <w:szCs w:val="20"/>
              </w:rPr>
              <w:t>0 000</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Domáca spotreba slnečnice*</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53 138</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65 000</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80 000</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64 256</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57 000</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25 000</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 xml:space="preserve">- potravinárska </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52 700</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65 000</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80 000</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64 256</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57 000</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25 000</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 MERO</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438</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0</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0</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0</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0</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0</w:t>
            </w:r>
          </w:p>
        </w:tc>
      </w:tr>
      <w:tr w:rsidR="00176BA0" w:rsidRPr="00176BA0" w:rsidTr="00176BA0">
        <w:trPr>
          <w:trHeight w:val="300"/>
        </w:trPr>
        <w:tc>
          <w:tcPr>
            <w:tcW w:w="3559"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Domáca spotreba celkom</w:t>
            </w:r>
          </w:p>
        </w:tc>
        <w:tc>
          <w:tcPr>
            <w:tcW w:w="440"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center"/>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t</w:t>
            </w:r>
          </w:p>
        </w:tc>
        <w:tc>
          <w:tcPr>
            <w:tcW w:w="836"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227 634</w:t>
            </w:r>
          </w:p>
        </w:tc>
        <w:tc>
          <w:tcPr>
            <w:tcW w:w="850"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251 906</w:t>
            </w:r>
          </w:p>
        </w:tc>
        <w:tc>
          <w:tcPr>
            <w:tcW w:w="851"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328 438</w:t>
            </w:r>
          </w:p>
        </w:tc>
        <w:tc>
          <w:tcPr>
            <w:tcW w:w="851"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324 256</w:t>
            </w:r>
          </w:p>
        </w:tc>
        <w:tc>
          <w:tcPr>
            <w:tcW w:w="850"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297 652</w:t>
            </w:r>
          </w:p>
        </w:tc>
        <w:tc>
          <w:tcPr>
            <w:tcW w:w="850" w:type="dxa"/>
            <w:tcBorders>
              <w:top w:val="nil"/>
              <w:left w:val="nil"/>
              <w:bottom w:val="single" w:sz="4" w:space="0" w:color="auto"/>
              <w:right w:val="nil"/>
            </w:tcBorders>
            <w:shd w:val="clear" w:color="000000" w:fill="F2F2F2"/>
            <w:vAlign w:val="center"/>
            <w:hideMark/>
          </w:tcPr>
          <w:p w:rsidR="00176BA0" w:rsidRPr="00176BA0" w:rsidRDefault="00EF0933" w:rsidP="00176BA0">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26</w:t>
            </w:r>
            <w:r w:rsidR="00176BA0" w:rsidRPr="00176BA0">
              <w:rPr>
                <w:rFonts w:ascii="Times New Roman" w:eastAsia="Times New Roman" w:hAnsi="Times New Roman" w:cs="Times New Roman"/>
                <w:b/>
                <w:bCs/>
                <w:color w:val="000000"/>
                <w:sz w:val="20"/>
                <w:szCs w:val="20"/>
              </w:rPr>
              <w:t>5 000</w:t>
            </w:r>
          </w:p>
        </w:tc>
      </w:tr>
      <w:tr w:rsidR="00176BA0" w:rsidRPr="00176BA0" w:rsidTr="00176BA0">
        <w:trPr>
          <w:trHeight w:val="300"/>
        </w:trPr>
        <w:tc>
          <w:tcPr>
            <w:tcW w:w="3559"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 potravinárska</w:t>
            </w:r>
          </w:p>
        </w:tc>
        <w:tc>
          <w:tcPr>
            <w:tcW w:w="440"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215 700</w:t>
            </w:r>
          </w:p>
        </w:tc>
        <w:tc>
          <w:tcPr>
            <w:tcW w:w="850"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118 000</w:t>
            </w:r>
          </w:p>
        </w:tc>
        <w:tc>
          <w:tcPr>
            <w:tcW w:w="851"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175 166</w:t>
            </w:r>
          </w:p>
        </w:tc>
        <w:tc>
          <w:tcPr>
            <w:tcW w:w="851"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144 256</w:t>
            </w:r>
          </w:p>
        </w:tc>
        <w:tc>
          <w:tcPr>
            <w:tcW w:w="850"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127 000</w:t>
            </w:r>
          </w:p>
        </w:tc>
        <w:tc>
          <w:tcPr>
            <w:tcW w:w="850"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55 000</w:t>
            </w:r>
          </w:p>
        </w:tc>
      </w:tr>
      <w:tr w:rsidR="00176BA0" w:rsidRPr="00176BA0" w:rsidTr="00176BA0">
        <w:trPr>
          <w:trHeight w:val="300"/>
        </w:trPr>
        <w:tc>
          <w:tcPr>
            <w:tcW w:w="3559"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 MERO</w:t>
            </w:r>
          </w:p>
        </w:tc>
        <w:tc>
          <w:tcPr>
            <w:tcW w:w="440"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11 934</w:t>
            </w:r>
          </w:p>
        </w:tc>
        <w:tc>
          <w:tcPr>
            <w:tcW w:w="850"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133 906</w:t>
            </w:r>
          </w:p>
        </w:tc>
        <w:tc>
          <w:tcPr>
            <w:tcW w:w="851"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153 272</w:t>
            </w:r>
          </w:p>
        </w:tc>
        <w:tc>
          <w:tcPr>
            <w:tcW w:w="851"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180 000</w:t>
            </w:r>
          </w:p>
        </w:tc>
        <w:tc>
          <w:tcPr>
            <w:tcW w:w="850"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170 652</w:t>
            </w:r>
          </w:p>
        </w:tc>
        <w:tc>
          <w:tcPr>
            <w:tcW w:w="850" w:type="dxa"/>
            <w:tcBorders>
              <w:top w:val="nil"/>
              <w:left w:val="nil"/>
              <w:bottom w:val="single" w:sz="4" w:space="0" w:color="auto"/>
              <w:right w:val="nil"/>
            </w:tcBorders>
            <w:shd w:val="clear" w:color="000000" w:fill="F2F2F2"/>
            <w:vAlign w:val="center"/>
            <w:hideMark/>
          </w:tcPr>
          <w:p w:rsidR="00176BA0" w:rsidRPr="00176BA0" w:rsidRDefault="00EF0933" w:rsidP="00176BA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sidR="00176BA0" w:rsidRPr="00176BA0">
              <w:rPr>
                <w:rFonts w:ascii="Times New Roman" w:eastAsia="Times New Roman" w:hAnsi="Times New Roman" w:cs="Times New Roman"/>
                <w:color w:val="000000"/>
                <w:sz w:val="20"/>
                <w:szCs w:val="20"/>
              </w:rPr>
              <w:t>0 000</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Spracovanie repky</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167 316</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119 579</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136 993</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129 515</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132 688</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83 783</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Spracovanie slnečnice</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38 585</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94 188</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63 337</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67 452</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71 884</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40 057</w:t>
            </w:r>
          </w:p>
        </w:tc>
      </w:tr>
      <w:tr w:rsidR="00176BA0" w:rsidRPr="00176BA0" w:rsidTr="00176BA0">
        <w:trPr>
          <w:trHeight w:val="300"/>
        </w:trPr>
        <w:tc>
          <w:tcPr>
            <w:tcW w:w="3559"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Spracovanie celkom</w:t>
            </w:r>
          </w:p>
        </w:tc>
        <w:tc>
          <w:tcPr>
            <w:tcW w:w="440"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center"/>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t</w:t>
            </w:r>
          </w:p>
        </w:tc>
        <w:tc>
          <w:tcPr>
            <w:tcW w:w="836"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205 901</w:t>
            </w:r>
          </w:p>
        </w:tc>
        <w:tc>
          <w:tcPr>
            <w:tcW w:w="850"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213 767</w:t>
            </w:r>
          </w:p>
        </w:tc>
        <w:tc>
          <w:tcPr>
            <w:tcW w:w="851"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200 330</w:t>
            </w:r>
          </w:p>
        </w:tc>
        <w:tc>
          <w:tcPr>
            <w:tcW w:w="851"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196 967</w:t>
            </w:r>
          </w:p>
        </w:tc>
        <w:tc>
          <w:tcPr>
            <w:tcW w:w="850"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204 572</w:t>
            </w:r>
          </w:p>
        </w:tc>
        <w:tc>
          <w:tcPr>
            <w:tcW w:w="850"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123 840</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Domá</w:t>
            </w:r>
            <w:r w:rsidR="00565D7A">
              <w:rPr>
                <w:rFonts w:ascii="Times New Roman" w:eastAsia="Times New Roman" w:hAnsi="Times New Roman" w:cs="Times New Roman"/>
                <w:color w:val="000000"/>
                <w:sz w:val="20"/>
                <w:szCs w:val="20"/>
              </w:rPr>
              <w:t xml:space="preserve">ca produkcia jedlých </w:t>
            </w:r>
            <w:proofErr w:type="spellStart"/>
            <w:r w:rsidR="00565D7A">
              <w:rPr>
                <w:rFonts w:ascii="Times New Roman" w:eastAsia="Times New Roman" w:hAnsi="Times New Roman" w:cs="Times New Roman"/>
                <w:color w:val="000000"/>
                <w:sz w:val="20"/>
                <w:szCs w:val="20"/>
              </w:rPr>
              <w:t>rastl</w:t>
            </w:r>
            <w:proofErr w:type="spellEnd"/>
            <w:r w:rsidR="00565D7A">
              <w:rPr>
                <w:rFonts w:ascii="Times New Roman" w:eastAsia="Times New Roman" w:hAnsi="Times New Roman" w:cs="Times New Roman"/>
                <w:color w:val="000000"/>
                <w:sz w:val="20"/>
                <w:szCs w:val="20"/>
              </w:rPr>
              <w:t>.</w:t>
            </w:r>
            <w:r w:rsidRPr="00176BA0">
              <w:rPr>
                <w:rFonts w:ascii="Times New Roman" w:eastAsia="Times New Roman" w:hAnsi="Times New Roman" w:cs="Times New Roman"/>
                <w:color w:val="000000"/>
                <w:sz w:val="20"/>
                <w:szCs w:val="20"/>
              </w:rPr>
              <w:t xml:space="preserve"> tukov</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91 376</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24 280</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29 485</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8 512</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14 801</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23 934</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 vývoz</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29 447</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8 881</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18 096</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226</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1 827</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10 304</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 xml:space="preserve">- dovoz </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5 142</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16 688</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15 745</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3 996</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8 318</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5 059</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Domáca produkcia slnečnicového oleja</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15 028</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38 804</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18 685</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25 198</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30 335</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20 756</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 vývoz</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10 295</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14 796</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6 285</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16 234</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20 261</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1 293</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 dovoz</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2 232</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15 850</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12 913</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39 761</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35 340</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110 104</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Domáca produkcia repkového oleja</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55 778</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11 053</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23 615</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18 976</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49 466</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17 899</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 vývoz</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16 456</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1 610</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1 162</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343</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3 608</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4 174</w:t>
            </w:r>
          </w:p>
        </w:tc>
      </w:tr>
      <w:tr w:rsidR="00176BA0" w:rsidRPr="00176BA0" w:rsidTr="00176BA0">
        <w:trPr>
          <w:trHeight w:val="300"/>
        </w:trPr>
        <w:tc>
          <w:tcPr>
            <w:tcW w:w="3559"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 dovoz</w:t>
            </w:r>
          </w:p>
        </w:tc>
        <w:tc>
          <w:tcPr>
            <w:tcW w:w="440"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nil"/>
              <w:right w:val="single" w:sz="4" w:space="0" w:color="auto"/>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9 661</w:t>
            </w:r>
          </w:p>
        </w:tc>
        <w:tc>
          <w:tcPr>
            <w:tcW w:w="850"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45 232</w:t>
            </w:r>
          </w:p>
        </w:tc>
        <w:tc>
          <w:tcPr>
            <w:tcW w:w="851"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95 465</w:t>
            </w:r>
          </w:p>
        </w:tc>
        <w:tc>
          <w:tcPr>
            <w:tcW w:w="851" w:type="dxa"/>
            <w:tcBorders>
              <w:top w:val="nil"/>
              <w:left w:val="nil"/>
              <w:bottom w:val="nil"/>
              <w:right w:val="nil"/>
            </w:tcBorders>
            <w:shd w:val="clear" w:color="000000" w:fill="FFFFFF"/>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59 918</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77 353</w:t>
            </w:r>
          </w:p>
        </w:tc>
        <w:tc>
          <w:tcPr>
            <w:tcW w:w="850" w:type="dxa"/>
            <w:tcBorders>
              <w:top w:val="nil"/>
              <w:left w:val="nil"/>
              <w:bottom w:val="nil"/>
              <w:right w:val="nil"/>
            </w:tcBorders>
            <w:shd w:val="clear" w:color="000000" w:fill="FFFFFF"/>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55 718</w:t>
            </w:r>
          </w:p>
        </w:tc>
      </w:tr>
      <w:tr w:rsidR="00176BA0" w:rsidRPr="00176BA0" w:rsidTr="00176BA0">
        <w:trPr>
          <w:trHeight w:val="300"/>
        </w:trPr>
        <w:tc>
          <w:tcPr>
            <w:tcW w:w="3559" w:type="dxa"/>
            <w:tcBorders>
              <w:top w:val="nil"/>
              <w:left w:val="nil"/>
              <w:bottom w:val="single" w:sz="4" w:space="0" w:color="auto"/>
              <w:right w:val="nil"/>
            </w:tcBorders>
            <w:shd w:val="clear" w:color="000000" w:fill="F2F2F2"/>
            <w:noWrap/>
            <w:vAlign w:val="center"/>
            <w:hideMark/>
          </w:tcPr>
          <w:p w:rsidR="00176BA0" w:rsidRPr="00176BA0" w:rsidRDefault="00176BA0" w:rsidP="00EF0933">
            <w:pPr>
              <w:spacing w:after="0" w:line="240" w:lineRule="auto"/>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 xml:space="preserve">Finálna domáca </w:t>
            </w:r>
            <w:r w:rsidR="00EF0933">
              <w:rPr>
                <w:rFonts w:ascii="Times New Roman" w:eastAsia="Times New Roman" w:hAnsi="Times New Roman" w:cs="Times New Roman"/>
                <w:b/>
                <w:bCs/>
                <w:color w:val="000000"/>
                <w:sz w:val="20"/>
                <w:szCs w:val="20"/>
              </w:rPr>
              <w:t>výroba</w:t>
            </w:r>
            <w:r w:rsidRPr="00176BA0">
              <w:rPr>
                <w:rFonts w:ascii="Times New Roman" w:eastAsia="Times New Roman" w:hAnsi="Times New Roman" w:cs="Times New Roman"/>
                <w:b/>
                <w:bCs/>
                <w:color w:val="000000"/>
                <w:sz w:val="20"/>
                <w:szCs w:val="20"/>
              </w:rPr>
              <w:t xml:space="preserve"> celkom</w:t>
            </w:r>
          </w:p>
        </w:tc>
        <w:tc>
          <w:tcPr>
            <w:tcW w:w="440"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center"/>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t</w:t>
            </w:r>
          </w:p>
        </w:tc>
        <w:tc>
          <w:tcPr>
            <w:tcW w:w="836"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162 182</w:t>
            </w:r>
          </w:p>
        </w:tc>
        <w:tc>
          <w:tcPr>
            <w:tcW w:w="850"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74 137</w:t>
            </w:r>
          </w:p>
        </w:tc>
        <w:tc>
          <w:tcPr>
            <w:tcW w:w="851"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71 785</w:t>
            </w:r>
          </w:p>
        </w:tc>
        <w:tc>
          <w:tcPr>
            <w:tcW w:w="851"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52 686</w:t>
            </w:r>
          </w:p>
        </w:tc>
        <w:tc>
          <w:tcPr>
            <w:tcW w:w="850"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94 602</w:t>
            </w:r>
          </w:p>
        </w:tc>
        <w:tc>
          <w:tcPr>
            <w:tcW w:w="850"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b/>
                <w:bCs/>
                <w:color w:val="000000"/>
                <w:sz w:val="20"/>
                <w:szCs w:val="20"/>
              </w:rPr>
            </w:pPr>
            <w:r w:rsidRPr="00176BA0">
              <w:rPr>
                <w:rFonts w:ascii="Times New Roman" w:eastAsia="Times New Roman" w:hAnsi="Times New Roman" w:cs="Times New Roman"/>
                <w:b/>
                <w:bCs/>
                <w:color w:val="000000"/>
                <w:sz w:val="20"/>
                <w:szCs w:val="20"/>
              </w:rPr>
              <w:t>62 589</w:t>
            </w:r>
          </w:p>
        </w:tc>
      </w:tr>
      <w:tr w:rsidR="00176BA0" w:rsidRPr="00176BA0" w:rsidTr="00176BA0">
        <w:trPr>
          <w:trHeight w:val="300"/>
        </w:trPr>
        <w:tc>
          <w:tcPr>
            <w:tcW w:w="3559" w:type="dxa"/>
            <w:tcBorders>
              <w:top w:val="nil"/>
              <w:left w:val="nil"/>
              <w:bottom w:val="single" w:sz="4" w:space="0" w:color="auto"/>
              <w:right w:val="nil"/>
            </w:tcBorders>
            <w:shd w:val="clear" w:color="000000" w:fill="F2F2F2"/>
            <w:noWrap/>
            <w:vAlign w:val="center"/>
            <w:hideMark/>
          </w:tcPr>
          <w:p w:rsidR="00176BA0" w:rsidRPr="00176BA0" w:rsidRDefault="00176BA0" w:rsidP="00EF093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vývoz finálnej dom.</w:t>
            </w:r>
            <w:r w:rsidR="00FB16B1">
              <w:rPr>
                <w:rFonts w:ascii="Times New Roman" w:eastAsia="Times New Roman" w:hAnsi="Times New Roman" w:cs="Times New Roman"/>
                <w:color w:val="000000"/>
                <w:sz w:val="20"/>
                <w:szCs w:val="20"/>
              </w:rPr>
              <w:t xml:space="preserve"> výro</w:t>
            </w:r>
            <w:r w:rsidR="00EF0933">
              <w:rPr>
                <w:rFonts w:ascii="Times New Roman" w:eastAsia="Times New Roman" w:hAnsi="Times New Roman" w:cs="Times New Roman"/>
                <w:color w:val="000000"/>
                <w:sz w:val="20"/>
                <w:szCs w:val="20"/>
              </w:rPr>
              <w:t>by</w:t>
            </w:r>
            <w:r w:rsidRPr="00176BA0">
              <w:rPr>
                <w:rFonts w:ascii="Times New Roman" w:eastAsia="Times New Roman" w:hAnsi="Times New Roman" w:cs="Times New Roman"/>
                <w:color w:val="000000"/>
                <w:sz w:val="20"/>
                <w:szCs w:val="20"/>
              </w:rPr>
              <w:t xml:space="preserve"> celkom</w:t>
            </w:r>
          </w:p>
        </w:tc>
        <w:tc>
          <w:tcPr>
            <w:tcW w:w="440"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56 198</w:t>
            </w:r>
          </w:p>
        </w:tc>
        <w:tc>
          <w:tcPr>
            <w:tcW w:w="850"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25 287</w:t>
            </w:r>
          </w:p>
        </w:tc>
        <w:tc>
          <w:tcPr>
            <w:tcW w:w="851"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25 543</w:t>
            </w:r>
          </w:p>
        </w:tc>
        <w:tc>
          <w:tcPr>
            <w:tcW w:w="851"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16 803</w:t>
            </w:r>
          </w:p>
        </w:tc>
        <w:tc>
          <w:tcPr>
            <w:tcW w:w="850"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25 696</w:t>
            </w:r>
          </w:p>
        </w:tc>
        <w:tc>
          <w:tcPr>
            <w:tcW w:w="850"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15 771</w:t>
            </w:r>
          </w:p>
        </w:tc>
      </w:tr>
      <w:tr w:rsidR="00176BA0" w:rsidRPr="00176BA0" w:rsidTr="00176BA0">
        <w:trPr>
          <w:trHeight w:val="300"/>
        </w:trPr>
        <w:tc>
          <w:tcPr>
            <w:tcW w:w="3559" w:type="dxa"/>
            <w:tcBorders>
              <w:top w:val="nil"/>
              <w:left w:val="nil"/>
              <w:bottom w:val="single" w:sz="4" w:space="0" w:color="auto"/>
              <w:right w:val="nil"/>
            </w:tcBorders>
            <w:shd w:val="clear" w:color="000000" w:fill="F2F2F2"/>
            <w:noWrap/>
            <w:vAlign w:val="center"/>
            <w:hideMark/>
          </w:tcPr>
          <w:p w:rsidR="00176BA0" w:rsidRPr="00176BA0" w:rsidRDefault="00176BA0" w:rsidP="00EF0933">
            <w:pPr>
              <w:spacing w:after="0" w:line="240" w:lineRule="auto"/>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 xml:space="preserve">- dovoz finálnej </w:t>
            </w:r>
            <w:r w:rsidR="00EF0933">
              <w:rPr>
                <w:rFonts w:ascii="Times New Roman" w:eastAsia="Times New Roman" w:hAnsi="Times New Roman" w:cs="Times New Roman"/>
                <w:color w:val="000000"/>
                <w:sz w:val="20"/>
                <w:szCs w:val="20"/>
              </w:rPr>
              <w:t>výroby</w:t>
            </w:r>
            <w:r w:rsidRPr="00176BA0">
              <w:rPr>
                <w:rFonts w:ascii="Times New Roman" w:eastAsia="Times New Roman" w:hAnsi="Times New Roman" w:cs="Times New Roman"/>
                <w:color w:val="000000"/>
                <w:sz w:val="20"/>
                <w:szCs w:val="20"/>
              </w:rPr>
              <w:t xml:space="preserve"> celkom</w:t>
            </w:r>
          </w:p>
        </w:tc>
        <w:tc>
          <w:tcPr>
            <w:tcW w:w="440"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center"/>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t</w:t>
            </w:r>
          </w:p>
        </w:tc>
        <w:tc>
          <w:tcPr>
            <w:tcW w:w="836" w:type="dxa"/>
            <w:tcBorders>
              <w:top w:val="nil"/>
              <w:left w:val="nil"/>
              <w:bottom w:val="single" w:sz="4" w:space="0" w:color="auto"/>
              <w:right w:val="single" w:sz="4" w:space="0" w:color="auto"/>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17 035</w:t>
            </w:r>
          </w:p>
        </w:tc>
        <w:tc>
          <w:tcPr>
            <w:tcW w:w="850"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77 770</w:t>
            </w:r>
          </w:p>
        </w:tc>
        <w:tc>
          <w:tcPr>
            <w:tcW w:w="851"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124 123</w:t>
            </w:r>
          </w:p>
        </w:tc>
        <w:tc>
          <w:tcPr>
            <w:tcW w:w="851" w:type="dxa"/>
            <w:tcBorders>
              <w:top w:val="nil"/>
              <w:left w:val="nil"/>
              <w:bottom w:val="single" w:sz="4" w:space="0" w:color="auto"/>
              <w:right w:val="nil"/>
            </w:tcBorders>
            <w:shd w:val="clear" w:color="000000" w:fill="F2F2F2"/>
            <w:noWrap/>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103 676</w:t>
            </w:r>
          </w:p>
        </w:tc>
        <w:tc>
          <w:tcPr>
            <w:tcW w:w="850"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121 011</w:t>
            </w:r>
          </w:p>
        </w:tc>
        <w:tc>
          <w:tcPr>
            <w:tcW w:w="850" w:type="dxa"/>
            <w:tcBorders>
              <w:top w:val="nil"/>
              <w:left w:val="nil"/>
              <w:bottom w:val="single" w:sz="4" w:space="0" w:color="auto"/>
              <w:right w:val="nil"/>
            </w:tcBorders>
            <w:shd w:val="clear" w:color="000000" w:fill="F2F2F2"/>
            <w:vAlign w:val="center"/>
            <w:hideMark/>
          </w:tcPr>
          <w:p w:rsidR="00176BA0" w:rsidRPr="00176BA0" w:rsidRDefault="00176BA0" w:rsidP="00176BA0">
            <w:pPr>
              <w:spacing w:after="0" w:line="240" w:lineRule="auto"/>
              <w:jc w:val="right"/>
              <w:rPr>
                <w:rFonts w:ascii="Times New Roman" w:eastAsia="Times New Roman" w:hAnsi="Times New Roman" w:cs="Times New Roman"/>
                <w:color w:val="000000"/>
                <w:sz w:val="20"/>
                <w:szCs w:val="20"/>
              </w:rPr>
            </w:pPr>
            <w:r w:rsidRPr="00176BA0">
              <w:rPr>
                <w:rFonts w:ascii="Times New Roman" w:eastAsia="Times New Roman" w:hAnsi="Times New Roman" w:cs="Times New Roman"/>
                <w:color w:val="000000"/>
                <w:sz w:val="20"/>
                <w:szCs w:val="20"/>
              </w:rPr>
              <w:t>170 881</w:t>
            </w:r>
          </w:p>
        </w:tc>
      </w:tr>
      <w:tr w:rsidR="00176BA0" w:rsidRPr="00176BA0" w:rsidTr="00176BA0">
        <w:trPr>
          <w:trHeight w:val="300"/>
        </w:trPr>
        <w:tc>
          <w:tcPr>
            <w:tcW w:w="9087" w:type="dxa"/>
            <w:gridSpan w:val="8"/>
            <w:tcBorders>
              <w:top w:val="nil"/>
              <w:left w:val="nil"/>
              <w:bottom w:val="nil"/>
            </w:tcBorders>
            <w:shd w:val="clear" w:color="000000" w:fill="FFFFFF"/>
            <w:noWrap/>
            <w:vAlign w:val="center"/>
            <w:hideMark/>
          </w:tcPr>
          <w:p w:rsidR="00176BA0" w:rsidRPr="00176BA0" w:rsidRDefault="00176BA0" w:rsidP="00176BA0">
            <w:pPr>
              <w:spacing w:after="0" w:line="240" w:lineRule="auto"/>
              <w:rPr>
                <w:rFonts w:ascii="Calibri" w:eastAsia="Times New Roman" w:hAnsi="Calibri" w:cs="Calibri"/>
                <w:color w:val="000000"/>
              </w:rPr>
            </w:pPr>
            <w:r w:rsidRPr="00176BA0">
              <w:rPr>
                <w:rFonts w:ascii="Times New Roman" w:eastAsia="Times New Roman" w:hAnsi="Times New Roman" w:cs="Times New Roman"/>
                <w:color w:val="000000"/>
                <w:sz w:val="20"/>
                <w:szCs w:val="20"/>
              </w:rPr>
              <w:t>* v domácej spotrebe slnečnice sú započítané aj počiatočné zásoby na začiatku roka 2007 vo výške 27 294 t</w:t>
            </w:r>
          </w:p>
        </w:tc>
      </w:tr>
    </w:tbl>
    <w:p w:rsidR="00176BA0" w:rsidRPr="00176BA0" w:rsidRDefault="00176BA0" w:rsidP="00264729">
      <w:pPr>
        <w:spacing w:after="0" w:line="240" w:lineRule="auto"/>
        <w:jc w:val="right"/>
        <w:rPr>
          <w:rFonts w:ascii="Times New Roman" w:hAnsi="Times New Roman" w:cs="Times New Roman"/>
          <w:sz w:val="20"/>
          <w:szCs w:val="20"/>
        </w:rPr>
      </w:pPr>
      <w:r w:rsidRPr="00176BA0">
        <w:rPr>
          <w:rFonts w:ascii="Times New Roman" w:hAnsi="Times New Roman" w:cs="Times New Roman"/>
          <w:sz w:val="20"/>
          <w:szCs w:val="20"/>
        </w:rPr>
        <w:t>Zdroj: VÚEPP, RADELA, colná štatistika, prepočty MPRV SR</w:t>
      </w:r>
    </w:p>
    <w:p w:rsidR="00EF0933" w:rsidRDefault="00EF0933" w:rsidP="0034029F">
      <w:pPr>
        <w:spacing w:after="0" w:line="240" w:lineRule="auto"/>
        <w:jc w:val="both"/>
        <w:rPr>
          <w:rFonts w:ascii="Times New Roman" w:hAnsi="Times New Roman" w:cs="Times New Roman"/>
          <w:sz w:val="24"/>
          <w:szCs w:val="24"/>
        </w:rPr>
      </w:pPr>
    </w:p>
    <w:p w:rsidR="0034029F" w:rsidRPr="00C234A1" w:rsidRDefault="0034029F" w:rsidP="0034029F">
      <w:pPr>
        <w:spacing w:after="0" w:line="240" w:lineRule="auto"/>
        <w:jc w:val="both"/>
        <w:rPr>
          <w:rFonts w:ascii="Times New Roman" w:hAnsi="Times New Roman" w:cs="Times New Roman"/>
          <w:sz w:val="24"/>
          <w:szCs w:val="24"/>
        </w:rPr>
      </w:pPr>
      <w:r w:rsidRPr="00C234A1">
        <w:rPr>
          <w:rFonts w:ascii="Times New Roman" w:hAnsi="Times New Roman" w:cs="Times New Roman"/>
          <w:sz w:val="24"/>
          <w:szCs w:val="24"/>
        </w:rPr>
        <w:t xml:space="preserve">Vplyvom negatívneho vývoja spomínaných parametrov došlo k poklesu finálnej domácej </w:t>
      </w:r>
      <w:r w:rsidR="00EF0933">
        <w:rPr>
          <w:rFonts w:ascii="Times New Roman" w:hAnsi="Times New Roman" w:cs="Times New Roman"/>
          <w:sz w:val="24"/>
          <w:szCs w:val="24"/>
        </w:rPr>
        <w:t>výroby</w:t>
      </w:r>
      <w:r w:rsidRPr="00C234A1">
        <w:rPr>
          <w:rFonts w:ascii="Times New Roman" w:hAnsi="Times New Roman" w:cs="Times New Roman"/>
          <w:sz w:val="24"/>
          <w:szCs w:val="24"/>
        </w:rPr>
        <w:t xml:space="preserve"> rastlinných jedlých tukov a olejov, v porovnaní s referenčným rokom o 61,41 %. Súčasná domáca produkcia rastlinných jedlých tukov a olejov je takto na úrovni 62 589 t. </w:t>
      </w:r>
      <w:r w:rsidR="00EF0933">
        <w:rPr>
          <w:rFonts w:ascii="Times New Roman" w:hAnsi="Times New Roman" w:cs="Times New Roman"/>
          <w:sz w:val="24"/>
          <w:szCs w:val="24"/>
        </w:rPr>
        <w:lastRenderedPageBreak/>
        <w:t>Zároveň</w:t>
      </w:r>
      <w:r w:rsidRPr="00C234A1">
        <w:rPr>
          <w:rFonts w:ascii="Times New Roman" w:hAnsi="Times New Roman" w:cs="Times New Roman"/>
          <w:sz w:val="24"/>
          <w:szCs w:val="24"/>
        </w:rPr>
        <w:t xml:space="preserve"> spotrebiteľské preferencie, teda spotreba rastlinných jedlých tukov a olejov na obyvateľa za rok je na úrovni 17,4 kg, čo znamená agregátnu spotrebu obyvateľstva SR za rok v objeme cca 93 960 t. Z hľadiska spotrebiteľských preferencií teda dosahujeme produkčnú výkonnosť v tejto komodite na úrovni 66 %. Ak však berieme do úvahy aj potreby celého hospodárstva a fakt, že čistý dovoz rastlinných jedlých tukov a olejov je v súčasnosti na úrovni 155 110 t, pričom tento sa bezo </w:t>
      </w:r>
      <w:r w:rsidR="00A73D60">
        <w:rPr>
          <w:rFonts w:ascii="Times New Roman" w:hAnsi="Times New Roman" w:cs="Times New Roman"/>
          <w:sz w:val="24"/>
          <w:szCs w:val="24"/>
        </w:rPr>
        <w:t>zvyšku</w:t>
      </w:r>
      <w:r w:rsidRPr="00C234A1">
        <w:rPr>
          <w:rFonts w:ascii="Times New Roman" w:hAnsi="Times New Roman" w:cs="Times New Roman"/>
          <w:sz w:val="24"/>
          <w:szCs w:val="24"/>
        </w:rPr>
        <w:t xml:space="preserve"> použije, produkčná výkonnosť Slovenska v tejto komodite dosahuje len 28,75 %.</w:t>
      </w:r>
    </w:p>
    <w:p w:rsidR="0034029F" w:rsidRDefault="0034029F" w:rsidP="0034029F">
      <w:pPr>
        <w:spacing w:after="0" w:line="240" w:lineRule="auto"/>
        <w:jc w:val="both"/>
        <w:rPr>
          <w:rFonts w:ascii="Times New Roman" w:hAnsi="Times New Roman" w:cs="Times New Roman"/>
          <w:sz w:val="24"/>
          <w:szCs w:val="24"/>
        </w:rPr>
      </w:pPr>
    </w:p>
    <w:p w:rsidR="0034029F" w:rsidRDefault="0034029F" w:rsidP="00340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hľadiska prvovýroby, teda produkcie repky a slnečnice, došlo k pozitívnemu vývoju tak kvantitatívnych ako aj kvalitatívnych parametrov produkcie, t.j. rastu zberových plôch a intenzifikácii produkcie. </w:t>
      </w:r>
    </w:p>
    <w:p w:rsidR="0034029F" w:rsidRDefault="0034029F" w:rsidP="0034029F">
      <w:pPr>
        <w:spacing w:after="0" w:line="240" w:lineRule="auto"/>
        <w:jc w:val="both"/>
        <w:rPr>
          <w:rFonts w:ascii="Times New Roman" w:hAnsi="Times New Roman" w:cs="Times New Roman"/>
          <w:sz w:val="24"/>
          <w:szCs w:val="24"/>
        </w:rPr>
      </w:pPr>
    </w:p>
    <w:p w:rsidR="0034029F" w:rsidRDefault="0034029F" w:rsidP="00340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repky došlo, v porovnaní s referenčným obdobím, k rastu zberových plôch o 16 % a rastu hektárovej úrodnosti o 12 %. Pozitívny vývoj týchto ukazovateľov vyústil k </w:t>
      </w:r>
      <w:r w:rsidR="00EF0933">
        <w:rPr>
          <w:rFonts w:ascii="Times New Roman" w:hAnsi="Times New Roman" w:cs="Times New Roman"/>
          <w:sz w:val="24"/>
          <w:szCs w:val="24"/>
        </w:rPr>
        <w:t>zvýšeniu</w:t>
      </w:r>
      <w:r>
        <w:rPr>
          <w:rFonts w:ascii="Times New Roman" w:hAnsi="Times New Roman" w:cs="Times New Roman"/>
          <w:sz w:val="24"/>
          <w:szCs w:val="24"/>
        </w:rPr>
        <w:t xml:space="preserve"> domácej produkcie, oproti referenčnému obdobiu, o 29 %.  </w:t>
      </w:r>
    </w:p>
    <w:p w:rsidR="0034029F" w:rsidRDefault="0034029F" w:rsidP="0034029F">
      <w:pPr>
        <w:spacing w:after="0" w:line="240" w:lineRule="auto"/>
        <w:jc w:val="both"/>
        <w:rPr>
          <w:rFonts w:ascii="Times New Roman" w:hAnsi="Times New Roman" w:cs="Times New Roman"/>
          <w:sz w:val="24"/>
          <w:szCs w:val="24"/>
        </w:rPr>
      </w:pPr>
    </w:p>
    <w:p w:rsidR="0034029F" w:rsidRDefault="0034029F" w:rsidP="00340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slnečnice došlo v porovnaní s referenčným obdobím, k rastu zberových plôch o 42 % a rastu hektárovej úrodnosti o 21,4 %. Pozitívny vývoj týchto ukazovateľov vyústil k </w:t>
      </w:r>
      <w:r w:rsidR="00EF0933">
        <w:rPr>
          <w:rFonts w:ascii="Times New Roman" w:hAnsi="Times New Roman" w:cs="Times New Roman"/>
          <w:sz w:val="24"/>
          <w:szCs w:val="24"/>
        </w:rPr>
        <w:t>zvýšeniu</w:t>
      </w:r>
      <w:r>
        <w:rPr>
          <w:rFonts w:ascii="Times New Roman" w:hAnsi="Times New Roman" w:cs="Times New Roman"/>
          <w:sz w:val="24"/>
          <w:szCs w:val="24"/>
        </w:rPr>
        <w:t xml:space="preserve"> domácej produkcie, oproti referenčnému obdobiu, o 72 %.  </w:t>
      </w:r>
    </w:p>
    <w:p w:rsidR="0034029F" w:rsidRDefault="0034029F" w:rsidP="0034029F">
      <w:pPr>
        <w:spacing w:after="0" w:line="240" w:lineRule="auto"/>
        <w:jc w:val="both"/>
        <w:rPr>
          <w:rFonts w:ascii="Times New Roman" w:hAnsi="Times New Roman" w:cs="Times New Roman"/>
          <w:sz w:val="24"/>
          <w:szCs w:val="24"/>
        </w:rPr>
      </w:pPr>
    </w:p>
    <w:p w:rsidR="0034029F" w:rsidRDefault="0034029F" w:rsidP="00340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Celková domáca produkcia repky a slnečnice vzrástla na úroveň 533 145 t pri celkovej výmere zberových plôch 232 370 ha. Objem čistého vývozu sa zdvojnáso</w:t>
      </w:r>
      <w:r w:rsidR="00EF0933">
        <w:rPr>
          <w:rFonts w:ascii="Times New Roman" w:hAnsi="Times New Roman" w:cs="Times New Roman"/>
          <w:sz w:val="24"/>
          <w:szCs w:val="24"/>
        </w:rPr>
        <w:t>bil a dosiahol celkovú úroveň 26</w:t>
      </w:r>
      <w:r>
        <w:rPr>
          <w:rFonts w:ascii="Times New Roman" w:hAnsi="Times New Roman" w:cs="Times New Roman"/>
          <w:sz w:val="24"/>
          <w:szCs w:val="24"/>
        </w:rPr>
        <w:t>8 145 t. Vnímajúc celkovú výšku domácej spotreby repky a slnečnice na úrovni 2</w:t>
      </w:r>
      <w:r w:rsidR="00EF0933">
        <w:rPr>
          <w:rFonts w:ascii="Times New Roman" w:hAnsi="Times New Roman" w:cs="Times New Roman"/>
          <w:sz w:val="24"/>
          <w:szCs w:val="24"/>
        </w:rPr>
        <w:t>6</w:t>
      </w:r>
      <w:r>
        <w:rPr>
          <w:rFonts w:ascii="Times New Roman" w:hAnsi="Times New Roman" w:cs="Times New Roman"/>
          <w:sz w:val="24"/>
          <w:szCs w:val="24"/>
        </w:rPr>
        <w:t>5 000 t, je možné konštatovať, že aj po zohľadnení objemu čistého vývozu dosahujeme sebestačnosť z hľadiska prvovýroby na úrovni 100 %.</w:t>
      </w:r>
    </w:p>
    <w:p w:rsidR="00C132FD" w:rsidRDefault="00C132FD" w:rsidP="00174974">
      <w:pPr>
        <w:spacing w:after="0" w:line="240" w:lineRule="auto"/>
        <w:jc w:val="both"/>
        <w:rPr>
          <w:rFonts w:ascii="Times New Roman" w:hAnsi="Times New Roman" w:cs="Times New Roman"/>
          <w:sz w:val="24"/>
          <w:szCs w:val="24"/>
        </w:rPr>
      </w:pPr>
    </w:p>
    <w:p w:rsidR="009A55DA" w:rsidRDefault="00A059D1" w:rsidP="00174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Dosah pozitívneho vývoja parametrov produkcie prvovýroby však limituje štruktúra spracovania domácej produkcie, ktorá je prevažne orientovaná na produkciu </w:t>
      </w:r>
      <w:proofErr w:type="spellStart"/>
      <w:r>
        <w:rPr>
          <w:rFonts w:ascii="Times New Roman" w:hAnsi="Times New Roman" w:cs="Times New Roman"/>
          <w:sz w:val="24"/>
          <w:szCs w:val="24"/>
        </w:rPr>
        <w:t>bionafty</w:t>
      </w:r>
      <w:proofErr w:type="spellEnd"/>
      <w:r>
        <w:rPr>
          <w:rFonts w:ascii="Times New Roman" w:hAnsi="Times New Roman" w:cs="Times New Roman"/>
          <w:sz w:val="24"/>
          <w:szCs w:val="24"/>
        </w:rPr>
        <w:t>. Spotreba repky na MERO takto dosahuje až 85,71 %. Domáca produkcia slnečnice sa takmer bez</w:t>
      </w:r>
      <w:r w:rsidR="004D50F9">
        <w:rPr>
          <w:rFonts w:ascii="Times New Roman" w:hAnsi="Times New Roman" w:cs="Times New Roman"/>
          <w:sz w:val="24"/>
          <w:szCs w:val="24"/>
        </w:rPr>
        <w:t xml:space="preserve">o </w:t>
      </w:r>
      <w:r w:rsidR="00EF0933">
        <w:rPr>
          <w:rFonts w:ascii="Times New Roman" w:hAnsi="Times New Roman" w:cs="Times New Roman"/>
          <w:sz w:val="24"/>
          <w:szCs w:val="24"/>
        </w:rPr>
        <w:t>zvyšku</w:t>
      </w:r>
      <w:r w:rsidR="004D50F9">
        <w:rPr>
          <w:rFonts w:ascii="Times New Roman" w:hAnsi="Times New Roman" w:cs="Times New Roman"/>
          <w:sz w:val="24"/>
          <w:szCs w:val="24"/>
        </w:rPr>
        <w:t xml:space="preserve"> vyvezie do zahraničia, pričom na Slovensku sa v spracovateľskom priemysle spotrebuje len 25 000 t. </w:t>
      </w:r>
    </w:p>
    <w:p w:rsidR="009A55DA" w:rsidRDefault="009A55DA" w:rsidP="00174974">
      <w:pPr>
        <w:spacing w:after="0" w:line="240" w:lineRule="auto"/>
        <w:jc w:val="both"/>
        <w:rPr>
          <w:rFonts w:ascii="Times New Roman" w:hAnsi="Times New Roman" w:cs="Times New Roman"/>
          <w:sz w:val="24"/>
          <w:szCs w:val="24"/>
        </w:rPr>
      </w:pPr>
    </w:p>
    <w:p w:rsidR="00686A79" w:rsidRDefault="004D50F9" w:rsidP="00174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Štruktúra spracovania domácej produkcie repky a slnečnice vedie každoročne k situácii, že spracovateľský priemysel </w:t>
      </w:r>
      <w:r w:rsidR="00EF0933">
        <w:rPr>
          <w:rFonts w:ascii="Times New Roman" w:hAnsi="Times New Roman" w:cs="Times New Roman"/>
          <w:sz w:val="24"/>
          <w:szCs w:val="24"/>
        </w:rPr>
        <w:t>vyrábajúci</w:t>
      </w:r>
      <w:r>
        <w:rPr>
          <w:rFonts w:ascii="Times New Roman" w:hAnsi="Times New Roman" w:cs="Times New Roman"/>
          <w:sz w:val="24"/>
          <w:szCs w:val="24"/>
        </w:rPr>
        <w:t xml:space="preserve"> rastlinné jedlé tuky a oleje musí čiastočne vykryť svoju spotrebu dodatočným dovozom čiastočne spracovanej repky a</w:t>
      </w:r>
      <w:r w:rsidR="005F1914">
        <w:rPr>
          <w:rFonts w:ascii="Times New Roman" w:hAnsi="Times New Roman" w:cs="Times New Roman"/>
          <w:sz w:val="24"/>
          <w:szCs w:val="24"/>
        </w:rPr>
        <w:t xml:space="preserve"> slnečnice. </w:t>
      </w:r>
      <w:r w:rsidR="009A55DA">
        <w:rPr>
          <w:rFonts w:ascii="Times New Roman" w:hAnsi="Times New Roman" w:cs="Times New Roman"/>
          <w:sz w:val="24"/>
          <w:szCs w:val="24"/>
        </w:rPr>
        <w:t>Okrem toho produkcia rastlinných jedlých tukov a olejov klesá tak v absolútnych číslach ako aj v kvalitatívnych ukazovateľoch produkčnej výkonnosti. Oproti referenčnému roku 2002 sme sa stali z čistých exportérov rastlinných jedlých tukov a olejov, čistí importéri, pričom objem dovozu stúpol oproti referenčnému obdobiu 10-násobne.</w:t>
      </w:r>
    </w:p>
    <w:p w:rsidR="009A55DA" w:rsidRDefault="009A55DA" w:rsidP="00174974">
      <w:pPr>
        <w:spacing w:after="0" w:line="240" w:lineRule="auto"/>
        <w:jc w:val="both"/>
        <w:rPr>
          <w:rFonts w:ascii="Times New Roman" w:hAnsi="Times New Roman" w:cs="Times New Roman"/>
          <w:sz w:val="24"/>
          <w:szCs w:val="24"/>
        </w:rPr>
      </w:pPr>
    </w:p>
    <w:p w:rsidR="009A55DA" w:rsidRDefault="009A55DA" w:rsidP="009A55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dosiahnutie cielenej </w:t>
      </w:r>
      <w:r w:rsidR="00A32E77">
        <w:rPr>
          <w:rFonts w:ascii="Times New Roman" w:hAnsi="Times New Roman" w:cs="Times New Roman"/>
          <w:sz w:val="24"/>
          <w:szCs w:val="24"/>
        </w:rPr>
        <w:t>produkčnej výkonnosti</w:t>
      </w:r>
      <w:r>
        <w:rPr>
          <w:rFonts w:ascii="Times New Roman" w:hAnsi="Times New Roman" w:cs="Times New Roman"/>
          <w:sz w:val="24"/>
          <w:szCs w:val="24"/>
        </w:rPr>
        <w:t xml:space="preserve"> na úrovni 80 %, z hľadiska spotrebiteľských preferencií, na úrovni spracovania produkcie prvovýroby, je potrebné zvýšiť produkciu rastlinných jedlých tukov a olejov minimálne o </w:t>
      </w:r>
      <w:r w:rsidR="00EF0933">
        <w:rPr>
          <w:rFonts w:ascii="Times New Roman" w:hAnsi="Times New Roman" w:cs="Times New Roman"/>
          <w:sz w:val="24"/>
          <w:szCs w:val="24"/>
        </w:rPr>
        <w:t>31 371</w:t>
      </w:r>
      <w:r>
        <w:rPr>
          <w:rFonts w:ascii="Times New Roman" w:hAnsi="Times New Roman" w:cs="Times New Roman"/>
          <w:sz w:val="24"/>
          <w:szCs w:val="24"/>
        </w:rPr>
        <w:t xml:space="preserve"> t, a to za podmienky zachovania súčasnej úrovne spotreby na obyvateľa. </w:t>
      </w:r>
      <w:r w:rsidR="00131420">
        <w:rPr>
          <w:rFonts w:ascii="Times New Roman" w:hAnsi="Times New Roman" w:cs="Times New Roman"/>
          <w:sz w:val="24"/>
          <w:szCs w:val="24"/>
        </w:rPr>
        <w:t>Z hľadiska kapacít spracovateľského priemyslu na Slovensku, tieto sú v súčasnosti na úrovni cca 200 000 t</w:t>
      </w:r>
      <w:r w:rsidR="006869D4">
        <w:rPr>
          <w:rFonts w:ascii="Times New Roman" w:hAnsi="Times New Roman" w:cs="Times New Roman"/>
          <w:sz w:val="24"/>
          <w:szCs w:val="24"/>
        </w:rPr>
        <w:t xml:space="preserve"> ročne</w:t>
      </w:r>
      <w:r w:rsidR="00131420">
        <w:rPr>
          <w:rFonts w:ascii="Times New Roman" w:hAnsi="Times New Roman" w:cs="Times New Roman"/>
          <w:sz w:val="24"/>
          <w:szCs w:val="24"/>
        </w:rPr>
        <w:t xml:space="preserve">, </w:t>
      </w:r>
      <w:r w:rsidR="00EF0933">
        <w:rPr>
          <w:rFonts w:ascii="Times New Roman" w:hAnsi="Times New Roman" w:cs="Times New Roman"/>
          <w:sz w:val="24"/>
          <w:szCs w:val="24"/>
        </w:rPr>
        <w:t>nám</w:t>
      </w:r>
      <w:r w:rsidR="00131420">
        <w:rPr>
          <w:rFonts w:ascii="Times New Roman" w:hAnsi="Times New Roman" w:cs="Times New Roman"/>
          <w:sz w:val="24"/>
          <w:szCs w:val="24"/>
        </w:rPr>
        <w:t xml:space="preserve"> z hľadiska zabezpečenia cielenej </w:t>
      </w:r>
      <w:r w:rsidR="00A32E77">
        <w:rPr>
          <w:rFonts w:ascii="Times New Roman" w:hAnsi="Times New Roman" w:cs="Times New Roman"/>
          <w:sz w:val="24"/>
          <w:szCs w:val="24"/>
        </w:rPr>
        <w:t>produkčnej výkonnosti</w:t>
      </w:r>
      <w:r w:rsidR="00131420">
        <w:rPr>
          <w:rFonts w:ascii="Times New Roman" w:hAnsi="Times New Roman" w:cs="Times New Roman"/>
          <w:sz w:val="24"/>
          <w:szCs w:val="24"/>
        </w:rPr>
        <w:t xml:space="preserve"> plne postačujú. Spracovateľský priemysel však naráža na problémy, ktoré zo sebou priniesla silná globalizácia, t.j. prebytok lisovacích kapacít v Európe, nízka efektivita </w:t>
      </w:r>
      <w:r w:rsidR="001D2131">
        <w:rPr>
          <w:rFonts w:ascii="Times New Roman" w:hAnsi="Times New Roman" w:cs="Times New Roman"/>
          <w:sz w:val="24"/>
          <w:szCs w:val="24"/>
        </w:rPr>
        <w:t xml:space="preserve">a vysoká energetická náročnosť v porovnaní s európskou konkurenciou. Spracovateľský priemysel takto, pri spracúvaní domácej produkcie </w:t>
      </w:r>
      <w:r w:rsidR="001D2131">
        <w:rPr>
          <w:rFonts w:ascii="Times New Roman" w:hAnsi="Times New Roman" w:cs="Times New Roman"/>
          <w:sz w:val="24"/>
          <w:szCs w:val="24"/>
        </w:rPr>
        <w:lastRenderedPageBreak/>
        <w:t xml:space="preserve">prvovýroby, dosahuje </w:t>
      </w:r>
      <w:r w:rsidR="007B7BF4">
        <w:rPr>
          <w:rFonts w:ascii="Times New Roman" w:hAnsi="Times New Roman" w:cs="Times New Roman"/>
          <w:sz w:val="24"/>
          <w:szCs w:val="24"/>
        </w:rPr>
        <w:t xml:space="preserve">výrazné </w:t>
      </w:r>
      <w:r w:rsidR="001D2131">
        <w:rPr>
          <w:rFonts w:ascii="Times New Roman" w:hAnsi="Times New Roman" w:cs="Times New Roman"/>
          <w:sz w:val="24"/>
          <w:szCs w:val="24"/>
        </w:rPr>
        <w:t xml:space="preserve">straty. Zabezpečenie konkurencieschopnosti by si vyžadovalo dodatočné investície do zvýšenia produkčnej výkonnosti vo výške cca </w:t>
      </w:r>
      <w:r w:rsidR="00C234A1">
        <w:rPr>
          <w:rFonts w:ascii="Times New Roman" w:hAnsi="Times New Roman" w:cs="Times New Roman"/>
          <w:sz w:val="24"/>
          <w:szCs w:val="24"/>
        </w:rPr>
        <w:t xml:space="preserve">2 000 </w:t>
      </w:r>
      <w:proofErr w:type="spellStart"/>
      <w:r w:rsidR="00C234A1">
        <w:rPr>
          <w:rFonts w:ascii="Times New Roman" w:hAnsi="Times New Roman" w:cs="Times New Roman"/>
          <w:sz w:val="24"/>
          <w:szCs w:val="24"/>
        </w:rPr>
        <w:t>000</w:t>
      </w:r>
      <w:proofErr w:type="spellEnd"/>
      <w:r w:rsidR="001D2131">
        <w:rPr>
          <w:rFonts w:ascii="Times New Roman" w:hAnsi="Times New Roman" w:cs="Times New Roman"/>
          <w:sz w:val="24"/>
          <w:szCs w:val="24"/>
        </w:rPr>
        <w:t xml:space="preserve"> EUR.</w:t>
      </w:r>
    </w:p>
    <w:p w:rsidR="00D50573" w:rsidRDefault="00D50573" w:rsidP="00174974">
      <w:pPr>
        <w:spacing w:after="0" w:line="240" w:lineRule="auto"/>
        <w:jc w:val="both"/>
        <w:rPr>
          <w:rFonts w:ascii="Times New Roman" w:hAnsi="Times New Roman" w:cs="Times New Roman"/>
          <w:sz w:val="24"/>
          <w:szCs w:val="24"/>
        </w:rPr>
      </w:pPr>
    </w:p>
    <w:p w:rsidR="00131420" w:rsidRDefault="00094719" w:rsidP="00094719">
      <w:pPr>
        <w:pBdr>
          <w:top w:val="single" w:sz="4" w:space="1" w:color="auto"/>
          <w:bottom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základe vykonanej analýzy celej potravinovej vertikály rastlinných jedlých tukov a olejov považujeme za potrebné </w:t>
      </w:r>
      <w:r w:rsidRPr="00094719">
        <w:rPr>
          <w:rFonts w:ascii="Times New Roman" w:eastAsia="Times New Roman" w:hAnsi="Times New Roman" w:cs="Times New Roman"/>
          <w:color w:val="000000"/>
          <w:sz w:val="24"/>
          <w:szCs w:val="24"/>
        </w:rPr>
        <w:t xml:space="preserve">zvýšiť </w:t>
      </w:r>
      <w:r w:rsidR="00EF0933">
        <w:rPr>
          <w:rFonts w:ascii="Times New Roman" w:hAnsi="Times New Roman" w:cs="Times New Roman"/>
          <w:sz w:val="24"/>
          <w:szCs w:val="24"/>
        </w:rPr>
        <w:t>výrobu</w:t>
      </w:r>
      <w:r>
        <w:rPr>
          <w:rFonts w:ascii="Times New Roman" w:hAnsi="Times New Roman" w:cs="Times New Roman"/>
          <w:sz w:val="24"/>
          <w:szCs w:val="24"/>
        </w:rPr>
        <w:t xml:space="preserve"> rastlinných jedlých tukov a olejov minimálne o </w:t>
      </w:r>
      <w:r w:rsidR="00EF0933">
        <w:rPr>
          <w:rFonts w:ascii="Times New Roman" w:hAnsi="Times New Roman" w:cs="Times New Roman"/>
          <w:sz w:val="24"/>
          <w:szCs w:val="24"/>
        </w:rPr>
        <w:t xml:space="preserve"> 31 371</w:t>
      </w:r>
      <w:r>
        <w:rPr>
          <w:rFonts w:ascii="Times New Roman" w:hAnsi="Times New Roman" w:cs="Times New Roman"/>
          <w:sz w:val="24"/>
          <w:szCs w:val="24"/>
        </w:rPr>
        <w:t xml:space="preserve"> t.</w:t>
      </w:r>
    </w:p>
    <w:p w:rsidR="00056EB0" w:rsidRPr="00174974" w:rsidRDefault="00056EB0" w:rsidP="00094719">
      <w:pPr>
        <w:spacing w:after="0" w:line="240" w:lineRule="auto"/>
        <w:rPr>
          <w:rFonts w:ascii="Times New Roman" w:hAnsi="Times New Roman" w:cs="Times New Roman"/>
          <w:sz w:val="24"/>
          <w:szCs w:val="24"/>
        </w:rPr>
      </w:pPr>
    </w:p>
    <w:p w:rsidR="00D518D1" w:rsidRDefault="00D518D1" w:rsidP="000D68DC">
      <w:pPr>
        <w:pStyle w:val="Nadpis3"/>
        <w:numPr>
          <w:ilvl w:val="2"/>
          <w:numId w:val="8"/>
        </w:numPr>
      </w:pPr>
      <w:bookmarkStart w:id="37" w:name="_Toc359550658"/>
      <w:r>
        <w:t>Zemiaky</w:t>
      </w:r>
      <w:bookmarkEnd w:id="37"/>
    </w:p>
    <w:p w:rsidR="00D518D1" w:rsidRDefault="00D518D1" w:rsidP="0077623C">
      <w:pPr>
        <w:spacing w:after="0" w:line="240" w:lineRule="auto"/>
        <w:rPr>
          <w:rFonts w:ascii="Times New Roman" w:hAnsi="Times New Roman" w:cs="Times New Roman"/>
          <w:b/>
          <w:sz w:val="24"/>
          <w:szCs w:val="24"/>
        </w:rPr>
      </w:pPr>
    </w:p>
    <w:p w:rsidR="003735CD" w:rsidRDefault="003735CD" w:rsidP="003735CD">
      <w:pPr>
        <w:spacing w:after="0" w:line="240" w:lineRule="auto"/>
        <w:jc w:val="both"/>
        <w:rPr>
          <w:rFonts w:ascii="Times New Roman" w:hAnsi="Times New Roman" w:cs="Times New Roman"/>
          <w:sz w:val="24"/>
          <w:szCs w:val="24"/>
        </w:rPr>
      </w:pPr>
      <w:r w:rsidRPr="007C5739">
        <w:rPr>
          <w:rFonts w:ascii="Times New Roman" w:hAnsi="Times New Roman" w:cs="Times New Roman"/>
          <w:sz w:val="24"/>
          <w:szCs w:val="24"/>
        </w:rPr>
        <w:t>Domáci dop</w:t>
      </w:r>
      <w:r>
        <w:rPr>
          <w:rFonts w:ascii="Times New Roman" w:hAnsi="Times New Roman" w:cs="Times New Roman"/>
          <w:sz w:val="24"/>
          <w:szCs w:val="24"/>
        </w:rPr>
        <w:t xml:space="preserve">yt po zemiakoch meriame pomocou štatisticky nameranej spotreby v tis. t za rok, čo predstavuje objem 287,7 tis. t. </w:t>
      </w:r>
      <w:r w:rsidR="00A32E77">
        <w:rPr>
          <w:rFonts w:ascii="Times New Roman" w:hAnsi="Times New Roman" w:cs="Times New Roman"/>
          <w:sz w:val="24"/>
          <w:szCs w:val="24"/>
        </w:rPr>
        <w:t>D</w:t>
      </w:r>
      <w:r>
        <w:rPr>
          <w:rFonts w:ascii="Times New Roman" w:hAnsi="Times New Roman" w:cs="Times New Roman"/>
          <w:sz w:val="24"/>
          <w:szCs w:val="24"/>
        </w:rPr>
        <w:t xml:space="preserve">omáca produkcia predstavuje objem 217,3 tis. t. Znamená to, že produkcia v SR dosahuje 75,53 % domáceho dopytu, čo znamená, že </w:t>
      </w:r>
      <w:r w:rsidR="00A32E77">
        <w:rPr>
          <w:rFonts w:ascii="Times New Roman" w:hAnsi="Times New Roman" w:cs="Times New Roman"/>
          <w:sz w:val="24"/>
          <w:szCs w:val="24"/>
        </w:rPr>
        <w:t>produkčná výkonnosť</w:t>
      </w:r>
      <w:r>
        <w:rPr>
          <w:rFonts w:ascii="Times New Roman" w:hAnsi="Times New Roman" w:cs="Times New Roman"/>
          <w:sz w:val="24"/>
          <w:szCs w:val="24"/>
        </w:rPr>
        <w:t xml:space="preserve"> v tejto komodite, z hľadiska prvovýroby, nedosahuje stanovený cieľ. </w:t>
      </w:r>
    </w:p>
    <w:p w:rsidR="00C234A1" w:rsidRDefault="00C234A1" w:rsidP="00C234A1">
      <w:pPr>
        <w:spacing w:after="0" w:line="240" w:lineRule="auto"/>
        <w:jc w:val="both"/>
        <w:rPr>
          <w:rFonts w:ascii="Times New Roman" w:hAnsi="Times New Roman" w:cs="Times New Roman"/>
          <w:sz w:val="24"/>
          <w:szCs w:val="24"/>
        </w:rPr>
      </w:pPr>
    </w:p>
    <w:p w:rsidR="00C234A1" w:rsidRDefault="00C234A1" w:rsidP="00C23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Nedostatok domácej produkcie oproti domácej spotrebe sa kryje dovozom v objeme 74 tis. t. V</w:t>
      </w:r>
      <w:r w:rsidRPr="00C1719A">
        <w:rPr>
          <w:rFonts w:ascii="Times New Roman" w:hAnsi="Times New Roman" w:cs="Times New Roman"/>
          <w:sz w:val="24"/>
          <w:szCs w:val="24"/>
        </w:rPr>
        <w:t xml:space="preserve"> roku 2011 </w:t>
      </w:r>
      <w:r>
        <w:rPr>
          <w:rFonts w:ascii="Times New Roman" w:hAnsi="Times New Roman" w:cs="Times New Roman"/>
          <w:sz w:val="24"/>
          <w:szCs w:val="24"/>
        </w:rPr>
        <w:t xml:space="preserve">sa </w:t>
      </w:r>
      <w:r w:rsidRPr="00C1719A">
        <w:rPr>
          <w:rFonts w:ascii="Times New Roman" w:hAnsi="Times New Roman" w:cs="Times New Roman"/>
          <w:sz w:val="24"/>
          <w:szCs w:val="24"/>
        </w:rPr>
        <w:t>na Slovensko doviezlo</w:t>
      </w:r>
      <w:r>
        <w:rPr>
          <w:rFonts w:ascii="Times New Roman" w:hAnsi="Times New Roman" w:cs="Times New Roman"/>
          <w:sz w:val="24"/>
          <w:szCs w:val="24"/>
        </w:rPr>
        <w:t xml:space="preserve"> 69,9 tis</w:t>
      </w:r>
      <w:r w:rsidRPr="00C1719A">
        <w:rPr>
          <w:rFonts w:ascii="Times New Roman" w:hAnsi="Times New Roman" w:cs="Times New Roman"/>
          <w:sz w:val="24"/>
          <w:szCs w:val="24"/>
        </w:rPr>
        <w:t xml:space="preserve"> t </w:t>
      </w:r>
      <w:r>
        <w:rPr>
          <w:rFonts w:ascii="Times New Roman" w:hAnsi="Times New Roman" w:cs="Times New Roman"/>
          <w:sz w:val="24"/>
          <w:szCs w:val="24"/>
        </w:rPr>
        <w:t xml:space="preserve">zemiakov na krytie potravinárskej spotreby a 4,2 tis. t sadiva. </w:t>
      </w:r>
      <w:r w:rsidRPr="00C1719A">
        <w:rPr>
          <w:rFonts w:ascii="Times New Roman" w:hAnsi="Times New Roman" w:cs="Times New Roman"/>
          <w:sz w:val="24"/>
          <w:szCs w:val="24"/>
        </w:rPr>
        <w:t xml:space="preserve">Súčasne sa vyviezlo </w:t>
      </w:r>
      <w:r>
        <w:rPr>
          <w:rFonts w:ascii="Times New Roman" w:hAnsi="Times New Roman" w:cs="Times New Roman"/>
          <w:sz w:val="24"/>
          <w:szCs w:val="24"/>
        </w:rPr>
        <w:t xml:space="preserve">3,7tis. </w:t>
      </w:r>
      <w:proofErr w:type="spellStart"/>
      <w:r>
        <w:rPr>
          <w:rFonts w:ascii="Times New Roman" w:hAnsi="Times New Roman" w:cs="Times New Roman"/>
          <w:sz w:val="24"/>
          <w:szCs w:val="24"/>
        </w:rPr>
        <w:t>tzemiakov</w:t>
      </w:r>
      <w:proofErr w:type="spellEnd"/>
      <w:r>
        <w:rPr>
          <w:rFonts w:ascii="Times New Roman" w:hAnsi="Times New Roman" w:cs="Times New Roman"/>
          <w:sz w:val="24"/>
          <w:szCs w:val="24"/>
        </w:rPr>
        <w:t xml:space="preserve">. Z údajov zahraničného obchodu a po zohľadnení čistého vývozu je zrejmé, že súčasný objem dovozu je možné vykryť len zvýšením produkcie zemiakov, a to kombináciou optimálneho zvýšenia kvalitatívnych a kvantitatívnych parametrov produkcie. </w:t>
      </w:r>
    </w:p>
    <w:p w:rsidR="00C234A1" w:rsidRDefault="00C234A1" w:rsidP="0077623C">
      <w:pPr>
        <w:spacing w:after="0" w:line="240" w:lineRule="auto"/>
        <w:rPr>
          <w:rFonts w:ascii="Times New Roman" w:hAnsi="Times New Roman" w:cs="Times New Roman"/>
          <w:b/>
          <w:sz w:val="24"/>
          <w:szCs w:val="24"/>
        </w:rPr>
      </w:pPr>
    </w:p>
    <w:p w:rsidR="0077623C" w:rsidRPr="0077623C" w:rsidRDefault="00C970F8" w:rsidP="007762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č.35</w:t>
      </w:r>
      <w:r w:rsidR="0077623C" w:rsidRPr="00A855A4">
        <w:rPr>
          <w:rFonts w:ascii="Times New Roman" w:hAnsi="Times New Roman" w:cs="Times New Roman"/>
          <w:sz w:val="20"/>
          <w:szCs w:val="20"/>
        </w:rPr>
        <w:t xml:space="preserve">: </w:t>
      </w:r>
      <w:r w:rsidR="0077623C" w:rsidRPr="008B1083">
        <w:rPr>
          <w:rFonts w:ascii="Times New Roman" w:hAnsi="Times New Roman" w:cs="Times New Roman"/>
          <w:sz w:val="20"/>
          <w:szCs w:val="20"/>
        </w:rPr>
        <w:t xml:space="preserve">Bilancia </w:t>
      </w:r>
      <w:r w:rsidR="0077623C">
        <w:rPr>
          <w:rFonts w:ascii="Times New Roman" w:hAnsi="Times New Roman" w:cs="Times New Roman"/>
          <w:sz w:val="20"/>
          <w:szCs w:val="20"/>
        </w:rPr>
        <w:t xml:space="preserve">zemiakov v hospodárskych rokoch </w:t>
      </w:r>
    </w:p>
    <w:tbl>
      <w:tblPr>
        <w:tblW w:w="9036" w:type="dxa"/>
        <w:tblInd w:w="55" w:type="dxa"/>
        <w:tblCellMar>
          <w:left w:w="70" w:type="dxa"/>
          <w:right w:w="70" w:type="dxa"/>
        </w:tblCellMar>
        <w:tblLook w:val="04A0" w:firstRow="1" w:lastRow="0" w:firstColumn="1" w:lastColumn="0" w:noHBand="0" w:noVBand="1"/>
      </w:tblPr>
      <w:tblGrid>
        <w:gridCol w:w="2200"/>
        <w:gridCol w:w="1076"/>
        <w:gridCol w:w="960"/>
        <w:gridCol w:w="960"/>
        <w:gridCol w:w="960"/>
        <w:gridCol w:w="960"/>
        <w:gridCol w:w="960"/>
        <w:gridCol w:w="960"/>
      </w:tblGrid>
      <w:tr w:rsidR="0077623C" w:rsidRPr="0077623C" w:rsidTr="0077623C">
        <w:trPr>
          <w:trHeight w:val="300"/>
        </w:trPr>
        <w:tc>
          <w:tcPr>
            <w:tcW w:w="2200" w:type="dxa"/>
            <w:tcBorders>
              <w:top w:val="nil"/>
              <w:left w:val="nil"/>
              <w:bottom w:val="single" w:sz="4" w:space="0" w:color="auto"/>
              <w:right w:val="nil"/>
            </w:tcBorders>
            <w:shd w:val="clear" w:color="000000" w:fill="D9D9D9"/>
            <w:noWrap/>
            <w:vAlign w:val="bottom"/>
            <w:hideMark/>
          </w:tcPr>
          <w:p w:rsidR="0077623C" w:rsidRPr="0077623C" w:rsidRDefault="0077623C" w:rsidP="0077623C">
            <w:pPr>
              <w:spacing w:after="0" w:line="240" w:lineRule="auto"/>
              <w:rPr>
                <w:rFonts w:ascii="Times New Roman" w:eastAsia="Times New Roman" w:hAnsi="Times New Roman" w:cs="Times New Roman"/>
                <w:b/>
                <w:bCs/>
                <w:color w:val="000000"/>
                <w:sz w:val="20"/>
                <w:szCs w:val="20"/>
              </w:rPr>
            </w:pPr>
            <w:r w:rsidRPr="0077623C">
              <w:rPr>
                <w:rFonts w:ascii="Times New Roman" w:eastAsia="Times New Roman" w:hAnsi="Times New Roman" w:cs="Times New Roman"/>
                <w:b/>
                <w:bCs/>
                <w:color w:val="000000"/>
                <w:sz w:val="20"/>
                <w:szCs w:val="20"/>
              </w:rPr>
              <w:t>Ukazovateľ</w:t>
            </w:r>
          </w:p>
        </w:tc>
        <w:tc>
          <w:tcPr>
            <w:tcW w:w="1076" w:type="dxa"/>
            <w:tcBorders>
              <w:top w:val="nil"/>
              <w:left w:val="nil"/>
              <w:bottom w:val="single" w:sz="4" w:space="0" w:color="auto"/>
              <w:right w:val="single" w:sz="4" w:space="0" w:color="auto"/>
            </w:tcBorders>
            <w:shd w:val="clear" w:color="000000" w:fill="D9D9D9"/>
            <w:noWrap/>
            <w:vAlign w:val="bottom"/>
            <w:hideMark/>
          </w:tcPr>
          <w:p w:rsidR="0077623C" w:rsidRPr="0077623C" w:rsidRDefault="0077623C" w:rsidP="0077623C">
            <w:pPr>
              <w:spacing w:after="0" w:line="240" w:lineRule="auto"/>
              <w:rPr>
                <w:rFonts w:ascii="Times New Roman" w:eastAsia="Times New Roman" w:hAnsi="Times New Roman" w:cs="Times New Roman"/>
                <w:b/>
                <w:bCs/>
                <w:color w:val="000000"/>
                <w:sz w:val="20"/>
                <w:szCs w:val="20"/>
              </w:rPr>
            </w:pPr>
            <w:r w:rsidRPr="0077623C">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000000" w:fill="D9D9D9"/>
            <w:noWrap/>
            <w:vAlign w:val="bottom"/>
            <w:hideMark/>
          </w:tcPr>
          <w:p w:rsidR="0077623C" w:rsidRPr="0077623C" w:rsidRDefault="0077623C" w:rsidP="0077623C">
            <w:pPr>
              <w:spacing w:after="0" w:line="240" w:lineRule="auto"/>
              <w:rPr>
                <w:rFonts w:ascii="Times New Roman" w:eastAsia="Times New Roman" w:hAnsi="Times New Roman" w:cs="Times New Roman"/>
                <w:b/>
                <w:bCs/>
                <w:color w:val="000000"/>
                <w:sz w:val="20"/>
                <w:szCs w:val="20"/>
              </w:rPr>
            </w:pPr>
            <w:r w:rsidRPr="0077623C">
              <w:rPr>
                <w:rFonts w:ascii="Times New Roman" w:eastAsia="Times New Roman" w:hAnsi="Times New Roman" w:cs="Times New Roman"/>
                <w:b/>
                <w:bCs/>
                <w:color w:val="000000"/>
                <w:sz w:val="20"/>
                <w:szCs w:val="20"/>
              </w:rPr>
              <w:t>2002/03</w:t>
            </w:r>
          </w:p>
        </w:tc>
        <w:tc>
          <w:tcPr>
            <w:tcW w:w="960" w:type="dxa"/>
            <w:tcBorders>
              <w:top w:val="nil"/>
              <w:left w:val="nil"/>
              <w:bottom w:val="single" w:sz="4" w:space="0" w:color="auto"/>
              <w:right w:val="nil"/>
            </w:tcBorders>
            <w:shd w:val="clear" w:color="000000" w:fill="D9D9D9"/>
            <w:noWrap/>
            <w:vAlign w:val="bottom"/>
            <w:hideMark/>
          </w:tcPr>
          <w:p w:rsidR="0077623C" w:rsidRPr="0077623C" w:rsidRDefault="0077623C" w:rsidP="0077623C">
            <w:pPr>
              <w:spacing w:after="0" w:line="240" w:lineRule="auto"/>
              <w:rPr>
                <w:rFonts w:ascii="Times New Roman" w:eastAsia="Times New Roman" w:hAnsi="Times New Roman" w:cs="Times New Roman"/>
                <w:b/>
                <w:bCs/>
                <w:color w:val="000000"/>
                <w:sz w:val="20"/>
                <w:szCs w:val="20"/>
              </w:rPr>
            </w:pPr>
            <w:r w:rsidRPr="0077623C">
              <w:rPr>
                <w:rFonts w:ascii="Times New Roman" w:eastAsia="Times New Roman" w:hAnsi="Times New Roman" w:cs="Times New Roman"/>
                <w:b/>
                <w:bCs/>
                <w:color w:val="000000"/>
                <w:sz w:val="20"/>
                <w:szCs w:val="20"/>
              </w:rPr>
              <w:t>2007/08</w:t>
            </w:r>
          </w:p>
        </w:tc>
        <w:tc>
          <w:tcPr>
            <w:tcW w:w="960" w:type="dxa"/>
            <w:tcBorders>
              <w:top w:val="nil"/>
              <w:left w:val="nil"/>
              <w:bottom w:val="single" w:sz="4" w:space="0" w:color="auto"/>
              <w:right w:val="nil"/>
            </w:tcBorders>
            <w:shd w:val="clear" w:color="000000" w:fill="D9D9D9"/>
            <w:noWrap/>
            <w:vAlign w:val="bottom"/>
            <w:hideMark/>
          </w:tcPr>
          <w:p w:rsidR="0077623C" w:rsidRPr="0077623C" w:rsidRDefault="0077623C" w:rsidP="0077623C">
            <w:pPr>
              <w:spacing w:after="0" w:line="240" w:lineRule="auto"/>
              <w:rPr>
                <w:rFonts w:ascii="Times New Roman" w:eastAsia="Times New Roman" w:hAnsi="Times New Roman" w:cs="Times New Roman"/>
                <w:b/>
                <w:bCs/>
                <w:color w:val="000000"/>
                <w:sz w:val="20"/>
                <w:szCs w:val="20"/>
              </w:rPr>
            </w:pPr>
            <w:r w:rsidRPr="0077623C">
              <w:rPr>
                <w:rFonts w:ascii="Times New Roman" w:eastAsia="Times New Roman" w:hAnsi="Times New Roman" w:cs="Times New Roman"/>
                <w:b/>
                <w:bCs/>
                <w:color w:val="000000"/>
                <w:sz w:val="20"/>
                <w:szCs w:val="20"/>
              </w:rPr>
              <w:t>2008/09</w:t>
            </w:r>
          </w:p>
        </w:tc>
        <w:tc>
          <w:tcPr>
            <w:tcW w:w="960" w:type="dxa"/>
            <w:tcBorders>
              <w:top w:val="nil"/>
              <w:left w:val="nil"/>
              <w:bottom w:val="single" w:sz="4" w:space="0" w:color="auto"/>
              <w:right w:val="nil"/>
            </w:tcBorders>
            <w:shd w:val="clear" w:color="000000" w:fill="D9D9D9"/>
            <w:noWrap/>
            <w:vAlign w:val="bottom"/>
            <w:hideMark/>
          </w:tcPr>
          <w:p w:rsidR="0077623C" w:rsidRPr="0077623C" w:rsidRDefault="0077623C" w:rsidP="0077623C">
            <w:pPr>
              <w:spacing w:after="0" w:line="240" w:lineRule="auto"/>
              <w:rPr>
                <w:rFonts w:ascii="Times New Roman" w:eastAsia="Times New Roman" w:hAnsi="Times New Roman" w:cs="Times New Roman"/>
                <w:b/>
                <w:bCs/>
                <w:color w:val="000000"/>
                <w:sz w:val="20"/>
                <w:szCs w:val="20"/>
              </w:rPr>
            </w:pPr>
            <w:r w:rsidRPr="0077623C">
              <w:rPr>
                <w:rFonts w:ascii="Times New Roman" w:eastAsia="Times New Roman" w:hAnsi="Times New Roman" w:cs="Times New Roman"/>
                <w:b/>
                <w:bCs/>
                <w:color w:val="000000"/>
                <w:sz w:val="20"/>
                <w:szCs w:val="20"/>
              </w:rPr>
              <w:t>2009/10</w:t>
            </w:r>
          </w:p>
        </w:tc>
        <w:tc>
          <w:tcPr>
            <w:tcW w:w="960" w:type="dxa"/>
            <w:tcBorders>
              <w:top w:val="nil"/>
              <w:left w:val="nil"/>
              <w:bottom w:val="single" w:sz="4" w:space="0" w:color="auto"/>
              <w:right w:val="nil"/>
            </w:tcBorders>
            <w:shd w:val="clear" w:color="000000" w:fill="D9D9D9"/>
            <w:noWrap/>
            <w:vAlign w:val="bottom"/>
            <w:hideMark/>
          </w:tcPr>
          <w:p w:rsidR="0077623C" w:rsidRPr="0077623C" w:rsidRDefault="0077623C" w:rsidP="0077623C">
            <w:pPr>
              <w:spacing w:after="0" w:line="240" w:lineRule="auto"/>
              <w:rPr>
                <w:rFonts w:ascii="Times New Roman" w:eastAsia="Times New Roman" w:hAnsi="Times New Roman" w:cs="Times New Roman"/>
                <w:b/>
                <w:bCs/>
                <w:color w:val="000000"/>
                <w:sz w:val="20"/>
                <w:szCs w:val="20"/>
              </w:rPr>
            </w:pPr>
            <w:r w:rsidRPr="0077623C">
              <w:rPr>
                <w:rFonts w:ascii="Times New Roman" w:eastAsia="Times New Roman" w:hAnsi="Times New Roman" w:cs="Times New Roman"/>
                <w:b/>
                <w:bCs/>
                <w:color w:val="000000"/>
                <w:sz w:val="20"/>
                <w:szCs w:val="20"/>
              </w:rPr>
              <w:t>2010/11</w:t>
            </w:r>
          </w:p>
        </w:tc>
        <w:tc>
          <w:tcPr>
            <w:tcW w:w="960" w:type="dxa"/>
            <w:tcBorders>
              <w:top w:val="nil"/>
              <w:left w:val="nil"/>
              <w:bottom w:val="single" w:sz="4" w:space="0" w:color="auto"/>
              <w:right w:val="nil"/>
            </w:tcBorders>
            <w:shd w:val="clear" w:color="000000" w:fill="D9D9D9"/>
            <w:noWrap/>
            <w:vAlign w:val="bottom"/>
            <w:hideMark/>
          </w:tcPr>
          <w:p w:rsidR="0077623C" w:rsidRPr="0077623C" w:rsidRDefault="0077623C" w:rsidP="0077623C">
            <w:pPr>
              <w:spacing w:after="0" w:line="240" w:lineRule="auto"/>
              <w:rPr>
                <w:rFonts w:ascii="Times New Roman" w:eastAsia="Times New Roman" w:hAnsi="Times New Roman" w:cs="Times New Roman"/>
                <w:b/>
                <w:bCs/>
                <w:color w:val="000000"/>
                <w:sz w:val="20"/>
                <w:szCs w:val="20"/>
              </w:rPr>
            </w:pPr>
            <w:r w:rsidRPr="0077623C">
              <w:rPr>
                <w:rFonts w:ascii="Times New Roman" w:eastAsia="Times New Roman" w:hAnsi="Times New Roman" w:cs="Times New Roman"/>
                <w:b/>
                <w:bCs/>
                <w:color w:val="000000"/>
                <w:sz w:val="20"/>
                <w:szCs w:val="20"/>
              </w:rPr>
              <w:t>2011/12</w:t>
            </w:r>
          </w:p>
        </w:tc>
      </w:tr>
      <w:tr w:rsidR="0077623C" w:rsidRPr="0077623C" w:rsidTr="0077623C">
        <w:trPr>
          <w:trHeight w:val="300"/>
        </w:trPr>
        <w:tc>
          <w:tcPr>
            <w:tcW w:w="220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Zberová plocha</w:t>
            </w:r>
          </w:p>
        </w:tc>
        <w:tc>
          <w:tcPr>
            <w:tcW w:w="1076" w:type="dxa"/>
            <w:tcBorders>
              <w:top w:val="nil"/>
              <w:left w:val="nil"/>
              <w:bottom w:val="nil"/>
              <w:right w:val="single" w:sz="4" w:space="0" w:color="auto"/>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 xml:space="preserve">tis. ha </w:t>
            </w:r>
          </w:p>
        </w:tc>
        <w:tc>
          <w:tcPr>
            <w:tcW w:w="960" w:type="dxa"/>
            <w:tcBorders>
              <w:top w:val="nil"/>
              <w:left w:val="nil"/>
              <w:bottom w:val="nil"/>
              <w:right w:val="single" w:sz="4" w:space="0" w:color="auto"/>
            </w:tcBorders>
            <w:shd w:val="clear" w:color="auto" w:fill="auto"/>
            <w:noWrap/>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26,1</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17,8</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14,3</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11,6</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10,9</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10,4</w:t>
            </w:r>
          </w:p>
        </w:tc>
      </w:tr>
      <w:tr w:rsidR="0077623C" w:rsidRPr="0077623C" w:rsidTr="0077623C">
        <w:trPr>
          <w:trHeight w:val="300"/>
        </w:trPr>
        <w:tc>
          <w:tcPr>
            <w:tcW w:w="220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 xml:space="preserve">Hektárová úroda </w:t>
            </w:r>
          </w:p>
        </w:tc>
        <w:tc>
          <w:tcPr>
            <w:tcW w:w="1076" w:type="dxa"/>
            <w:tcBorders>
              <w:top w:val="nil"/>
              <w:left w:val="nil"/>
              <w:bottom w:val="nil"/>
              <w:right w:val="single" w:sz="4" w:space="0" w:color="auto"/>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 xml:space="preserve">t/ha </w:t>
            </w:r>
          </w:p>
        </w:tc>
        <w:tc>
          <w:tcPr>
            <w:tcW w:w="960" w:type="dxa"/>
            <w:tcBorders>
              <w:top w:val="nil"/>
              <w:left w:val="nil"/>
              <w:bottom w:val="nil"/>
              <w:right w:val="single" w:sz="4" w:space="0" w:color="auto"/>
            </w:tcBorders>
            <w:shd w:val="clear" w:color="auto" w:fill="auto"/>
            <w:noWrap/>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18,6</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16,2</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17,2</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18,6</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11,5</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20,9</w:t>
            </w:r>
          </w:p>
        </w:tc>
      </w:tr>
      <w:tr w:rsidR="0077623C" w:rsidRPr="0077623C" w:rsidTr="0077623C">
        <w:trPr>
          <w:trHeight w:val="300"/>
        </w:trPr>
        <w:tc>
          <w:tcPr>
            <w:tcW w:w="220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 xml:space="preserve">Produkcia </w:t>
            </w:r>
          </w:p>
        </w:tc>
        <w:tc>
          <w:tcPr>
            <w:tcW w:w="1076" w:type="dxa"/>
            <w:tcBorders>
              <w:top w:val="nil"/>
              <w:left w:val="nil"/>
              <w:bottom w:val="nil"/>
              <w:right w:val="single" w:sz="4" w:space="0" w:color="auto"/>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 xml:space="preserve">tis. t </w:t>
            </w:r>
          </w:p>
        </w:tc>
        <w:tc>
          <w:tcPr>
            <w:tcW w:w="960" w:type="dxa"/>
            <w:tcBorders>
              <w:top w:val="nil"/>
              <w:left w:val="nil"/>
              <w:bottom w:val="nil"/>
              <w:right w:val="single" w:sz="4" w:space="0" w:color="auto"/>
            </w:tcBorders>
            <w:shd w:val="clear" w:color="auto" w:fill="auto"/>
            <w:noWrap/>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484,3</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287,7</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245,3</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216,1</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125,9</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217,3</w:t>
            </w:r>
          </w:p>
        </w:tc>
      </w:tr>
      <w:tr w:rsidR="0077623C" w:rsidRPr="0077623C" w:rsidTr="0077623C">
        <w:trPr>
          <w:trHeight w:val="300"/>
        </w:trPr>
        <w:tc>
          <w:tcPr>
            <w:tcW w:w="220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 xml:space="preserve">Dovoz </w:t>
            </w:r>
          </w:p>
        </w:tc>
        <w:tc>
          <w:tcPr>
            <w:tcW w:w="1076" w:type="dxa"/>
            <w:tcBorders>
              <w:top w:val="nil"/>
              <w:left w:val="nil"/>
              <w:bottom w:val="nil"/>
              <w:right w:val="single" w:sz="4" w:space="0" w:color="auto"/>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 xml:space="preserve">tis. t </w:t>
            </w:r>
          </w:p>
        </w:tc>
        <w:tc>
          <w:tcPr>
            <w:tcW w:w="960" w:type="dxa"/>
            <w:tcBorders>
              <w:top w:val="nil"/>
              <w:left w:val="nil"/>
              <w:bottom w:val="nil"/>
              <w:right w:val="single" w:sz="4" w:space="0" w:color="auto"/>
            </w:tcBorders>
            <w:shd w:val="clear" w:color="auto" w:fill="auto"/>
            <w:noWrap/>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31,6</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55,5</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74,9</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79,7</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157,2</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74,1</w:t>
            </w:r>
          </w:p>
        </w:tc>
      </w:tr>
      <w:tr w:rsidR="0077623C" w:rsidRPr="0077623C" w:rsidTr="0077623C">
        <w:trPr>
          <w:trHeight w:val="300"/>
        </w:trPr>
        <w:tc>
          <w:tcPr>
            <w:tcW w:w="220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 xml:space="preserve">  z toho sadivo</w:t>
            </w:r>
          </w:p>
        </w:tc>
        <w:tc>
          <w:tcPr>
            <w:tcW w:w="1076" w:type="dxa"/>
            <w:tcBorders>
              <w:top w:val="nil"/>
              <w:left w:val="nil"/>
              <w:bottom w:val="nil"/>
              <w:right w:val="single" w:sz="4" w:space="0" w:color="auto"/>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 xml:space="preserve">tis. t </w:t>
            </w:r>
          </w:p>
        </w:tc>
        <w:tc>
          <w:tcPr>
            <w:tcW w:w="960" w:type="dxa"/>
            <w:tcBorders>
              <w:top w:val="nil"/>
              <w:left w:val="nil"/>
              <w:bottom w:val="nil"/>
              <w:right w:val="single" w:sz="4" w:space="0" w:color="auto"/>
            </w:tcBorders>
            <w:shd w:val="clear" w:color="auto" w:fill="auto"/>
            <w:noWrap/>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3,9</w:t>
            </w:r>
          </w:p>
        </w:tc>
        <w:tc>
          <w:tcPr>
            <w:tcW w:w="960" w:type="dxa"/>
            <w:tcBorders>
              <w:top w:val="nil"/>
              <w:left w:val="nil"/>
              <w:bottom w:val="nil"/>
              <w:right w:val="nil"/>
            </w:tcBorders>
            <w:shd w:val="clear" w:color="auto" w:fill="auto"/>
            <w:noWrap/>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4,6</w:t>
            </w:r>
          </w:p>
        </w:tc>
        <w:tc>
          <w:tcPr>
            <w:tcW w:w="960" w:type="dxa"/>
            <w:tcBorders>
              <w:top w:val="nil"/>
              <w:left w:val="nil"/>
              <w:bottom w:val="nil"/>
              <w:right w:val="nil"/>
            </w:tcBorders>
            <w:shd w:val="clear" w:color="auto" w:fill="auto"/>
            <w:noWrap/>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5,7</w:t>
            </w:r>
          </w:p>
        </w:tc>
        <w:tc>
          <w:tcPr>
            <w:tcW w:w="960" w:type="dxa"/>
            <w:tcBorders>
              <w:top w:val="nil"/>
              <w:left w:val="nil"/>
              <w:bottom w:val="nil"/>
              <w:right w:val="nil"/>
            </w:tcBorders>
            <w:shd w:val="clear" w:color="auto" w:fill="auto"/>
            <w:noWrap/>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3,1</w:t>
            </w:r>
          </w:p>
        </w:tc>
        <w:tc>
          <w:tcPr>
            <w:tcW w:w="960" w:type="dxa"/>
            <w:tcBorders>
              <w:top w:val="nil"/>
              <w:left w:val="nil"/>
              <w:bottom w:val="nil"/>
              <w:right w:val="nil"/>
            </w:tcBorders>
            <w:shd w:val="clear" w:color="auto" w:fill="auto"/>
            <w:noWrap/>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9,3</w:t>
            </w:r>
          </w:p>
        </w:tc>
        <w:tc>
          <w:tcPr>
            <w:tcW w:w="960" w:type="dxa"/>
            <w:tcBorders>
              <w:top w:val="nil"/>
              <w:left w:val="nil"/>
              <w:bottom w:val="nil"/>
              <w:right w:val="nil"/>
            </w:tcBorders>
            <w:shd w:val="clear" w:color="auto" w:fill="auto"/>
            <w:noWrap/>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4,2</w:t>
            </w:r>
          </w:p>
        </w:tc>
      </w:tr>
      <w:tr w:rsidR="0077623C" w:rsidRPr="0077623C" w:rsidTr="0077623C">
        <w:trPr>
          <w:trHeight w:val="300"/>
        </w:trPr>
        <w:tc>
          <w:tcPr>
            <w:tcW w:w="2200" w:type="dxa"/>
            <w:tcBorders>
              <w:top w:val="nil"/>
              <w:left w:val="nil"/>
              <w:bottom w:val="single" w:sz="4" w:space="0" w:color="auto"/>
              <w:right w:val="nil"/>
            </w:tcBorders>
            <w:shd w:val="clear" w:color="auto" w:fill="auto"/>
            <w:vAlign w:val="center"/>
            <w:hideMark/>
          </w:tcPr>
          <w:p w:rsidR="0077623C" w:rsidRPr="0077623C" w:rsidRDefault="0077623C" w:rsidP="0077623C">
            <w:pPr>
              <w:spacing w:after="0" w:line="240" w:lineRule="auto"/>
              <w:rPr>
                <w:rFonts w:ascii="Times New Roman" w:eastAsia="Times New Roman" w:hAnsi="Times New Roman" w:cs="Times New Roman"/>
                <w:b/>
                <w:bCs/>
                <w:color w:val="000000"/>
                <w:sz w:val="20"/>
                <w:szCs w:val="20"/>
              </w:rPr>
            </w:pPr>
            <w:r w:rsidRPr="0077623C">
              <w:rPr>
                <w:rFonts w:ascii="Times New Roman" w:eastAsia="Times New Roman" w:hAnsi="Times New Roman" w:cs="Times New Roman"/>
                <w:b/>
                <w:bCs/>
                <w:color w:val="000000"/>
                <w:sz w:val="20"/>
                <w:szCs w:val="20"/>
              </w:rPr>
              <w:t xml:space="preserve">Celková ponuka </w:t>
            </w:r>
          </w:p>
        </w:tc>
        <w:tc>
          <w:tcPr>
            <w:tcW w:w="1076" w:type="dxa"/>
            <w:tcBorders>
              <w:top w:val="nil"/>
              <w:left w:val="nil"/>
              <w:bottom w:val="single" w:sz="4" w:space="0" w:color="auto"/>
              <w:right w:val="single" w:sz="4" w:space="0" w:color="auto"/>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b/>
                <w:bCs/>
                <w:color w:val="000000"/>
                <w:sz w:val="20"/>
                <w:szCs w:val="20"/>
              </w:rPr>
            </w:pPr>
            <w:r w:rsidRPr="0077623C">
              <w:rPr>
                <w:rFonts w:ascii="Times New Roman" w:eastAsia="Times New Roman" w:hAnsi="Times New Roman" w:cs="Times New Roman"/>
                <w:b/>
                <w:bCs/>
                <w:color w:val="000000"/>
                <w:sz w:val="20"/>
                <w:szCs w:val="20"/>
              </w:rPr>
              <w:t>tis. t</w:t>
            </w:r>
          </w:p>
        </w:tc>
        <w:tc>
          <w:tcPr>
            <w:tcW w:w="960" w:type="dxa"/>
            <w:tcBorders>
              <w:top w:val="nil"/>
              <w:left w:val="nil"/>
              <w:bottom w:val="single" w:sz="4" w:space="0" w:color="auto"/>
              <w:right w:val="single" w:sz="4" w:space="0" w:color="auto"/>
            </w:tcBorders>
            <w:shd w:val="clear" w:color="auto" w:fill="auto"/>
            <w:noWrap/>
            <w:vAlign w:val="center"/>
            <w:hideMark/>
          </w:tcPr>
          <w:p w:rsidR="0077623C" w:rsidRPr="0077623C" w:rsidRDefault="0077623C" w:rsidP="0077623C">
            <w:pPr>
              <w:spacing w:after="0" w:line="240" w:lineRule="auto"/>
              <w:jc w:val="center"/>
              <w:rPr>
                <w:rFonts w:ascii="Times New Roman" w:eastAsia="Times New Roman" w:hAnsi="Times New Roman" w:cs="Times New Roman"/>
                <w:b/>
                <w:bCs/>
                <w:color w:val="000000"/>
                <w:sz w:val="20"/>
                <w:szCs w:val="20"/>
              </w:rPr>
            </w:pPr>
            <w:r w:rsidRPr="0077623C">
              <w:rPr>
                <w:rFonts w:ascii="Times New Roman" w:eastAsia="Times New Roman" w:hAnsi="Times New Roman" w:cs="Times New Roman"/>
                <w:b/>
                <w:bCs/>
                <w:color w:val="000000"/>
                <w:sz w:val="20"/>
                <w:szCs w:val="20"/>
              </w:rPr>
              <w:t>515,9</w:t>
            </w:r>
          </w:p>
        </w:tc>
        <w:tc>
          <w:tcPr>
            <w:tcW w:w="960" w:type="dxa"/>
            <w:tcBorders>
              <w:top w:val="nil"/>
              <w:left w:val="nil"/>
              <w:bottom w:val="single" w:sz="4" w:space="0" w:color="auto"/>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b/>
                <w:bCs/>
                <w:color w:val="000000"/>
                <w:sz w:val="20"/>
                <w:szCs w:val="20"/>
              </w:rPr>
            </w:pPr>
            <w:r w:rsidRPr="0077623C">
              <w:rPr>
                <w:rFonts w:ascii="Times New Roman" w:eastAsia="Times New Roman" w:hAnsi="Times New Roman" w:cs="Times New Roman"/>
                <w:b/>
                <w:bCs/>
                <w:color w:val="000000"/>
                <w:sz w:val="20"/>
                <w:szCs w:val="20"/>
              </w:rPr>
              <w:t>343,2</w:t>
            </w:r>
          </w:p>
        </w:tc>
        <w:tc>
          <w:tcPr>
            <w:tcW w:w="960" w:type="dxa"/>
            <w:tcBorders>
              <w:top w:val="nil"/>
              <w:left w:val="nil"/>
              <w:bottom w:val="single" w:sz="4" w:space="0" w:color="auto"/>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b/>
                <w:bCs/>
                <w:color w:val="000000"/>
                <w:sz w:val="20"/>
                <w:szCs w:val="20"/>
              </w:rPr>
            </w:pPr>
            <w:r w:rsidRPr="0077623C">
              <w:rPr>
                <w:rFonts w:ascii="Times New Roman" w:eastAsia="Times New Roman" w:hAnsi="Times New Roman" w:cs="Times New Roman"/>
                <w:b/>
                <w:bCs/>
                <w:color w:val="000000"/>
                <w:sz w:val="20"/>
                <w:szCs w:val="20"/>
              </w:rPr>
              <w:t>320,2</w:t>
            </w:r>
          </w:p>
        </w:tc>
        <w:tc>
          <w:tcPr>
            <w:tcW w:w="960" w:type="dxa"/>
            <w:tcBorders>
              <w:top w:val="nil"/>
              <w:left w:val="nil"/>
              <w:bottom w:val="single" w:sz="4" w:space="0" w:color="auto"/>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b/>
                <w:bCs/>
                <w:color w:val="000000"/>
                <w:sz w:val="20"/>
                <w:szCs w:val="20"/>
              </w:rPr>
            </w:pPr>
            <w:r w:rsidRPr="0077623C">
              <w:rPr>
                <w:rFonts w:ascii="Times New Roman" w:eastAsia="Times New Roman" w:hAnsi="Times New Roman" w:cs="Times New Roman"/>
                <w:b/>
                <w:bCs/>
                <w:color w:val="000000"/>
                <w:sz w:val="20"/>
                <w:szCs w:val="20"/>
              </w:rPr>
              <w:t>295,8</w:t>
            </w:r>
          </w:p>
        </w:tc>
        <w:tc>
          <w:tcPr>
            <w:tcW w:w="960" w:type="dxa"/>
            <w:tcBorders>
              <w:top w:val="nil"/>
              <w:left w:val="nil"/>
              <w:bottom w:val="single" w:sz="4" w:space="0" w:color="auto"/>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b/>
                <w:bCs/>
                <w:color w:val="000000"/>
                <w:sz w:val="20"/>
                <w:szCs w:val="20"/>
              </w:rPr>
            </w:pPr>
            <w:r w:rsidRPr="0077623C">
              <w:rPr>
                <w:rFonts w:ascii="Times New Roman" w:eastAsia="Times New Roman" w:hAnsi="Times New Roman" w:cs="Times New Roman"/>
                <w:b/>
                <w:bCs/>
                <w:color w:val="000000"/>
                <w:sz w:val="20"/>
                <w:szCs w:val="20"/>
              </w:rPr>
              <w:t>283,1</w:t>
            </w:r>
          </w:p>
        </w:tc>
        <w:tc>
          <w:tcPr>
            <w:tcW w:w="960" w:type="dxa"/>
            <w:tcBorders>
              <w:top w:val="nil"/>
              <w:left w:val="nil"/>
              <w:bottom w:val="single" w:sz="4" w:space="0" w:color="auto"/>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b/>
                <w:bCs/>
                <w:color w:val="000000"/>
                <w:sz w:val="20"/>
                <w:szCs w:val="20"/>
              </w:rPr>
            </w:pPr>
            <w:r w:rsidRPr="0077623C">
              <w:rPr>
                <w:rFonts w:ascii="Times New Roman" w:eastAsia="Times New Roman" w:hAnsi="Times New Roman" w:cs="Times New Roman"/>
                <w:b/>
                <w:bCs/>
                <w:color w:val="000000"/>
                <w:sz w:val="20"/>
                <w:szCs w:val="20"/>
              </w:rPr>
              <w:t>291,4</w:t>
            </w:r>
          </w:p>
        </w:tc>
      </w:tr>
      <w:tr w:rsidR="0077623C" w:rsidRPr="0077623C" w:rsidTr="0077623C">
        <w:trPr>
          <w:trHeight w:val="300"/>
        </w:trPr>
        <w:tc>
          <w:tcPr>
            <w:tcW w:w="220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Potravinárska spotreba</w:t>
            </w:r>
          </w:p>
        </w:tc>
        <w:tc>
          <w:tcPr>
            <w:tcW w:w="1076" w:type="dxa"/>
            <w:tcBorders>
              <w:top w:val="nil"/>
              <w:left w:val="nil"/>
              <w:bottom w:val="nil"/>
              <w:right w:val="single" w:sz="4" w:space="0" w:color="auto"/>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tis. t</w:t>
            </w:r>
          </w:p>
        </w:tc>
        <w:tc>
          <w:tcPr>
            <w:tcW w:w="960" w:type="dxa"/>
            <w:tcBorders>
              <w:top w:val="nil"/>
              <w:left w:val="nil"/>
              <w:bottom w:val="nil"/>
              <w:right w:val="single" w:sz="4" w:space="0" w:color="auto"/>
            </w:tcBorders>
            <w:shd w:val="clear" w:color="auto" w:fill="auto"/>
            <w:noWrap/>
            <w:vAlign w:val="center"/>
            <w:hideMark/>
          </w:tcPr>
          <w:p w:rsidR="0077623C" w:rsidRPr="0077623C" w:rsidRDefault="0077623C" w:rsidP="005A4E5D">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4</w:t>
            </w:r>
            <w:r w:rsidR="005A4E5D">
              <w:rPr>
                <w:rFonts w:ascii="Times New Roman" w:eastAsia="Times New Roman" w:hAnsi="Times New Roman" w:cs="Times New Roman"/>
                <w:color w:val="000000"/>
                <w:sz w:val="20"/>
                <w:szCs w:val="20"/>
              </w:rPr>
              <w:t>02</w:t>
            </w:r>
            <w:r w:rsidRPr="0077623C">
              <w:rPr>
                <w:rFonts w:ascii="Times New Roman" w:eastAsia="Times New Roman" w:hAnsi="Times New Roman" w:cs="Times New Roman"/>
                <w:color w:val="000000"/>
                <w:sz w:val="20"/>
                <w:szCs w:val="20"/>
              </w:rPr>
              <w:t>,9</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297,8</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274,5</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263,3</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258,2</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263,6</w:t>
            </w:r>
          </w:p>
        </w:tc>
      </w:tr>
      <w:tr w:rsidR="0077623C" w:rsidRPr="0077623C" w:rsidTr="0077623C">
        <w:trPr>
          <w:trHeight w:val="300"/>
        </w:trPr>
        <w:tc>
          <w:tcPr>
            <w:tcW w:w="220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Spotreba sadiva</w:t>
            </w:r>
          </w:p>
        </w:tc>
        <w:tc>
          <w:tcPr>
            <w:tcW w:w="1076" w:type="dxa"/>
            <w:tcBorders>
              <w:top w:val="nil"/>
              <w:left w:val="nil"/>
              <w:bottom w:val="nil"/>
              <w:right w:val="single" w:sz="4" w:space="0" w:color="auto"/>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tis. t</w:t>
            </w:r>
          </w:p>
        </w:tc>
        <w:tc>
          <w:tcPr>
            <w:tcW w:w="960" w:type="dxa"/>
            <w:tcBorders>
              <w:top w:val="nil"/>
              <w:left w:val="nil"/>
              <w:bottom w:val="nil"/>
              <w:right w:val="single" w:sz="4" w:space="0" w:color="auto"/>
            </w:tcBorders>
            <w:shd w:val="clear" w:color="auto" w:fill="auto"/>
            <w:noWrap/>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82,5</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35,7</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28</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25,5</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23</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22,5</w:t>
            </w:r>
          </w:p>
        </w:tc>
      </w:tr>
      <w:tr w:rsidR="0077623C" w:rsidRPr="0077623C" w:rsidTr="0077623C">
        <w:trPr>
          <w:trHeight w:val="300"/>
        </w:trPr>
        <w:tc>
          <w:tcPr>
            <w:tcW w:w="220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Kŕmenie a straty</w:t>
            </w:r>
          </w:p>
        </w:tc>
        <w:tc>
          <w:tcPr>
            <w:tcW w:w="1076" w:type="dxa"/>
            <w:tcBorders>
              <w:top w:val="nil"/>
              <w:left w:val="nil"/>
              <w:bottom w:val="nil"/>
              <w:right w:val="single" w:sz="4" w:space="0" w:color="auto"/>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tis. t</w:t>
            </w:r>
          </w:p>
        </w:tc>
        <w:tc>
          <w:tcPr>
            <w:tcW w:w="960" w:type="dxa"/>
            <w:tcBorders>
              <w:top w:val="nil"/>
              <w:left w:val="nil"/>
              <w:bottom w:val="nil"/>
              <w:right w:val="single" w:sz="4" w:space="0" w:color="auto"/>
            </w:tcBorders>
            <w:shd w:val="clear" w:color="auto" w:fill="auto"/>
            <w:noWrap/>
            <w:vAlign w:val="center"/>
            <w:hideMark/>
          </w:tcPr>
          <w:p w:rsidR="0077623C" w:rsidRPr="0077623C" w:rsidRDefault="005A4E5D" w:rsidP="007762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r w:rsidR="0077623C" w:rsidRPr="0077623C">
              <w:rPr>
                <w:rFonts w:ascii="Times New Roman" w:eastAsia="Times New Roman" w:hAnsi="Times New Roman" w:cs="Times New Roman"/>
                <w:color w:val="000000"/>
                <w:sz w:val="20"/>
                <w:szCs w:val="20"/>
              </w:rPr>
              <w:t>,3</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2</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2</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1,8</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1,6</w:t>
            </w:r>
          </w:p>
        </w:tc>
      </w:tr>
      <w:tr w:rsidR="0077623C" w:rsidRPr="0077623C" w:rsidTr="0077623C">
        <w:trPr>
          <w:trHeight w:val="300"/>
        </w:trPr>
        <w:tc>
          <w:tcPr>
            <w:tcW w:w="2200" w:type="dxa"/>
            <w:tcBorders>
              <w:top w:val="nil"/>
              <w:left w:val="nil"/>
              <w:bottom w:val="single" w:sz="4" w:space="0" w:color="auto"/>
              <w:right w:val="nil"/>
            </w:tcBorders>
            <w:shd w:val="clear" w:color="auto" w:fill="auto"/>
            <w:vAlign w:val="center"/>
            <w:hideMark/>
          </w:tcPr>
          <w:p w:rsidR="0077623C" w:rsidRPr="0077623C" w:rsidRDefault="0077623C" w:rsidP="0077623C">
            <w:pPr>
              <w:spacing w:after="0" w:line="240" w:lineRule="auto"/>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 xml:space="preserve">Vývoz </w:t>
            </w:r>
          </w:p>
        </w:tc>
        <w:tc>
          <w:tcPr>
            <w:tcW w:w="1076" w:type="dxa"/>
            <w:tcBorders>
              <w:top w:val="nil"/>
              <w:left w:val="nil"/>
              <w:bottom w:val="single" w:sz="4" w:space="0" w:color="auto"/>
              <w:right w:val="single" w:sz="4" w:space="0" w:color="auto"/>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tis. t</w:t>
            </w:r>
          </w:p>
        </w:tc>
        <w:tc>
          <w:tcPr>
            <w:tcW w:w="960" w:type="dxa"/>
            <w:tcBorders>
              <w:top w:val="nil"/>
              <w:left w:val="nil"/>
              <w:bottom w:val="single" w:sz="4" w:space="0" w:color="auto"/>
              <w:right w:val="single" w:sz="4" w:space="0" w:color="auto"/>
            </w:tcBorders>
            <w:shd w:val="clear" w:color="auto" w:fill="auto"/>
            <w:noWrap/>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0,2</w:t>
            </w:r>
          </w:p>
        </w:tc>
        <w:tc>
          <w:tcPr>
            <w:tcW w:w="960" w:type="dxa"/>
            <w:tcBorders>
              <w:top w:val="nil"/>
              <w:left w:val="nil"/>
              <w:bottom w:val="single" w:sz="4" w:space="0" w:color="auto"/>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7,7</w:t>
            </w:r>
          </w:p>
        </w:tc>
        <w:tc>
          <w:tcPr>
            <w:tcW w:w="960" w:type="dxa"/>
            <w:tcBorders>
              <w:top w:val="nil"/>
              <w:left w:val="nil"/>
              <w:bottom w:val="single" w:sz="4" w:space="0" w:color="auto"/>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15,7</w:t>
            </w:r>
          </w:p>
        </w:tc>
        <w:tc>
          <w:tcPr>
            <w:tcW w:w="960" w:type="dxa"/>
            <w:tcBorders>
              <w:top w:val="nil"/>
              <w:left w:val="nil"/>
              <w:bottom w:val="single" w:sz="4" w:space="0" w:color="auto"/>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5,2</w:t>
            </w:r>
          </w:p>
        </w:tc>
        <w:tc>
          <w:tcPr>
            <w:tcW w:w="960" w:type="dxa"/>
            <w:tcBorders>
              <w:top w:val="nil"/>
              <w:left w:val="nil"/>
              <w:bottom w:val="single" w:sz="4" w:space="0" w:color="auto"/>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1,9</w:t>
            </w:r>
          </w:p>
        </w:tc>
        <w:tc>
          <w:tcPr>
            <w:tcW w:w="960" w:type="dxa"/>
            <w:tcBorders>
              <w:top w:val="nil"/>
              <w:left w:val="nil"/>
              <w:bottom w:val="single" w:sz="4" w:space="0" w:color="auto"/>
              <w:right w:val="nil"/>
            </w:tcBorders>
            <w:shd w:val="clear" w:color="auto" w:fill="auto"/>
            <w:vAlign w:val="center"/>
            <w:hideMark/>
          </w:tcPr>
          <w:p w:rsidR="0077623C" w:rsidRPr="0077623C" w:rsidRDefault="0077623C" w:rsidP="0077623C">
            <w:pPr>
              <w:spacing w:after="0" w:line="240" w:lineRule="auto"/>
              <w:jc w:val="center"/>
              <w:rPr>
                <w:rFonts w:ascii="Times New Roman" w:eastAsia="Times New Roman" w:hAnsi="Times New Roman" w:cs="Times New Roman"/>
                <w:color w:val="000000"/>
                <w:sz w:val="20"/>
                <w:szCs w:val="20"/>
              </w:rPr>
            </w:pPr>
            <w:r w:rsidRPr="0077623C">
              <w:rPr>
                <w:rFonts w:ascii="Times New Roman" w:eastAsia="Times New Roman" w:hAnsi="Times New Roman" w:cs="Times New Roman"/>
                <w:color w:val="000000"/>
                <w:sz w:val="20"/>
                <w:szCs w:val="20"/>
              </w:rPr>
              <w:t>3,7</w:t>
            </w:r>
          </w:p>
        </w:tc>
      </w:tr>
    </w:tbl>
    <w:p w:rsidR="0077623C" w:rsidRDefault="0077623C" w:rsidP="007762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16524B" w:rsidRDefault="0016524B" w:rsidP="001D758F">
      <w:pPr>
        <w:spacing w:after="0" w:line="240" w:lineRule="auto"/>
        <w:jc w:val="both"/>
        <w:rPr>
          <w:rFonts w:ascii="Times New Roman" w:hAnsi="Times New Roman" w:cs="Times New Roman"/>
          <w:sz w:val="24"/>
          <w:szCs w:val="24"/>
        </w:rPr>
      </w:pPr>
    </w:p>
    <w:p w:rsidR="008E114F" w:rsidRDefault="0016524B" w:rsidP="001D75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Vývoj do roku 2011 reflektoval dva protichodné momenty. Na jednej strane to bol výrazný pokles zberových plôch, ktorý predstavoval v porovnaní s referenčným hospodárskym rokom 2002/03 až 60,2 %</w:t>
      </w:r>
      <w:r w:rsidR="004B2EDD">
        <w:rPr>
          <w:rFonts w:ascii="Times New Roman" w:hAnsi="Times New Roman" w:cs="Times New Roman"/>
          <w:sz w:val="24"/>
          <w:szCs w:val="24"/>
        </w:rPr>
        <w:t xml:space="preserve"> a na strane </w:t>
      </w:r>
      <w:r w:rsidR="008E114F">
        <w:rPr>
          <w:rFonts w:ascii="Times New Roman" w:hAnsi="Times New Roman" w:cs="Times New Roman"/>
          <w:sz w:val="24"/>
          <w:szCs w:val="24"/>
        </w:rPr>
        <w:t xml:space="preserve">druhej podstatná intenzifikácia produkcie zemiakov, meraná pomocou hektárových úrod zemiakov, ktorá predstavovala v porovnaní s referenčným hospodárskym rokom 2002/03 nárast o 12,4 %. </w:t>
      </w:r>
    </w:p>
    <w:p w:rsidR="002233E6" w:rsidRDefault="002233E6" w:rsidP="001D758F">
      <w:pPr>
        <w:spacing w:after="0" w:line="240" w:lineRule="auto"/>
        <w:jc w:val="both"/>
        <w:rPr>
          <w:rFonts w:ascii="Times New Roman" w:hAnsi="Times New Roman" w:cs="Times New Roman"/>
          <w:sz w:val="24"/>
          <w:szCs w:val="24"/>
        </w:rPr>
      </w:pPr>
    </w:p>
    <w:p w:rsidR="00DC2D88" w:rsidRDefault="00DC2D88" w:rsidP="00DC2D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Výrazná intenzifikácia produkcie zemiakov prebehla hlavne v hospodárskom roku 2011/12, avšak ani táto nedokázala vykryť prepad celkovej produkcie zemiakov, ktorý predstavoval oproti referenčnému obdobiu viac ako 55 %. </w:t>
      </w:r>
    </w:p>
    <w:p w:rsidR="0034029F" w:rsidRDefault="0034029F" w:rsidP="001D758F">
      <w:pPr>
        <w:spacing w:after="0" w:line="240" w:lineRule="auto"/>
        <w:jc w:val="both"/>
        <w:rPr>
          <w:rFonts w:ascii="Times New Roman" w:hAnsi="Times New Roman" w:cs="Times New Roman"/>
          <w:sz w:val="24"/>
          <w:szCs w:val="24"/>
        </w:rPr>
      </w:pPr>
    </w:p>
    <w:p w:rsidR="0034029F" w:rsidRDefault="0034029F" w:rsidP="001D758F">
      <w:pPr>
        <w:spacing w:after="0" w:line="240" w:lineRule="auto"/>
        <w:jc w:val="both"/>
        <w:rPr>
          <w:rFonts w:ascii="Times New Roman" w:hAnsi="Times New Roman" w:cs="Times New Roman"/>
          <w:sz w:val="24"/>
          <w:szCs w:val="24"/>
        </w:rPr>
      </w:pPr>
    </w:p>
    <w:p w:rsidR="0034029F" w:rsidRDefault="0034029F" w:rsidP="001D758F">
      <w:pPr>
        <w:spacing w:after="0" w:line="240" w:lineRule="auto"/>
        <w:jc w:val="both"/>
        <w:rPr>
          <w:rFonts w:ascii="Times New Roman" w:hAnsi="Times New Roman" w:cs="Times New Roman"/>
          <w:sz w:val="24"/>
          <w:szCs w:val="24"/>
        </w:rPr>
      </w:pPr>
    </w:p>
    <w:p w:rsidR="007B7BF4" w:rsidRDefault="007B7BF4" w:rsidP="001D758F">
      <w:pPr>
        <w:spacing w:after="0" w:line="240" w:lineRule="auto"/>
        <w:jc w:val="both"/>
        <w:rPr>
          <w:rFonts w:ascii="Times New Roman" w:hAnsi="Times New Roman" w:cs="Times New Roman"/>
          <w:sz w:val="24"/>
          <w:szCs w:val="24"/>
        </w:rPr>
      </w:pPr>
    </w:p>
    <w:p w:rsidR="00BA170D" w:rsidRDefault="003344F8" w:rsidP="001D758F">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G</w:t>
      </w:r>
      <w:r w:rsidR="001C2862">
        <w:rPr>
          <w:rFonts w:ascii="Times New Roman" w:hAnsi="Times New Roman" w:cs="Times New Roman"/>
          <w:sz w:val="20"/>
          <w:szCs w:val="20"/>
        </w:rPr>
        <w:t>raf č. 4</w:t>
      </w:r>
      <w:r w:rsidR="00C970F8">
        <w:rPr>
          <w:rFonts w:ascii="Times New Roman" w:hAnsi="Times New Roman" w:cs="Times New Roman"/>
          <w:sz w:val="20"/>
          <w:szCs w:val="20"/>
        </w:rPr>
        <w:t>8</w:t>
      </w:r>
      <w:r w:rsidRPr="00C55549">
        <w:rPr>
          <w:rFonts w:ascii="Times New Roman" w:hAnsi="Times New Roman" w:cs="Times New Roman"/>
          <w:sz w:val="20"/>
          <w:szCs w:val="20"/>
        </w:rPr>
        <w:t>:</w:t>
      </w:r>
      <w:r>
        <w:rPr>
          <w:rFonts w:ascii="Times New Roman" w:hAnsi="Times New Roman" w:cs="Times New Roman"/>
          <w:sz w:val="20"/>
          <w:szCs w:val="20"/>
        </w:rPr>
        <w:t xml:space="preserve"> Vývoj zberových plôch a hektárových úrod zemiakov</w:t>
      </w:r>
    </w:p>
    <w:p w:rsidR="003344F8" w:rsidRDefault="00BA170D" w:rsidP="003344F8">
      <w:pPr>
        <w:spacing w:after="0" w:line="240" w:lineRule="auto"/>
        <w:jc w:val="right"/>
        <w:rPr>
          <w:rFonts w:ascii="Times New Roman" w:hAnsi="Times New Roman" w:cs="Times New Roman"/>
          <w:sz w:val="20"/>
          <w:szCs w:val="20"/>
        </w:rPr>
      </w:pPr>
      <w:r>
        <w:rPr>
          <w:noProof/>
        </w:rPr>
        <w:drawing>
          <wp:inline distT="0" distB="0" distL="0" distR="0" wp14:anchorId="37778F32" wp14:editId="00BD3F9E">
            <wp:extent cx="5771407" cy="2588820"/>
            <wp:effectExtent l="0" t="0" r="0" b="0"/>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003344F8">
        <w:rPr>
          <w:rFonts w:ascii="Times New Roman" w:hAnsi="Times New Roman" w:cs="Times New Roman"/>
          <w:sz w:val="20"/>
          <w:szCs w:val="20"/>
        </w:rPr>
        <w:t>Zdroj: VÚEPP</w:t>
      </w:r>
    </w:p>
    <w:p w:rsidR="001F6A74" w:rsidRDefault="001F6A74" w:rsidP="001D758F">
      <w:pPr>
        <w:spacing w:after="0" w:line="240" w:lineRule="auto"/>
        <w:jc w:val="both"/>
        <w:rPr>
          <w:rFonts w:ascii="Times New Roman" w:hAnsi="Times New Roman" w:cs="Times New Roman"/>
          <w:sz w:val="24"/>
          <w:szCs w:val="24"/>
        </w:rPr>
      </w:pPr>
    </w:p>
    <w:p w:rsidR="001F6A74" w:rsidRDefault="001F6A74" w:rsidP="001D758F">
      <w:pPr>
        <w:spacing w:after="0" w:line="240" w:lineRule="auto"/>
        <w:jc w:val="both"/>
        <w:rPr>
          <w:rFonts w:ascii="Times New Roman" w:hAnsi="Times New Roman"/>
          <w:sz w:val="24"/>
          <w:szCs w:val="24"/>
        </w:rPr>
      </w:pPr>
      <w:r w:rsidRPr="001334C4">
        <w:rPr>
          <w:rFonts w:ascii="Times New Roman" w:hAnsi="Times New Roman"/>
          <w:sz w:val="24"/>
          <w:szCs w:val="24"/>
        </w:rPr>
        <w:t xml:space="preserve">Pre zachovanie </w:t>
      </w:r>
      <w:r w:rsidR="006B5EAD">
        <w:rPr>
          <w:rFonts w:ascii="Times New Roman" w:hAnsi="Times New Roman"/>
          <w:sz w:val="24"/>
          <w:szCs w:val="24"/>
        </w:rPr>
        <w:t>požadovanej produkčnej výkonnosti</w:t>
      </w:r>
      <w:r w:rsidRPr="001334C4">
        <w:rPr>
          <w:rFonts w:ascii="Times New Roman" w:hAnsi="Times New Roman"/>
          <w:sz w:val="24"/>
          <w:szCs w:val="24"/>
        </w:rPr>
        <w:t xml:space="preserve"> v produkcii konzumných zemiakov je súčasná výmera </w:t>
      </w:r>
      <w:r>
        <w:rPr>
          <w:rFonts w:ascii="Times New Roman" w:hAnsi="Times New Roman"/>
          <w:sz w:val="24"/>
          <w:szCs w:val="24"/>
        </w:rPr>
        <w:t>pod hranicou minima</w:t>
      </w:r>
      <w:r w:rsidRPr="001334C4">
        <w:rPr>
          <w:rFonts w:ascii="Times New Roman" w:hAnsi="Times New Roman"/>
          <w:sz w:val="24"/>
          <w:szCs w:val="24"/>
        </w:rPr>
        <w:t>.</w:t>
      </w:r>
      <w:r>
        <w:rPr>
          <w:rFonts w:ascii="Times New Roman" w:hAnsi="Times New Roman"/>
          <w:sz w:val="24"/>
          <w:szCs w:val="24"/>
        </w:rPr>
        <w:t xml:space="preserve"> Aj</w:t>
      </w:r>
      <w:r w:rsidRPr="001334C4">
        <w:rPr>
          <w:rFonts w:ascii="Times New Roman" w:hAnsi="Times New Roman"/>
          <w:sz w:val="24"/>
          <w:szCs w:val="24"/>
        </w:rPr>
        <w:t xml:space="preserve"> keď poprední pestovatelia dosahujú výnosy nad priemerom EÚ,</w:t>
      </w:r>
      <w:r w:rsidR="00AA5B74">
        <w:rPr>
          <w:rFonts w:ascii="Times New Roman" w:hAnsi="Times New Roman"/>
          <w:sz w:val="24"/>
          <w:szCs w:val="24"/>
        </w:rPr>
        <w:t xml:space="preserve"> </w:t>
      </w:r>
      <w:r w:rsidRPr="001334C4">
        <w:rPr>
          <w:rFonts w:ascii="Times New Roman" w:hAnsi="Times New Roman"/>
          <w:sz w:val="24"/>
          <w:szCs w:val="24"/>
        </w:rPr>
        <w:t>nestačí to na viac ako 200 – 220 tisíc ton ročne</w:t>
      </w:r>
      <w:r>
        <w:rPr>
          <w:rFonts w:ascii="Times New Roman" w:hAnsi="Times New Roman"/>
          <w:sz w:val="24"/>
          <w:szCs w:val="24"/>
        </w:rPr>
        <w:t xml:space="preserve">, a to </w:t>
      </w:r>
      <w:r w:rsidRPr="001334C4">
        <w:rPr>
          <w:rFonts w:ascii="Times New Roman" w:hAnsi="Times New Roman"/>
          <w:sz w:val="24"/>
          <w:szCs w:val="24"/>
        </w:rPr>
        <w:t>pri optimálnych klimatických podmienkach.</w:t>
      </w:r>
      <w:r>
        <w:rPr>
          <w:rFonts w:ascii="Times New Roman" w:hAnsi="Times New Roman"/>
          <w:sz w:val="24"/>
          <w:szCs w:val="24"/>
        </w:rPr>
        <w:t xml:space="preserve"> Pre zachovanie</w:t>
      </w:r>
      <w:r w:rsidR="00AA5B74">
        <w:rPr>
          <w:rFonts w:ascii="Times New Roman" w:hAnsi="Times New Roman"/>
          <w:sz w:val="24"/>
          <w:szCs w:val="24"/>
        </w:rPr>
        <w:t xml:space="preserve"> </w:t>
      </w:r>
      <w:r w:rsidR="006B5EAD">
        <w:rPr>
          <w:rFonts w:ascii="Times New Roman" w:hAnsi="Times New Roman"/>
          <w:sz w:val="24"/>
          <w:szCs w:val="24"/>
        </w:rPr>
        <w:t xml:space="preserve">cielenej produkčnej výkonnosti </w:t>
      </w:r>
      <w:r>
        <w:rPr>
          <w:rFonts w:ascii="Times New Roman" w:hAnsi="Times New Roman"/>
          <w:sz w:val="24"/>
          <w:szCs w:val="24"/>
        </w:rPr>
        <w:t xml:space="preserve">počítame s potrebou okolo </w:t>
      </w:r>
      <w:r w:rsidR="00620D75">
        <w:rPr>
          <w:rFonts w:ascii="Times New Roman" w:hAnsi="Times New Roman"/>
          <w:sz w:val="24"/>
          <w:szCs w:val="24"/>
        </w:rPr>
        <w:t>23</w:t>
      </w:r>
      <w:r w:rsidRPr="001334C4">
        <w:rPr>
          <w:rFonts w:ascii="Times New Roman" w:hAnsi="Times New Roman"/>
          <w:sz w:val="24"/>
          <w:szCs w:val="24"/>
        </w:rPr>
        <w:t xml:space="preserve">0 </w:t>
      </w:r>
      <w:r>
        <w:rPr>
          <w:rFonts w:ascii="Times New Roman" w:hAnsi="Times New Roman"/>
          <w:sz w:val="24"/>
          <w:szCs w:val="24"/>
        </w:rPr>
        <w:t>tisíc ton ročne. Pre zabezpečenie takéhoto</w:t>
      </w:r>
      <w:r w:rsidRPr="001334C4">
        <w:rPr>
          <w:rFonts w:ascii="Times New Roman" w:hAnsi="Times New Roman"/>
          <w:sz w:val="24"/>
          <w:szCs w:val="24"/>
        </w:rPr>
        <w:t xml:space="preserve"> objemu je potrebné za</w:t>
      </w:r>
      <w:r>
        <w:rPr>
          <w:rFonts w:ascii="Times New Roman" w:hAnsi="Times New Roman"/>
          <w:sz w:val="24"/>
          <w:szCs w:val="24"/>
        </w:rPr>
        <w:t>t</w:t>
      </w:r>
      <w:r w:rsidRPr="001334C4">
        <w:rPr>
          <w:rFonts w:ascii="Times New Roman" w:hAnsi="Times New Roman"/>
          <w:sz w:val="24"/>
          <w:szCs w:val="24"/>
        </w:rPr>
        <w:t>r</w:t>
      </w:r>
      <w:r>
        <w:rPr>
          <w:rFonts w:ascii="Times New Roman" w:hAnsi="Times New Roman"/>
          <w:sz w:val="24"/>
          <w:szCs w:val="24"/>
        </w:rPr>
        <w:t xml:space="preserve">aktívniť pestovanie zemiakov a </w:t>
      </w:r>
      <w:r w:rsidRPr="001334C4">
        <w:rPr>
          <w:rFonts w:ascii="Times New Roman" w:hAnsi="Times New Roman"/>
          <w:sz w:val="24"/>
          <w:szCs w:val="24"/>
        </w:rPr>
        <w:t>okrem zastavenia poklesu pl</w:t>
      </w:r>
      <w:r>
        <w:rPr>
          <w:rFonts w:ascii="Times New Roman" w:hAnsi="Times New Roman"/>
          <w:sz w:val="24"/>
          <w:szCs w:val="24"/>
        </w:rPr>
        <w:t>ôch u </w:t>
      </w:r>
      <w:r w:rsidR="00A749C3">
        <w:rPr>
          <w:rFonts w:ascii="Times New Roman" w:hAnsi="Times New Roman"/>
          <w:sz w:val="24"/>
          <w:szCs w:val="24"/>
        </w:rPr>
        <w:t xml:space="preserve">existujúcich </w:t>
      </w:r>
      <w:r>
        <w:rPr>
          <w:rFonts w:ascii="Times New Roman" w:hAnsi="Times New Roman"/>
          <w:sz w:val="24"/>
          <w:szCs w:val="24"/>
        </w:rPr>
        <w:t>pestovateľov</w:t>
      </w:r>
      <w:r w:rsidRPr="001334C4">
        <w:rPr>
          <w:rFonts w:ascii="Times New Roman" w:hAnsi="Times New Roman"/>
          <w:sz w:val="24"/>
          <w:szCs w:val="24"/>
        </w:rPr>
        <w:t xml:space="preserve">, rozšíriť pestovanie aj o nové </w:t>
      </w:r>
      <w:r>
        <w:rPr>
          <w:rFonts w:ascii="Times New Roman" w:hAnsi="Times New Roman"/>
          <w:sz w:val="24"/>
          <w:szCs w:val="24"/>
        </w:rPr>
        <w:t xml:space="preserve">subjekty, a to minimálne </w:t>
      </w:r>
      <w:r w:rsidRPr="001334C4">
        <w:rPr>
          <w:rFonts w:ascii="Times New Roman" w:hAnsi="Times New Roman"/>
          <w:sz w:val="24"/>
          <w:szCs w:val="24"/>
        </w:rPr>
        <w:t>n</w:t>
      </w:r>
      <w:r>
        <w:rPr>
          <w:rFonts w:ascii="Times New Roman" w:hAnsi="Times New Roman"/>
          <w:sz w:val="24"/>
          <w:szCs w:val="24"/>
        </w:rPr>
        <w:t xml:space="preserve">a 11 </w:t>
      </w:r>
      <w:r w:rsidRPr="001334C4">
        <w:rPr>
          <w:rFonts w:ascii="Times New Roman" w:hAnsi="Times New Roman"/>
          <w:sz w:val="24"/>
          <w:szCs w:val="24"/>
        </w:rPr>
        <w:t>000 ha.</w:t>
      </w:r>
      <w:r>
        <w:rPr>
          <w:rFonts w:ascii="Times New Roman" w:hAnsi="Times New Roman"/>
          <w:sz w:val="24"/>
          <w:szCs w:val="24"/>
        </w:rPr>
        <w:t xml:space="preserve"> Vlastné náklady celkom na 1 ha predstavujú 3 840,09 EUR, čo pri zvýšení zberovej plochy o </w:t>
      </w:r>
      <w:r w:rsidR="00A32E77">
        <w:rPr>
          <w:rFonts w:ascii="Times New Roman" w:hAnsi="Times New Roman"/>
          <w:sz w:val="24"/>
          <w:szCs w:val="24"/>
        </w:rPr>
        <w:t>743</w:t>
      </w:r>
      <w:r>
        <w:rPr>
          <w:rFonts w:ascii="Times New Roman" w:hAnsi="Times New Roman"/>
          <w:sz w:val="24"/>
          <w:szCs w:val="24"/>
        </w:rPr>
        <w:t xml:space="preserve"> ha predstavuje 2</w:t>
      </w:r>
      <w:r w:rsidR="005A4E5D">
        <w:rPr>
          <w:rFonts w:ascii="Times New Roman" w:hAnsi="Times New Roman"/>
          <w:sz w:val="24"/>
          <w:szCs w:val="24"/>
        </w:rPr>
        <w:t> </w:t>
      </w:r>
      <w:r w:rsidR="00A32E77">
        <w:rPr>
          <w:rFonts w:ascii="Times New Roman" w:hAnsi="Times New Roman"/>
          <w:sz w:val="24"/>
          <w:szCs w:val="24"/>
        </w:rPr>
        <w:t>853187</w:t>
      </w:r>
      <w:r>
        <w:rPr>
          <w:rFonts w:ascii="Times New Roman" w:hAnsi="Times New Roman"/>
          <w:sz w:val="24"/>
          <w:szCs w:val="24"/>
        </w:rPr>
        <w:t>,00 EUR.</w:t>
      </w:r>
    </w:p>
    <w:p w:rsidR="008E0B91" w:rsidRDefault="008E0B91" w:rsidP="001D758F">
      <w:pPr>
        <w:spacing w:after="0" w:line="240" w:lineRule="auto"/>
        <w:jc w:val="both"/>
        <w:rPr>
          <w:rFonts w:ascii="Times New Roman" w:hAnsi="Times New Roman"/>
          <w:sz w:val="24"/>
          <w:szCs w:val="24"/>
        </w:rPr>
      </w:pPr>
    </w:p>
    <w:p w:rsidR="00305F5E" w:rsidRPr="00305F5E" w:rsidRDefault="007B7BF4" w:rsidP="001D75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4</w:t>
      </w:r>
      <w:r w:rsidR="00C970F8">
        <w:rPr>
          <w:rFonts w:ascii="Times New Roman" w:hAnsi="Times New Roman" w:cs="Times New Roman"/>
          <w:sz w:val="20"/>
          <w:szCs w:val="20"/>
        </w:rPr>
        <w:t>9</w:t>
      </w:r>
      <w:r w:rsidR="00305F5E" w:rsidRPr="00C55549">
        <w:rPr>
          <w:rFonts w:ascii="Times New Roman" w:hAnsi="Times New Roman" w:cs="Times New Roman"/>
          <w:sz w:val="20"/>
          <w:szCs w:val="20"/>
        </w:rPr>
        <w:t>:</w:t>
      </w:r>
      <w:r w:rsidR="00305F5E">
        <w:rPr>
          <w:rFonts w:ascii="Times New Roman" w:hAnsi="Times New Roman" w:cs="Times New Roman"/>
          <w:sz w:val="20"/>
          <w:szCs w:val="20"/>
        </w:rPr>
        <w:t xml:space="preserve"> Vývoj cien na jednotlivých stupňoch potravinovej vertikály (cena v EUR/1 kg </w:t>
      </w:r>
      <w:r w:rsidR="00305F5E" w:rsidRPr="0000713C">
        <w:rPr>
          <w:rFonts w:ascii="Times New Roman" w:hAnsi="Times New Roman" w:cs="Times New Roman"/>
          <w:sz w:val="20"/>
          <w:szCs w:val="20"/>
        </w:rPr>
        <w:t>bez DPH</w:t>
      </w:r>
      <w:r w:rsidR="00305F5E">
        <w:rPr>
          <w:rFonts w:ascii="Times New Roman" w:hAnsi="Times New Roman" w:cs="Times New Roman"/>
          <w:sz w:val="20"/>
          <w:szCs w:val="20"/>
        </w:rPr>
        <w:t>)</w:t>
      </w:r>
    </w:p>
    <w:p w:rsidR="001F6A74" w:rsidRDefault="00305F5E" w:rsidP="001D758F">
      <w:pPr>
        <w:spacing w:after="0" w:line="240" w:lineRule="auto"/>
        <w:jc w:val="both"/>
        <w:rPr>
          <w:rFonts w:ascii="Times New Roman" w:hAnsi="Times New Roman"/>
          <w:sz w:val="24"/>
          <w:szCs w:val="24"/>
        </w:rPr>
      </w:pPr>
      <w:r>
        <w:rPr>
          <w:noProof/>
        </w:rPr>
        <w:drawing>
          <wp:inline distT="0" distB="0" distL="0" distR="0" wp14:anchorId="773E4AB1" wp14:editId="2BC44E48">
            <wp:extent cx="5795158" cy="2481943"/>
            <wp:effectExtent l="0" t="0" r="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05F5E" w:rsidRDefault="00305F5E" w:rsidP="00305F5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305F5E" w:rsidRDefault="00305F5E" w:rsidP="001D758F">
      <w:pPr>
        <w:spacing w:after="0" w:line="240" w:lineRule="auto"/>
        <w:jc w:val="both"/>
        <w:rPr>
          <w:rFonts w:ascii="Times New Roman" w:hAnsi="Times New Roman"/>
          <w:sz w:val="24"/>
          <w:szCs w:val="24"/>
        </w:rPr>
      </w:pPr>
    </w:p>
    <w:p w:rsidR="00305F5E" w:rsidRDefault="00305F5E" w:rsidP="00305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základe analýzy vývoja cien v rámci potr</w:t>
      </w:r>
      <w:r w:rsidR="006426A1">
        <w:rPr>
          <w:rFonts w:ascii="Times New Roman" w:hAnsi="Times New Roman" w:cs="Times New Roman"/>
          <w:sz w:val="24"/>
          <w:szCs w:val="24"/>
        </w:rPr>
        <w:t>avinovej vertikály je zrejmé, že</w:t>
      </w:r>
      <w:r>
        <w:rPr>
          <w:rFonts w:ascii="Times New Roman" w:hAnsi="Times New Roman" w:cs="Times New Roman"/>
          <w:sz w:val="24"/>
          <w:szCs w:val="24"/>
        </w:rPr>
        <w:t xml:space="preserve">, </w:t>
      </w:r>
      <w:r w:rsidR="006426A1">
        <w:rPr>
          <w:rFonts w:ascii="Times New Roman" w:hAnsi="Times New Roman" w:cs="Times New Roman"/>
          <w:sz w:val="24"/>
          <w:szCs w:val="24"/>
        </w:rPr>
        <w:t>nákupná cena zemiakov od prvovýrobcov prevyšuje úroveň vlastných nákladov, vypočítaných</w:t>
      </w:r>
      <w:r>
        <w:rPr>
          <w:rFonts w:ascii="Times New Roman" w:hAnsi="Times New Roman" w:cs="Times New Roman"/>
          <w:sz w:val="24"/>
          <w:szCs w:val="24"/>
        </w:rPr>
        <w:t xml:space="preserve"> pomocou vyčíslenia jednotlivých kalkulačných položiek vlastných nákladov na jednotku produkcie. Takto vypočítané vlastné náklady na 1 kg zemiakov dosahovali v roku 2011 výšku 0,</w:t>
      </w:r>
      <w:r w:rsidR="006426A1">
        <w:rPr>
          <w:rFonts w:ascii="Times New Roman" w:hAnsi="Times New Roman" w:cs="Times New Roman"/>
          <w:sz w:val="24"/>
          <w:szCs w:val="24"/>
        </w:rPr>
        <w:t>25 EUR/kg</w:t>
      </w:r>
      <w:r>
        <w:rPr>
          <w:rFonts w:ascii="Times New Roman" w:hAnsi="Times New Roman" w:cs="Times New Roman"/>
          <w:sz w:val="24"/>
          <w:szCs w:val="24"/>
        </w:rPr>
        <w:t xml:space="preserve">. </w:t>
      </w:r>
      <w:r w:rsidR="006426A1">
        <w:rPr>
          <w:rFonts w:ascii="Times New Roman" w:hAnsi="Times New Roman" w:cs="Times New Roman"/>
          <w:sz w:val="24"/>
          <w:szCs w:val="24"/>
        </w:rPr>
        <w:t>Teda zisk</w:t>
      </w:r>
      <w:r>
        <w:rPr>
          <w:rFonts w:ascii="Times New Roman" w:hAnsi="Times New Roman" w:cs="Times New Roman"/>
          <w:sz w:val="24"/>
          <w:szCs w:val="24"/>
        </w:rPr>
        <w:t xml:space="preserve"> prvovýrobcu </w:t>
      </w:r>
      <w:r w:rsidR="006426A1">
        <w:rPr>
          <w:rFonts w:ascii="Times New Roman" w:hAnsi="Times New Roman" w:cs="Times New Roman"/>
          <w:sz w:val="24"/>
          <w:szCs w:val="24"/>
        </w:rPr>
        <w:t xml:space="preserve">z 1 kg zemiakov </w:t>
      </w:r>
      <w:r>
        <w:rPr>
          <w:rFonts w:ascii="Times New Roman" w:hAnsi="Times New Roman" w:cs="Times New Roman"/>
          <w:sz w:val="24"/>
          <w:szCs w:val="24"/>
        </w:rPr>
        <w:t>sa takto pohybuje na úrovni 0,</w:t>
      </w:r>
      <w:r w:rsidR="006426A1">
        <w:rPr>
          <w:rFonts w:ascii="Times New Roman" w:hAnsi="Times New Roman" w:cs="Times New Roman"/>
          <w:sz w:val="24"/>
          <w:szCs w:val="24"/>
        </w:rPr>
        <w:t>06 EUR/kg</w:t>
      </w:r>
      <w:r>
        <w:rPr>
          <w:rFonts w:ascii="Times New Roman" w:hAnsi="Times New Roman" w:cs="Times New Roman"/>
          <w:sz w:val="24"/>
          <w:szCs w:val="24"/>
        </w:rPr>
        <w:t>.</w:t>
      </w:r>
    </w:p>
    <w:p w:rsidR="00305F5E" w:rsidRDefault="00305F5E" w:rsidP="001D758F">
      <w:pPr>
        <w:spacing w:after="0" w:line="240" w:lineRule="auto"/>
        <w:jc w:val="both"/>
        <w:rPr>
          <w:rFonts w:ascii="Times New Roman" w:hAnsi="Times New Roman"/>
          <w:sz w:val="24"/>
          <w:szCs w:val="24"/>
        </w:rPr>
      </w:pPr>
    </w:p>
    <w:p w:rsidR="006426A1" w:rsidRPr="006426A1" w:rsidRDefault="001C2862" w:rsidP="001D758F">
      <w:pPr>
        <w:spacing w:after="0" w:line="240" w:lineRule="auto"/>
        <w:jc w:val="both"/>
        <w:rPr>
          <w:rFonts w:ascii="Times New Roman" w:hAnsi="Times New Roman" w:cs="Times New Roman"/>
          <w:sz w:val="24"/>
          <w:szCs w:val="24"/>
        </w:rPr>
      </w:pPr>
      <w:r>
        <w:rPr>
          <w:rFonts w:ascii="Times New Roman" w:hAnsi="Times New Roman" w:cs="Times New Roman"/>
          <w:sz w:val="20"/>
          <w:szCs w:val="20"/>
        </w:rPr>
        <w:t>Gra</w:t>
      </w:r>
      <w:r w:rsidR="00C970F8">
        <w:rPr>
          <w:rFonts w:ascii="Times New Roman" w:hAnsi="Times New Roman" w:cs="Times New Roman"/>
          <w:sz w:val="20"/>
          <w:szCs w:val="20"/>
        </w:rPr>
        <w:t>f č. 50</w:t>
      </w:r>
      <w:r w:rsidR="006426A1" w:rsidRPr="00C55549">
        <w:rPr>
          <w:rFonts w:ascii="Times New Roman" w:hAnsi="Times New Roman" w:cs="Times New Roman"/>
          <w:sz w:val="20"/>
          <w:szCs w:val="20"/>
        </w:rPr>
        <w:t>:</w:t>
      </w:r>
      <w:r w:rsidR="006426A1">
        <w:rPr>
          <w:rFonts w:ascii="Times New Roman" w:hAnsi="Times New Roman" w:cs="Times New Roman"/>
          <w:sz w:val="20"/>
          <w:szCs w:val="20"/>
        </w:rPr>
        <w:t xml:space="preserve"> Vývoj cenových indexov na jednotlivých stupňoch potravinovej vertikály</w:t>
      </w:r>
    </w:p>
    <w:p w:rsidR="006426A1" w:rsidRDefault="006426A1" w:rsidP="001D758F">
      <w:pPr>
        <w:spacing w:after="0" w:line="240" w:lineRule="auto"/>
        <w:jc w:val="both"/>
        <w:rPr>
          <w:rFonts w:ascii="Times New Roman" w:hAnsi="Times New Roman"/>
          <w:sz w:val="24"/>
          <w:szCs w:val="24"/>
        </w:rPr>
      </w:pPr>
      <w:r>
        <w:rPr>
          <w:noProof/>
        </w:rPr>
        <w:drawing>
          <wp:inline distT="0" distB="0" distL="0" distR="0" wp14:anchorId="24FBE744" wp14:editId="6EE3DDA3">
            <wp:extent cx="5759532" cy="2470067"/>
            <wp:effectExtent l="0" t="0" r="0"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6426A1" w:rsidRDefault="006426A1" w:rsidP="006426A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443480" w:rsidRDefault="00443480" w:rsidP="001D758F">
      <w:pPr>
        <w:spacing w:after="0" w:line="240" w:lineRule="auto"/>
        <w:jc w:val="both"/>
        <w:rPr>
          <w:rFonts w:ascii="Times New Roman" w:hAnsi="Times New Roman"/>
          <w:sz w:val="24"/>
          <w:szCs w:val="24"/>
        </w:rPr>
      </w:pPr>
    </w:p>
    <w:p w:rsidR="006426A1" w:rsidRDefault="00443480" w:rsidP="001D758F">
      <w:pPr>
        <w:spacing w:after="0" w:line="240" w:lineRule="auto"/>
        <w:jc w:val="both"/>
        <w:rPr>
          <w:rFonts w:ascii="Times New Roman" w:hAnsi="Times New Roman"/>
          <w:sz w:val="24"/>
          <w:szCs w:val="24"/>
        </w:rPr>
      </w:pPr>
      <w:r>
        <w:rPr>
          <w:rFonts w:ascii="Times New Roman" w:hAnsi="Times New Roman"/>
          <w:sz w:val="24"/>
          <w:szCs w:val="24"/>
        </w:rPr>
        <w:t xml:space="preserve">Optimálny vývoj cenových úrovni na jednotlivých stupňoch potravinovej vertikály potvrdzuje aj vývoj indexov cien, ktorý zreteľne dokumentuje prirodzený stav, kedy ceny prvovýrobcov vykazujú nižšiu </w:t>
      </w:r>
      <w:proofErr w:type="spellStart"/>
      <w:r>
        <w:rPr>
          <w:rFonts w:ascii="Times New Roman" w:hAnsi="Times New Roman"/>
          <w:sz w:val="24"/>
          <w:szCs w:val="24"/>
        </w:rPr>
        <w:t>volatilitu</w:t>
      </w:r>
      <w:proofErr w:type="spellEnd"/>
      <w:r>
        <w:rPr>
          <w:rFonts w:ascii="Times New Roman" w:hAnsi="Times New Roman"/>
          <w:sz w:val="24"/>
          <w:szCs w:val="24"/>
        </w:rPr>
        <w:t xml:space="preserve"> ako spotrebiteľské ceny. </w:t>
      </w:r>
    </w:p>
    <w:p w:rsidR="006426A1" w:rsidRDefault="006426A1" w:rsidP="001D758F">
      <w:pPr>
        <w:spacing w:after="0" w:line="240" w:lineRule="auto"/>
        <w:jc w:val="both"/>
        <w:rPr>
          <w:rFonts w:ascii="Times New Roman" w:hAnsi="Times New Roman"/>
          <w:sz w:val="24"/>
          <w:szCs w:val="24"/>
        </w:rPr>
      </w:pPr>
    </w:p>
    <w:p w:rsidR="00305F5E" w:rsidRDefault="006426A1" w:rsidP="00305F5E">
      <w:pPr>
        <w:spacing w:after="0" w:line="240" w:lineRule="auto"/>
        <w:jc w:val="both"/>
        <w:rPr>
          <w:rFonts w:ascii="Times New Roman" w:hAnsi="Times New Roman"/>
          <w:sz w:val="24"/>
          <w:szCs w:val="24"/>
        </w:rPr>
      </w:pPr>
      <w:r>
        <w:rPr>
          <w:rFonts w:ascii="Times New Roman" w:hAnsi="Times New Roman"/>
          <w:sz w:val="24"/>
          <w:szCs w:val="24"/>
        </w:rPr>
        <w:t>H</w:t>
      </w:r>
      <w:r w:rsidR="00305F5E" w:rsidRPr="001334C4">
        <w:rPr>
          <w:rFonts w:ascii="Times New Roman" w:hAnsi="Times New Roman"/>
          <w:sz w:val="24"/>
          <w:szCs w:val="24"/>
        </w:rPr>
        <w:t xml:space="preserve">lavnými príčinami </w:t>
      </w:r>
      <w:r>
        <w:rPr>
          <w:rFonts w:ascii="Times New Roman" w:hAnsi="Times New Roman"/>
          <w:sz w:val="24"/>
          <w:szCs w:val="24"/>
        </w:rPr>
        <w:t xml:space="preserve">radikálneho </w:t>
      </w:r>
      <w:r w:rsidR="00305F5E" w:rsidRPr="001334C4">
        <w:rPr>
          <w:rFonts w:ascii="Times New Roman" w:hAnsi="Times New Roman"/>
          <w:sz w:val="24"/>
          <w:szCs w:val="24"/>
        </w:rPr>
        <w:t xml:space="preserve">poklesu </w:t>
      </w:r>
      <w:r>
        <w:rPr>
          <w:rFonts w:ascii="Times New Roman" w:hAnsi="Times New Roman"/>
          <w:sz w:val="24"/>
          <w:szCs w:val="24"/>
        </w:rPr>
        <w:t>zberových plôch</w:t>
      </w:r>
      <w:r w:rsidR="00AA5B74">
        <w:rPr>
          <w:rFonts w:ascii="Times New Roman" w:hAnsi="Times New Roman"/>
          <w:sz w:val="24"/>
          <w:szCs w:val="24"/>
        </w:rPr>
        <w:t xml:space="preserve"> </w:t>
      </w:r>
      <w:r>
        <w:rPr>
          <w:rFonts w:ascii="Times New Roman" w:hAnsi="Times New Roman"/>
          <w:sz w:val="24"/>
          <w:szCs w:val="24"/>
        </w:rPr>
        <w:t xml:space="preserve">teda </w:t>
      </w:r>
      <w:r w:rsidR="00305F5E" w:rsidRPr="001334C4">
        <w:rPr>
          <w:rFonts w:ascii="Times New Roman" w:hAnsi="Times New Roman"/>
          <w:sz w:val="24"/>
          <w:szCs w:val="24"/>
        </w:rPr>
        <w:t xml:space="preserve">sú </w:t>
      </w:r>
      <w:r w:rsidR="00A404AC">
        <w:rPr>
          <w:rFonts w:ascii="Times New Roman" w:hAnsi="Times New Roman"/>
          <w:sz w:val="24"/>
          <w:szCs w:val="24"/>
        </w:rPr>
        <w:t>predovšetkým</w:t>
      </w:r>
      <w:r w:rsidR="00AA5B74">
        <w:rPr>
          <w:rFonts w:ascii="Times New Roman" w:hAnsi="Times New Roman"/>
          <w:sz w:val="24"/>
          <w:szCs w:val="24"/>
        </w:rPr>
        <w:t xml:space="preserve"> </w:t>
      </w:r>
      <w:r w:rsidR="00305F5E" w:rsidRPr="001334C4">
        <w:rPr>
          <w:rFonts w:ascii="Times New Roman" w:hAnsi="Times New Roman"/>
          <w:sz w:val="24"/>
          <w:szCs w:val="24"/>
        </w:rPr>
        <w:t xml:space="preserve">nové </w:t>
      </w:r>
      <w:r w:rsidR="00305F5E">
        <w:rPr>
          <w:rFonts w:ascii="Times New Roman" w:hAnsi="Times New Roman"/>
          <w:sz w:val="24"/>
          <w:szCs w:val="24"/>
        </w:rPr>
        <w:t>trhové podmienky po vstupe do EÚ, t.j. nástup dovozov do SR</w:t>
      </w:r>
      <w:r w:rsidR="00305F5E" w:rsidRPr="001334C4">
        <w:rPr>
          <w:rFonts w:ascii="Times New Roman" w:hAnsi="Times New Roman"/>
          <w:sz w:val="24"/>
          <w:szCs w:val="24"/>
        </w:rPr>
        <w:t>,</w:t>
      </w:r>
      <w:r w:rsidR="00AA5B74">
        <w:rPr>
          <w:rFonts w:ascii="Times New Roman" w:hAnsi="Times New Roman"/>
          <w:sz w:val="24"/>
          <w:szCs w:val="24"/>
        </w:rPr>
        <w:t xml:space="preserve"> </w:t>
      </w:r>
      <w:r w:rsidR="00305F5E" w:rsidRPr="001334C4">
        <w:rPr>
          <w:rFonts w:ascii="Times New Roman" w:hAnsi="Times New Roman"/>
          <w:sz w:val="24"/>
          <w:szCs w:val="24"/>
        </w:rPr>
        <w:t>následné obmedzovanie investícií a postupn</w:t>
      </w:r>
      <w:r w:rsidR="00305F5E">
        <w:rPr>
          <w:rFonts w:ascii="Times New Roman" w:hAnsi="Times New Roman"/>
          <w:sz w:val="24"/>
          <w:szCs w:val="24"/>
        </w:rPr>
        <w:t xml:space="preserve">á strata konkurencieschopnosti. </w:t>
      </w:r>
      <w:r w:rsidR="00305F5E" w:rsidRPr="001334C4">
        <w:rPr>
          <w:rFonts w:ascii="Times New Roman" w:hAnsi="Times New Roman"/>
          <w:sz w:val="24"/>
          <w:szCs w:val="24"/>
        </w:rPr>
        <w:t>V poslednom období sa pre slovenské pestovateľské subjekty výrazne zhoršuje aj prístup na trh.</w:t>
      </w:r>
      <w:r w:rsidR="00305F5E">
        <w:rPr>
          <w:rFonts w:ascii="Times New Roman" w:hAnsi="Times New Roman"/>
          <w:sz w:val="24"/>
          <w:szCs w:val="24"/>
        </w:rPr>
        <w:t xml:space="preserve"> Ten </w:t>
      </w:r>
      <w:r w:rsidR="00305F5E" w:rsidRPr="001334C4">
        <w:rPr>
          <w:rFonts w:ascii="Times New Roman" w:hAnsi="Times New Roman"/>
          <w:sz w:val="24"/>
          <w:szCs w:val="24"/>
        </w:rPr>
        <w:t xml:space="preserve">postupne ovládli obchodné reťazce </w:t>
      </w:r>
      <w:proofErr w:type="spellStart"/>
      <w:r w:rsidR="00305F5E" w:rsidRPr="001334C4">
        <w:rPr>
          <w:rFonts w:ascii="Times New Roman" w:hAnsi="Times New Roman"/>
          <w:sz w:val="24"/>
          <w:szCs w:val="24"/>
        </w:rPr>
        <w:t>domicilované</w:t>
      </w:r>
      <w:proofErr w:type="spellEnd"/>
      <w:r w:rsidR="00305F5E" w:rsidRPr="001334C4">
        <w:rPr>
          <w:rFonts w:ascii="Times New Roman" w:hAnsi="Times New Roman"/>
          <w:sz w:val="24"/>
          <w:szCs w:val="24"/>
        </w:rPr>
        <w:t xml:space="preserve"> mimo územia SR a pri kontaktoch uprednos</w:t>
      </w:r>
      <w:r w:rsidR="00305F5E">
        <w:rPr>
          <w:rFonts w:ascii="Times New Roman" w:hAnsi="Times New Roman"/>
          <w:sz w:val="24"/>
          <w:szCs w:val="24"/>
        </w:rPr>
        <w:t>tňujú zahraničné, predovšetkým české</w:t>
      </w:r>
      <w:r w:rsidR="00305F5E" w:rsidRPr="001334C4">
        <w:rPr>
          <w:rFonts w:ascii="Times New Roman" w:hAnsi="Times New Roman"/>
          <w:sz w:val="24"/>
          <w:szCs w:val="24"/>
        </w:rPr>
        <w:t xml:space="preserve"> spoločnosti.</w:t>
      </w:r>
      <w:r w:rsidR="00AA5B74">
        <w:rPr>
          <w:rFonts w:ascii="Times New Roman" w:hAnsi="Times New Roman"/>
          <w:sz w:val="24"/>
          <w:szCs w:val="24"/>
        </w:rPr>
        <w:t xml:space="preserve"> </w:t>
      </w:r>
      <w:r w:rsidR="00305F5E" w:rsidRPr="001334C4">
        <w:rPr>
          <w:rFonts w:ascii="Times New Roman" w:hAnsi="Times New Roman"/>
          <w:sz w:val="24"/>
          <w:szCs w:val="24"/>
        </w:rPr>
        <w:t>U niekto</w:t>
      </w:r>
      <w:r w:rsidR="00305F5E">
        <w:rPr>
          <w:rFonts w:ascii="Times New Roman" w:hAnsi="Times New Roman"/>
          <w:sz w:val="24"/>
          <w:szCs w:val="24"/>
        </w:rPr>
        <w:t>r</w:t>
      </w:r>
      <w:r w:rsidR="00305F5E" w:rsidRPr="001334C4">
        <w:rPr>
          <w:rFonts w:ascii="Times New Roman" w:hAnsi="Times New Roman"/>
          <w:sz w:val="24"/>
          <w:szCs w:val="24"/>
        </w:rPr>
        <w:t>ých reťazcov preto dnes podiel slovenských dodávateľov nedosahuje an</w:t>
      </w:r>
      <w:r w:rsidR="00305F5E">
        <w:rPr>
          <w:rFonts w:ascii="Times New Roman" w:hAnsi="Times New Roman"/>
          <w:sz w:val="24"/>
          <w:szCs w:val="24"/>
        </w:rPr>
        <w:t>i 30</w:t>
      </w:r>
      <w:r w:rsidR="00305F5E" w:rsidRPr="001334C4">
        <w:rPr>
          <w:rFonts w:ascii="Times New Roman" w:hAnsi="Times New Roman"/>
          <w:sz w:val="24"/>
          <w:szCs w:val="24"/>
        </w:rPr>
        <w:t>%.</w:t>
      </w:r>
    </w:p>
    <w:p w:rsidR="00305F5E" w:rsidRDefault="00305F5E" w:rsidP="001D758F">
      <w:pPr>
        <w:spacing w:after="0" w:line="240" w:lineRule="auto"/>
        <w:jc w:val="both"/>
        <w:rPr>
          <w:rFonts w:ascii="Times New Roman" w:hAnsi="Times New Roman"/>
          <w:sz w:val="24"/>
          <w:szCs w:val="24"/>
        </w:rPr>
      </w:pPr>
    </w:p>
    <w:p w:rsidR="00A6713F" w:rsidRDefault="00A6713F" w:rsidP="00A6713F">
      <w:pPr>
        <w:pBdr>
          <w:top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základe vykonanej analýzy celej potravinovej vertikály zemiakov považujeme za potrebné </w:t>
      </w:r>
    </w:p>
    <w:p w:rsidR="00A6713F" w:rsidRPr="00DC2D88" w:rsidRDefault="00620D75" w:rsidP="00DC2D88">
      <w:pPr>
        <w:spacing w:after="0" w:line="240" w:lineRule="auto"/>
        <w:jc w:val="both"/>
        <w:rPr>
          <w:rFonts w:ascii="Times New Roman" w:hAnsi="Times New Roman" w:cs="Times New Roman"/>
          <w:sz w:val="24"/>
          <w:szCs w:val="24"/>
        </w:rPr>
      </w:pPr>
      <w:r w:rsidRPr="00DC2D88">
        <w:rPr>
          <w:rFonts w:ascii="Times New Roman" w:eastAsia="Times New Roman" w:hAnsi="Times New Roman" w:cs="Times New Roman"/>
          <w:color w:val="000000"/>
          <w:sz w:val="24"/>
          <w:szCs w:val="24"/>
        </w:rPr>
        <w:t>zvýšiť zberové plochy zemiakov o </w:t>
      </w:r>
      <w:r w:rsidR="00A32E77" w:rsidRPr="00DC2D88">
        <w:rPr>
          <w:rFonts w:ascii="Times New Roman" w:eastAsia="Times New Roman" w:hAnsi="Times New Roman" w:cs="Times New Roman"/>
          <w:color w:val="000000"/>
          <w:sz w:val="24"/>
          <w:szCs w:val="24"/>
        </w:rPr>
        <w:t>743</w:t>
      </w:r>
      <w:r w:rsidRPr="00DC2D88">
        <w:rPr>
          <w:rFonts w:ascii="Times New Roman" w:eastAsia="Times New Roman" w:hAnsi="Times New Roman" w:cs="Times New Roman"/>
          <w:color w:val="000000"/>
          <w:sz w:val="24"/>
          <w:szCs w:val="24"/>
        </w:rPr>
        <w:t xml:space="preserve"> ha, čo pri súčasnej hektárovej výnosnosti na úrovni </w:t>
      </w:r>
      <w:r w:rsidR="00915EF1" w:rsidRPr="00DC2D88">
        <w:rPr>
          <w:rFonts w:ascii="Times New Roman" w:eastAsia="Times New Roman" w:hAnsi="Times New Roman" w:cs="Times New Roman"/>
          <w:color w:val="000000"/>
          <w:sz w:val="24"/>
          <w:szCs w:val="24"/>
        </w:rPr>
        <w:t xml:space="preserve">20,9 </w:t>
      </w:r>
      <w:r w:rsidRPr="00DC2D88">
        <w:rPr>
          <w:rFonts w:ascii="Times New Roman" w:eastAsia="Times New Roman" w:hAnsi="Times New Roman" w:cs="Times New Roman"/>
          <w:color w:val="000000"/>
          <w:sz w:val="24"/>
          <w:szCs w:val="24"/>
        </w:rPr>
        <w:t>t/ha predstavuje dodatočn</w:t>
      </w:r>
      <w:r w:rsidR="00915EF1" w:rsidRPr="00DC2D88">
        <w:rPr>
          <w:rFonts w:ascii="Times New Roman" w:eastAsia="Times New Roman" w:hAnsi="Times New Roman" w:cs="Times New Roman"/>
          <w:color w:val="000000"/>
          <w:sz w:val="24"/>
          <w:szCs w:val="24"/>
        </w:rPr>
        <w:t>é zvýšenie produkcie zemiakov o 12 56</w:t>
      </w:r>
      <w:r w:rsidRPr="00DC2D88">
        <w:rPr>
          <w:rFonts w:ascii="Times New Roman" w:eastAsia="Times New Roman" w:hAnsi="Times New Roman" w:cs="Times New Roman"/>
          <w:color w:val="000000"/>
          <w:sz w:val="24"/>
          <w:szCs w:val="24"/>
        </w:rPr>
        <w:t>0 t.</w:t>
      </w:r>
    </w:p>
    <w:p w:rsidR="00BA7686" w:rsidRPr="00BA7686" w:rsidRDefault="00BA7686" w:rsidP="00264729">
      <w:pPr>
        <w:pBdr>
          <w:top w:val="single" w:sz="4" w:space="1" w:color="auto"/>
        </w:pBdr>
        <w:spacing w:after="0" w:line="240" w:lineRule="auto"/>
        <w:rPr>
          <w:rFonts w:ascii="Times New Roman" w:hAnsi="Times New Roman" w:cs="Times New Roman"/>
          <w:b/>
          <w:sz w:val="24"/>
          <w:szCs w:val="24"/>
        </w:rPr>
      </w:pPr>
    </w:p>
    <w:p w:rsidR="00D518D1" w:rsidRDefault="00D518D1" w:rsidP="000D68DC">
      <w:pPr>
        <w:pStyle w:val="Nadpis3"/>
        <w:numPr>
          <w:ilvl w:val="2"/>
          <w:numId w:val="8"/>
        </w:numPr>
      </w:pPr>
      <w:bookmarkStart w:id="38" w:name="_Toc359550659"/>
      <w:r>
        <w:t>Zelenina</w:t>
      </w:r>
      <w:bookmarkEnd w:id="38"/>
    </w:p>
    <w:p w:rsidR="00D518D1" w:rsidRDefault="00D518D1" w:rsidP="00F145BD">
      <w:pPr>
        <w:spacing w:after="0" w:line="240" w:lineRule="auto"/>
        <w:rPr>
          <w:rFonts w:ascii="Times New Roman" w:hAnsi="Times New Roman" w:cs="Times New Roman"/>
          <w:b/>
          <w:sz w:val="24"/>
          <w:szCs w:val="24"/>
        </w:rPr>
      </w:pPr>
    </w:p>
    <w:p w:rsidR="008A6CD4" w:rsidRDefault="008A6CD4" w:rsidP="008A6CD4">
      <w:pPr>
        <w:spacing w:after="0" w:line="240" w:lineRule="auto"/>
        <w:jc w:val="both"/>
        <w:rPr>
          <w:rFonts w:ascii="Times New Roman" w:hAnsi="Times New Roman" w:cs="Times New Roman"/>
          <w:sz w:val="24"/>
          <w:szCs w:val="24"/>
        </w:rPr>
      </w:pPr>
      <w:r w:rsidRPr="007C5739">
        <w:rPr>
          <w:rFonts w:ascii="Times New Roman" w:hAnsi="Times New Roman" w:cs="Times New Roman"/>
          <w:sz w:val="24"/>
          <w:szCs w:val="24"/>
        </w:rPr>
        <w:t>Domáci dop</w:t>
      </w:r>
      <w:r>
        <w:rPr>
          <w:rFonts w:ascii="Times New Roman" w:hAnsi="Times New Roman" w:cs="Times New Roman"/>
          <w:sz w:val="24"/>
          <w:szCs w:val="24"/>
        </w:rPr>
        <w:t xml:space="preserve">yt po zelenine meriame pomocou štatisticky nameranej spotreby v tis. t za rok, čo predstavuje objem 552,72 tis. t. </w:t>
      </w:r>
      <w:r w:rsidR="00F749E9">
        <w:rPr>
          <w:rFonts w:ascii="Times New Roman" w:hAnsi="Times New Roman" w:cs="Times New Roman"/>
          <w:sz w:val="24"/>
          <w:szCs w:val="24"/>
        </w:rPr>
        <w:t>D</w:t>
      </w:r>
      <w:r>
        <w:rPr>
          <w:rFonts w:ascii="Times New Roman" w:hAnsi="Times New Roman" w:cs="Times New Roman"/>
          <w:sz w:val="24"/>
          <w:szCs w:val="24"/>
        </w:rPr>
        <w:t xml:space="preserve">omáca produkcia, vrátane odhadu samozásobenia, predstavuje objem 314,86 tis. t. Znamená to, že produkcia v SR dosahuje len 56,97 % domáceho dopytu, čo znamená, že </w:t>
      </w:r>
      <w:r w:rsidR="00A32E77">
        <w:rPr>
          <w:rFonts w:ascii="Times New Roman" w:hAnsi="Times New Roman" w:cs="Times New Roman"/>
          <w:sz w:val="24"/>
          <w:szCs w:val="24"/>
        </w:rPr>
        <w:t>produkčná výkonnosť</w:t>
      </w:r>
      <w:r>
        <w:rPr>
          <w:rFonts w:ascii="Times New Roman" w:hAnsi="Times New Roman" w:cs="Times New Roman"/>
          <w:sz w:val="24"/>
          <w:szCs w:val="24"/>
        </w:rPr>
        <w:t xml:space="preserve"> v tejto komodite, z hľadiska prvovýroby, nedosahuje stanovený cieľ. </w:t>
      </w:r>
    </w:p>
    <w:p w:rsidR="00DC2D88" w:rsidRDefault="00DC2D88" w:rsidP="00DC2D88">
      <w:pPr>
        <w:spacing w:after="0" w:line="240" w:lineRule="auto"/>
        <w:jc w:val="both"/>
        <w:rPr>
          <w:rFonts w:ascii="Times New Roman" w:hAnsi="Times New Roman" w:cs="Times New Roman"/>
          <w:sz w:val="24"/>
          <w:szCs w:val="24"/>
        </w:rPr>
      </w:pPr>
    </w:p>
    <w:p w:rsidR="00DC2D88" w:rsidRDefault="00DC2D88" w:rsidP="00DC2D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Nedostatok domácej produkcie oproti domácej spotrebe sa kryje dovozom v objeme       265,99 tis. t. </w:t>
      </w:r>
      <w:r w:rsidRPr="00C1719A">
        <w:rPr>
          <w:rFonts w:ascii="Times New Roman" w:hAnsi="Times New Roman" w:cs="Times New Roman"/>
          <w:sz w:val="24"/>
          <w:szCs w:val="24"/>
        </w:rPr>
        <w:t xml:space="preserve">Súčasne sa </w:t>
      </w:r>
      <w:r>
        <w:rPr>
          <w:rFonts w:ascii="Times New Roman" w:hAnsi="Times New Roman" w:cs="Times New Roman"/>
          <w:sz w:val="24"/>
          <w:szCs w:val="24"/>
        </w:rPr>
        <w:t xml:space="preserve">zo Slovenska vyváža 28,12 tis. t zeleniny. Z údajov zahraničného obchodu a po zohľadnení čistého vývozu je zrejmé, že súčasný objem dovozu je možné vykryť </w:t>
      </w:r>
      <w:r w:rsidR="00630E06">
        <w:rPr>
          <w:rFonts w:ascii="Times New Roman" w:hAnsi="Times New Roman" w:cs="Times New Roman"/>
          <w:sz w:val="24"/>
          <w:szCs w:val="24"/>
        </w:rPr>
        <w:t>takmer výlučne</w:t>
      </w:r>
      <w:r>
        <w:rPr>
          <w:rFonts w:ascii="Times New Roman" w:hAnsi="Times New Roman" w:cs="Times New Roman"/>
          <w:sz w:val="24"/>
          <w:szCs w:val="24"/>
        </w:rPr>
        <w:t xml:space="preserve"> zvýšením produkcie zeleniny na ornej pôde, a to kombináciou optimálneho zvýšenia kvalitatívnych a kvantitatívnych parametrov produkcie. </w:t>
      </w:r>
      <w:r w:rsidR="00630E06">
        <w:rPr>
          <w:rFonts w:ascii="Times New Roman" w:hAnsi="Times New Roman" w:cs="Times New Roman"/>
          <w:sz w:val="24"/>
          <w:szCs w:val="24"/>
        </w:rPr>
        <w:t xml:space="preserve">Vhodným doplnkom pri zvyšovaní celkovej produkcie zeleniny a domáceho odbytu je rozširovanie zeleninárskych plôch v blízkosti mestských </w:t>
      </w:r>
      <w:r w:rsidR="00EC5FFF">
        <w:rPr>
          <w:rFonts w:ascii="Times New Roman" w:hAnsi="Times New Roman" w:cs="Times New Roman"/>
          <w:sz w:val="24"/>
          <w:szCs w:val="24"/>
        </w:rPr>
        <w:t>sídiel</w:t>
      </w:r>
      <w:r w:rsidR="00630E06">
        <w:rPr>
          <w:rFonts w:ascii="Times New Roman" w:hAnsi="Times New Roman" w:cs="Times New Roman"/>
          <w:sz w:val="24"/>
          <w:szCs w:val="24"/>
        </w:rPr>
        <w:t>.</w:t>
      </w:r>
    </w:p>
    <w:p w:rsidR="008B6DB0" w:rsidRPr="008A6CD4" w:rsidRDefault="00C970F8" w:rsidP="008A6C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Tab. č.36</w:t>
      </w:r>
      <w:r w:rsidR="008A6CD4" w:rsidRPr="00A855A4">
        <w:rPr>
          <w:rFonts w:ascii="Times New Roman" w:hAnsi="Times New Roman" w:cs="Times New Roman"/>
          <w:sz w:val="20"/>
          <w:szCs w:val="20"/>
        </w:rPr>
        <w:t xml:space="preserve">: </w:t>
      </w:r>
      <w:r w:rsidR="008A6CD4" w:rsidRPr="008B1083">
        <w:rPr>
          <w:rFonts w:ascii="Times New Roman" w:hAnsi="Times New Roman" w:cs="Times New Roman"/>
          <w:sz w:val="20"/>
          <w:szCs w:val="20"/>
        </w:rPr>
        <w:t xml:space="preserve">Bilancia </w:t>
      </w:r>
      <w:r w:rsidR="008A6CD4">
        <w:rPr>
          <w:rFonts w:ascii="Times New Roman" w:hAnsi="Times New Roman" w:cs="Times New Roman"/>
          <w:sz w:val="20"/>
          <w:szCs w:val="20"/>
        </w:rPr>
        <w:t xml:space="preserve">zeleniny </w:t>
      </w:r>
    </w:p>
    <w:tbl>
      <w:tblPr>
        <w:tblW w:w="9072" w:type="dxa"/>
        <w:tblInd w:w="70" w:type="dxa"/>
        <w:tblCellMar>
          <w:left w:w="70" w:type="dxa"/>
          <w:right w:w="70" w:type="dxa"/>
        </w:tblCellMar>
        <w:tblLook w:val="00A0" w:firstRow="1" w:lastRow="0" w:firstColumn="1" w:lastColumn="0" w:noHBand="0" w:noVBand="0"/>
      </w:tblPr>
      <w:tblGrid>
        <w:gridCol w:w="3134"/>
        <w:gridCol w:w="897"/>
        <w:gridCol w:w="851"/>
        <w:gridCol w:w="850"/>
        <w:gridCol w:w="851"/>
        <w:gridCol w:w="850"/>
        <w:gridCol w:w="851"/>
        <w:gridCol w:w="788"/>
      </w:tblGrid>
      <w:tr w:rsidR="00DC2D88" w:rsidRPr="0019300C" w:rsidTr="007B5BCA">
        <w:trPr>
          <w:trHeight w:val="300"/>
        </w:trPr>
        <w:tc>
          <w:tcPr>
            <w:tcW w:w="3134" w:type="dxa"/>
            <w:tcBorders>
              <w:top w:val="nil"/>
              <w:left w:val="nil"/>
              <w:bottom w:val="single" w:sz="4" w:space="0" w:color="auto"/>
              <w:right w:val="single" w:sz="4" w:space="0" w:color="auto"/>
            </w:tcBorders>
            <w:shd w:val="clear" w:color="000000" w:fill="D9D9D9"/>
            <w:noWrap/>
            <w:vAlign w:val="bottom"/>
          </w:tcPr>
          <w:p w:rsidR="00DC2D88" w:rsidRPr="00986B85" w:rsidRDefault="00DC2D88" w:rsidP="00F544BD">
            <w:pPr>
              <w:spacing w:after="0" w:line="240" w:lineRule="auto"/>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Ukazovateľ</w:t>
            </w:r>
          </w:p>
        </w:tc>
        <w:tc>
          <w:tcPr>
            <w:tcW w:w="897" w:type="dxa"/>
            <w:tcBorders>
              <w:top w:val="nil"/>
              <w:left w:val="single" w:sz="4" w:space="0" w:color="auto"/>
              <w:bottom w:val="single" w:sz="4" w:space="0" w:color="auto"/>
              <w:right w:val="single" w:sz="4" w:space="0" w:color="auto"/>
            </w:tcBorders>
            <w:shd w:val="clear" w:color="000000" w:fill="D9D9D9"/>
            <w:noWrap/>
            <w:vAlign w:val="bottom"/>
          </w:tcPr>
          <w:p w:rsidR="00DC2D88" w:rsidRPr="00986B85" w:rsidRDefault="00DC2D88" w:rsidP="00F544BD">
            <w:pPr>
              <w:spacing w:after="0" w:line="240" w:lineRule="auto"/>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 </w:t>
            </w:r>
          </w:p>
        </w:tc>
        <w:tc>
          <w:tcPr>
            <w:tcW w:w="851" w:type="dxa"/>
            <w:tcBorders>
              <w:top w:val="nil"/>
              <w:left w:val="nil"/>
              <w:bottom w:val="single" w:sz="4" w:space="0" w:color="auto"/>
              <w:right w:val="single" w:sz="4" w:space="0" w:color="auto"/>
            </w:tcBorders>
            <w:shd w:val="clear" w:color="000000" w:fill="D9D9D9"/>
            <w:noWrap/>
            <w:vAlign w:val="bottom"/>
          </w:tcPr>
          <w:p w:rsidR="00DC2D88" w:rsidRPr="00986B85" w:rsidRDefault="00DC2D88" w:rsidP="00F544BD">
            <w:pPr>
              <w:spacing w:after="0" w:line="240" w:lineRule="auto"/>
              <w:jc w:val="center"/>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2002</w:t>
            </w:r>
          </w:p>
        </w:tc>
        <w:tc>
          <w:tcPr>
            <w:tcW w:w="850" w:type="dxa"/>
            <w:tcBorders>
              <w:top w:val="nil"/>
              <w:left w:val="nil"/>
              <w:bottom w:val="single" w:sz="4" w:space="0" w:color="auto"/>
              <w:right w:val="nil"/>
            </w:tcBorders>
            <w:shd w:val="clear" w:color="000000" w:fill="D9D9D9"/>
            <w:noWrap/>
            <w:vAlign w:val="bottom"/>
          </w:tcPr>
          <w:p w:rsidR="00DC2D88" w:rsidRPr="00986B85" w:rsidRDefault="00DC2D88" w:rsidP="00F544BD">
            <w:pPr>
              <w:spacing w:after="0" w:line="240" w:lineRule="auto"/>
              <w:jc w:val="center"/>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2007</w:t>
            </w:r>
          </w:p>
        </w:tc>
        <w:tc>
          <w:tcPr>
            <w:tcW w:w="851" w:type="dxa"/>
            <w:tcBorders>
              <w:top w:val="nil"/>
              <w:left w:val="nil"/>
              <w:bottom w:val="single" w:sz="4" w:space="0" w:color="auto"/>
              <w:right w:val="nil"/>
            </w:tcBorders>
            <w:shd w:val="clear" w:color="000000" w:fill="D9D9D9"/>
            <w:noWrap/>
            <w:vAlign w:val="bottom"/>
          </w:tcPr>
          <w:p w:rsidR="00DC2D88" w:rsidRPr="00986B85" w:rsidRDefault="00DC2D88" w:rsidP="00F544BD">
            <w:pPr>
              <w:spacing w:after="0" w:line="240" w:lineRule="auto"/>
              <w:jc w:val="center"/>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2008</w:t>
            </w:r>
          </w:p>
        </w:tc>
        <w:tc>
          <w:tcPr>
            <w:tcW w:w="850" w:type="dxa"/>
            <w:tcBorders>
              <w:top w:val="nil"/>
              <w:left w:val="nil"/>
              <w:bottom w:val="single" w:sz="4" w:space="0" w:color="auto"/>
              <w:right w:val="nil"/>
            </w:tcBorders>
            <w:shd w:val="clear" w:color="000000" w:fill="D9D9D9"/>
            <w:noWrap/>
            <w:vAlign w:val="bottom"/>
          </w:tcPr>
          <w:p w:rsidR="00DC2D88" w:rsidRPr="00986B85" w:rsidRDefault="00DC2D88" w:rsidP="00F544BD">
            <w:pPr>
              <w:spacing w:after="0" w:line="240" w:lineRule="auto"/>
              <w:jc w:val="center"/>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2009</w:t>
            </w:r>
          </w:p>
        </w:tc>
        <w:tc>
          <w:tcPr>
            <w:tcW w:w="851" w:type="dxa"/>
            <w:tcBorders>
              <w:top w:val="nil"/>
              <w:left w:val="nil"/>
              <w:bottom w:val="single" w:sz="4" w:space="0" w:color="auto"/>
              <w:right w:val="nil"/>
            </w:tcBorders>
            <w:shd w:val="clear" w:color="000000" w:fill="D9D9D9"/>
            <w:noWrap/>
            <w:vAlign w:val="bottom"/>
          </w:tcPr>
          <w:p w:rsidR="00DC2D88" w:rsidRPr="00986B85" w:rsidRDefault="00DC2D88" w:rsidP="00F544BD">
            <w:pPr>
              <w:spacing w:after="0" w:line="240" w:lineRule="auto"/>
              <w:jc w:val="center"/>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2010</w:t>
            </w:r>
          </w:p>
        </w:tc>
        <w:tc>
          <w:tcPr>
            <w:tcW w:w="788" w:type="dxa"/>
            <w:tcBorders>
              <w:top w:val="nil"/>
              <w:left w:val="nil"/>
              <w:bottom w:val="single" w:sz="4" w:space="0" w:color="auto"/>
              <w:right w:val="nil"/>
            </w:tcBorders>
            <w:shd w:val="clear" w:color="000000" w:fill="D9D9D9"/>
            <w:noWrap/>
            <w:vAlign w:val="bottom"/>
          </w:tcPr>
          <w:p w:rsidR="00DC2D88" w:rsidRPr="00986B85" w:rsidRDefault="00DC2D88" w:rsidP="00F544BD">
            <w:pPr>
              <w:spacing w:after="0" w:line="240" w:lineRule="auto"/>
              <w:jc w:val="center"/>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2011</w:t>
            </w:r>
          </w:p>
        </w:tc>
      </w:tr>
      <w:tr w:rsidR="00DC2D88" w:rsidRPr="0019300C" w:rsidTr="007B5BCA">
        <w:trPr>
          <w:trHeight w:val="300"/>
        </w:trPr>
        <w:tc>
          <w:tcPr>
            <w:tcW w:w="3134" w:type="dxa"/>
            <w:tcBorders>
              <w:top w:val="nil"/>
              <w:left w:val="nil"/>
              <w:bottom w:val="nil"/>
              <w:right w:val="single" w:sz="4" w:space="0" w:color="auto"/>
            </w:tcBorders>
            <w:vAlign w:val="center"/>
          </w:tcPr>
          <w:p w:rsidR="00DC2D88" w:rsidRPr="00986B85" w:rsidRDefault="00DC2D88" w:rsidP="00F544BD">
            <w:pPr>
              <w:spacing w:after="0" w:line="240" w:lineRule="auto"/>
              <w:rPr>
                <w:rFonts w:ascii="Times New Roman" w:hAnsi="Times New Roman" w:cs="Times New Roman"/>
                <w:color w:val="000000"/>
                <w:sz w:val="20"/>
                <w:szCs w:val="20"/>
              </w:rPr>
            </w:pPr>
            <w:r w:rsidRPr="00986B85">
              <w:rPr>
                <w:rFonts w:ascii="Times New Roman" w:hAnsi="Times New Roman" w:cs="Times New Roman"/>
                <w:color w:val="000000"/>
                <w:sz w:val="20"/>
                <w:szCs w:val="20"/>
              </w:rPr>
              <w:t>Zberová plocha</w:t>
            </w:r>
          </w:p>
        </w:tc>
        <w:tc>
          <w:tcPr>
            <w:tcW w:w="897" w:type="dxa"/>
            <w:tcBorders>
              <w:top w:val="nil"/>
              <w:left w:val="single" w:sz="4" w:space="0" w:color="auto"/>
              <w:bottom w:val="nil"/>
              <w:right w:val="single" w:sz="4" w:space="0" w:color="auto"/>
            </w:tcBorders>
            <w:vAlign w:val="center"/>
          </w:tcPr>
          <w:p w:rsidR="00DC2D88" w:rsidRPr="00986B85" w:rsidRDefault="00DC2D88" w:rsidP="00F544BD">
            <w:pPr>
              <w:spacing w:after="0" w:line="240" w:lineRule="auto"/>
              <w:jc w:val="center"/>
              <w:rPr>
                <w:rFonts w:ascii="Times New Roman" w:hAnsi="Times New Roman" w:cs="Times New Roman"/>
                <w:color w:val="000000"/>
                <w:sz w:val="20"/>
                <w:szCs w:val="20"/>
              </w:rPr>
            </w:pPr>
            <w:r w:rsidRPr="00986B85">
              <w:rPr>
                <w:rFonts w:ascii="Times New Roman" w:hAnsi="Times New Roman" w:cs="Times New Roman"/>
                <w:color w:val="000000"/>
                <w:sz w:val="20"/>
                <w:szCs w:val="20"/>
              </w:rPr>
              <w:t xml:space="preserve">tis. ha </w:t>
            </w:r>
          </w:p>
        </w:tc>
        <w:tc>
          <w:tcPr>
            <w:tcW w:w="851" w:type="dxa"/>
            <w:tcBorders>
              <w:top w:val="nil"/>
              <w:left w:val="nil"/>
              <w:bottom w:val="nil"/>
              <w:right w:val="single" w:sz="4" w:space="0" w:color="auto"/>
            </w:tcBorders>
            <w:noWrap/>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33,57</w:t>
            </w:r>
          </w:p>
        </w:tc>
        <w:tc>
          <w:tcPr>
            <w:tcW w:w="850"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28,87</w:t>
            </w:r>
          </w:p>
        </w:tc>
        <w:tc>
          <w:tcPr>
            <w:tcW w:w="851"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28,43</w:t>
            </w:r>
          </w:p>
        </w:tc>
        <w:tc>
          <w:tcPr>
            <w:tcW w:w="850"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28,55</w:t>
            </w:r>
          </w:p>
        </w:tc>
        <w:tc>
          <w:tcPr>
            <w:tcW w:w="851"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30,56</w:t>
            </w:r>
          </w:p>
        </w:tc>
        <w:tc>
          <w:tcPr>
            <w:tcW w:w="788"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30,33</w:t>
            </w:r>
          </w:p>
        </w:tc>
      </w:tr>
      <w:tr w:rsidR="00DC2D88" w:rsidRPr="0019300C" w:rsidTr="007B5BCA">
        <w:trPr>
          <w:trHeight w:val="300"/>
        </w:trPr>
        <w:tc>
          <w:tcPr>
            <w:tcW w:w="3134" w:type="dxa"/>
            <w:tcBorders>
              <w:top w:val="nil"/>
              <w:left w:val="nil"/>
              <w:bottom w:val="nil"/>
              <w:right w:val="single" w:sz="4" w:space="0" w:color="auto"/>
            </w:tcBorders>
            <w:vAlign w:val="center"/>
          </w:tcPr>
          <w:p w:rsidR="00DC2D88" w:rsidRPr="00986B85" w:rsidRDefault="00DC2D88" w:rsidP="00F544BD">
            <w:pPr>
              <w:spacing w:after="0" w:line="240" w:lineRule="auto"/>
              <w:rPr>
                <w:rFonts w:ascii="Times New Roman" w:hAnsi="Times New Roman" w:cs="Times New Roman"/>
                <w:color w:val="000000"/>
                <w:sz w:val="20"/>
                <w:szCs w:val="20"/>
              </w:rPr>
            </w:pPr>
            <w:r>
              <w:rPr>
                <w:rFonts w:ascii="Times New Roman" w:hAnsi="Times New Roman"/>
                <w:color w:val="000000"/>
                <w:sz w:val="20"/>
                <w:szCs w:val="20"/>
              </w:rPr>
              <w:t xml:space="preserve">     z toho orná pôda</w:t>
            </w:r>
          </w:p>
        </w:tc>
        <w:tc>
          <w:tcPr>
            <w:tcW w:w="897" w:type="dxa"/>
            <w:tcBorders>
              <w:top w:val="nil"/>
              <w:left w:val="single" w:sz="4" w:space="0" w:color="auto"/>
              <w:bottom w:val="nil"/>
              <w:right w:val="single" w:sz="4" w:space="0" w:color="auto"/>
            </w:tcBorders>
            <w:vAlign w:val="center"/>
          </w:tcPr>
          <w:p w:rsidR="00DC2D88" w:rsidRPr="00986B85" w:rsidRDefault="00DC2D88" w:rsidP="00F544BD">
            <w:pPr>
              <w:spacing w:after="0" w:line="240" w:lineRule="auto"/>
              <w:jc w:val="center"/>
              <w:rPr>
                <w:rFonts w:ascii="Times New Roman" w:hAnsi="Times New Roman" w:cs="Times New Roman"/>
                <w:color w:val="000000"/>
                <w:sz w:val="20"/>
                <w:szCs w:val="20"/>
              </w:rPr>
            </w:pPr>
            <w:r>
              <w:rPr>
                <w:rFonts w:ascii="Times New Roman" w:hAnsi="Times New Roman"/>
                <w:color w:val="000000"/>
                <w:sz w:val="20"/>
                <w:szCs w:val="20"/>
              </w:rPr>
              <w:t>tis. ha</w:t>
            </w:r>
          </w:p>
        </w:tc>
        <w:tc>
          <w:tcPr>
            <w:tcW w:w="851" w:type="dxa"/>
            <w:tcBorders>
              <w:top w:val="nil"/>
              <w:left w:val="nil"/>
              <w:bottom w:val="nil"/>
              <w:right w:val="single" w:sz="4" w:space="0" w:color="auto"/>
            </w:tcBorders>
            <w:noWrap/>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Pr>
                <w:rFonts w:ascii="Times New Roman" w:hAnsi="Times New Roman"/>
                <w:color w:val="000000"/>
                <w:sz w:val="20"/>
                <w:szCs w:val="20"/>
              </w:rPr>
              <w:t>14,08</w:t>
            </w:r>
          </w:p>
        </w:tc>
        <w:tc>
          <w:tcPr>
            <w:tcW w:w="850" w:type="dxa"/>
            <w:tcBorders>
              <w:top w:val="nil"/>
              <w:left w:val="nil"/>
              <w:bottom w:val="nil"/>
              <w:right w:val="nil"/>
            </w:tcBorders>
          </w:tcPr>
          <w:p w:rsidR="00DC2D88" w:rsidRPr="00986B85" w:rsidRDefault="00DC2D88" w:rsidP="00F544BD">
            <w:pPr>
              <w:spacing w:after="0" w:line="240" w:lineRule="auto"/>
              <w:jc w:val="right"/>
              <w:rPr>
                <w:rFonts w:ascii="Times New Roman" w:hAnsi="Times New Roman" w:cs="Times New Roman"/>
                <w:color w:val="000000"/>
                <w:sz w:val="20"/>
                <w:szCs w:val="20"/>
              </w:rPr>
            </w:pPr>
            <w:r w:rsidRPr="00F50C05">
              <w:rPr>
                <w:rFonts w:ascii="Times New Roman" w:hAnsi="Times New Roman"/>
                <w:color w:val="000000"/>
                <w:sz w:val="20"/>
                <w:szCs w:val="20"/>
              </w:rPr>
              <w:t>7,87</w:t>
            </w:r>
          </w:p>
        </w:tc>
        <w:tc>
          <w:tcPr>
            <w:tcW w:w="851" w:type="dxa"/>
            <w:tcBorders>
              <w:top w:val="nil"/>
              <w:left w:val="nil"/>
              <w:bottom w:val="nil"/>
              <w:right w:val="nil"/>
            </w:tcBorders>
          </w:tcPr>
          <w:p w:rsidR="00DC2D88" w:rsidRPr="00986B85" w:rsidRDefault="00DC2D88" w:rsidP="00F544BD">
            <w:pPr>
              <w:spacing w:after="0" w:line="240" w:lineRule="auto"/>
              <w:jc w:val="right"/>
              <w:rPr>
                <w:rFonts w:ascii="Times New Roman" w:hAnsi="Times New Roman" w:cs="Times New Roman"/>
                <w:color w:val="000000"/>
                <w:sz w:val="20"/>
                <w:szCs w:val="20"/>
              </w:rPr>
            </w:pPr>
            <w:r w:rsidRPr="00F50C05">
              <w:rPr>
                <w:rFonts w:ascii="Times New Roman" w:hAnsi="Times New Roman"/>
                <w:color w:val="000000"/>
                <w:sz w:val="20"/>
                <w:szCs w:val="20"/>
              </w:rPr>
              <w:t>7,48</w:t>
            </w:r>
          </w:p>
        </w:tc>
        <w:tc>
          <w:tcPr>
            <w:tcW w:w="850" w:type="dxa"/>
            <w:tcBorders>
              <w:top w:val="nil"/>
              <w:left w:val="nil"/>
              <w:bottom w:val="nil"/>
              <w:right w:val="nil"/>
            </w:tcBorders>
          </w:tcPr>
          <w:p w:rsidR="00DC2D88" w:rsidRPr="00986B85" w:rsidRDefault="00DC2D88" w:rsidP="00F544BD">
            <w:pPr>
              <w:spacing w:after="0" w:line="240" w:lineRule="auto"/>
              <w:jc w:val="right"/>
              <w:rPr>
                <w:rFonts w:ascii="Times New Roman" w:hAnsi="Times New Roman" w:cs="Times New Roman"/>
                <w:color w:val="000000"/>
                <w:sz w:val="20"/>
                <w:szCs w:val="20"/>
              </w:rPr>
            </w:pPr>
            <w:r w:rsidRPr="00F50C05">
              <w:rPr>
                <w:rFonts w:ascii="Times New Roman" w:hAnsi="Times New Roman"/>
                <w:color w:val="000000"/>
                <w:sz w:val="20"/>
                <w:szCs w:val="20"/>
              </w:rPr>
              <w:t>7,54</w:t>
            </w:r>
          </w:p>
        </w:tc>
        <w:tc>
          <w:tcPr>
            <w:tcW w:w="851" w:type="dxa"/>
            <w:tcBorders>
              <w:top w:val="nil"/>
              <w:left w:val="nil"/>
              <w:bottom w:val="nil"/>
              <w:right w:val="nil"/>
            </w:tcBorders>
          </w:tcPr>
          <w:p w:rsidR="00DC2D88" w:rsidRPr="00986B85" w:rsidRDefault="00DC2D88" w:rsidP="00F544BD">
            <w:pPr>
              <w:spacing w:after="0" w:line="240" w:lineRule="auto"/>
              <w:jc w:val="right"/>
              <w:rPr>
                <w:rFonts w:ascii="Times New Roman" w:hAnsi="Times New Roman" w:cs="Times New Roman"/>
                <w:color w:val="000000"/>
                <w:sz w:val="20"/>
                <w:szCs w:val="20"/>
              </w:rPr>
            </w:pPr>
            <w:r w:rsidRPr="00F50C05">
              <w:rPr>
                <w:rFonts w:ascii="Times New Roman" w:hAnsi="Times New Roman"/>
                <w:color w:val="000000"/>
                <w:sz w:val="20"/>
                <w:szCs w:val="20"/>
              </w:rPr>
              <w:t>9,63</w:t>
            </w:r>
          </w:p>
        </w:tc>
        <w:tc>
          <w:tcPr>
            <w:tcW w:w="788" w:type="dxa"/>
            <w:tcBorders>
              <w:top w:val="nil"/>
              <w:left w:val="nil"/>
              <w:bottom w:val="nil"/>
              <w:right w:val="nil"/>
            </w:tcBorders>
          </w:tcPr>
          <w:p w:rsidR="00DC2D88" w:rsidRPr="00986B85" w:rsidRDefault="00DC2D88" w:rsidP="00F544BD">
            <w:pPr>
              <w:spacing w:after="0" w:line="240" w:lineRule="auto"/>
              <w:jc w:val="right"/>
              <w:rPr>
                <w:rFonts w:ascii="Times New Roman" w:hAnsi="Times New Roman" w:cs="Times New Roman"/>
                <w:color w:val="000000"/>
                <w:sz w:val="20"/>
                <w:szCs w:val="20"/>
              </w:rPr>
            </w:pPr>
            <w:r w:rsidRPr="00F50C05">
              <w:rPr>
                <w:rFonts w:ascii="Times New Roman" w:hAnsi="Times New Roman"/>
                <w:color w:val="000000"/>
                <w:sz w:val="20"/>
                <w:szCs w:val="20"/>
              </w:rPr>
              <w:t>9,40</w:t>
            </w:r>
          </w:p>
        </w:tc>
      </w:tr>
      <w:tr w:rsidR="00DC2D88" w:rsidRPr="0019300C" w:rsidTr="007B5BCA">
        <w:trPr>
          <w:trHeight w:val="300"/>
        </w:trPr>
        <w:tc>
          <w:tcPr>
            <w:tcW w:w="3134" w:type="dxa"/>
            <w:tcBorders>
              <w:top w:val="nil"/>
              <w:left w:val="nil"/>
              <w:bottom w:val="nil"/>
              <w:right w:val="single" w:sz="4" w:space="0" w:color="auto"/>
            </w:tcBorders>
            <w:vAlign w:val="center"/>
          </w:tcPr>
          <w:p w:rsidR="00DC2D88" w:rsidRPr="00986B85" w:rsidRDefault="00DC2D88" w:rsidP="00F544BD">
            <w:pPr>
              <w:spacing w:after="0" w:line="240" w:lineRule="auto"/>
              <w:rPr>
                <w:rFonts w:ascii="Times New Roman" w:hAnsi="Times New Roman" w:cs="Times New Roman"/>
                <w:color w:val="000000"/>
                <w:sz w:val="20"/>
                <w:szCs w:val="20"/>
              </w:rPr>
            </w:pPr>
            <w:r w:rsidRPr="00986B85">
              <w:rPr>
                <w:rFonts w:ascii="Times New Roman" w:hAnsi="Times New Roman" w:cs="Times New Roman"/>
                <w:color w:val="000000"/>
                <w:sz w:val="20"/>
                <w:szCs w:val="20"/>
              </w:rPr>
              <w:t xml:space="preserve">Hektárová úroda </w:t>
            </w:r>
          </w:p>
        </w:tc>
        <w:tc>
          <w:tcPr>
            <w:tcW w:w="897" w:type="dxa"/>
            <w:tcBorders>
              <w:top w:val="nil"/>
              <w:left w:val="single" w:sz="4" w:space="0" w:color="auto"/>
              <w:bottom w:val="nil"/>
              <w:right w:val="single" w:sz="4" w:space="0" w:color="auto"/>
            </w:tcBorders>
            <w:vAlign w:val="center"/>
          </w:tcPr>
          <w:p w:rsidR="00DC2D88" w:rsidRPr="00986B85" w:rsidRDefault="00DC2D88" w:rsidP="00F544BD">
            <w:pPr>
              <w:spacing w:after="0" w:line="240" w:lineRule="auto"/>
              <w:jc w:val="center"/>
              <w:rPr>
                <w:rFonts w:ascii="Times New Roman" w:hAnsi="Times New Roman" w:cs="Times New Roman"/>
                <w:color w:val="000000"/>
                <w:sz w:val="20"/>
                <w:szCs w:val="20"/>
              </w:rPr>
            </w:pPr>
            <w:r w:rsidRPr="00986B85">
              <w:rPr>
                <w:rFonts w:ascii="Times New Roman" w:hAnsi="Times New Roman" w:cs="Times New Roman"/>
                <w:color w:val="000000"/>
                <w:sz w:val="20"/>
                <w:szCs w:val="20"/>
              </w:rPr>
              <w:t xml:space="preserve">t/ha </w:t>
            </w:r>
          </w:p>
        </w:tc>
        <w:tc>
          <w:tcPr>
            <w:tcW w:w="851" w:type="dxa"/>
            <w:tcBorders>
              <w:top w:val="nil"/>
              <w:left w:val="nil"/>
              <w:bottom w:val="nil"/>
              <w:right w:val="single" w:sz="4" w:space="0" w:color="auto"/>
            </w:tcBorders>
            <w:noWrap/>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10,80</w:t>
            </w:r>
          </w:p>
        </w:tc>
        <w:tc>
          <w:tcPr>
            <w:tcW w:w="850"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10,66</w:t>
            </w:r>
          </w:p>
        </w:tc>
        <w:tc>
          <w:tcPr>
            <w:tcW w:w="851"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11,71</w:t>
            </w:r>
          </w:p>
        </w:tc>
        <w:tc>
          <w:tcPr>
            <w:tcW w:w="850"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10,93</w:t>
            </w:r>
          </w:p>
        </w:tc>
        <w:tc>
          <w:tcPr>
            <w:tcW w:w="851"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9,31</w:t>
            </w:r>
          </w:p>
        </w:tc>
        <w:tc>
          <w:tcPr>
            <w:tcW w:w="788"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10,38</w:t>
            </w:r>
          </w:p>
        </w:tc>
      </w:tr>
      <w:tr w:rsidR="00DC2D88" w:rsidRPr="0019300C" w:rsidTr="007B5BCA">
        <w:trPr>
          <w:trHeight w:val="300"/>
        </w:trPr>
        <w:tc>
          <w:tcPr>
            <w:tcW w:w="3134" w:type="dxa"/>
            <w:tcBorders>
              <w:top w:val="nil"/>
              <w:left w:val="nil"/>
              <w:bottom w:val="nil"/>
              <w:right w:val="single" w:sz="4" w:space="0" w:color="auto"/>
            </w:tcBorders>
            <w:vAlign w:val="center"/>
          </w:tcPr>
          <w:p w:rsidR="00DC2D88" w:rsidRPr="00986B85" w:rsidRDefault="00DC2D88" w:rsidP="00F544BD">
            <w:pPr>
              <w:spacing w:after="0" w:line="240" w:lineRule="auto"/>
              <w:rPr>
                <w:rFonts w:ascii="Times New Roman" w:hAnsi="Times New Roman" w:cs="Times New Roman"/>
                <w:color w:val="000000"/>
                <w:sz w:val="20"/>
                <w:szCs w:val="20"/>
              </w:rPr>
            </w:pPr>
            <w:r w:rsidRPr="00986B85">
              <w:rPr>
                <w:rFonts w:ascii="Times New Roman" w:hAnsi="Times New Roman" w:cs="Times New Roman"/>
                <w:color w:val="000000"/>
                <w:sz w:val="20"/>
                <w:szCs w:val="20"/>
              </w:rPr>
              <w:t xml:space="preserve">Produkcia </w:t>
            </w:r>
          </w:p>
        </w:tc>
        <w:tc>
          <w:tcPr>
            <w:tcW w:w="897" w:type="dxa"/>
            <w:tcBorders>
              <w:top w:val="nil"/>
              <w:left w:val="single" w:sz="4" w:space="0" w:color="auto"/>
              <w:bottom w:val="nil"/>
              <w:right w:val="single" w:sz="4" w:space="0" w:color="auto"/>
            </w:tcBorders>
            <w:vAlign w:val="center"/>
          </w:tcPr>
          <w:p w:rsidR="00DC2D88" w:rsidRPr="00986B85" w:rsidRDefault="00DC2D88" w:rsidP="00F544BD">
            <w:pPr>
              <w:spacing w:after="0" w:line="240" w:lineRule="auto"/>
              <w:jc w:val="center"/>
              <w:rPr>
                <w:rFonts w:ascii="Times New Roman" w:hAnsi="Times New Roman" w:cs="Times New Roman"/>
                <w:color w:val="000000"/>
                <w:sz w:val="20"/>
                <w:szCs w:val="20"/>
              </w:rPr>
            </w:pPr>
            <w:r w:rsidRPr="00986B85">
              <w:rPr>
                <w:rFonts w:ascii="Times New Roman" w:hAnsi="Times New Roman" w:cs="Times New Roman"/>
                <w:color w:val="000000"/>
                <w:sz w:val="20"/>
                <w:szCs w:val="20"/>
              </w:rPr>
              <w:t xml:space="preserve">tis. t </w:t>
            </w:r>
          </w:p>
        </w:tc>
        <w:tc>
          <w:tcPr>
            <w:tcW w:w="851" w:type="dxa"/>
            <w:tcBorders>
              <w:top w:val="nil"/>
              <w:left w:val="nil"/>
              <w:bottom w:val="nil"/>
              <w:right w:val="single" w:sz="4" w:space="0" w:color="auto"/>
            </w:tcBorders>
            <w:noWrap/>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363,48</w:t>
            </w:r>
          </w:p>
        </w:tc>
        <w:tc>
          <w:tcPr>
            <w:tcW w:w="850"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307,76</w:t>
            </w:r>
          </w:p>
        </w:tc>
        <w:tc>
          <w:tcPr>
            <w:tcW w:w="851"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332,95</w:t>
            </w:r>
          </w:p>
        </w:tc>
        <w:tc>
          <w:tcPr>
            <w:tcW w:w="850"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312,08</w:t>
            </w:r>
          </w:p>
        </w:tc>
        <w:tc>
          <w:tcPr>
            <w:tcW w:w="851"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284,43</w:t>
            </w:r>
          </w:p>
        </w:tc>
        <w:tc>
          <w:tcPr>
            <w:tcW w:w="788"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314,86</w:t>
            </w:r>
          </w:p>
        </w:tc>
      </w:tr>
      <w:tr w:rsidR="00DC2D88" w:rsidRPr="0019300C" w:rsidTr="007B5BCA">
        <w:trPr>
          <w:trHeight w:val="300"/>
        </w:trPr>
        <w:tc>
          <w:tcPr>
            <w:tcW w:w="3134" w:type="dxa"/>
            <w:tcBorders>
              <w:top w:val="nil"/>
              <w:left w:val="nil"/>
              <w:bottom w:val="nil"/>
              <w:right w:val="single" w:sz="4" w:space="0" w:color="auto"/>
            </w:tcBorders>
            <w:vAlign w:val="center"/>
          </w:tcPr>
          <w:p w:rsidR="00DC2D88" w:rsidRPr="00986B85" w:rsidRDefault="00DC2D88" w:rsidP="00F544BD">
            <w:pPr>
              <w:spacing w:after="0" w:line="240" w:lineRule="auto"/>
              <w:rPr>
                <w:rFonts w:ascii="Times New Roman" w:hAnsi="Times New Roman" w:cs="Times New Roman"/>
                <w:color w:val="000000"/>
                <w:sz w:val="20"/>
                <w:szCs w:val="20"/>
              </w:rPr>
            </w:pPr>
            <w:r>
              <w:rPr>
                <w:rFonts w:ascii="Times New Roman" w:hAnsi="Times New Roman"/>
                <w:color w:val="000000"/>
                <w:sz w:val="20"/>
                <w:szCs w:val="20"/>
              </w:rPr>
              <w:t xml:space="preserve">     z toho orná pôda</w:t>
            </w:r>
          </w:p>
        </w:tc>
        <w:tc>
          <w:tcPr>
            <w:tcW w:w="897" w:type="dxa"/>
            <w:tcBorders>
              <w:top w:val="nil"/>
              <w:left w:val="single" w:sz="4" w:space="0" w:color="auto"/>
              <w:bottom w:val="nil"/>
              <w:right w:val="single" w:sz="4" w:space="0" w:color="auto"/>
            </w:tcBorders>
            <w:vAlign w:val="center"/>
          </w:tcPr>
          <w:p w:rsidR="00DC2D88" w:rsidRPr="00986B85" w:rsidRDefault="00DC2D88" w:rsidP="00F544BD">
            <w:pPr>
              <w:spacing w:after="0" w:line="240" w:lineRule="auto"/>
              <w:jc w:val="center"/>
              <w:rPr>
                <w:rFonts w:ascii="Times New Roman" w:hAnsi="Times New Roman" w:cs="Times New Roman"/>
                <w:color w:val="000000"/>
                <w:sz w:val="20"/>
                <w:szCs w:val="20"/>
              </w:rPr>
            </w:pPr>
            <w:r>
              <w:rPr>
                <w:rFonts w:ascii="Times New Roman" w:hAnsi="Times New Roman"/>
                <w:color w:val="000000"/>
                <w:sz w:val="20"/>
                <w:szCs w:val="20"/>
              </w:rPr>
              <w:t>tis. t</w:t>
            </w:r>
          </w:p>
        </w:tc>
        <w:tc>
          <w:tcPr>
            <w:tcW w:w="851" w:type="dxa"/>
            <w:tcBorders>
              <w:top w:val="nil"/>
              <w:left w:val="nil"/>
              <w:bottom w:val="nil"/>
              <w:right w:val="single" w:sz="4" w:space="0" w:color="auto"/>
            </w:tcBorders>
            <w:noWrap/>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Pr>
                <w:rFonts w:ascii="Times New Roman" w:hAnsi="Times New Roman"/>
                <w:color w:val="000000"/>
                <w:sz w:val="20"/>
                <w:szCs w:val="20"/>
              </w:rPr>
              <w:t>160,0</w:t>
            </w:r>
          </w:p>
        </w:tc>
        <w:tc>
          <w:tcPr>
            <w:tcW w:w="850"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99,4</w:t>
            </w:r>
          </w:p>
        </w:tc>
        <w:tc>
          <w:tcPr>
            <w:tcW w:w="851" w:type="dxa"/>
            <w:tcBorders>
              <w:top w:val="nil"/>
              <w:left w:val="nil"/>
              <w:bottom w:val="nil"/>
              <w:right w:val="nil"/>
            </w:tcBorders>
          </w:tcPr>
          <w:p w:rsidR="00DC2D88" w:rsidRPr="00986B85" w:rsidRDefault="00DC2D88" w:rsidP="00F544BD">
            <w:pPr>
              <w:spacing w:after="0" w:line="240" w:lineRule="auto"/>
              <w:jc w:val="right"/>
              <w:rPr>
                <w:rFonts w:ascii="Times New Roman" w:hAnsi="Times New Roman" w:cs="Times New Roman"/>
                <w:color w:val="000000"/>
                <w:sz w:val="20"/>
                <w:szCs w:val="20"/>
              </w:rPr>
            </w:pPr>
            <w:r w:rsidRPr="0054146E">
              <w:rPr>
                <w:rFonts w:ascii="Times New Roman" w:hAnsi="Times New Roman"/>
                <w:color w:val="000000"/>
                <w:sz w:val="20"/>
                <w:szCs w:val="20"/>
              </w:rPr>
              <w:t>117,80</w:t>
            </w:r>
          </w:p>
        </w:tc>
        <w:tc>
          <w:tcPr>
            <w:tcW w:w="850" w:type="dxa"/>
            <w:tcBorders>
              <w:top w:val="nil"/>
              <w:left w:val="nil"/>
              <w:bottom w:val="nil"/>
              <w:right w:val="nil"/>
            </w:tcBorders>
          </w:tcPr>
          <w:p w:rsidR="00DC2D88" w:rsidRPr="00986B85" w:rsidRDefault="00DC2D88" w:rsidP="00F544BD">
            <w:pPr>
              <w:spacing w:after="0" w:line="240" w:lineRule="auto"/>
              <w:jc w:val="right"/>
              <w:rPr>
                <w:rFonts w:ascii="Times New Roman" w:hAnsi="Times New Roman" w:cs="Times New Roman"/>
                <w:color w:val="000000"/>
                <w:sz w:val="20"/>
                <w:szCs w:val="20"/>
              </w:rPr>
            </w:pPr>
            <w:r w:rsidRPr="0054146E">
              <w:rPr>
                <w:rFonts w:ascii="Times New Roman" w:hAnsi="Times New Roman"/>
                <w:color w:val="000000"/>
                <w:sz w:val="20"/>
                <w:szCs w:val="20"/>
              </w:rPr>
              <w:t>97,25</w:t>
            </w:r>
          </w:p>
        </w:tc>
        <w:tc>
          <w:tcPr>
            <w:tcW w:w="851" w:type="dxa"/>
            <w:tcBorders>
              <w:top w:val="nil"/>
              <w:left w:val="nil"/>
              <w:bottom w:val="nil"/>
              <w:right w:val="nil"/>
            </w:tcBorders>
          </w:tcPr>
          <w:p w:rsidR="00DC2D88" w:rsidRPr="00986B85" w:rsidRDefault="00DC2D88" w:rsidP="00F544BD">
            <w:pPr>
              <w:spacing w:after="0" w:line="240" w:lineRule="auto"/>
              <w:jc w:val="right"/>
              <w:rPr>
                <w:rFonts w:ascii="Times New Roman" w:hAnsi="Times New Roman" w:cs="Times New Roman"/>
                <w:color w:val="000000"/>
                <w:sz w:val="20"/>
                <w:szCs w:val="20"/>
              </w:rPr>
            </w:pPr>
            <w:r w:rsidRPr="0054146E">
              <w:rPr>
                <w:rFonts w:ascii="Times New Roman" w:hAnsi="Times New Roman"/>
                <w:color w:val="000000"/>
                <w:sz w:val="20"/>
                <w:szCs w:val="20"/>
              </w:rPr>
              <w:t>77,72</w:t>
            </w:r>
          </w:p>
        </w:tc>
        <w:tc>
          <w:tcPr>
            <w:tcW w:w="788" w:type="dxa"/>
            <w:tcBorders>
              <w:top w:val="nil"/>
              <w:left w:val="nil"/>
              <w:bottom w:val="nil"/>
              <w:right w:val="nil"/>
            </w:tcBorders>
          </w:tcPr>
          <w:p w:rsidR="00DC2D88" w:rsidRPr="00986B85" w:rsidRDefault="00DC2D88" w:rsidP="00F544BD">
            <w:pPr>
              <w:spacing w:after="0" w:line="240" w:lineRule="auto"/>
              <w:jc w:val="right"/>
              <w:rPr>
                <w:rFonts w:ascii="Times New Roman" w:hAnsi="Times New Roman" w:cs="Times New Roman"/>
                <w:color w:val="000000"/>
                <w:sz w:val="20"/>
                <w:szCs w:val="20"/>
              </w:rPr>
            </w:pPr>
            <w:r w:rsidRPr="0054146E">
              <w:rPr>
                <w:rFonts w:ascii="Times New Roman" w:hAnsi="Times New Roman"/>
                <w:color w:val="000000"/>
                <w:sz w:val="20"/>
                <w:szCs w:val="20"/>
              </w:rPr>
              <w:t>108,62</w:t>
            </w:r>
          </w:p>
        </w:tc>
      </w:tr>
      <w:tr w:rsidR="00DC2D88" w:rsidRPr="0019300C" w:rsidTr="007B5BCA">
        <w:trPr>
          <w:trHeight w:val="300"/>
        </w:trPr>
        <w:tc>
          <w:tcPr>
            <w:tcW w:w="3134" w:type="dxa"/>
            <w:tcBorders>
              <w:top w:val="nil"/>
              <w:left w:val="nil"/>
              <w:bottom w:val="nil"/>
              <w:right w:val="single" w:sz="4" w:space="0" w:color="auto"/>
            </w:tcBorders>
            <w:vAlign w:val="center"/>
          </w:tcPr>
          <w:p w:rsidR="00DC2D88" w:rsidRPr="00986B85" w:rsidRDefault="00DC2D88" w:rsidP="00F544BD">
            <w:pPr>
              <w:spacing w:after="0" w:line="240" w:lineRule="auto"/>
              <w:rPr>
                <w:rFonts w:ascii="Times New Roman" w:hAnsi="Times New Roman" w:cs="Times New Roman"/>
                <w:color w:val="000000"/>
                <w:sz w:val="20"/>
                <w:szCs w:val="20"/>
              </w:rPr>
            </w:pPr>
            <w:r w:rsidRPr="00986B85">
              <w:rPr>
                <w:rFonts w:ascii="Times New Roman" w:hAnsi="Times New Roman" w:cs="Times New Roman"/>
                <w:color w:val="000000"/>
                <w:sz w:val="20"/>
                <w:szCs w:val="20"/>
              </w:rPr>
              <w:t xml:space="preserve">Dovoz </w:t>
            </w:r>
          </w:p>
        </w:tc>
        <w:tc>
          <w:tcPr>
            <w:tcW w:w="897" w:type="dxa"/>
            <w:tcBorders>
              <w:top w:val="nil"/>
              <w:left w:val="single" w:sz="4" w:space="0" w:color="auto"/>
              <w:bottom w:val="nil"/>
              <w:right w:val="single" w:sz="4" w:space="0" w:color="auto"/>
            </w:tcBorders>
            <w:vAlign w:val="center"/>
          </w:tcPr>
          <w:p w:rsidR="00DC2D88" w:rsidRPr="00986B85" w:rsidRDefault="00DC2D88" w:rsidP="00F544BD">
            <w:pPr>
              <w:spacing w:after="0" w:line="240" w:lineRule="auto"/>
              <w:jc w:val="center"/>
              <w:rPr>
                <w:rFonts w:ascii="Times New Roman" w:hAnsi="Times New Roman" w:cs="Times New Roman"/>
                <w:color w:val="000000"/>
                <w:sz w:val="20"/>
                <w:szCs w:val="20"/>
              </w:rPr>
            </w:pPr>
            <w:r w:rsidRPr="00986B85">
              <w:rPr>
                <w:rFonts w:ascii="Times New Roman" w:hAnsi="Times New Roman" w:cs="Times New Roman"/>
                <w:color w:val="000000"/>
                <w:sz w:val="20"/>
                <w:szCs w:val="20"/>
              </w:rPr>
              <w:t xml:space="preserve">tis. t </w:t>
            </w:r>
          </w:p>
        </w:tc>
        <w:tc>
          <w:tcPr>
            <w:tcW w:w="851" w:type="dxa"/>
            <w:tcBorders>
              <w:top w:val="nil"/>
              <w:left w:val="nil"/>
              <w:bottom w:val="nil"/>
              <w:right w:val="single" w:sz="4" w:space="0" w:color="auto"/>
            </w:tcBorders>
            <w:noWrap/>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95,15</w:t>
            </w:r>
          </w:p>
        </w:tc>
        <w:tc>
          <w:tcPr>
            <w:tcW w:w="850"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218,72</w:t>
            </w:r>
          </w:p>
        </w:tc>
        <w:tc>
          <w:tcPr>
            <w:tcW w:w="851"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248,77</w:t>
            </w:r>
          </w:p>
        </w:tc>
        <w:tc>
          <w:tcPr>
            <w:tcW w:w="850"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252,65</w:t>
            </w:r>
          </w:p>
        </w:tc>
        <w:tc>
          <w:tcPr>
            <w:tcW w:w="851"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261,88</w:t>
            </w:r>
          </w:p>
        </w:tc>
        <w:tc>
          <w:tcPr>
            <w:tcW w:w="788"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265,99</w:t>
            </w:r>
          </w:p>
        </w:tc>
      </w:tr>
      <w:tr w:rsidR="00DC2D88" w:rsidRPr="0019300C" w:rsidTr="007B5BCA">
        <w:trPr>
          <w:trHeight w:val="300"/>
        </w:trPr>
        <w:tc>
          <w:tcPr>
            <w:tcW w:w="3134" w:type="dxa"/>
            <w:tcBorders>
              <w:top w:val="nil"/>
              <w:left w:val="nil"/>
              <w:bottom w:val="single" w:sz="4" w:space="0" w:color="auto"/>
              <w:right w:val="single" w:sz="4" w:space="0" w:color="auto"/>
            </w:tcBorders>
            <w:vAlign w:val="center"/>
          </w:tcPr>
          <w:p w:rsidR="00DC2D88" w:rsidRPr="00986B85" w:rsidRDefault="00DC2D88" w:rsidP="00F544BD">
            <w:pPr>
              <w:spacing w:after="0" w:line="240" w:lineRule="auto"/>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 xml:space="preserve">Celková ponuka </w:t>
            </w:r>
          </w:p>
        </w:tc>
        <w:tc>
          <w:tcPr>
            <w:tcW w:w="897" w:type="dxa"/>
            <w:tcBorders>
              <w:top w:val="nil"/>
              <w:left w:val="single" w:sz="4" w:space="0" w:color="auto"/>
              <w:bottom w:val="single" w:sz="4" w:space="0" w:color="auto"/>
              <w:right w:val="single" w:sz="4" w:space="0" w:color="auto"/>
            </w:tcBorders>
            <w:vAlign w:val="center"/>
          </w:tcPr>
          <w:p w:rsidR="00DC2D88" w:rsidRPr="00986B85" w:rsidRDefault="00DC2D88" w:rsidP="00F544BD">
            <w:pPr>
              <w:spacing w:after="0" w:line="240" w:lineRule="auto"/>
              <w:jc w:val="center"/>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tis. t</w:t>
            </w:r>
          </w:p>
        </w:tc>
        <w:tc>
          <w:tcPr>
            <w:tcW w:w="851" w:type="dxa"/>
            <w:tcBorders>
              <w:top w:val="nil"/>
              <w:left w:val="nil"/>
              <w:bottom w:val="single" w:sz="4" w:space="0" w:color="auto"/>
              <w:right w:val="single" w:sz="4" w:space="0" w:color="auto"/>
            </w:tcBorders>
            <w:noWrap/>
            <w:vAlign w:val="center"/>
          </w:tcPr>
          <w:p w:rsidR="00DC2D88" w:rsidRPr="00986B85" w:rsidRDefault="00DC2D88" w:rsidP="00F544BD">
            <w:pPr>
              <w:spacing w:after="0" w:line="240" w:lineRule="auto"/>
              <w:jc w:val="right"/>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458,63</w:t>
            </w:r>
          </w:p>
        </w:tc>
        <w:tc>
          <w:tcPr>
            <w:tcW w:w="850" w:type="dxa"/>
            <w:tcBorders>
              <w:top w:val="nil"/>
              <w:left w:val="nil"/>
              <w:bottom w:val="single" w:sz="4" w:space="0" w:color="auto"/>
              <w:right w:val="nil"/>
            </w:tcBorders>
            <w:vAlign w:val="center"/>
          </w:tcPr>
          <w:p w:rsidR="00DC2D88" w:rsidRPr="00986B85" w:rsidRDefault="00DC2D88" w:rsidP="00F544BD">
            <w:pPr>
              <w:spacing w:after="0" w:line="240" w:lineRule="auto"/>
              <w:jc w:val="right"/>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526,47</w:t>
            </w:r>
          </w:p>
        </w:tc>
        <w:tc>
          <w:tcPr>
            <w:tcW w:w="851" w:type="dxa"/>
            <w:tcBorders>
              <w:top w:val="nil"/>
              <w:left w:val="nil"/>
              <w:bottom w:val="single" w:sz="4" w:space="0" w:color="auto"/>
              <w:right w:val="nil"/>
            </w:tcBorders>
            <w:vAlign w:val="center"/>
          </w:tcPr>
          <w:p w:rsidR="00DC2D88" w:rsidRPr="00986B85" w:rsidRDefault="00DC2D88" w:rsidP="00F544BD">
            <w:pPr>
              <w:spacing w:after="0" w:line="240" w:lineRule="auto"/>
              <w:jc w:val="right"/>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581,73</w:t>
            </w:r>
          </w:p>
        </w:tc>
        <w:tc>
          <w:tcPr>
            <w:tcW w:w="850" w:type="dxa"/>
            <w:tcBorders>
              <w:top w:val="nil"/>
              <w:left w:val="nil"/>
              <w:bottom w:val="single" w:sz="4" w:space="0" w:color="auto"/>
              <w:right w:val="nil"/>
            </w:tcBorders>
            <w:vAlign w:val="center"/>
          </w:tcPr>
          <w:p w:rsidR="00DC2D88" w:rsidRPr="00986B85" w:rsidRDefault="00DC2D88" w:rsidP="00F544BD">
            <w:pPr>
              <w:spacing w:after="0" w:line="240" w:lineRule="auto"/>
              <w:jc w:val="right"/>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564,74</w:t>
            </w:r>
          </w:p>
        </w:tc>
        <w:tc>
          <w:tcPr>
            <w:tcW w:w="851" w:type="dxa"/>
            <w:tcBorders>
              <w:top w:val="nil"/>
              <w:left w:val="nil"/>
              <w:bottom w:val="single" w:sz="4" w:space="0" w:color="auto"/>
              <w:right w:val="nil"/>
            </w:tcBorders>
            <w:vAlign w:val="center"/>
          </w:tcPr>
          <w:p w:rsidR="00DC2D88" w:rsidRPr="00986B85" w:rsidRDefault="00DC2D88" w:rsidP="00F544BD">
            <w:pPr>
              <w:spacing w:after="0" w:line="240" w:lineRule="auto"/>
              <w:jc w:val="right"/>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546,31</w:t>
            </w:r>
          </w:p>
        </w:tc>
        <w:tc>
          <w:tcPr>
            <w:tcW w:w="788" w:type="dxa"/>
            <w:tcBorders>
              <w:top w:val="nil"/>
              <w:left w:val="nil"/>
              <w:bottom w:val="single" w:sz="4" w:space="0" w:color="auto"/>
              <w:right w:val="nil"/>
            </w:tcBorders>
            <w:vAlign w:val="center"/>
          </w:tcPr>
          <w:p w:rsidR="00DC2D88" w:rsidRPr="00986B85" w:rsidRDefault="00DC2D88" w:rsidP="00F544BD">
            <w:pPr>
              <w:spacing w:after="0" w:line="240" w:lineRule="auto"/>
              <w:jc w:val="right"/>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580,84</w:t>
            </w:r>
          </w:p>
        </w:tc>
      </w:tr>
      <w:tr w:rsidR="00DC2D88" w:rsidRPr="0019300C" w:rsidTr="007B5BCA">
        <w:trPr>
          <w:trHeight w:val="300"/>
        </w:trPr>
        <w:tc>
          <w:tcPr>
            <w:tcW w:w="3134" w:type="dxa"/>
            <w:tcBorders>
              <w:top w:val="nil"/>
              <w:left w:val="nil"/>
              <w:bottom w:val="nil"/>
              <w:right w:val="single" w:sz="4" w:space="0" w:color="auto"/>
            </w:tcBorders>
            <w:vAlign w:val="center"/>
          </w:tcPr>
          <w:p w:rsidR="00DC2D88" w:rsidRPr="00986B85" w:rsidRDefault="00DC2D88" w:rsidP="00F544BD">
            <w:pPr>
              <w:spacing w:after="0" w:line="240" w:lineRule="auto"/>
              <w:rPr>
                <w:rFonts w:ascii="Times New Roman" w:hAnsi="Times New Roman" w:cs="Times New Roman"/>
                <w:color w:val="000000"/>
                <w:sz w:val="20"/>
                <w:szCs w:val="20"/>
              </w:rPr>
            </w:pPr>
            <w:r w:rsidRPr="00986B85">
              <w:rPr>
                <w:rFonts w:ascii="Times New Roman" w:hAnsi="Times New Roman" w:cs="Times New Roman"/>
                <w:color w:val="000000"/>
                <w:sz w:val="20"/>
                <w:szCs w:val="20"/>
              </w:rPr>
              <w:t>Dodávky pre sprac. priemysel</w:t>
            </w:r>
          </w:p>
        </w:tc>
        <w:tc>
          <w:tcPr>
            <w:tcW w:w="897" w:type="dxa"/>
            <w:tcBorders>
              <w:top w:val="nil"/>
              <w:left w:val="single" w:sz="4" w:space="0" w:color="auto"/>
              <w:bottom w:val="nil"/>
              <w:right w:val="single" w:sz="4" w:space="0" w:color="auto"/>
            </w:tcBorders>
            <w:vAlign w:val="center"/>
          </w:tcPr>
          <w:p w:rsidR="00DC2D88" w:rsidRPr="00986B85" w:rsidRDefault="00DC2D88" w:rsidP="00F544BD">
            <w:pPr>
              <w:spacing w:after="0" w:line="240" w:lineRule="auto"/>
              <w:jc w:val="center"/>
              <w:rPr>
                <w:rFonts w:ascii="Times New Roman" w:hAnsi="Times New Roman" w:cs="Times New Roman"/>
                <w:color w:val="000000"/>
                <w:sz w:val="20"/>
                <w:szCs w:val="20"/>
              </w:rPr>
            </w:pPr>
            <w:r w:rsidRPr="00986B85">
              <w:rPr>
                <w:rFonts w:ascii="Times New Roman" w:hAnsi="Times New Roman" w:cs="Times New Roman"/>
                <w:color w:val="000000"/>
                <w:sz w:val="20"/>
                <w:szCs w:val="20"/>
              </w:rPr>
              <w:t>tis. t</w:t>
            </w:r>
          </w:p>
        </w:tc>
        <w:tc>
          <w:tcPr>
            <w:tcW w:w="851" w:type="dxa"/>
            <w:tcBorders>
              <w:top w:val="nil"/>
              <w:left w:val="nil"/>
              <w:bottom w:val="nil"/>
              <w:right w:val="single" w:sz="4" w:space="0" w:color="auto"/>
            </w:tcBorders>
            <w:noWrap/>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67,01</w:t>
            </w:r>
          </w:p>
        </w:tc>
        <w:tc>
          <w:tcPr>
            <w:tcW w:w="850"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33,67</w:t>
            </w:r>
          </w:p>
        </w:tc>
        <w:tc>
          <w:tcPr>
            <w:tcW w:w="851"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30,36</w:t>
            </w:r>
          </w:p>
        </w:tc>
        <w:tc>
          <w:tcPr>
            <w:tcW w:w="850"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28,08</w:t>
            </w:r>
          </w:p>
        </w:tc>
        <w:tc>
          <w:tcPr>
            <w:tcW w:w="851"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27,09</w:t>
            </w:r>
          </w:p>
        </w:tc>
        <w:tc>
          <w:tcPr>
            <w:tcW w:w="788"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20,74</w:t>
            </w:r>
          </w:p>
        </w:tc>
      </w:tr>
      <w:tr w:rsidR="00DC2D88" w:rsidRPr="0019300C" w:rsidTr="007B5BCA">
        <w:trPr>
          <w:trHeight w:val="300"/>
        </w:trPr>
        <w:tc>
          <w:tcPr>
            <w:tcW w:w="3134" w:type="dxa"/>
            <w:tcBorders>
              <w:top w:val="nil"/>
              <w:left w:val="nil"/>
              <w:bottom w:val="nil"/>
              <w:right w:val="single" w:sz="4" w:space="0" w:color="auto"/>
            </w:tcBorders>
            <w:vAlign w:val="center"/>
          </w:tcPr>
          <w:p w:rsidR="00DC2D88" w:rsidRPr="00986B85" w:rsidRDefault="00DC2D88" w:rsidP="00F544BD">
            <w:pPr>
              <w:spacing w:after="0" w:line="240" w:lineRule="auto"/>
              <w:rPr>
                <w:rFonts w:ascii="Times New Roman" w:hAnsi="Times New Roman" w:cs="Times New Roman"/>
                <w:color w:val="000000"/>
                <w:sz w:val="20"/>
                <w:szCs w:val="20"/>
              </w:rPr>
            </w:pPr>
            <w:r w:rsidRPr="00986B85">
              <w:rPr>
                <w:rFonts w:ascii="Times New Roman" w:hAnsi="Times New Roman" w:cs="Times New Roman"/>
                <w:color w:val="000000"/>
                <w:sz w:val="20"/>
                <w:szCs w:val="20"/>
              </w:rPr>
              <w:t xml:space="preserve">Vývoz </w:t>
            </w:r>
          </w:p>
        </w:tc>
        <w:tc>
          <w:tcPr>
            <w:tcW w:w="897" w:type="dxa"/>
            <w:tcBorders>
              <w:top w:val="nil"/>
              <w:left w:val="single" w:sz="4" w:space="0" w:color="auto"/>
              <w:bottom w:val="nil"/>
              <w:right w:val="single" w:sz="4" w:space="0" w:color="auto"/>
            </w:tcBorders>
            <w:vAlign w:val="center"/>
          </w:tcPr>
          <w:p w:rsidR="00DC2D88" w:rsidRPr="00986B85" w:rsidRDefault="00DC2D88" w:rsidP="00F544BD">
            <w:pPr>
              <w:spacing w:after="0" w:line="240" w:lineRule="auto"/>
              <w:jc w:val="center"/>
              <w:rPr>
                <w:rFonts w:ascii="Times New Roman" w:hAnsi="Times New Roman" w:cs="Times New Roman"/>
                <w:color w:val="000000"/>
                <w:sz w:val="20"/>
                <w:szCs w:val="20"/>
              </w:rPr>
            </w:pPr>
            <w:r w:rsidRPr="00986B85">
              <w:rPr>
                <w:rFonts w:ascii="Times New Roman" w:hAnsi="Times New Roman" w:cs="Times New Roman"/>
                <w:color w:val="000000"/>
                <w:sz w:val="20"/>
                <w:szCs w:val="20"/>
              </w:rPr>
              <w:t>tis. t</w:t>
            </w:r>
          </w:p>
        </w:tc>
        <w:tc>
          <w:tcPr>
            <w:tcW w:w="851" w:type="dxa"/>
            <w:tcBorders>
              <w:top w:val="nil"/>
              <w:left w:val="nil"/>
              <w:bottom w:val="nil"/>
              <w:right w:val="single" w:sz="4" w:space="0" w:color="auto"/>
            </w:tcBorders>
            <w:noWrap/>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47,96</w:t>
            </w:r>
          </w:p>
        </w:tc>
        <w:tc>
          <w:tcPr>
            <w:tcW w:w="850"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48,31</w:t>
            </w:r>
          </w:p>
        </w:tc>
        <w:tc>
          <w:tcPr>
            <w:tcW w:w="851"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51,68</w:t>
            </w:r>
          </w:p>
        </w:tc>
        <w:tc>
          <w:tcPr>
            <w:tcW w:w="850"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45,20</w:t>
            </w:r>
          </w:p>
        </w:tc>
        <w:tc>
          <w:tcPr>
            <w:tcW w:w="851"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56,75</w:t>
            </w:r>
          </w:p>
        </w:tc>
        <w:tc>
          <w:tcPr>
            <w:tcW w:w="788"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28,12</w:t>
            </w:r>
          </w:p>
        </w:tc>
      </w:tr>
      <w:tr w:rsidR="00DC2D88" w:rsidRPr="0019300C" w:rsidTr="007B5BCA">
        <w:trPr>
          <w:trHeight w:val="300"/>
        </w:trPr>
        <w:tc>
          <w:tcPr>
            <w:tcW w:w="3134" w:type="dxa"/>
            <w:tcBorders>
              <w:top w:val="nil"/>
              <w:left w:val="nil"/>
              <w:bottom w:val="nil"/>
              <w:right w:val="single" w:sz="4" w:space="0" w:color="auto"/>
            </w:tcBorders>
            <w:vAlign w:val="center"/>
          </w:tcPr>
          <w:p w:rsidR="00DC2D88" w:rsidRPr="00986B85" w:rsidRDefault="00DC2D88" w:rsidP="00F544BD">
            <w:pPr>
              <w:spacing w:after="0" w:line="240" w:lineRule="auto"/>
              <w:rPr>
                <w:rFonts w:ascii="Times New Roman" w:hAnsi="Times New Roman" w:cs="Times New Roman"/>
                <w:color w:val="000000"/>
                <w:sz w:val="20"/>
                <w:szCs w:val="20"/>
              </w:rPr>
            </w:pPr>
            <w:r w:rsidRPr="00986B85">
              <w:rPr>
                <w:rFonts w:ascii="Times New Roman" w:hAnsi="Times New Roman" w:cs="Times New Roman"/>
                <w:color w:val="000000"/>
                <w:sz w:val="20"/>
                <w:szCs w:val="20"/>
              </w:rPr>
              <w:t>Spotreba</w:t>
            </w:r>
          </w:p>
        </w:tc>
        <w:tc>
          <w:tcPr>
            <w:tcW w:w="897" w:type="dxa"/>
            <w:tcBorders>
              <w:top w:val="nil"/>
              <w:left w:val="single" w:sz="4" w:space="0" w:color="auto"/>
              <w:bottom w:val="nil"/>
              <w:right w:val="single" w:sz="4" w:space="0" w:color="auto"/>
            </w:tcBorders>
            <w:vAlign w:val="center"/>
          </w:tcPr>
          <w:p w:rsidR="00DC2D88" w:rsidRPr="00986B85" w:rsidRDefault="00DC2D88" w:rsidP="00F544BD">
            <w:pPr>
              <w:spacing w:after="0" w:line="240" w:lineRule="auto"/>
              <w:jc w:val="center"/>
              <w:rPr>
                <w:rFonts w:ascii="Times New Roman" w:hAnsi="Times New Roman" w:cs="Times New Roman"/>
                <w:color w:val="000000"/>
                <w:sz w:val="20"/>
                <w:szCs w:val="20"/>
              </w:rPr>
            </w:pPr>
            <w:r w:rsidRPr="00986B85">
              <w:rPr>
                <w:rFonts w:ascii="Times New Roman" w:hAnsi="Times New Roman" w:cs="Times New Roman"/>
                <w:color w:val="000000"/>
                <w:sz w:val="20"/>
                <w:szCs w:val="20"/>
              </w:rPr>
              <w:t>tis. t</w:t>
            </w:r>
          </w:p>
        </w:tc>
        <w:tc>
          <w:tcPr>
            <w:tcW w:w="851" w:type="dxa"/>
            <w:tcBorders>
              <w:top w:val="nil"/>
              <w:left w:val="nil"/>
              <w:bottom w:val="nil"/>
              <w:right w:val="single" w:sz="4" w:space="0" w:color="auto"/>
            </w:tcBorders>
            <w:noWrap/>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30</w:t>
            </w:r>
            <w:r>
              <w:rPr>
                <w:rFonts w:ascii="Times New Roman" w:hAnsi="Times New Roman" w:cs="Times New Roman"/>
                <w:color w:val="000000"/>
                <w:sz w:val="20"/>
                <w:szCs w:val="20"/>
              </w:rPr>
              <w:t>0,07</w:t>
            </w:r>
          </w:p>
        </w:tc>
        <w:tc>
          <w:tcPr>
            <w:tcW w:w="850"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358,51</w:t>
            </w:r>
          </w:p>
        </w:tc>
        <w:tc>
          <w:tcPr>
            <w:tcW w:w="851"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406,01</w:t>
            </w:r>
          </w:p>
        </w:tc>
        <w:tc>
          <w:tcPr>
            <w:tcW w:w="850"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386,22</w:t>
            </w:r>
          </w:p>
        </w:tc>
        <w:tc>
          <w:tcPr>
            <w:tcW w:w="851"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383,58</w:t>
            </w:r>
          </w:p>
        </w:tc>
        <w:tc>
          <w:tcPr>
            <w:tcW w:w="788"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407,02</w:t>
            </w:r>
          </w:p>
        </w:tc>
      </w:tr>
      <w:tr w:rsidR="00DC2D88" w:rsidRPr="0019300C" w:rsidTr="007B5BCA">
        <w:trPr>
          <w:trHeight w:val="300"/>
        </w:trPr>
        <w:tc>
          <w:tcPr>
            <w:tcW w:w="3134" w:type="dxa"/>
            <w:tcBorders>
              <w:top w:val="nil"/>
              <w:left w:val="nil"/>
              <w:bottom w:val="nil"/>
              <w:right w:val="single" w:sz="4" w:space="0" w:color="auto"/>
            </w:tcBorders>
            <w:vAlign w:val="center"/>
          </w:tcPr>
          <w:p w:rsidR="00DC2D88" w:rsidRPr="00986B85" w:rsidRDefault="00DC2D88" w:rsidP="00F544BD">
            <w:pPr>
              <w:spacing w:after="0" w:line="240" w:lineRule="auto"/>
              <w:rPr>
                <w:rFonts w:ascii="Times New Roman" w:hAnsi="Times New Roman" w:cs="Times New Roman"/>
                <w:color w:val="000000"/>
                <w:sz w:val="20"/>
                <w:szCs w:val="20"/>
              </w:rPr>
            </w:pPr>
            <w:r w:rsidRPr="00986B85">
              <w:rPr>
                <w:rFonts w:ascii="Times New Roman" w:hAnsi="Times New Roman" w:cs="Times New Roman"/>
                <w:color w:val="000000"/>
                <w:sz w:val="20"/>
                <w:szCs w:val="20"/>
              </w:rPr>
              <w:t>Ostatná spotreba a straty</w:t>
            </w:r>
          </w:p>
        </w:tc>
        <w:tc>
          <w:tcPr>
            <w:tcW w:w="897" w:type="dxa"/>
            <w:tcBorders>
              <w:top w:val="nil"/>
              <w:left w:val="single" w:sz="4" w:space="0" w:color="auto"/>
              <w:bottom w:val="nil"/>
              <w:right w:val="single" w:sz="4" w:space="0" w:color="auto"/>
            </w:tcBorders>
            <w:vAlign w:val="center"/>
          </w:tcPr>
          <w:p w:rsidR="00DC2D88" w:rsidRPr="00986B85" w:rsidRDefault="00DC2D88" w:rsidP="00F544BD">
            <w:pPr>
              <w:spacing w:after="0" w:line="240" w:lineRule="auto"/>
              <w:jc w:val="center"/>
              <w:rPr>
                <w:rFonts w:ascii="Times New Roman" w:hAnsi="Times New Roman" w:cs="Times New Roman"/>
                <w:color w:val="000000"/>
                <w:sz w:val="20"/>
                <w:szCs w:val="20"/>
              </w:rPr>
            </w:pPr>
            <w:r w:rsidRPr="00986B85">
              <w:rPr>
                <w:rFonts w:ascii="Times New Roman" w:hAnsi="Times New Roman" w:cs="Times New Roman"/>
                <w:color w:val="000000"/>
                <w:sz w:val="20"/>
                <w:szCs w:val="20"/>
              </w:rPr>
              <w:t>tis. t</w:t>
            </w:r>
          </w:p>
        </w:tc>
        <w:tc>
          <w:tcPr>
            <w:tcW w:w="851" w:type="dxa"/>
            <w:tcBorders>
              <w:top w:val="nil"/>
              <w:left w:val="nil"/>
              <w:bottom w:val="nil"/>
              <w:right w:val="single" w:sz="4" w:space="0" w:color="auto"/>
            </w:tcBorders>
            <w:noWrap/>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43,60</w:t>
            </w:r>
          </w:p>
        </w:tc>
        <w:tc>
          <w:tcPr>
            <w:tcW w:w="850"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85,98</w:t>
            </w:r>
          </w:p>
        </w:tc>
        <w:tc>
          <w:tcPr>
            <w:tcW w:w="851"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93,68</w:t>
            </w:r>
          </w:p>
        </w:tc>
        <w:tc>
          <w:tcPr>
            <w:tcW w:w="850"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105,23</w:t>
            </w:r>
          </w:p>
        </w:tc>
        <w:tc>
          <w:tcPr>
            <w:tcW w:w="851"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78,89</w:t>
            </w:r>
          </w:p>
        </w:tc>
        <w:tc>
          <w:tcPr>
            <w:tcW w:w="788" w:type="dxa"/>
            <w:tcBorders>
              <w:top w:val="nil"/>
              <w:left w:val="nil"/>
              <w:bottom w:val="nil"/>
              <w:right w:val="nil"/>
            </w:tcBorders>
            <w:vAlign w:val="center"/>
          </w:tcPr>
          <w:p w:rsidR="00DC2D88" w:rsidRPr="00986B85" w:rsidRDefault="00DC2D88" w:rsidP="00F544BD">
            <w:pPr>
              <w:spacing w:after="0" w:line="240" w:lineRule="auto"/>
              <w:jc w:val="right"/>
              <w:rPr>
                <w:rFonts w:ascii="Times New Roman" w:hAnsi="Times New Roman" w:cs="Times New Roman"/>
                <w:color w:val="000000"/>
                <w:sz w:val="20"/>
                <w:szCs w:val="20"/>
              </w:rPr>
            </w:pPr>
            <w:r w:rsidRPr="00986B85">
              <w:rPr>
                <w:rFonts w:ascii="Times New Roman" w:hAnsi="Times New Roman" w:cs="Times New Roman"/>
                <w:color w:val="000000"/>
                <w:sz w:val="20"/>
                <w:szCs w:val="20"/>
              </w:rPr>
              <w:t>124,97</w:t>
            </w:r>
          </w:p>
        </w:tc>
      </w:tr>
      <w:tr w:rsidR="00DC2D88" w:rsidRPr="0019300C" w:rsidTr="007B5BCA">
        <w:trPr>
          <w:trHeight w:val="300"/>
        </w:trPr>
        <w:tc>
          <w:tcPr>
            <w:tcW w:w="3134" w:type="dxa"/>
            <w:tcBorders>
              <w:top w:val="nil"/>
              <w:left w:val="nil"/>
              <w:bottom w:val="single" w:sz="4" w:space="0" w:color="auto"/>
              <w:right w:val="single" w:sz="4" w:space="0" w:color="auto"/>
            </w:tcBorders>
            <w:vAlign w:val="center"/>
          </w:tcPr>
          <w:p w:rsidR="00DC2D88" w:rsidRPr="00986B85" w:rsidRDefault="00DC2D88" w:rsidP="00F544BD">
            <w:pPr>
              <w:spacing w:after="0" w:line="240" w:lineRule="auto"/>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Celkové použitie</w:t>
            </w:r>
          </w:p>
        </w:tc>
        <w:tc>
          <w:tcPr>
            <w:tcW w:w="897" w:type="dxa"/>
            <w:tcBorders>
              <w:top w:val="nil"/>
              <w:left w:val="single" w:sz="4" w:space="0" w:color="auto"/>
              <w:bottom w:val="single" w:sz="4" w:space="0" w:color="auto"/>
              <w:right w:val="single" w:sz="4" w:space="0" w:color="auto"/>
            </w:tcBorders>
            <w:vAlign w:val="center"/>
          </w:tcPr>
          <w:p w:rsidR="00DC2D88" w:rsidRPr="00986B85" w:rsidRDefault="00DC2D88" w:rsidP="00F544BD">
            <w:pPr>
              <w:spacing w:after="0" w:line="240" w:lineRule="auto"/>
              <w:jc w:val="center"/>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tis. t</w:t>
            </w:r>
          </w:p>
        </w:tc>
        <w:tc>
          <w:tcPr>
            <w:tcW w:w="851" w:type="dxa"/>
            <w:tcBorders>
              <w:top w:val="nil"/>
              <w:left w:val="nil"/>
              <w:bottom w:val="single" w:sz="4" w:space="0" w:color="auto"/>
              <w:right w:val="single" w:sz="4" w:space="0" w:color="auto"/>
            </w:tcBorders>
            <w:noWrap/>
            <w:vAlign w:val="center"/>
          </w:tcPr>
          <w:p w:rsidR="00DC2D88" w:rsidRPr="00986B85" w:rsidRDefault="00DC2D88" w:rsidP="00F544BD">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458,63</w:t>
            </w:r>
          </w:p>
        </w:tc>
        <w:tc>
          <w:tcPr>
            <w:tcW w:w="850" w:type="dxa"/>
            <w:tcBorders>
              <w:top w:val="nil"/>
              <w:left w:val="nil"/>
              <w:bottom w:val="single" w:sz="4" w:space="0" w:color="auto"/>
              <w:right w:val="nil"/>
            </w:tcBorders>
            <w:vAlign w:val="center"/>
          </w:tcPr>
          <w:p w:rsidR="00DC2D88" w:rsidRPr="00986B85" w:rsidRDefault="00DC2D88" w:rsidP="00F544BD">
            <w:pPr>
              <w:spacing w:after="0" w:line="240" w:lineRule="auto"/>
              <w:jc w:val="right"/>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526,47</w:t>
            </w:r>
          </w:p>
        </w:tc>
        <w:tc>
          <w:tcPr>
            <w:tcW w:w="851" w:type="dxa"/>
            <w:tcBorders>
              <w:top w:val="nil"/>
              <w:left w:val="nil"/>
              <w:bottom w:val="single" w:sz="4" w:space="0" w:color="auto"/>
              <w:right w:val="nil"/>
            </w:tcBorders>
            <w:vAlign w:val="center"/>
          </w:tcPr>
          <w:p w:rsidR="00DC2D88" w:rsidRPr="00986B85" w:rsidRDefault="00DC2D88" w:rsidP="00F544BD">
            <w:pPr>
              <w:spacing w:after="0" w:line="240" w:lineRule="auto"/>
              <w:jc w:val="right"/>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581,73</w:t>
            </w:r>
          </w:p>
        </w:tc>
        <w:tc>
          <w:tcPr>
            <w:tcW w:w="850" w:type="dxa"/>
            <w:tcBorders>
              <w:top w:val="nil"/>
              <w:left w:val="nil"/>
              <w:bottom w:val="single" w:sz="4" w:space="0" w:color="auto"/>
              <w:right w:val="nil"/>
            </w:tcBorders>
            <w:vAlign w:val="center"/>
          </w:tcPr>
          <w:p w:rsidR="00DC2D88" w:rsidRPr="00986B85" w:rsidRDefault="00DC2D88" w:rsidP="00F544BD">
            <w:pPr>
              <w:spacing w:after="0" w:line="240" w:lineRule="auto"/>
              <w:jc w:val="right"/>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564,74</w:t>
            </w:r>
          </w:p>
        </w:tc>
        <w:tc>
          <w:tcPr>
            <w:tcW w:w="851" w:type="dxa"/>
            <w:tcBorders>
              <w:top w:val="nil"/>
              <w:left w:val="nil"/>
              <w:bottom w:val="single" w:sz="4" w:space="0" w:color="auto"/>
              <w:right w:val="nil"/>
            </w:tcBorders>
            <w:vAlign w:val="center"/>
          </w:tcPr>
          <w:p w:rsidR="00DC2D88" w:rsidRPr="00986B85" w:rsidRDefault="00DC2D88" w:rsidP="00F544BD">
            <w:pPr>
              <w:spacing w:after="0" w:line="240" w:lineRule="auto"/>
              <w:jc w:val="right"/>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546,31</w:t>
            </w:r>
          </w:p>
        </w:tc>
        <w:tc>
          <w:tcPr>
            <w:tcW w:w="788" w:type="dxa"/>
            <w:tcBorders>
              <w:top w:val="nil"/>
              <w:left w:val="nil"/>
              <w:bottom w:val="single" w:sz="4" w:space="0" w:color="auto"/>
              <w:right w:val="nil"/>
            </w:tcBorders>
            <w:vAlign w:val="center"/>
          </w:tcPr>
          <w:p w:rsidR="00DC2D88" w:rsidRPr="00986B85" w:rsidRDefault="00DC2D88" w:rsidP="00F544BD">
            <w:pPr>
              <w:spacing w:after="0" w:line="240" w:lineRule="auto"/>
              <w:jc w:val="right"/>
              <w:rPr>
                <w:rFonts w:ascii="Times New Roman" w:hAnsi="Times New Roman" w:cs="Times New Roman"/>
                <w:b/>
                <w:bCs/>
                <w:color w:val="000000"/>
                <w:sz w:val="20"/>
                <w:szCs w:val="20"/>
              </w:rPr>
            </w:pPr>
            <w:r w:rsidRPr="00986B85">
              <w:rPr>
                <w:rFonts w:ascii="Times New Roman" w:hAnsi="Times New Roman" w:cs="Times New Roman"/>
                <w:b/>
                <w:bCs/>
                <w:color w:val="000000"/>
                <w:sz w:val="20"/>
                <w:szCs w:val="20"/>
              </w:rPr>
              <w:t>580,84</w:t>
            </w:r>
          </w:p>
        </w:tc>
      </w:tr>
    </w:tbl>
    <w:p w:rsidR="008A6CD4" w:rsidRDefault="008A6CD4" w:rsidP="008A6CD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DC2D88" w:rsidRDefault="00DC2D88" w:rsidP="008A6CD4">
      <w:pPr>
        <w:spacing w:after="0" w:line="240" w:lineRule="auto"/>
        <w:jc w:val="both"/>
        <w:rPr>
          <w:rFonts w:ascii="Times New Roman" w:hAnsi="Times New Roman" w:cs="Times New Roman"/>
          <w:b/>
          <w:sz w:val="24"/>
          <w:szCs w:val="24"/>
        </w:rPr>
      </w:pPr>
    </w:p>
    <w:p w:rsidR="008A6CD4" w:rsidRDefault="008A6CD4" w:rsidP="008A6C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Vývoj do roku 2011, oproti referenčnému roku 2002, reflektoval nasledovné skutočnosti: </w:t>
      </w:r>
    </w:p>
    <w:p w:rsidR="008A6CD4" w:rsidRDefault="001D18FC" w:rsidP="000D68DC">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pokles zberových plôch zeleniny o 9,65 %;</w:t>
      </w:r>
    </w:p>
    <w:p w:rsidR="001D18FC" w:rsidRDefault="00986B85" w:rsidP="000D68DC">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pokles</w:t>
      </w:r>
      <w:r w:rsidR="001D18FC">
        <w:rPr>
          <w:rFonts w:ascii="Times New Roman" w:hAnsi="Times New Roman" w:cs="Times New Roman"/>
          <w:sz w:val="24"/>
          <w:szCs w:val="24"/>
        </w:rPr>
        <w:t xml:space="preserve"> hektárových úrod o</w:t>
      </w:r>
      <w:r>
        <w:rPr>
          <w:rFonts w:ascii="Times New Roman" w:hAnsi="Times New Roman" w:cs="Times New Roman"/>
          <w:sz w:val="24"/>
          <w:szCs w:val="24"/>
        </w:rPr>
        <w:t xml:space="preserve"> 3,9 </w:t>
      </w:r>
      <w:r w:rsidR="001D18FC">
        <w:rPr>
          <w:rFonts w:ascii="Times New Roman" w:hAnsi="Times New Roman" w:cs="Times New Roman"/>
          <w:sz w:val="24"/>
          <w:szCs w:val="24"/>
        </w:rPr>
        <w:t>%;</w:t>
      </w:r>
    </w:p>
    <w:p w:rsidR="001D18FC" w:rsidRDefault="001D18FC" w:rsidP="000D68DC">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rast spotreby čerstvej zele</w:t>
      </w:r>
      <w:r w:rsidR="005A4E5D">
        <w:rPr>
          <w:rFonts w:ascii="Times New Roman" w:hAnsi="Times New Roman" w:cs="Times New Roman"/>
          <w:sz w:val="24"/>
          <w:szCs w:val="24"/>
        </w:rPr>
        <w:t>niny ako finálneho produktu o 35,6</w:t>
      </w:r>
      <w:r>
        <w:rPr>
          <w:rFonts w:ascii="Times New Roman" w:hAnsi="Times New Roman" w:cs="Times New Roman"/>
          <w:sz w:val="24"/>
          <w:szCs w:val="24"/>
        </w:rPr>
        <w:t xml:space="preserve"> %;</w:t>
      </w:r>
    </w:p>
    <w:p w:rsidR="001D18FC" w:rsidRDefault="001D18FC" w:rsidP="000D68DC">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pokles dodávok zeleniny pre spracovateľský priemysel na Slovensku o 69,05 %; </w:t>
      </w:r>
    </w:p>
    <w:p w:rsidR="001D18FC" w:rsidRDefault="001D18FC" w:rsidP="000D68DC">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rast objemu dovozu zeleniny o 179,55 %; a</w:t>
      </w:r>
    </w:p>
    <w:p w:rsidR="001D18FC" w:rsidRDefault="001D18FC" w:rsidP="000D68DC">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pokles objemu vývozu zeleniny o 41,37 %.</w:t>
      </w:r>
    </w:p>
    <w:p w:rsidR="001D18FC" w:rsidRDefault="001D18FC" w:rsidP="001D18FC">
      <w:pPr>
        <w:spacing w:after="0" w:line="240" w:lineRule="auto"/>
        <w:jc w:val="both"/>
        <w:rPr>
          <w:rFonts w:ascii="Times New Roman" w:hAnsi="Times New Roman" w:cs="Times New Roman"/>
          <w:sz w:val="24"/>
          <w:szCs w:val="24"/>
        </w:rPr>
      </w:pPr>
    </w:p>
    <w:p w:rsidR="00DC2D88" w:rsidRDefault="00D82751" w:rsidP="001D1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Negatívne kvantitatívne a kvalitatívne parametre produkcie zeleniny na Slovensku len podčiarkuje skutočnosť, že bez ohľadu na produkciu zeleniny v prídomových záhradkách, dosahuje miera </w:t>
      </w:r>
      <w:r w:rsidR="006B5EAD">
        <w:rPr>
          <w:rFonts w:ascii="Times New Roman" w:hAnsi="Times New Roman" w:cs="Times New Roman"/>
          <w:sz w:val="24"/>
          <w:szCs w:val="24"/>
        </w:rPr>
        <w:t>výkonnosti</w:t>
      </w:r>
      <w:r>
        <w:rPr>
          <w:rFonts w:ascii="Times New Roman" w:hAnsi="Times New Roman" w:cs="Times New Roman"/>
          <w:sz w:val="24"/>
          <w:szCs w:val="24"/>
        </w:rPr>
        <w:t xml:space="preserve"> v produkcii zeleniny len 19,7 %. Je preto namieste hovoriť o urgentnej potrebe zvýšenia pestovania tradičnej zeleniny v podnikateľskej oblasti, nakoľko </w:t>
      </w:r>
      <w:r w:rsidR="00DC2D88">
        <w:rPr>
          <w:rFonts w:ascii="Times New Roman" w:hAnsi="Times New Roman" w:cs="Times New Roman"/>
          <w:sz w:val="24"/>
          <w:szCs w:val="24"/>
        </w:rPr>
        <w:t>produkcia</w:t>
      </w:r>
      <w:r>
        <w:rPr>
          <w:rFonts w:ascii="Times New Roman" w:hAnsi="Times New Roman" w:cs="Times New Roman"/>
          <w:sz w:val="24"/>
          <w:szCs w:val="24"/>
        </w:rPr>
        <w:t xml:space="preserve"> zeleniny </w:t>
      </w:r>
      <w:r w:rsidR="00DC2D88">
        <w:rPr>
          <w:rFonts w:ascii="Times New Roman" w:hAnsi="Times New Roman" w:cs="Times New Roman"/>
          <w:sz w:val="24"/>
          <w:szCs w:val="24"/>
        </w:rPr>
        <w:t xml:space="preserve">na ornej pôde </w:t>
      </w:r>
      <w:r>
        <w:rPr>
          <w:rFonts w:ascii="Times New Roman" w:hAnsi="Times New Roman" w:cs="Times New Roman"/>
          <w:sz w:val="24"/>
          <w:szCs w:val="24"/>
        </w:rPr>
        <w:t xml:space="preserve">na Slovensku </w:t>
      </w:r>
      <w:r w:rsidR="00DC2D88">
        <w:rPr>
          <w:rFonts w:ascii="Times New Roman" w:hAnsi="Times New Roman" w:cs="Times New Roman"/>
          <w:sz w:val="24"/>
          <w:szCs w:val="24"/>
        </w:rPr>
        <w:t>je</w:t>
      </w:r>
      <w:r>
        <w:rPr>
          <w:rFonts w:ascii="Times New Roman" w:hAnsi="Times New Roman" w:cs="Times New Roman"/>
          <w:sz w:val="24"/>
          <w:szCs w:val="24"/>
        </w:rPr>
        <w:t xml:space="preserve"> len na ploche cca 9 000 ha </w:t>
      </w:r>
      <w:r w:rsidR="00DC2D88">
        <w:rPr>
          <w:rFonts w:ascii="Times New Roman" w:hAnsi="Times New Roman" w:cs="Times New Roman"/>
          <w:sz w:val="24"/>
          <w:szCs w:val="24"/>
        </w:rPr>
        <w:t>a dosahuje úroveň</w:t>
      </w:r>
      <w:r>
        <w:rPr>
          <w:rFonts w:ascii="Times New Roman" w:hAnsi="Times New Roman" w:cs="Times New Roman"/>
          <w:sz w:val="24"/>
          <w:szCs w:val="24"/>
        </w:rPr>
        <w:t xml:space="preserve"> cca 109 000 </w:t>
      </w:r>
      <w:r w:rsidR="00E56F8E">
        <w:rPr>
          <w:rFonts w:ascii="Times New Roman" w:hAnsi="Times New Roman" w:cs="Times New Roman"/>
          <w:sz w:val="24"/>
          <w:szCs w:val="24"/>
        </w:rPr>
        <w:t>t, čo predstavuje priemerný hektárový výnos na úrovni 12,11 t/ha</w:t>
      </w:r>
      <w:r>
        <w:rPr>
          <w:rFonts w:ascii="Times New Roman" w:hAnsi="Times New Roman" w:cs="Times New Roman"/>
          <w:sz w:val="24"/>
          <w:szCs w:val="24"/>
        </w:rPr>
        <w:t>. Táto produkcia tak tvorí len cca 34 % celkovej produkcie zeleniny na Slovensku.</w:t>
      </w:r>
    </w:p>
    <w:p w:rsidR="00DC2D88" w:rsidRDefault="00DC2D88" w:rsidP="001D18FC">
      <w:pPr>
        <w:spacing w:after="0" w:line="240" w:lineRule="auto"/>
        <w:jc w:val="both"/>
        <w:rPr>
          <w:rFonts w:ascii="Times New Roman" w:hAnsi="Times New Roman" w:cs="Times New Roman"/>
          <w:sz w:val="24"/>
          <w:szCs w:val="24"/>
        </w:rPr>
      </w:pPr>
    </w:p>
    <w:p w:rsidR="001B1F92" w:rsidRDefault="002F445C" w:rsidP="001D1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dosiahnutie cielenej </w:t>
      </w:r>
      <w:r w:rsidR="006B5EAD">
        <w:rPr>
          <w:rFonts w:ascii="Times New Roman" w:hAnsi="Times New Roman" w:cs="Times New Roman"/>
          <w:sz w:val="24"/>
          <w:szCs w:val="24"/>
        </w:rPr>
        <w:t>produkčnej výkonnosti</w:t>
      </w:r>
      <w:r>
        <w:rPr>
          <w:rFonts w:ascii="Times New Roman" w:hAnsi="Times New Roman" w:cs="Times New Roman"/>
          <w:sz w:val="24"/>
          <w:szCs w:val="24"/>
        </w:rPr>
        <w:t xml:space="preserve"> v tejto komodite, z hľadiska prvovýroby, na úrovni 80 %, bude potrebné zvýšiť zberovú plochu</w:t>
      </w:r>
      <w:r w:rsidR="00381DC8">
        <w:rPr>
          <w:rFonts w:ascii="Times New Roman" w:hAnsi="Times New Roman" w:cs="Times New Roman"/>
          <w:sz w:val="24"/>
          <w:szCs w:val="24"/>
        </w:rPr>
        <w:t xml:space="preserve"> </w:t>
      </w:r>
      <w:r w:rsidR="00BF439C">
        <w:rPr>
          <w:rFonts w:ascii="Times New Roman" w:hAnsi="Times New Roman" w:cs="Times New Roman"/>
          <w:sz w:val="24"/>
          <w:szCs w:val="24"/>
        </w:rPr>
        <w:t>zeleniny na ornej pôde</w:t>
      </w:r>
      <w:r>
        <w:rPr>
          <w:rFonts w:ascii="Times New Roman" w:hAnsi="Times New Roman" w:cs="Times New Roman"/>
          <w:sz w:val="24"/>
          <w:szCs w:val="24"/>
        </w:rPr>
        <w:t xml:space="preserve"> o 3 000 ha a následnou intenzifikáciou produkcie dosiahnuť priemerné hektárové výnosy </w:t>
      </w:r>
      <w:r w:rsidR="00BF439C">
        <w:rPr>
          <w:rFonts w:ascii="Times New Roman" w:hAnsi="Times New Roman" w:cs="Times New Roman"/>
          <w:sz w:val="24"/>
          <w:szCs w:val="24"/>
        </w:rPr>
        <w:t>zeleniny na ornej pôde</w:t>
      </w:r>
      <w:r w:rsidR="00381DC8">
        <w:rPr>
          <w:rFonts w:ascii="Times New Roman" w:hAnsi="Times New Roman" w:cs="Times New Roman"/>
          <w:sz w:val="24"/>
          <w:szCs w:val="24"/>
        </w:rPr>
        <w:t xml:space="preserve"> </w:t>
      </w:r>
      <w:r>
        <w:rPr>
          <w:rFonts w:ascii="Times New Roman" w:hAnsi="Times New Roman" w:cs="Times New Roman"/>
          <w:sz w:val="24"/>
          <w:szCs w:val="24"/>
        </w:rPr>
        <w:t xml:space="preserve">na úrovni </w:t>
      </w:r>
      <w:r w:rsidR="00E56F8E">
        <w:rPr>
          <w:rFonts w:ascii="Times New Roman" w:hAnsi="Times New Roman" w:cs="Times New Roman"/>
          <w:sz w:val="24"/>
          <w:szCs w:val="24"/>
        </w:rPr>
        <w:t>2</w:t>
      </w:r>
      <w:r>
        <w:rPr>
          <w:rFonts w:ascii="Times New Roman" w:hAnsi="Times New Roman" w:cs="Times New Roman"/>
          <w:sz w:val="24"/>
          <w:szCs w:val="24"/>
        </w:rPr>
        <w:t>0 t/h</w:t>
      </w:r>
      <w:r w:rsidR="00DC2D88">
        <w:rPr>
          <w:rFonts w:ascii="Times New Roman" w:hAnsi="Times New Roman" w:cs="Times New Roman"/>
          <w:sz w:val="24"/>
          <w:szCs w:val="24"/>
        </w:rPr>
        <w:t>a.</w:t>
      </w:r>
      <w:r w:rsidR="00BF439C">
        <w:rPr>
          <w:rFonts w:ascii="Times New Roman" w:hAnsi="Times New Roman" w:cs="Times New Roman"/>
          <w:sz w:val="24"/>
          <w:szCs w:val="24"/>
        </w:rPr>
        <w:t xml:space="preserve"> </w:t>
      </w:r>
      <w:r w:rsidR="00E56F8E">
        <w:rPr>
          <w:rFonts w:ascii="Times New Roman" w:hAnsi="Times New Roman" w:cs="Times New Roman"/>
          <w:sz w:val="24"/>
          <w:szCs w:val="24"/>
        </w:rPr>
        <w:t xml:space="preserve">Dosiahnutie takýchto parametrov produkcie </w:t>
      </w:r>
      <w:r w:rsidR="00BF439C">
        <w:rPr>
          <w:rFonts w:ascii="Times New Roman" w:hAnsi="Times New Roman" w:cs="Times New Roman"/>
          <w:sz w:val="24"/>
          <w:szCs w:val="24"/>
        </w:rPr>
        <w:t>zeleniny na ornej pôde</w:t>
      </w:r>
      <w:r w:rsidR="00E56F8E">
        <w:rPr>
          <w:rFonts w:ascii="Times New Roman" w:hAnsi="Times New Roman" w:cs="Times New Roman"/>
          <w:sz w:val="24"/>
          <w:szCs w:val="24"/>
        </w:rPr>
        <w:t xml:space="preserve"> </w:t>
      </w:r>
      <w:r w:rsidR="00A32E77">
        <w:rPr>
          <w:rFonts w:ascii="Times New Roman" w:hAnsi="Times New Roman" w:cs="Times New Roman"/>
          <w:sz w:val="24"/>
          <w:szCs w:val="24"/>
        </w:rPr>
        <w:t>predpokladáme</w:t>
      </w:r>
      <w:r w:rsidR="00E56F8E">
        <w:rPr>
          <w:rFonts w:ascii="Times New Roman" w:hAnsi="Times New Roman" w:cs="Times New Roman"/>
          <w:sz w:val="24"/>
          <w:szCs w:val="24"/>
        </w:rPr>
        <w:t xml:space="preserve"> jej rast o 120,2 % na úroveň 240 000 t. Spolu s odhadom samozásobenia teda celková produkcia zeleniny na Slovensku vzrastie na úroveň 445 860 t, čo pokryje domácu spotrebu čerstvej zeleniny ako finálneho produktu</w:t>
      </w:r>
      <w:r w:rsidR="001B1F92">
        <w:rPr>
          <w:rFonts w:ascii="Times New Roman" w:hAnsi="Times New Roman" w:cs="Times New Roman"/>
          <w:sz w:val="24"/>
          <w:szCs w:val="24"/>
        </w:rPr>
        <w:t xml:space="preserve">. Dovozom sa takto budú musieť vykryť len prípadné dodatočné potreby spracovateľského priemyslu a ostatná spotreba. Opatrenia na dosiahnutie týchto parametrov produkcie si budú vyžadovať, pri priemerných nákladoch na 1 ha cca </w:t>
      </w:r>
      <w:r w:rsidR="00A32E77">
        <w:rPr>
          <w:rFonts w:ascii="Times New Roman" w:hAnsi="Times New Roman" w:cs="Times New Roman"/>
          <w:sz w:val="24"/>
          <w:szCs w:val="24"/>
        </w:rPr>
        <w:t>4 0</w:t>
      </w:r>
      <w:r w:rsidR="001B1F92">
        <w:rPr>
          <w:rFonts w:ascii="Times New Roman" w:hAnsi="Times New Roman" w:cs="Times New Roman"/>
          <w:sz w:val="24"/>
          <w:szCs w:val="24"/>
        </w:rPr>
        <w:t>00 EUR, celkové náklady vo výške cca 42 – 45 mil. EUR.</w:t>
      </w:r>
    </w:p>
    <w:p w:rsidR="001B1F92" w:rsidRDefault="001B1F92" w:rsidP="001D18FC">
      <w:pPr>
        <w:spacing w:after="0" w:line="240" w:lineRule="auto"/>
        <w:jc w:val="both"/>
        <w:rPr>
          <w:rFonts w:ascii="Times New Roman" w:hAnsi="Times New Roman" w:cs="Times New Roman"/>
          <w:sz w:val="24"/>
          <w:szCs w:val="24"/>
        </w:rPr>
      </w:pPr>
    </w:p>
    <w:p w:rsidR="001B1F92" w:rsidRDefault="001B1F92" w:rsidP="001B1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Vyššie uvedené zvýšenie domácej produkcie zeleniny je potrebné z hľadiska súčasnej úrovne spotreby zeleniny, berúc do úvahy spotrebiteľské preferencie. </w:t>
      </w:r>
    </w:p>
    <w:p w:rsidR="00DC2D88" w:rsidRDefault="00DC2D88" w:rsidP="001B1F92">
      <w:pPr>
        <w:spacing w:after="0" w:line="240" w:lineRule="auto"/>
        <w:jc w:val="both"/>
        <w:rPr>
          <w:rFonts w:ascii="Times New Roman" w:hAnsi="Times New Roman" w:cs="Times New Roman"/>
          <w:sz w:val="20"/>
          <w:szCs w:val="20"/>
        </w:rPr>
      </w:pPr>
    </w:p>
    <w:p w:rsidR="00C970F8" w:rsidRDefault="00C970F8" w:rsidP="001B1F92">
      <w:pPr>
        <w:spacing w:after="0" w:line="240" w:lineRule="auto"/>
        <w:jc w:val="both"/>
        <w:rPr>
          <w:rFonts w:ascii="Times New Roman" w:hAnsi="Times New Roman" w:cs="Times New Roman"/>
          <w:sz w:val="20"/>
          <w:szCs w:val="20"/>
        </w:rPr>
      </w:pPr>
    </w:p>
    <w:p w:rsidR="00C970F8" w:rsidRDefault="00C970F8" w:rsidP="001B1F92">
      <w:pPr>
        <w:spacing w:after="0" w:line="240" w:lineRule="auto"/>
        <w:jc w:val="both"/>
        <w:rPr>
          <w:rFonts w:ascii="Times New Roman" w:hAnsi="Times New Roman" w:cs="Times New Roman"/>
          <w:sz w:val="20"/>
          <w:szCs w:val="20"/>
        </w:rPr>
      </w:pPr>
    </w:p>
    <w:p w:rsidR="007B5BCA" w:rsidRDefault="007B5BCA" w:rsidP="001B1F92">
      <w:pPr>
        <w:spacing w:after="0" w:line="240" w:lineRule="auto"/>
        <w:jc w:val="both"/>
        <w:rPr>
          <w:rFonts w:ascii="Times New Roman" w:hAnsi="Times New Roman" w:cs="Times New Roman"/>
          <w:sz w:val="20"/>
          <w:szCs w:val="20"/>
        </w:rPr>
      </w:pPr>
    </w:p>
    <w:p w:rsidR="00502A07" w:rsidRPr="00502A07" w:rsidRDefault="00C970F8" w:rsidP="001B1F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Graf č. 51</w:t>
      </w:r>
      <w:r w:rsidR="00502A07" w:rsidRPr="00155936">
        <w:rPr>
          <w:rFonts w:ascii="Times New Roman" w:hAnsi="Times New Roman" w:cs="Times New Roman"/>
          <w:sz w:val="20"/>
          <w:szCs w:val="20"/>
        </w:rPr>
        <w:t>:</w:t>
      </w:r>
      <w:r w:rsidR="00502A07">
        <w:rPr>
          <w:rFonts w:ascii="Times New Roman" w:hAnsi="Times New Roman" w:cs="Times New Roman"/>
          <w:sz w:val="20"/>
          <w:szCs w:val="20"/>
        </w:rPr>
        <w:t xml:space="preserve"> S</w:t>
      </w:r>
      <w:r w:rsidR="00502A07" w:rsidRPr="008C3068">
        <w:rPr>
          <w:rFonts w:ascii="Times New Roman" w:hAnsi="Times New Roman" w:cs="Times New Roman"/>
          <w:sz w:val="20"/>
          <w:szCs w:val="20"/>
        </w:rPr>
        <w:t xml:space="preserve">potreba </w:t>
      </w:r>
      <w:r w:rsidR="00502A07">
        <w:rPr>
          <w:rFonts w:ascii="Times New Roman" w:hAnsi="Times New Roman" w:cs="Times New Roman"/>
          <w:sz w:val="20"/>
          <w:szCs w:val="20"/>
        </w:rPr>
        <w:t>zeleniny</w:t>
      </w:r>
      <w:r w:rsidR="00434B86">
        <w:rPr>
          <w:rFonts w:ascii="Times New Roman" w:hAnsi="Times New Roman" w:cs="Times New Roman"/>
          <w:sz w:val="20"/>
          <w:szCs w:val="20"/>
        </w:rPr>
        <w:t xml:space="preserve">(v hodnote čerstvého) </w:t>
      </w:r>
      <w:r w:rsidR="00502A07" w:rsidRPr="008C3068">
        <w:rPr>
          <w:rFonts w:ascii="Times New Roman" w:hAnsi="Times New Roman" w:cs="Times New Roman"/>
          <w:sz w:val="20"/>
          <w:szCs w:val="20"/>
        </w:rPr>
        <w:t>na obyvateľa v kg za rok</w:t>
      </w:r>
    </w:p>
    <w:p w:rsidR="001B1F92" w:rsidRDefault="00434B86" w:rsidP="001B1F92">
      <w:pPr>
        <w:spacing w:after="0" w:line="240" w:lineRule="auto"/>
        <w:jc w:val="both"/>
        <w:rPr>
          <w:rFonts w:ascii="Times New Roman" w:hAnsi="Times New Roman" w:cs="Times New Roman"/>
          <w:sz w:val="24"/>
          <w:szCs w:val="24"/>
        </w:rPr>
      </w:pPr>
      <w:r>
        <w:rPr>
          <w:noProof/>
        </w:rPr>
        <w:drawing>
          <wp:inline distT="0" distB="0" distL="0" distR="0" wp14:anchorId="36BAB06C" wp14:editId="330F02F7">
            <wp:extent cx="5747879" cy="2363190"/>
            <wp:effectExtent l="0" t="0" r="0"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434B86" w:rsidRDefault="00434B86" w:rsidP="00434B8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1D18FC" w:rsidRDefault="001D18FC" w:rsidP="001D18FC">
      <w:pPr>
        <w:spacing w:after="0" w:line="240" w:lineRule="auto"/>
        <w:jc w:val="both"/>
        <w:rPr>
          <w:rFonts w:ascii="Times New Roman" w:hAnsi="Times New Roman" w:cs="Times New Roman"/>
          <w:sz w:val="24"/>
          <w:szCs w:val="24"/>
        </w:rPr>
      </w:pPr>
    </w:p>
    <w:p w:rsidR="00217F8B" w:rsidRDefault="00217F8B" w:rsidP="00217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Vzhľadom na to, že spotrebiteľské preferencie sú v spotrebe zeleniny v strednom období relatívne stabilné, je nutné tento trend zachovať a zastabilizovať súčasnú spotrebu zeleniny na obyvateľa minimálne na úrovni roku 2011.</w:t>
      </w:r>
      <w:r w:rsidR="00251118">
        <w:rPr>
          <w:rFonts w:ascii="Times New Roman" w:hAnsi="Times New Roman" w:cs="Times New Roman"/>
          <w:sz w:val="24"/>
          <w:szCs w:val="24"/>
        </w:rPr>
        <w:t xml:space="preserve"> V tomto ohľade je najsenzitívnejším parametrom cena. </w:t>
      </w:r>
    </w:p>
    <w:p w:rsidR="00C234A1" w:rsidRDefault="00C234A1" w:rsidP="00217F8B">
      <w:pPr>
        <w:spacing w:after="0" w:line="240" w:lineRule="auto"/>
        <w:jc w:val="both"/>
        <w:rPr>
          <w:rFonts w:ascii="Times New Roman" w:hAnsi="Times New Roman" w:cs="Times New Roman"/>
          <w:sz w:val="24"/>
          <w:szCs w:val="24"/>
        </w:rPr>
      </w:pPr>
    </w:p>
    <w:p w:rsidR="00251118" w:rsidRPr="00251118" w:rsidRDefault="00C970F8" w:rsidP="00217F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52</w:t>
      </w:r>
      <w:r w:rsidR="00251118" w:rsidRPr="00155936">
        <w:rPr>
          <w:rFonts w:ascii="Times New Roman" w:hAnsi="Times New Roman" w:cs="Times New Roman"/>
          <w:sz w:val="20"/>
          <w:szCs w:val="20"/>
        </w:rPr>
        <w:t>:</w:t>
      </w:r>
      <w:r w:rsidR="00251118">
        <w:rPr>
          <w:rFonts w:ascii="Times New Roman" w:hAnsi="Times New Roman" w:cs="Times New Roman"/>
          <w:sz w:val="20"/>
          <w:szCs w:val="20"/>
        </w:rPr>
        <w:t xml:space="preserve"> Prehľad cien jednotlivých druhov zeleniny v potravinovej vertikále v EUR/kg</w:t>
      </w:r>
    </w:p>
    <w:p w:rsidR="00217F8B" w:rsidRDefault="000A5206" w:rsidP="00217F8B">
      <w:pPr>
        <w:spacing w:after="0" w:line="240" w:lineRule="auto"/>
        <w:jc w:val="both"/>
        <w:rPr>
          <w:rFonts w:ascii="Times New Roman" w:hAnsi="Times New Roman" w:cs="Times New Roman"/>
          <w:sz w:val="24"/>
          <w:szCs w:val="24"/>
        </w:rPr>
      </w:pPr>
      <w:r>
        <w:rPr>
          <w:noProof/>
        </w:rPr>
        <w:drawing>
          <wp:inline distT="0" distB="0" distL="0" distR="0" wp14:anchorId="61F18E80" wp14:editId="0AF4BD5D">
            <wp:extent cx="5759532" cy="3259776"/>
            <wp:effectExtent l="0" t="0" r="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251118" w:rsidRDefault="00251118" w:rsidP="0025111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434B86" w:rsidRDefault="00434B86" w:rsidP="001D18FC">
      <w:pPr>
        <w:spacing w:after="0" w:line="240" w:lineRule="auto"/>
        <w:jc w:val="both"/>
        <w:rPr>
          <w:rFonts w:ascii="Times New Roman" w:hAnsi="Times New Roman" w:cs="Times New Roman"/>
          <w:sz w:val="24"/>
          <w:szCs w:val="24"/>
        </w:rPr>
      </w:pPr>
    </w:p>
    <w:p w:rsidR="00251118" w:rsidRPr="001D18FC" w:rsidRDefault="009D367C" w:rsidP="001D1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základe spracovaného prehľadu cien jednotlivých druhov zeleniny vyplýva, že slovenskí producenti zeleniny sú schopní dodať na náš trh zeleninu </w:t>
      </w:r>
      <w:r>
        <w:rPr>
          <w:rFonts w:ascii="Times New Roman" w:hAnsi="Times New Roman"/>
          <w:sz w:val="24"/>
          <w:szCs w:val="24"/>
        </w:rPr>
        <w:t>v cene a kvalite</w:t>
      </w:r>
      <w:r>
        <w:rPr>
          <w:rFonts w:ascii="Times New Roman" w:hAnsi="Times New Roman" w:cs="Times New Roman"/>
          <w:sz w:val="24"/>
          <w:szCs w:val="24"/>
        </w:rPr>
        <w:t>, v porovnaní s dovozovou zeleninou.</w:t>
      </w:r>
      <w:r w:rsidR="00AA5B74">
        <w:rPr>
          <w:rFonts w:ascii="Times New Roman" w:hAnsi="Times New Roman" w:cs="Times New Roman"/>
          <w:sz w:val="24"/>
          <w:szCs w:val="24"/>
        </w:rPr>
        <w:t xml:space="preserve"> </w:t>
      </w:r>
      <w:r>
        <w:rPr>
          <w:rFonts w:ascii="Times New Roman" w:hAnsi="Times New Roman"/>
          <w:sz w:val="24"/>
          <w:szCs w:val="24"/>
        </w:rPr>
        <w:t>Ceny prvovýrobcov</w:t>
      </w:r>
      <w:r w:rsidRPr="00054CA1">
        <w:rPr>
          <w:rFonts w:ascii="Times New Roman" w:hAnsi="Times New Roman"/>
          <w:sz w:val="24"/>
          <w:szCs w:val="24"/>
        </w:rPr>
        <w:t xml:space="preserve"> však mnohokrát nepokryjú ich náklady a jednotliví pestovatelia sa nedokážu presadiť v</w:t>
      </w:r>
      <w:r>
        <w:rPr>
          <w:rFonts w:ascii="Times New Roman" w:hAnsi="Times New Roman"/>
          <w:sz w:val="24"/>
          <w:szCs w:val="24"/>
        </w:rPr>
        <w:t> </w:t>
      </w:r>
      <w:r w:rsidRPr="00054CA1">
        <w:rPr>
          <w:rFonts w:ascii="Times New Roman" w:hAnsi="Times New Roman"/>
          <w:sz w:val="24"/>
          <w:szCs w:val="24"/>
        </w:rPr>
        <w:t>reťazcoch</w:t>
      </w:r>
      <w:r>
        <w:rPr>
          <w:rFonts w:ascii="Times New Roman" w:hAnsi="Times New Roman"/>
          <w:sz w:val="24"/>
          <w:szCs w:val="24"/>
        </w:rPr>
        <w:t>, a tak</w:t>
      </w:r>
      <w:r w:rsidRPr="00054CA1">
        <w:rPr>
          <w:rFonts w:ascii="Times New Roman" w:hAnsi="Times New Roman"/>
          <w:sz w:val="24"/>
          <w:szCs w:val="24"/>
        </w:rPr>
        <w:t xml:space="preserve"> predávať </w:t>
      </w:r>
      <w:r>
        <w:rPr>
          <w:rFonts w:ascii="Times New Roman" w:hAnsi="Times New Roman"/>
          <w:sz w:val="24"/>
          <w:szCs w:val="24"/>
        </w:rPr>
        <w:t xml:space="preserve">zeleninu </w:t>
      </w:r>
      <w:r>
        <w:rPr>
          <w:rFonts w:ascii="Times New Roman" w:hAnsi="Times New Roman" w:cs="Times New Roman"/>
          <w:sz w:val="24"/>
          <w:szCs w:val="24"/>
        </w:rPr>
        <w:t xml:space="preserve">v primeraných cenových reláciách. </w:t>
      </w:r>
      <w:r>
        <w:rPr>
          <w:rFonts w:ascii="Times New Roman" w:hAnsi="Times New Roman"/>
          <w:sz w:val="24"/>
          <w:szCs w:val="24"/>
        </w:rPr>
        <w:t>Výroba zeleniny je závislá na</w:t>
      </w:r>
      <w:r w:rsidRPr="00054CA1">
        <w:rPr>
          <w:rFonts w:ascii="Times New Roman" w:hAnsi="Times New Roman"/>
          <w:sz w:val="24"/>
          <w:szCs w:val="24"/>
        </w:rPr>
        <w:t xml:space="preserve"> počasí, zabezpečení dostatku závlahy a  pri zachovaní čerstvosti a kvality musí byť umiestnenie na trh</w:t>
      </w:r>
      <w:r>
        <w:rPr>
          <w:rFonts w:ascii="Times New Roman" w:hAnsi="Times New Roman"/>
          <w:sz w:val="24"/>
          <w:szCs w:val="24"/>
        </w:rPr>
        <w:t>,</w:t>
      </w:r>
      <w:r w:rsidRPr="00054CA1">
        <w:rPr>
          <w:rFonts w:ascii="Times New Roman" w:hAnsi="Times New Roman"/>
          <w:sz w:val="24"/>
          <w:szCs w:val="24"/>
        </w:rPr>
        <w:t xml:space="preserve">  veľmi </w:t>
      </w:r>
      <w:r w:rsidRPr="00054CA1">
        <w:rPr>
          <w:rFonts w:ascii="Times New Roman" w:hAnsi="Times New Roman"/>
          <w:sz w:val="24"/>
          <w:szCs w:val="24"/>
        </w:rPr>
        <w:lastRenderedPageBreak/>
        <w:t xml:space="preserve">rýchle. </w:t>
      </w:r>
      <w:r>
        <w:rPr>
          <w:rFonts w:ascii="Times New Roman" w:hAnsi="Times New Roman" w:cs="Times New Roman"/>
          <w:sz w:val="24"/>
          <w:szCs w:val="24"/>
        </w:rPr>
        <w:t xml:space="preserve">Táto skutočnosť len podčiarkuje význam vyriešenia úzkeho miesta z hľadiska </w:t>
      </w:r>
      <w:r>
        <w:rPr>
          <w:rFonts w:ascii="Times New Roman" w:hAnsi="Times New Roman"/>
          <w:sz w:val="24"/>
          <w:szCs w:val="24"/>
        </w:rPr>
        <w:t xml:space="preserve">zlepšenia výkonnosti v </w:t>
      </w:r>
      <w:r>
        <w:rPr>
          <w:rFonts w:ascii="Times New Roman" w:hAnsi="Times New Roman" w:cs="Times New Roman"/>
          <w:sz w:val="24"/>
          <w:szCs w:val="24"/>
        </w:rPr>
        <w:t xml:space="preserve">prvovýrobe, </w:t>
      </w:r>
      <w:r w:rsidRPr="00054CA1">
        <w:rPr>
          <w:rFonts w:ascii="Times New Roman" w:hAnsi="Times New Roman"/>
          <w:sz w:val="24"/>
          <w:szCs w:val="24"/>
        </w:rPr>
        <w:t>využívan</w:t>
      </w:r>
      <w:r>
        <w:rPr>
          <w:rFonts w:ascii="Times New Roman" w:hAnsi="Times New Roman"/>
          <w:sz w:val="24"/>
          <w:szCs w:val="24"/>
        </w:rPr>
        <w:t xml:space="preserve">ím </w:t>
      </w:r>
      <w:r w:rsidRPr="00054CA1">
        <w:rPr>
          <w:rFonts w:ascii="Times New Roman" w:hAnsi="Times New Roman"/>
          <w:sz w:val="24"/>
          <w:szCs w:val="24"/>
        </w:rPr>
        <w:t> integrovaného systém</w:t>
      </w:r>
      <w:r w:rsidR="00AA5B74">
        <w:rPr>
          <w:rFonts w:ascii="Times New Roman" w:hAnsi="Times New Roman"/>
          <w:sz w:val="24"/>
          <w:szCs w:val="24"/>
        </w:rPr>
        <w:t xml:space="preserve"> </w:t>
      </w:r>
      <w:r w:rsidRPr="00054CA1">
        <w:rPr>
          <w:rFonts w:ascii="Times New Roman" w:hAnsi="Times New Roman"/>
          <w:sz w:val="24"/>
          <w:szCs w:val="24"/>
        </w:rPr>
        <w:t>u  pestovania</w:t>
      </w:r>
      <w:r>
        <w:rPr>
          <w:rFonts w:ascii="Times New Roman" w:hAnsi="Times New Roman"/>
          <w:sz w:val="24"/>
          <w:szCs w:val="24"/>
        </w:rPr>
        <w:t xml:space="preserve">. </w:t>
      </w:r>
    </w:p>
    <w:p w:rsidR="00264729" w:rsidRDefault="00264729" w:rsidP="00F145BD">
      <w:pPr>
        <w:spacing w:after="0" w:line="240" w:lineRule="auto"/>
        <w:rPr>
          <w:rFonts w:ascii="Times New Roman" w:hAnsi="Times New Roman" w:cs="Times New Roman"/>
          <w:b/>
          <w:sz w:val="24"/>
          <w:szCs w:val="24"/>
        </w:rPr>
      </w:pPr>
    </w:p>
    <w:p w:rsidR="00A32E77" w:rsidRDefault="00B41EC0" w:rsidP="00094719">
      <w:pPr>
        <w:pBdr>
          <w:top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Na základe vykonanej analýzy celej potravinovej vertikály zeleniny považujeme za potrebné r</w:t>
      </w:r>
      <w:r w:rsidR="00094719">
        <w:rPr>
          <w:rFonts w:ascii="Times New Roman" w:hAnsi="Times New Roman" w:cs="Times New Roman"/>
          <w:sz w:val="24"/>
          <w:szCs w:val="24"/>
        </w:rPr>
        <w:t xml:space="preserve">ealizovať nasledovné </w:t>
      </w:r>
      <w:r w:rsidR="009D367C">
        <w:rPr>
          <w:rFonts w:ascii="Times New Roman" w:hAnsi="Times New Roman" w:cs="Times New Roman"/>
          <w:sz w:val="24"/>
          <w:szCs w:val="24"/>
        </w:rPr>
        <w:t>ciele</w:t>
      </w:r>
      <w:r w:rsidR="00094719">
        <w:rPr>
          <w:rFonts w:ascii="Times New Roman" w:hAnsi="Times New Roman" w:cs="Times New Roman"/>
          <w:sz w:val="24"/>
          <w:szCs w:val="24"/>
        </w:rPr>
        <w:t>:</w:t>
      </w:r>
    </w:p>
    <w:p w:rsidR="00B41EC0" w:rsidRDefault="00B41EC0" w:rsidP="000D68DC">
      <w:pPr>
        <w:pStyle w:val="Odsekzoznamu"/>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zvýšiť zberovú plochu veľkopestovateľov zeleniny o 3 000 ha;</w:t>
      </w:r>
    </w:p>
    <w:p w:rsidR="00B41EC0" w:rsidRPr="00A6713F" w:rsidRDefault="00B41EC0" w:rsidP="000D68DC">
      <w:pPr>
        <w:pStyle w:val="Odsekzoznamu"/>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intenzifikáciou produkcie zeleniny dosiahnuť priemerné hektárové výnosy veľkopestovateľov na úrovni 20 t/ha.</w:t>
      </w:r>
    </w:p>
    <w:p w:rsidR="00B41EC0" w:rsidRPr="00F145BD" w:rsidRDefault="00B41EC0" w:rsidP="00264729">
      <w:pPr>
        <w:pBdr>
          <w:top w:val="single" w:sz="4" w:space="1" w:color="auto"/>
        </w:pBdr>
        <w:spacing w:after="0" w:line="240" w:lineRule="auto"/>
        <w:rPr>
          <w:rFonts w:ascii="Times New Roman" w:hAnsi="Times New Roman" w:cs="Times New Roman"/>
          <w:b/>
          <w:sz w:val="24"/>
          <w:szCs w:val="24"/>
        </w:rPr>
      </w:pPr>
    </w:p>
    <w:p w:rsidR="00D518D1" w:rsidRDefault="00D518D1" w:rsidP="000D68DC">
      <w:pPr>
        <w:pStyle w:val="Nadpis3"/>
        <w:numPr>
          <w:ilvl w:val="2"/>
          <w:numId w:val="8"/>
        </w:numPr>
      </w:pPr>
      <w:bookmarkStart w:id="39" w:name="_Toc359550660"/>
      <w:r>
        <w:t>Ovocie</w:t>
      </w:r>
      <w:r w:rsidR="00C66824">
        <w:t xml:space="preserve"> mierneho pásma</w:t>
      </w:r>
      <w:bookmarkEnd w:id="39"/>
    </w:p>
    <w:p w:rsidR="00D518D1" w:rsidRDefault="00D518D1" w:rsidP="00251118">
      <w:pPr>
        <w:spacing w:after="0" w:line="240" w:lineRule="auto"/>
        <w:jc w:val="both"/>
        <w:rPr>
          <w:rFonts w:ascii="Times New Roman" w:hAnsi="Times New Roman" w:cs="Times New Roman"/>
          <w:sz w:val="24"/>
          <w:szCs w:val="24"/>
        </w:rPr>
      </w:pPr>
    </w:p>
    <w:p w:rsidR="000C380F" w:rsidRPr="00251118" w:rsidRDefault="000C380F" w:rsidP="00251118">
      <w:pPr>
        <w:spacing w:after="0" w:line="240" w:lineRule="auto"/>
        <w:jc w:val="both"/>
        <w:rPr>
          <w:rFonts w:ascii="Times New Roman" w:hAnsi="Times New Roman" w:cs="Times New Roman"/>
          <w:sz w:val="24"/>
          <w:szCs w:val="24"/>
        </w:rPr>
      </w:pPr>
      <w:r w:rsidRPr="007C5739">
        <w:rPr>
          <w:rFonts w:ascii="Times New Roman" w:hAnsi="Times New Roman" w:cs="Times New Roman"/>
          <w:sz w:val="24"/>
          <w:szCs w:val="24"/>
        </w:rPr>
        <w:t>Domáci dop</w:t>
      </w:r>
      <w:r>
        <w:rPr>
          <w:rFonts w:ascii="Times New Roman" w:hAnsi="Times New Roman" w:cs="Times New Roman"/>
          <w:sz w:val="24"/>
          <w:szCs w:val="24"/>
        </w:rPr>
        <w:t xml:space="preserve">yt po </w:t>
      </w:r>
      <w:r w:rsidR="00A92374">
        <w:rPr>
          <w:rFonts w:ascii="Times New Roman" w:hAnsi="Times New Roman" w:cs="Times New Roman"/>
          <w:sz w:val="24"/>
          <w:szCs w:val="24"/>
        </w:rPr>
        <w:t>ovocí</w:t>
      </w:r>
      <w:r w:rsidR="00AA5B74">
        <w:rPr>
          <w:rFonts w:ascii="Times New Roman" w:hAnsi="Times New Roman" w:cs="Times New Roman"/>
          <w:sz w:val="24"/>
          <w:szCs w:val="24"/>
        </w:rPr>
        <w:t xml:space="preserve"> </w:t>
      </w:r>
      <w:r w:rsidR="00C66824">
        <w:rPr>
          <w:rFonts w:ascii="Times New Roman" w:hAnsi="Times New Roman" w:cs="Times New Roman"/>
          <w:sz w:val="24"/>
          <w:szCs w:val="24"/>
        </w:rPr>
        <w:t xml:space="preserve">mierneho pásma </w:t>
      </w:r>
      <w:r>
        <w:rPr>
          <w:rFonts w:ascii="Times New Roman" w:hAnsi="Times New Roman" w:cs="Times New Roman"/>
          <w:sz w:val="24"/>
          <w:szCs w:val="24"/>
        </w:rPr>
        <w:t>meriame pomocou štatisticky nameranej spotreby v </w:t>
      </w:r>
      <w:r w:rsidR="00A92374">
        <w:rPr>
          <w:rFonts w:ascii="Times New Roman" w:hAnsi="Times New Roman" w:cs="Times New Roman"/>
          <w:sz w:val="24"/>
          <w:szCs w:val="24"/>
        </w:rPr>
        <w:t>tonách</w:t>
      </w:r>
      <w:r>
        <w:rPr>
          <w:rFonts w:ascii="Times New Roman" w:hAnsi="Times New Roman" w:cs="Times New Roman"/>
          <w:sz w:val="24"/>
          <w:szCs w:val="24"/>
        </w:rPr>
        <w:t xml:space="preserve"> za rok, čo predstavuje objem </w:t>
      </w:r>
      <w:r w:rsidR="00A92374">
        <w:rPr>
          <w:rFonts w:ascii="Times New Roman" w:hAnsi="Times New Roman" w:cs="Times New Roman"/>
          <w:sz w:val="24"/>
          <w:szCs w:val="24"/>
        </w:rPr>
        <w:t>120 829</w:t>
      </w:r>
      <w:r>
        <w:rPr>
          <w:rFonts w:ascii="Times New Roman" w:hAnsi="Times New Roman" w:cs="Times New Roman"/>
          <w:sz w:val="24"/>
          <w:szCs w:val="24"/>
        </w:rPr>
        <w:t xml:space="preserve"> t. </w:t>
      </w:r>
      <w:r w:rsidR="00F749E9">
        <w:rPr>
          <w:rFonts w:ascii="Times New Roman" w:hAnsi="Times New Roman" w:cs="Times New Roman"/>
          <w:sz w:val="24"/>
          <w:szCs w:val="24"/>
        </w:rPr>
        <w:t>D</w:t>
      </w:r>
      <w:r>
        <w:rPr>
          <w:rFonts w:ascii="Times New Roman" w:hAnsi="Times New Roman" w:cs="Times New Roman"/>
          <w:sz w:val="24"/>
          <w:szCs w:val="24"/>
        </w:rPr>
        <w:t xml:space="preserve">omáca produkcia, vrátane odhadu samozásobenia, predstavuje objem </w:t>
      </w:r>
      <w:r w:rsidR="00A92374">
        <w:rPr>
          <w:rFonts w:ascii="Times New Roman" w:hAnsi="Times New Roman" w:cs="Times New Roman"/>
          <w:sz w:val="24"/>
          <w:szCs w:val="24"/>
        </w:rPr>
        <w:t>50 732</w:t>
      </w:r>
      <w:r>
        <w:rPr>
          <w:rFonts w:ascii="Times New Roman" w:hAnsi="Times New Roman" w:cs="Times New Roman"/>
          <w:sz w:val="24"/>
          <w:szCs w:val="24"/>
        </w:rPr>
        <w:t xml:space="preserve"> t. Znamená to, že produkcia v SR dosahuje len </w:t>
      </w:r>
      <w:r w:rsidR="00A92374">
        <w:rPr>
          <w:rFonts w:ascii="Times New Roman" w:hAnsi="Times New Roman" w:cs="Times New Roman"/>
          <w:sz w:val="24"/>
          <w:szCs w:val="24"/>
        </w:rPr>
        <w:t>41,99</w:t>
      </w:r>
      <w:r>
        <w:rPr>
          <w:rFonts w:ascii="Times New Roman" w:hAnsi="Times New Roman" w:cs="Times New Roman"/>
          <w:sz w:val="24"/>
          <w:szCs w:val="24"/>
        </w:rPr>
        <w:t xml:space="preserve"> % domáceho dopytu, čo znamená, že </w:t>
      </w:r>
      <w:r w:rsidR="00A32E77">
        <w:rPr>
          <w:rFonts w:ascii="Times New Roman" w:hAnsi="Times New Roman" w:cs="Times New Roman"/>
          <w:sz w:val="24"/>
          <w:szCs w:val="24"/>
        </w:rPr>
        <w:t>produkčná výkonnosť</w:t>
      </w:r>
      <w:r>
        <w:rPr>
          <w:rFonts w:ascii="Times New Roman" w:hAnsi="Times New Roman" w:cs="Times New Roman"/>
          <w:sz w:val="24"/>
          <w:szCs w:val="24"/>
        </w:rPr>
        <w:t xml:space="preserve"> v tejto komodite, z hľadiska prvovýroby, </w:t>
      </w:r>
      <w:r w:rsidR="00A92374">
        <w:rPr>
          <w:rFonts w:ascii="Times New Roman" w:hAnsi="Times New Roman" w:cs="Times New Roman"/>
          <w:sz w:val="24"/>
          <w:szCs w:val="24"/>
        </w:rPr>
        <w:t xml:space="preserve">zďaleka </w:t>
      </w:r>
      <w:r>
        <w:rPr>
          <w:rFonts w:ascii="Times New Roman" w:hAnsi="Times New Roman" w:cs="Times New Roman"/>
          <w:sz w:val="24"/>
          <w:szCs w:val="24"/>
        </w:rPr>
        <w:t xml:space="preserve">nedosahuje stanovený cieľ. </w:t>
      </w:r>
      <w:r>
        <w:rPr>
          <w:rFonts w:ascii="Times New Roman" w:hAnsi="Times New Roman" w:cs="Times New Roman"/>
          <w:vanish/>
          <w:sz w:val="24"/>
          <w:szCs w:val="24"/>
        </w:rPr>
        <w:t xml:space="preserve">by, nedosahuje stanovený cieľ. </w:t>
      </w:r>
      <w:r>
        <w:rPr>
          <w:rFonts w:ascii="Times New Roman" w:hAnsi="Times New Roman" w:cs="Times New Roman"/>
          <w:vanish/>
          <w:sz w:val="24"/>
          <w:szCs w:val="24"/>
        </w:rPr>
        <w:cr/>
        <w:t>ovateľom čná kapacita a výkonnosť.hľadiska elnejších ploche cca 9 000 da bez ohľadu na produkciu</w:t>
      </w:r>
    </w:p>
    <w:p w:rsidR="00C234A1" w:rsidRDefault="00C234A1" w:rsidP="00C234A1">
      <w:pPr>
        <w:spacing w:after="0" w:line="240" w:lineRule="auto"/>
        <w:jc w:val="both"/>
        <w:rPr>
          <w:rFonts w:ascii="Times New Roman" w:hAnsi="Times New Roman" w:cs="Times New Roman"/>
          <w:sz w:val="24"/>
          <w:szCs w:val="24"/>
        </w:rPr>
      </w:pPr>
    </w:p>
    <w:p w:rsidR="000D50B8" w:rsidRDefault="000D50B8" w:rsidP="000D50B8">
      <w:pPr>
        <w:spacing w:after="0" w:line="240" w:lineRule="auto"/>
        <w:jc w:val="both"/>
        <w:rPr>
          <w:rFonts w:ascii="Times New Roman" w:hAnsi="Times New Roman" w:cs="Times New Roman"/>
          <w:sz w:val="24"/>
          <w:szCs w:val="24"/>
        </w:rPr>
      </w:pPr>
      <w:r>
        <w:rPr>
          <w:rFonts w:ascii="Times New Roman" w:hAnsi="Times New Roman"/>
          <w:sz w:val="24"/>
          <w:szCs w:val="24"/>
        </w:rPr>
        <w:t xml:space="preserve">Celková plocha ovocných sadov je </w:t>
      </w:r>
      <w:smartTag w:uri="urn:schemas-microsoft-com:office:smarttags" w:element="metricconverter">
        <w:smartTagPr>
          <w:attr w:name="ProductID" w:val="8ﾠ056 ha"/>
        </w:smartTagPr>
        <w:r>
          <w:rPr>
            <w:rFonts w:ascii="Times New Roman" w:hAnsi="Times New Roman"/>
            <w:sz w:val="24"/>
            <w:szCs w:val="24"/>
          </w:rPr>
          <w:t>8 056 ha</w:t>
        </w:r>
      </w:smartTag>
      <w:r>
        <w:rPr>
          <w:rFonts w:ascii="Times New Roman" w:hAnsi="Times New Roman"/>
          <w:sz w:val="24"/>
          <w:szCs w:val="24"/>
        </w:rPr>
        <w:t>, pričom</w:t>
      </w:r>
      <w:r w:rsidRPr="00A92374">
        <w:rPr>
          <w:rFonts w:ascii="Times New Roman" w:hAnsi="Times New Roman"/>
          <w:sz w:val="24"/>
          <w:szCs w:val="24"/>
        </w:rPr>
        <w:t xml:space="preserve"> každoročne sa plochy znižujú o cca </w:t>
      </w:r>
      <w:r w:rsidR="00EB3D44">
        <w:rPr>
          <w:rFonts w:ascii="Times New Roman" w:hAnsi="Times New Roman"/>
          <w:sz w:val="24"/>
          <w:szCs w:val="24"/>
        </w:rPr>
        <w:t>250 -300</w:t>
      </w:r>
      <w:r w:rsidRPr="00A92374">
        <w:rPr>
          <w:rFonts w:ascii="Times New Roman" w:hAnsi="Times New Roman"/>
          <w:sz w:val="24"/>
          <w:szCs w:val="24"/>
        </w:rPr>
        <w:t xml:space="preserve"> ha</w:t>
      </w:r>
      <w:r>
        <w:rPr>
          <w:rFonts w:ascii="Times New Roman" w:hAnsi="Times New Roman"/>
          <w:sz w:val="24"/>
          <w:szCs w:val="24"/>
        </w:rPr>
        <w:t xml:space="preserve"> z dôvodu nedostatočnej</w:t>
      </w:r>
      <w:r w:rsidRPr="00A92374">
        <w:rPr>
          <w:rFonts w:ascii="Times New Roman" w:hAnsi="Times New Roman"/>
          <w:sz w:val="24"/>
          <w:szCs w:val="24"/>
        </w:rPr>
        <w:t xml:space="preserve"> obnovy, neriešenia </w:t>
      </w:r>
      <w:r>
        <w:rPr>
          <w:rFonts w:ascii="Times New Roman" w:hAnsi="Times New Roman"/>
          <w:sz w:val="24"/>
          <w:szCs w:val="24"/>
        </w:rPr>
        <w:t>vlastníckych vzťahov k pozemkom a nedostatku</w:t>
      </w:r>
      <w:r w:rsidRPr="00A92374">
        <w:rPr>
          <w:rFonts w:ascii="Times New Roman" w:hAnsi="Times New Roman"/>
          <w:sz w:val="24"/>
          <w:szCs w:val="24"/>
        </w:rPr>
        <w:t xml:space="preserve"> financií</w:t>
      </w:r>
      <w:r>
        <w:rPr>
          <w:rFonts w:ascii="Times New Roman" w:hAnsi="Times New Roman"/>
          <w:sz w:val="24"/>
          <w:szCs w:val="24"/>
        </w:rPr>
        <w:t xml:space="preserve">. Z toho </w:t>
      </w:r>
      <w:r>
        <w:rPr>
          <w:rFonts w:ascii="Times New Roman" w:hAnsi="Times New Roman" w:cs="Times New Roman"/>
          <w:sz w:val="24"/>
          <w:szCs w:val="24"/>
        </w:rPr>
        <w:t>plocha ovocných sadov</w:t>
      </w:r>
      <w:r>
        <w:rPr>
          <w:rFonts w:ascii="Times New Roman" w:hAnsi="Times New Roman"/>
          <w:sz w:val="24"/>
          <w:szCs w:val="24"/>
        </w:rPr>
        <w:t xml:space="preserve">, z ktorých sa zberá úroda  </w:t>
      </w:r>
      <w:r>
        <w:rPr>
          <w:rFonts w:ascii="Times New Roman" w:hAnsi="Times New Roman" w:cs="Times New Roman"/>
          <w:sz w:val="24"/>
          <w:szCs w:val="24"/>
        </w:rPr>
        <w:t xml:space="preserve">sa pohybuje na úrovni </w:t>
      </w:r>
      <w:smartTag w:uri="urn:schemas-microsoft-com:office:smarttags" w:element="metricconverter">
        <w:smartTagPr>
          <w:attr w:name="ProductID" w:val="4 562 ha"/>
        </w:smartTagPr>
        <w:r>
          <w:rPr>
            <w:rFonts w:ascii="Times New Roman" w:hAnsi="Times New Roman" w:cs="Times New Roman"/>
            <w:sz w:val="24"/>
            <w:szCs w:val="24"/>
          </w:rPr>
          <w:t>4 562 ha</w:t>
        </w:r>
      </w:smartTag>
      <w:r>
        <w:rPr>
          <w:rFonts w:ascii="Times New Roman" w:hAnsi="Times New Roman" w:cs="Times New Roman"/>
          <w:sz w:val="24"/>
          <w:szCs w:val="24"/>
        </w:rPr>
        <w:t>. Z celkovej produkcie produkčných ovocných sadov 37 158</w:t>
      </w:r>
      <w:r w:rsidRPr="00A92374">
        <w:rPr>
          <w:rFonts w:ascii="Times New Roman" w:hAnsi="Times New Roman" w:cs="Times New Roman"/>
          <w:sz w:val="24"/>
          <w:szCs w:val="24"/>
        </w:rPr>
        <w:t xml:space="preserve"> t</w:t>
      </w:r>
      <w:r>
        <w:rPr>
          <w:rFonts w:ascii="Times New Roman" w:hAnsi="Times New Roman" w:cs="Times New Roman"/>
          <w:sz w:val="24"/>
          <w:szCs w:val="24"/>
        </w:rPr>
        <w:t>on</w:t>
      </w:r>
      <w:r w:rsidRPr="00A92374">
        <w:rPr>
          <w:rFonts w:ascii="Times New Roman" w:hAnsi="Times New Roman" w:cs="Times New Roman"/>
          <w:sz w:val="24"/>
          <w:szCs w:val="24"/>
        </w:rPr>
        <w:t xml:space="preserve"> tvoria </w:t>
      </w:r>
      <w:r>
        <w:rPr>
          <w:rFonts w:ascii="Times New Roman" w:hAnsi="Times New Roman" w:cs="Times New Roman"/>
          <w:sz w:val="24"/>
          <w:szCs w:val="24"/>
        </w:rPr>
        <w:t>80 %</w:t>
      </w:r>
      <w:r w:rsidRPr="00A92374">
        <w:rPr>
          <w:rFonts w:ascii="Times New Roman" w:hAnsi="Times New Roman" w:cs="Times New Roman"/>
          <w:sz w:val="24"/>
          <w:szCs w:val="24"/>
        </w:rPr>
        <w:t xml:space="preserve"> jablká </w:t>
      </w:r>
      <w:r>
        <w:rPr>
          <w:rFonts w:ascii="Times New Roman" w:hAnsi="Times New Roman" w:cs="Times New Roman"/>
          <w:sz w:val="24"/>
          <w:szCs w:val="24"/>
        </w:rPr>
        <w:t xml:space="preserve">a </w:t>
      </w:r>
      <w:r w:rsidRPr="00A92374">
        <w:rPr>
          <w:rFonts w:ascii="Times New Roman" w:hAnsi="Times New Roman" w:cs="Times New Roman"/>
          <w:sz w:val="24"/>
          <w:szCs w:val="24"/>
        </w:rPr>
        <w:t>20 %</w:t>
      </w:r>
      <w:r>
        <w:rPr>
          <w:rFonts w:ascii="Times New Roman" w:hAnsi="Times New Roman" w:cs="Times New Roman"/>
          <w:sz w:val="24"/>
          <w:szCs w:val="24"/>
        </w:rPr>
        <w:t xml:space="preserve"> ostatné ovocie, najmä </w:t>
      </w:r>
      <w:r w:rsidRPr="00A92374">
        <w:rPr>
          <w:rFonts w:ascii="Times New Roman" w:hAnsi="Times New Roman" w:cs="Times New Roman"/>
          <w:sz w:val="24"/>
          <w:szCs w:val="24"/>
        </w:rPr>
        <w:t>slivky</w:t>
      </w:r>
      <w:r>
        <w:rPr>
          <w:rFonts w:ascii="Times New Roman" w:hAnsi="Times New Roman" w:cs="Times New Roman"/>
          <w:sz w:val="24"/>
          <w:szCs w:val="24"/>
        </w:rPr>
        <w:t>, broskyne,</w:t>
      </w:r>
      <w:r w:rsidRPr="00A92374">
        <w:rPr>
          <w:rFonts w:ascii="Times New Roman" w:hAnsi="Times New Roman" w:cs="Times New Roman"/>
          <w:sz w:val="24"/>
          <w:szCs w:val="24"/>
        </w:rPr>
        <w:t xml:space="preserve"> čerešne, hrušky</w:t>
      </w:r>
      <w:r>
        <w:rPr>
          <w:rFonts w:ascii="Times New Roman" w:hAnsi="Times New Roman" w:cs="Times New Roman"/>
          <w:sz w:val="24"/>
          <w:szCs w:val="24"/>
        </w:rPr>
        <w:t xml:space="preserve"> a</w:t>
      </w:r>
      <w:r w:rsidRPr="00A92374">
        <w:rPr>
          <w:rFonts w:ascii="Times New Roman" w:hAnsi="Times New Roman" w:cs="Times New Roman"/>
          <w:sz w:val="24"/>
          <w:szCs w:val="24"/>
        </w:rPr>
        <w:t xml:space="preserve"> marhule.</w:t>
      </w:r>
    </w:p>
    <w:p w:rsidR="00C234A1" w:rsidRDefault="00C234A1" w:rsidP="00251118">
      <w:pPr>
        <w:spacing w:after="0" w:line="240" w:lineRule="auto"/>
        <w:jc w:val="both"/>
        <w:rPr>
          <w:rFonts w:ascii="Times New Roman" w:hAnsi="Times New Roman" w:cs="Times New Roman"/>
          <w:sz w:val="24"/>
          <w:szCs w:val="24"/>
        </w:rPr>
      </w:pPr>
    </w:p>
    <w:p w:rsidR="000C380F" w:rsidRPr="000C380F" w:rsidRDefault="00C970F8" w:rsidP="002511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č.37</w:t>
      </w:r>
      <w:r w:rsidR="000C380F" w:rsidRPr="00A855A4">
        <w:rPr>
          <w:rFonts w:ascii="Times New Roman" w:hAnsi="Times New Roman" w:cs="Times New Roman"/>
          <w:sz w:val="20"/>
          <w:szCs w:val="20"/>
        </w:rPr>
        <w:t xml:space="preserve">: </w:t>
      </w:r>
      <w:r w:rsidR="000C380F" w:rsidRPr="008B1083">
        <w:rPr>
          <w:rFonts w:ascii="Times New Roman" w:hAnsi="Times New Roman" w:cs="Times New Roman"/>
          <w:sz w:val="20"/>
          <w:szCs w:val="20"/>
        </w:rPr>
        <w:t xml:space="preserve">Bilancia </w:t>
      </w:r>
      <w:r w:rsidR="000C380F">
        <w:rPr>
          <w:rFonts w:ascii="Times New Roman" w:hAnsi="Times New Roman" w:cs="Times New Roman"/>
          <w:sz w:val="20"/>
          <w:szCs w:val="20"/>
        </w:rPr>
        <w:t>produkcie a použitia ovocia mierneho pásma v t</w:t>
      </w:r>
    </w:p>
    <w:tbl>
      <w:tblPr>
        <w:tblW w:w="9072" w:type="dxa"/>
        <w:tblInd w:w="55" w:type="dxa"/>
        <w:tblCellMar>
          <w:left w:w="70" w:type="dxa"/>
          <w:right w:w="70" w:type="dxa"/>
        </w:tblCellMar>
        <w:tblLook w:val="04A0" w:firstRow="1" w:lastRow="0" w:firstColumn="1" w:lastColumn="0" w:noHBand="0" w:noVBand="1"/>
      </w:tblPr>
      <w:tblGrid>
        <w:gridCol w:w="2992"/>
        <w:gridCol w:w="1280"/>
        <w:gridCol w:w="960"/>
        <w:gridCol w:w="960"/>
        <w:gridCol w:w="960"/>
        <w:gridCol w:w="960"/>
        <w:gridCol w:w="960"/>
      </w:tblGrid>
      <w:tr w:rsidR="000C380F" w:rsidRPr="000C380F" w:rsidTr="000C380F">
        <w:trPr>
          <w:trHeight w:val="300"/>
        </w:trPr>
        <w:tc>
          <w:tcPr>
            <w:tcW w:w="2992" w:type="dxa"/>
            <w:tcBorders>
              <w:top w:val="single" w:sz="4" w:space="0" w:color="auto"/>
              <w:left w:val="nil"/>
              <w:bottom w:val="single" w:sz="4" w:space="0" w:color="auto"/>
              <w:right w:val="single" w:sz="4" w:space="0" w:color="auto"/>
            </w:tcBorders>
            <w:shd w:val="clear" w:color="000000" w:fill="D9D9D9"/>
            <w:noWrap/>
            <w:vAlign w:val="bottom"/>
            <w:hideMark/>
          </w:tcPr>
          <w:p w:rsidR="000C380F" w:rsidRPr="000C380F" w:rsidRDefault="000C380F" w:rsidP="000C380F">
            <w:pPr>
              <w:spacing w:after="0" w:line="240" w:lineRule="auto"/>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Ukazovateľ</w:t>
            </w:r>
          </w:p>
        </w:tc>
        <w:tc>
          <w:tcPr>
            <w:tcW w:w="1280" w:type="dxa"/>
            <w:tcBorders>
              <w:top w:val="single" w:sz="4" w:space="0" w:color="auto"/>
              <w:left w:val="nil"/>
              <w:bottom w:val="single" w:sz="4" w:space="0" w:color="auto"/>
              <w:right w:val="single" w:sz="4" w:space="0" w:color="auto"/>
            </w:tcBorders>
            <w:shd w:val="clear" w:color="000000" w:fill="D9D9D9"/>
            <w:noWrap/>
            <w:vAlign w:val="bottom"/>
            <w:hideMark/>
          </w:tcPr>
          <w:p w:rsidR="000C380F" w:rsidRPr="000C380F" w:rsidRDefault="000C380F" w:rsidP="000C380F">
            <w:pPr>
              <w:spacing w:after="0" w:line="240" w:lineRule="auto"/>
              <w:jc w:val="right"/>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2002</w:t>
            </w:r>
          </w:p>
        </w:tc>
        <w:tc>
          <w:tcPr>
            <w:tcW w:w="960" w:type="dxa"/>
            <w:tcBorders>
              <w:top w:val="single" w:sz="4" w:space="0" w:color="auto"/>
              <w:left w:val="nil"/>
              <w:bottom w:val="single" w:sz="4" w:space="0" w:color="auto"/>
              <w:right w:val="nil"/>
            </w:tcBorders>
            <w:shd w:val="clear" w:color="000000" w:fill="D9D9D9"/>
            <w:noWrap/>
            <w:vAlign w:val="bottom"/>
            <w:hideMark/>
          </w:tcPr>
          <w:p w:rsidR="000C380F" w:rsidRPr="000C380F" w:rsidRDefault="000C380F" w:rsidP="000C380F">
            <w:pPr>
              <w:spacing w:after="0" w:line="240" w:lineRule="auto"/>
              <w:jc w:val="right"/>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2007</w:t>
            </w:r>
          </w:p>
        </w:tc>
        <w:tc>
          <w:tcPr>
            <w:tcW w:w="960" w:type="dxa"/>
            <w:tcBorders>
              <w:top w:val="single" w:sz="4" w:space="0" w:color="auto"/>
              <w:left w:val="nil"/>
              <w:bottom w:val="single" w:sz="4" w:space="0" w:color="auto"/>
              <w:right w:val="nil"/>
            </w:tcBorders>
            <w:shd w:val="clear" w:color="000000" w:fill="D9D9D9"/>
            <w:noWrap/>
            <w:vAlign w:val="bottom"/>
            <w:hideMark/>
          </w:tcPr>
          <w:p w:rsidR="000C380F" w:rsidRPr="000C380F" w:rsidRDefault="000C380F" w:rsidP="000C380F">
            <w:pPr>
              <w:spacing w:after="0" w:line="240" w:lineRule="auto"/>
              <w:jc w:val="right"/>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2008</w:t>
            </w:r>
          </w:p>
        </w:tc>
        <w:tc>
          <w:tcPr>
            <w:tcW w:w="960" w:type="dxa"/>
            <w:tcBorders>
              <w:top w:val="single" w:sz="4" w:space="0" w:color="auto"/>
              <w:left w:val="nil"/>
              <w:bottom w:val="single" w:sz="4" w:space="0" w:color="auto"/>
              <w:right w:val="nil"/>
            </w:tcBorders>
            <w:shd w:val="clear" w:color="000000" w:fill="D9D9D9"/>
            <w:noWrap/>
            <w:vAlign w:val="bottom"/>
            <w:hideMark/>
          </w:tcPr>
          <w:p w:rsidR="000C380F" w:rsidRPr="000C380F" w:rsidRDefault="000C380F" w:rsidP="000C380F">
            <w:pPr>
              <w:spacing w:after="0" w:line="240" w:lineRule="auto"/>
              <w:jc w:val="right"/>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2009</w:t>
            </w:r>
          </w:p>
        </w:tc>
        <w:tc>
          <w:tcPr>
            <w:tcW w:w="960" w:type="dxa"/>
            <w:tcBorders>
              <w:top w:val="single" w:sz="4" w:space="0" w:color="auto"/>
              <w:left w:val="nil"/>
              <w:bottom w:val="single" w:sz="4" w:space="0" w:color="auto"/>
              <w:right w:val="nil"/>
            </w:tcBorders>
            <w:shd w:val="clear" w:color="000000" w:fill="D9D9D9"/>
            <w:noWrap/>
            <w:vAlign w:val="bottom"/>
            <w:hideMark/>
          </w:tcPr>
          <w:p w:rsidR="000C380F" w:rsidRPr="000C380F" w:rsidRDefault="000C380F" w:rsidP="000C380F">
            <w:pPr>
              <w:spacing w:after="0" w:line="240" w:lineRule="auto"/>
              <w:jc w:val="right"/>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2010</w:t>
            </w:r>
          </w:p>
        </w:tc>
        <w:tc>
          <w:tcPr>
            <w:tcW w:w="960" w:type="dxa"/>
            <w:tcBorders>
              <w:top w:val="single" w:sz="4" w:space="0" w:color="auto"/>
              <w:left w:val="nil"/>
              <w:bottom w:val="single" w:sz="4" w:space="0" w:color="auto"/>
              <w:right w:val="nil"/>
            </w:tcBorders>
            <w:shd w:val="clear" w:color="000000" w:fill="D9D9D9"/>
            <w:noWrap/>
            <w:vAlign w:val="bottom"/>
            <w:hideMark/>
          </w:tcPr>
          <w:p w:rsidR="000C380F" w:rsidRPr="000C380F" w:rsidRDefault="000C380F" w:rsidP="000C380F">
            <w:pPr>
              <w:spacing w:after="0" w:line="240" w:lineRule="auto"/>
              <w:jc w:val="right"/>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2011</w:t>
            </w:r>
          </w:p>
        </w:tc>
      </w:tr>
      <w:tr w:rsidR="000C380F" w:rsidRPr="000C380F" w:rsidTr="000C380F">
        <w:trPr>
          <w:trHeight w:val="300"/>
        </w:trPr>
        <w:tc>
          <w:tcPr>
            <w:tcW w:w="2992" w:type="dxa"/>
            <w:tcBorders>
              <w:top w:val="nil"/>
              <w:left w:val="nil"/>
              <w:bottom w:val="nil"/>
              <w:right w:val="single" w:sz="4" w:space="0" w:color="auto"/>
            </w:tcBorders>
            <w:shd w:val="clear" w:color="auto" w:fill="auto"/>
            <w:noWrap/>
            <w:vAlign w:val="bottom"/>
            <w:hideMark/>
          </w:tcPr>
          <w:p w:rsidR="000C380F" w:rsidRPr="000C380F" w:rsidRDefault="000C380F" w:rsidP="000C380F">
            <w:pPr>
              <w:spacing w:after="0" w:line="240" w:lineRule="auto"/>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Domáca produkcia</w:t>
            </w:r>
          </w:p>
        </w:tc>
        <w:tc>
          <w:tcPr>
            <w:tcW w:w="1280" w:type="dxa"/>
            <w:tcBorders>
              <w:top w:val="nil"/>
              <w:left w:val="nil"/>
              <w:bottom w:val="nil"/>
              <w:right w:val="single" w:sz="4" w:space="0" w:color="auto"/>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80 405</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45 900</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74 572</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69 086</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58 722</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50 732</w:t>
            </w:r>
          </w:p>
        </w:tc>
      </w:tr>
      <w:tr w:rsidR="000C380F" w:rsidRPr="000C380F" w:rsidTr="000C380F">
        <w:trPr>
          <w:trHeight w:val="300"/>
        </w:trPr>
        <w:tc>
          <w:tcPr>
            <w:tcW w:w="2992" w:type="dxa"/>
            <w:tcBorders>
              <w:top w:val="nil"/>
              <w:left w:val="nil"/>
              <w:bottom w:val="nil"/>
              <w:right w:val="single" w:sz="4" w:space="0" w:color="auto"/>
            </w:tcBorders>
            <w:shd w:val="clear" w:color="auto" w:fill="auto"/>
            <w:noWrap/>
            <w:vAlign w:val="bottom"/>
            <w:hideMark/>
          </w:tcPr>
          <w:p w:rsidR="000C380F" w:rsidRPr="000C380F" w:rsidRDefault="000C380F" w:rsidP="000C380F">
            <w:pPr>
              <w:spacing w:after="0" w:line="240" w:lineRule="auto"/>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z toho: produkčné sady</w:t>
            </w:r>
          </w:p>
        </w:tc>
        <w:tc>
          <w:tcPr>
            <w:tcW w:w="1280" w:type="dxa"/>
            <w:tcBorders>
              <w:top w:val="nil"/>
              <w:left w:val="nil"/>
              <w:bottom w:val="nil"/>
              <w:right w:val="single" w:sz="4" w:space="0" w:color="auto"/>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32 045</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22 316</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48 762</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46 264</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40 519</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37 158</w:t>
            </w:r>
          </w:p>
        </w:tc>
      </w:tr>
      <w:tr w:rsidR="000C380F" w:rsidRPr="000C380F" w:rsidTr="000C380F">
        <w:trPr>
          <w:trHeight w:val="315"/>
        </w:trPr>
        <w:tc>
          <w:tcPr>
            <w:tcW w:w="2992" w:type="dxa"/>
            <w:tcBorders>
              <w:top w:val="nil"/>
              <w:left w:val="nil"/>
              <w:bottom w:val="single" w:sz="4" w:space="0" w:color="auto"/>
              <w:right w:val="single" w:sz="4" w:space="0" w:color="auto"/>
            </w:tcBorders>
            <w:shd w:val="clear" w:color="auto" w:fill="auto"/>
            <w:noWrap/>
            <w:vAlign w:val="bottom"/>
            <w:hideMark/>
          </w:tcPr>
          <w:p w:rsidR="000C380F" w:rsidRPr="000C380F" w:rsidRDefault="000C380F" w:rsidP="000C380F">
            <w:pPr>
              <w:spacing w:after="0" w:line="240" w:lineRule="auto"/>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Dovoz</w:t>
            </w:r>
          </w:p>
        </w:tc>
        <w:tc>
          <w:tcPr>
            <w:tcW w:w="1280" w:type="dxa"/>
            <w:tcBorders>
              <w:top w:val="nil"/>
              <w:left w:val="nil"/>
              <w:bottom w:val="single" w:sz="4" w:space="0" w:color="auto"/>
              <w:right w:val="single" w:sz="4" w:space="0" w:color="auto"/>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50 831</w:t>
            </w:r>
          </w:p>
        </w:tc>
        <w:tc>
          <w:tcPr>
            <w:tcW w:w="960" w:type="dxa"/>
            <w:tcBorders>
              <w:top w:val="nil"/>
              <w:left w:val="nil"/>
              <w:bottom w:val="single" w:sz="4" w:space="0" w:color="auto"/>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114 405</w:t>
            </w:r>
          </w:p>
        </w:tc>
        <w:tc>
          <w:tcPr>
            <w:tcW w:w="960" w:type="dxa"/>
            <w:tcBorders>
              <w:top w:val="nil"/>
              <w:left w:val="nil"/>
              <w:bottom w:val="single" w:sz="4" w:space="0" w:color="auto"/>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96 016</w:t>
            </w:r>
          </w:p>
        </w:tc>
        <w:tc>
          <w:tcPr>
            <w:tcW w:w="960" w:type="dxa"/>
            <w:tcBorders>
              <w:top w:val="nil"/>
              <w:left w:val="nil"/>
              <w:bottom w:val="single" w:sz="4" w:space="0" w:color="auto"/>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78 986</w:t>
            </w:r>
          </w:p>
        </w:tc>
        <w:tc>
          <w:tcPr>
            <w:tcW w:w="960" w:type="dxa"/>
            <w:tcBorders>
              <w:top w:val="nil"/>
              <w:left w:val="nil"/>
              <w:bottom w:val="single" w:sz="4" w:space="0" w:color="auto"/>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101 438</w:t>
            </w:r>
          </w:p>
        </w:tc>
        <w:tc>
          <w:tcPr>
            <w:tcW w:w="960" w:type="dxa"/>
            <w:tcBorders>
              <w:top w:val="nil"/>
              <w:left w:val="nil"/>
              <w:bottom w:val="single" w:sz="4" w:space="0" w:color="auto"/>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97 260</w:t>
            </w:r>
          </w:p>
        </w:tc>
      </w:tr>
      <w:tr w:rsidR="000C380F" w:rsidRPr="000C380F" w:rsidTr="000C380F">
        <w:trPr>
          <w:trHeight w:val="300"/>
        </w:trPr>
        <w:tc>
          <w:tcPr>
            <w:tcW w:w="2992" w:type="dxa"/>
            <w:tcBorders>
              <w:top w:val="nil"/>
              <w:left w:val="nil"/>
              <w:bottom w:val="nil"/>
              <w:right w:val="single" w:sz="4" w:space="0" w:color="auto"/>
            </w:tcBorders>
            <w:shd w:val="clear" w:color="000000" w:fill="F2F2F2"/>
            <w:noWrap/>
            <w:vAlign w:val="bottom"/>
            <w:hideMark/>
          </w:tcPr>
          <w:p w:rsidR="000C380F" w:rsidRPr="000C380F" w:rsidRDefault="000C380F" w:rsidP="000C380F">
            <w:pPr>
              <w:spacing w:after="0" w:line="240" w:lineRule="auto"/>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Celková ponuka</w:t>
            </w:r>
          </w:p>
        </w:tc>
        <w:tc>
          <w:tcPr>
            <w:tcW w:w="1280" w:type="dxa"/>
            <w:tcBorders>
              <w:top w:val="nil"/>
              <w:left w:val="nil"/>
              <w:bottom w:val="nil"/>
              <w:right w:val="single" w:sz="4" w:space="0" w:color="auto"/>
            </w:tcBorders>
            <w:shd w:val="clear" w:color="000000" w:fill="F2F2F2"/>
            <w:noWrap/>
            <w:vAlign w:val="bottom"/>
            <w:hideMark/>
          </w:tcPr>
          <w:p w:rsidR="000C380F" w:rsidRPr="000C380F" w:rsidRDefault="000C380F" w:rsidP="000C380F">
            <w:pPr>
              <w:spacing w:after="0" w:line="240" w:lineRule="auto"/>
              <w:jc w:val="right"/>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131 236</w:t>
            </w:r>
          </w:p>
        </w:tc>
        <w:tc>
          <w:tcPr>
            <w:tcW w:w="960" w:type="dxa"/>
            <w:tcBorders>
              <w:top w:val="nil"/>
              <w:left w:val="nil"/>
              <w:bottom w:val="nil"/>
              <w:right w:val="nil"/>
            </w:tcBorders>
            <w:shd w:val="clear" w:color="000000" w:fill="F2F2F2"/>
            <w:noWrap/>
            <w:vAlign w:val="bottom"/>
            <w:hideMark/>
          </w:tcPr>
          <w:p w:rsidR="000C380F" w:rsidRPr="000C380F" w:rsidRDefault="000C380F" w:rsidP="000C380F">
            <w:pPr>
              <w:spacing w:after="0" w:line="240" w:lineRule="auto"/>
              <w:jc w:val="right"/>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160 305</w:t>
            </w:r>
          </w:p>
        </w:tc>
        <w:tc>
          <w:tcPr>
            <w:tcW w:w="960" w:type="dxa"/>
            <w:tcBorders>
              <w:top w:val="nil"/>
              <w:left w:val="nil"/>
              <w:bottom w:val="nil"/>
              <w:right w:val="nil"/>
            </w:tcBorders>
            <w:shd w:val="clear" w:color="000000" w:fill="F2F2F2"/>
            <w:noWrap/>
            <w:vAlign w:val="bottom"/>
            <w:hideMark/>
          </w:tcPr>
          <w:p w:rsidR="000C380F" w:rsidRPr="000C380F" w:rsidRDefault="000C380F" w:rsidP="000C380F">
            <w:pPr>
              <w:spacing w:after="0" w:line="240" w:lineRule="auto"/>
              <w:jc w:val="right"/>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170 588</w:t>
            </w:r>
          </w:p>
        </w:tc>
        <w:tc>
          <w:tcPr>
            <w:tcW w:w="960" w:type="dxa"/>
            <w:tcBorders>
              <w:top w:val="nil"/>
              <w:left w:val="nil"/>
              <w:bottom w:val="nil"/>
              <w:right w:val="nil"/>
            </w:tcBorders>
            <w:shd w:val="clear" w:color="000000" w:fill="F2F2F2"/>
            <w:noWrap/>
            <w:vAlign w:val="bottom"/>
            <w:hideMark/>
          </w:tcPr>
          <w:p w:rsidR="000C380F" w:rsidRPr="000C380F" w:rsidRDefault="000C380F" w:rsidP="000C380F">
            <w:pPr>
              <w:spacing w:after="0" w:line="240" w:lineRule="auto"/>
              <w:jc w:val="right"/>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148 072</w:t>
            </w:r>
          </w:p>
        </w:tc>
        <w:tc>
          <w:tcPr>
            <w:tcW w:w="960" w:type="dxa"/>
            <w:tcBorders>
              <w:top w:val="nil"/>
              <w:left w:val="nil"/>
              <w:bottom w:val="nil"/>
              <w:right w:val="nil"/>
            </w:tcBorders>
            <w:shd w:val="clear" w:color="000000" w:fill="F2F2F2"/>
            <w:noWrap/>
            <w:vAlign w:val="bottom"/>
            <w:hideMark/>
          </w:tcPr>
          <w:p w:rsidR="000C380F" w:rsidRPr="000C380F" w:rsidRDefault="000C380F" w:rsidP="000C380F">
            <w:pPr>
              <w:spacing w:after="0" w:line="240" w:lineRule="auto"/>
              <w:jc w:val="right"/>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 xml:space="preserve">160 </w:t>
            </w:r>
            <w:proofErr w:type="spellStart"/>
            <w:r w:rsidRPr="000C380F">
              <w:rPr>
                <w:rFonts w:ascii="Times New Roman" w:eastAsia="Times New Roman" w:hAnsi="Times New Roman" w:cs="Times New Roman"/>
                <w:b/>
                <w:bCs/>
                <w:color w:val="000000"/>
                <w:sz w:val="20"/>
                <w:szCs w:val="20"/>
              </w:rPr>
              <w:t>160</w:t>
            </w:r>
            <w:proofErr w:type="spellEnd"/>
          </w:p>
        </w:tc>
        <w:tc>
          <w:tcPr>
            <w:tcW w:w="960" w:type="dxa"/>
            <w:tcBorders>
              <w:top w:val="nil"/>
              <w:left w:val="nil"/>
              <w:bottom w:val="nil"/>
              <w:right w:val="nil"/>
            </w:tcBorders>
            <w:shd w:val="clear" w:color="000000" w:fill="F2F2F2"/>
            <w:noWrap/>
            <w:vAlign w:val="bottom"/>
            <w:hideMark/>
          </w:tcPr>
          <w:p w:rsidR="000C380F" w:rsidRPr="000C380F" w:rsidRDefault="000C380F" w:rsidP="000C380F">
            <w:pPr>
              <w:spacing w:after="0" w:line="240" w:lineRule="auto"/>
              <w:jc w:val="right"/>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147 992</w:t>
            </w:r>
          </w:p>
        </w:tc>
      </w:tr>
      <w:tr w:rsidR="000C380F" w:rsidRPr="000C380F" w:rsidTr="000C380F">
        <w:trPr>
          <w:trHeight w:val="300"/>
        </w:trPr>
        <w:tc>
          <w:tcPr>
            <w:tcW w:w="2992" w:type="dxa"/>
            <w:tcBorders>
              <w:top w:val="nil"/>
              <w:left w:val="nil"/>
              <w:bottom w:val="nil"/>
              <w:right w:val="single" w:sz="4" w:space="0" w:color="auto"/>
            </w:tcBorders>
            <w:shd w:val="clear" w:color="auto" w:fill="auto"/>
            <w:noWrap/>
            <w:vAlign w:val="bottom"/>
            <w:hideMark/>
          </w:tcPr>
          <w:p w:rsidR="000C380F" w:rsidRPr="000C380F" w:rsidRDefault="000C380F" w:rsidP="000C380F">
            <w:pPr>
              <w:spacing w:after="0" w:line="240" w:lineRule="auto"/>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Dodávky pre sprac. priem.</w:t>
            </w:r>
          </w:p>
        </w:tc>
        <w:tc>
          <w:tcPr>
            <w:tcW w:w="1280" w:type="dxa"/>
            <w:tcBorders>
              <w:top w:val="nil"/>
              <w:left w:val="nil"/>
              <w:bottom w:val="nil"/>
              <w:right w:val="single" w:sz="4" w:space="0" w:color="auto"/>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24 698</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6 364</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5 510</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5 700</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7 045</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6 500</w:t>
            </w:r>
          </w:p>
        </w:tc>
      </w:tr>
      <w:tr w:rsidR="000C380F" w:rsidRPr="000C380F" w:rsidTr="000C380F">
        <w:trPr>
          <w:trHeight w:val="300"/>
        </w:trPr>
        <w:tc>
          <w:tcPr>
            <w:tcW w:w="2992" w:type="dxa"/>
            <w:tcBorders>
              <w:top w:val="nil"/>
              <w:left w:val="nil"/>
              <w:bottom w:val="nil"/>
              <w:right w:val="single" w:sz="4" w:space="0" w:color="auto"/>
            </w:tcBorders>
            <w:shd w:val="clear" w:color="auto" w:fill="auto"/>
            <w:noWrap/>
            <w:vAlign w:val="bottom"/>
            <w:hideMark/>
          </w:tcPr>
          <w:p w:rsidR="000C380F" w:rsidRPr="000C380F" w:rsidRDefault="000C380F" w:rsidP="000C380F">
            <w:pPr>
              <w:spacing w:after="0" w:line="240" w:lineRule="auto"/>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Priama spotreba</w:t>
            </w:r>
          </w:p>
        </w:tc>
        <w:tc>
          <w:tcPr>
            <w:tcW w:w="1280" w:type="dxa"/>
            <w:tcBorders>
              <w:top w:val="nil"/>
              <w:left w:val="nil"/>
              <w:bottom w:val="nil"/>
              <w:right w:val="single" w:sz="4" w:space="0" w:color="auto"/>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90 577</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113 272</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120 682</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115 500</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110 736</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107 192</w:t>
            </w:r>
          </w:p>
        </w:tc>
      </w:tr>
      <w:tr w:rsidR="000C380F" w:rsidRPr="000C380F" w:rsidTr="000C380F">
        <w:trPr>
          <w:trHeight w:val="300"/>
        </w:trPr>
        <w:tc>
          <w:tcPr>
            <w:tcW w:w="2992" w:type="dxa"/>
            <w:tcBorders>
              <w:top w:val="nil"/>
              <w:left w:val="nil"/>
              <w:bottom w:val="nil"/>
              <w:right w:val="single" w:sz="4" w:space="0" w:color="auto"/>
            </w:tcBorders>
            <w:shd w:val="clear" w:color="auto" w:fill="auto"/>
            <w:noWrap/>
            <w:vAlign w:val="bottom"/>
            <w:hideMark/>
          </w:tcPr>
          <w:p w:rsidR="000C380F" w:rsidRPr="000C380F" w:rsidRDefault="000C380F" w:rsidP="000C380F">
            <w:pPr>
              <w:spacing w:after="0" w:line="240" w:lineRule="auto"/>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Ostatná spotreba a straty</w:t>
            </w:r>
          </w:p>
        </w:tc>
        <w:tc>
          <w:tcPr>
            <w:tcW w:w="1280" w:type="dxa"/>
            <w:tcBorders>
              <w:top w:val="nil"/>
              <w:left w:val="nil"/>
              <w:bottom w:val="nil"/>
              <w:right w:val="single" w:sz="4" w:space="0" w:color="auto"/>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10 390</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7 784</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14 456</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8 283</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8 408</w:t>
            </w:r>
          </w:p>
        </w:tc>
        <w:tc>
          <w:tcPr>
            <w:tcW w:w="960" w:type="dxa"/>
            <w:tcBorders>
              <w:top w:val="nil"/>
              <w:left w:val="nil"/>
              <w:bottom w:val="nil"/>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7 137</w:t>
            </w:r>
          </w:p>
        </w:tc>
      </w:tr>
      <w:tr w:rsidR="000C380F" w:rsidRPr="000C380F" w:rsidTr="000C380F">
        <w:trPr>
          <w:trHeight w:val="300"/>
        </w:trPr>
        <w:tc>
          <w:tcPr>
            <w:tcW w:w="2992" w:type="dxa"/>
            <w:tcBorders>
              <w:top w:val="nil"/>
              <w:left w:val="nil"/>
              <w:bottom w:val="single" w:sz="4" w:space="0" w:color="auto"/>
              <w:right w:val="single" w:sz="4" w:space="0" w:color="auto"/>
            </w:tcBorders>
            <w:shd w:val="clear" w:color="auto" w:fill="auto"/>
            <w:noWrap/>
            <w:vAlign w:val="bottom"/>
            <w:hideMark/>
          </w:tcPr>
          <w:p w:rsidR="000C380F" w:rsidRPr="000C380F" w:rsidRDefault="000C380F" w:rsidP="000C380F">
            <w:pPr>
              <w:spacing w:after="0" w:line="240" w:lineRule="auto"/>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Vývoz</w:t>
            </w:r>
          </w:p>
        </w:tc>
        <w:tc>
          <w:tcPr>
            <w:tcW w:w="1280" w:type="dxa"/>
            <w:tcBorders>
              <w:top w:val="nil"/>
              <w:left w:val="nil"/>
              <w:bottom w:val="single" w:sz="4" w:space="0" w:color="auto"/>
              <w:right w:val="single" w:sz="4" w:space="0" w:color="auto"/>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8 571</w:t>
            </w:r>
          </w:p>
        </w:tc>
        <w:tc>
          <w:tcPr>
            <w:tcW w:w="960" w:type="dxa"/>
            <w:tcBorders>
              <w:top w:val="nil"/>
              <w:left w:val="nil"/>
              <w:bottom w:val="single" w:sz="4" w:space="0" w:color="auto"/>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32 885</w:t>
            </w:r>
          </w:p>
        </w:tc>
        <w:tc>
          <w:tcPr>
            <w:tcW w:w="960" w:type="dxa"/>
            <w:tcBorders>
              <w:top w:val="nil"/>
              <w:left w:val="nil"/>
              <w:bottom w:val="single" w:sz="4" w:space="0" w:color="auto"/>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29 940</w:t>
            </w:r>
          </w:p>
        </w:tc>
        <w:tc>
          <w:tcPr>
            <w:tcW w:w="960" w:type="dxa"/>
            <w:tcBorders>
              <w:top w:val="nil"/>
              <w:left w:val="nil"/>
              <w:bottom w:val="single" w:sz="4" w:space="0" w:color="auto"/>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18 589</w:t>
            </w:r>
          </w:p>
        </w:tc>
        <w:tc>
          <w:tcPr>
            <w:tcW w:w="960" w:type="dxa"/>
            <w:tcBorders>
              <w:top w:val="nil"/>
              <w:left w:val="nil"/>
              <w:bottom w:val="single" w:sz="4" w:space="0" w:color="auto"/>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33 971</w:t>
            </w:r>
          </w:p>
        </w:tc>
        <w:tc>
          <w:tcPr>
            <w:tcW w:w="960" w:type="dxa"/>
            <w:tcBorders>
              <w:top w:val="nil"/>
              <w:left w:val="nil"/>
              <w:bottom w:val="single" w:sz="4" w:space="0" w:color="auto"/>
              <w:right w:val="nil"/>
            </w:tcBorders>
            <w:shd w:val="clear" w:color="auto" w:fill="auto"/>
            <w:noWrap/>
            <w:vAlign w:val="bottom"/>
            <w:hideMark/>
          </w:tcPr>
          <w:p w:rsidR="000C380F" w:rsidRPr="000C380F" w:rsidRDefault="000C380F" w:rsidP="000C380F">
            <w:pPr>
              <w:spacing w:after="0" w:line="240" w:lineRule="auto"/>
              <w:jc w:val="right"/>
              <w:rPr>
                <w:rFonts w:ascii="Times New Roman" w:eastAsia="Times New Roman" w:hAnsi="Times New Roman" w:cs="Times New Roman"/>
                <w:color w:val="000000"/>
                <w:sz w:val="20"/>
                <w:szCs w:val="20"/>
              </w:rPr>
            </w:pPr>
            <w:r w:rsidRPr="000C380F">
              <w:rPr>
                <w:rFonts w:ascii="Times New Roman" w:eastAsia="Times New Roman" w:hAnsi="Times New Roman" w:cs="Times New Roman"/>
                <w:color w:val="000000"/>
                <w:sz w:val="20"/>
                <w:szCs w:val="20"/>
              </w:rPr>
              <w:t>27 163</w:t>
            </w:r>
          </w:p>
        </w:tc>
      </w:tr>
      <w:tr w:rsidR="000C380F" w:rsidRPr="000C380F" w:rsidTr="000C380F">
        <w:trPr>
          <w:trHeight w:val="300"/>
        </w:trPr>
        <w:tc>
          <w:tcPr>
            <w:tcW w:w="2992" w:type="dxa"/>
            <w:tcBorders>
              <w:top w:val="nil"/>
              <w:left w:val="nil"/>
              <w:bottom w:val="nil"/>
              <w:right w:val="single" w:sz="4" w:space="0" w:color="auto"/>
            </w:tcBorders>
            <w:shd w:val="clear" w:color="000000" w:fill="F2F2F2"/>
            <w:noWrap/>
            <w:vAlign w:val="bottom"/>
            <w:hideMark/>
          </w:tcPr>
          <w:p w:rsidR="000C380F" w:rsidRPr="000C380F" w:rsidRDefault="000C380F" w:rsidP="000C380F">
            <w:pPr>
              <w:spacing w:after="0" w:line="240" w:lineRule="auto"/>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Celkové použitie</w:t>
            </w:r>
          </w:p>
        </w:tc>
        <w:tc>
          <w:tcPr>
            <w:tcW w:w="1280" w:type="dxa"/>
            <w:tcBorders>
              <w:top w:val="nil"/>
              <w:left w:val="nil"/>
              <w:bottom w:val="nil"/>
              <w:right w:val="single" w:sz="4" w:space="0" w:color="auto"/>
            </w:tcBorders>
            <w:shd w:val="clear" w:color="000000" w:fill="F2F2F2"/>
            <w:noWrap/>
            <w:vAlign w:val="bottom"/>
            <w:hideMark/>
          </w:tcPr>
          <w:p w:rsidR="000C380F" w:rsidRPr="000C380F" w:rsidRDefault="000C380F" w:rsidP="000C380F">
            <w:pPr>
              <w:spacing w:after="0" w:line="240" w:lineRule="auto"/>
              <w:jc w:val="right"/>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130 519</w:t>
            </w:r>
          </w:p>
        </w:tc>
        <w:tc>
          <w:tcPr>
            <w:tcW w:w="960" w:type="dxa"/>
            <w:tcBorders>
              <w:top w:val="nil"/>
              <w:left w:val="nil"/>
              <w:bottom w:val="nil"/>
              <w:right w:val="nil"/>
            </w:tcBorders>
            <w:shd w:val="clear" w:color="000000" w:fill="F2F2F2"/>
            <w:noWrap/>
            <w:vAlign w:val="bottom"/>
            <w:hideMark/>
          </w:tcPr>
          <w:p w:rsidR="000C380F" w:rsidRPr="000C380F" w:rsidRDefault="000C380F" w:rsidP="000C380F">
            <w:pPr>
              <w:spacing w:after="0" w:line="240" w:lineRule="auto"/>
              <w:jc w:val="right"/>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160 305</w:t>
            </w:r>
          </w:p>
        </w:tc>
        <w:tc>
          <w:tcPr>
            <w:tcW w:w="960" w:type="dxa"/>
            <w:tcBorders>
              <w:top w:val="nil"/>
              <w:left w:val="nil"/>
              <w:bottom w:val="nil"/>
              <w:right w:val="nil"/>
            </w:tcBorders>
            <w:shd w:val="clear" w:color="000000" w:fill="F2F2F2"/>
            <w:noWrap/>
            <w:vAlign w:val="bottom"/>
            <w:hideMark/>
          </w:tcPr>
          <w:p w:rsidR="000C380F" w:rsidRPr="000C380F" w:rsidRDefault="000C380F" w:rsidP="000C380F">
            <w:pPr>
              <w:spacing w:after="0" w:line="240" w:lineRule="auto"/>
              <w:jc w:val="right"/>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170 588</w:t>
            </w:r>
          </w:p>
        </w:tc>
        <w:tc>
          <w:tcPr>
            <w:tcW w:w="960" w:type="dxa"/>
            <w:tcBorders>
              <w:top w:val="nil"/>
              <w:left w:val="nil"/>
              <w:bottom w:val="nil"/>
              <w:right w:val="nil"/>
            </w:tcBorders>
            <w:shd w:val="clear" w:color="000000" w:fill="F2F2F2"/>
            <w:noWrap/>
            <w:vAlign w:val="bottom"/>
            <w:hideMark/>
          </w:tcPr>
          <w:p w:rsidR="000C380F" w:rsidRPr="000C380F" w:rsidRDefault="000C380F" w:rsidP="000C380F">
            <w:pPr>
              <w:spacing w:after="0" w:line="240" w:lineRule="auto"/>
              <w:jc w:val="right"/>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148 072</w:t>
            </w:r>
          </w:p>
        </w:tc>
        <w:tc>
          <w:tcPr>
            <w:tcW w:w="960" w:type="dxa"/>
            <w:tcBorders>
              <w:top w:val="nil"/>
              <w:left w:val="nil"/>
              <w:bottom w:val="nil"/>
              <w:right w:val="nil"/>
            </w:tcBorders>
            <w:shd w:val="clear" w:color="000000" w:fill="F2F2F2"/>
            <w:noWrap/>
            <w:vAlign w:val="bottom"/>
            <w:hideMark/>
          </w:tcPr>
          <w:p w:rsidR="000C380F" w:rsidRPr="000C380F" w:rsidRDefault="000C380F" w:rsidP="000C380F">
            <w:pPr>
              <w:spacing w:after="0" w:line="240" w:lineRule="auto"/>
              <w:jc w:val="right"/>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 xml:space="preserve">160 </w:t>
            </w:r>
            <w:proofErr w:type="spellStart"/>
            <w:r w:rsidRPr="000C380F">
              <w:rPr>
                <w:rFonts w:ascii="Times New Roman" w:eastAsia="Times New Roman" w:hAnsi="Times New Roman" w:cs="Times New Roman"/>
                <w:b/>
                <w:bCs/>
                <w:color w:val="000000"/>
                <w:sz w:val="20"/>
                <w:szCs w:val="20"/>
              </w:rPr>
              <w:t>160</w:t>
            </w:r>
            <w:proofErr w:type="spellEnd"/>
          </w:p>
        </w:tc>
        <w:tc>
          <w:tcPr>
            <w:tcW w:w="960" w:type="dxa"/>
            <w:tcBorders>
              <w:top w:val="nil"/>
              <w:left w:val="nil"/>
              <w:bottom w:val="nil"/>
              <w:right w:val="nil"/>
            </w:tcBorders>
            <w:shd w:val="clear" w:color="000000" w:fill="F2F2F2"/>
            <w:noWrap/>
            <w:vAlign w:val="bottom"/>
            <w:hideMark/>
          </w:tcPr>
          <w:p w:rsidR="000C380F" w:rsidRPr="000C380F" w:rsidRDefault="000C380F" w:rsidP="000C380F">
            <w:pPr>
              <w:spacing w:after="0" w:line="240" w:lineRule="auto"/>
              <w:jc w:val="right"/>
              <w:rPr>
                <w:rFonts w:ascii="Times New Roman" w:eastAsia="Times New Roman" w:hAnsi="Times New Roman" w:cs="Times New Roman"/>
                <w:b/>
                <w:bCs/>
                <w:color w:val="000000"/>
                <w:sz w:val="20"/>
                <w:szCs w:val="20"/>
              </w:rPr>
            </w:pPr>
            <w:r w:rsidRPr="000C380F">
              <w:rPr>
                <w:rFonts w:ascii="Times New Roman" w:eastAsia="Times New Roman" w:hAnsi="Times New Roman" w:cs="Times New Roman"/>
                <w:b/>
                <w:bCs/>
                <w:color w:val="000000"/>
                <w:sz w:val="20"/>
                <w:szCs w:val="20"/>
              </w:rPr>
              <w:t>147 992</w:t>
            </w:r>
          </w:p>
        </w:tc>
      </w:tr>
    </w:tbl>
    <w:p w:rsidR="000C380F" w:rsidRPr="00094719" w:rsidRDefault="00A92374" w:rsidP="000947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C234A1" w:rsidRDefault="00C234A1" w:rsidP="00C234A1">
      <w:pPr>
        <w:spacing w:after="0" w:line="240" w:lineRule="auto"/>
        <w:jc w:val="both"/>
        <w:rPr>
          <w:rFonts w:ascii="Times New Roman" w:hAnsi="Times New Roman" w:cs="Times New Roman"/>
          <w:sz w:val="24"/>
          <w:szCs w:val="24"/>
        </w:rPr>
      </w:pPr>
    </w:p>
    <w:p w:rsidR="00C234A1" w:rsidRDefault="00C234A1" w:rsidP="00C23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Nosná časť intenzifikácie produkcie ovocia v produkčných sadoch prebehla v roku 2008, kedy dosiahla produkcia ovocia rekordný objem 48 762 t na ploche 6 190 ha. Hektárové výnosy takto stúpli oproti referenčnému roku 2002 o 65 %, na úroveň 7,87 t/ha. V ďalších rokoch si intenzifikácia produkcie udržala rastový trend a dosiahla priemernú úroveň 8 t/ha, avšak ani táto miera intenzifikácie nedokázala vykryť prepad produkcie z dôvodu poklesu plôch produkčných sadov. </w:t>
      </w:r>
    </w:p>
    <w:p w:rsidR="00C234A1" w:rsidRDefault="00C234A1" w:rsidP="00616E63">
      <w:pPr>
        <w:spacing w:after="0" w:line="240" w:lineRule="auto"/>
        <w:jc w:val="both"/>
        <w:rPr>
          <w:rFonts w:ascii="Times New Roman" w:hAnsi="Times New Roman" w:cs="Times New Roman"/>
          <w:sz w:val="24"/>
          <w:szCs w:val="24"/>
        </w:rPr>
      </w:pPr>
    </w:p>
    <w:p w:rsidR="00E24A08" w:rsidRDefault="000D50B8" w:rsidP="00E24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zabezpečenie cielenej produkčnej výkonnosti v tejto komodite, z hľadiska prvovýroby, je potrebné zvýšiť </w:t>
      </w:r>
      <w:r>
        <w:rPr>
          <w:rFonts w:ascii="Times New Roman" w:hAnsi="Times New Roman"/>
          <w:sz w:val="24"/>
          <w:szCs w:val="24"/>
        </w:rPr>
        <w:t>celkovú</w:t>
      </w:r>
      <w:r>
        <w:rPr>
          <w:rFonts w:ascii="Times New Roman" w:hAnsi="Times New Roman" w:cs="Times New Roman"/>
          <w:sz w:val="24"/>
          <w:szCs w:val="24"/>
        </w:rPr>
        <w:t xml:space="preserve"> produkciu ovocia minimálne o 56 000 t, a to </w:t>
      </w:r>
      <w:r>
        <w:rPr>
          <w:rFonts w:ascii="Times New Roman" w:hAnsi="Times New Roman"/>
          <w:sz w:val="24"/>
          <w:szCs w:val="24"/>
        </w:rPr>
        <w:t>revitalizáciou, rekonštrukciou ovocných sadov</w:t>
      </w:r>
      <w:r>
        <w:rPr>
          <w:rFonts w:ascii="Times New Roman" w:hAnsi="Times New Roman" w:cs="Times New Roman"/>
          <w:sz w:val="24"/>
          <w:szCs w:val="24"/>
        </w:rPr>
        <w:t xml:space="preserve">, čím sa zvýši hektárový výnos na priemernú úroveň </w:t>
      </w:r>
      <w:r w:rsidR="00012C30">
        <w:rPr>
          <w:rFonts w:ascii="Times New Roman" w:hAnsi="Times New Roman" w:cs="Times New Roman"/>
          <w:sz w:val="24"/>
          <w:szCs w:val="24"/>
        </w:rPr>
        <w:t xml:space="preserve">          </w:t>
      </w:r>
      <w:r>
        <w:rPr>
          <w:rFonts w:ascii="Times New Roman" w:hAnsi="Times New Roman" w:cs="Times New Roman"/>
          <w:sz w:val="24"/>
          <w:szCs w:val="24"/>
        </w:rPr>
        <w:t xml:space="preserve">12,27 t/ha </w:t>
      </w:r>
      <w:r>
        <w:rPr>
          <w:rFonts w:ascii="Times New Roman" w:hAnsi="Times New Roman"/>
          <w:sz w:val="24"/>
          <w:szCs w:val="24"/>
        </w:rPr>
        <w:t>(u jabĺk dosiahnuť úroveň nad 25 t/ha)</w:t>
      </w:r>
      <w:r>
        <w:rPr>
          <w:rFonts w:ascii="Times New Roman" w:hAnsi="Times New Roman" w:cs="Times New Roman"/>
          <w:sz w:val="24"/>
          <w:szCs w:val="24"/>
        </w:rPr>
        <w:t xml:space="preserve">. Cielená miera intenzifikácie si vyžaduje </w:t>
      </w:r>
      <w:r>
        <w:rPr>
          <w:rFonts w:ascii="Times New Roman" w:hAnsi="Times New Roman" w:cs="Times New Roman"/>
          <w:sz w:val="24"/>
          <w:szCs w:val="24"/>
        </w:rPr>
        <w:lastRenderedPageBreak/>
        <w:t xml:space="preserve">priemerné náklady vo výške minimálne 25 000 EUR na </w:t>
      </w:r>
      <w:smartTag w:uri="urn:schemas-microsoft-com:office:smarttags" w:element="metricconverter">
        <w:smartTagPr>
          <w:attr w:name="ProductID" w:val="1 ha"/>
        </w:smartTagPr>
        <w:r>
          <w:rPr>
            <w:rFonts w:ascii="Times New Roman" w:hAnsi="Times New Roman" w:cs="Times New Roman"/>
            <w:sz w:val="24"/>
            <w:szCs w:val="24"/>
          </w:rPr>
          <w:t>1 ha</w:t>
        </w:r>
      </w:smartTag>
      <w:r>
        <w:rPr>
          <w:rFonts w:ascii="Times New Roman" w:hAnsi="Times New Roman" w:cs="Times New Roman"/>
          <w:sz w:val="24"/>
          <w:szCs w:val="24"/>
        </w:rPr>
        <w:t>, teda sumárne cca                     100 - 120 000 </w:t>
      </w:r>
      <w:proofErr w:type="spellStart"/>
      <w:r>
        <w:rPr>
          <w:rFonts w:ascii="Times New Roman" w:hAnsi="Times New Roman" w:cs="Times New Roman"/>
          <w:sz w:val="24"/>
          <w:szCs w:val="24"/>
        </w:rPr>
        <w:t>000</w:t>
      </w:r>
      <w:proofErr w:type="spellEnd"/>
      <w:r>
        <w:rPr>
          <w:rFonts w:ascii="Times New Roman" w:hAnsi="Times New Roman" w:cs="Times New Roman"/>
          <w:sz w:val="24"/>
          <w:szCs w:val="24"/>
        </w:rPr>
        <w:t xml:space="preserve"> EUR</w:t>
      </w:r>
    </w:p>
    <w:p w:rsidR="000D50B8" w:rsidRDefault="000D50B8" w:rsidP="00616E63">
      <w:pPr>
        <w:spacing w:after="0" w:line="240" w:lineRule="auto"/>
        <w:jc w:val="both"/>
        <w:rPr>
          <w:rFonts w:ascii="Times New Roman" w:hAnsi="Times New Roman" w:cs="Times New Roman"/>
          <w:sz w:val="20"/>
          <w:szCs w:val="20"/>
        </w:rPr>
      </w:pPr>
    </w:p>
    <w:p w:rsidR="001642FD" w:rsidRPr="001642FD" w:rsidRDefault="00D16741" w:rsidP="00616E6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Graf č. </w:t>
      </w:r>
      <w:r w:rsidR="00C970F8">
        <w:rPr>
          <w:rFonts w:ascii="Times New Roman" w:hAnsi="Times New Roman" w:cs="Times New Roman"/>
          <w:sz w:val="20"/>
          <w:szCs w:val="20"/>
        </w:rPr>
        <w:t>53</w:t>
      </w:r>
      <w:r w:rsidR="001642FD" w:rsidRPr="00155936">
        <w:rPr>
          <w:rFonts w:ascii="Times New Roman" w:hAnsi="Times New Roman" w:cs="Times New Roman"/>
          <w:sz w:val="20"/>
          <w:szCs w:val="20"/>
        </w:rPr>
        <w:t>:</w:t>
      </w:r>
      <w:r w:rsidR="001642FD">
        <w:rPr>
          <w:rFonts w:ascii="Times New Roman" w:hAnsi="Times New Roman" w:cs="Times New Roman"/>
          <w:sz w:val="20"/>
          <w:szCs w:val="20"/>
        </w:rPr>
        <w:t xml:space="preserve"> Vývoj plôch produkčných sadov a produkcie ovocia v produkčných sadoch</w:t>
      </w:r>
    </w:p>
    <w:p w:rsidR="00313B96" w:rsidRDefault="002F2162" w:rsidP="00616E6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A114BBC" wp14:editId="349358EB">
                <wp:simplePos x="0" y="0"/>
                <wp:positionH relativeFrom="column">
                  <wp:posOffset>316865</wp:posOffset>
                </wp:positionH>
                <wp:positionV relativeFrom="paragraph">
                  <wp:posOffset>55245</wp:posOffset>
                </wp:positionV>
                <wp:extent cx="213995" cy="243205"/>
                <wp:effectExtent l="0" t="0" r="0" b="444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243205"/>
                        </a:xfrm>
                        <a:prstGeom prst="rect">
                          <a:avLst/>
                        </a:prstGeom>
                        <a:noFill/>
                        <a:ln w="9525">
                          <a:noFill/>
                          <a:miter lim="800000"/>
                          <a:headEnd/>
                          <a:tailEnd/>
                        </a:ln>
                      </wps:spPr>
                      <wps:txbx>
                        <w:txbxContent>
                          <w:p w:rsidR="00980583" w:rsidRPr="001642FD" w:rsidRDefault="00980583" w:rsidP="001642FD">
                            <w:pPr>
                              <w:spacing w:after="0" w:line="240" w:lineRule="auto"/>
                              <w:rPr>
                                <w:rFonts w:ascii="Times New Roman" w:hAnsi="Times New Roman" w:cs="Times New Roman"/>
                                <w:sz w:val="20"/>
                                <w:szCs w:val="20"/>
                              </w:rPr>
                            </w:pPr>
                            <w:r w:rsidRPr="001642FD">
                              <w:rPr>
                                <w:rFonts w:ascii="Times New Roman" w:hAnsi="Times New Roman" w:cs="Times New Roman"/>
                                <w:sz w:val="20"/>
                                <w:szCs w:val="20"/>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left:0;text-align:left;margin-left:24.95pt;margin-top:4.35pt;width:16.85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XLDgIAAPUDAAAOAAAAZHJzL2Uyb0RvYy54bWysU9tu2zAMfR+wfxD0vthxkrUxohS9rMOA&#10;7gK0+wBFlmOhkqhJSuzs60fJaRpsb8X8IIgmechzSK2uBqPJXvqgwDI6nZSUSCugUXbL6M+n+w+X&#10;lITIbcM1WMnoQQZ6tX7/btW7WlbQgW6kJwhiQ907RrsYXV0UQXTS8DABJy06W/CGRzT9tmg87xHd&#10;6KIqy49FD75xHoQMAf/ejU66zvhtK0X83rZBRqIZxd5iPn0+N+ks1itebz13nRLHNvgbujBcWSx6&#10;grrjkZOdV/9AGSU8BGjjRIApoG2VkJkDspmWf7F57LiTmQuKE9xJpvD/YMW3/Q9PVMPorLygxHKD&#10;Q7rR8EyiHOKOVEmh3oUaAx8dhsbhBgacdGYb3AOI50As3HbcbuW199B3kjfY4TRlFmepI05IIJv+&#10;KzRYiO8iZKCh9SbJh4IQRMdJHU7TwT6IwJ/VdLZcLigR6Krms6pc5Aq8fkl2PsTPEgxJF0Y9Dj+D&#10;8/1DiKkZXr+EpFoW7pXWeQG0JT2jy0W1yAlnHqMi7qdWhtHLMn3jxiSOn2yTkyNXerxjAW2PpBPP&#10;kXEcNgMGJiU20ByQvodxD/Hd4KUD/5uSHneQ0fBrx72kRH+xKOFyOp+npc3GfHFRoeHPPZtzD7cC&#10;oRiNlIzX25gXfeR6jVK3Ksvw2smxV9ytrM7xHaTlPbdz1OtrXf8BAAD//wMAUEsDBBQABgAIAAAA&#10;IQCc4ZiF2gAAAAYBAAAPAAAAZHJzL2Rvd25yZXYueG1sTI7LTsMwEEX3SPyDNUjsqA2UNgmZVAjE&#10;FkR5SOzceJpExOModpvw9wwrWN6H7j3lZva9OtIYu8AIlwsDirgOruMG4e318SIDFZNlZ/vAhPBN&#10;ETbV6UlpCxcmfqHjNjVKRjgWFqFNaSi0jnVL3sZFGIgl24fR2yRybLQb7STjvtdXxqy0tx3LQ2sH&#10;um+p/toePML70/7zY2memwd/M0xhNpp9rhHPz+a7W1CJ5vRXhl98QYdKmHbhwC6qHmGZ59JEyNag&#10;JM6uV6B2Yq8N6KrU//GrHwAAAP//AwBQSwECLQAUAAYACAAAACEAtoM4kv4AAADhAQAAEwAAAAAA&#10;AAAAAAAAAAAAAAAAW0NvbnRlbnRfVHlwZXNdLnhtbFBLAQItABQABgAIAAAAIQA4/SH/1gAAAJQB&#10;AAALAAAAAAAAAAAAAAAAAC8BAABfcmVscy8ucmVsc1BLAQItABQABgAIAAAAIQBjCoXLDgIAAPUD&#10;AAAOAAAAAAAAAAAAAAAAAC4CAABkcnMvZTJvRG9jLnhtbFBLAQItABQABgAIAAAAIQCc4ZiF2gAA&#10;AAYBAAAPAAAAAAAAAAAAAAAAAGgEAABkcnMvZG93bnJldi54bWxQSwUGAAAAAAQABADzAAAAbwUA&#10;AAAA&#10;" filled="f" stroked="f">
                <v:textbox>
                  <w:txbxContent>
                    <w:p w:rsidR="00980583" w:rsidRPr="001642FD" w:rsidRDefault="00980583" w:rsidP="001642FD">
                      <w:pPr>
                        <w:spacing w:after="0" w:line="240" w:lineRule="auto"/>
                        <w:rPr>
                          <w:rFonts w:ascii="Times New Roman" w:hAnsi="Times New Roman" w:cs="Times New Roman"/>
                          <w:sz w:val="20"/>
                          <w:szCs w:val="20"/>
                        </w:rPr>
                      </w:pPr>
                      <w:r w:rsidRPr="001642FD">
                        <w:rPr>
                          <w:rFonts w:ascii="Times New Roman" w:hAnsi="Times New Roman" w:cs="Times New Roman"/>
                          <w:sz w:val="20"/>
                          <w:szCs w:val="20"/>
                        </w:rPr>
                        <w:t>t</w:t>
                      </w:r>
                    </w:p>
                  </w:txbxContent>
                </v:textbox>
              </v:shape>
            </w:pict>
          </mc:Fallback>
        </mc:AlternateContent>
      </w:r>
      <w:r w:rsidR="001642FD">
        <w:rPr>
          <w:noProof/>
        </w:rPr>
        <w:drawing>
          <wp:inline distT="0" distB="0" distL="0" distR="0" wp14:anchorId="13C6FF3F" wp14:editId="543ADF7D">
            <wp:extent cx="5786323" cy="2765145"/>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1642FD" w:rsidRDefault="001642FD" w:rsidP="001642F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AA0731" w:rsidRDefault="00AA0731" w:rsidP="00616E63">
      <w:pPr>
        <w:spacing w:after="0" w:line="240" w:lineRule="auto"/>
        <w:jc w:val="both"/>
        <w:rPr>
          <w:rFonts w:ascii="Times New Roman" w:hAnsi="Times New Roman" w:cs="Times New Roman"/>
          <w:sz w:val="24"/>
          <w:szCs w:val="24"/>
        </w:rPr>
      </w:pPr>
    </w:p>
    <w:p w:rsidR="00E95DFC" w:rsidRDefault="00E95DFC" w:rsidP="00E95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Vyššie uvedené zvýšenie domácej produkcie ovocia je potrebné z hľadiska súčasnej úrovne spotreby ovocia</w:t>
      </w:r>
      <w:r w:rsidR="00C66824">
        <w:rPr>
          <w:rFonts w:ascii="Times New Roman" w:hAnsi="Times New Roman" w:cs="Times New Roman"/>
          <w:sz w:val="24"/>
          <w:szCs w:val="24"/>
        </w:rPr>
        <w:t xml:space="preserve"> mierneho pásma</w:t>
      </w:r>
      <w:r>
        <w:rPr>
          <w:rFonts w:ascii="Times New Roman" w:hAnsi="Times New Roman" w:cs="Times New Roman"/>
          <w:sz w:val="24"/>
          <w:szCs w:val="24"/>
        </w:rPr>
        <w:t xml:space="preserve">, berúc do úvahy spotrebiteľské preferencie. </w:t>
      </w:r>
    </w:p>
    <w:p w:rsidR="00C234A1" w:rsidRDefault="00C234A1" w:rsidP="00E95DFC">
      <w:pPr>
        <w:spacing w:after="0" w:line="240" w:lineRule="auto"/>
        <w:jc w:val="both"/>
        <w:rPr>
          <w:rFonts w:ascii="Times New Roman" w:hAnsi="Times New Roman" w:cs="Times New Roman"/>
          <w:sz w:val="24"/>
          <w:szCs w:val="24"/>
        </w:rPr>
      </w:pPr>
    </w:p>
    <w:p w:rsidR="006F6B81" w:rsidRPr="00502A07" w:rsidRDefault="00C970F8" w:rsidP="006F6B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54</w:t>
      </w:r>
      <w:r w:rsidR="006F6B81" w:rsidRPr="00155936">
        <w:rPr>
          <w:rFonts w:ascii="Times New Roman" w:hAnsi="Times New Roman" w:cs="Times New Roman"/>
          <w:sz w:val="20"/>
          <w:szCs w:val="20"/>
        </w:rPr>
        <w:t>:</w:t>
      </w:r>
      <w:r w:rsidR="006F6B81">
        <w:rPr>
          <w:rFonts w:ascii="Times New Roman" w:hAnsi="Times New Roman" w:cs="Times New Roman"/>
          <w:sz w:val="20"/>
          <w:szCs w:val="20"/>
        </w:rPr>
        <w:t xml:space="preserve"> S</w:t>
      </w:r>
      <w:r w:rsidR="006F6B81" w:rsidRPr="008C3068">
        <w:rPr>
          <w:rFonts w:ascii="Times New Roman" w:hAnsi="Times New Roman" w:cs="Times New Roman"/>
          <w:sz w:val="20"/>
          <w:szCs w:val="20"/>
        </w:rPr>
        <w:t xml:space="preserve">potreba </w:t>
      </w:r>
      <w:proofErr w:type="spellStart"/>
      <w:r w:rsidR="006F6B81">
        <w:rPr>
          <w:rFonts w:ascii="Times New Roman" w:hAnsi="Times New Roman" w:cs="Times New Roman"/>
          <w:sz w:val="20"/>
          <w:szCs w:val="20"/>
        </w:rPr>
        <w:t>ovociamierneho</w:t>
      </w:r>
      <w:proofErr w:type="spellEnd"/>
      <w:r w:rsidR="006F6B81">
        <w:rPr>
          <w:rFonts w:ascii="Times New Roman" w:hAnsi="Times New Roman" w:cs="Times New Roman"/>
          <w:sz w:val="20"/>
          <w:szCs w:val="20"/>
        </w:rPr>
        <w:t xml:space="preserve"> pásma (v hodnote čerstvého) </w:t>
      </w:r>
      <w:r w:rsidR="006F6B81" w:rsidRPr="008C3068">
        <w:rPr>
          <w:rFonts w:ascii="Times New Roman" w:hAnsi="Times New Roman" w:cs="Times New Roman"/>
          <w:sz w:val="20"/>
          <w:szCs w:val="20"/>
        </w:rPr>
        <w:t>na obyvateľa v kg za rok</w:t>
      </w:r>
    </w:p>
    <w:p w:rsidR="00E95DFC" w:rsidRDefault="00D275C4" w:rsidP="00E95DFC">
      <w:pPr>
        <w:spacing w:after="0" w:line="240" w:lineRule="auto"/>
        <w:jc w:val="both"/>
        <w:rPr>
          <w:rFonts w:ascii="Times New Roman" w:hAnsi="Times New Roman" w:cs="Times New Roman"/>
          <w:sz w:val="24"/>
          <w:szCs w:val="24"/>
        </w:rPr>
      </w:pPr>
      <w:r>
        <w:rPr>
          <w:noProof/>
        </w:rPr>
        <w:drawing>
          <wp:inline distT="0" distB="0" distL="0" distR="0" wp14:anchorId="719CA2D0" wp14:editId="211EEEB0">
            <wp:extent cx="5749747" cy="2209191"/>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6F6B81" w:rsidRDefault="006F6B81" w:rsidP="006F6B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A92374" w:rsidRDefault="00A92374" w:rsidP="00616E63">
      <w:pPr>
        <w:spacing w:after="0" w:line="240" w:lineRule="auto"/>
        <w:jc w:val="both"/>
        <w:rPr>
          <w:rFonts w:ascii="Times New Roman" w:hAnsi="Times New Roman" w:cs="Times New Roman"/>
          <w:sz w:val="24"/>
          <w:szCs w:val="24"/>
        </w:rPr>
      </w:pPr>
    </w:p>
    <w:p w:rsidR="006F6B81" w:rsidRDefault="006F6B81" w:rsidP="006F6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Vzhľadom na to, že spotrebiteľské preferencie sú v spotrebe ovocia mierneho pásma v strednom období relatívne stabilné, výnimkou je len rekordný rok 2008, je nutné tento trend zachovať a zastabilizovať súčasnú spotrebu ovocia mierneho pásma na obyvate</w:t>
      </w:r>
      <w:r w:rsidR="00C66824">
        <w:rPr>
          <w:rFonts w:ascii="Times New Roman" w:hAnsi="Times New Roman" w:cs="Times New Roman"/>
          <w:sz w:val="24"/>
          <w:szCs w:val="24"/>
        </w:rPr>
        <w:t>ľa minimálne na úrovni roku 2010</w:t>
      </w:r>
      <w:r>
        <w:rPr>
          <w:rFonts w:ascii="Times New Roman" w:hAnsi="Times New Roman" w:cs="Times New Roman"/>
          <w:sz w:val="24"/>
          <w:szCs w:val="24"/>
        </w:rPr>
        <w:t xml:space="preserve">. V tomto ohľade je najsenzitívnejším parametrom cena. </w:t>
      </w:r>
    </w:p>
    <w:p w:rsidR="00E24A08" w:rsidRDefault="00E24A08" w:rsidP="006F6B81">
      <w:pPr>
        <w:spacing w:after="0" w:line="240" w:lineRule="auto"/>
        <w:jc w:val="both"/>
        <w:rPr>
          <w:rFonts w:ascii="Times New Roman" w:hAnsi="Times New Roman" w:cs="Times New Roman"/>
          <w:sz w:val="24"/>
          <w:szCs w:val="24"/>
        </w:rPr>
      </w:pPr>
    </w:p>
    <w:p w:rsidR="000D50B8" w:rsidRDefault="000D50B8" w:rsidP="006F6B81">
      <w:pPr>
        <w:spacing w:after="0" w:line="240" w:lineRule="auto"/>
        <w:jc w:val="both"/>
        <w:rPr>
          <w:rFonts w:ascii="Times New Roman" w:hAnsi="Times New Roman" w:cs="Times New Roman"/>
          <w:sz w:val="20"/>
          <w:szCs w:val="20"/>
        </w:rPr>
      </w:pPr>
    </w:p>
    <w:p w:rsidR="000D50B8" w:rsidRDefault="000D50B8" w:rsidP="006F6B81">
      <w:pPr>
        <w:spacing w:after="0" w:line="240" w:lineRule="auto"/>
        <w:jc w:val="both"/>
        <w:rPr>
          <w:rFonts w:ascii="Times New Roman" w:hAnsi="Times New Roman" w:cs="Times New Roman"/>
          <w:sz w:val="20"/>
          <w:szCs w:val="20"/>
        </w:rPr>
      </w:pPr>
    </w:p>
    <w:p w:rsidR="000D50B8" w:rsidRDefault="000D50B8" w:rsidP="006F6B81">
      <w:pPr>
        <w:spacing w:after="0" w:line="240" w:lineRule="auto"/>
        <w:jc w:val="both"/>
        <w:rPr>
          <w:rFonts w:ascii="Times New Roman" w:hAnsi="Times New Roman" w:cs="Times New Roman"/>
          <w:sz w:val="20"/>
          <w:szCs w:val="20"/>
        </w:rPr>
      </w:pPr>
    </w:p>
    <w:p w:rsidR="00B16261" w:rsidRDefault="00B16261" w:rsidP="006F6B81">
      <w:pPr>
        <w:spacing w:after="0" w:line="240" w:lineRule="auto"/>
        <w:jc w:val="both"/>
        <w:rPr>
          <w:rFonts w:ascii="Times New Roman" w:hAnsi="Times New Roman" w:cs="Times New Roman"/>
          <w:sz w:val="20"/>
          <w:szCs w:val="20"/>
        </w:rPr>
      </w:pPr>
    </w:p>
    <w:p w:rsidR="00F6585B" w:rsidRDefault="00F6585B" w:rsidP="006F6B81">
      <w:pPr>
        <w:spacing w:after="0" w:line="240" w:lineRule="auto"/>
        <w:jc w:val="both"/>
        <w:rPr>
          <w:rFonts w:ascii="Times New Roman" w:hAnsi="Times New Roman" w:cs="Times New Roman"/>
          <w:sz w:val="20"/>
          <w:szCs w:val="20"/>
        </w:rPr>
      </w:pPr>
    </w:p>
    <w:p w:rsidR="00F6585B" w:rsidRDefault="00F6585B" w:rsidP="006F6B81">
      <w:pPr>
        <w:spacing w:after="0" w:line="240" w:lineRule="auto"/>
        <w:jc w:val="both"/>
        <w:rPr>
          <w:rFonts w:ascii="Times New Roman" w:hAnsi="Times New Roman" w:cs="Times New Roman"/>
          <w:sz w:val="20"/>
          <w:szCs w:val="20"/>
        </w:rPr>
      </w:pPr>
    </w:p>
    <w:p w:rsidR="00AD4D98" w:rsidRPr="00AD4D98" w:rsidRDefault="00C970F8" w:rsidP="006F6B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Graf č. 55</w:t>
      </w:r>
      <w:r w:rsidR="00AD4D98" w:rsidRPr="00155936">
        <w:rPr>
          <w:rFonts w:ascii="Times New Roman" w:hAnsi="Times New Roman" w:cs="Times New Roman"/>
          <w:sz w:val="20"/>
          <w:szCs w:val="20"/>
        </w:rPr>
        <w:t>:</w:t>
      </w:r>
      <w:r w:rsidR="00AD4D98">
        <w:rPr>
          <w:rFonts w:ascii="Times New Roman" w:hAnsi="Times New Roman" w:cs="Times New Roman"/>
          <w:sz w:val="20"/>
          <w:szCs w:val="20"/>
        </w:rPr>
        <w:t xml:space="preserve"> Priemerné ceny prvovýrobcov a ich priemerné náklady v roku 2011 za vybrané nosné druhy ovocia</w:t>
      </w:r>
    </w:p>
    <w:p w:rsidR="00B6254F" w:rsidRDefault="00AD4D98" w:rsidP="006F6B81">
      <w:pPr>
        <w:spacing w:after="0" w:line="240" w:lineRule="auto"/>
        <w:jc w:val="both"/>
        <w:rPr>
          <w:rFonts w:ascii="Times New Roman" w:hAnsi="Times New Roman" w:cs="Times New Roman"/>
          <w:sz w:val="24"/>
          <w:szCs w:val="24"/>
        </w:rPr>
      </w:pPr>
      <w:r>
        <w:rPr>
          <w:noProof/>
        </w:rPr>
        <w:drawing>
          <wp:inline distT="0" distB="0" distL="0" distR="0" wp14:anchorId="3AB7A9C8" wp14:editId="32F94150">
            <wp:extent cx="5720486" cy="2487168"/>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D4D98" w:rsidRDefault="00AD4D98" w:rsidP="00AD4D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773412" w:rsidRDefault="00AD4D98" w:rsidP="00773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analýzy nákladov a výnosov prv</w:t>
      </w:r>
      <w:r w:rsidR="00D16741">
        <w:rPr>
          <w:rFonts w:ascii="Times New Roman" w:hAnsi="Times New Roman" w:cs="Times New Roman"/>
          <w:sz w:val="24"/>
          <w:szCs w:val="24"/>
        </w:rPr>
        <w:t>ovýrobcov ovocia (viď graf č. 43</w:t>
      </w:r>
      <w:r>
        <w:rPr>
          <w:rFonts w:ascii="Times New Roman" w:hAnsi="Times New Roman" w:cs="Times New Roman"/>
          <w:sz w:val="24"/>
          <w:szCs w:val="24"/>
        </w:rPr>
        <w:t>) jednoznačne vyplýva, že ceny nosných druhov ovocia sú vo väčšine prípadov pod hranicou vlastných nákladov</w:t>
      </w:r>
      <w:r w:rsidR="00773412">
        <w:rPr>
          <w:rFonts w:ascii="Times New Roman" w:hAnsi="Times New Roman" w:cs="Times New Roman"/>
          <w:sz w:val="24"/>
          <w:szCs w:val="24"/>
        </w:rPr>
        <w:t>. Najvýraznejšiu stratu na 1 kg dosahuje produkcia čerešní a broskýň. Z hľadiska produkcie najvýznamnejšie ovocie – jablká – dosahujú priemernú výkupnú cenu len na úrovni vlastných nákladov. Z tohto vyplýva, že je potrebné znížiť nákladovosť pestovania a</w:t>
      </w:r>
      <w:r w:rsidR="00D16741">
        <w:rPr>
          <w:rFonts w:ascii="Times New Roman" w:hAnsi="Times New Roman" w:cs="Times New Roman"/>
          <w:sz w:val="24"/>
          <w:szCs w:val="24"/>
        </w:rPr>
        <w:t xml:space="preserve"> zvýšiť </w:t>
      </w:r>
      <w:r w:rsidR="00773412">
        <w:rPr>
          <w:rFonts w:ascii="Times New Roman" w:hAnsi="Times New Roman" w:cs="Times New Roman"/>
          <w:sz w:val="24"/>
          <w:szCs w:val="24"/>
        </w:rPr>
        <w:t xml:space="preserve">hektárovú výťažnosť, t.j. </w:t>
      </w:r>
      <w:r w:rsidR="00773412" w:rsidRPr="00773412">
        <w:rPr>
          <w:rFonts w:ascii="Times New Roman" w:hAnsi="Times New Roman" w:cs="Times New Roman"/>
          <w:sz w:val="24"/>
          <w:szCs w:val="24"/>
        </w:rPr>
        <w:t>pokračovať v podpore prostredníctvom revitalizácie ovocných sadov</w:t>
      </w:r>
      <w:r w:rsidR="00773412">
        <w:rPr>
          <w:rFonts w:ascii="Times New Roman" w:hAnsi="Times New Roman" w:cs="Times New Roman"/>
          <w:sz w:val="24"/>
          <w:szCs w:val="24"/>
        </w:rPr>
        <w:t>, čo zahŕňa likvidáciu</w:t>
      </w:r>
      <w:r w:rsidR="00773412" w:rsidRPr="00773412">
        <w:rPr>
          <w:rFonts w:ascii="Times New Roman" w:hAnsi="Times New Roman" w:cs="Times New Roman"/>
          <w:sz w:val="24"/>
          <w:szCs w:val="24"/>
        </w:rPr>
        <w:t xml:space="preserve"> starých ovocných sadov</w:t>
      </w:r>
      <w:r w:rsidR="00773412">
        <w:rPr>
          <w:rFonts w:ascii="Times New Roman" w:hAnsi="Times New Roman" w:cs="Times New Roman"/>
          <w:sz w:val="24"/>
          <w:szCs w:val="24"/>
        </w:rPr>
        <w:t xml:space="preserve"> a následnú výsadbu, </w:t>
      </w:r>
      <w:r w:rsidR="00773412" w:rsidRPr="00773412">
        <w:rPr>
          <w:rFonts w:ascii="Times New Roman" w:hAnsi="Times New Roman" w:cs="Times New Roman"/>
          <w:sz w:val="24"/>
          <w:szCs w:val="24"/>
        </w:rPr>
        <w:t>obnov</w:t>
      </w:r>
      <w:r w:rsidR="00773412">
        <w:rPr>
          <w:rFonts w:ascii="Times New Roman" w:hAnsi="Times New Roman" w:cs="Times New Roman"/>
          <w:sz w:val="24"/>
          <w:szCs w:val="24"/>
        </w:rPr>
        <w:t xml:space="preserve">u a rekonštrukciu ovocných sadov a </w:t>
      </w:r>
      <w:r w:rsidR="00773412" w:rsidRPr="00773412">
        <w:rPr>
          <w:rFonts w:ascii="Times New Roman" w:hAnsi="Times New Roman" w:cs="Times New Roman"/>
          <w:sz w:val="24"/>
          <w:szCs w:val="24"/>
        </w:rPr>
        <w:t>zakladanie nových ovocných sadov</w:t>
      </w:r>
      <w:r w:rsidR="00773412">
        <w:rPr>
          <w:rFonts w:ascii="Times New Roman" w:hAnsi="Times New Roman" w:cs="Times New Roman"/>
          <w:sz w:val="24"/>
          <w:szCs w:val="24"/>
        </w:rPr>
        <w:t xml:space="preserve">. Z hľadiska perspektívy zvýšenia výnosovosti produkcie </w:t>
      </w:r>
      <w:r w:rsidR="00D602E8">
        <w:rPr>
          <w:rFonts w:ascii="Times New Roman" w:hAnsi="Times New Roman" w:cs="Times New Roman"/>
          <w:sz w:val="24"/>
          <w:szCs w:val="24"/>
        </w:rPr>
        <w:t>je taktiež potrebné</w:t>
      </w:r>
      <w:r w:rsidR="00AA5B74">
        <w:rPr>
          <w:rFonts w:ascii="Times New Roman" w:hAnsi="Times New Roman" w:cs="Times New Roman"/>
          <w:sz w:val="24"/>
          <w:szCs w:val="24"/>
        </w:rPr>
        <w:t xml:space="preserve"> </w:t>
      </w:r>
      <w:r w:rsidR="00D602E8">
        <w:rPr>
          <w:rFonts w:ascii="Times New Roman" w:hAnsi="Times New Roman" w:cs="Times New Roman"/>
          <w:sz w:val="24"/>
          <w:szCs w:val="24"/>
        </w:rPr>
        <w:t>podporovať</w:t>
      </w:r>
      <w:r w:rsidR="00AA5B74">
        <w:rPr>
          <w:rFonts w:ascii="Times New Roman" w:hAnsi="Times New Roman" w:cs="Times New Roman"/>
          <w:sz w:val="24"/>
          <w:szCs w:val="24"/>
        </w:rPr>
        <w:t xml:space="preserve"> </w:t>
      </w:r>
      <w:r w:rsidR="00D602E8">
        <w:rPr>
          <w:rFonts w:ascii="Times New Roman" w:hAnsi="Times New Roman" w:cs="Times New Roman"/>
          <w:sz w:val="24"/>
          <w:szCs w:val="24"/>
        </w:rPr>
        <w:t>pestovanie ovocia</w:t>
      </w:r>
      <w:r w:rsidR="00773412" w:rsidRPr="00773412">
        <w:rPr>
          <w:rFonts w:ascii="Times New Roman" w:hAnsi="Times New Roman" w:cs="Times New Roman"/>
          <w:sz w:val="24"/>
          <w:szCs w:val="24"/>
        </w:rPr>
        <w:t xml:space="preserve"> formou integrovan</w:t>
      </w:r>
      <w:r w:rsidR="00D602E8">
        <w:rPr>
          <w:rFonts w:ascii="Times New Roman" w:hAnsi="Times New Roman" w:cs="Times New Roman"/>
          <w:sz w:val="24"/>
          <w:szCs w:val="24"/>
        </w:rPr>
        <w:t>ej</w:t>
      </w:r>
      <w:r w:rsidR="00773412" w:rsidRPr="00773412">
        <w:rPr>
          <w:rFonts w:ascii="Times New Roman" w:hAnsi="Times New Roman" w:cs="Times New Roman"/>
          <w:sz w:val="24"/>
          <w:szCs w:val="24"/>
        </w:rPr>
        <w:t xml:space="preserve"> produkci</w:t>
      </w:r>
      <w:r w:rsidR="00D602E8">
        <w:rPr>
          <w:rFonts w:ascii="Times New Roman" w:hAnsi="Times New Roman" w:cs="Times New Roman"/>
          <w:sz w:val="24"/>
          <w:szCs w:val="24"/>
        </w:rPr>
        <w:t>e.</w:t>
      </w:r>
    </w:p>
    <w:p w:rsidR="00C234A1" w:rsidRDefault="00C234A1" w:rsidP="00D16741">
      <w:pPr>
        <w:spacing w:after="0" w:line="240" w:lineRule="auto"/>
        <w:rPr>
          <w:rFonts w:ascii="Times New Roman" w:hAnsi="Times New Roman" w:cs="Times New Roman"/>
          <w:b/>
          <w:sz w:val="24"/>
          <w:szCs w:val="24"/>
        </w:rPr>
      </w:pPr>
    </w:p>
    <w:p w:rsidR="00A32E77" w:rsidRDefault="00D16741" w:rsidP="00F7690B">
      <w:pPr>
        <w:pBdr>
          <w:top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Na základe vykonanej analýzy celej potravinovej vertikály ovocia mierneho pásma považujeme za potrebné r</w:t>
      </w:r>
      <w:r w:rsidR="00F7690B">
        <w:rPr>
          <w:rFonts w:ascii="Times New Roman" w:hAnsi="Times New Roman" w:cs="Times New Roman"/>
          <w:sz w:val="24"/>
          <w:szCs w:val="24"/>
        </w:rPr>
        <w:t>ealizovať nasledovné opatrenia:</w:t>
      </w:r>
    </w:p>
    <w:p w:rsidR="00D16741" w:rsidRPr="00C234A1" w:rsidRDefault="00D16741" w:rsidP="000D68DC">
      <w:pPr>
        <w:pStyle w:val="Odsekzoznamu"/>
        <w:numPr>
          <w:ilvl w:val="0"/>
          <w:numId w:val="16"/>
        </w:numPr>
        <w:spacing w:after="0" w:line="240" w:lineRule="auto"/>
        <w:jc w:val="both"/>
        <w:rPr>
          <w:rFonts w:ascii="Times New Roman" w:hAnsi="Times New Roman" w:cs="Times New Roman"/>
          <w:sz w:val="24"/>
          <w:szCs w:val="24"/>
        </w:rPr>
      </w:pPr>
      <w:r w:rsidRPr="00C234A1">
        <w:rPr>
          <w:rFonts w:ascii="Times New Roman" w:hAnsi="Times New Roman" w:cs="Times New Roman"/>
          <w:sz w:val="24"/>
          <w:szCs w:val="24"/>
        </w:rPr>
        <w:t>intenzifikácia produkcie ovocia mierneho pásma formou zvýšenia hektárových výnosov na priemernú úroveň 12,27 t/ha, čo zabezpečí dodatočný objem produkcie v objeme cca 56 000 t;</w:t>
      </w:r>
    </w:p>
    <w:p w:rsidR="00D16741" w:rsidRPr="00A6713F" w:rsidRDefault="00D16741" w:rsidP="000D68DC">
      <w:pPr>
        <w:pStyle w:val="Odsekzoznamu"/>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znížiť nákladovosť pestovania a zvýšiť hektárovú výťažnosť, t.j. </w:t>
      </w:r>
      <w:r w:rsidRPr="00773412">
        <w:rPr>
          <w:rFonts w:ascii="Times New Roman" w:hAnsi="Times New Roman" w:cs="Times New Roman"/>
          <w:sz w:val="24"/>
          <w:szCs w:val="24"/>
        </w:rPr>
        <w:t>pokračovať v podpore prostredníctvom revitalizácie ovocných sadov</w:t>
      </w:r>
      <w:r>
        <w:rPr>
          <w:rFonts w:ascii="Times New Roman" w:hAnsi="Times New Roman" w:cs="Times New Roman"/>
          <w:sz w:val="24"/>
          <w:szCs w:val="24"/>
        </w:rPr>
        <w:t>, čo zahŕňa likvidáciu</w:t>
      </w:r>
      <w:r w:rsidRPr="00773412">
        <w:rPr>
          <w:rFonts w:ascii="Times New Roman" w:hAnsi="Times New Roman" w:cs="Times New Roman"/>
          <w:sz w:val="24"/>
          <w:szCs w:val="24"/>
        </w:rPr>
        <w:t xml:space="preserve"> starých ovocných sadov</w:t>
      </w:r>
      <w:r>
        <w:rPr>
          <w:rFonts w:ascii="Times New Roman" w:hAnsi="Times New Roman" w:cs="Times New Roman"/>
          <w:sz w:val="24"/>
          <w:szCs w:val="24"/>
        </w:rPr>
        <w:t xml:space="preserve"> a následnú výsadbu, </w:t>
      </w:r>
      <w:r w:rsidRPr="00773412">
        <w:rPr>
          <w:rFonts w:ascii="Times New Roman" w:hAnsi="Times New Roman" w:cs="Times New Roman"/>
          <w:sz w:val="24"/>
          <w:szCs w:val="24"/>
        </w:rPr>
        <w:t>obnov</w:t>
      </w:r>
      <w:r>
        <w:rPr>
          <w:rFonts w:ascii="Times New Roman" w:hAnsi="Times New Roman" w:cs="Times New Roman"/>
          <w:sz w:val="24"/>
          <w:szCs w:val="24"/>
        </w:rPr>
        <w:t xml:space="preserve">u a rekonštrukciu ovocných sadov a </w:t>
      </w:r>
      <w:r w:rsidRPr="00773412">
        <w:rPr>
          <w:rFonts w:ascii="Times New Roman" w:hAnsi="Times New Roman" w:cs="Times New Roman"/>
          <w:sz w:val="24"/>
          <w:szCs w:val="24"/>
        </w:rPr>
        <w:t>zakladanie nových ovocných sadov</w:t>
      </w:r>
      <w:r>
        <w:rPr>
          <w:rFonts w:ascii="Times New Roman" w:hAnsi="Times New Roman" w:cs="Times New Roman"/>
          <w:sz w:val="24"/>
          <w:szCs w:val="24"/>
        </w:rPr>
        <w:t>.</w:t>
      </w:r>
    </w:p>
    <w:p w:rsidR="00C66824" w:rsidRDefault="00C66824" w:rsidP="00C234A1">
      <w:pPr>
        <w:pBdr>
          <w:top w:val="single" w:sz="4" w:space="1" w:color="auto"/>
        </w:pBdr>
        <w:spacing w:after="0" w:line="240" w:lineRule="auto"/>
        <w:jc w:val="both"/>
        <w:rPr>
          <w:rFonts w:ascii="Times New Roman" w:hAnsi="Times New Roman" w:cs="Times New Roman"/>
          <w:sz w:val="24"/>
          <w:szCs w:val="24"/>
        </w:rPr>
      </w:pPr>
    </w:p>
    <w:p w:rsidR="00BB1064" w:rsidRPr="00352722" w:rsidRDefault="00BB1064" w:rsidP="000D68DC">
      <w:pPr>
        <w:pStyle w:val="Nadpis3"/>
        <w:numPr>
          <w:ilvl w:val="2"/>
          <w:numId w:val="8"/>
        </w:numPr>
      </w:pPr>
      <w:bookmarkStart w:id="40" w:name="_Toc359550661"/>
      <w:r>
        <w:t xml:space="preserve">Identifikované scenáre vývoja z hľadiska zabezpečenia </w:t>
      </w:r>
      <w:r w:rsidR="00A32E77">
        <w:t>produkčnej výkonnosti</w:t>
      </w:r>
      <w:r>
        <w:t xml:space="preserve"> v nosných komoditách živočíšnej výroby na úrovni 80 % súčasnej spotreby obyvateľstva SR</w:t>
      </w:r>
      <w:bookmarkEnd w:id="40"/>
    </w:p>
    <w:p w:rsidR="00C66824" w:rsidRDefault="00C66824" w:rsidP="006F6B81">
      <w:pPr>
        <w:spacing w:after="0" w:line="240" w:lineRule="auto"/>
        <w:jc w:val="both"/>
        <w:rPr>
          <w:rFonts w:ascii="Times New Roman" w:hAnsi="Times New Roman" w:cs="Times New Roman"/>
          <w:sz w:val="24"/>
          <w:szCs w:val="24"/>
        </w:rPr>
      </w:pPr>
    </w:p>
    <w:p w:rsidR="00BB1064" w:rsidRDefault="00BB1064" w:rsidP="00BB1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základe vykonaných analýz potravinovej vertikály v nosných komoditách rastlinnej výroby je zrejmé, že cieľ dosiahnuť </w:t>
      </w:r>
      <w:r w:rsidR="00A32E77">
        <w:rPr>
          <w:rFonts w:ascii="Times New Roman" w:hAnsi="Times New Roman" w:cs="Times New Roman"/>
          <w:sz w:val="24"/>
          <w:szCs w:val="24"/>
        </w:rPr>
        <w:t>produkčnú výkonnosť</w:t>
      </w:r>
      <w:r>
        <w:rPr>
          <w:rFonts w:ascii="Times New Roman" w:hAnsi="Times New Roman" w:cs="Times New Roman"/>
          <w:sz w:val="24"/>
          <w:szCs w:val="24"/>
        </w:rPr>
        <w:t xml:space="preserve"> na úrovni 80 % súčasnej spotreby obyvateľstva bude možné dosiahnuť kombináciou kvantitatívnych a kvalitatívnych </w:t>
      </w:r>
      <w:r w:rsidR="00A0096A">
        <w:rPr>
          <w:rFonts w:ascii="Times New Roman" w:hAnsi="Times New Roman" w:cs="Times New Roman"/>
          <w:sz w:val="24"/>
          <w:szCs w:val="24"/>
        </w:rPr>
        <w:t>znakov výroby</w:t>
      </w:r>
      <w:r>
        <w:rPr>
          <w:rFonts w:ascii="Times New Roman" w:hAnsi="Times New Roman" w:cs="Times New Roman"/>
          <w:sz w:val="24"/>
          <w:szCs w:val="24"/>
        </w:rPr>
        <w:t>, a to na všetkých stupňoch potravinovej vertikály tak, aby sa naplnili parametre základných trhových u</w:t>
      </w:r>
      <w:r w:rsidR="00B16261">
        <w:rPr>
          <w:rFonts w:ascii="Times New Roman" w:hAnsi="Times New Roman" w:cs="Times New Roman"/>
          <w:sz w:val="24"/>
          <w:szCs w:val="24"/>
        </w:rPr>
        <w:t>kazovateľov uvedené v tab. č. 35</w:t>
      </w:r>
      <w:r>
        <w:rPr>
          <w:rFonts w:ascii="Times New Roman" w:hAnsi="Times New Roman" w:cs="Times New Roman"/>
          <w:sz w:val="24"/>
          <w:szCs w:val="24"/>
        </w:rPr>
        <w:t>.</w:t>
      </w:r>
    </w:p>
    <w:p w:rsidR="00952F7C" w:rsidRDefault="00952F7C" w:rsidP="00373B3E">
      <w:pPr>
        <w:tabs>
          <w:tab w:val="left" w:pos="993"/>
        </w:tabs>
        <w:spacing w:after="0" w:line="240" w:lineRule="auto"/>
        <w:ind w:left="993" w:hanging="993"/>
        <w:jc w:val="both"/>
        <w:rPr>
          <w:rFonts w:ascii="Times New Roman" w:hAnsi="Times New Roman" w:cs="Times New Roman"/>
          <w:sz w:val="20"/>
          <w:szCs w:val="20"/>
        </w:rPr>
      </w:pPr>
    </w:p>
    <w:p w:rsidR="000D50B8" w:rsidRDefault="000D50B8" w:rsidP="00F7690B">
      <w:pPr>
        <w:tabs>
          <w:tab w:val="left" w:pos="993"/>
        </w:tabs>
        <w:spacing w:after="0" w:line="240" w:lineRule="auto"/>
        <w:ind w:left="993" w:hanging="993"/>
        <w:jc w:val="both"/>
        <w:rPr>
          <w:rFonts w:ascii="Times New Roman" w:hAnsi="Times New Roman" w:cs="Times New Roman"/>
          <w:sz w:val="20"/>
          <w:szCs w:val="20"/>
        </w:rPr>
      </w:pPr>
    </w:p>
    <w:p w:rsidR="000D50B8" w:rsidRDefault="000D50B8" w:rsidP="00F7690B">
      <w:pPr>
        <w:tabs>
          <w:tab w:val="left" w:pos="993"/>
        </w:tabs>
        <w:spacing w:after="0" w:line="240" w:lineRule="auto"/>
        <w:ind w:left="993" w:hanging="993"/>
        <w:jc w:val="both"/>
        <w:rPr>
          <w:rFonts w:ascii="Times New Roman" w:hAnsi="Times New Roman" w:cs="Times New Roman"/>
          <w:sz w:val="20"/>
          <w:szCs w:val="20"/>
        </w:rPr>
      </w:pPr>
    </w:p>
    <w:p w:rsidR="00BB1064" w:rsidRPr="009B2487" w:rsidRDefault="00C970F8" w:rsidP="00F7690B">
      <w:pPr>
        <w:tabs>
          <w:tab w:val="left"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lastRenderedPageBreak/>
        <w:t>Tab. č. 38</w:t>
      </w:r>
      <w:r w:rsidR="00BB1064" w:rsidRPr="00A855A4">
        <w:rPr>
          <w:rFonts w:ascii="Times New Roman" w:hAnsi="Times New Roman" w:cs="Times New Roman"/>
          <w:sz w:val="20"/>
          <w:szCs w:val="20"/>
        </w:rPr>
        <w:t xml:space="preserve">: </w:t>
      </w:r>
      <w:r w:rsidR="00373B3E">
        <w:rPr>
          <w:rFonts w:ascii="Times New Roman" w:hAnsi="Times New Roman" w:cs="Times New Roman"/>
          <w:sz w:val="20"/>
          <w:szCs w:val="20"/>
        </w:rPr>
        <w:tab/>
      </w:r>
      <w:r w:rsidR="00BB1064" w:rsidRPr="009B2487">
        <w:rPr>
          <w:rFonts w:ascii="Times New Roman" w:hAnsi="Times New Roman" w:cs="Times New Roman"/>
          <w:sz w:val="20"/>
          <w:szCs w:val="20"/>
        </w:rPr>
        <w:t xml:space="preserve">Parametre základných trhových ukazovateľov pre zabezpečenie </w:t>
      </w:r>
      <w:r w:rsidR="00A32E77">
        <w:rPr>
          <w:rFonts w:ascii="Times New Roman" w:hAnsi="Times New Roman" w:cs="Times New Roman"/>
          <w:sz w:val="20"/>
          <w:szCs w:val="20"/>
        </w:rPr>
        <w:t>produkčnej výkonnosti</w:t>
      </w:r>
      <w:r w:rsidR="00BB1064" w:rsidRPr="009B2487">
        <w:rPr>
          <w:rFonts w:ascii="Times New Roman" w:hAnsi="Times New Roman" w:cs="Times New Roman"/>
          <w:sz w:val="20"/>
          <w:szCs w:val="20"/>
        </w:rPr>
        <w:t xml:space="preserve"> v nosných komoditách </w:t>
      </w:r>
      <w:r w:rsidR="00BB1064">
        <w:rPr>
          <w:rFonts w:ascii="Times New Roman" w:hAnsi="Times New Roman" w:cs="Times New Roman"/>
          <w:sz w:val="20"/>
          <w:szCs w:val="20"/>
        </w:rPr>
        <w:t>rastlinnej</w:t>
      </w:r>
      <w:r w:rsidR="00BB1064" w:rsidRPr="009B2487">
        <w:rPr>
          <w:rFonts w:ascii="Times New Roman" w:hAnsi="Times New Roman" w:cs="Times New Roman"/>
          <w:sz w:val="20"/>
          <w:szCs w:val="20"/>
        </w:rPr>
        <w:t xml:space="preserve"> výroby na úrovni 80 % súčasnej spotreby obyvateľstva SR</w:t>
      </w:r>
    </w:p>
    <w:tbl>
      <w:tblPr>
        <w:tblW w:w="9600" w:type="dxa"/>
        <w:tblInd w:w="55" w:type="dxa"/>
        <w:tblCellMar>
          <w:left w:w="70" w:type="dxa"/>
          <w:right w:w="70" w:type="dxa"/>
        </w:tblCellMar>
        <w:tblLook w:val="04A0" w:firstRow="1" w:lastRow="0" w:firstColumn="1" w:lastColumn="0" w:noHBand="0" w:noVBand="1"/>
      </w:tblPr>
      <w:tblGrid>
        <w:gridCol w:w="2740"/>
        <w:gridCol w:w="6860"/>
      </w:tblGrid>
      <w:tr w:rsidR="000D50B8" w:rsidRPr="009B2487" w:rsidTr="000D50B8">
        <w:trPr>
          <w:trHeight w:val="379"/>
        </w:trPr>
        <w:tc>
          <w:tcPr>
            <w:tcW w:w="2740" w:type="dxa"/>
            <w:tcBorders>
              <w:top w:val="single" w:sz="4" w:space="0" w:color="auto"/>
              <w:left w:val="nil"/>
              <w:bottom w:val="single" w:sz="4" w:space="0" w:color="auto"/>
              <w:right w:val="single" w:sz="4" w:space="0" w:color="auto"/>
            </w:tcBorders>
            <w:shd w:val="clear" w:color="auto" w:fill="auto"/>
            <w:noWrap/>
          </w:tcPr>
          <w:p w:rsidR="000D50B8" w:rsidRDefault="000D50B8" w:rsidP="00BE691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Rastlinné jedlé tuky a oleje</w:t>
            </w:r>
          </w:p>
        </w:tc>
        <w:tc>
          <w:tcPr>
            <w:tcW w:w="6860" w:type="dxa"/>
            <w:tcBorders>
              <w:top w:val="single" w:sz="4" w:space="0" w:color="auto"/>
              <w:left w:val="nil"/>
              <w:bottom w:val="single" w:sz="4" w:space="0" w:color="auto"/>
              <w:right w:val="nil"/>
            </w:tcBorders>
            <w:shd w:val="clear" w:color="auto" w:fill="auto"/>
          </w:tcPr>
          <w:p w:rsidR="000D50B8" w:rsidRDefault="000D50B8" w:rsidP="000D50B8">
            <w:pPr>
              <w:spacing w:after="0" w:line="240" w:lineRule="auto"/>
              <w:rPr>
                <w:rFonts w:ascii="Times New Roman" w:eastAsia="Times New Roman" w:hAnsi="Times New Roman" w:cs="Times New Roman"/>
                <w:color w:val="000000"/>
                <w:sz w:val="24"/>
                <w:szCs w:val="24"/>
              </w:rPr>
            </w:pPr>
            <w:r w:rsidRPr="00DB49CD">
              <w:rPr>
                <w:rFonts w:ascii="Times New Roman" w:eastAsia="Times New Roman" w:hAnsi="Times New Roman" w:cs="Times New Roman"/>
                <w:color w:val="000000"/>
                <w:sz w:val="24"/>
                <w:szCs w:val="24"/>
              </w:rPr>
              <w:t xml:space="preserve">zvýšiť </w:t>
            </w:r>
            <w:r>
              <w:rPr>
                <w:rFonts w:ascii="Times New Roman" w:eastAsia="Times New Roman" w:hAnsi="Times New Roman" w:cs="Times New Roman"/>
                <w:color w:val="000000"/>
                <w:sz w:val="24"/>
                <w:szCs w:val="24"/>
              </w:rPr>
              <w:t>výrobu rastlinných jedlých tukov a olejov minimálne o   31 371 t.</w:t>
            </w:r>
          </w:p>
        </w:tc>
      </w:tr>
      <w:tr w:rsidR="000D50B8" w:rsidRPr="009B2487" w:rsidTr="00F544BD">
        <w:trPr>
          <w:trHeight w:val="723"/>
        </w:trPr>
        <w:tc>
          <w:tcPr>
            <w:tcW w:w="2740" w:type="dxa"/>
            <w:tcBorders>
              <w:top w:val="single" w:sz="4" w:space="0" w:color="auto"/>
              <w:left w:val="nil"/>
              <w:bottom w:val="single" w:sz="4" w:space="0" w:color="auto"/>
              <w:right w:val="single" w:sz="4" w:space="0" w:color="auto"/>
            </w:tcBorders>
            <w:shd w:val="clear" w:color="000000" w:fill="F2F2F2"/>
            <w:noWrap/>
            <w:hideMark/>
          </w:tcPr>
          <w:p w:rsidR="000D50B8" w:rsidRPr="00DB49CD" w:rsidRDefault="000D50B8" w:rsidP="00BE691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Zemiaky</w:t>
            </w:r>
          </w:p>
        </w:tc>
        <w:tc>
          <w:tcPr>
            <w:tcW w:w="6860" w:type="dxa"/>
            <w:tcBorders>
              <w:top w:val="single" w:sz="4" w:space="0" w:color="auto"/>
              <w:left w:val="nil"/>
              <w:bottom w:val="single" w:sz="4" w:space="0" w:color="auto"/>
              <w:right w:val="nil"/>
            </w:tcBorders>
            <w:shd w:val="clear" w:color="000000" w:fill="F2F2F2"/>
            <w:hideMark/>
          </w:tcPr>
          <w:p w:rsidR="000D50B8" w:rsidRPr="00DB49CD" w:rsidRDefault="000D50B8" w:rsidP="00BE69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zvýšiť zberové plochy zemiakov o 743 ha, čo pri súčasnej priemernej hektárovej výnosnosti na úrovni 20,9 t/ha predstavuje dodatočné zvýšenie produkcie zemiakov o 12 560 t.</w:t>
            </w:r>
          </w:p>
        </w:tc>
      </w:tr>
      <w:tr w:rsidR="000D50B8" w:rsidRPr="009B2487" w:rsidTr="007B5BCA">
        <w:trPr>
          <w:trHeight w:val="407"/>
        </w:trPr>
        <w:tc>
          <w:tcPr>
            <w:tcW w:w="2740" w:type="dxa"/>
            <w:tcBorders>
              <w:top w:val="single" w:sz="4" w:space="0" w:color="auto"/>
              <w:left w:val="nil"/>
              <w:bottom w:val="nil"/>
              <w:right w:val="single" w:sz="4" w:space="0" w:color="auto"/>
            </w:tcBorders>
            <w:shd w:val="clear" w:color="auto" w:fill="auto"/>
            <w:noWrap/>
            <w:hideMark/>
          </w:tcPr>
          <w:p w:rsidR="000D50B8" w:rsidRPr="00DB49CD" w:rsidRDefault="000D50B8" w:rsidP="00BE691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Zelenina</w:t>
            </w:r>
          </w:p>
        </w:tc>
        <w:tc>
          <w:tcPr>
            <w:tcW w:w="6860" w:type="dxa"/>
            <w:tcBorders>
              <w:top w:val="single" w:sz="4" w:space="0" w:color="auto"/>
              <w:left w:val="nil"/>
              <w:bottom w:val="single" w:sz="4" w:space="0" w:color="auto"/>
              <w:right w:val="nil"/>
            </w:tcBorders>
            <w:shd w:val="clear" w:color="auto" w:fill="auto"/>
            <w:hideMark/>
          </w:tcPr>
          <w:p w:rsidR="000D50B8" w:rsidRPr="00DB49CD" w:rsidRDefault="000D50B8" w:rsidP="00BB1064">
            <w:pPr>
              <w:spacing w:after="0" w:line="240" w:lineRule="auto"/>
              <w:rPr>
                <w:rFonts w:ascii="Times New Roman" w:eastAsia="Times New Roman" w:hAnsi="Times New Roman" w:cs="Times New Roman"/>
                <w:color w:val="000000"/>
                <w:sz w:val="24"/>
                <w:szCs w:val="24"/>
              </w:rPr>
            </w:pPr>
            <w:r w:rsidRPr="00373B3E">
              <w:rPr>
                <w:rFonts w:ascii="Times New Roman" w:hAnsi="Times New Roman" w:cs="Times New Roman"/>
                <w:sz w:val="24"/>
                <w:szCs w:val="24"/>
              </w:rPr>
              <w:t>zvýšiť zberovú plochu veľkopestovateľov zeleniny o 3 000 ha;</w:t>
            </w:r>
          </w:p>
        </w:tc>
      </w:tr>
      <w:tr w:rsidR="000D50B8" w:rsidRPr="009B2487" w:rsidTr="007B5BCA">
        <w:trPr>
          <w:trHeight w:val="688"/>
        </w:trPr>
        <w:tc>
          <w:tcPr>
            <w:tcW w:w="2740" w:type="dxa"/>
            <w:tcBorders>
              <w:top w:val="nil"/>
              <w:left w:val="nil"/>
              <w:bottom w:val="single" w:sz="4" w:space="0" w:color="auto"/>
              <w:right w:val="single" w:sz="4" w:space="0" w:color="auto"/>
            </w:tcBorders>
            <w:shd w:val="clear" w:color="auto" w:fill="auto"/>
            <w:noWrap/>
            <w:hideMark/>
          </w:tcPr>
          <w:p w:rsidR="000D50B8" w:rsidRPr="00DB49CD" w:rsidRDefault="000D50B8" w:rsidP="00BE691E">
            <w:pPr>
              <w:spacing w:after="0" w:line="240" w:lineRule="auto"/>
              <w:rPr>
                <w:rFonts w:ascii="Times New Roman" w:eastAsia="Times New Roman" w:hAnsi="Times New Roman" w:cs="Times New Roman"/>
                <w:b/>
                <w:bCs/>
                <w:color w:val="000000"/>
                <w:sz w:val="24"/>
                <w:szCs w:val="24"/>
              </w:rPr>
            </w:pPr>
          </w:p>
        </w:tc>
        <w:tc>
          <w:tcPr>
            <w:tcW w:w="6860" w:type="dxa"/>
            <w:tcBorders>
              <w:top w:val="single" w:sz="4" w:space="0" w:color="auto"/>
              <w:left w:val="nil"/>
              <w:bottom w:val="single" w:sz="4" w:space="0" w:color="auto"/>
              <w:right w:val="nil"/>
            </w:tcBorders>
            <w:shd w:val="clear" w:color="auto" w:fill="auto"/>
            <w:hideMark/>
          </w:tcPr>
          <w:p w:rsidR="000D50B8" w:rsidRPr="00DB49CD" w:rsidRDefault="000D50B8" w:rsidP="00A32E77">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intenzifikáciou produkcie zeleniny dosiahnuť priemerné hektárové výnosy veľkopestovateľov na úrovni 20 t/ha.</w:t>
            </w:r>
          </w:p>
        </w:tc>
      </w:tr>
      <w:tr w:rsidR="000D50B8" w:rsidRPr="009B2487" w:rsidTr="00F544BD">
        <w:trPr>
          <w:trHeight w:val="384"/>
        </w:trPr>
        <w:tc>
          <w:tcPr>
            <w:tcW w:w="2740" w:type="dxa"/>
            <w:tcBorders>
              <w:top w:val="single" w:sz="4" w:space="0" w:color="auto"/>
              <w:left w:val="nil"/>
              <w:bottom w:val="nil"/>
              <w:right w:val="single" w:sz="4" w:space="0" w:color="auto"/>
            </w:tcBorders>
            <w:shd w:val="clear" w:color="auto" w:fill="F2F2F2" w:themeFill="background1" w:themeFillShade="F2"/>
            <w:noWrap/>
            <w:hideMark/>
          </w:tcPr>
          <w:p w:rsidR="000D50B8" w:rsidRPr="00DB49CD" w:rsidRDefault="000D50B8" w:rsidP="00BE691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Ovocie</w:t>
            </w:r>
          </w:p>
        </w:tc>
        <w:tc>
          <w:tcPr>
            <w:tcW w:w="6860" w:type="dxa"/>
            <w:tcBorders>
              <w:top w:val="single" w:sz="4" w:space="0" w:color="auto"/>
              <w:left w:val="nil"/>
              <w:bottom w:val="single" w:sz="4" w:space="0" w:color="auto"/>
              <w:right w:val="nil"/>
            </w:tcBorders>
            <w:shd w:val="clear" w:color="auto" w:fill="F2F2F2" w:themeFill="background1" w:themeFillShade="F2"/>
            <w:hideMark/>
          </w:tcPr>
          <w:p w:rsidR="000D50B8" w:rsidRPr="00373B3E" w:rsidRDefault="000D50B8" w:rsidP="00373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intenzifikovať produkciu ovocia mierneho pásma formou zvýšenia hektárových výnosov na priemernú úroveň 12,27 t/ha, čo zabezpečí dodatočný objem produkcie v objeme cca 56 000 t;</w:t>
            </w:r>
          </w:p>
        </w:tc>
      </w:tr>
      <w:tr w:rsidR="000D50B8" w:rsidRPr="009B2487" w:rsidTr="00F544BD">
        <w:trPr>
          <w:trHeight w:val="720"/>
        </w:trPr>
        <w:tc>
          <w:tcPr>
            <w:tcW w:w="2740" w:type="dxa"/>
            <w:tcBorders>
              <w:top w:val="nil"/>
              <w:left w:val="nil"/>
              <w:bottom w:val="single" w:sz="4" w:space="0" w:color="auto"/>
              <w:right w:val="single" w:sz="4" w:space="0" w:color="auto"/>
            </w:tcBorders>
            <w:shd w:val="clear" w:color="auto" w:fill="F2F2F2" w:themeFill="background1" w:themeFillShade="F2"/>
            <w:noWrap/>
          </w:tcPr>
          <w:p w:rsidR="000D50B8" w:rsidRDefault="000D50B8" w:rsidP="00BE691E">
            <w:pPr>
              <w:spacing w:after="0" w:line="240" w:lineRule="auto"/>
              <w:rPr>
                <w:rFonts w:ascii="Times New Roman" w:eastAsia="Times New Roman" w:hAnsi="Times New Roman" w:cs="Times New Roman"/>
                <w:b/>
                <w:bCs/>
                <w:color w:val="000000"/>
                <w:sz w:val="24"/>
                <w:szCs w:val="24"/>
              </w:rPr>
            </w:pPr>
          </w:p>
        </w:tc>
        <w:tc>
          <w:tcPr>
            <w:tcW w:w="6860" w:type="dxa"/>
            <w:tcBorders>
              <w:top w:val="single" w:sz="4" w:space="0" w:color="auto"/>
              <w:left w:val="nil"/>
              <w:bottom w:val="single" w:sz="4" w:space="0" w:color="auto"/>
              <w:right w:val="nil"/>
            </w:tcBorders>
            <w:shd w:val="clear" w:color="auto" w:fill="F2F2F2" w:themeFill="background1" w:themeFillShade="F2"/>
          </w:tcPr>
          <w:p w:rsidR="000D50B8" w:rsidRPr="00DB49CD" w:rsidRDefault="000D50B8" w:rsidP="00BE691E">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znížiť nákladovosť pestovania a zvýšiť hektárovú výťažnosť, t.j. </w:t>
            </w:r>
            <w:r w:rsidRPr="00773412">
              <w:rPr>
                <w:rFonts w:ascii="Times New Roman" w:hAnsi="Times New Roman" w:cs="Times New Roman"/>
                <w:sz w:val="24"/>
                <w:szCs w:val="24"/>
              </w:rPr>
              <w:t>pokračovať v podpore prostredníctvom revitalizácie ovocných sadov</w:t>
            </w:r>
            <w:r>
              <w:rPr>
                <w:rFonts w:ascii="Times New Roman" w:hAnsi="Times New Roman" w:cs="Times New Roman"/>
                <w:sz w:val="24"/>
                <w:szCs w:val="24"/>
              </w:rPr>
              <w:t>, čo zahŕňa likvidáciu</w:t>
            </w:r>
            <w:r w:rsidRPr="00773412">
              <w:rPr>
                <w:rFonts w:ascii="Times New Roman" w:hAnsi="Times New Roman" w:cs="Times New Roman"/>
                <w:sz w:val="24"/>
                <w:szCs w:val="24"/>
              </w:rPr>
              <w:t xml:space="preserve"> starých ovocných sadov</w:t>
            </w:r>
            <w:r>
              <w:rPr>
                <w:rFonts w:ascii="Times New Roman" w:hAnsi="Times New Roman" w:cs="Times New Roman"/>
                <w:sz w:val="24"/>
                <w:szCs w:val="24"/>
              </w:rPr>
              <w:t xml:space="preserve"> a následnú výsadbu, </w:t>
            </w:r>
            <w:r w:rsidRPr="00773412">
              <w:rPr>
                <w:rFonts w:ascii="Times New Roman" w:hAnsi="Times New Roman" w:cs="Times New Roman"/>
                <w:sz w:val="24"/>
                <w:szCs w:val="24"/>
              </w:rPr>
              <w:t>obnov</w:t>
            </w:r>
            <w:r>
              <w:rPr>
                <w:rFonts w:ascii="Times New Roman" w:hAnsi="Times New Roman" w:cs="Times New Roman"/>
                <w:sz w:val="24"/>
                <w:szCs w:val="24"/>
              </w:rPr>
              <w:t xml:space="preserve">u a rekonštrukciu ovocných sadov a </w:t>
            </w:r>
            <w:r w:rsidRPr="00773412">
              <w:rPr>
                <w:rFonts w:ascii="Times New Roman" w:hAnsi="Times New Roman" w:cs="Times New Roman"/>
                <w:sz w:val="24"/>
                <w:szCs w:val="24"/>
              </w:rPr>
              <w:t>zakladanie nových ovocných sadov</w:t>
            </w:r>
            <w:r>
              <w:rPr>
                <w:rFonts w:ascii="Times New Roman" w:hAnsi="Times New Roman" w:cs="Times New Roman"/>
                <w:sz w:val="24"/>
                <w:szCs w:val="24"/>
              </w:rPr>
              <w:t>.</w:t>
            </w:r>
          </w:p>
        </w:tc>
      </w:tr>
    </w:tbl>
    <w:p w:rsidR="00485221" w:rsidRDefault="00485221">
      <w:pPr>
        <w:rPr>
          <w:rFonts w:ascii="Times New Roman" w:hAnsi="Times New Roman" w:cs="Times New Roman"/>
          <w:sz w:val="24"/>
          <w:szCs w:val="24"/>
        </w:rPr>
      </w:pPr>
    </w:p>
    <w:p w:rsidR="00BE691E" w:rsidRDefault="00850910">
      <w:pPr>
        <w:rPr>
          <w:rFonts w:ascii="Times New Roman" w:hAnsi="Times New Roman" w:cs="Times New Roman"/>
          <w:sz w:val="24"/>
          <w:szCs w:val="24"/>
        </w:rPr>
      </w:pPr>
      <w:r>
        <w:rPr>
          <w:rFonts w:ascii="Times New Roman" w:hAnsi="Times New Roman" w:cs="Times New Roman"/>
          <w:sz w:val="24"/>
          <w:szCs w:val="24"/>
        </w:rPr>
        <w:br w:type="page"/>
      </w:r>
    </w:p>
    <w:p w:rsidR="00BE691E" w:rsidRPr="00BE691E" w:rsidRDefault="00BE691E" w:rsidP="000D68DC">
      <w:pPr>
        <w:pStyle w:val="Nadpis1"/>
        <w:numPr>
          <w:ilvl w:val="0"/>
          <w:numId w:val="8"/>
        </w:numPr>
        <w:rPr>
          <w:rFonts w:cs="Times New Roman"/>
        </w:rPr>
      </w:pPr>
      <w:bookmarkStart w:id="41" w:name="_Toc359550662"/>
      <w:r>
        <w:rPr>
          <w:rFonts w:cs="Times New Roman"/>
        </w:rPr>
        <w:lastRenderedPageBreak/>
        <w:t>Zabezpečenie trvalo udržateľného obhospodarovania lesov</w:t>
      </w:r>
      <w:bookmarkEnd w:id="41"/>
    </w:p>
    <w:p w:rsidR="00BE691E" w:rsidRPr="003B4D9B" w:rsidRDefault="00BE691E" w:rsidP="00BE691E">
      <w:pPr>
        <w:pBdr>
          <w:bottom w:val="single" w:sz="4" w:space="1" w:color="auto"/>
        </w:pBdr>
        <w:spacing w:after="0" w:line="240" w:lineRule="auto"/>
        <w:rPr>
          <w:rFonts w:ascii="Times New Roman" w:hAnsi="Times New Roman" w:cs="Times New Roman"/>
          <w:b/>
          <w:sz w:val="28"/>
          <w:szCs w:val="28"/>
        </w:rPr>
      </w:pPr>
    </w:p>
    <w:p w:rsidR="00BE691E" w:rsidRDefault="00BE691E"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V roku 2011</w:t>
      </w:r>
      <w:r w:rsidRPr="00E40104">
        <w:rPr>
          <w:rFonts w:ascii="Times New Roman" w:eastAsia="Calibri" w:hAnsi="Times New Roman"/>
          <w:sz w:val="24"/>
          <w:szCs w:val="24"/>
        </w:rPr>
        <w:t xml:space="preserve"> výmera lesný</w:t>
      </w:r>
      <w:r>
        <w:rPr>
          <w:rFonts w:ascii="Times New Roman" w:eastAsia="Calibri" w:hAnsi="Times New Roman"/>
          <w:sz w:val="24"/>
          <w:szCs w:val="24"/>
        </w:rPr>
        <w:t xml:space="preserve">ch pozemkov dosiahla 2 011,5 </w:t>
      </w:r>
      <w:r w:rsidRPr="00E40104">
        <w:rPr>
          <w:rFonts w:ascii="Times New Roman" w:eastAsia="Calibri" w:hAnsi="Times New Roman"/>
          <w:sz w:val="24"/>
          <w:szCs w:val="24"/>
        </w:rPr>
        <w:t>tis. ha a porastovej pôdy</w:t>
      </w:r>
      <w:r>
        <w:rPr>
          <w:rFonts w:ascii="Times New Roman" w:eastAsia="Calibri" w:hAnsi="Times New Roman"/>
          <w:sz w:val="24"/>
          <w:szCs w:val="24"/>
        </w:rPr>
        <w:t xml:space="preserve">                   1 940,1 tis. ha a oproti referenčnému roku 2002 sa </w:t>
      </w:r>
      <w:r w:rsidRPr="00E40104">
        <w:rPr>
          <w:rFonts w:ascii="Times New Roman" w:eastAsia="Calibri" w:hAnsi="Times New Roman"/>
          <w:sz w:val="24"/>
          <w:szCs w:val="24"/>
        </w:rPr>
        <w:t>zvyšuje. Lesnatosť</w:t>
      </w:r>
      <w:r>
        <w:rPr>
          <w:rFonts w:ascii="Times New Roman" w:eastAsia="Calibri" w:hAnsi="Times New Roman"/>
          <w:sz w:val="24"/>
          <w:szCs w:val="24"/>
        </w:rPr>
        <w:t>, t.j.</w:t>
      </w:r>
      <w:r w:rsidRPr="00E40104">
        <w:rPr>
          <w:rFonts w:ascii="Times New Roman" w:eastAsia="Calibri" w:hAnsi="Times New Roman"/>
          <w:sz w:val="24"/>
          <w:szCs w:val="24"/>
        </w:rPr>
        <w:t xml:space="preserve"> percentuálny podiel celkovej výmery lesnýc</w:t>
      </w:r>
      <w:r>
        <w:rPr>
          <w:rFonts w:ascii="Times New Roman" w:eastAsia="Calibri" w:hAnsi="Times New Roman"/>
          <w:sz w:val="24"/>
          <w:szCs w:val="24"/>
        </w:rPr>
        <w:t xml:space="preserve">h pozemkov </w:t>
      </w:r>
      <w:r w:rsidRPr="00E40104">
        <w:rPr>
          <w:rFonts w:ascii="Times New Roman" w:eastAsia="Calibri" w:hAnsi="Times New Roman"/>
          <w:sz w:val="24"/>
          <w:szCs w:val="24"/>
        </w:rPr>
        <w:t>z celkovej vý</w:t>
      </w:r>
      <w:r>
        <w:rPr>
          <w:rFonts w:ascii="Times New Roman" w:eastAsia="Calibri" w:hAnsi="Times New Roman"/>
          <w:sz w:val="24"/>
          <w:szCs w:val="24"/>
        </w:rPr>
        <w:t>mery Slovenska,</w:t>
      </w:r>
      <w:r w:rsidRPr="00E40104">
        <w:rPr>
          <w:rFonts w:ascii="Times New Roman" w:eastAsia="Calibri" w:hAnsi="Times New Roman"/>
          <w:sz w:val="24"/>
          <w:szCs w:val="24"/>
        </w:rPr>
        <w:t xml:space="preserve"> bola v tom istom roku približ</w:t>
      </w:r>
      <w:r>
        <w:rPr>
          <w:rFonts w:ascii="Times New Roman" w:eastAsia="Calibri" w:hAnsi="Times New Roman"/>
          <w:sz w:val="24"/>
          <w:szCs w:val="24"/>
        </w:rPr>
        <w:t xml:space="preserve">ne 41 %. </w:t>
      </w:r>
    </w:p>
    <w:p w:rsidR="00BE691E" w:rsidRDefault="00BE691E" w:rsidP="00BE691E">
      <w:pPr>
        <w:spacing w:after="0" w:line="240" w:lineRule="auto"/>
        <w:jc w:val="both"/>
        <w:rPr>
          <w:rFonts w:ascii="Times New Roman" w:eastAsia="Calibri" w:hAnsi="Times New Roman"/>
          <w:sz w:val="24"/>
          <w:szCs w:val="24"/>
        </w:rPr>
      </w:pPr>
    </w:p>
    <w:p w:rsidR="00BE691E" w:rsidRPr="003F2A1C" w:rsidRDefault="00C970F8" w:rsidP="00BE691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56</w:t>
      </w:r>
      <w:r w:rsidR="00BE691E" w:rsidRPr="00155936">
        <w:rPr>
          <w:rFonts w:ascii="Times New Roman" w:hAnsi="Times New Roman" w:cs="Times New Roman"/>
          <w:sz w:val="20"/>
          <w:szCs w:val="20"/>
        </w:rPr>
        <w:t>:</w:t>
      </w:r>
      <w:r w:rsidR="00BE691E">
        <w:rPr>
          <w:rFonts w:ascii="Times New Roman" w:hAnsi="Times New Roman" w:cs="Times New Roman"/>
          <w:sz w:val="20"/>
          <w:szCs w:val="20"/>
        </w:rPr>
        <w:t xml:space="preserve"> Výmera lesných pozemkov a porastovej pôdy</w:t>
      </w:r>
    </w:p>
    <w:p w:rsidR="00BE691E" w:rsidRDefault="00BE691E" w:rsidP="00BE691E">
      <w:pPr>
        <w:spacing w:after="0" w:line="240" w:lineRule="auto"/>
        <w:jc w:val="both"/>
        <w:rPr>
          <w:rFonts w:ascii="Times New Roman" w:eastAsia="Calibri" w:hAnsi="Times New Roman"/>
          <w:sz w:val="24"/>
          <w:szCs w:val="24"/>
        </w:rPr>
      </w:pPr>
      <w:r>
        <w:rPr>
          <w:noProof/>
        </w:rPr>
        <w:drawing>
          <wp:inline distT="0" distB="0" distL="0" distR="0" wp14:anchorId="1F4B63DF" wp14:editId="2A431244">
            <wp:extent cx="5765470" cy="27432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BE691E" w:rsidRDefault="00BE691E" w:rsidP="00BE691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NLC-ÚLZI Zvolen</w:t>
      </w:r>
    </w:p>
    <w:p w:rsidR="00020F06" w:rsidRDefault="00020F06" w:rsidP="00BE691E">
      <w:pPr>
        <w:spacing w:after="0" w:line="240" w:lineRule="auto"/>
        <w:jc w:val="both"/>
        <w:rPr>
          <w:rFonts w:ascii="Times New Roman" w:eastAsia="Calibri" w:hAnsi="Times New Roman"/>
          <w:sz w:val="24"/>
          <w:szCs w:val="24"/>
        </w:rPr>
      </w:pPr>
    </w:p>
    <w:p w:rsidR="00BE691E" w:rsidRPr="00E40104" w:rsidRDefault="00BE691E" w:rsidP="00BE691E">
      <w:pPr>
        <w:spacing w:after="0" w:line="240" w:lineRule="auto"/>
        <w:jc w:val="both"/>
        <w:rPr>
          <w:rFonts w:ascii="Times New Roman" w:eastAsia="Calibri" w:hAnsi="Times New Roman"/>
          <w:sz w:val="24"/>
          <w:szCs w:val="24"/>
        </w:rPr>
      </w:pPr>
      <w:r w:rsidRPr="00E40104">
        <w:rPr>
          <w:rFonts w:ascii="Times New Roman" w:eastAsia="Calibri" w:hAnsi="Times New Roman"/>
          <w:sz w:val="24"/>
          <w:szCs w:val="24"/>
        </w:rPr>
        <w:t>Z dôvodu narastajúcich pož</w:t>
      </w:r>
      <w:r>
        <w:rPr>
          <w:rFonts w:ascii="Times New Roman" w:eastAsia="Calibri" w:hAnsi="Times New Roman"/>
          <w:sz w:val="24"/>
          <w:szCs w:val="24"/>
        </w:rPr>
        <w:t xml:space="preserve">iadaviek </w:t>
      </w:r>
      <w:r w:rsidRPr="00E40104">
        <w:rPr>
          <w:rFonts w:ascii="Times New Roman" w:eastAsia="Calibri" w:hAnsi="Times New Roman"/>
          <w:sz w:val="24"/>
          <w:szCs w:val="24"/>
        </w:rPr>
        <w:t xml:space="preserve">na zabezpečovanie </w:t>
      </w:r>
      <w:r>
        <w:rPr>
          <w:rFonts w:ascii="Times New Roman" w:eastAsia="Calibri" w:hAnsi="Times New Roman"/>
          <w:sz w:val="24"/>
          <w:szCs w:val="24"/>
        </w:rPr>
        <w:t xml:space="preserve">ekonomických </w:t>
      </w:r>
      <w:r w:rsidRPr="00E40104">
        <w:rPr>
          <w:rFonts w:ascii="Times New Roman" w:eastAsia="Calibri" w:hAnsi="Times New Roman"/>
          <w:sz w:val="24"/>
          <w:szCs w:val="24"/>
        </w:rPr>
        <w:t>funkcií</w:t>
      </w:r>
      <w:r>
        <w:rPr>
          <w:rFonts w:ascii="Times New Roman" w:eastAsia="Calibri" w:hAnsi="Times New Roman"/>
          <w:sz w:val="24"/>
          <w:szCs w:val="24"/>
        </w:rPr>
        <w:t xml:space="preserve"> lesov podiel </w:t>
      </w:r>
      <w:r w:rsidRPr="00E40104">
        <w:rPr>
          <w:rFonts w:ascii="Times New Roman" w:eastAsia="Calibri" w:hAnsi="Times New Roman"/>
          <w:sz w:val="24"/>
          <w:szCs w:val="24"/>
        </w:rPr>
        <w:t>hospodá</w:t>
      </w:r>
      <w:r>
        <w:rPr>
          <w:rFonts w:ascii="Times New Roman" w:eastAsia="Calibri" w:hAnsi="Times New Roman"/>
          <w:sz w:val="24"/>
          <w:szCs w:val="24"/>
        </w:rPr>
        <w:t xml:space="preserve">rskych lesov v roku 2011, </w:t>
      </w:r>
      <w:r w:rsidRPr="00E40104">
        <w:rPr>
          <w:rFonts w:ascii="Times New Roman" w:eastAsia="Calibri" w:hAnsi="Times New Roman"/>
          <w:sz w:val="24"/>
          <w:szCs w:val="24"/>
        </w:rPr>
        <w:t>v porovnaní</w:t>
      </w:r>
      <w:r>
        <w:rPr>
          <w:rFonts w:ascii="Times New Roman" w:eastAsia="Calibri" w:hAnsi="Times New Roman"/>
          <w:sz w:val="24"/>
          <w:szCs w:val="24"/>
        </w:rPr>
        <w:t xml:space="preserve"> so stavom referenčného roka 2002, pozvoľna rastie, a to na až úroveň 70,4 %</w:t>
      </w:r>
      <w:r w:rsidRPr="00E40104">
        <w:rPr>
          <w:rFonts w:ascii="Times New Roman" w:eastAsia="Calibri" w:hAnsi="Times New Roman"/>
          <w:sz w:val="24"/>
          <w:szCs w:val="24"/>
        </w:rPr>
        <w:t xml:space="preserve">. </w:t>
      </w:r>
      <w:r>
        <w:rPr>
          <w:rFonts w:ascii="Times New Roman" w:eastAsia="Calibri" w:hAnsi="Times New Roman"/>
          <w:sz w:val="24"/>
          <w:szCs w:val="24"/>
        </w:rPr>
        <w:t xml:space="preserve">Stabilizovala </w:t>
      </w:r>
      <w:r w:rsidRPr="00E40104">
        <w:rPr>
          <w:rFonts w:ascii="Times New Roman" w:eastAsia="Calibri" w:hAnsi="Times New Roman"/>
          <w:sz w:val="24"/>
          <w:szCs w:val="24"/>
        </w:rPr>
        <w:t xml:space="preserve"> sa výmera ochranný</w:t>
      </w:r>
      <w:r>
        <w:rPr>
          <w:rFonts w:ascii="Times New Roman" w:eastAsia="Calibri" w:hAnsi="Times New Roman"/>
          <w:sz w:val="24"/>
          <w:szCs w:val="24"/>
        </w:rPr>
        <w:t>ch lesov, a to na úrovni cca 17</w:t>
      </w:r>
      <w:r w:rsidRPr="00E40104">
        <w:rPr>
          <w:rFonts w:ascii="Times New Roman" w:eastAsia="Calibri" w:hAnsi="Times New Roman"/>
          <w:sz w:val="24"/>
          <w:szCs w:val="24"/>
        </w:rPr>
        <w:t xml:space="preserve"> % a lesov osobitné</w:t>
      </w:r>
      <w:r>
        <w:rPr>
          <w:rFonts w:ascii="Times New Roman" w:eastAsia="Calibri" w:hAnsi="Times New Roman"/>
          <w:sz w:val="24"/>
          <w:szCs w:val="24"/>
        </w:rPr>
        <w:t xml:space="preserve">ho </w:t>
      </w:r>
      <w:r w:rsidRPr="00E40104">
        <w:rPr>
          <w:rFonts w:ascii="Times New Roman" w:eastAsia="Calibri" w:hAnsi="Times New Roman"/>
          <w:sz w:val="24"/>
          <w:szCs w:val="24"/>
        </w:rPr>
        <w:t xml:space="preserve">určenia </w:t>
      </w:r>
      <w:r>
        <w:rPr>
          <w:rFonts w:ascii="Times New Roman" w:eastAsia="Calibri" w:hAnsi="Times New Roman"/>
          <w:sz w:val="24"/>
          <w:szCs w:val="24"/>
        </w:rPr>
        <w:t>na úrovni cca 13</w:t>
      </w:r>
      <w:r w:rsidRPr="00E40104">
        <w:rPr>
          <w:rFonts w:ascii="Times New Roman" w:eastAsia="Calibri" w:hAnsi="Times New Roman"/>
          <w:sz w:val="24"/>
          <w:szCs w:val="24"/>
        </w:rPr>
        <w:t xml:space="preserve"> %, ktoré</w:t>
      </w:r>
      <w:r>
        <w:rPr>
          <w:rFonts w:ascii="Times New Roman" w:eastAsia="Calibri" w:hAnsi="Times New Roman"/>
          <w:sz w:val="24"/>
          <w:szCs w:val="24"/>
        </w:rPr>
        <w:t xml:space="preserve"> plnia </w:t>
      </w:r>
      <w:r w:rsidRPr="00E40104">
        <w:rPr>
          <w:rFonts w:ascii="Times New Roman" w:eastAsia="Calibri" w:hAnsi="Times New Roman"/>
          <w:sz w:val="24"/>
          <w:szCs w:val="24"/>
        </w:rPr>
        <w:t>najmä ekologické a sociá</w:t>
      </w:r>
      <w:r>
        <w:rPr>
          <w:rFonts w:ascii="Times New Roman" w:eastAsia="Calibri" w:hAnsi="Times New Roman"/>
          <w:sz w:val="24"/>
          <w:szCs w:val="24"/>
        </w:rPr>
        <w:t>lne funkcie</w:t>
      </w:r>
      <w:r w:rsidRPr="00E40104">
        <w:rPr>
          <w:rFonts w:ascii="Times New Roman" w:eastAsia="Calibri" w:hAnsi="Times New Roman"/>
          <w:sz w:val="24"/>
          <w:szCs w:val="24"/>
        </w:rPr>
        <w:t>.</w:t>
      </w:r>
    </w:p>
    <w:p w:rsidR="00BE691E" w:rsidRDefault="00BE691E" w:rsidP="00BE691E">
      <w:pPr>
        <w:spacing w:after="0" w:line="240" w:lineRule="auto"/>
        <w:jc w:val="both"/>
        <w:rPr>
          <w:rFonts w:ascii="Times New Roman" w:eastAsia="Calibri" w:hAnsi="Times New Roman"/>
          <w:sz w:val="24"/>
          <w:szCs w:val="24"/>
        </w:rPr>
      </w:pPr>
    </w:p>
    <w:p w:rsidR="00BE691E" w:rsidRPr="00C431FF" w:rsidRDefault="00D6078B" w:rsidP="00BE691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5</w:t>
      </w:r>
      <w:r w:rsidR="00C970F8">
        <w:rPr>
          <w:rFonts w:ascii="Times New Roman" w:hAnsi="Times New Roman" w:cs="Times New Roman"/>
          <w:sz w:val="20"/>
          <w:szCs w:val="20"/>
        </w:rPr>
        <w:t>7</w:t>
      </w:r>
      <w:r w:rsidR="00BE691E" w:rsidRPr="00155936">
        <w:rPr>
          <w:rFonts w:ascii="Times New Roman" w:hAnsi="Times New Roman" w:cs="Times New Roman"/>
          <w:sz w:val="20"/>
          <w:szCs w:val="20"/>
        </w:rPr>
        <w:t>:</w:t>
      </w:r>
      <w:r w:rsidR="00BE691E">
        <w:rPr>
          <w:rFonts w:ascii="Times New Roman" w:hAnsi="Times New Roman" w:cs="Times New Roman"/>
          <w:sz w:val="20"/>
          <w:szCs w:val="20"/>
        </w:rPr>
        <w:t xml:space="preserve"> Kategorizácia lesov v roku 2011</w:t>
      </w:r>
    </w:p>
    <w:p w:rsidR="00BE691E" w:rsidRDefault="00BE691E" w:rsidP="00BE691E">
      <w:pPr>
        <w:spacing w:after="0" w:line="240" w:lineRule="auto"/>
        <w:jc w:val="both"/>
        <w:rPr>
          <w:rFonts w:ascii="Times New Roman" w:eastAsia="Calibri" w:hAnsi="Times New Roman"/>
          <w:sz w:val="24"/>
          <w:szCs w:val="24"/>
        </w:rPr>
      </w:pPr>
      <w:r>
        <w:rPr>
          <w:noProof/>
        </w:rPr>
        <w:drawing>
          <wp:inline distT="0" distB="0" distL="0" distR="0" wp14:anchorId="6A2093A4" wp14:editId="7ECCEBB7">
            <wp:extent cx="5765470" cy="2161309"/>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BE691E" w:rsidRPr="00C431FF" w:rsidRDefault="00BE691E" w:rsidP="00BE691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NLC-ÚLZI Zvolen</w:t>
      </w:r>
    </w:p>
    <w:p w:rsidR="00BE691E" w:rsidRDefault="00BE691E" w:rsidP="00BE691E">
      <w:pPr>
        <w:spacing w:after="0" w:line="240" w:lineRule="auto"/>
        <w:jc w:val="both"/>
        <w:rPr>
          <w:rFonts w:ascii="Times New Roman" w:eastAsia="Calibri" w:hAnsi="Times New Roman"/>
          <w:sz w:val="24"/>
          <w:szCs w:val="24"/>
        </w:rPr>
      </w:pPr>
    </w:p>
    <w:p w:rsidR="00BE691E" w:rsidRPr="00DA1E5C" w:rsidRDefault="00BE691E" w:rsidP="00BE691E">
      <w:pPr>
        <w:spacing w:after="0" w:line="240" w:lineRule="auto"/>
        <w:jc w:val="both"/>
        <w:rPr>
          <w:rFonts w:ascii="Times New Roman" w:eastAsia="Calibri" w:hAnsi="Times New Roman"/>
          <w:sz w:val="24"/>
          <w:szCs w:val="24"/>
        </w:rPr>
      </w:pPr>
      <w:r w:rsidRPr="00E40104">
        <w:rPr>
          <w:rFonts w:ascii="Times New Roman" w:eastAsia="Calibri" w:hAnsi="Times New Roman"/>
          <w:sz w:val="24"/>
          <w:szCs w:val="24"/>
        </w:rPr>
        <w:lastRenderedPageBreak/>
        <w:t>V zastúpení dreví</w:t>
      </w:r>
      <w:r>
        <w:rPr>
          <w:rFonts w:ascii="Times New Roman" w:eastAsia="Calibri" w:hAnsi="Times New Roman"/>
          <w:sz w:val="24"/>
          <w:szCs w:val="24"/>
        </w:rPr>
        <w:t xml:space="preserve">n sa dlhodobo </w:t>
      </w:r>
      <w:r w:rsidRPr="00E40104">
        <w:rPr>
          <w:rFonts w:ascii="Times New Roman" w:eastAsia="Calibri" w:hAnsi="Times New Roman"/>
          <w:sz w:val="24"/>
          <w:szCs w:val="24"/>
        </w:rPr>
        <w:t>presadzuje požiadavka rô</w:t>
      </w:r>
      <w:r>
        <w:rPr>
          <w:rFonts w:ascii="Times New Roman" w:eastAsia="Calibri" w:hAnsi="Times New Roman"/>
          <w:sz w:val="24"/>
          <w:szCs w:val="24"/>
        </w:rPr>
        <w:t xml:space="preserve">znorodosti </w:t>
      </w:r>
      <w:r w:rsidRPr="00E40104">
        <w:rPr>
          <w:rFonts w:ascii="Times New Roman" w:eastAsia="Calibri" w:hAnsi="Times New Roman"/>
          <w:sz w:val="24"/>
          <w:szCs w:val="24"/>
        </w:rPr>
        <w:t>lesný</w:t>
      </w:r>
      <w:r>
        <w:rPr>
          <w:rFonts w:ascii="Times New Roman" w:eastAsia="Calibri" w:hAnsi="Times New Roman"/>
          <w:sz w:val="24"/>
          <w:szCs w:val="24"/>
        </w:rPr>
        <w:t xml:space="preserve">ch porastov. </w:t>
      </w:r>
      <w:r w:rsidRPr="00E40104">
        <w:rPr>
          <w:rFonts w:ascii="Times New Roman" w:eastAsia="Calibri" w:hAnsi="Times New Roman"/>
          <w:sz w:val="24"/>
          <w:szCs w:val="24"/>
        </w:rPr>
        <w:t>Primeraná</w:t>
      </w:r>
      <w:r w:rsidR="003748EC">
        <w:rPr>
          <w:rFonts w:ascii="Times New Roman" w:eastAsia="Calibri" w:hAnsi="Times New Roman"/>
          <w:sz w:val="24"/>
          <w:szCs w:val="24"/>
        </w:rPr>
        <w:t xml:space="preserve"> </w:t>
      </w:r>
      <w:r w:rsidRPr="00E40104">
        <w:rPr>
          <w:rFonts w:ascii="Times New Roman" w:eastAsia="Calibri" w:hAnsi="Times New Roman"/>
          <w:sz w:val="24"/>
          <w:szCs w:val="24"/>
        </w:rPr>
        <w:t>biodiverzita zvyšuje statickú</w:t>
      </w:r>
      <w:r w:rsidR="003748EC">
        <w:rPr>
          <w:rFonts w:ascii="Times New Roman" w:eastAsia="Calibri" w:hAnsi="Times New Roman"/>
          <w:sz w:val="24"/>
          <w:szCs w:val="24"/>
        </w:rPr>
        <w:t xml:space="preserve"> </w:t>
      </w:r>
      <w:r w:rsidRPr="00E40104">
        <w:rPr>
          <w:rFonts w:ascii="Times New Roman" w:eastAsia="Calibri" w:hAnsi="Times New Roman"/>
          <w:sz w:val="24"/>
          <w:szCs w:val="24"/>
        </w:rPr>
        <w:t>aj ekologickú stabilitu lesov. Ihličnaté</w:t>
      </w:r>
      <w:r w:rsidR="003748EC">
        <w:rPr>
          <w:rFonts w:ascii="Times New Roman" w:eastAsia="Calibri" w:hAnsi="Times New Roman"/>
          <w:sz w:val="24"/>
          <w:szCs w:val="24"/>
        </w:rPr>
        <w:t xml:space="preserve"> </w:t>
      </w:r>
      <w:r w:rsidRPr="00E40104">
        <w:rPr>
          <w:rFonts w:ascii="Times New Roman" w:eastAsia="Calibri" w:hAnsi="Times New Roman"/>
          <w:sz w:val="24"/>
          <w:szCs w:val="24"/>
        </w:rPr>
        <w:t>porasty zaberajú približ</w:t>
      </w:r>
      <w:r>
        <w:rPr>
          <w:rFonts w:ascii="Times New Roman" w:eastAsia="Calibri" w:hAnsi="Times New Roman"/>
          <w:sz w:val="24"/>
          <w:szCs w:val="24"/>
        </w:rPr>
        <w:t>ne 39,5 % a</w:t>
      </w:r>
      <w:r w:rsidRPr="00E40104">
        <w:rPr>
          <w:rFonts w:ascii="Times New Roman" w:eastAsia="Calibri" w:hAnsi="Times New Roman"/>
          <w:sz w:val="24"/>
          <w:szCs w:val="24"/>
        </w:rPr>
        <w:t xml:space="preserve"> listnaté </w:t>
      </w:r>
      <w:r>
        <w:rPr>
          <w:rFonts w:ascii="Times New Roman" w:eastAsia="Calibri" w:hAnsi="Times New Roman"/>
          <w:sz w:val="24"/>
          <w:szCs w:val="24"/>
        </w:rPr>
        <w:t>60,5</w:t>
      </w:r>
      <w:r w:rsidRPr="00E40104">
        <w:rPr>
          <w:rFonts w:ascii="Times New Roman" w:eastAsia="Calibri" w:hAnsi="Times New Roman"/>
          <w:sz w:val="24"/>
          <w:szCs w:val="24"/>
        </w:rPr>
        <w:t xml:space="preserve"> %</w:t>
      </w:r>
      <w:r>
        <w:rPr>
          <w:rFonts w:ascii="Times New Roman" w:eastAsia="Calibri" w:hAnsi="Times New Roman"/>
          <w:sz w:val="24"/>
          <w:szCs w:val="24"/>
        </w:rPr>
        <w:t xml:space="preserve">. </w:t>
      </w:r>
      <w:r w:rsidRPr="00DA1E5C">
        <w:rPr>
          <w:rFonts w:ascii="Times New Roman" w:eastAsia="Calibri" w:hAnsi="Times New Roman"/>
          <w:sz w:val="24"/>
          <w:szCs w:val="24"/>
        </w:rPr>
        <w:t>Najvyššie zastúpenie majú dlhodobo dreviny buk lesný (32,0%) a smrek obyčajný (25,1%), pričom u dreviny smrek je možné očakávať výrazné znižovanie zastúpenia (v dôsledku negatívneho pôsobenia škodlivých činiteľov) v prospech zastúpenia predovšetkým ostatných ihličnatých drevín, hlavne borovice, jedle a smrekovca, ako aj ostatných listnáčov.</w:t>
      </w:r>
    </w:p>
    <w:p w:rsidR="00BE691E" w:rsidRDefault="00BE691E" w:rsidP="00BE691E">
      <w:pPr>
        <w:spacing w:after="0" w:line="240" w:lineRule="auto"/>
        <w:jc w:val="both"/>
        <w:rPr>
          <w:rFonts w:ascii="Times New Roman" w:eastAsia="Calibri" w:hAnsi="Times New Roman"/>
          <w:sz w:val="24"/>
          <w:szCs w:val="24"/>
        </w:rPr>
      </w:pPr>
    </w:p>
    <w:p w:rsidR="00BE691E" w:rsidRPr="00E41DE0" w:rsidRDefault="00C970F8" w:rsidP="00BE691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58</w:t>
      </w:r>
      <w:r w:rsidR="00BE691E" w:rsidRPr="00155936">
        <w:rPr>
          <w:rFonts w:ascii="Times New Roman" w:hAnsi="Times New Roman" w:cs="Times New Roman"/>
          <w:sz w:val="20"/>
          <w:szCs w:val="20"/>
        </w:rPr>
        <w:t>:</w:t>
      </w:r>
      <w:r w:rsidR="00BE691E">
        <w:rPr>
          <w:rFonts w:ascii="Times New Roman" w:hAnsi="Times New Roman" w:cs="Times New Roman"/>
          <w:sz w:val="20"/>
          <w:szCs w:val="20"/>
        </w:rPr>
        <w:t xml:space="preserve"> Vývoj štruktúry lesných porastov v SR</w:t>
      </w:r>
    </w:p>
    <w:p w:rsidR="00BE691E" w:rsidRDefault="00BE691E" w:rsidP="00BE691E">
      <w:pPr>
        <w:spacing w:after="0" w:line="240" w:lineRule="auto"/>
        <w:jc w:val="both"/>
        <w:rPr>
          <w:rFonts w:ascii="Times New Roman" w:eastAsia="Calibri" w:hAnsi="Times New Roman"/>
          <w:sz w:val="24"/>
          <w:szCs w:val="24"/>
        </w:rPr>
      </w:pPr>
      <w:r>
        <w:rPr>
          <w:noProof/>
        </w:rPr>
        <w:drawing>
          <wp:inline distT="0" distB="0" distL="0" distR="0" wp14:anchorId="167BD653" wp14:editId="27D9F7F5">
            <wp:extent cx="5759532" cy="2167247"/>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BE691E" w:rsidRPr="00C431FF" w:rsidRDefault="00BE691E" w:rsidP="00BE691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NLC-ÚLZI Zvolen</w:t>
      </w:r>
    </w:p>
    <w:p w:rsidR="00BE691E" w:rsidRDefault="00BE691E" w:rsidP="00BE691E">
      <w:pPr>
        <w:spacing w:after="0" w:line="240" w:lineRule="auto"/>
        <w:jc w:val="both"/>
        <w:rPr>
          <w:rFonts w:ascii="Times New Roman" w:eastAsia="Calibri" w:hAnsi="Times New Roman"/>
          <w:sz w:val="24"/>
          <w:szCs w:val="24"/>
        </w:rPr>
      </w:pPr>
    </w:p>
    <w:p w:rsidR="005D34D7" w:rsidRDefault="005D34D7"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Z hľadiska kvality zastúpených lesných porastov je dôležitá špecifikácia</w:t>
      </w:r>
      <w:r w:rsidRPr="005D34D7">
        <w:rPr>
          <w:rFonts w:ascii="Times New Roman" w:eastAsia="Calibri" w:hAnsi="Times New Roman"/>
          <w:sz w:val="24"/>
          <w:szCs w:val="24"/>
        </w:rPr>
        <w:t xml:space="preserve"> zastúpenie lesov v jednotlivých vekových stupňoch</w:t>
      </w:r>
      <w:r w:rsidR="00801F58">
        <w:rPr>
          <w:rFonts w:ascii="Times New Roman" w:eastAsia="Calibri" w:hAnsi="Times New Roman"/>
          <w:sz w:val="24"/>
          <w:szCs w:val="24"/>
        </w:rPr>
        <w:t xml:space="preserve"> a ich zdravotný stav</w:t>
      </w:r>
      <w:r w:rsidRPr="005D34D7">
        <w:rPr>
          <w:rFonts w:ascii="Times New Roman" w:eastAsia="Calibri" w:hAnsi="Times New Roman"/>
          <w:sz w:val="24"/>
          <w:szCs w:val="24"/>
        </w:rPr>
        <w:t>. Rovnomerné zastúpenie lesa vo všetkých vekových stupňoch je predpokladom vyrovnanej produkcie dreva, ale aj plnenia ďalších funkcií lesa. Z hľadiska výmery sa skutočná veková štruktúra všetkých lesov na Slovensku od normálnej (optimálnej) najviac líši v 5,7,8,12 a 15 vekovom stupni</w:t>
      </w:r>
      <w:r>
        <w:rPr>
          <w:rFonts w:ascii="Times New Roman" w:eastAsia="Calibri" w:hAnsi="Times New Roman"/>
          <w:sz w:val="24"/>
          <w:szCs w:val="24"/>
        </w:rPr>
        <w:t>.</w:t>
      </w:r>
    </w:p>
    <w:p w:rsidR="005D34D7" w:rsidRDefault="005D34D7" w:rsidP="00BE691E">
      <w:pPr>
        <w:spacing w:after="0" w:line="240" w:lineRule="auto"/>
        <w:jc w:val="both"/>
        <w:rPr>
          <w:rFonts w:ascii="Times New Roman" w:eastAsia="Calibri" w:hAnsi="Times New Roman"/>
          <w:sz w:val="24"/>
          <w:szCs w:val="24"/>
        </w:rPr>
      </w:pPr>
    </w:p>
    <w:p w:rsidR="00801F58" w:rsidRPr="00801F58" w:rsidRDefault="00C970F8" w:rsidP="00BE691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59</w:t>
      </w:r>
      <w:r w:rsidR="00801F58" w:rsidRPr="00155936">
        <w:rPr>
          <w:rFonts w:ascii="Times New Roman" w:hAnsi="Times New Roman" w:cs="Times New Roman"/>
          <w:sz w:val="20"/>
          <w:szCs w:val="20"/>
        </w:rPr>
        <w:t>:</w:t>
      </w:r>
      <w:r w:rsidR="00801F58" w:rsidRPr="00801F58">
        <w:rPr>
          <w:rFonts w:ascii="Times New Roman" w:hAnsi="Times New Roman" w:cs="Times New Roman"/>
          <w:sz w:val="20"/>
          <w:szCs w:val="20"/>
        </w:rPr>
        <w:t>Veková štruktúra lesov skutočná a normálna (optimálna) podľa vekových stupňov</w:t>
      </w:r>
    </w:p>
    <w:p w:rsidR="005D34D7" w:rsidRDefault="00801F58" w:rsidP="00BE691E">
      <w:pPr>
        <w:spacing w:after="0" w:line="240" w:lineRule="auto"/>
        <w:jc w:val="both"/>
        <w:rPr>
          <w:rFonts w:ascii="Times New Roman" w:eastAsia="Calibri" w:hAnsi="Times New Roman"/>
          <w:sz w:val="24"/>
          <w:szCs w:val="24"/>
        </w:rPr>
      </w:pPr>
      <w:r>
        <w:rPr>
          <w:noProof/>
        </w:rPr>
        <w:drawing>
          <wp:inline distT="0" distB="0" distL="0" distR="0" wp14:anchorId="700A489E" wp14:editId="5590D4B3">
            <wp:extent cx="5759532" cy="2606634"/>
            <wp:effectExtent l="0" t="0" r="0" b="0"/>
            <wp:docPr id="56" name="Graf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801F58" w:rsidRPr="00C431FF" w:rsidRDefault="00801F58" w:rsidP="00801F5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NLC-ÚLZI Zvolen</w:t>
      </w:r>
    </w:p>
    <w:p w:rsidR="005D34D7" w:rsidRDefault="005D34D7" w:rsidP="00BE691E">
      <w:pPr>
        <w:spacing w:after="0" w:line="240" w:lineRule="auto"/>
        <w:jc w:val="both"/>
        <w:rPr>
          <w:rFonts w:ascii="Times New Roman" w:eastAsia="Calibri" w:hAnsi="Times New Roman"/>
          <w:sz w:val="24"/>
          <w:szCs w:val="24"/>
        </w:rPr>
      </w:pPr>
    </w:p>
    <w:p w:rsidR="0081462D" w:rsidRDefault="00801F58" w:rsidP="00801F58">
      <w:pPr>
        <w:spacing w:after="0" w:line="240" w:lineRule="auto"/>
        <w:jc w:val="both"/>
        <w:rPr>
          <w:rFonts w:ascii="Times New Roman" w:eastAsia="Calibri" w:hAnsi="Times New Roman"/>
          <w:sz w:val="24"/>
          <w:szCs w:val="24"/>
        </w:rPr>
      </w:pPr>
      <w:r w:rsidRPr="00801F58">
        <w:rPr>
          <w:rFonts w:ascii="Times New Roman" w:eastAsia="Calibri" w:hAnsi="Times New Roman"/>
          <w:sz w:val="24"/>
          <w:szCs w:val="24"/>
        </w:rPr>
        <w:t>Hlavným indikátorom a základným, vizuálne hodnoteným symptómom zdravotného stavu lesov je defoliácia. Je to parameter, v ktorom sa odrážajú vnútorné i vonkajšie vplyvy faktorov ovplyvňujúce život jedinca (genetické, klimatické a </w:t>
      </w:r>
      <w:proofErr w:type="spellStart"/>
      <w:r w:rsidRPr="00801F58">
        <w:rPr>
          <w:rFonts w:ascii="Times New Roman" w:eastAsia="Calibri" w:hAnsi="Times New Roman"/>
          <w:sz w:val="24"/>
          <w:szCs w:val="24"/>
        </w:rPr>
        <w:t>stanovištné</w:t>
      </w:r>
      <w:proofErr w:type="spellEnd"/>
      <w:r w:rsidRPr="00801F58">
        <w:rPr>
          <w:rFonts w:ascii="Times New Roman" w:eastAsia="Calibri" w:hAnsi="Times New Roman"/>
          <w:sz w:val="24"/>
          <w:szCs w:val="24"/>
        </w:rPr>
        <w:t xml:space="preserve"> vplyvy, vplyv </w:t>
      </w:r>
      <w:r w:rsidRPr="00801F58">
        <w:rPr>
          <w:rFonts w:ascii="Times New Roman" w:eastAsia="Calibri" w:hAnsi="Times New Roman"/>
          <w:sz w:val="24"/>
          <w:szCs w:val="24"/>
        </w:rPr>
        <w:lastRenderedPageBreak/>
        <w:t>znečistenia ovzdušia a iné). Na klasifikáciu defoliácie sa používa medzinárod</w:t>
      </w:r>
      <w:r w:rsidR="0081462D">
        <w:rPr>
          <w:rFonts w:ascii="Times New Roman" w:eastAsia="Calibri" w:hAnsi="Times New Roman"/>
          <w:sz w:val="24"/>
          <w:szCs w:val="24"/>
        </w:rPr>
        <w:t>ne stanovená 5-triedna stupnica.</w:t>
      </w:r>
    </w:p>
    <w:p w:rsidR="0081462D" w:rsidRPr="0081462D" w:rsidRDefault="0081462D" w:rsidP="00801F58">
      <w:pPr>
        <w:spacing w:after="0" w:line="240" w:lineRule="auto"/>
        <w:jc w:val="both"/>
        <w:rPr>
          <w:rFonts w:ascii="Times New Roman" w:hAnsi="Times New Roman" w:cs="Times New Roman"/>
          <w:sz w:val="20"/>
          <w:szCs w:val="20"/>
        </w:rPr>
      </w:pPr>
    </w:p>
    <w:p w:rsidR="0081462D" w:rsidRPr="0081462D" w:rsidRDefault="00C970F8" w:rsidP="0081462D">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 39</w:t>
      </w:r>
      <w:r w:rsidR="0081462D" w:rsidRPr="00A855A4">
        <w:rPr>
          <w:rFonts w:ascii="Times New Roman" w:hAnsi="Times New Roman" w:cs="Times New Roman"/>
          <w:sz w:val="20"/>
          <w:szCs w:val="20"/>
        </w:rPr>
        <w:t xml:space="preserve">: </w:t>
      </w:r>
      <w:r w:rsidR="0081462D">
        <w:rPr>
          <w:rFonts w:ascii="Times New Roman" w:hAnsi="Times New Roman" w:cs="Times New Roman"/>
          <w:sz w:val="20"/>
          <w:szCs w:val="20"/>
        </w:rPr>
        <w:tab/>
      </w:r>
      <w:r w:rsidR="0081462D" w:rsidRPr="0081462D">
        <w:rPr>
          <w:rFonts w:ascii="Times New Roman" w:hAnsi="Times New Roman" w:cs="Times New Roman"/>
          <w:sz w:val="20"/>
          <w:szCs w:val="20"/>
        </w:rPr>
        <w:t>Klasifikácia defoliácie</w:t>
      </w:r>
    </w:p>
    <w:tbl>
      <w:tblPr>
        <w:tblW w:w="9089" w:type="dxa"/>
        <w:tblInd w:w="55" w:type="dxa"/>
        <w:tblCellMar>
          <w:left w:w="70" w:type="dxa"/>
          <w:right w:w="70" w:type="dxa"/>
        </w:tblCellMar>
        <w:tblLook w:val="04A0" w:firstRow="1" w:lastRow="0" w:firstColumn="1" w:lastColumn="0" w:noHBand="0" w:noVBand="1"/>
      </w:tblPr>
      <w:tblGrid>
        <w:gridCol w:w="2000"/>
        <w:gridCol w:w="3449"/>
        <w:gridCol w:w="3640"/>
      </w:tblGrid>
      <w:tr w:rsidR="0081462D" w:rsidRPr="00B6149E" w:rsidTr="0081462D">
        <w:trPr>
          <w:trHeight w:val="300"/>
        </w:trPr>
        <w:tc>
          <w:tcPr>
            <w:tcW w:w="2000" w:type="dxa"/>
            <w:tcBorders>
              <w:top w:val="nil"/>
              <w:left w:val="nil"/>
              <w:bottom w:val="single" w:sz="4" w:space="0" w:color="auto"/>
              <w:right w:val="nil"/>
            </w:tcBorders>
            <w:shd w:val="clear" w:color="000000" w:fill="D9D9D9"/>
            <w:vAlign w:val="center"/>
            <w:hideMark/>
          </w:tcPr>
          <w:p w:rsidR="0081462D" w:rsidRPr="00B6149E" w:rsidRDefault="0081462D" w:rsidP="0081462D">
            <w:pPr>
              <w:spacing w:after="0" w:line="240" w:lineRule="auto"/>
              <w:jc w:val="center"/>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Stupeň defoliácie</w:t>
            </w:r>
          </w:p>
        </w:tc>
        <w:tc>
          <w:tcPr>
            <w:tcW w:w="3449" w:type="dxa"/>
            <w:tcBorders>
              <w:top w:val="nil"/>
              <w:left w:val="nil"/>
              <w:bottom w:val="single" w:sz="4" w:space="0" w:color="auto"/>
              <w:right w:val="nil"/>
            </w:tcBorders>
            <w:shd w:val="clear" w:color="000000" w:fill="D9D9D9"/>
            <w:vAlign w:val="center"/>
            <w:hideMark/>
          </w:tcPr>
          <w:p w:rsidR="0081462D" w:rsidRPr="00B6149E" w:rsidRDefault="0081462D" w:rsidP="0081462D">
            <w:pPr>
              <w:spacing w:after="0" w:line="240" w:lineRule="auto"/>
              <w:jc w:val="center"/>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Strata asimilačných orgánov v %</w:t>
            </w:r>
          </w:p>
        </w:tc>
        <w:tc>
          <w:tcPr>
            <w:tcW w:w="3640" w:type="dxa"/>
            <w:tcBorders>
              <w:top w:val="nil"/>
              <w:left w:val="nil"/>
              <w:bottom w:val="single" w:sz="4" w:space="0" w:color="auto"/>
              <w:right w:val="nil"/>
            </w:tcBorders>
            <w:shd w:val="clear" w:color="000000" w:fill="D9D9D9"/>
            <w:vAlign w:val="center"/>
            <w:hideMark/>
          </w:tcPr>
          <w:p w:rsidR="0081462D" w:rsidRPr="00B6149E" w:rsidRDefault="0081462D" w:rsidP="0081462D">
            <w:pPr>
              <w:spacing w:after="0" w:line="240" w:lineRule="auto"/>
              <w:jc w:val="center"/>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Slovný popis stupňa defoliácie</w:t>
            </w:r>
          </w:p>
        </w:tc>
      </w:tr>
      <w:tr w:rsidR="0081462D" w:rsidRPr="00B6149E" w:rsidTr="0081462D">
        <w:trPr>
          <w:trHeight w:val="300"/>
        </w:trPr>
        <w:tc>
          <w:tcPr>
            <w:tcW w:w="2000" w:type="dxa"/>
            <w:tcBorders>
              <w:top w:val="nil"/>
              <w:left w:val="nil"/>
              <w:bottom w:val="nil"/>
              <w:right w:val="nil"/>
            </w:tcBorders>
            <w:shd w:val="clear" w:color="auto" w:fill="auto"/>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0</w:t>
            </w:r>
          </w:p>
        </w:tc>
        <w:tc>
          <w:tcPr>
            <w:tcW w:w="3449" w:type="dxa"/>
            <w:tcBorders>
              <w:top w:val="nil"/>
              <w:left w:val="nil"/>
              <w:bottom w:val="nil"/>
              <w:right w:val="nil"/>
            </w:tcBorders>
            <w:shd w:val="clear" w:color="auto" w:fill="auto"/>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0 – 10</w:t>
            </w:r>
          </w:p>
        </w:tc>
        <w:tc>
          <w:tcPr>
            <w:tcW w:w="3640" w:type="dxa"/>
            <w:tcBorders>
              <w:top w:val="nil"/>
              <w:left w:val="nil"/>
              <w:bottom w:val="nil"/>
              <w:right w:val="nil"/>
            </w:tcBorders>
            <w:shd w:val="clear" w:color="auto" w:fill="auto"/>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bez defoliácie</w:t>
            </w:r>
          </w:p>
        </w:tc>
      </w:tr>
      <w:tr w:rsidR="0081462D" w:rsidRPr="00B6149E" w:rsidTr="0081462D">
        <w:trPr>
          <w:trHeight w:val="300"/>
        </w:trPr>
        <w:tc>
          <w:tcPr>
            <w:tcW w:w="200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w:t>
            </w:r>
          </w:p>
        </w:tc>
        <w:tc>
          <w:tcPr>
            <w:tcW w:w="3449"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11 – 25</w:t>
            </w:r>
          </w:p>
        </w:tc>
        <w:tc>
          <w:tcPr>
            <w:tcW w:w="364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 xml:space="preserve">slabo </w:t>
            </w:r>
            <w:proofErr w:type="spellStart"/>
            <w:r w:rsidRPr="00B6149E">
              <w:rPr>
                <w:rFonts w:ascii="Times New Roman" w:eastAsia="Times New Roman" w:hAnsi="Times New Roman" w:cs="Times New Roman"/>
                <w:color w:val="000000"/>
                <w:sz w:val="20"/>
                <w:szCs w:val="20"/>
              </w:rPr>
              <w:t>defoliované</w:t>
            </w:r>
            <w:proofErr w:type="spellEnd"/>
          </w:p>
        </w:tc>
      </w:tr>
      <w:tr w:rsidR="0081462D" w:rsidRPr="00B6149E" w:rsidTr="0081462D">
        <w:trPr>
          <w:trHeight w:val="300"/>
        </w:trPr>
        <w:tc>
          <w:tcPr>
            <w:tcW w:w="2000" w:type="dxa"/>
            <w:tcBorders>
              <w:top w:val="nil"/>
              <w:left w:val="nil"/>
              <w:bottom w:val="nil"/>
              <w:right w:val="nil"/>
            </w:tcBorders>
            <w:shd w:val="clear" w:color="auto" w:fill="auto"/>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w:t>
            </w:r>
          </w:p>
        </w:tc>
        <w:tc>
          <w:tcPr>
            <w:tcW w:w="3449" w:type="dxa"/>
            <w:tcBorders>
              <w:top w:val="nil"/>
              <w:left w:val="nil"/>
              <w:bottom w:val="nil"/>
              <w:right w:val="nil"/>
            </w:tcBorders>
            <w:shd w:val="clear" w:color="auto" w:fill="auto"/>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26 – 60</w:t>
            </w:r>
          </w:p>
        </w:tc>
        <w:tc>
          <w:tcPr>
            <w:tcW w:w="3640" w:type="dxa"/>
            <w:tcBorders>
              <w:top w:val="nil"/>
              <w:left w:val="nil"/>
              <w:bottom w:val="nil"/>
              <w:right w:val="nil"/>
            </w:tcBorders>
            <w:shd w:val="clear" w:color="auto" w:fill="auto"/>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 xml:space="preserve">stredne </w:t>
            </w:r>
            <w:proofErr w:type="spellStart"/>
            <w:r w:rsidRPr="00B6149E">
              <w:rPr>
                <w:rFonts w:ascii="Times New Roman" w:eastAsia="Times New Roman" w:hAnsi="Times New Roman" w:cs="Times New Roman"/>
                <w:color w:val="000000"/>
                <w:sz w:val="20"/>
                <w:szCs w:val="20"/>
              </w:rPr>
              <w:t>defoliované</w:t>
            </w:r>
            <w:proofErr w:type="spellEnd"/>
          </w:p>
        </w:tc>
      </w:tr>
      <w:tr w:rsidR="0081462D" w:rsidRPr="00B6149E" w:rsidTr="0081462D">
        <w:trPr>
          <w:trHeight w:val="300"/>
        </w:trPr>
        <w:tc>
          <w:tcPr>
            <w:tcW w:w="200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w:t>
            </w:r>
          </w:p>
        </w:tc>
        <w:tc>
          <w:tcPr>
            <w:tcW w:w="3449"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61 – 99</w:t>
            </w:r>
          </w:p>
        </w:tc>
        <w:tc>
          <w:tcPr>
            <w:tcW w:w="364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 xml:space="preserve">silne </w:t>
            </w:r>
            <w:proofErr w:type="spellStart"/>
            <w:r w:rsidRPr="00B6149E">
              <w:rPr>
                <w:rFonts w:ascii="Times New Roman" w:eastAsia="Times New Roman" w:hAnsi="Times New Roman" w:cs="Times New Roman"/>
                <w:color w:val="000000"/>
                <w:sz w:val="20"/>
                <w:szCs w:val="20"/>
              </w:rPr>
              <w:t>defoliované</w:t>
            </w:r>
            <w:proofErr w:type="spellEnd"/>
          </w:p>
        </w:tc>
      </w:tr>
      <w:tr w:rsidR="0081462D" w:rsidRPr="00B6149E" w:rsidTr="0081462D">
        <w:trPr>
          <w:trHeight w:val="300"/>
        </w:trPr>
        <w:tc>
          <w:tcPr>
            <w:tcW w:w="2000" w:type="dxa"/>
            <w:tcBorders>
              <w:top w:val="nil"/>
              <w:left w:val="nil"/>
              <w:bottom w:val="single" w:sz="4" w:space="0" w:color="auto"/>
              <w:right w:val="nil"/>
            </w:tcBorders>
            <w:shd w:val="clear" w:color="auto" w:fill="auto"/>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4</w:t>
            </w:r>
          </w:p>
        </w:tc>
        <w:tc>
          <w:tcPr>
            <w:tcW w:w="3449" w:type="dxa"/>
            <w:tcBorders>
              <w:top w:val="nil"/>
              <w:left w:val="nil"/>
              <w:bottom w:val="single" w:sz="4" w:space="0" w:color="auto"/>
              <w:right w:val="nil"/>
            </w:tcBorders>
            <w:shd w:val="clear" w:color="auto" w:fill="auto"/>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100</w:t>
            </w:r>
          </w:p>
        </w:tc>
        <w:tc>
          <w:tcPr>
            <w:tcW w:w="3640" w:type="dxa"/>
            <w:tcBorders>
              <w:top w:val="nil"/>
              <w:left w:val="nil"/>
              <w:bottom w:val="single" w:sz="4" w:space="0" w:color="auto"/>
              <w:right w:val="nil"/>
            </w:tcBorders>
            <w:shd w:val="clear" w:color="auto" w:fill="auto"/>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odumierajúce a mŕtve</w:t>
            </w:r>
          </w:p>
        </w:tc>
      </w:tr>
    </w:tbl>
    <w:p w:rsidR="0081462D" w:rsidRPr="00C431FF" w:rsidRDefault="0081462D" w:rsidP="0081462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NLC-ÚLZI Zvolen</w:t>
      </w:r>
    </w:p>
    <w:p w:rsidR="00801F58" w:rsidRDefault="00801F58" w:rsidP="00801F58">
      <w:pPr>
        <w:spacing w:after="0" w:line="240" w:lineRule="auto"/>
        <w:jc w:val="both"/>
        <w:rPr>
          <w:rFonts w:ascii="Times New Roman" w:eastAsia="Calibri" w:hAnsi="Times New Roman"/>
          <w:sz w:val="24"/>
          <w:szCs w:val="24"/>
        </w:rPr>
      </w:pPr>
    </w:p>
    <w:p w:rsidR="00801F58" w:rsidRPr="00801F58" w:rsidRDefault="00801F58" w:rsidP="00801F58">
      <w:pPr>
        <w:spacing w:after="0" w:line="240" w:lineRule="auto"/>
        <w:jc w:val="both"/>
        <w:rPr>
          <w:rFonts w:ascii="Times New Roman" w:eastAsia="Calibri" w:hAnsi="Times New Roman"/>
          <w:sz w:val="24"/>
          <w:szCs w:val="24"/>
        </w:rPr>
      </w:pPr>
      <w:r w:rsidRPr="00801F58">
        <w:rPr>
          <w:rFonts w:ascii="Times New Roman" w:eastAsia="Calibri" w:hAnsi="Times New Roman"/>
          <w:sz w:val="24"/>
          <w:szCs w:val="24"/>
        </w:rPr>
        <w:t xml:space="preserve">V doterajšom priebehu monitoringu najmenej poškodzovanými drevinami na Slovensku boli dreviny hrab a buk. Najviac poškodenými drevinami (s najväčším podielom stromov v stupňoch defoliácie 2 – 4) sú každoročne ihličnaté dreviny, predovšetkým smrek, jedľa a borovica. Zdravotný stav smreka a jedle sa nezlepšuje ani v klimaticky priaznivých rokoch. </w:t>
      </w:r>
    </w:p>
    <w:p w:rsidR="00801F58" w:rsidRDefault="00801F58" w:rsidP="00BE691E">
      <w:pPr>
        <w:spacing w:after="0" w:line="240" w:lineRule="auto"/>
        <w:jc w:val="both"/>
        <w:rPr>
          <w:rFonts w:ascii="Times New Roman" w:eastAsia="Calibri" w:hAnsi="Times New Roman"/>
          <w:sz w:val="24"/>
          <w:szCs w:val="24"/>
        </w:rPr>
      </w:pPr>
    </w:p>
    <w:p w:rsidR="001D7716" w:rsidRPr="001D7716" w:rsidRDefault="00D6078B" w:rsidP="001D7716">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Tab. č. </w:t>
      </w:r>
      <w:r w:rsidR="00C970F8">
        <w:rPr>
          <w:rFonts w:ascii="Times New Roman" w:hAnsi="Times New Roman" w:cs="Times New Roman"/>
          <w:sz w:val="20"/>
          <w:szCs w:val="20"/>
        </w:rPr>
        <w:t>40</w:t>
      </w:r>
      <w:r w:rsidR="001D7716" w:rsidRPr="00A855A4">
        <w:rPr>
          <w:rFonts w:ascii="Times New Roman" w:hAnsi="Times New Roman" w:cs="Times New Roman"/>
          <w:sz w:val="20"/>
          <w:szCs w:val="20"/>
        </w:rPr>
        <w:t xml:space="preserve">: </w:t>
      </w:r>
      <w:r w:rsidR="001D7716">
        <w:rPr>
          <w:rFonts w:ascii="Times New Roman" w:hAnsi="Times New Roman" w:cs="Times New Roman"/>
          <w:sz w:val="20"/>
          <w:szCs w:val="20"/>
        </w:rPr>
        <w:tab/>
      </w:r>
      <w:r w:rsidR="001D7716" w:rsidRPr="001D7716">
        <w:rPr>
          <w:rFonts w:ascii="Times New Roman" w:hAnsi="Times New Roman" w:cs="Times New Roman"/>
          <w:sz w:val="20"/>
          <w:szCs w:val="20"/>
        </w:rPr>
        <w:t>Percentuálne zastúpenie jednotlivých druhov drevín v stupňoch defoliácie</w:t>
      </w:r>
    </w:p>
    <w:tbl>
      <w:tblPr>
        <w:tblW w:w="9050" w:type="dxa"/>
        <w:tblInd w:w="55" w:type="dxa"/>
        <w:tblLayout w:type="fixed"/>
        <w:tblCellMar>
          <w:left w:w="70" w:type="dxa"/>
          <w:right w:w="70" w:type="dxa"/>
        </w:tblCellMar>
        <w:tblLook w:val="04A0" w:firstRow="1" w:lastRow="0" w:firstColumn="1" w:lastColumn="0" w:noHBand="0" w:noVBand="1"/>
      </w:tblPr>
      <w:tblGrid>
        <w:gridCol w:w="1716"/>
        <w:gridCol w:w="960"/>
        <w:gridCol w:w="960"/>
        <w:gridCol w:w="960"/>
        <w:gridCol w:w="960"/>
        <w:gridCol w:w="980"/>
        <w:gridCol w:w="960"/>
        <w:gridCol w:w="761"/>
        <w:gridCol w:w="793"/>
      </w:tblGrid>
      <w:tr w:rsidR="0081462D" w:rsidRPr="00B6149E" w:rsidTr="001D7716">
        <w:trPr>
          <w:trHeight w:val="300"/>
        </w:trPr>
        <w:tc>
          <w:tcPr>
            <w:tcW w:w="1716" w:type="dxa"/>
            <w:vMerge w:val="restart"/>
            <w:tcBorders>
              <w:top w:val="nil"/>
              <w:left w:val="nil"/>
              <w:bottom w:val="single" w:sz="4" w:space="0" w:color="000000"/>
              <w:right w:val="single" w:sz="4" w:space="0" w:color="auto"/>
            </w:tcBorders>
            <w:shd w:val="clear" w:color="000000" w:fill="D9D9D9"/>
            <w:vAlign w:val="center"/>
            <w:hideMark/>
          </w:tcPr>
          <w:p w:rsidR="0081462D" w:rsidRPr="00B6149E" w:rsidRDefault="0081462D" w:rsidP="0081462D">
            <w:pPr>
              <w:spacing w:after="0" w:line="240" w:lineRule="auto"/>
              <w:jc w:val="center"/>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Dreviny</w:t>
            </w:r>
          </w:p>
        </w:tc>
        <w:tc>
          <w:tcPr>
            <w:tcW w:w="7334" w:type="dxa"/>
            <w:gridSpan w:val="8"/>
            <w:tcBorders>
              <w:top w:val="nil"/>
              <w:left w:val="nil"/>
              <w:bottom w:val="single" w:sz="4" w:space="0" w:color="auto"/>
              <w:right w:val="nil"/>
            </w:tcBorders>
            <w:shd w:val="clear" w:color="000000" w:fill="D9D9D9"/>
            <w:vAlign w:val="center"/>
            <w:hideMark/>
          </w:tcPr>
          <w:p w:rsidR="0081462D" w:rsidRPr="00B6149E" w:rsidRDefault="0081462D" w:rsidP="0081462D">
            <w:pPr>
              <w:spacing w:after="0" w:line="240" w:lineRule="auto"/>
              <w:jc w:val="center"/>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Stupeň defoliácie</w:t>
            </w:r>
          </w:p>
        </w:tc>
      </w:tr>
      <w:tr w:rsidR="0081462D" w:rsidRPr="00B6149E" w:rsidTr="001D7716">
        <w:trPr>
          <w:trHeight w:val="300"/>
        </w:trPr>
        <w:tc>
          <w:tcPr>
            <w:tcW w:w="1716" w:type="dxa"/>
            <w:vMerge/>
            <w:tcBorders>
              <w:top w:val="nil"/>
              <w:left w:val="nil"/>
              <w:bottom w:val="single" w:sz="4" w:space="0" w:color="000000"/>
              <w:right w:val="single" w:sz="4" w:space="0" w:color="auto"/>
            </w:tcBorders>
            <w:vAlign w:val="center"/>
            <w:hideMark/>
          </w:tcPr>
          <w:p w:rsidR="0081462D" w:rsidRPr="00B6149E" w:rsidRDefault="0081462D" w:rsidP="0081462D">
            <w:pPr>
              <w:spacing w:after="0" w:line="240" w:lineRule="auto"/>
              <w:rPr>
                <w:rFonts w:ascii="Times New Roman" w:eastAsia="Times New Roman" w:hAnsi="Times New Roman" w:cs="Times New Roman"/>
                <w:b/>
                <w:bCs/>
                <w:color w:val="000000"/>
                <w:sz w:val="20"/>
                <w:szCs w:val="20"/>
              </w:rPr>
            </w:pPr>
          </w:p>
        </w:tc>
        <w:tc>
          <w:tcPr>
            <w:tcW w:w="960" w:type="dxa"/>
            <w:tcBorders>
              <w:top w:val="nil"/>
              <w:left w:val="nil"/>
              <w:bottom w:val="single" w:sz="4" w:space="0" w:color="auto"/>
              <w:right w:val="nil"/>
            </w:tcBorders>
            <w:shd w:val="clear" w:color="000000" w:fill="D9D9D9"/>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000000" w:fill="D9D9D9"/>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nil"/>
            </w:tcBorders>
            <w:shd w:val="clear" w:color="000000" w:fill="D9D9D9"/>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nil"/>
            </w:tcBorders>
            <w:shd w:val="clear" w:color="000000" w:fill="D9D9D9"/>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w:t>
            </w:r>
          </w:p>
        </w:tc>
        <w:tc>
          <w:tcPr>
            <w:tcW w:w="980" w:type="dxa"/>
            <w:tcBorders>
              <w:top w:val="nil"/>
              <w:left w:val="nil"/>
              <w:bottom w:val="single" w:sz="4" w:space="0" w:color="auto"/>
              <w:right w:val="single" w:sz="4" w:space="0" w:color="auto"/>
            </w:tcBorders>
            <w:shd w:val="clear" w:color="000000" w:fill="D9D9D9"/>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4</w:t>
            </w:r>
          </w:p>
        </w:tc>
        <w:tc>
          <w:tcPr>
            <w:tcW w:w="960" w:type="dxa"/>
            <w:vMerge w:val="restart"/>
            <w:tcBorders>
              <w:top w:val="nil"/>
              <w:left w:val="nil"/>
              <w:bottom w:val="single" w:sz="4" w:space="0" w:color="000000"/>
              <w:right w:val="nil"/>
            </w:tcBorders>
            <w:shd w:val="clear" w:color="000000" w:fill="D9D9D9"/>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1+2+3+4</w:t>
            </w:r>
          </w:p>
        </w:tc>
        <w:tc>
          <w:tcPr>
            <w:tcW w:w="761" w:type="dxa"/>
            <w:vMerge w:val="restart"/>
            <w:tcBorders>
              <w:top w:val="nil"/>
              <w:left w:val="nil"/>
              <w:bottom w:val="single" w:sz="4" w:space="0" w:color="000000"/>
              <w:right w:val="nil"/>
            </w:tcBorders>
            <w:shd w:val="clear" w:color="000000" w:fill="D9D9D9"/>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2+3+4</w:t>
            </w:r>
          </w:p>
        </w:tc>
        <w:tc>
          <w:tcPr>
            <w:tcW w:w="793" w:type="dxa"/>
            <w:vMerge w:val="restart"/>
            <w:tcBorders>
              <w:top w:val="nil"/>
              <w:left w:val="nil"/>
              <w:bottom w:val="single" w:sz="4" w:space="0" w:color="000000"/>
              <w:right w:val="nil"/>
            </w:tcBorders>
            <w:shd w:val="clear" w:color="000000" w:fill="D9D9D9"/>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Spolu</w:t>
            </w:r>
          </w:p>
        </w:tc>
      </w:tr>
      <w:tr w:rsidR="0081462D" w:rsidRPr="00B6149E" w:rsidTr="001D7716">
        <w:trPr>
          <w:trHeight w:val="300"/>
        </w:trPr>
        <w:tc>
          <w:tcPr>
            <w:tcW w:w="1716" w:type="dxa"/>
            <w:vMerge/>
            <w:tcBorders>
              <w:top w:val="nil"/>
              <w:left w:val="nil"/>
              <w:bottom w:val="single" w:sz="4" w:space="0" w:color="000000"/>
              <w:right w:val="single" w:sz="4" w:space="0" w:color="auto"/>
            </w:tcBorders>
            <w:vAlign w:val="center"/>
            <w:hideMark/>
          </w:tcPr>
          <w:p w:rsidR="0081462D" w:rsidRPr="00B6149E" w:rsidRDefault="0081462D" w:rsidP="0081462D">
            <w:pPr>
              <w:spacing w:after="0" w:line="240" w:lineRule="auto"/>
              <w:rPr>
                <w:rFonts w:ascii="Times New Roman" w:eastAsia="Times New Roman" w:hAnsi="Times New Roman" w:cs="Times New Roman"/>
                <w:b/>
                <w:bCs/>
                <w:color w:val="000000"/>
                <w:sz w:val="20"/>
                <w:szCs w:val="20"/>
              </w:rPr>
            </w:pPr>
          </w:p>
        </w:tc>
        <w:tc>
          <w:tcPr>
            <w:tcW w:w="4820" w:type="dxa"/>
            <w:gridSpan w:val="5"/>
            <w:tcBorders>
              <w:top w:val="nil"/>
              <w:left w:val="nil"/>
              <w:bottom w:val="nil"/>
              <w:right w:val="single" w:sz="4" w:space="0" w:color="000000"/>
            </w:tcBorders>
            <w:shd w:val="clear" w:color="000000" w:fill="D9D9D9"/>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 defoliácie</w:t>
            </w:r>
          </w:p>
        </w:tc>
        <w:tc>
          <w:tcPr>
            <w:tcW w:w="960" w:type="dxa"/>
            <w:vMerge/>
            <w:tcBorders>
              <w:top w:val="nil"/>
              <w:left w:val="nil"/>
              <w:bottom w:val="single" w:sz="4" w:space="0" w:color="000000"/>
              <w:right w:val="nil"/>
            </w:tcBorders>
            <w:vAlign w:val="center"/>
            <w:hideMark/>
          </w:tcPr>
          <w:p w:rsidR="0081462D" w:rsidRPr="00B6149E" w:rsidRDefault="0081462D" w:rsidP="0081462D">
            <w:pPr>
              <w:spacing w:after="0" w:line="240" w:lineRule="auto"/>
              <w:rPr>
                <w:rFonts w:ascii="Times New Roman" w:eastAsia="Times New Roman" w:hAnsi="Times New Roman" w:cs="Times New Roman"/>
                <w:color w:val="000000"/>
                <w:sz w:val="20"/>
                <w:szCs w:val="20"/>
              </w:rPr>
            </w:pPr>
          </w:p>
        </w:tc>
        <w:tc>
          <w:tcPr>
            <w:tcW w:w="761" w:type="dxa"/>
            <w:vMerge/>
            <w:tcBorders>
              <w:top w:val="nil"/>
              <w:left w:val="nil"/>
              <w:bottom w:val="single" w:sz="4" w:space="0" w:color="000000"/>
              <w:right w:val="nil"/>
            </w:tcBorders>
            <w:vAlign w:val="center"/>
            <w:hideMark/>
          </w:tcPr>
          <w:p w:rsidR="0081462D" w:rsidRPr="00B6149E" w:rsidRDefault="0081462D" w:rsidP="0081462D">
            <w:pPr>
              <w:spacing w:after="0" w:line="240" w:lineRule="auto"/>
              <w:rPr>
                <w:rFonts w:ascii="Times New Roman" w:eastAsia="Times New Roman" w:hAnsi="Times New Roman" w:cs="Times New Roman"/>
                <w:color w:val="000000"/>
                <w:sz w:val="20"/>
                <w:szCs w:val="20"/>
              </w:rPr>
            </w:pPr>
          </w:p>
        </w:tc>
        <w:tc>
          <w:tcPr>
            <w:tcW w:w="793" w:type="dxa"/>
            <w:vMerge/>
            <w:tcBorders>
              <w:top w:val="nil"/>
              <w:left w:val="nil"/>
              <w:bottom w:val="single" w:sz="4" w:space="0" w:color="000000"/>
              <w:right w:val="nil"/>
            </w:tcBorders>
            <w:vAlign w:val="center"/>
            <w:hideMark/>
          </w:tcPr>
          <w:p w:rsidR="0081462D" w:rsidRPr="00B6149E" w:rsidRDefault="0081462D" w:rsidP="0081462D">
            <w:pPr>
              <w:spacing w:after="0" w:line="240" w:lineRule="auto"/>
              <w:rPr>
                <w:rFonts w:ascii="Times New Roman" w:eastAsia="Times New Roman" w:hAnsi="Times New Roman" w:cs="Times New Roman"/>
                <w:color w:val="000000"/>
                <w:sz w:val="20"/>
                <w:szCs w:val="20"/>
              </w:rPr>
            </w:pPr>
          </w:p>
        </w:tc>
      </w:tr>
      <w:tr w:rsidR="0081462D" w:rsidRPr="00B6149E" w:rsidTr="001D7716">
        <w:trPr>
          <w:trHeight w:val="300"/>
        </w:trPr>
        <w:tc>
          <w:tcPr>
            <w:tcW w:w="1716" w:type="dxa"/>
            <w:vMerge/>
            <w:tcBorders>
              <w:top w:val="nil"/>
              <w:left w:val="nil"/>
              <w:bottom w:val="single" w:sz="4" w:space="0" w:color="000000"/>
              <w:right w:val="single" w:sz="4" w:space="0" w:color="auto"/>
            </w:tcBorders>
            <w:vAlign w:val="center"/>
            <w:hideMark/>
          </w:tcPr>
          <w:p w:rsidR="0081462D" w:rsidRPr="00B6149E" w:rsidRDefault="0081462D" w:rsidP="0081462D">
            <w:pPr>
              <w:spacing w:after="0" w:line="240" w:lineRule="auto"/>
              <w:rPr>
                <w:rFonts w:ascii="Times New Roman" w:eastAsia="Times New Roman" w:hAnsi="Times New Roman" w:cs="Times New Roman"/>
                <w:b/>
                <w:bCs/>
                <w:color w:val="000000"/>
                <w:sz w:val="20"/>
                <w:szCs w:val="20"/>
              </w:rPr>
            </w:pPr>
          </w:p>
        </w:tc>
        <w:tc>
          <w:tcPr>
            <w:tcW w:w="960" w:type="dxa"/>
            <w:tcBorders>
              <w:top w:val="nil"/>
              <w:left w:val="nil"/>
              <w:bottom w:val="single" w:sz="4" w:space="0" w:color="auto"/>
              <w:right w:val="nil"/>
            </w:tcBorders>
            <w:shd w:val="clear" w:color="000000" w:fill="D9D9D9"/>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 xml:space="preserve">0 – 10 % </w:t>
            </w:r>
          </w:p>
        </w:tc>
        <w:tc>
          <w:tcPr>
            <w:tcW w:w="960" w:type="dxa"/>
            <w:tcBorders>
              <w:top w:val="nil"/>
              <w:left w:val="nil"/>
              <w:bottom w:val="single" w:sz="4" w:space="0" w:color="auto"/>
              <w:right w:val="nil"/>
            </w:tcBorders>
            <w:shd w:val="clear" w:color="000000" w:fill="D9D9D9"/>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 xml:space="preserve">11 – 25 % </w:t>
            </w:r>
          </w:p>
        </w:tc>
        <w:tc>
          <w:tcPr>
            <w:tcW w:w="960" w:type="dxa"/>
            <w:tcBorders>
              <w:top w:val="nil"/>
              <w:left w:val="nil"/>
              <w:bottom w:val="single" w:sz="4" w:space="0" w:color="auto"/>
              <w:right w:val="nil"/>
            </w:tcBorders>
            <w:shd w:val="clear" w:color="000000" w:fill="D9D9D9"/>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 xml:space="preserve">26 – 60 % </w:t>
            </w:r>
          </w:p>
        </w:tc>
        <w:tc>
          <w:tcPr>
            <w:tcW w:w="960" w:type="dxa"/>
            <w:tcBorders>
              <w:top w:val="nil"/>
              <w:left w:val="nil"/>
              <w:bottom w:val="single" w:sz="4" w:space="0" w:color="auto"/>
              <w:right w:val="nil"/>
            </w:tcBorders>
            <w:shd w:val="clear" w:color="000000" w:fill="D9D9D9"/>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 xml:space="preserve">61 – 99 % </w:t>
            </w:r>
          </w:p>
        </w:tc>
        <w:tc>
          <w:tcPr>
            <w:tcW w:w="980" w:type="dxa"/>
            <w:tcBorders>
              <w:top w:val="nil"/>
              <w:left w:val="nil"/>
              <w:bottom w:val="single" w:sz="4" w:space="0" w:color="auto"/>
              <w:right w:val="single" w:sz="4" w:space="0" w:color="auto"/>
            </w:tcBorders>
            <w:shd w:val="clear" w:color="000000" w:fill="D9D9D9"/>
            <w:vAlign w:val="center"/>
            <w:hideMark/>
          </w:tcPr>
          <w:p w:rsidR="0081462D" w:rsidRPr="00B6149E" w:rsidRDefault="0081462D" w:rsidP="0081462D">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100%</w:t>
            </w:r>
          </w:p>
        </w:tc>
        <w:tc>
          <w:tcPr>
            <w:tcW w:w="960" w:type="dxa"/>
            <w:vMerge/>
            <w:tcBorders>
              <w:top w:val="nil"/>
              <w:left w:val="nil"/>
              <w:bottom w:val="single" w:sz="4" w:space="0" w:color="000000"/>
              <w:right w:val="nil"/>
            </w:tcBorders>
            <w:vAlign w:val="center"/>
            <w:hideMark/>
          </w:tcPr>
          <w:p w:rsidR="0081462D" w:rsidRPr="00B6149E" w:rsidRDefault="0081462D" w:rsidP="0081462D">
            <w:pPr>
              <w:spacing w:after="0" w:line="240" w:lineRule="auto"/>
              <w:rPr>
                <w:rFonts w:ascii="Times New Roman" w:eastAsia="Times New Roman" w:hAnsi="Times New Roman" w:cs="Times New Roman"/>
                <w:color w:val="000000"/>
                <w:sz w:val="20"/>
                <w:szCs w:val="20"/>
              </w:rPr>
            </w:pPr>
          </w:p>
        </w:tc>
        <w:tc>
          <w:tcPr>
            <w:tcW w:w="761" w:type="dxa"/>
            <w:vMerge/>
            <w:tcBorders>
              <w:top w:val="nil"/>
              <w:left w:val="nil"/>
              <w:bottom w:val="single" w:sz="4" w:space="0" w:color="000000"/>
              <w:right w:val="nil"/>
            </w:tcBorders>
            <w:vAlign w:val="center"/>
            <w:hideMark/>
          </w:tcPr>
          <w:p w:rsidR="0081462D" w:rsidRPr="00B6149E" w:rsidRDefault="0081462D" w:rsidP="0081462D">
            <w:pPr>
              <w:spacing w:after="0" w:line="240" w:lineRule="auto"/>
              <w:rPr>
                <w:rFonts w:ascii="Times New Roman" w:eastAsia="Times New Roman" w:hAnsi="Times New Roman" w:cs="Times New Roman"/>
                <w:color w:val="000000"/>
                <w:sz w:val="20"/>
                <w:szCs w:val="20"/>
              </w:rPr>
            </w:pPr>
          </w:p>
        </w:tc>
        <w:tc>
          <w:tcPr>
            <w:tcW w:w="793" w:type="dxa"/>
            <w:vMerge/>
            <w:tcBorders>
              <w:top w:val="nil"/>
              <w:left w:val="nil"/>
              <w:bottom w:val="single" w:sz="4" w:space="0" w:color="000000"/>
              <w:right w:val="nil"/>
            </w:tcBorders>
            <w:vAlign w:val="center"/>
            <w:hideMark/>
          </w:tcPr>
          <w:p w:rsidR="0081462D" w:rsidRPr="00B6149E" w:rsidRDefault="0081462D" w:rsidP="0081462D">
            <w:pPr>
              <w:spacing w:after="0" w:line="240" w:lineRule="auto"/>
              <w:rPr>
                <w:rFonts w:ascii="Times New Roman" w:eastAsia="Times New Roman" w:hAnsi="Times New Roman" w:cs="Times New Roman"/>
                <w:color w:val="000000"/>
                <w:sz w:val="20"/>
                <w:szCs w:val="20"/>
              </w:rPr>
            </w:pPr>
          </w:p>
        </w:tc>
      </w:tr>
      <w:tr w:rsidR="0081462D" w:rsidRPr="00B6149E" w:rsidTr="001D7716">
        <w:trPr>
          <w:trHeight w:val="300"/>
        </w:trPr>
        <w:tc>
          <w:tcPr>
            <w:tcW w:w="1716" w:type="dxa"/>
            <w:tcBorders>
              <w:top w:val="nil"/>
              <w:left w:val="nil"/>
              <w:bottom w:val="nil"/>
              <w:right w:val="single" w:sz="4" w:space="0" w:color="auto"/>
            </w:tcBorders>
            <w:shd w:val="clear" w:color="000000" w:fill="FFFFFF"/>
            <w:vAlign w:val="center"/>
            <w:hideMark/>
          </w:tcPr>
          <w:p w:rsidR="0081462D" w:rsidRPr="00B6149E" w:rsidRDefault="0081462D" w:rsidP="0081462D">
            <w:pPr>
              <w:spacing w:after="0" w:line="240" w:lineRule="auto"/>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Buk</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15,2</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61,1</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23,2</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0,5</w:t>
            </w:r>
          </w:p>
        </w:tc>
        <w:tc>
          <w:tcPr>
            <w:tcW w:w="980" w:type="dxa"/>
            <w:tcBorders>
              <w:top w:val="nil"/>
              <w:left w:val="nil"/>
              <w:bottom w:val="nil"/>
              <w:right w:val="single" w:sz="4" w:space="0" w:color="auto"/>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84,8</w:t>
            </w:r>
          </w:p>
        </w:tc>
        <w:tc>
          <w:tcPr>
            <w:tcW w:w="761"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23,7</w:t>
            </w:r>
          </w:p>
        </w:tc>
        <w:tc>
          <w:tcPr>
            <w:tcW w:w="793"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1326</w:t>
            </w:r>
          </w:p>
        </w:tc>
      </w:tr>
      <w:tr w:rsidR="0081462D" w:rsidRPr="00B6149E" w:rsidTr="001D7716">
        <w:trPr>
          <w:trHeight w:val="300"/>
        </w:trPr>
        <w:tc>
          <w:tcPr>
            <w:tcW w:w="1716" w:type="dxa"/>
            <w:tcBorders>
              <w:top w:val="nil"/>
              <w:left w:val="nil"/>
              <w:bottom w:val="nil"/>
              <w:right w:val="single" w:sz="4" w:space="0" w:color="auto"/>
            </w:tcBorders>
            <w:shd w:val="clear" w:color="000000" w:fill="F2F2F2"/>
            <w:vAlign w:val="center"/>
            <w:hideMark/>
          </w:tcPr>
          <w:p w:rsidR="0081462D" w:rsidRPr="00B6149E" w:rsidRDefault="0081462D" w:rsidP="0081462D">
            <w:pPr>
              <w:spacing w:after="0" w:line="240" w:lineRule="auto"/>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Dub</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2,8</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60,2</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36,6</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0,4</w:t>
            </w:r>
          </w:p>
        </w:tc>
        <w:tc>
          <w:tcPr>
            <w:tcW w:w="980" w:type="dxa"/>
            <w:tcBorders>
              <w:top w:val="nil"/>
              <w:left w:val="nil"/>
              <w:bottom w:val="nil"/>
              <w:right w:val="single" w:sz="4" w:space="0" w:color="auto"/>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97,2</w:t>
            </w:r>
          </w:p>
        </w:tc>
        <w:tc>
          <w:tcPr>
            <w:tcW w:w="761"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37</w:t>
            </w:r>
          </w:p>
        </w:tc>
        <w:tc>
          <w:tcPr>
            <w:tcW w:w="793"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527</w:t>
            </w:r>
          </w:p>
        </w:tc>
      </w:tr>
      <w:tr w:rsidR="0081462D" w:rsidRPr="00B6149E" w:rsidTr="001D7716">
        <w:trPr>
          <w:trHeight w:val="300"/>
        </w:trPr>
        <w:tc>
          <w:tcPr>
            <w:tcW w:w="1716" w:type="dxa"/>
            <w:tcBorders>
              <w:top w:val="nil"/>
              <w:left w:val="nil"/>
              <w:bottom w:val="nil"/>
              <w:right w:val="single" w:sz="4" w:space="0" w:color="auto"/>
            </w:tcBorders>
            <w:shd w:val="clear" w:color="000000" w:fill="FFFFFF"/>
            <w:vAlign w:val="center"/>
            <w:hideMark/>
          </w:tcPr>
          <w:p w:rsidR="0081462D" w:rsidRPr="00B6149E" w:rsidRDefault="0081462D" w:rsidP="0081462D">
            <w:pPr>
              <w:spacing w:after="0" w:line="240" w:lineRule="auto"/>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Hrab</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28,9</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65,1</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0</w:t>
            </w:r>
          </w:p>
        </w:tc>
        <w:tc>
          <w:tcPr>
            <w:tcW w:w="980" w:type="dxa"/>
            <w:tcBorders>
              <w:top w:val="nil"/>
              <w:left w:val="nil"/>
              <w:bottom w:val="nil"/>
              <w:right w:val="single" w:sz="4" w:space="0" w:color="auto"/>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71,1</w:t>
            </w:r>
          </w:p>
        </w:tc>
        <w:tc>
          <w:tcPr>
            <w:tcW w:w="761"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6</w:t>
            </w:r>
          </w:p>
        </w:tc>
        <w:tc>
          <w:tcPr>
            <w:tcW w:w="793"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232</w:t>
            </w:r>
          </w:p>
        </w:tc>
      </w:tr>
      <w:tr w:rsidR="0081462D" w:rsidRPr="00B6149E" w:rsidTr="001D7716">
        <w:trPr>
          <w:trHeight w:val="300"/>
        </w:trPr>
        <w:tc>
          <w:tcPr>
            <w:tcW w:w="1716" w:type="dxa"/>
            <w:tcBorders>
              <w:top w:val="nil"/>
              <w:left w:val="nil"/>
              <w:bottom w:val="nil"/>
              <w:right w:val="single" w:sz="4" w:space="0" w:color="auto"/>
            </w:tcBorders>
            <w:shd w:val="clear" w:color="000000" w:fill="F2F2F2"/>
            <w:vAlign w:val="center"/>
            <w:hideMark/>
          </w:tcPr>
          <w:p w:rsidR="0081462D" w:rsidRPr="00B6149E" w:rsidRDefault="0081462D" w:rsidP="0081462D">
            <w:pPr>
              <w:spacing w:after="0" w:line="240" w:lineRule="auto"/>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Ostatné listnaté</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5,5</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58,1</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35,3</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0,7</w:t>
            </w:r>
          </w:p>
        </w:tc>
        <w:tc>
          <w:tcPr>
            <w:tcW w:w="980" w:type="dxa"/>
            <w:tcBorders>
              <w:top w:val="nil"/>
              <w:left w:val="nil"/>
              <w:bottom w:val="nil"/>
              <w:right w:val="single" w:sz="4" w:space="0" w:color="auto"/>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0,4</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94,5</w:t>
            </w:r>
          </w:p>
        </w:tc>
        <w:tc>
          <w:tcPr>
            <w:tcW w:w="761"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36,4</w:t>
            </w:r>
          </w:p>
        </w:tc>
        <w:tc>
          <w:tcPr>
            <w:tcW w:w="793"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275</w:t>
            </w:r>
          </w:p>
        </w:tc>
      </w:tr>
      <w:tr w:rsidR="0081462D" w:rsidRPr="00B6149E" w:rsidTr="001D7716">
        <w:trPr>
          <w:trHeight w:val="300"/>
        </w:trPr>
        <w:tc>
          <w:tcPr>
            <w:tcW w:w="1716" w:type="dxa"/>
            <w:tcBorders>
              <w:top w:val="nil"/>
              <w:left w:val="nil"/>
              <w:bottom w:val="nil"/>
              <w:right w:val="single" w:sz="4" w:space="0" w:color="auto"/>
            </w:tcBorders>
            <w:shd w:val="clear" w:color="000000" w:fill="FFFFFF"/>
            <w:vAlign w:val="center"/>
            <w:hideMark/>
          </w:tcPr>
          <w:p w:rsidR="0081462D" w:rsidRPr="00B6149E" w:rsidRDefault="0081462D" w:rsidP="0081462D">
            <w:pPr>
              <w:spacing w:after="0" w:line="240" w:lineRule="auto"/>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Listnaté spolu</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12,7</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60,9</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25,9</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0,5</w:t>
            </w:r>
          </w:p>
        </w:tc>
        <w:tc>
          <w:tcPr>
            <w:tcW w:w="980" w:type="dxa"/>
            <w:tcBorders>
              <w:top w:val="nil"/>
              <w:left w:val="nil"/>
              <w:bottom w:val="nil"/>
              <w:right w:val="single" w:sz="4" w:space="0" w:color="auto"/>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87,3</w:t>
            </w:r>
          </w:p>
        </w:tc>
        <w:tc>
          <w:tcPr>
            <w:tcW w:w="761"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26,4</w:t>
            </w:r>
          </w:p>
        </w:tc>
        <w:tc>
          <w:tcPr>
            <w:tcW w:w="793"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2360</w:t>
            </w:r>
          </w:p>
        </w:tc>
      </w:tr>
      <w:tr w:rsidR="0081462D" w:rsidRPr="00B6149E" w:rsidTr="001D7716">
        <w:trPr>
          <w:trHeight w:val="300"/>
        </w:trPr>
        <w:tc>
          <w:tcPr>
            <w:tcW w:w="1716" w:type="dxa"/>
            <w:tcBorders>
              <w:top w:val="nil"/>
              <w:left w:val="nil"/>
              <w:bottom w:val="nil"/>
              <w:right w:val="single" w:sz="4" w:space="0" w:color="auto"/>
            </w:tcBorders>
            <w:shd w:val="clear" w:color="000000" w:fill="F2F2F2"/>
            <w:vAlign w:val="center"/>
            <w:hideMark/>
          </w:tcPr>
          <w:p w:rsidR="0081462D" w:rsidRPr="00B6149E" w:rsidRDefault="0081462D" w:rsidP="0081462D">
            <w:pPr>
              <w:spacing w:after="0" w:line="240" w:lineRule="auto"/>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Smrek</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4,4</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47,2</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44</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0,7</w:t>
            </w:r>
          </w:p>
        </w:tc>
        <w:tc>
          <w:tcPr>
            <w:tcW w:w="980" w:type="dxa"/>
            <w:tcBorders>
              <w:top w:val="nil"/>
              <w:left w:val="nil"/>
              <w:bottom w:val="nil"/>
              <w:right w:val="single" w:sz="4" w:space="0" w:color="auto"/>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3,7</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95,6</w:t>
            </w:r>
          </w:p>
        </w:tc>
        <w:tc>
          <w:tcPr>
            <w:tcW w:w="761"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48,4</w:t>
            </w:r>
          </w:p>
        </w:tc>
        <w:tc>
          <w:tcPr>
            <w:tcW w:w="793"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1046</w:t>
            </w:r>
          </w:p>
        </w:tc>
      </w:tr>
      <w:tr w:rsidR="0081462D" w:rsidRPr="00B6149E" w:rsidTr="001D7716">
        <w:trPr>
          <w:trHeight w:val="300"/>
        </w:trPr>
        <w:tc>
          <w:tcPr>
            <w:tcW w:w="1716" w:type="dxa"/>
            <w:tcBorders>
              <w:top w:val="nil"/>
              <w:left w:val="nil"/>
              <w:bottom w:val="nil"/>
              <w:right w:val="single" w:sz="4" w:space="0" w:color="auto"/>
            </w:tcBorders>
            <w:shd w:val="clear" w:color="000000" w:fill="FFFFFF"/>
            <w:vAlign w:val="center"/>
            <w:hideMark/>
          </w:tcPr>
          <w:p w:rsidR="0081462D" w:rsidRPr="00B6149E" w:rsidRDefault="0081462D" w:rsidP="0081462D">
            <w:pPr>
              <w:spacing w:after="0" w:line="240" w:lineRule="auto"/>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Jedľa</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5,3</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51,4</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42,1</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1,2</w:t>
            </w:r>
          </w:p>
        </w:tc>
        <w:tc>
          <w:tcPr>
            <w:tcW w:w="980" w:type="dxa"/>
            <w:tcBorders>
              <w:top w:val="nil"/>
              <w:left w:val="nil"/>
              <w:bottom w:val="nil"/>
              <w:right w:val="single" w:sz="4" w:space="0" w:color="auto"/>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94,7</w:t>
            </w:r>
          </w:p>
        </w:tc>
        <w:tc>
          <w:tcPr>
            <w:tcW w:w="761"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43,3</w:t>
            </w:r>
          </w:p>
        </w:tc>
        <w:tc>
          <w:tcPr>
            <w:tcW w:w="793"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171</w:t>
            </w:r>
          </w:p>
        </w:tc>
      </w:tr>
      <w:tr w:rsidR="0081462D" w:rsidRPr="00B6149E" w:rsidTr="001D7716">
        <w:trPr>
          <w:trHeight w:val="300"/>
        </w:trPr>
        <w:tc>
          <w:tcPr>
            <w:tcW w:w="1716" w:type="dxa"/>
            <w:tcBorders>
              <w:top w:val="nil"/>
              <w:left w:val="nil"/>
              <w:bottom w:val="nil"/>
              <w:right w:val="single" w:sz="4" w:space="0" w:color="auto"/>
            </w:tcBorders>
            <w:shd w:val="clear" w:color="000000" w:fill="F2F2F2"/>
            <w:vAlign w:val="center"/>
            <w:hideMark/>
          </w:tcPr>
          <w:p w:rsidR="0081462D" w:rsidRPr="00B6149E" w:rsidRDefault="0081462D" w:rsidP="0081462D">
            <w:pPr>
              <w:spacing w:after="0" w:line="240" w:lineRule="auto"/>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Borovica</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3,8</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51,8</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42,5</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1,9</w:t>
            </w:r>
          </w:p>
        </w:tc>
        <w:tc>
          <w:tcPr>
            <w:tcW w:w="980" w:type="dxa"/>
            <w:tcBorders>
              <w:top w:val="nil"/>
              <w:left w:val="nil"/>
              <w:bottom w:val="nil"/>
              <w:right w:val="single" w:sz="4" w:space="0" w:color="auto"/>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96,2</w:t>
            </w:r>
          </w:p>
        </w:tc>
        <w:tc>
          <w:tcPr>
            <w:tcW w:w="761"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44,4</w:t>
            </w:r>
          </w:p>
        </w:tc>
        <w:tc>
          <w:tcPr>
            <w:tcW w:w="793"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372</w:t>
            </w:r>
          </w:p>
        </w:tc>
      </w:tr>
      <w:tr w:rsidR="0081462D" w:rsidRPr="00B6149E" w:rsidTr="001D7716">
        <w:trPr>
          <w:trHeight w:val="300"/>
        </w:trPr>
        <w:tc>
          <w:tcPr>
            <w:tcW w:w="1716" w:type="dxa"/>
            <w:tcBorders>
              <w:top w:val="nil"/>
              <w:left w:val="nil"/>
              <w:bottom w:val="nil"/>
              <w:right w:val="single" w:sz="4" w:space="0" w:color="auto"/>
            </w:tcBorders>
            <w:shd w:val="clear" w:color="000000" w:fill="FFFFFF"/>
            <w:vAlign w:val="center"/>
            <w:hideMark/>
          </w:tcPr>
          <w:p w:rsidR="0081462D" w:rsidRPr="00B6149E" w:rsidRDefault="0081462D" w:rsidP="0081462D">
            <w:pPr>
              <w:spacing w:after="0" w:line="240" w:lineRule="auto"/>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Smrekovec</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2,9</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58,9</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38,2</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0</w:t>
            </w:r>
          </w:p>
        </w:tc>
        <w:tc>
          <w:tcPr>
            <w:tcW w:w="980" w:type="dxa"/>
            <w:tcBorders>
              <w:top w:val="nil"/>
              <w:left w:val="nil"/>
              <w:bottom w:val="nil"/>
              <w:right w:val="single" w:sz="4" w:space="0" w:color="auto"/>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97,1</w:t>
            </w:r>
          </w:p>
        </w:tc>
        <w:tc>
          <w:tcPr>
            <w:tcW w:w="761"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38,2</w:t>
            </w:r>
          </w:p>
        </w:tc>
        <w:tc>
          <w:tcPr>
            <w:tcW w:w="793" w:type="dxa"/>
            <w:tcBorders>
              <w:top w:val="nil"/>
              <w:left w:val="nil"/>
              <w:bottom w:val="nil"/>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68</w:t>
            </w:r>
          </w:p>
        </w:tc>
      </w:tr>
      <w:tr w:rsidR="0081462D" w:rsidRPr="00B6149E" w:rsidTr="001D7716">
        <w:trPr>
          <w:trHeight w:val="300"/>
        </w:trPr>
        <w:tc>
          <w:tcPr>
            <w:tcW w:w="1716" w:type="dxa"/>
            <w:tcBorders>
              <w:top w:val="nil"/>
              <w:left w:val="nil"/>
              <w:bottom w:val="nil"/>
              <w:right w:val="single" w:sz="4" w:space="0" w:color="auto"/>
            </w:tcBorders>
            <w:shd w:val="clear" w:color="000000" w:fill="F2F2F2"/>
            <w:vAlign w:val="center"/>
            <w:hideMark/>
          </w:tcPr>
          <w:p w:rsidR="0081462D" w:rsidRPr="00B6149E" w:rsidRDefault="0081462D" w:rsidP="0081462D">
            <w:pPr>
              <w:spacing w:after="0" w:line="240" w:lineRule="auto"/>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Ihličnaté spolu</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4,3</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49,1</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43,2</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w:t>
            </w:r>
          </w:p>
        </w:tc>
        <w:tc>
          <w:tcPr>
            <w:tcW w:w="980" w:type="dxa"/>
            <w:tcBorders>
              <w:top w:val="nil"/>
              <w:left w:val="nil"/>
              <w:bottom w:val="nil"/>
              <w:right w:val="single" w:sz="4" w:space="0" w:color="auto"/>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2,4</w:t>
            </w:r>
          </w:p>
        </w:tc>
        <w:tc>
          <w:tcPr>
            <w:tcW w:w="960"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95,7</w:t>
            </w:r>
          </w:p>
        </w:tc>
        <w:tc>
          <w:tcPr>
            <w:tcW w:w="761"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46,6</w:t>
            </w:r>
          </w:p>
        </w:tc>
        <w:tc>
          <w:tcPr>
            <w:tcW w:w="793" w:type="dxa"/>
            <w:tcBorders>
              <w:top w:val="nil"/>
              <w:left w:val="nil"/>
              <w:bottom w:val="nil"/>
              <w:right w:val="nil"/>
            </w:tcBorders>
            <w:shd w:val="clear" w:color="000000" w:fill="F2F2F2"/>
            <w:vAlign w:val="center"/>
            <w:hideMark/>
          </w:tcPr>
          <w:p w:rsidR="0081462D" w:rsidRPr="00B6149E" w:rsidRDefault="0081462D" w:rsidP="0081462D">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1657</w:t>
            </w:r>
          </w:p>
        </w:tc>
      </w:tr>
      <w:tr w:rsidR="0081462D" w:rsidRPr="00B6149E" w:rsidTr="001D7716">
        <w:trPr>
          <w:trHeight w:val="300"/>
        </w:trPr>
        <w:tc>
          <w:tcPr>
            <w:tcW w:w="1716" w:type="dxa"/>
            <w:tcBorders>
              <w:top w:val="nil"/>
              <w:left w:val="nil"/>
              <w:bottom w:val="single" w:sz="4" w:space="0" w:color="auto"/>
              <w:right w:val="single" w:sz="4" w:space="0" w:color="auto"/>
            </w:tcBorders>
            <w:shd w:val="clear" w:color="000000" w:fill="FFFFFF"/>
            <w:vAlign w:val="center"/>
            <w:hideMark/>
          </w:tcPr>
          <w:p w:rsidR="0081462D" w:rsidRPr="00B6149E" w:rsidRDefault="0081462D" w:rsidP="0081462D">
            <w:pPr>
              <w:spacing w:after="0" w:line="240" w:lineRule="auto"/>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Spolu</w:t>
            </w:r>
          </w:p>
        </w:tc>
        <w:tc>
          <w:tcPr>
            <w:tcW w:w="960" w:type="dxa"/>
            <w:tcBorders>
              <w:top w:val="nil"/>
              <w:left w:val="nil"/>
              <w:bottom w:val="single" w:sz="4" w:space="0" w:color="auto"/>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9,2</w:t>
            </w:r>
          </w:p>
        </w:tc>
        <w:tc>
          <w:tcPr>
            <w:tcW w:w="960" w:type="dxa"/>
            <w:tcBorders>
              <w:top w:val="nil"/>
              <w:left w:val="nil"/>
              <w:bottom w:val="single" w:sz="4" w:space="0" w:color="auto"/>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56,1</w:t>
            </w:r>
          </w:p>
        </w:tc>
        <w:tc>
          <w:tcPr>
            <w:tcW w:w="960" w:type="dxa"/>
            <w:tcBorders>
              <w:top w:val="nil"/>
              <w:left w:val="nil"/>
              <w:bottom w:val="single" w:sz="4" w:space="0" w:color="auto"/>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33</w:t>
            </w:r>
          </w:p>
        </w:tc>
        <w:tc>
          <w:tcPr>
            <w:tcW w:w="960" w:type="dxa"/>
            <w:tcBorders>
              <w:top w:val="nil"/>
              <w:left w:val="nil"/>
              <w:bottom w:val="single" w:sz="4" w:space="0" w:color="auto"/>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0,7</w:t>
            </w:r>
          </w:p>
        </w:tc>
        <w:tc>
          <w:tcPr>
            <w:tcW w:w="980" w:type="dxa"/>
            <w:tcBorders>
              <w:top w:val="nil"/>
              <w:left w:val="nil"/>
              <w:bottom w:val="single" w:sz="4" w:space="0" w:color="auto"/>
              <w:right w:val="single" w:sz="4" w:space="0" w:color="auto"/>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1</w:t>
            </w:r>
          </w:p>
        </w:tc>
        <w:tc>
          <w:tcPr>
            <w:tcW w:w="960" w:type="dxa"/>
            <w:tcBorders>
              <w:top w:val="nil"/>
              <w:left w:val="nil"/>
              <w:bottom w:val="single" w:sz="4" w:space="0" w:color="auto"/>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90,8</w:t>
            </w:r>
          </w:p>
        </w:tc>
        <w:tc>
          <w:tcPr>
            <w:tcW w:w="761" w:type="dxa"/>
            <w:tcBorders>
              <w:top w:val="nil"/>
              <w:left w:val="nil"/>
              <w:bottom w:val="single" w:sz="4" w:space="0" w:color="auto"/>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34,7</w:t>
            </w:r>
          </w:p>
        </w:tc>
        <w:tc>
          <w:tcPr>
            <w:tcW w:w="793" w:type="dxa"/>
            <w:tcBorders>
              <w:top w:val="nil"/>
              <w:left w:val="nil"/>
              <w:bottom w:val="single" w:sz="4" w:space="0" w:color="auto"/>
              <w:right w:val="nil"/>
            </w:tcBorders>
            <w:shd w:val="clear" w:color="000000" w:fill="FFFFFF"/>
            <w:vAlign w:val="center"/>
            <w:hideMark/>
          </w:tcPr>
          <w:p w:rsidR="0081462D" w:rsidRPr="00B6149E" w:rsidRDefault="0081462D" w:rsidP="0081462D">
            <w:pPr>
              <w:spacing w:after="0" w:line="240" w:lineRule="auto"/>
              <w:jc w:val="right"/>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4017</w:t>
            </w:r>
          </w:p>
        </w:tc>
      </w:tr>
    </w:tbl>
    <w:p w:rsidR="001D7716" w:rsidRPr="00C431FF" w:rsidRDefault="001D7716" w:rsidP="001D771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NLC-ÚLZI Zvolen</w:t>
      </w:r>
    </w:p>
    <w:p w:rsidR="0081462D" w:rsidRDefault="0081462D" w:rsidP="00BE691E">
      <w:pPr>
        <w:spacing w:after="0" w:line="240" w:lineRule="auto"/>
        <w:jc w:val="both"/>
        <w:rPr>
          <w:rFonts w:ascii="Times New Roman" w:eastAsia="Calibri" w:hAnsi="Times New Roman"/>
          <w:sz w:val="24"/>
          <w:szCs w:val="24"/>
        </w:rPr>
      </w:pPr>
    </w:p>
    <w:p w:rsidR="001D7716" w:rsidRDefault="001D7716" w:rsidP="001D7716">
      <w:pPr>
        <w:spacing w:after="0" w:line="240" w:lineRule="auto"/>
        <w:jc w:val="both"/>
        <w:rPr>
          <w:rFonts w:ascii="Times New Roman" w:eastAsia="Calibri" w:hAnsi="Times New Roman"/>
          <w:sz w:val="24"/>
          <w:szCs w:val="24"/>
        </w:rPr>
      </w:pPr>
      <w:r w:rsidRPr="001D7716">
        <w:rPr>
          <w:rFonts w:ascii="Times New Roman" w:eastAsia="Calibri" w:hAnsi="Times New Roman"/>
          <w:sz w:val="24"/>
          <w:szCs w:val="24"/>
        </w:rPr>
        <w:t xml:space="preserve">Najvážnejším problémom v ochrane lesa je už od roku 2004 </w:t>
      </w:r>
      <w:proofErr w:type="spellStart"/>
      <w:r w:rsidRPr="001D7716">
        <w:rPr>
          <w:rFonts w:ascii="Times New Roman" w:eastAsia="Calibri" w:hAnsi="Times New Roman"/>
          <w:sz w:val="24"/>
          <w:szCs w:val="24"/>
        </w:rPr>
        <w:t>podkôrny</w:t>
      </w:r>
      <w:proofErr w:type="spellEnd"/>
      <w:r w:rsidRPr="001D7716">
        <w:rPr>
          <w:rFonts w:ascii="Times New Roman" w:eastAsia="Calibri" w:hAnsi="Times New Roman"/>
          <w:sz w:val="24"/>
          <w:szCs w:val="24"/>
        </w:rPr>
        <w:t xml:space="preserve"> a drevokazný hmyz a najviac ohrozenou drevinou smrek. </w:t>
      </w:r>
      <w:r>
        <w:rPr>
          <w:rFonts w:ascii="Times New Roman" w:eastAsia="Calibri" w:hAnsi="Times New Roman"/>
          <w:sz w:val="24"/>
          <w:szCs w:val="24"/>
        </w:rPr>
        <w:t>Doterajšie o</w:t>
      </w:r>
      <w:r w:rsidRPr="001D7716">
        <w:rPr>
          <w:rFonts w:ascii="Times New Roman" w:eastAsia="Calibri" w:hAnsi="Times New Roman"/>
          <w:sz w:val="24"/>
          <w:szCs w:val="24"/>
        </w:rPr>
        <w:t xml:space="preserve">patrenia boli preto smerované hlavne do smrekových porastov. Ich obnova sa sústredila na zmenu drevinovej skladby v prospech spevňujúcich drevín – listnáčov, jedle, smrekovca a borovice. Dôraz sa </w:t>
      </w:r>
      <w:r>
        <w:rPr>
          <w:rFonts w:ascii="Times New Roman" w:eastAsia="Calibri" w:hAnsi="Times New Roman"/>
          <w:sz w:val="24"/>
          <w:szCs w:val="24"/>
        </w:rPr>
        <w:t xml:space="preserve">taktiež </w:t>
      </w:r>
      <w:r w:rsidRPr="001D7716">
        <w:rPr>
          <w:rFonts w:ascii="Times New Roman" w:eastAsia="Calibri" w:hAnsi="Times New Roman"/>
          <w:sz w:val="24"/>
          <w:szCs w:val="24"/>
        </w:rPr>
        <w:t xml:space="preserve">kládol i na porastovú hygienu a ochranu mladých lesných porastov proti </w:t>
      </w:r>
      <w:proofErr w:type="spellStart"/>
      <w:r w:rsidRPr="001D7716">
        <w:rPr>
          <w:rFonts w:ascii="Times New Roman" w:eastAsia="Calibri" w:hAnsi="Times New Roman"/>
          <w:sz w:val="24"/>
          <w:szCs w:val="24"/>
        </w:rPr>
        <w:t>lykokazovi</w:t>
      </w:r>
      <w:proofErr w:type="spellEnd"/>
      <w:r w:rsidRPr="001D7716">
        <w:rPr>
          <w:rFonts w:ascii="Times New Roman" w:eastAsia="Calibri" w:hAnsi="Times New Roman"/>
          <w:sz w:val="24"/>
          <w:szCs w:val="24"/>
        </w:rPr>
        <w:t xml:space="preserve"> sadenicovému a </w:t>
      </w:r>
      <w:proofErr w:type="spellStart"/>
      <w:r w:rsidRPr="001D7716">
        <w:rPr>
          <w:rFonts w:ascii="Times New Roman" w:eastAsia="Calibri" w:hAnsi="Times New Roman"/>
          <w:sz w:val="24"/>
          <w:szCs w:val="24"/>
        </w:rPr>
        <w:t>tvrdoňovi</w:t>
      </w:r>
      <w:proofErr w:type="spellEnd"/>
      <w:r w:rsidRPr="001D7716">
        <w:rPr>
          <w:rFonts w:ascii="Times New Roman" w:eastAsia="Calibri" w:hAnsi="Times New Roman"/>
          <w:sz w:val="24"/>
          <w:szCs w:val="24"/>
        </w:rPr>
        <w:t xml:space="preserve"> smrekovému. Medzi významné opatrenia na zabránenie zhoršovania zdravotného stavu lesných porastov patrí </w:t>
      </w:r>
      <w:r>
        <w:rPr>
          <w:rFonts w:ascii="Times New Roman" w:eastAsia="Calibri" w:hAnsi="Times New Roman"/>
          <w:sz w:val="24"/>
          <w:szCs w:val="24"/>
        </w:rPr>
        <w:t xml:space="preserve">tiež </w:t>
      </w:r>
      <w:r w:rsidRPr="001D7716">
        <w:rPr>
          <w:rFonts w:ascii="Times New Roman" w:eastAsia="Calibri" w:hAnsi="Times New Roman"/>
          <w:sz w:val="24"/>
          <w:szCs w:val="24"/>
        </w:rPr>
        <w:t>odstraňovanie haluziny.</w:t>
      </w:r>
      <w:r w:rsidR="003748EC">
        <w:rPr>
          <w:rFonts w:ascii="Times New Roman" w:eastAsia="Calibri" w:hAnsi="Times New Roman"/>
          <w:sz w:val="24"/>
          <w:szCs w:val="24"/>
        </w:rPr>
        <w:t xml:space="preserve"> </w:t>
      </w:r>
      <w:r w:rsidRPr="001D7716">
        <w:rPr>
          <w:rFonts w:ascii="Times New Roman" w:eastAsia="Calibri" w:hAnsi="Times New Roman"/>
          <w:sz w:val="24"/>
          <w:szCs w:val="24"/>
        </w:rPr>
        <w:t>Dôležitým opatrením na zabránenie zhoršovania zdravotného stavu lesných porastov vo vysokohorských nedostupných lesných porastoch je odkôrňovanie dreva</w:t>
      </w:r>
      <w:r>
        <w:rPr>
          <w:rFonts w:ascii="Times New Roman" w:eastAsia="Calibri" w:hAnsi="Times New Roman"/>
          <w:sz w:val="24"/>
          <w:szCs w:val="24"/>
        </w:rPr>
        <w:t xml:space="preserve"> a </w:t>
      </w:r>
      <w:r w:rsidRPr="001D7716">
        <w:rPr>
          <w:rFonts w:ascii="Times New Roman" w:eastAsia="Calibri" w:hAnsi="Times New Roman"/>
          <w:sz w:val="24"/>
          <w:szCs w:val="24"/>
        </w:rPr>
        <w:t xml:space="preserve">monitoring prostredníctvom </w:t>
      </w:r>
      <w:proofErr w:type="spellStart"/>
      <w:r w:rsidRPr="001D7716">
        <w:rPr>
          <w:rFonts w:ascii="Times New Roman" w:eastAsia="Calibri" w:hAnsi="Times New Roman"/>
          <w:sz w:val="24"/>
          <w:szCs w:val="24"/>
        </w:rPr>
        <w:t>feromónových</w:t>
      </w:r>
      <w:proofErr w:type="spellEnd"/>
      <w:r w:rsidRPr="001D7716">
        <w:rPr>
          <w:rFonts w:ascii="Times New Roman" w:eastAsia="Calibri" w:hAnsi="Times New Roman"/>
          <w:sz w:val="24"/>
          <w:szCs w:val="24"/>
        </w:rPr>
        <w:t xml:space="preserve"> lapačov</w:t>
      </w:r>
      <w:r>
        <w:rPr>
          <w:rFonts w:ascii="Times New Roman" w:eastAsia="Calibri" w:hAnsi="Times New Roman"/>
          <w:sz w:val="24"/>
          <w:szCs w:val="24"/>
        </w:rPr>
        <w:t>.</w:t>
      </w:r>
      <w:r w:rsidR="00D60ED7">
        <w:rPr>
          <w:rFonts w:ascii="Times New Roman" w:eastAsia="Calibri" w:hAnsi="Times New Roman"/>
          <w:sz w:val="24"/>
          <w:szCs w:val="24"/>
        </w:rPr>
        <w:t xml:space="preserve"> Pozitívne účinky týchto opatrení sú však limitované rozsahom plôch, na ktorých sú, v zmysle legislatívy, takéto činnosti povolené. Z tohto dôvodu sa </w:t>
      </w:r>
      <w:r w:rsidR="00D60ED7" w:rsidRPr="001D7716">
        <w:rPr>
          <w:rFonts w:ascii="Times New Roman" w:eastAsia="Calibri" w:hAnsi="Times New Roman"/>
          <w:sz w:val="24"/>
          <w:szCs w:val="24"/>
        </w:rPr>
        <w:t>v </w:t>
      </w:r>
      <w:proofErr w:type="spellStart"/>
      <w:r w:rsidR="00D60ED7" w:rsidRPr="001D7716">
        <w:rPr>
          <w:rFonts w:ascii="Times New Roman" w:eastAsia="Calibri" w:hAnsi="Times New Roman"/>
          <w:sz w:val="24"/>
          <w:szCs w:val="24"/>
        </w:rPr>
        <w:t>bezzásahovej</w:t>
      </w:r>
      <w:proofErr w:type="spellEnd"/>
      <w:r w:rsidR="00D60ED7" w:rsidRPr="001D7716">
        <w:rPr>
          <w:rFonts w:ascii="Times New Roman" w:eastAsia="Calibri" w:hAnsi="Times New Roman"/>
          <w:sz w:val="24"/>
          <w:szCs w:val="24"/>
        </w:rPr>
        <w:t xml:space="preserve"> zóne tieto opatrenia nerealizujú</w:t>
      </w:r>
      <w:r w:rsidR="00D60ED7">
        <w:rPr>
          <w:rFonts w:ascii="Times New Roman" w:eastAsia="Calibri" w:hAnsi="Times New Roman"/>
          <w:sz w:val="24"/>
          <w:szCs w:val="24"/>
        </w:rPr>
        <w:t>.</w:t>
      </w:r>
    </w:p>
    <w:p w:rsidR="001D7716" w:rsidRDefault="001D7716" w:rsidP="00BE691E">
      <w:pPr>
        <w:spacing w:after="0" w:line="240" w:lineRule="auto"/>
        <w:jc w:val="both"/>
        <w:rPr>
          <w:rFonts w:ascii="Times New Roman" w:eastAsia="Calibri" w:hAnsi="Times New Roman"/>
          <w:sz w:val="24"/>
          <w:szCs w:val="24"/>
        </w:rPr>
      </w:pPr>
    </w:p>
    <w:p w:rsidR="009E68AF" w:rsidRDefault="009E68AF" w:rsidP="009E68AF">
      <w:pPr>
        <w:spacing w:after="0" w:line="240" w:lineRule="auto"/>
        <w:jc w:val="both"/>
        <w:rPr>
          <w:rFonts w:ascii="Times New Roman" w:eastAsia="Calibri" w:hAnsi="Times New Roman"/>
          <w:sz w:val="24"/>
          <w:szCs w:val="24"/>
        </w:rPr>
      </w:pPr>
      <w:r w:rsidRPr="009E68AF">
        <w:rPr>
          <w:rFonts w:ascii="Times New Roman" w:eastAsia="Calibri" w:hAnsi="Times New Roman"/>
          <w:sz w:val="24"/>
          <w:szCs w:val="24"/>
        </w:rPr>
        <w:lastRenderedPageBreak/>
        <w:t xml:space="preserve">Ochrana biologických zdrojov lesov je </w:t>
      </w:r>
      <w:r>
        <w:rPr>
          <w:rFonts w:ascii="Times New Roman" w:eastAsia="Calibri" w:hAnsi="Times New Roman"/>
          <w:sz w:val="24"/>
          <w:szCs w:val="24"/>
        </w:rPr>
        <w:t xml:space="preserve">pritom </w:t>
      </w:r>
      <w:r w:rsidRPr="009E68AF">
        <w:rPr>
          <w:rFonts w:ascii="Times New Roman" w:eastAsia="Calibri" w:hAnsi="Times New Roman"/>
          <w:sz w:val="24"/>
          <w:szCs w:val="24"/>
        </w:rPr>
        <w:t>dôležitou ekonomickou prioritou s dopadom na kvalitu života, ekonomický rozvoj a environmentálnu bezpečnosť obyvateľov Slovenskej republiky. Lesné genetické zdroje, ktoré predurčujú ekonomickú a ekologickú hodnotu lesov, sú hospodársky a politicky významnou a strategickou zložkou  majetku štátu.</w:t>
      </w:r>
      <w:r w:rsidR="003748EC">
        <w:rPr>
          <w:rFonts w:ascii="Times New Roman" w:eastAsia="Calibri" w:hAnsi="Times New Roman"/>
          <w:sz w:val="24"/>
          <w:szCs w:val="24"/>
        </w:rPr>
        <w:t xml:space="preserve"> </w:t>
      </w:r>
      <w:r w:rsidRPr="009E68AF">
        <w:rPr>
          <w:rFonts w:ascii="Times New Roman" w:eastAsia="Calibri" w:hAnsi="Times New Roman"/>
          <w:sz w:val="24"/>
          <w:szCs w:val="24"/>
        </w:rPr>
        <w:t>Kvalita zdrojov reprodukčného materiálu, kontrola pravosti pôvodu reprodukčného materiálu pri jeho zbere a pestovaní a dodržovanie pravidiel pre jeho prenos pri obnove lesných porastov majú za tejto situácie podstatný vplyv na hodnotovú produkciu, adaptačnú schopnosť a ekologickú stabilitu lesných porastov.</w:t>
      </w:r>
    </w:p>
    <w:p w:rsidR="009E68AF" w:rsidRDefault="009E68AF" w:rsidP="009E68AF">
      <w:pPr>
        <w:spacing w:after="0" w:line="240" w:lineRule="auto"/>
        <w:jc w:val="both"/>
        <w:rPr>
          <w:rFonts w:ascii="Times New Roman" w:eastAsia="Calibri" w:hAnsi="Times New Roman"/>
          <w:sz w:val="24"/>
          <w:szCs w:val="24"/>
        </w:rPr>
      </w:pPr>
    </w:p>
    <w:p w:rsidR="009E68AF" w:rsidRDefault="009E68AF" w:rsidP="009E68AF">
      <w:pPr>
        <w:spacing w:after="0" w:line="240" w:lineRule="auto"/>
        <w:jc w:val="both"/>
        <w:rPr>
          <w:rFonts w:ascii="Times New Roman" w:hAnsi="Times New Roman"/>
          <w:sz w:val="24"/>
          <w:szCs w:val="24"/>
        </w:rPr>
      </w:pPr>
      <w:r>
        <w:rPr>
          <w:rFonts w:ascii="Times New Roman" w:hAnsi="Times New Roman"/>
          <w:sz w:val="24"/>
          <w:szCs w:val="24"/>
        </w:rPr>
        <w:t xml:space="preserve">Najrozšírenejším zdrojom </w:t>
      </w:r>
      <w:r w:rsidR="009801A1">
        <w:rPr>
          <w:rFonts w:ascii="Times New Roman" w:hAnsi="Times New Roman"/>
          <w:sz w:val="24"/>
          <w:szCs w:val="24"/>
        </w:rPr>
        <w:t>lesného reprodukčného materiálu</w:t>
      </w:r>
      <w:r>
        <w:rPr>
          <w:rFonts w:ascii="Times New Roman" w:hAnsi="Times New Roman"/>
          <w:sz w:val="24"/>
          <w:szCs w:val="24"/>
        </w:rPr>
        <w:t xml:space="preserve"> na Slovensku sú uznané porasty na výmere 67 364 ha. Počet výberových stromov má v ostatných rokoch mierne stúpajúcu tendenciu hlavne pri drevinách smrek obyčajný a smrekovec opadavý.</w:t>
      </w:r>
    </w:p>
    <w:p w:rsidR="009E68AF" w:rsidRDefault="009E68AF" w:rsidP="009E68AF">
      <w:pPr>
        <w:spacing w:after="0" w:line="240" w:lineRule="auto"/>
        <w:jc w:val="both"/>
        <w:rPr>
          <w:rFonts w:ascii="Times New Roman" w:hAnsi="Times New Roman"/>
          <w:sz w:val="24"/>
          <w:szCs w:val="24"/>
        </w:rPr>
      </w:pPr>
    </w:p>
    <w:p w:rsidR="009801A1" w:rsidRPr="009801A1" w:rsidRDefault="00C970F8" w:rsidP="009801A1">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 41</w:t>
      </w:r>
      <w:r w:rsidR="009801A1" w:rsidRPr="00A855A4">
        <w:rPr>
          <w:rFonts w:ascii="Times New Roman" w:hAnsi="Times New Roman" w:cs="Times New Roman"/>
          <w:sz w:val="20"/>
          <w:szCs w:val="20"/>
        </w:rPr>
        <w:t xml:space="preserve">: </w:t>
      </w:r>
      <w:r w:rsidR="009801A1">
        <w:rPr>
          <w:rFonts w:ascii="Times New Roman" w:hAnsi="Times New Roman" w:cs="Times New Roman"/>
          <w:sz w:val="20"/>
          <w:szCs w:val="20"/>
        </w:rPr>
        <w:tab/>
      </w:r>
      <w:r w:rsidR="009801A1" w:rsidRPr="0017400B">
        <w:rPr>
          <w:rFonts w:ascii="Times New Roman" w:hAnsi="Times New Roman"/>
          <w:sz w:val="20"/>
          <w:szCs w:val="20"/>
        </w:rPr>
        <w:t xml:space="preserve">Počet a výmera uznaných zdrojov </w:t>
      </w:r>
      <w:r w:rsidR="009801A1">
        <w:rPr>
          <w:rFonts w:ascii="Times New Roman" w:hAnsi="Times New Roman"/>
          <w:sz w:val="20"/>
          <w:szCs w:val="20"/>
        </w:rPr>
        <w:t>lesného reprodukčného materiálu</w:t>
      </w:r>
      <w:r w:rsidR="009801A1" w:rsidRPr="0017400B">
        <w:rPr>
          <w:rFonts w:ascii="Times New Roman" w:hAnsi="Times New Roman"/>
          <w:sz w:val="20"/>
          <w:szCs w:val="20"/>
        </w:rPr>
        <w:t xml:space="preserve"> k 31.12.2011</w:t>
      </w:r>
    </w:p>
    <w:tbl>
      <w:tblPr>
        <w:tblW w:w="9144" w:type="dxa"/>
        <w:tblInd w:w="55" w:type="dxa"/>
        <w:tblLayout w:type="fixed"/>
        <w:tblCellMar>
          <w:left w:w="70" w:type="dxa"/>
          <w:right w:w="70" w:type="dxa"/>
        </w:tblCellMar>
        <w:tblLook w:val="04A0" w:firstRow="1" w:lastRow="0" w:firstColumn="1" w:lastColumn="0" w:noHBand="0" w:noVBand="1"/>
      </w:tblPr>
      <w:tblGrid>
        <w:gridCol w:w="1858"/>
        <w:gridCol w:w="1080"/>
        <w:gridCol w:w="961"/>
        <w:gridCol w:w="1360"/>
        <w:gridCol w:w="940"/>
        <w:gridCol w:w="984"/>
        <w:gridCol w:w="1080"/>
        <w:gridCol w:w="881"/>
      </w:tblGrid>
      <w:tr w:rsidR="009801A1" w:rsidRPr="00B6149E" w:rsidTr="007D5DE6">
        <w:trPr>
          <w:trHeight w:val="253"/>
        </w:trPr>
        <w:tc>
          <w:tcPr>
            <w:tcW w:w="1858" w:type="dxa"/>
            <w:vMerge w:val="restart"/>
            <w:tcBorders>
              <w:top w:val="nil"/>
              <w:left w:val="nil"/>
              <w:bottom w:val="single" w:sz="4" w:space="0" w:color="000000"/>
              <w:right w:val="single" w:sz="4" w:space="0" w:color="auto"/>
            </w:tcBorders>
            <w:shd w:val="clear" w:color="000000" w:fill="D9D9D9"/>
            <w:vAlign w:val="center"/>
            <w:hideMark/>
          </w:tcPr>
          <w:p w:rsidR="009801A1" w:rsidRPr="00B6149E" w:rsidRDefault="009801A1" w:rsidP="009801A1">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 </w:t>
            </w:r>
          </w:p>
        </w:tc>
        <w:tc>
          <w:tcPr>
            <w:tcW w:w="2041" w:type="dxa"/>
            <w:gridSpan w:val="2"/>
            <w:vMerge w:val="restart"/>
            <w:tcBorders>
              <w:top w:val="nil"/>
              <w:left w:val="single" w:sz="4" w:space="0" w:color="auto"/>
              <w:bottom w:val="nil"/>
              <w:right w:val="single" w:sz="4" w:space="0" w:color="000000"/>
            </w:tcBorders>
            <w:shd w:val="clear" w:color="000000" w:fill="D9D9D9"/>
            <w:vAlign w:val="center"/>
            <w:hideMark/>
          </w:tcPr>
          <w:p w:rsidR="009801A1" w:rsidRPr="00B6149E" w:rsidRDefault="009801A1" w:rsidP="009801A1">
            <w:pPr>
              <w:spacing w:after="0" w:line="240" w:lineRule="auto"/>
              <w:jc w:val="center"/>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Uznané porasty</w:t>
            </w:r>
          </w:p>
        </w:tc>
        <w:tc>
          <w:tcPr>
            <w:tcW w:w="1360" w:type="dxa"/>
            <w:vMerge w:val="restart"/>
            <w:tcBorders>
              <w:top w:val="nil"/>
              <w:left w:val="single" w:sz="4" w:space="0" w:color="auto"/>
              <w:bottom w:val="nil"/>
              <w:right w:val="single" w:sz="4" w:space="0" w:color="auto"/>
            </w:tcBorders>
            <w:shd w:val="clear" w:color="000000" w:fill="D9D9D9"/>
            <w:vAlign w:val="center"/>
            <w:hideMark/>
          </w:tcPr>
          <w:p w:rsidR="009801A1" w:rsidRPr="00B6149E" w:rsidRDefault="009801A1" w:rsidP="009801A1">
            <w:pPr>
              <w:spacing w:after="0" w:line="240" w:lineRule="auto"/>
              <w:jc w:val="center"/>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Výberové stromy</w:t>
            </w:r>
          </w:p>
        </w:tc>
        <w:tc>
          <w:tcPr>
            <w:tcW w:w="1924" w:type="dxa"/>
            <w:gridSpan w:val="2"/>
            <w:vMerge w:val="restart"/>
            <w:tcBorders>
              <w:top w:val="nil"/>
              <w:left w:val="single" w:sz="4" w:space="0" w:color="auto"/>
              <w:bottom w:val="nil"/>
              <w:right w:val="single" w:sz="4" w:space="0" w:color="000000"/>
            </w:tcBorders>
            <w:shd w:val="clear" w:color="000000" w:fill="D9D9D9"/>
            <w:vAlign w:val="center"/>
            <w:hideMark/>
          </w:tcPr>
          <w:p w:rsidR="009801A1" w:rsidRPr="00B6149E" w:rsidRDefault="009801A1" w:rsidP="009801A1">
            <w:pPr>
              <w:spacing w:after="0" w:line="240" w:lineRule="auto"/>
              <w:jc w:val="center"/>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Semenné sady</w:t>
            </w:r>
          </w:p>
        </w:tc>
        <w:tc>
          <w:tcPr>
            <w:tcW w:w="1961" w:type="dxa"/>
            <w:gridSpan w:val="2"/>
            <w:vMerge w:val="restart"/>
            <w:tcBorders>
              <w:top w:val="nil"/>
              <w:left w:val="nil"/>
              <w:bottom w:val="nil"/>
              <w:right w:val="nil"/>
            </w:tcBorders>
            <w:shd w:val="clear" w:color="000000" w:fill="D9D9D9"/>
            <w:vAlign w:val="center"/>
            <w:hideMark/>
          </w:tcPr>
          <w:p w:rsidR="009801A1" w:rsidRPr="00B6149E" w:rsidRDefault="009801A1" w:rsidP="009801A1">
            <w:pPr>
              <w:spacing w:after="0" w:line="240" w:lineRule="auto"/>
              <w:jc w:val="center"/>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Identifikované zdroje</w:t>
            </w:r>
          </w:p>
        </w:tc>
      </w:tr>
      <w:tr w:rsidR="009801A1" w:rsidRPr="00B6149E" w:rsidTr="009801A1">
        <w:trPr>
          <w:trHeight w:val="300"/>
        </w:trPr>
        <w:tc>
          <w:tcPr>
            <w:tcW w:w="1858" w:type="dxa"/>
            <w:vMerge/>
            <w:tcBorders>
              <w:top w:val="nil"/>
              <w:left w:val="nil"/>
              <w:bottom w:val="single" w:sz="4" w:space="0" w:color="000000"/>
              <w:right w:val="single" w:sz="4" w:space="0" w:color="auto"/>
            </w:tcBorders>
            <w:vAlign w:val="center"/>
            <w:hideMark/>
          </w:tcPr>
          <w:p w:rsidR="009801A1" w:rsidRPr="00B6149E" w:rsidRDefault="009801A1" w:rsidP="009801A1">
            <w:pPr>
              <w:spacing w:after="0" w:line="240" w:lineRule="auto"/>
              <w:rPr>
                <w:rFonts w:ascii="Times New Roman" w:eastAsia="Times New Roman" w:hAnsi="Times New Roman" w:cs="Times New Roman"/>
                <w:color w:val="000000"/>
                <w:sz w:val="20"/>
                <w:szCs w:val="20"/>
              </w:rPr>
            </w:pPr>
          </w:p>
        </w:tc>
        <w:tc>
          <w:tcPr>
            <w:tcW w:w="2041" w:type="dxa"/>
            <w:gridSpan w:val="2"/>
            <w:vMerge/>
            <w:tcBorders>
              <w:top w:val="nil"/>
              <w:left w:val="single" w:sz="4" w:space="0" w:color="auto"/>
              <w:bottom w:val="nil"/>
              <w:right w:val="single" w:sz="4" w:space="0" w:color="000000"/>
            </w:tcBorders>
            <w:vAlign w:val="center"/>
            <w:hideMark/>
          </w:tcPr>
          <w:p w:rsidR="009801A1" w:rsidRPr="00B6149E" w:rsidRDefault="009801A1" w:rsidP="009801A1">
            <w:pPr>
              <w:spacing w:after="0" w:line="240" w:lineRule="auto"/>
              <w:rPr>
                <w:rFonts w:ascii="Times New Roman" w:eastAsia="Times New Roman" w:hAnsi="Times New Roman" w:cs="Times New Roman"/>
                <w:b/>
                <w:bCs/>
                <w:color w:val="000000"/>
                <w:sz w:val="20"/>
                <w:szCs w:val="20"/>
              </w:rPr>
            </w:pPr>
          </w:p>
        </w:tc>
        <w:tc>
          <w:tcPr>
            <w:tcW w:w="1360" w:type="dxa"/>
            <w:vMerge/>
            <w:tcBorders>
              <w:top w:val="nil"/>
              <w:left w:val="single" w:sz="4" w:space="0" w:color="auto"/>
              <w:bottom w:val="nil"/>
              <w:right w:val="single" w:sz="4" w:space="0" w:color="auto"/>
            </w:tcBorders>
            <w:vAlign w:val="center"/>
            <w:hideMark/>
          </w:tcPr>
          <w:p w:rsidR="009801A1" w:rsidRPr="00B6149E" w:rsidRDefault="009801A1" w:rsidP="009801A1">
            <w:pPr>
              <w:spacing w:after="0" w:line="240" w:lineRule="auto"/>
              <w:rPr>
                <w:rFonts w:ascii="Times New Roman" w:eastAsia="Times New Roman" w:hAnsi="Times New Roman" w:cs="Times New Roman"/>
                <w:b/>
                <w:bCs/>
                <w:color w:val="000000"/>
                <w:sz w:val="20"/>
                <w:szCs w:val="20"/>
              </w:rPr>
            </w:pPr>
          </w:p>
        </w:tc>
        <w:tc>
          <w:tcPr>
            <w:tcW w:w="1924" w:type="dxa"/>
            <w:gridSpan w:val="2"/>
            <w:vMerge/>
            <w:tcBorders>
              <w:top w:val="nil"/>
              <w:left w:val="single" w:sz="4" w:space="0" w:color="auto"/>
              <w:bottom w:val="nil"/>
              <w:right w:val="single" w:sz="4" w:space="0" w:color="000000"/>
            </w:tcBorders>
            <w:vAlign w:val="center"/>
            <w:hideMark/>
          </w:tcPr>
          <w:p w:rsidR="009801A1" w:rsidRPr="00B6149E" w:rsidRDefault="009801A1" w:rsidP="009801A1">
            <w:pPr>
              <w:spacing w:after="0" w:line="240" w:lineRule="auto"/>
              <w:rPr>
                <w:rFonts w:ascii="Times New Roman" w:eastAsia="Times New Roman" w:hAnsi="Times New Roman" w:cs="Times New Roman"/>
                <w:b/>
                <w:bCs/>
                <w:color w:val="000000"/>
                <w:sz w:val="20"/>
                <w:szCs w:val="20"/>
              </w:rPr>
            </w:pPr>
          </w:p>
        </w:tc>
        <w:tc>
          <w:tcPr>
            <w:tcW w:w="1961" w:type="dxa"/>
            <w:gridSpan w:val="2"/>
            <w:vMerge/>
            <w:tcBorders>
              <w:top w:val="nil"/>
              <w:left w:val="nil"/>
              <w:bottom w:val="nil"/>
              <w:right w:val="nil"/>
            </w:tcBorders>
            <w:vAlign w:val="center"/>
            <w:hideMark/>
          </w:tcPr>
          <w:p w:rsidR="009801A1" w:rsidRPr="00B6149E" w:rsidRDefault="009801A1" w:rsidP="009801A1">
            <w:pPr>
              <w:spacing w:after="0" w:line="240" w:lineRule="auto"/>
              <w:rPr>
                <w:rFonts w:ascii="Times New Roman" w:eastAsia="Times New Roman" w:hAnsi="Times New Roman" w:cs="Times New Roman"/>
                <w:b/>
                <w:bCs/>
                <w:color w:val="000000"/>
                <w:sz w:val="20"/>
                <w:szCs w:val="20"/>
              </w:rPr>
            </w:pPr>
          </w:p>
        </w:tc>
      </w:tr>
      <w:tr w:rsidR="009801A1" w:rsidRPr="00B6149E" w:rsidTr="009801A1">
        <w:trPr>
          <w:trHeight w:val="600"/>
        </w:trPr>
        <w:tc>
          <w:tcPr>
            <w:tcW w:w="1858" w:type="dxa"/>
            <w:vMerge/>
            <w:tcBorders>
              <w:top w:val="nil"/>
              <w:left w:val="nil"/>
              <w:bottom w:val="single" w:sz="4" w:space="0" w:color="000000"/>
              <w:right w:val="single" w:sz="4" w:space="0" w:color="auto"/>
            </w:tcBorders>
            <w:vAlign w:val="center"/>
            <w:hideMark/>
          </w:tcPr>
          <w:p w:rsidR="009801A1" w:rsidRPr="00B6149E" w:rsidRDefault="009801A1" w:rsidP="009801A1">
            <w:pPr>
              <w:spacing w:after="0" w:line="240" w:lineRule="auto"/>
              <w:rPr>
                <w:rFonts w:ascii="Times New Roman" w:eastAsia="Times New Roman" w:hAnsi="Times New Roman" w:cs="Times New Roman"/>
                <w:color w:val="000000"/>
                <w:sz w:val="20"/>
                <w:szCs w:val="20"/>
              </w:rPr>
            </w:pPr>
          </w:p>
        </w:tc>
        <w:tc>
          <w:tcPr>
            <w:tcW w:w="1080" w:type="dxa"/>
            <w:tcBorders>
              <w:top w:val="nil"/>
              <w:left w:val="nil"/>
              <w:bottom w:val="single" w:sz="4" w:space="0" w:color="auto"/>
              <w:right w:val="nil"/>
            </w:tcBorders>
            <w:shd w:val="clear" w:color="000000" w:fill="F2F2F2"/>
            <w:vAlign w:val="center"/>
            <w:hideMark/>
          </w:tcPr>
          <w:p w:rsidR="009801A1" w:rsidRPr="00B6149E" w:rsidRDefault="009801A1" w:rsidP="009801A1">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bCs/>
                <w:color w:val="000000"/>
                <w:sz w:val="20"/>
                <w:szCs w:val="20"/>
              </w:rPr>
              <w:t>počet JPRL*</w:t>
            </w:r>
          </w:p>
        </w:tc>
        <w:tc>
          <w:tcPr>
            <w:tcW w:w="961" w:type="dxa"/>
            <w:tcBorders>
              <w:top w:val="nil"/>
              <w:left w:val="nil"/>
              <w:bottom w:val="single" w:sz="4" w:space="0" w:color="auto"/>
              <w:right w:val="single" w:sz="4" w:space="0" w:color="auto"/>
            </w:tcBorders>
            <w:shd w:val="clear" w:color="000000" w:fill="F2F2F2"/>
            <w:vAlign w:val="center"/>
            <w:hideMark/>
          </w:tcPr>
          <w:p w:rsidR="009801A1" w:rsidRPr="00B6149E" w:rsidRDefault="009801A1" w:rsidP="009801A1">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bCs/>
                <w:color w:val="000000"/>
                <w:sz w:val="20"/>
                <w:szCs w:val="20"/>
              </w:rPr>
              <w:t>ha</w:t>
            </w:r>
          </w:p>
        </w:tc>
        <w:tc>
          <w:tcPr>
            <w:tcW w:w="1360" w:type="dxa"/>
            <w:tcBorders>
              <w:top w:val="nil"/>
              <w:left w:val="nil"/>
              <w:bottom w:val="single" w:sz="4" w:space="0" w:color="auto"/>
              <w:right w:val="single" w:sz="4" w:space="0" w:color="auto"/>
            </w:tcBorders>
            <w:shd w:val="clear" w:color="000000" w:fill="F2F2F2"/>
            <w:vAlign w:val="center"/>
            <w:hideMark/>
          </w:tcPr>
          <w:p w:rsidR="009801A1" w:rsidRPr="00B6149E" w:rsidRDefault="009801A1" w:rsidP="009801A1">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bCs/>
                <w:color w:val="000000"/>
                <w:sz w:val="20"/>
                <w:szCs w:val="20"/>
              </w:rPr>
              <w:t>ks</w:t>
            </w:r>
          </w:p>
        </w:tc>
        <w:tc>
          <w:tcPr>
            <w:tcW w:w="940" w:type="dxa"/>
            <w:tcBorders>
              <w:top w:val="nil"/>
              <w:left w:val="nil"/>
              <w:bottom w:val="single" w:sz="4" w:space="0" w:color="auto"/>
              <w:right w:val="nil"/>
            </w:tcBorders>
            <w:shd w:val="clear" w:color="000000" w:fill="F2F2F2"/>
            <w:vAlign w:val="center"/>
            <w:hideMark/>
          </w:tcPr>
          <w:p w:rsidR="009801A1" w:rsidRPr="00B6149E" w:rsidRDefault="009801A1" w:rsidP="009801A1">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bCs/>
                <w:color w:val="000000"/>
                <w:sz w:val="20"/>
                <w:szCs w:val="20"/>
              </w:rPr>
              <w:t>počet JPRL*</w:t>
            </w:r>
          </w:p>
        </w:tc>
        <w:tc>
          <w:tcPr>
            <w:tcW w:w="984" w:type="dxa"/>
            <w:tcBorders>
              <w:top w:val="nil"/>
              <w:left w:val="nil"/>
              <w:bottom w:val="single" w:sz="4" w:space="0" w:color="auto"/>
              <w:right w:val="single" w:sz="4" w:space="0" w:color="auto"/>
            </w:tcBorders>
            <w:shd w:val="clear" w:color="000000" w:fill="F2F2F2"/>
            <w:vAlign w:val="center"/>
            <w:hideMark/>
          </w:tcPr>
          <w:p w:rsidR="009801A1" w:rsidRPr="00B6149E" w:rsidRDefault="009801A1" w:rsidP="009801A1">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bCs/>
                <w:color w:val="000000"/>
                <w:sz w:val="20"/>
                <w:szCs w:val="20"/>
              </w:rPr>
              <w:t>ha</w:t>
            </w:r>
          </w:p>
        </w:tc>
        <w:tc>
          <w:tcPr>
            <w:tcW w:w="1080" w:type="dxa"/>
            <w:tcBorders>
              <w:top w:val="nil"/>
              <w:left w:val="nil"/>
              <w:bottom w:val="single" w:sz="4" w:space="0" w:color="auto"/>
              <w:right w:val="nil"/>
            </w:tcBorders>
            <w:shd w:val="clear" w:color="000000" w:fill="F2F2F2"/>
            <w:vAlign w:val="center"/>
            <w:hideMark/>
          </w:tcPr>
          <w:p w:rsidR="009801A1" w:rsidRPr="00B6149E" w:rsidRDefault="009801A1" w:rsidP="009801A1">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bCs/>
                <w:color w:val="000000"/>
                <w:sz w:val="20"/>
                <w:szCs w:val="20"/>
              </w:rPr>
              <w:t>počet JPRL*</w:t>
            </w:r>
          </w:p>
        </w:tc>
        <w:tc>
          <w:tcPr>
            <w:tcW w:w="881" w:type="dxa"/>
            <w:tcBorders>
              <w:top w:val="nil"/>
              <w:left w:val="nil"/>
              <w:bottom w:val="single" w:sz="4" w:space="0" w:color="auto"/>
              <w:right w:val="nil"/>
            </w:tcBorders>
            <w:shd w:val="clear" w:color="000000" w:fill="F2F2F2"/>
            <w:vAlign w:val="center"/>
            <w:hideMark/>
          </w:tcPr>
          <w:p w:rsidR="009801A1" w:rsidRPr="00B6149E" w:rsidRDefault="009801A1" w:rsidP="009801A1">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bCs/>
                <w:color w:val="000000"/>
                <w:sz w:val="20"/>
                <w:szCs w:val="20"/>
              </w:rPr>
              <w:t>ha</w:t>
            </w:r>
          </w:p>
        </w:tc>
      </w:tr>
      <w:tr w:rsidR="009801A1" w:rsidRPr="00B6149E" w:rsidTr="009801A1">
        <w:trPr>
          <w:trHeight w:val="300"/>
        </w:trPr>
        <w:tc>
          <w:tcPr>
            <w:tcW w:w="1858" w:type="dxa"/>
            <w:tcBorders>
              <w:top w:val="nil"/>
              <w:left w:val="nil"/>
              <w:bottom w:val="nil"/>
              <w:right w:val="single" w:sz="4" w:space="0" w:color="auto"/>
            </w:tcBorders>
            <w:shd w:val="clear" w:color="auto" w:fill="auto"/>
            <w:vAlign w:val="center"/>
            <w:hideMark/>
          </w:tcPr>
          <w:p w:rsidR="009801A1" w:rsidRPr="00B6149E" w:rsidRDefault="009801A1" w:rsidP="009801A1">
            <w:pPr>
              <w:spacing w:after="0" w:line="240" w:lineRule="auto"/>
              <w:jc w:val="both"/>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Smrek obyčajný</w:t>
            </w:r>
          </w:p>
        </w:tc>
        <w:tc>
          <w:tcPr>
            <w:tcW w:w="1080" w:type="dxa"/>
            <w:tcBorders>
              <w:top w:val="nil"/>
              <w:left w:val="nil"/>
              <w:bottom w:val="nil"/>
              <w:right w:val="nil"/>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3 144</w:t>
            </w:r>
          </w:p>
        </w:tc>
        <w:tc>
          <w:tcPr>
            <w:tcW w:w="961" w:type="dxa"/>
            <w:tcBorders>
              <w:top w:val="nil"/>
              <w:left w:val="nil"/>
              <w:bottom w:val="nil"/>
              <w:right w:val="single" w:sz="4" w:space="0" w:color="auto"/>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15 833</w:t>
            </w:r>
          </w:p>
        </w:tc>
        <w:tc>
          <w:tcPr>
            <w:tcW w:w="1360" w:type="dxa"/>
            <w:tcBorders>
              <w:top w:val="nil"/>
              <w:left w:val="nil"/>
              <w:bottom w:val="nil"/>
              <w:right w:val="single" w:sz="4" w:space="0" w:color="auto"/>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342</w:t>
            </w:r>
          </w:p>
        </w:tc>
        <w:tc>
          <w:tcPr>
            <w:tcW w:w="940" w:type="dxa"/>
            <w:tcBorders>
              <w:top w:val="nil"/>
              <w:left w:val="nil"/>
              <w:bottom w:val="nil"/>
              <w:right w:val="nil"/>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w:t>
            </w:r>
          </w:p>
        </w:tc>
        <w:tc>
          <w:tcPr>
            <w:tcW w:w="984" w:type="dxa"/>
            <w:tcBorders>
              <w:top w:val="nil"/>
              <w:left w:val="nil"/>
              <w:bottom w:val="nil"/>
              <w:right w:val="single" w:sz="4" w:space="0" w:color="auto"/>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5,85</w:t>
            </w:r>
          </w:p>
        </w:tc>
        <w:tc>
          <w:tcPr>
            <w:tcW w:w="1080" w:type="dxa"/>
            <w:tcBorders>
              <w:top w:val="nil"/>
              <w:left w:val="nil"/>
              <w:bottom w:val="nil"/>
              <w:right w:val="nil"/>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w:t>
            </w:r>
          </w:p>
        </w:tc>
        <w:tc>
          <w:tcPr>
            <w:tcW w:w="881" w:type="dxa"/>
            <w:tcBorders>
              <w:top w:val="nil"/>
              <w:left w:val="nil"/>
              <w:bottom w:val="nil"/>
              <w:right w:val="nil"/>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w:t>
            </w:r>
          </w:p>
        </w:tc>
      </w:tr>
      <w:tr w:rsidR="009801A1" w:rsidRPr="00B6149E" w:rsidTr="009801A1">
        <w:trPr>
          <w:trHeight w:val="300"/>
        </w:trPr>
        <w:tc>
          <w:tcPr>
            <w:tcW w:w="1858" w:type="dxa"/>
            <w:tcBorders>
              <w:top w:val="nil"/>
              <w:left w:val="nil"/>
              <w:bottom w:val="nil"/>
              <w:right w:val="single" w:sz="4" w:space="0" w:color="auto"/>
            </w:tcBorders>
            <w:shd w:val="clear" w:color="000000" w:fill="F2F2F2"/>
            <w:vAlign w:val="center"/>
            <w:hideMark/>
          </w:tcPr>
          <w:p w:rsidR="009801A1" w:rsidRPr="00B6149E" w:rsidRDefault="009801A1" w:rsidP="009801A1">
            <w:pPr>
              <w:spacing w:after="0" w:line="240" w:lineRule="auto"/>
              <w:jc w:val="both"/>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Jedľa biela</w:t>
            </w:r>
          </w:p>
        </w:tc>
        <w:tc>
          <w:tcPr>
            <w:tcW w:w="1080" w:type="dxa"/>
            <w:tcBorders>
              <w:top w:val="nil"/>
              <w:left w:val="nil"/>
              <w:bottom w:val="nil"/>
              <w:right w:val="nil"/>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1 549</w:t>
            </w:r>
          </w:p>
        </w:tc>
        <w:tc>
          <w:tcPr>
            <w:tcW w:w="961" w:type="dxa"/>
            <w:tcBorders>
              <w:top w:val="nil"/>
              <w:left w:val="nil"/>
              <w:bottom w:val="nil"/>
              <w:right w:val="single" w:sz="4" w:space="0" w:color="auto"/>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4 187</w:t>
            </w:r>
          </w:p>
        </w:tc>
        <w:tc>
          <w:tcPr>
            <w:tcW w:w="1360" w:type="dxa"/>
            <w:tcBorders>
              <w:top w:val="nil"/>
              <w:left w:val="nil"/>
              <w:bottom w:val="nil"/>
              <w:right w:val="single" w:sz="4" w:space="0" w:color="auto"/>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154</w:t>
            </w:r>
          </w:p>
        </w:tc>
        <w:tc>
          <w:tcPr>
            <w:tcW w:w="940" w:type="dxa"/>
            <w:tcBorders>
              <w:top w:val="nil"/>
              <w:left w:val="nil"/>
              <w:bottom w:val="nil"/>
              <w:right w:val="nil"/>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w:t>
            </w:r>
          </w:p>
        </w:tc>
        <w:tc>
          <w:tcPr>
            <w:tcW w:w="984" w:type="dxa"/>
            <w:tcBorders>
              <w:top w:val="nil"/>
              <w:left w:val="nil"/>
              <w:bottom w:val="nil"/>
              <w:right w:val="single" w:sz="4" w:space="0" w:color="auto"/>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2,3</w:t>
            </w:r>
          </w:p>
        </w:tc>
        <w:tc>
          <w:tcPr>
            <w:tcW w:w="1080" w:type="dxa"/>
            <w:tcBorders>
              <w:top w:val="nil"/>
              <w:left w:val="nil"/>
              <w:bottom w:val="nil"/>
              <w:right w:val="nil"/>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w:t>
            </w:r>
          </w:p>
        </w:tc>
        <w:tc>
          <w:tcPr>
            <w:tcW w:w="881" w:type="dxa"/>
            <w:tcBorders>
              <w:top w:val="nil"/>
              <w:left w:val="nil"/>
              <w:bottom w:val="nil"/>
              <w:right w:val="nil"/>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w:t>
            </w:r>
          </w:p>
        </w:tc>
      </w:tr>
      <w:tr w:rsidR="009801A1" w:rsidRPr="00B6149E" w:rsidTr="009801A1">
        <w:trPr>
          <w:trHeight w:val="300"/>
        </w:trPr>
        <w:tc>
          <w:tcPr>
            <w:tcW w:w="1858" w:type="dxa"/>
            <w:tcBorders>
              <w:top w:val="nil"/>
              <w:left w:val="nil"/>
              <w:bottom w:val="nil"/>
              <w:right w:val="single" w:sz="4" w:space="0" w:color="auto"/>
            </w:tcBorders>
            <w:shd w:val="clear" w:color="auto" w:fill="auto"/>
            <w:vAlign w:val="center"/>
            <w:hideMark/>
          </w:tcPr>
          <w:p w:rsidR="009801A1" w:rsidRPr="00B6149E" w:rsidRDefault="009801A1" w:rsidP="009801A1">
            <w:pPr>
              <w:spacing w:after="0" w:line="240" w:lineRule="auto"/>
              <w:jc w:val="both"/>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Borovica lesná</w:t>
            </w:r>
          </w:p>
        </w:tc>
        <w:tc>
          <w:tcPr>
            <w:tcW w:w="1080" w:type="dxa"/>
            <w:tcBorders>
              <w:top w:val="nil"/>
              <w:left w:val="nil"/>
              <w:bottom w:val="nil"/>
              <w:right w:val="nil"/>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985</w:t>
            </w:r>
          </w:p>
        </w:tc>
        <w:tc>
          <w:tcPr>
            <w:tcW w:w="961" w:type="dxa"/>
            <w:tcBorders>
              <w:top w:val="nil"/>
              <w:left w:val="nil"/>
              <w:bottom w:val="nil"/>
              <w:right w:val="single" w:sz="4" w:space="0" w:color="auto"/>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3 341</w:t>
            </w:r>
          </w:p>
        </w:tc>
        <w:tc>
          <w:tcPr>
            <w:tcW w:w="1360" w:type="dxa"/>
            <w:tcBorders>
              <w:top w:val="nil"/>
              <w:left w:val="nil"/>
              <w:bottom w:val="nil"/>
              <w:right w:val="single" w:sz="4" w:space="0" w:color="auto"/>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796</w:t>
            </w:r>
          </w:p>
        </w:tc>
        <w:tc>
          <w:tcPr>
            <w:tcW w:w="940" w:type="dxa"/>
            <w:tcBorders>
              <w:top w:val="nil"/>
              <w:left w:val="nil"/>
              <w:bottom w:val="nil"/>
              <w:right w:val="nil"/>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17</w:t>
            </w:r>
          </w:p>
        </w:tc>
        <w:tc>
          <w:tcPr>
            <w:tcW w:w="984" w:type="dxa"/>
            <w:tcBorders>
              <w:top w:val="nil"/>
              <w:left w:val="nil"/>
              <w:bottom w:val="nil"/>
              <w:right w:val="single" w:sz="4" w:space="0" w:color="auto"/>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33,75</w:t>
            </w:r>
          </w:p>
        </w:tc>
        <w:tc>
          <w:tcPr>
            <w:tcW w:w="1080" w:type="dxa"/>
            <w:tcBorders>
              <w:top w:val="nil"/>
              <w:left w:val="nil"/>
              <w:bottom w:val="nil"/>
              <w:right w:val="nil"/>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w:t>
            </w:r>
          </w:p>
        </w:tc>
        <w:tc>
          <w:tcPr>
            <w:tcW w:w="881" w:type="dxa"/>
            <w:tcBorders>
              <w:top w:val="nil"/>
              <w:left w:val="nil"/>
              <w:bottom w:val="nil"/>
              <w:right w:val="nil"/>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w:t>
            </w:r>
          </w:p>
        </w:tc>
      </w:tr>
      <w:tr w:rsidR="009801A1" w:rsidRPr="00B6149E" w:rsidTr="009801A1">
        <w:trPr>
          <w:trHeight w:val="300"/>
        </w:trPr>
        <w:tc>
          <w:tcPr>
            <w:tcW w:w="1858" w:type="dxa"/>
            <w:tcBorders>
              <w:top w:val="nil"/>
              <w:left w:val="nil"/>
              <w:bottom w:val="nil"/>
              <w:right w:val="single" w:sz="4" w:space="0" w:color="auto"/>
            </w:tcBorders>
            <w:shd w:val="clear" w:color="000000" w:fill="F2F2F2"/>
            <w:vAlign w:val="center"/>
            <w:hideMark/>
          </w:tcPr>
          <w:p w:rsidR="009801A1" w:rsidRPr="00B6149E" w:rsidRDefault="009801A1" w:rsidP="009801A1">
            <w:pPr>
              <w:spacing w:after="0" w:line="240" w:lineRule="auto"/>
              <w:jc w:val="both"/>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Smrekovec opadavý</w:t>
            </w:r>
          </w:p>
        </w:tc>
        <w:tc>
          <w:tcPr>
            <w:tcW w:w="1080" w:type="dxa"/>
            <w:tcBorders>
              <w:top w:val="nil"/>
              <w:left w:val="nil"/>
              <w:bottom w:val="nil"/>
              <w:right w:val="nil"/>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787</w:t>
            </w:r>
          </w:p>
        </w:tc>
        <w:tc>
          <w:tcPr>
            <w:tcW w:w="961" w:type="dxa"/>
            <w:tcBorders>
              <w:top w:val="nil"/>
              <w:left w:val="nil"/>
              <w:bottom w:val="nil"/>
              <w:right w:val="single" w:sz="4" w:space="0" w:color="auto"/>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1 356</w:t>
            </w:r>
          </w:p>
        </w:tc>
        <w:tc>
          <w:tcPr>
            <w:tcW w:w="1360" w:type="dxa"/>
            <w:tcBorders>
              <w:top w:val="nil"/>
              <w:left w:val="nil"/>
              <w:bottom w:val="nil"/>
              <w:right w:val="single" w:sz="4" w:space="0" w:color="auto"/>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951</w:t>
            </w:r>
          </w:p>
        </w:tc>
        <w:tc>
          <w:tcPr>
            <w:tcW w:w="940" w:type="dxa"/>
            <w:tcBorders>
              <w:top w:val="nil"/>
              <w:left w:val="nil"/>
              <w:bottom w:val="nil"/>
              <w:right w:val="nil"/>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31</w:t>
            </w:r>
          </w:p>
        </w:tc>
        <w:tc>
          <w:tcPr>
            <w:tcW w:w="984" w:type="dxa"/>
            <w:tcBorders>
              <w:top w:val="nil"/>
              <w:left w:val="nil"/>
              <w:bottom w:val="nil"/>
              <w:right w:val="single" w:sz="4" w:space="0" w:color="auto"/>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88,67</w:t>
            </w:r>
          </w:p>
        </w:tc>
        <w:tc>
          <w:tcPr>
            <w:tcW w:w="1080" w:type="dxa"/>
            <w:tcBorders>
              <w:top w:val="nil"/>
              <w:left w:val="nil"/>
              <w:bottom w:val="nil"/>
              <w:right w:val="nil"/>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w:t>
            </w:r>
          </w:p>
        </w:tc>
        <w:tc>
          <w:tcPr>
            <w:tcW w:w="881" w:type="dxa"/>
            <w:tcBorders>
              <w:top w:val="nil"/>
              <w:left w:val="nil"/>
              <w:bottom w:val="nil"/>
              <w:right w:val="nil"/>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w:t>
            </w:r>
          </w:p>
        </w:tc>
      </w:tr>
      <w:tr w:rsidR="009801A1" w:rsidRPr="00B6149E" w:rsidTr="009801A1">
        <w:trPr>
          <w:trHeight w:val="300"/>
        </w:trPr>
        <w:tc>
          <w:tcPr>
            <w:tcW w:w="1858" w:type="dxa"/>
            <w:tcBorders>
              <w:top w:val="nil"/>
              <w:left w:val="nil"/>
              <w:bottom w:val="nil"/>
              <w:right w:val="single" w:sz="4" w:space="0" w:color="auto"/>
            </w:tcBorders>
            <w:shd w:val="clear" w:color="auto" w:fill="auto"/>
            <w:vAlign w:val="center"/>
            <w:hideMark/>
          </w:tcPr>
          <w:p w:rsidR="009801A1" w:rsidRPr="00B6149E" w:rsidRDefault="009801A1" w:rsidP="009801A1">
            <w:pPr>
              <w:spacing w:after="0" w:line="240" w:lineRule="auto"/>
              <w:jc w:val="both"/>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Duby</w:t>
            </w:r>
          </w:p>
        </w:tc>
        <w:tc>
          <w:tcPr>
            <w:tcW w:w="1080" w:type="dxa"/>
            <w:tcBorders>
              <w:top w:val="nil"/>
              <w:left w:val="nil"/>
              <w:bottom w:val="nil"/>
              <w:right w:val="nil"/>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1 965</w:t>
            </w:r>
          </w:p>
        </w:tc>
        <w:tc>
          <w:tcPr>
            <w:tcW w:w="961" w:type="dxa"/>
            <w:tcBorders>
              <w:top w:val="nil"/>
              <w:left w:val="nil"/>
              <w:bottom w:val="nil"/>
              <w:right w:val="single" w:sz="4" w:space="0" w:color="auto"/>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9 066</w:t>
            </w:r>
          </w:p>
        </w:tc>
        <w:tc>
          <w:tcPr>
            <w:tcW w:w="1360" w:type="dxa"/>
            <w:tcBorders>
              <w:top w:val="nil"/>
              <w:left w:val="nil"/>
              <w:bottom w:val="nil"/>
              <w:right w:val="single" w:sz="4" w:space="0" w:color="auto"/>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499</w:t>
            </w:r>
          </w:p>
        </w:tc>
        <w:tc>
          <w:tcPr>
            <w:tcW w:w="940" w:type="dxa"/>
            <w:tcBorders>
              <w:top w:val="nil"/>
              <w:left w:val="nil"/>
              <w:bottom w:val="nil"/>
              <w:right w:val="nil"/>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w:t>
            </w:r>
          </w:p>
        </w:tc>
        <w:tc>
          <w:tcPr>
            <w:tcW w:w="984" w:type="dxa"/>
            <w:tcBorders>
              <w:top w:val="nil"/>
              <w:left w:val="nil"/>
              <w:bottom w:val="nil"/>
              <w:right w:val="single" w:sz="4" w:space="0" w:color="auto"/>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w:t>
            </w:r>
          </w:p>
        </w:tc>
        <w:tc>
          <w:tcPr>
            <w:tcW w:w="1080" w:type="dxa"/>
            <w:tcBorders>
              <w:top w:val="nil"/>
              <w:left w:val="nil"/>
              <w:bottom w:val="nil"/>
              <w:right w:val="nil"/>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w:t>
            </w:r>
          </w:p>
        </w:tc>
        <w:tc>
          <w:tcPr>
            <w:tcW w:w="881" w:type="dxa"/>
            <w:tcBorders>
              <w:top w:val="nil"/>
              <w:left w:val="nil"/>
              <w:bottom w:val="nil"/>
              <w:right w:val="nil"/>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w:t>
            </w:r>
          </w:p>
        </w:tc>
      </w:tr>
      <w:tr w:rsidR="009801A1" w:rsidRPr="00B6149E" w:rsidTr="009801A1">
        <w:trPr>
          <w:trHeight w:val="300"/>
        </w:trPr>
        <w:tc>
          <w:tcPr>
            <w:tcW w:w="1858" w:type="dxa"/>
            <w:tcBorders>
              <w:top w:val="nil"/>
              <w:left w:val="nil"/>
              <w:bottom w:val="nil"/>
              <w:right w:val="single" w:sz="4" w:space="0" w:color="auto"/>
            </w:tcBorders>
            <w:shd w:val="clear" w:color="000000" w:fill="F2F2F2"/>
            <w:vAlign w:val="center"/>
            <w:hideMark/>
          </w:tcPr>
          <w:p w:rsidR="009801A1" w:rsidRPr="00B6149E" w:rsidRDefault="009801A1" w:rsidP="009801A1">
            <w:pPr>
              <w:spacing w:after="0" w:line="240" w:lineRule="auto"/>
              <w:jc w:val="both"/>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Buk lesný</w:t>
            </w:r>
          </w:p>
        </w:tc>
        <w:tc>
          <w:tcPr>
            <w:tcW w:w="1080" w:type="dxa"/>
            <w:tcBorders>
              <w:top w:val="nil"/>
              <w:left w:val="nil"/>
              <w:bottom w:val="nil"/>
              <w:right w:val="nil"/>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5 122</w:t>
            </w:r>
          </w:p>
        </w:tc>
        <w:tc>
          <w:tcPr>
            <w:tcW w:w="961" w:type="dxa"/>
            <w:tcBorders>
              <w:top w:val="nil"/>
              <w:left w:val="nil"/>
              <w:bottom w:val="nil"/>
              <w:right w:val="single" w:sz="4" w:space="0" w:color="auto"/>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31 662</w:t>
            </w:r>
          </w:p>
        </w:tc>
        <w:tc>
          <w:tcPr>
            <w:tcW w:w="1360" w:type="dxa"/>
            <w:tcBorders>
              <w:top w:val="nil"/>
              <w:left w:val="nil"/>
              <w:bottom w:val="nil"/>
              <w:right w:val="single" w:sz="4" w:space="0" w:color="auto"/>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38</w:t>
            </w:r>
          </w:p>
        </w:tc>
        <w:tc>
          <w:tcPr>
            <w:tcW w:w="940" w:type="dxa"/>
            <w:tcBorders>
              <w:top w:val="nil"/>
              <w:left w:val="nil"/>
              <w:bottom w:val="nil"/>
              <w:right w:val="nil"/>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w:t>
            </w:r>
          </w:p>
        </w:tc>
        <w:tc>
          <w:tcPr>
            <w:tcW w:w="984" w:type="dxa"/>
            <w:tcBorders>
              <w:top w:val="nil"/>
              <w:left w:val="nil"/>
              <w:bottom w:val="nil"/>
              <w:right w:val="single" w:sz="4" w:space="0" w:color="auto"/>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w:t>
            </w:r>
          </w:p>
        </w:tc>
        <w:tc>
          <w:tcPr>
            <w:tcW w:w="1080" w:type="dxa"/>
            <w:tcBorders>
              <w:top w:val="nil"/>
              <w:left w:val="nil"/>
              <w:bottom w:val="nil"/>
              <w:right w:val="nil"/>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4</w:t>
            </w:r>
          </w:p>
        </w:tc>
        <w:tc>
          <w:tcPr>
            <w:tcW w:w="881" w:type="dxa"/>
            <w:tcBorders>
              <w:top w:val="nil"/>
              <w:left w:val="nil"/>
              <w:bottom w:val="nil"/>
              <w:right w:val="nil"/>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12</w:t>
            </w:r>
          </w:p>
        </w:tc>
      </w:tr>
      <w:tr w:rsidR="009801A1" w:rsidRPr="00B6149E" w:rsidTr="009801A1">
        <w:trPr>
          <w:trHeight w:val="300"/>
        </w:trPr>
        <w:tc>
          <w:tcPr>
            <w:tcW w:w="1858" w:type="dxa"/>
            <w:tcBorders>
              <w:top w:val="nil"/>
              <w:left w:val="nil"/>
              <w:bottom w:val="single" w:sz="4" w:space="0" w:color="auto"/>
              <w:right w:val="single" w:sz="4" w:space="0" w:color="auto"/>
            </w:tcBorders>
            <w:shd w:val="clear" w:color="auto" w:fill="auto"/>
            <w:vAlign w:val="center"/>
            <w:hideMark/>
          </w:tcPr>
          <w:p w:rsidR="009801A1" w:rsidRPr="00B6149E" w:rsidRDefault="009801A1" w:rsidP="009801A1">
            <w:pPr>
              <w:spacing w:after="0" w:line="240" w:lineRule="auto"/>
              <w:jc w:val="both"/>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Ostatné</w:t>
            </w:r>
          </w:p>
        </w:tc>
        <w:tc>
          <w:tcPr>
            <w:tcW w:w="1080" w:type="dxa"/>
            <w:tcBorders>
              <w:top w:val="nil"/>
              <w:left w:val="nil"/>
              <w:bottom w:val="single" w:sz="4" w:space="0" w:color="auto"/>
              <w:right w:val="nil"/>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1 292</w:t>
            </w:r>
          </w:p>
        </w:tc>
        <w:tc>
          <w:tcPr>
            <w:tcW w:w="961" w:type="dxa"/>
            <w:tcBorders>
              <w:top w:val="nil"/>
              <w:left w:val="nil"/>
              <w:bottom w:val="single" w:sz="4" w:space="0" w:color="auto"/>
              <w:right w:val="single" w:sz="4" w:space="0" w:color="auto"/>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1 919</w:t>
            </w:r>
          </w:p>
        </w:tc>
        <w:tc>
          <w:tcPr>
            <w:tcW w:w="1360" w:type="dxa"/>
            <w:tcBorders>
              <w:top w:val="nil"/>
              <w:left w:val="nil"/>
              <w:bottom w:val="single" w:sz="4" w:space="0" w:color="auto"/>
              <w:right w:val="single" w:sz="4" w:space="0" w:color="auto"/>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1 477</w:t>
            </w:r>
          </w:p>
        </w:tc>
        <w:tc>
          <w:tcPr>
            <w:tcW w:w="940" w:type="dxa"/>
            <w:tcBorders>
              <w:top w:val="nil"/>
              <w:left w:val="nil"/>
              <w:bottom w:val="single" w:sz="4" w:space="0" w:color="auto"/>
              <w:right w:val="nil"/>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16</w:t>
            </w:r>
          </w:p>
        </w:tc>
        <w:tc>
          <w:tcPr>
            <w:tcW w:w="984" w:type="dxa"/>
            <w:tcBorders>
              <w:top w:val="nil"/>
              <w:left w:val="nil"/>
              <w:bottom w:val="single" w:sz="4" w:space="0" w:color="auto"/>
              <w:right w:val="single" w:sz="4" w:space="0" w:color="auto"/>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17,75</w:t>
            </w:r>
          </w:p>
        </w:tc>
        <w:tc>
          <w:tcPr>
            <w:tcW w:w="1080" w:type="dxa"/>
            <w:tcBorders>
              <w:top w:val="nil"/>
              <w:left w:val="nil"/>
              <w:bottom w:val="single" w:sz="4" w:space="0" w:color="auto"/>
              <w:right w:val="nil"/>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56</w:t>
            </w:r>
          </w:p>
        </w:tc>
        <w:tc>
          <w:tcPr>
            <w:tcW w:w="881" w:type="dxa"/>
            <w:tcBorders>
              <w:top w:val="nil"/>
              <w:left w:val="nil"/>
              <w:bottom w:val="single" w:sz="4" w:space="0" w:color="auto"/>
              <w:right w:val="nil"/>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53</w:t>
            </w:r>
          </w:p>
        </w:tc>
      </w:tr>
      <w:tr w:rsidR="009801A1" w:rsidRPr="00B6149E" w:rsidTr="009801A1">
        <w:trPr>
          <w:trHeight w:val="300"/>
        </w:trPr>
        <w:tc>
          <w:tcPr>
            <w:tcW w:w="1858" w:type="dxa"/>
            <w:tcBorders>
              <w:top w:val="nil"/>
              <w:left w:val="nil"/>
              <w:bottom w:val="single" w:sz="4" w:space="0" w:color="auto"/>
              <w:right w:val="single" w:sz="4" w:space="0" w:color="auto"/>
            </w:tcBorders>
            <w:shd w:val="clear" w:color="000000" w:fill="F2F2F2"/>
            <w:vAlign w:val="center"/>
            <w:hideMark/>
          </w:tcPr>
          <w:p w:rsidR="009801A1" w:rsidRPr="00B6149E" w:rsidRDefault="009801A1" w:rsidP="009801A1">
            <w:pPr>
              <w:spacing w:after="0" w:line="240" w:lineRule="auto"/>
              <w:jc w:val="both"/>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Spolu</w:t>
            </w:r>
          </w:p>
        </w:tc>
        <w:tc>
          <w:tcPr>
            <w:tcW w:w="1080" w:type="dxa"/>
            <w:tcBorders>
              <w:top w:val="nil"/>
              <w:left w:val="nil"/>
              <w:bottom w:val="single" w:sz="4" w:space="0" w:color="auto"/>
              <w:right w:val="nil"/>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14 844</w:t>
            </w:r>
          </w:p>
        </w:tc>
        <w:tc>
          <w:tcPr>
            <w:tcW w:w="961" w:type="dxa"/>
            <w:tcBorders>
              <w:top w:val="nil"/>
              <w:left w:val="nil"/>
              <w:bottom w:val="single" w:sz="4" w:space="0" w:color="auto"/>
              <w:right w:val="single" w:sz="4" w:space="0" w:color="auto"/>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67 364</w:t>
            </w:r>
          </w:p>
        </w:tc>
        <w:tc>
          <w:tcPr>
            <w:tcW w:w="1360" w:type="dxa"/>
            <w:tcBorders>
              <w:top w:val="nil"/>
              <w:left w:val="nil"/>
              <w:bottom w:val="single" w:sz="4" w:space="0" w:color="auto"/>
              <w:right w:val="single" w:sz="4" w:space="0" w:color="auto"/>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4 576</w:t>
            </w:r>
          </w:p>
        </w:tc>
        <w:tc>
          <w:tcPr>
            <w:tcW w:w="940" w:type="dxa"/>
            <w:tcBorders>
              <w:top w:val="nil"/>
              <w:left w:val="nil"/>
              <w:bottom w:val="single" w:sz="4" w:space="0" w:color="auto"/>
              <w:right w:val="nil"/>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70</w:t>
            </w:r>
          </w:p>
        </w:tc>
        <w:tc>
          <w:tcPr>
            <w:tcW w:w="984" w:type="dxa"/>
            <w:tcBorders>
              <w:top w:val="nil"/>
              <w:left w:val="nil"/>
              <w:bottom w:val="single" w:sz="4" w:space="0" w:color="auto"/>
              <w:right w:val="single" w:sz="4" w:space="0" w:color="auto"/>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151,32</w:t>
            </w:r>
          </w:p>
        </w:tc>
        <w:tc>
          <w:tcPr>
            <w:tcW w:w="1080" w:type="dxa"/>
            <w:tcBorders>
              <w:top w:val="nil"/>
              <w:left w:val="nil"/>
              <w:bottom w:val="single" w:sz="4" w:space="0" w:color="auto"/>
              <w:right w:val="nil"/>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60</w:t>
            </w:r>
          </w:p>
        </w:tc>
        <w:tc>
          <w:tcPr>
            <w:tcW w:w="881" w:type="dxa"/>
            <w:tcBorders>
              <w:top w:val="nil"/>
              <w:left w:val="nil"/>
              <w:bottom w:val="single" w:sz="4" w:space="0" w:color="auto"/>
              <w:right w:val="nil"/>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b/>
                <w:bCs/>
                <w:color w:val="000000"/>
                <w:sz w:val="20"/>
                <w:szCs w:val="20"/>
              </w:rPr>
            </w:pPr>
            <w:r w:rsidRPr="00B6149E">
              <w:rPr>
                <w:rFonts w:ascii="Times New Roman" w:eastAsia="Times New Roman" w:hAnsi="Times New Roman" w:cs="Times New Roman"/>
                <w:b/>
                <w:bCs/>
                <w:color w:val="000000"/>
                <w:sz w:val="20"/>
                <w:szCs w:val="20"/>
              </w:rPr>
              <w:t>65</w:t>
            </w:r>
          </w:p>
        </w:tc>
      </w:tr>
      <w:tr w:rsidR="009801A1" w:rsidRPr="00B6149E" w:rsidTr="009801A1">
        <w:trPr>
          <w:trHeight w:val="300"/>
        </w:trPr>
        <w:tc>
          <w:tcPr>
            <w:tcW w:w="5259" w:type="dxa"/>
            <w:gridSpan w:val="4"/>
            <w:tcBorders>
              <w:top w:val="nil"/>
              <w:left w:val="nil"/>
              <w:bottom w:val="nil"/>
              <w:right w:val="nil"/>
            </w:tcBorders>
            <w:shd w:val="clear" w:color="auto" w:fill="auto"/>
            <w:noWrap/>
            <w:vAlign w:val="bottom"/>
            <w:hideMark/>
          </w:tcPr>
          <w:p w:rsidR="009801A1" w:rsidRPr="00B6149E" w:rsidRDefault="009801A1" w:rsidP="009801A1">
            <w:pPr>
              <w:spacing w:after="0" w:line="240" w:lineRule="auto"/>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 JPRL - jednotky priestorového rozdelenia lesa</w:t>
            </w:r>
          </w:p>
        </w:tc>
        <w:tc>
          <w:tcPr>
            <w:tcW w:w="940" w:type="dxa"/>
            <w:tcBorders>
              <w:top w:val="nil"/>
              <w:left w:val="nil"/>
              <w:bottom w:val="nil"/>
              <w:right w:val="nil"/>
            </w:tcBorders>
            <w:shd w:val="clear" w:color="auto" w:fill="auto"/>
            <w:noWrap/>
            <w:vAlign w:val="bottom"/>
            <w:hideMark/>
          </w:tcPr>
          <w:p w:rsidR="009801A1" w:rsidRPr="00B6149E" w:rsidRDefault="009801A1" w:rsidP="009801A1">
            <w:pPr>
              <w:spacing w:after="0" w:line="240" w:lineRule="auto"/>
              <w:rPr>
                <w:rFonts w:ascii="Calibri" w:eastAsia="Times New Roman" w:hAnsi="Calibri" w:cs="Calibri"/>
                <w:color w:val="000000"/>
                <w:sz w:val="20"/>
                <w:szCs w:val="20"/>
              </w:rPr>
            </w:pPr>
          </w:p>
        </w:tc>
        <w:tc>
          <w:tcPr>
            <w:tcW w:w="984" w:type="dxa"/>
            <w:tcBorders>
              <w:top w:val="nil"/>
              <w:left w:val="nil"/>
              <w:bottom w:val="nil"/>
              <w:right w:val="nil"/>
            </w:tcBorders>
            <w:shd w:val="clear" w:color="auto" w:fill="auto"/>
            <w:noWrap/>
            <w:vAlign w:val="bottom"/>
            <w:hideMark/>
          </w:tcPr>
          <w:p w:rsidR="009801A1" w:rsidRPr="00B6149E" w:rsidRDefault="009801A1" w:rsidP="009801A1">
            <w:pPr>
              <w:spacing w:after="0" w:line="240" w:lineRule="auto"/>
              <w:rPr>
                <w:rFonts w:ascii="Calibri" w:eastAsia="Times New Roman" w:hAnsi="Calibri" w:cs="Calibri"/>
                <w:color w:val="000000"/>
                <w:sz w:val="20"/>
                <w:szCs w:val="20"/>
              </w:rPr>
            </w:pPr>
          </w:p>
        </w:tc>
        <w:tc>
          <w:tcPr>
            <w:tcW w:w="1080" w:type="dxa"/>
            <w:tcBorders>
              <w:top w:val="nil"/>
              <w:left w:val="nil"/>
              <w:bottom w:val="nil"/>
              <w:right w:val="nil"/>
            </w:tcBorders>
            <w:shd w:val="clear" w:color="auto" w:fill="auto"/>
            <w:noWrap/>
            <w:vAlign w:val="bottom"/>
            <w:hideMark/>
          </w:tcPr>
          <w:p w:rsidR="009801A1" w:rsidRPr="00B6149E" w:rsidRDefault="009801A1" w:rsidP="009801A1">
            <w:pPr>
              <w:spacing w:after="0" w:line="240" w:lineRule="auto"/>
              <w:rPr>
                <w:rFonts w:ascii="Calibri" w:eastAsia="Times New Roman" w:hAnsi="Calibri" w:cs="Calibri"/>
                <w:color w:val="000000"/>
                <w:sz w:val="20"/>
                <w:szCs w:val="20"/>
              </w:rPr>
            </w:pPr>
          </w:p>
        </w:tc>
        <w:tc>
          <w:tcPr>
            <w:tcW w:w="881" w:type="dxa"/>
            <w:tcBorders>
              <w:top w:val="nil"/>
              <w:left w:val="nil"/>
              <w:bottom w:val="nil"/>
              <w:right w:val="nil"/>
            </w:tcBorders>
            <w:shd w:val="clear" w:color="auto" w:fill="auto"/>
            <w:noWrap/>
            <w:vAlign w:val="bottom"/>
            <w:hideMark/>
          </w:tcPr>
          <w:p w:rsidR="009801A1" w:rsidRPr="00B6149E" w:rsidRDefault="009801A1" w:rsidP="009801A1">
            <w:pPr>
              <w:spacing w:after="0" w:line="240" w:lineRule="auto"/>
              <w:rPr>
                <w:rFonts w:ascii="Calibri" w:eastAsia="Times New Roman" w:hAnsi="Calibri" w:cs="Calibri"/>
                <w:color w:val="000000"/>
                <w:sz w:val="20"/>
                <w:szCs w:val="20"/>
              </w:rPr>
            </w:pPr>
          </w:p>
        </w:tc>
      </w:tr>
    </w:tbl>
    <w:p w:rsidR="009801A1" w:rsidRPr="00C431FF" w:rsidRDefault="009801A1" w:rsidP="009801A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NLC-ÚLZI Zvolen</w:t>
      </w:r>
    </w:p>
    <w:p w:rsidR="009E68AF" w:rsidRDefault="009E68AF" w:rsidP="009E68AF">
      <w:pPr>
        <w:spacing w:after="0" w:line="240" w:lineRule="auto"/>
        <w:jc w:val="both"/>
        <w:rPr>
          <w:rFonts w:ascii="Times New Roman" w:eastAsia="Calibri" w:hAnsi="Times New Roman"/>
          <w:sz w:val="24"/>
          <w:szCs w:val="24"/>
        </w:rPr>
      </w:pPr>
    </w:p>
    <w:p w:rsidR="009801A1" w:rsidRPr="009E68AF" w:rsidRDefault="009801A1" w:rsidP="009E68AF">
      <w:pPr>
        <w:spacing w:after="0" w:line="240" w:lineRule="auto"/>
        <w:jc w:val="both"/>
        <w:rPr>
          <w:rFonts w:ascii="Times New Roman" w:eastAsia="Calibri" w:hAnsi="Times New Roman"/>
          <w:sz w:val="24"/>
          <w:szCs w:val="24"/>
        </w:rPr>
      </w:pPr>
      <w:r>
        <w:rPr>
          <w:rFonts w:ascii="Times New Roman" w:hAnsi="Times New Roman"/>
          <w:sz w:val="24"/>
          <w:szCs w:val="24"/>
        </w:rPr>
        <w:t xml:space="preserve">Na zachovanie genetických zdrojov lesných drevín v mieste ich pôvodu bolo k 31.12.2011 na území Slovenskej republiky zriadených 129 génových základní s celkovou výmerou 25 567 ha a 129 semenných porastov s výmerou 669 ha. </w:t>
      </w:r>
      <w:r w:rsidRPr="009801A1">
        <w:rPr>
          <w:rFonts w:ascii="Times New Roman" w:hAnsi="Times New Roman"/>
          <w:sz w:val="24"/>
          <w:szCs w:val="24"/>
        </w:rPr>
        <w:t>Zberová sezóna 2011/2012 sa prejavila slabou úrodou smreka obyčajného a smrekovca opadavého, strednou úrodou borovice lesnej, jedle bielej a dubov a dobrou úrodou buka lesného</w:t>
      </w:r>
      <w:r>
        <w:rPr>
          <w:rFonts w:ascii="Times New Roman" w:hAnsi="Times New Roman"/>
          <w:sz w:val="24"/>
          <w:szCs w:val="24"/>
        </w:rPr>
        <w:t>.</w:t>
      </w:r>
    </w:p>
    <w:p w:rsidR="00D60ED7" w:rsidRDefault="00D60ED7" w:rsidP="00BE691E">
      <w:pPr>
        <w:spacing w:after="0" w:line="240" w:lineRule="auto"/>
        <w:jc w:val="both"/>
        <w:rPr>
          <w:rFonts w:ascii="Times New Roman" w:eastAsia="Calibri" w:hAnsi="Times New Roman"/>
          <w:sz w:val="24"/>
          <w:szCs w:val="24"/>
        </w:rPr>
      </w:pPr>
    </w:p>
    <w:p w:rsidR="007D5DE6" w:rsidRPr="007D5DE6" w:rsidRDefault="00C970F8" w:rsidP="007D5DE6">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 42</w:t>
      </w:r>
      <w:r w:rsidR="007D5DE6">
        <w:rPr>
          <w:rFonts w:ascii="Times New Roman" w:hAnsi="Times New Roman" w:cs="Times New Roman"/>
          <w:sz w:val="20"/>
          <w:szCs w:val="20"/>
        </w:rPr>
        <w:t>:</w:t>
      </w:r>
      <w:r w:rsidR="007D5DE6">
        <w:rPr>
          <w:rFonts w:ascii="Times New Roman" w:hAnsi="Times New Roman" w:cs="Times New Roman"/>
          <w:sz w:val="20"/>
          <w:szCs w:val="20"/>
        </w:rPr>
        <w:tab/>
      </w:r>
      <w:r w:rsidR="007D5DE6" w:rsidRPr="0017400B">
        <w:rPr>
          <w:rFonts w:ascii="Times New Roman" w:hAnsi="Times New Roman"/>
          <w:sz w:val="20"/>
          <w:szCs w:val="20"/>
        </w:rPr>
        <w:t>Množstvo zozbieraného semena a semennej suroviny v zberovej sezóne2011/2012</w:t>
      </w:r>
    </w:p>
    <w:tbl>
      <w:tblPr>
        <w:tblW w:w="9087" w:type="dxa"/>
        <w:tblInd w:w="55" w:type="dxa"/>
        <w:tblCellMar>
          <w:left w:w="70" w:type="dxa"/>
          <w:right w:w="70" w:type="dxa"/>
        </w:tblCellMar>
        <w:tblLook w:val="04A0" w:firstRow="1" w:lastRow="0" w:firstColumn="1" w:lastColumn="0" w:noHBand="0" w:noVBand="1"/>
      </w:tblPr>
      <w:tblGrid>
        <w:gridCol w:w="3701"/>
        <w:gridCol w:w="5386"/>
      </w:tblGrid>
      <w:tr w:rsidR="009801A1" w:rsidRPr="00B6149E" w:rsidTr="007D5DE6">
        <w:trPr>
          <w:trHeight w:val="338"/>
        </w:trPr>
        <w:tc>
          <w:tcPr>
            <w:tcW w:w="3701" w:type="dxa"/>
            <w:tcBorders>
              <w:top w:val="nil"/>
              <w:left w:val="nil"/>
              <w:bottom w:val="single" w:sz="4" w:space="0" w:color="auto"/>
              <w:right w:val="single" w:sz="4" w:space="0" w:color="auto"/>
            </w:tcBorders>
            <w:shd w:val="clear" w:color="000000" w:fill="D9D9D9"/>
            <w:vAlign w:val="center"/>
            <w:hideMark/>
          </w:tcPr>
          <w:p w:rsidR="009801A1" w:rsidRPr="00B6149E" w:rsidRDefault="009801A1" w:rsidP="009801A1">
            <w:pPr>
              <w:spacing w:after="0" w:line="240" w:lineRule="auto"/>
              <w:jc w:val="both"/>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 </w:t>
            </w:r>
          </w:p>
        </w:tc>
        <w:tc>
          <w:tcPr>
            <w:tcW w:w="5386" w:type="dxa"/>
            <w:tcBorders>
              <w:top w:val="nil"/>
              <w:left w:val="nil"/>
              <w:bottom w:val="single" w:sz="4" w:space="0" w:color="auto"/>
              <w:right w:val="nil"/>
            </w:tcBorders>
            <w:shd w:val="clear" w:color="000000" w:fill="D9D9D9"/>
            <w:vAlign w:val="center"/>
            <w:hideMark/>
          </w:tcPr>
          <w:p w:rsidR="009801A1" w:rsidRPr="00B6149E" w:rsidRDefault="009801A1" w:rsidP="009801A1">
            <w:pPr>
              <w:spacing w:after="0" w:line="240" w:lineRule="auto"/>
              <w:jc w:val="center"/>
              <w:rPr>
                <w:rFonts w:ascii="Times New Roman" w:eastAsia="Times New Roman" w:hAnsi="Times New Roman" w:cs="Times New Roman"/>
                <w:color w:val="000000"/>
                <w:sz w:val="20"/>
                <w:szCs w:val="20"/>
              </w:rPr>
            </w:pPr>
            <w:r w:rsidRPr="00B6149E">
              <w:rPr>
                <w:rFonts w:ascii="Times New Roman" w:eastAsia="Times New Roman" w:hAnsi="Times New Roman" w:cs="Times New Roman"/>
                <w:bCs/>
                <w:color w:val="000000"/>
                <w:sz w:val="20"/>
                <w:szCs w:val="20"/>
              </w:rPr>
              <w:t>Množstvo zozbieraného semena a semennej suroviny v kg</w:t>
            </w:r>
          </w:p>
        </w:tc>
      </w:tr>
      <w:tr w:rsidR="009801A1" w:rsidRPr="00B6149E" w:rsidTr="007D5DE6">
        <w:trPr>
          <w:trHeight w:val="315"/>
        </w:trPr>
        <w:tc>
          <w:tcPr>
            <w:tcW w:w="3701" w:type="dxa"/>
            <w:tcBorders>
              <w:top w:val="nil"/>
              <w:left w:val="nil"/>
              <w:bottom w:val="nil"/>
              <w:right w:val="single" w:sz="4" w:space="0" w:color="auto"/>
            </w:tcBorders>
            <w:shd w:val="clear" w:color="auto" w:fill="auto"/>
            <w:vAlign w:val="center"/>
            <w:hideMark/>
          </w:tcPr>
          <w:p w:rsidR="009801A1" w:rsidRPr="00B6149E" w:rsidRDefault="009801A1" w:rsidP="009801A1">
            <w:pPr>
              <w:spacing w:after="0" w:line="240" w:lineRule="auto"/>
              <w:jc w:val="both"/>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Smrek obyčajný</w:t>
            </w:r>
          </w:p>
        </w:tc>
        <w:tc>
          <w:tcPr>
            <w:tcW w:w="5386" w:type="dxa"/>
            <w:tcBorders>
              <w:top w:val="nil"/>
              <w:left w:val="nil"/>
              <w:bottom w:val="nil"/>
              <w:right w:val="nil"/>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2 204</w:t>
            </w:r>
          </w:p>
        </w:tc>
      </w:tr>
      <w:tr w:rsidR="009801A1" w:rsidRPr="00B6149E" w:rsidTr="007D5DE6">
        <w:trPr>
          <w:trHeight w:val="315"/>
        </w:trPr>
        <w:tc>
          <w:tcPr>
            <w:tcW w:w="3701" w:type="dxa"/>
            <w:tcBorders>
              <w:top w:val="nil"/>
              <w:left w:val="nil"/>
              <w:bottom w:val="nil"/>
              <w:right w:val="single" w:sz="4" w:space="0" w:color="auto"/>
            </w:tcBorders>
            <w:shd w:val="clear" w:color="000000" w:fill="F2F2F2"/>
            <w:vAlign w:val="center"/>
            <w:hideMark/>
          </w:tcPr>
          <w:p w:rsidR="009801A1" w:rsidRPr="00B6149E" w:rsidRDefault="009801A1" w:rsidP="009801A1">
            <w:pPr>
              <w:spacing w:after="0" w:line="240" w:lineRule="auto"/>
              <w:jc w:val="both"/>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Jedľa biela</w:t>
            </w:r>
          </w:p>
        </w:tc>
        <w:tc>
          <w:tcPr>
            <w:tcW w:w="5386" w:type="dxa"/>
            <w:tcBorders>
              <w:top w:val="nil"/>
              <w:left w:val="nil"/>
              <w:bottom w:val="nil"/>
              <w:right w:val="nil"/>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42 973</w:t>
            </w:r>
          </w:p>
        </w:tc>
      </w:tr>
      <w:tr w:rsidR="009801A1" w:rsidRPr="00B6149E" w:rsidTr="007D5DE6">
        <w:trPr>
          <w:trHeight w:val="315"/>
        </w:trPr>
        <w:tc>
          <w:tcPr>
            <w:tcW w:w="3701" w:type="dxa"/>
            <w:tcBorders>
              <w:top w:val="nil"/>
              <w:left w:val="nil"/>
              <w:bottom w:val="nil"/>
              <w:right w:val="single" w:sz="4" w:space="0" w:color="auto"/>
            </w:tcBorders>
            <w:shd w:val="clear" w:color="auto" w:fill="auto"/>
            <w:vAlign w:val="center"/>
            <w:hideMark/>
          </w:tcPr>
          <w:p w:rsidR="009801A1" w:rsidRPr="00B6149E" w:rsidRDefault="009801A1" w:rsidP="009801A1">
            <w:pPr>
              <w:spacing w:after="0" w:line="240" w:lineRule="auto"/>
              <w:jc w:val="both"/>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Borovica lesná</w:t>
            </w:r>
          </w:p>
        </w:tc>
        <w:tc>
          <w:tcPr>
            <w:tcW w:w="5386" w:type="dxa"/>
            <w:tcBorders>
              <w:top w:val="nil"/>
              <w:left w:val="nil"/>
              <w:bottom w:val="nil"/>
              <w:right w:val="nil"/>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36 758</w:t>
            </w:r>
          </w:p>
        </w:tc>
      </w:tr>
      <w:tr w:rsidR="009801A1" w:rsidRPr="00B6149E" w:rsidTr="007D5DE6">
        <w:trPr>
          <w:trHeight w:val="315"/>
        </w:trPr>
        <w:tc>
          <w:tcPr>
            <w:tcW w:w="3701" w:type="dxa"/>
            <w:tcBorders>
              <w:top w:val="nil"/>
              <w:left w:val="nil"/>
              <w:bottom w:val="nil"/>
              <w:right w:val="single" w:sz="4" w:space="0" w:color="auto"/>
            </w:tcBorders>
            <w:shd w:val="clear" w:color="000000" w:fill="F2F2F2"/>
            <w:vAlign w:val="center"/>
            <w:hideMark/>
          </w:tcPr>
          <w:p w:rsidR="009801A1" w:rsidRPr="00B6149E" w:rsidRDefault="009801A1" w:rsidP="009801A1">
            <w:pPr>
              <w:spacing w:after="0" w:line="240" w:lineRule="auto"/>
              <w:jc w:val="both"/>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Smrekovec opadavý</w:t>
            </w:r>
          </w:p>
        </w:tc>
        <w:tc>
          <w:tcPr>
            <w:tcW w:w="5386" w:type="dxa"/>
            <w:tcBorders>
              <w:top w:val="nil"/>
              <w:left w:val="nil"/>
              <w:bottom w:val="nil"/>
              <w:right w:val="nil"/>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2 324</w:t>
            </w:r>
          </w:p>
        </w:tc>
      </w:tr>
      <w:tr w:rsidR="009801A1" w:rsidRPr="00B6149E" w:rsidTr="007D5DE6">
        <w:trPr>
          <w:trHeight w:val="277"/>
        </w:trPr>
        <w:tc>
          <w:tcPr>
            <w:tcW w:w="3701" w:type="dxa"/>
            <w:tcBorders>
              <w:top w:val="nil"/>
              <w:left w:val="nil"/>
              <w:bottom w:val="nil"/>
              <w:right w:val="single" w:sz="4" w:space="0" w:color="auto"/>
            </w:tcBorders>
            <w:shd w:val="clear" w:color="auto" w:fill="auto"/>
            <w:vAlign w:val="center"/>
            <w:hideMark/>
          </w:tcPr>
          <w:p w:rsidR="009801A1" w:rsidRPr="00B6149E" w:rsidRDefault="009801A1" w:rsidP="009801A1">
            <w:pPr>
              <w:spacing w:after="0" w:line="240" w:lineRule="auto"/>
              <w:jc w:val="both"/>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 xml:space="preserve">Buk lesný </w:t>
            </w:r>
          </w:p>
        </w:tc>
        <w:tc>
          <w:tcPr>
            <w:tcW w:w="5386" w:type="dxa"/>
            <w:tcBorders>
              <w:top w:val="nil"/>
              <w:left w:val="nil"/>
              <w:bottom w:val="nil"/>
              <w:right w:val="nil"/>
            </w:tcBorders>
            <w:shd w:val="clear" w:color="auto" w:fill="auto"/>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53 343</w:t>
            </w:r>
          </w:p>
        </w:tc>
      </w:tr>
      <w:tr w:rsidR="009801A1" w:rsidRPr="00B6149E" w:rsidTr="007D5DE6">
        <w:trPr>
          <w:trHeight w:val="252"/>
        </w:trPr>
        <w:tc>
          <w:tcPr>
            <w:tcW w:w="3701" w:type="dxa"/>
            <w:tcBorders>
              <w:top w:val="nil"/>
              <w:left w:val="nil"/>
              <w:bottom w:val="single" w:sz="4" w:space="0" w:color="auto"/>
              <w:right w:val="single" w:sz="4" w:space="0" w:color="auto"/>
            </w:tcBorders>
            <w:shd w:val="clear" w:color="000000" w:fill="F2F2F2"/>
            <w:vAlign w:val="center"/>
            <w:hideMark/>
          </w:tcPr>
          <w:p w:rsidR="009801A1" w:rsidRPr="00B6149E" w:rsidRDefault="009801A1" w:rsidP="009801A1">
            <w:pPr>
              <w:spacing w:after="0" w:line="240" w:lineRule="auto"/>
              <w:jc w:val="both"/>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Duby</w:t>
            </w:r>
          </w:p>
        </w:tc>
        <w:tc>
          <w:tcPr>
            <w:tcW w:w="5386" w:type="dxa"/>
            <w:tcBorders>
              <w:top w:val="nil"/>
              <w:left w:val="nil"/>
              <w:bottom w:val="single" w:sz="4" w:space="0" w:color="auto"/>
              <w:right w:val="nil"/>
            </w:tcBorders>
            <w:shd w:val="clear" w:color="000000" w:fill="F2F2F2"/>
            <w:vAlign w:val="center"/>
            <w:hideMark/>
          </w:tcPr>
          <w:p w:rsidR="009801A1" w:rsidRPr="00B6149E" w:rsidRDefault="009801A1" w:rsidP="009801A1">
            <w:pPr>
              <w:spacing w:after="0" w:line="240" w:lineRule="auto"/>
              <w:jc w:val="right"/>
              <w:rPr>
                <w:rFonts w:ascii="Times New Roman" w:eastAsia="Times New Roman" w:hAnsi="Times New Roman" w:cs="Times New Roman"/>
                <w:color w:val="000000"/>
                <w:sz w:val="20"/>
                <w:szCs w:val="20"/>
              </w:rPr>
            </w:pPr>
            <w:r w:rsidRPr="00B6149E">
              <w:rPr>
                <w:rFonts w:ascii="Times New Roman" w:eastAsia="Times New Roman" w:hAnsi="Times New Roman" w:cs="Times New Roman"/>
                <w:color w:val="000000"/>
                <w:sz w:val="20"/>
                <w:szCs w:val="20"/>
              </w:rPr>
              <w:t>25 973</w:t>
            </w:r>
          </w:p>
        </w:tc>
      </w:tr>
    </w:tbl>
    <w:p w:rsidR="007D5DE6" w:rsidRPr="007D5DE6" w:rsidRDefault="007D5DE6" w:rsidP="007D5DE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NLC-ÚLZI Zvolen</w:t>
      </w:r>
    </w:p>
    <w:p w:rsidR="00F6585B" w:rsidRDefault="00F6585B" w:rsidP="00BE691E">
      <w:pPr>
        <w:spacing w:after="0" w:line="240" w:lineRule="auto"/>
        <w:jc w:val="both"/>
        <w:rPr>
          <w:rFonts w:ascii="Times New Roman" w:hAnsi="Times New Roman"/>
          <w:sz w:val="24"/>
          <w:szCs w:val="24"/>
        </w:rPr>
      </w:pPr>
    </w:p>
    <w:p w:rsidR="007D5DE6" w:rsidRDefault="007D5DE6" w:rsidP="00BE691E">
      <w:pPr>
        <w:spacing w:after="0" w:line="240" w:lineRule="auto"/>
        <w:jc w:val="both"/>
        <w:rPr>
          <w:rFonts w:ascii="Times New Roman" w:eastAsia="Calibri" w:hAnsi="Times New Roman"/>
          <w:sz w:val="24"/>
          <w:szCs w:val="24"/>
        </w:rPr>
      </w:pPr>
      <w:r>
        <w:rPr>
          <w:rFonts w:ascii="Times New Roman" w:hAnsi="Times New Roman"/>
          <w:sz w:val="24"/>
          <w:szCs w:val="24"/>
        </w:rPr>
        <w:t xml:space="preserve">V strednodobom horizonte je teda potrebné podporovať tvorbu genofondu najmä </w:t>
      </w:r>
      <w:r w:rsidRPr="009801A1">
        <w:rPr>
          <w:rFonts w:ascii="Times New Roman" w:hAnsi="Times New Roman"/>
          <w:sz w:val="24"/>
          <w:szCs w:val="24"/>
        </w:rPr>
        <w:t>smreka obyčajného a smrekovca opadavého</w:t>
      </w:r>
      <w:r>
        <w:rPr>
          <w:rFonts w:ascii="Times New Roman" w:hAnsi="Times New Roman"/>
          <w:sz w:val="24"/>
          <w:szCs w:val="24"/>
        </w:rPr>
        <w:t>, a to jednak z</w:t>
      </w:r>
      <w:r w:rsidR="000F6F7E">
        <w:rPr>
          <w:rFonts w:ascii="Times New Roman" w:hAnsi="Times New Roman"/>
          <w:sz w:val="24"/>
          <w:szCs w:val="24"/>
        </w:rPr>
        <w:t xml:space="preserve"> dôvodu, v súčasnosti, nízkych absolútnych i hektárových úrod ako aj z dôvodu škodlivými činiteľmi výrazne poškodených oblastí </w:t>
      </w:r>
      <w:r w:rsidR="000F6F7E">
        <w:rPr>
          <w:rFonts w:ascii="Times New Roman" w:hAnsi="Times New Roman"/>
          <w:sz w:val="24"/>
          <w:szCs w:val="24"/>
        </w:rPr>
        <w:lastRenderedPageBreak/>
        <w:t>s prevládajúcim zastúpením smreka. V tejto súvislos</w:t>
      </w:r>
      <w:r w:rsidR="00C234A1">
        <w:rPr>
          <w:rFonts w:ascii="Times New Roman" w:hAnsi="Times New Roman"/>
          <w:sz w:val="24"/>
          <w:szCs w:val="24"/>
        </w:rPr>
        <w:t>ti je možné konštatovať, že v sú</w:t>
      </w:r>
      <w:r w:rsidR="000F6F7E">
        <w:rPr>
          <w:rFonts w:ascii="Times New Roman" w:hAnsi="Times New Roman"/>
          <w:sz w:val="24"/>
          <w:szCs w:val="24"/>
        </w:rPr>
        <w:t xml:space="preserve">časnosti sú vytvorené vhodné podmienky </w:t>
      </w:r>
      <w:r w:rsidRPr="00E074F3">
        <w:rPr>
          <w:rFonts w:ascii="Times New Roman" w:hAnsi="Times New Roman"/>
          <w:sz w:val="24"/>
          <w:szCs w:val="24"/>
        </w:rPr>
        <w:t>na zabezpečenie dostatočného počtu uznaných zdrojov lesného reprodukčného materiálu pre všetky hlavné dreviny na Slovensku</w:t>
      </w:r>
      <w:r w:rsidR="000F6F7E">
        <w:rPr>
          <w:rFonts w:ascii="Times New Roman" w:hAnsi="Times New Roman"/>
          <w:sz w:val="24"/>
          <w:szCs w:val="24"/>
        </w:rPr>
        <w:t>.</w:t>
      </w:r>
    </w:p>
    <w:p w:rsidR="007D5DE6" w:rsidRDefault="007D5DE6"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sidRPr="00E40104">
        <w:rPr>
          <w:rFonts w:ascii="Times New Roman" w:eastAsia="Calibri" w:hAnsi="Times New Roman"/>
          <w:sz w:val="24"/>
          <w:szCs w:val="24"/>
        </w:rPr>
        <w:t>Lesné ekosystémy sú</w:t>
      </w:r>
      <w:r>
        <w:rPr>
          <w:rFonts w:ascii="Times New Roman" w:eastAsia="Calibri" w:hAnsi="Times New Roman"/>
          <w:sz w:val="24"/>
          <w:szCs w:val="24"/>
        </w:rPr>
        <w:t xml:space="preserve"> dominantnou a mimoriadne cennou </w:t>
      </w:r>
      <w:r w:rsidRPr="00E40104">
        <w:rPr>
          <w:rFonts w:ascii="Times New Roman" w:eastAsia="Calibri" w:hAnsi="Times New Roman"/>
          <w:sz w:val="24"/>
          <w:szCs w:val="24"/>
        </w:rPr>
        <w:t>súčasťou osobitne chránený</w:t>
      </w:r>
      <w:r>
        <w:rPr>
          <w:rFonts w:ascii="Times New Roman" w:eastAsia="Calibri" w:hAnsi="Times New Roman"/>
          <w:sz w:val="24"/>
          <w:szCs w:val="24"/>
        </w:rPr>
        <w:t xml:space="preserve">ch </w:t>
      </w:r>
      <w:r w:rsidRPr="00E40104">
        <w:rPr>
          <w:rFonts w:ascii="Times New Roman" w:eastAsia="Calibri" w:hAnsi="Times New Roman"/>
          <w:sz w:val="24"/>
          <w:szCs w:val="24"/>
        </w:rPr>
        <w:t xml:space="preserve">území. </w:t>
      </w:r>
      <w:r w:rsidRPr="002C7D73">
        <w:rPr>
          <w:rFonts w:ascii="Times New Roman" w:eastAsia="Calibri" w:hAnsi="Times New Roman"/>
          <w:sz w:val="24"/>
          <w:szCs w:val="24"/>
        </w:rPr>
        <w:t xml:space="preserve">Súčasná výmera </w:t>
      </w:r>
      <w:r>
        <w:rPr>
          <w:rFonts w:ascii="Times New Roman" w:eastAsia="Calibri" w:hAnsi="Times New Roman"/>
          <w:sz w:val="24"/>
          <w:szCs w:val="24"/>
        </w:rPr>
        <w:t>maloplošných chránených území</w:t>
      </w:r>
      <w:r w:rsidRPr="002C7D73">
        <w:rPr>
          <w:rFonts w:ascii="Times New Roman" w:eastAsia="Calibri" w:hAnsi="Times New Roman"/>
          <w:sz w:val="24"/>
          <w:szCs w:val="24"/>
        </w:rPr>
        <w:t xml:space="preserve"> je 107</w:t>
      </w:r>
      <w:r>
        <w:rPr>
          <w:rFonts w:ascii="Times New Roman" w:eastAsia="Calibri" w:hAnsi="Times New Roman"/>
          <w:sz w:val="24"/>
          <w:szCs w:val="24"/>
        </w:rPr>
        <w:t>,6 tis. ha a p</w:t>
      </w:r>
      <w:r w:rsidRPr="002C7D73">
        <w:rPr>
          <w:rFonts w:ascii="Times New Roman" w:eastAsia="Calibri" w:hAnsi="Times New Roman"/>
          <w:sz w:val="24"/>
          <w:szCs w:val="24"/>
        </w:rPr>
        <w:t xml:space="preserve">ri celkovej výmere </w:t>
      </w:r>
      <w:r>
        <w:rPr>
          <w:rFonts w:ascii="Times New Roman" w:eastAsia="Calibri" w:hAnsi="Times New Roman"/>
          <w:sz w:val="24"/>
          <w:szCs w:val="24"/>
        </w:rPr>
        <w:t>veľkoplošných chránených území</w:t>
      </w:r>
      <w:r w:rsidRPr="002C7D73">
        <w:rPr>
          <w:rFonts w:ascii="Times New Roman" w:eastAsia="Calibri" w:hAnsi="Times New Roman"/>
          <w:sz w:val="24"/>
          <w:szCs w:val="24"/>
        </w:rPr>
        <w:t xml:space="preserve"> 1</w:t>
      </w:r>
      <w:r>
        <w:rPr>
          <w:rFonts w:ascii="Times New Roman" w:eastAsia="Calibri" w:hAnsi="Times New Roman"/>
          <w:sz w:val="24"/>
          <w:szCs w:val="24"/>
        </w:rPr>
        <w:t> </w:t>
      </w:r>
      <w:r w:rsidRPr="002C7D73">
        <w:rPr>
          <w:rFonts w:ascii="Times New Roman" w:eastAsia="Calibri" w:hAnsi="Times New Roman"/>
          <w:sz w:val="24"/>
          <w:szCs w:val="24"/>
        </w:rPr>
        <w:t>110</w:t>
      </w:r>
      <w:r>
        <w:rPr>
          <w:rFonts w:ascii="Times New Roman" w:eastAsia="Calibri" w:hAnsi="Times New Roman"/>
          <w:sz w:val="24"/>
          <w:szCs w:val="24"/>
        </w:rPr>
        <w:t>,6 tis</w:t>
      </w:r>
      <w:r w:rsidRPr="002C7D73">
        <w:rPr>
          <w:rFonts w:ascii="Times New Roman" w:eastAsia="Calibri" w:hAnsi="Times New Roman"/>
          <w:sz w:val="24"/>
          <w:szCs w:val="24"/>
        </w:rPr>
        <w:t xml:space="preserve"> ha je </w:t>
      </w:r>
      <w:proofErr w:type="spellStart"/>
      <w:r w:rsidRPr="002C7D73">
        <w:rPr>
          <w:rFonts w:ascii="Times New Roman" w:eastAsia="Calibri" w:hAnsi="Times New Roman"/>
          <w:sz w:val="24"/>
          <w:szCs w:val="24"/>
        </w:rPr>
        <w:t>pre</w:t>
      </w:r>
      <w:r>
        <w:rPr>
          <w:rFonts w:ascii="Times New Roman" w:eastAsia="Calibri" w:hAnsi="Times New Roman"/>
          <w:sz w:val="24"/>
          <w:szCs w:val="24"/>
        </w:rPr>
        <w:t>kryv</w:t>
      </w:r>
      <w:proofErr w:type="spellEnd"/>
      <w:r w:rsidRPr="002C7D73">
        <w:rPr>
          <w:rFonts w:ascii="Times New Roman" w:eastAsia="Calibri" w:hAnsi="Times New Roman"/>
          <w:sz w:val="24"/>
          <w:szCs w:val="24"/>
        </w:rPr>
        <w:t xml:space="preserve"> s</w:t>
      </w:r>
      <w:r>
        <w:rPr>
          <w:rFonts w:ascii="Times New Roman" w:eastAsia="Calibri" w:hAnsi="Times New Roman"/>
          <w:sz w:val="24"/>
          <w:szCs w:val="24"/>
        </w:rPr>
        <w:t> maloplošnými chránenými územiami</w:t>
      </w:r>
      <w:r w:rsidRPr="002C7D73">
        <w:rPr>
          <w:rFonts w:ascii="Times New Roman" w:eastAsia="Calibri" w:hAnsi="Times New Roman"/>
          <w:sz w:val="24"/>
          <w:szCs w:val="24"/>
        </w:rPr>
        <w:t xml:space="preserve"> na výmere 78</w:t>
      </w:r>
      <w:r>
        <w:rPr>
          <w:rFonts w:ascii="Times New Roman" w:eastAsia="Calibri" w:hAnsi="Times New Roman"/>
          <w:sz w:val="24"/>
          <w:szCs w:val="24"/>
        </w:rPr>
        <w:t xml:space="preserve">,4tis. </w:t>
      </w:r>
      <w:r w:rsidRPr="002C7D73">
        <w:rPr>
          <w:rFonts w:ascii="Times New Roman" w:eastAsia="Calibri" w:hAnsi="Times New Roman"/>
          <w:sz w:val="24"/>
          <w:szCs w:val="24"/>
        </w:rPr>
        <w:t>ha.</w:t>
      </w:r>
      <w:r>
        <w:rPr>
          <w:rFonts w:ascii="Times New Roman" w:eastAsia="Calibri" w:hAnsi="Times New Roman"/>
          <w:sz w:val="24"/>
          <w:szCs w:val="24"/>
        </w:rPr>
        <w:t xml:space="preserve"> C</w:t>
      </w:r>
      <w:r w:rsidRPr="00E40104">
        <w:rPr>
          <w:rFonts w:ascii="Times New Roman" w:eastAsia="Calibri" w:hAnsi="Times New Roman"/>
          <w:sz w:val="24"/>
          <w:szCs w:val="24"/>
        </w:rPr>
        <w:t>elková vý</w:t>
      </w:r>
      <w:r>
        <w:rPr>
          <w:rFonts w:ascii="Times New Roman" w:eastAsia="Calibri" w:hAnsi="Times New Roman"/>
          <w:sz w:val="24"/>
          <w:szCs w:val="24"/>
        </w:rPr>
        <w:t>mera chránených území v SR je takto na úrovni 1 139,8</w:t>
      </w:r>
      <w:r w:rsidRPr="00E40104">
        <w:rPr>
          <w:rFonts w:ascii="Times New Roman" w:eastAsia="Calibri" w:hAnsi="Times New Roman"/>
          <w:sz w:val="24"/>
          <w:szCs w:val="24"/>
        </w:rPr>
        <w:t xml:space="preserve"> tis. ha vrátane ochranné</w:t>
      </w:r>
      <w:r>
        <w:rPr>
          <w:rFonts w:ascii="Times New Roman" w:eastAsia="Calibri" w:hAnsi="Times New Roman"/>
          <w:sz w:val="24"/>
          <w:szCs w:val="24"/>
        </w:rPr>
        <w:t xml:space="preserve">ho </w:t>
      </w:r>
      <w:r w:rsidRPr="00E40104">
        <w:rPr>
          <w:rFonts w:ascii="Times New Roman" w:eastAsia="Calibri" w:hAnsi="Times New Roman"/>
          <w:sz w:val="24"/>
          <w:szCs w:val="24"/>
        </w:rPr>
        <w:t>pásma, č</w:t>
      </w:r>
      <w:r>
        <w:rPr>
          <w:rFonts w:ascii="Times New Roman" w:eastAsia="Calibri" w:hAnsi="Times New Roman"/>
          <w:sz w:val="24"/>
          <w:szCs w:val="24"/>
        </w:rPr>
        <w:t xml:space="preserve">o predstavuje cca 23 % </w:t>
      </w:r>
      <w:r w:rsidRPr="00E40104">
        <w:rPr>
          <w:rFonts w:ascii="Times New Roman" w:eastAsia="Calibri" w:hAnsi="Times New Roman"/>
          <w:sz w:val="24"/>
          <w:szCs w:val="24"/>
        </w:rPr>
        <w:t>územia Slovenska. Celková lesnatosť</w:t>
      </w:r>
      <w:r w:rsidR="00357C25">
        <w:rPr>
          <w:rFonts w:ascii="Times New Roman" w:eastAsia="Calibri" w:hAnsi="Times New Roman"/>
          <w:sz w:val="24"/>
          <w:szCs w:val="24"/>
        </w:rPr>
        <w:t xml:space="preserve"> </w:t>
      </w:r>
      <w:r w:rsidRPr="00E40104">
        <w:rPr>
          <w:rFonts w:ascii="Times New Roman" w:eastAsia="Calibri" w:hAnsi="Times New Roman"/>
          <w:sz w:val="24"/>
          <w:szCs w:val="24"/>
        </w:rPr>
        <w:t xml:space="preserve">chránených území </w:t>
      </w:r>
      <w:r>
        <w:rPr>
          <w:rFonts w:ascii="Times New Roman" w:eastAsia="Calibri" w:hAnsi="Times New Roman"/>
          <w:sz w:val="24"/>
          <w:szCs w:val="24"/>
        </w:rPr>
        <w:t xml:space="preserve">je na úrovni 59,4%. Plocha týchto území </w:t>
      </w:r>
      <w:r w:rsidRPr="00E40104">
        <w:rPr>
          <w:rFonts w:ascii="Times New Roman" w:eastAsia="Calibri" w:hAnsi="Times New Roman"/>
          <w:sz w:val="24"/>
          <w:szCs w:val="24"/>
        </w:rPr>
        <w:t>v pomere k výmere štátu i lesnýc</w:t>
      </w:r>
      <w:r>
        <w:rPr>
          <w:rFonts w:ascii="Times New Roman" w:eastAsia="Calibri" w:hAnsi="Times New Roman"/>
          <w:sz w:val="24"/>
          <w:szCs w:val="24"/>
        </w:rPr>
        <w:t xml:space="preserve">h pozemkov, ako aj z európskeho </w:t>
      </w:r>
      <w:r w:rsidRPr="00E40104">
        <w:rPr>
          <w:rFonts w:ascii="Times New Roman" w:eastAsia="Calibri" w:hAnsi="Times New Roman"/>
          <w:sz w:val="24"/>
          <w:szCs w:val="24"/>
        </w:rPr>
        <w:t>i globá</w:t>
      </w:r>
      <w:r>
        <w:rPr>
          <w:rFonts w:ascii="Times New Roman" w:eastAsia="Calibri" w:hAnsi="Times New Roman"/>
          <w:sz w:val="24"/>
          <w:szCs w:val="24"/>
        </w:rPr>
        <w:t xml:space="preserve">lneho hľadiska je nadpriemerná. </w:t>
      </w:r>
    </w:p>
    <w:p w:rsidR="00BE691E" w:rsidRDefault="00BE691E" w:rsidP="00BE691E">
      <w:pPr>
        <w:spacing w:after="0" w:line="240" w:lineRule="auto"/>
        <w:jc w:val="both"/>
        <w:rPr>
          <w:rFonts w:ascii="Times New Roman" w:eastAsia="Calibri" w:hAnsi="Times New Roman"/>
          <w:sz w:val="24"/>
          <w:szCs w:val="24"/>
        </w:rPr>
      </w:pPr>
    </w:p>
    <w:p w:rsidR="00BE691E" w:rsidRPr="00E40104" w:rsidRDefault="00BE691E" w:rsidP="00BE691E">
      <w:pPr>
        <w:spacing w:after="0" w:line="240" w:lineRule="auto"/>
        <w:jc w:val="both"/>
        <w:rPr>
          <w:rFonts w:ascii="Times New Roman" w:eastAsia="Calibri" w:hAnsi="Times New Roman"/>
          <w:sz w:val="24"/>
          <w:szCs w:val="24"/>
        </w:rPr>
      </w:pPr>
      <w:r w:rsidRPr="00E40104">
        <w:rPr>
          <w:rFonts w:ascii="Times New Roman" w:eastAsia="Calibri" w:hAnsi="Times New Roman"/>
          <w:sz w:val="24"/>
          <w:szCs w:val="24"/>
        </w:rPr>
        <w:t>Zásoba dreva v lesných p</w:t>
      </w:r>
      <w:r>
        <w:rPr>
          <w:rFonts w:ascii="Times New Roman" w:eastAsia="Calibri" w:hAnsi="Times New Roman"/>
          <w:sz w:val="24"/>
          <w:szCs w:val="24"/>
        </w:rPr>
        <w:t>orastoch sa, oproti referenčnému roku 2002 zvýšila o cca 10 % a v roku 2011 dosiahla 466,1</w:t>
      </w:r>
      <w:r w:rsidRPr="00E40104">
        <w:rPr>
          <w:rFonts w:ascii="Times New Roman" w:eastAsia="Calibri" w:hAnsi="Times New Roman"/>
          <w:sz w:val="24"/>
          <w:szCs w:val="24"/>
        </w:rPr>
        <w:t xml:space="preserve"> mil. m</w:t>
      </w:r>
      <w:r w:rsidRPr="0047352B">
        <w:rPr>
          <w:rFonts w:ascii="Times New Roman" w:eastAsia="Calibri" w:hAnsi="Times New Roman"/>
          <w:sz w:val="24"/>
          <w:szCs w:val="24"/>
          <w:vertAlign w:val="superscript"/>
        </w:rPr>
        <w:t>3</w:t>
      </w:r>
      <w:r w:rsidRPr="00E40104">
        <w:rPr>
          <w:rFonts w:ascii="Times New Roman" w:eastAsia="Calibri" w:hAnsi="Times New Roman"/>
          <w:sz w:val="24"/>
          <w:szCs w:val="24"/>
        </w:rPr>
        <w:t xml:space="preserve"> hrubiny bez kôry. Pri</w:t>
      </w:r>
      <w:r>
        <w:rPr>
          <w:rFonts w:ascii="Times New Roman" w:eastAsia="Calibri" w:hAnsi="Times New Roman"/>
          <w:sz w:val="24"/>
          <w:szCs w:val="24"/>
        </w:rPr>
        <w:t>emerná zásoba na ha je 241 m</w:t>
      </w:r>
      <w:r w:rsidRPr="0047352B">
        <w:rPr>
          <w:rFonts w:ascii="Times New Roman" w:eastAsia="Calibri" w:hAnsi="Times New Roman"/>
          <w:sz w:val="24"/>
          <w:szCs w:val="24"/>
          <w:vertAlign w:val="superscript"/>
        </w:rPr>
        <w:t>3</w:t>
      </w:r>
      <w:r>
        <w:rPr>
          <w:rFonts w:ascii="Times New Roman" w:eastAsia="Calibri" w:hAnsi="Times New Roman"/>
          <w:sz w:val="24"/>
          <w:szCs w:val="24"/>
        </w:rPr>
        <w:t xml:space="preserve">, čo oproti referenčnému obdobiu znamená nárast o cca 9 %. Na </w:t>
      </w:r>
      <w:r w:rsidRPr="00E40104">
        <w:rPr>
          <w:rFonts w:ascii="Times New Roman" w:eastAsia="Calibri" w:hAnsi="Times New Roman"/>
          <w:sz w:val="24"/>
          <w:szCs w:val="24"/>
        </w:rPr>
        <w:t>zvyšova</w:t>
      </w:r>
      <w:r>
        <w:rPr>
          <w:rFonts w:ascii="Times New Roman" w:eastAsia="Calibri" w:hAnsi="Times New Roman"/>
          <w:sz w:val="24"/>
          <w:szCs w:val="24"/>
        </w:rPr>
        <w:t xml:space="preserve">ní zásob dreva sa podieľa najmä </w:t>
      </w:r>
      <w:r w:rsidRPr="00E40104">
        <w:rPr>
          <w:rFonts w:ascii="Times New Roman" w:eastAsia="Calibri" w:hAnsi="Times New Roman"/>
          <w:sz w:val="24"/>
          <w:szCs w:val="24"/>
        </w:rPr>
        <w:t xml:space="preserve">nadnormálne plošné zastúpenie </w:t>
      </w:r>
      <w:r w:rsidRPr="0047352B">
        <w:rPr>
          <w:rFonts w:ascii="Times New Roman" w:eastAsia="Calibri" w:hAnsi="Times New Roman"/>
          <w:sz w:val="24"/>
          <w:szCs w:val="24"/>
        </w:rPr>
        <w:t>lesov v 7., 8., 9. a 10. vekovom stupni.</w:t>
      </w:r>
    </w:p>
    <w:p w:rsidR="00BE691E" w:rsidRDefault="00BE691E"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sidRPr="00E40104">
        <w:rPr>
          <w:rFonts w:ascii="Times New Roman" w:eastAsia="Calibri" w:hAnsi="Times New Roman"/>
          <w:sz w:val="24"/>
          <w:szCs w:val="24"/>
        </w:rPr>
        <w:t xml:space="preserve">Ťažba dreva má </w:t>
      </w:r>
      <w:r>
        <w:rPr>
          <w:rFonts w:ascii="Times New Roman" w:eastAsia="Calibri" w:hAnsi="Times New Roman"/>
          <w:sz w:val="24"/>
          <w:szCs w:val="24"/>
        </w:rPr>
        <w:t>v súčasnosti klesajúcu tendenciu, keď v roku 2011 dosiahla objem cca 9,5 mil. m</w:t>
      </w:r>
      <w:r w:rsidRPr="00CD7CEC">
        <w:rPr>
          <w:rFonts w:ascii="Times New Roman" w:eastAsia="Calibri" w:hAnsi="Times New Roman"/>
          <w:sz w:val="24"/>
          <w:szCs w:val="24"/>
          <w:vertAlign w:val="superscript"/>
        </w:rPr>
        <w:t>3</w:t>
      </w:r>
      <w:r>
        <w:rPr>
          <w:rFonts w:ascii="Times New Roman" w:eastAsia="Calibri" w:hAnsi="Times New Roman"/>
          <w:sz w:val="24"/>
          <w:szCs w:val="24"/>
        </w:rPr>
        <w:t>. Oproti referenčnému obdobiu 2002 znamenal tento objem ťažby rast o cca 51 % avšak oproti rekordnému roku ide o prepad na úrovni 7,2 %. V súčasnosti dosahované vysoké ťažby</w:t>
      </w:r>
      <w:r w:rsidRPr="00E40104">
        <w:rPr>
          <w:rFonts w:ascii="Times New Roman" w:eastAsia="Calibri" w:hAnsi="Times New Roman"/>
          <w:sz w:val="24"/>
          <w:szCs w:val="24"/>
        </w:rPr>
        <w:t xml:space="preserve"> dreva spôs</w:t>
      </w:r>
      <w:r>
        <w:rPr>
          <w:rFonts w:ascii="Times New Roman" w:eastAsia="Calibri" w:hAnsi="Times New Roman"/>
          <w:sz w:val="24"/>
          <w:szCs w:val="24"/>
        </w:rPr>
        <w:t xml:space="preserve">obili spracovávanie kalamitného </w:t>
      </w:r>
      <w:r w:rsidRPr="00E40104">
        <w:rPr>
          <w:rFonts w:ascii="Times New Roman" w:eastAsia="Calibri" w:hAnsi="Times New Roman"/>
          <w:sz w:val="24"/>
          <w:szCs w:val="24"/>
        </w:rPr>
        <w:t xml:space="preserve">dreva po veternej smršti z </w:t>
      </w:r>
      <w:r>
        <w:rPr>
          <w:rFonts w:ascii="Times New Roman" w:eastAsia="Calibri" w:hAnsi="Times New Roman"/>
          <w:sz w:val="24"/>
          <w:szCs w:val="24"/>
        </w:rPr>
        <w:t xml:space="preserve">novembra 2004. Z dôvodu veľkého </w:t>
      </w:r>
      <w:r w:rsidRPr="00E40104">
        <w:rPr>
          <w:rFonts w:ascii="Times New Roman" w:eastAsia="Calibri" w:hAnsi="Times New Roman"/>
          <w:sz w:val="24"/>
          <w:szCs w:val="24"/>
        </w:rPr>
        <w:t xml:space="preserve">rozsahu náhodných </w:t>
      </w:r>
      <w:r>
        <w:rPr>
          <w:rFonts w:ascii="Times New Roman" w:eastAsia="Calibri" w:hAnsi="Times New Roman"/>
          <w:sz w:val="24"/>
          <w:szCs w:val="24"/>
        </w:rPr>
        <w:t xml:space="preserve">ťažieb dochádza k prekračovaniu </w:t>
      </w:r>
      <w:r w:rsidRPr="00E40104">
        <w:rPr>
          <w:rFonts w:ascii="Times New Roman" w:eastAsia="Calibri" w:hAnsi="Times New Roman"/>
          <w:sz w:val="24"/>
          <w:szCs w:val="24"/>
        </w:rPr>
        <w:t>ročného o</w:t>
      </w:r>
      <w:r>
        <w:rPr>
          <w:rFonts w:ascii="Times New Roman" w:eastAsia="Calibri" w:hAnsi="Times New Roman"/>
          <w:sz w:val="24"/>
          <w:szCs w:val="24"/>
        </w:rPr>
        <w:t xml:space="preserve">bjemu celkovej ťažby plánovanej </w:t>
      </w:r>
      <w:r w:rsidRPr="00E40104">
        <w:rPr>
          <w:rFonts w:ascii="Times New Roman" w:eastAsia="Calibri" w:hAnsi="Times New Roman"/>
          <w:sz w:val="24"/>
          <w:szCs w:val="24"/>
        </w:rPr>
        <w:t>v</w:t>
      </w:r>
      <w:r>
        <w:rPr>
          <w:rFonts w:ascii="Times New Roman" w:eastAsia="Calibri" w:hAnsi="Times New Roman"/>
          <w:sz w:val="24"/>
          <w:szCs w:val="24"/>
        </w:rPr>
        <w:t xml:space="preserve"> platných lesných hospodárskych </w:t>
      </w:r>
      <w:r w:rsidRPr="00E40104">
        <w:rPr>
          <w:rFonts w:ascii="Times New Roman" w:eastAsia="Calibri" w:hAnsi="Times New Roman"/>
          <w:sz w:val="24"/>
          <w:szCs w:val="24"/>
        </w:rPr>
        <w:t xml:space="preserve">plánoch, a to </w:t>
      </w:r>
      <w:r w:rsidR="00FD596E">
        <w:rPr>
          <w:rFonts w:ascii="Times New Roman" w:eastAsia="Calibri" w:hAnsi="Times New Roman"/>
          <w:sz w:val="24"/>
          <w:szCs w:val="24"/>
        </w:rPr>
        <w:t>od</w:t>
      </w:r>
      <w:r>
        <w:rPr>
          <w:rFonts w:ascii="Times New Roman" w:eastAsia="Calibri" w:hAnsi="Times New Roman"/>
          <w:sz w:val="24"/>
          <w:szCs w:val="24"/>
        </w:rPr>
        <w:t xml:space="preserve"> roku 2004 v priemere o 11 %. Zvyšovaním ťažby dreva sa </w:t>
      </w:r>
      <w:r w:rsidRPr="00E40104">
        <w:rPr>
          <w:rFonts w:ascii="Times New Roman" w:eastAsia="Calibri" w:hAnsi="Times New Roman"/>
          <w:sz w:val="24"/>
          <w:szCs w:val="24"/>
        </w:rPr>
        <w:t>zvyšu</w:t>
      </w:r>
      <w:r>
        <w:rPr>
          <w:rFonts w:ascii="Times New Roman" w:eastAsia="Calibri" w:hAnsi="Times New Roman"/>
          <w:sz w:val="24"/>
          <w:szCs w:val="24"/>
        </w:rPr>
        <w:t xml:space="preserve">jú tržby a ekonomický potenciál lesného hospodárstva. Prekračovaním jej plánovaného </w:t>
      </w:r>
      <w:r w:rsidRPr="00E40104">
        <w:rPr>
          <w:rFonts w:ascii="Times New Roman" w:eastAsia="Calibri" w:hAnsi="Times New Roman"/>
          <w:sz w:val="24"/>
          <w:szCs w:val="24"/>
        </w:rPr>
        <w:t>objem</w:t>
      </w:r>
      <w:r>
        <w:rPr>
          <w:rFonts w:ascii="Times New Roman" w:eastAsia="Calibri" w:hAnsi="Times New Roman"/>
          <w:sz w:val="24"/>
          <w:szCs w:val="24"/>
        </w:rPr>
        <w:t xml:space="preserve">u z dôvodu realizácie náhodných ťažieb sa však znižujú budúce ťažbové možnosti. </w:t>
      </w:r>
    </w:p>
    <w:p w:rsidR="00BE691E" w:rsidRDefault="00BE691E"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Vysoký </w:t>
      </w:r>
      <w:r w:rsidRPr="00E40104">
        <w:rPr>
          <w:rFonts w:ascii="Times New Roman" w:eastAsia="Calibri" w:hAnsi="Times New Roman"/>
          <w:sz w:val="24"/>
          <w:szCs w:val="24"/>
        </w:rPr>
        <w:t>rozsah náhodných ť</w:t>
      </w:r>
      <w:r>
        <w:rPr>
          <w:rFonts w:ascii="Times New Roman" w:eastAsia="Calibri" w:hAnsi="Times New Roman"/>
          <w:sz w:val="24"/>
          <w:szCs w:val="24"/>
        </w:rPr>
        <w:t xml:space="preserve">ažieb vyplýva aj z neuspokojivého zdravotného stavu lesov vyplývajúceho najmä </w:t>
      </w:r>
      <w:r w:rsidRPr="00E40104">
        <w:rPr>
          <w:rFonts w:ascii="Times New Roman" w:eastAsia="Calibri" w:hAnsi="Times New Roman"/>
          <w:sz w:val="24"/>
          <w:szCs w:val="24"/>
        </w:rPr>
        <w:t>z vysoký</w:t>
      </w:r>
      <w:r>
        <w:rPr>
          <w:rFonts w:ascii="Times New Roman" w:eastAsia="Calibri" w:hAnsi="Times New Roman"/>
          <w:sz w:val="24"/>
          <w:szCs w:val="24"/>
        </w:rPr>
        <w:t xml:space="preserve">ch imisných záťaží a následného zníženia </w:t>
      </w:r>
      <w:proofErr w:type="spellStart"/>
      <w:r>
        <w:rPr>
          <w:rFonts w:ascii="Times New Roman" w:eastAsia="Calibri" w:hAnsi="Times New Roman"/>
          <w:sz w:val="24"/>
          <w:szCs w:val="24"/>
        </w:rPr>
        <w:t>odolnostného</w:t>
      </w:r>
      <w:proofErr w:type="spellEnd"/>
      <w:r w:rsidR="003748EC">
        <w:rPr>
          <w:rFonts w:ascii="Times New Roman" w:eastAsia="Calibri" w:hAnsi="Times New Roman"/>
          <w:sz w:val="24"/>
          <w:szCs w:val="24"/>
        </w:rPr>
        <w:t xml:space="preserve"> </w:t>
      </w:r>
      <w:r w:rsidRPr="00E40104">
        <w:rPr>
          <w:rFonts w:ascii="Times New Roman" w:eastAsia="Calibri" w:hAnsi="Times New Roman"/>
          <w:sz w:val="24"/>
          <w:szCs w:val="24"/>
        </w:rPr>
        <w:t>pot</w:t>
      </w:r>
      <w:r>
        <w:rPr>
          <w:rFonts w:ascii="Times New Roman" w:eastAsia="Calibri" w:hAnsi="Times New Roman"/>
          <w:sz w:val="24"/>
          <w:szCs w:val="24"/>
        </w:rPr>
        <w:t xml:space="preserve">enciálu lesa, najmä ihličnatých </w:t>
      </w:r>
      <w:r w:rsidRPr="00E40104">
        <w:rPr>
          <w:rFonts w:ascii="Times New Roman" w:eastAsia="Calibri" w:hAnsi="Times New Roman"/>
          <w:sz w:val="24"/>
          <w:szCs w:val="24"/>
        </w:rPr>
        <w:t>pora</w:t>
      </w:r>
      <w:r>
        <w:rPr>
          <w:rFonts w:ascii="Times New Roman" w:eastAsia="Calibri" w:hAnsi="Times New Roman"/>
          <w:sz w:val="24"/>
          <w:szCs w:val="24"/>
        </w:rPr>
        <w:t xml:space="preserve">stov s prevládajúcim zastúpením smreka. Celkový rozsah obnovy a umelá </w:t>
      </w:r>
      <w:r w:rsidRPr="00E40104">
        <w:rPr>
          <w:rFonts w:ascii="Times New Roman" w:eastAsia="Calibri" w:hAnsi="Times New Roman"/>
          <w:sz w:val="24"/>
          <w:szCs w:val="24"/>
        </w:rPr>
        <w:t xml:space="preserve">obnova </w:t>
      </w:r>
      <w:r>
        <w:rPr>
          <w:rFonts w:ascii="Times New Roman" w:eastAsia="Calibri" w:hAnsi="Times New Roman"/>
          <w:sz w:val="24"/>
          <w:szCs w:val="24"/>
        </w:rPr>
        <w:t xml:space="preserve">lesných porastov má klesajúcu tendenciu. V dôsledku </w:t>
      </w:r>
      <w:r w:rsidRPr="00E40104">
        <w:rPr>
          <w:rFonts w:ascii="Times New Roman" w:eastAsia="Calibri" w:hAnsi="Times New Roman"/>
          <w:sz w:val="24"/>
          <w:szCs w:val="24"/>
        </w:rPr>
        <w:t>uplatňov</w:t>
      </w:r>
      <w:r>
        <w:rPr>
          <w:rFonts w:ascii="Times New Roman" w:eastAsia="Calibri" w:hAnsi="Times New Roman"/>
          <w:sz w:val="24"/>
          <w:szCs w:val="24"/>
        </w:rPr>
        <w:t xml:space="preserve">ania podrastového hospodárskeho spôsobu však stúpa podiel prirodzenej obnovy, a to zo zhruba 10 % v období rokov 2002 na 39,5 % v roku 2011. </w:t>
      </w:r>
    </w:p>
    <w:p w:rsidR="00BE691E" w:rsidRDefault="00BE691E"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sidRPr="00B071A8">
        <w:rPr>
          <w:rFonts w:ascii="Times New Roman" w:eastAsia="Calibri" w:hAnsi="Times New Roman"/>
          <w:sz w:val="24"/>
          <w:szCs w:val="24"/>
        </w:rPr>
        <w:t>Rozsah starostlivosti o mladé lesné porasty má za posledné roky stúpajúci trend, čo má pozitívny vplyv na odrastanie a vývoj mladých lesných porastov</w:t>
      </w:r>
      <w:r>
        <w:rPr>
          <w:rFonts w:ascii="Times New Roman" w:eastAsia="Calibri" w:hAnsi="Times New Roman"/>
          <w:sz w:val="24"/>
          <w:szCs w:val="24"/>
        </w:rPr>
        <w:t xml:space="preserve">. V porovnaní s rozsahom starostlivosti o mladé lesné porasty v referenčnom roku 2002 došlo v roku 2011 k nárastu o 770 ha. </w:t>
      </w:r>
      <w:proofErr w:type="spellStart"/>
      <w:r w:rsidRPr="00B071A8">
        <w:rPr>
          <w:rFonts w:ascii="Times New Roman" w:eastAsia="Calibri" w:hAnsi="Times New Roman"/>
          <w:sz w:val="24"/>
          <w:szCs w:val="24"/>
        </w:rPr>
        <w:t>Prečistky</w:t>
      </w:r>
      <w:proofErr w:type="spellEnd"/>
      <w:r w:rsidRPr="00B071A8">
        <w:rPr>
          <w:rFonts w:ascii="Times New Roman" w:eastAsia="Calibri" w:hAnsi="Times New Roman"/>
          <w:sz w:val="24"/>
          <w:szCs w:val="24"/>
        </w:rPr>
        <w:t xml:space="preserve"> sa v roku 2011 vykonali na ploche 27 117 ha, čo je </w:t>
      </w:r>
      <w:r>
        <w:rPr>
          <w:rFonts w:ascii="Times New Roman" w:eastAsia="Calibri" w:hAnsi="Times New Roman"/>
          <w:sz w:val="24"/>
          <w:szCs w:val="24"/>
        </w:rPr>
        <w:t>98,6</w:t>
      </w:r>
      <w:r w:rsidRPr="00B071A8">
        <w:rPr>
          <w:rFonts w:ascii="Times New Roman" w:eastAsia="Calibri" w:hAnsi="Times New Roman"/>
          <w:sz w:val="24"/>
          <w:szCs w:val="24"/>
        </w:rPr>
        <w:t xml:space="preserve"> % plánovaného rozsahu. </w:t>
      </w:r>
      <w:r>
        <w:rPr>
          <w:rFonts w:ascii="Times New Roman" w:eastAsia="Calibri" w:hAnsi="Times New Roman"/>
          <w:sz w:val="24"/>
          <w:szCs w:val="24"/>
        </w:rPr>
        <w:t>Aj napriek pozitívnemu vývoju oproti rokom 2009 a 2010, o</w:t>
      </w:r>
      <w:r w:rsidRPr="00B071A8">
        <w:rPr>
          <w:rFonts w:ascii="Times New Roman" w:eastAsia="Calibri" w:hAnsi="Times New Roman"/>
          <w:sz w:val="24"/>
          <w:szCs w:val="24"/>
        </w:rPr>
        <w:t>proti skutočnosti v</w:t>
      </w:r>
      <w:r>
        <w:rPr>
          <w:rFonts w:ascii="Times New Roman" w:eastAsia="Calibri" w:hAnsi="Times New Roman"/>
          <w:sz w:val="24"/>
          <w:szCs w:val="24"/>
        </w:rPr>
        <w:t xml:space="preserve"> referenčnom </w:t>
      </w:r>
      <w:r w:rsidRPr="00B071A8">
        <w:rPr>
          <w:rFonts w:ascii="Times New Roman" w:eastAsia="Calibri" w:hAnsi="Times New Roman"/>
          <w:sz w:val="24"/>
          <w:szCs w:val="24"/>
        </w:rPr>
        <w:t xml:space="preserve">roku </w:t>
      </w:r>
      <w:r>
        <w:rPr>
          <w:rFonts w:ascii="Times New Roman" w:eastAsia="Calibri" w:hAnsi="Times New Roman"/>
          <w:sz w:val="24"/>
          <w:szCs w:val="24"/>
        </w:rPr>
        <w:t>2002</w:t>
      </w:r>
      <w:r w:rsidRPr="00B071A8">
        <w:rPr>
          <w:rFonts w:ascii="Times New Roman" w:eastAsia="Calibri" w:hAnsi="Times New Roman"/>
          <w:sz w:val="24"/>
          <w:szCs w:val="24"/>
        </w:rPr>
        <w:t xml:space="preserve"> je to </w:t>
      </w:r>
      <w:r>
        <w:rPr>
          <w:rFonts w:ascii="Times New Roman" w:eastAsia="Calibri" w:hAnsi="Times New Roman"/>
          <w:sz w:val="24"/>
          <w:szCs w:val="24"/>
        </w:rPr>
        <w:t>pokles</w:t>
      </w:r>
      <w:r w:rsidRPr="00B071A8">
        <w:rPr>
          <w:rFonts w:ascii="Times New Roman" w:eastAsia="Calibri" w:hAnsi="Times New Roman"/>
          <w:sz w:val="24"/>
          <w:szCs w:val="24"/>
        </w:rPr>
        <w:t xml:space="preserve"> o</w:t>
      </w:r>
      <w:r>
        <w:rPr>
          <w:rFonts w:ascii="Times New Roman" w:eastAsia="Calibri" w:hAnsi="Times New Roman"/>
          <w:sz w:val="24"/>
          <w:szCs w:val="24"/>
        </w:rPr>
        <w:t> viac ako 20</w:t>
      </w:r>
      <w:r w:rsidRPr="00B071A8">
        <w:rPr>
          <w:rFonts w:ascii="Times New Roman" w:eastAsia="Calibri" w:hAnsi="Times New Roman"/>
          <w:sz w:val="24"/>
          <w:szCs w:val="24"/>
        </w:rPr>
        <w:t xml:space="preserve"> %. </w:t>
      </w:r>
      <w:r>
        <w:rPr>
          <w:rFonts w:ascii="Times New Roman" w:eastAsia="Calibri" w:hAnsi="Times New Roman"/>
          <w:sz w:val="24"/>
          <w:szCs w:val="24"/>
        </w:rPr>
        <w:t>Klesajúca</w:t>
      </w:r>
      <w:r w:rsidRPr="00B071A8">
        <w:rPr>
          <w:rFonts w:ascii="Times New Roman" w:eastAsia="Calibri" w:hAnsi="Times New Roman"/>
          <w:sz w:val="24"/>
          <w:szCs w:val="24"/>
        </w:rPr>
        <w:t xml:space="preserve"> výmera vykonávaných </w:t>
      </w:r>
      <w:proofErr w:type="spellStart"/>
      <w:r w:rsidRPr="00B071A8">
        <w:rPr>
          <w:rFonts w:ascii="Times New Roman" w:eastAsia="Calibri" w:hAnsi="Times New Roman"/>
          <w:sz w:val="24"/>
          <w:szCs w:val="24"/>
        </w:rPr>
        <w:t>prečistiek</w:t>
      </w:r>
      <w:proofErr w:type="spellEnd"/>
      <w:r w:rsidRPr="00B071A8">
        <w:rPr>
          <w:rFonts w:ascii="Times New Roman" w:eastAsia="Calibri" w:hAnsi="Times New Roman"/>
          <w:sz w:val="24"/>
          <w:szCs w:val="24"/>
        </w:rPr>
        <w:t xml:space="preserve"> je </w:t>
      </w:r>
      <w:r>
        <w:rPr>
          <w:rFonts w:ascii="Times New Roman" w:eastAsia="Calibri" w:hAnsi="Times New Roman"/>
          <w:sz w:val="24"/>
          <w:szCs w:val="24"/>
        </w:rPr>
        <w:t>negatívnym</w:t>
      </w:r>
      <w:r w:rsidRPr="00B071A8">
        <w:rPr>
          <w:rFonts w:ascii="Times New Roman" w:eastAsia="Calibri" w:hAnsi="Times New Roman"/>
          <w:sz w:val="24"/>
          <w:szCs w:val="24"/>
        </w:rPr>
        <w:t xml:space="preserve"> javom z hľadiska výchovy mladých lesných porastov, ich vývoja, druhovej a priestorovej štruktúry, zdravotného stavu, odolnosti a kvality.</w:t>
      </w:r>
    </w:p>
    <w:p w:rsidR="00D60ED7" w:rsidRDefault="00D60ED7" w:rsidP="00BE691E">
      <w:pPr>
        <w:spacing w:after="0" w:line="240" w:lineRule="auto"/>
        <w:jc w:val="both"/>
        <w:rPr>
          <w:rFonts w:ascii="Times New Roman" w:eastAsia="Calibri" w:hAnsi="Times New Roman"/>
          <w:sz w:val="24"/>
          <w:szCs w:val="24"/>
        </w:rPr>
      </w:pPr>
    </w:p>
    <w:p w:rsidR="000F6F7E" w:rsidRDefault="000F6F7E" w:rsidP="00BE691E">
      <w:pPr>
        <w:spacing w:after="0" w:line="240" w:lineRule="auto"/>
        <w:jc w:val="both"/>
        <w:rPr>
          <w:rFonts w:ascii="Times New Roman" w:eastAsia="Calibri" w:hAnsi="Times New Roman"/>
          <w:sz w:val="24"/>
          <w:szCs w:val="24"/>
        </w:rPr>
      </w:pPr>
    </w:p>
    <w:p w:rsidR="000F6F7E" w:rsidRDefault="000F6F7E" w:rsidP="00BE691E">
      <w:pPr>
        <w:spacing w:after="0" w:line="240" w:lineRule="auto"/>
        <w:jc w:val="both"/>
        <w:rPr>
          <w:rFonts w:ascii="Times New Roman" w:eastAsia="Calibri" w:hAnsi="Times New Roman"/>
          <w:sz w:val="24"/>
          <w:szCs w:val="24"/>
        </w:rPr>
      </w:pPr>
    </w:p>
    <w:p w:rsidR="00850910" w:rsidRDefault="00850910" w:rsidP="00BE691E">
      <w:pPr>
        <w:spacing w:after="0" w:line="240" w:lineRule="auto"/>
        <w:jc w:val="both"/>
        <w:rPr>
          <w:rFonts w:ascii="Times New Roman" w:eastAsia="Calibri" w:hAnsi="Times New Roman"/>
          <w:sz w:val="24"/>
          <w:szCs w:val="24"/>
        </w:rPr>
      </w:pPr>
    </w:p>
    <w:p w:rsidR="00850910" w:rsidRDefault="00850910" w:rsidP="00BE691E">
      <w:pPr>
        <w:spacing w:after="0" w:line="240" w:lineRule="auto"/>
        <w:jc w:val="both"/>
        <w:rPr>
          <w:rFonts w:ascii="Times New Roman" w:eastAsia="Calibri" w:hAnsi="Times New Roman"/>
          <w:sz w:val="24"/>
          <w:szCs w:val="24"/>
        </w:rPr>
      </w:pPr>
    </w:p>
    <w:p w:rsidR="00A93F56" w:rsidRDefault="00A93F56" w:rsidP="00BE691E">
      <w:pPr>
        <w:spacing w:after="0" w:line="240" w:lineRule="auto"/>
        <w:jc w:val="both"/>
        <w:rPr>
          <w:rFonts w:ascii="Times New Roman" w:eastAsia="Calibri" w:hAnsi="Times New Roman"/>
          <w:sz w:val="24"/>
          <w:szCs w:val="24"/>
        </w:rPr>
      </w:pPr>
    </w:p>
    <w:p w:rsidR="00850910" w:rsidRDefault="00850910" w:rsidP="00BE691E">
      <w:pPr>
        <w:spacing w:after="0" w:line="240" w:lineRule="auto"/>
        <w:jc w:val="both"/>
        <w:rPr>
          <w:rFonts w:ascii="Times New Roman" w:eastAsia="Calibri" w:hAnsi="Times New Roman"/>
          <w:sz w:val="24"/>
          <w:szCs w:val="24"/>
        </w:rPr>
      </w:pPr>
    </w:p>
    <w:p w:rsidR="00BE691E" w:rsidRPr="00F02B0F" w:rsidRDefault="00C970F8" w:rsidP="00BE691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60</w:t>
      </w:r>
      <w:r w:rsidR="00BE691E" w:rsidRPr="00155936">
        <w:rPr>
          <w:rFonts w:ascii="Times New Roman" w:hAnsi="Times New Roman" w:cs="Times New Roman"/>
          <w:sz w:val="20"/>
          <w:szCs w:val="20"/>
        </w:rPr>
        <w:t>:</w:t>
      </w:r>
      <w:r w:rsidR="00BE691E">
        <w:rPr>
          <w:rFonts w:ascii="Times New Roman" w:hAnsi="Times New Roman" w:cs="Times New Roman"/>
          <w:sz w:val="20"/>
          <w:szCs w:val="20"/>
        </w:rPr>
        <w:t xml:space="preserve"> Vývoj ochrany mladých lesných porastov a </w:t>
      </w:r>
      <w:proofErr w:type="spellStart"/>
      <w:r w:rsidR="00BE691E">
        <w:rPr>
          <w:rFonts w:ascii="Times New Roman" w:hAnsi="Times New Roman" w:cs="Times New Roman"/>
          <w:sz w:val="20"/>
          <w:szCs w:val="20"/>
        </w:rPr>
        <w:t>prečistiek</w:t>
      </w:r>
      <w:proofErr w:type="spellEnd"/>
    </w:p>
    <w:p w:rsidR="00BE691E" w:rsidRDefault="00BE691E" w:rsidP="00BE691E">
      <w:pPr>
        <w:spacing w:after="0" w:line="240" w:lineRule="auto"/>
        <w:jc w:val="both"/>
        <w:rPr>
          <w:rFonts w:ascii="Times New Roman" w:eastAsia="Calibri" w:hAnsi="Times New Roman"/>
          <w:sz w:val="24"/>
          <w:szCs w:val="24"/>
        </w:rPr>
      </w:pPr>
      <w:r>
        <w:rPr>
          <w:noProof/>
        </w:rPr>
        <w:drawing>
          <wp:inline distT="0" distB="0" distL="0" distR="0" wp14:anchorId="303CC83F" wp14:editId="26DADDF9">
            <wp:extent cx="5747657" cy="2422567"/>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BE691E" w:rsidRPr="00C431FF" w:rsidRDefault="00BE691E" w:rsidP="00BE691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NLC-ÚLZI Zvolen</w:t>
      </w:r>
    </w:p>
    <w:p w:rsidR="00BE691E" w:rsidRDefault="00BE691E"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sidRPr="0009727A">
        <w:rPr>
          <w:rFonts w:ascii="Times New Roman" w:eastAsia="Calibri" w:hAnsi="Times New Roman"/>
          <w:sz w:val="24"/>
          <w:szCs w:val="24"/>
        </w:rPr>
        <w:t>Celkový rozsah ochrany</w:t>
      </w:r>
      <w:r>
        <w:rPr>
          <w:rFonts w:ascii="Times New Roman" w:eastAsia="Calibri" w:hAnsi="Times New Roman"/>
          <w:sz w:val="24"/>
          <w:szCs w:val="24"/>
        </w:rPr>
        <w:t xml:space="preserve"> a ošetrovania </w:t>
      </w:r>
      <w:r w:rsidRPr="00E40104">
        <w:rPr>
          <w:rFonts w:ascii="Times New Roman" w:eastAsia="Calibri" w:hAnsi="Times New Roman"/>
          <w:sz w:val="24"/>
          <w:szCs w:val="24"/>
        </w:rPr>
        <w:t>mladých les</w:t>
      </w:r>
      <w:r>
        <w:rPr>
          <w:rFonts w:ascii="Times New Roman" w:eastAsia="Calibri" w:hAnsi="Times New Roman"/>
          <w:sz w:val="24"/>
          <w:szCs w:val="24"/>
        </w:rPr>
        <w:t xml:space="preserve">ných porastov kulminuje na úrovni          cca 85 – 90 % oproti rozsahu v referenčnom roku 2002, a to najmä z dôvodu zvyšovania rozsahu prirodzeného </w:t>
      </w:r>
      <w:r w:rsidRPr="00E40104">
        <w:rPr>
          <w:rFonts w:ascii="Times New Roman" w:eastAsia="Calibri" w:hAnsi="Times New Roman"/>
          <w:sz w:val="24"/>
          <w:szCs w:val="24"/>
        </w:rPr>
        <w:t>z</w:t>
      </w:r>
      <w:r>
        <w:rPr>
          <w:rFonts w:ascii="Times New Roman" w:eastAsia="Calibri" w:hAnsi="Times New Roman"/>
          <w:sz w:val="24"/>
          <w:szCs w:val="24"/>
        </w:rPr>
        <w:t xml:space="preserve">mladenia. Oproti referenčnému roku 2002 došlo taktiež k poklesu plošného výkonu </w:t>
      </w:r>
      <w:r w:rsidRPr="00E40104">
        <w:rPr>
          <w:rFonts w:ascii="Times New Roman" w:eastAsia="Calibri" w:hAnsi="Times New Roman"/>
          <w:sz w:val="24"/>
          <w:szCs w:val="24"/>
        </w:rPr>
        <w:t xml:space="preserve">prebierok, </w:t>
      </w:r>
      <w:r>
        <w:rPr>
          <w:rFonts w:ascii="Times New Roman" w:eastAsia="Calibri" w:hAnsi="Times New Roman"/>
          <w:sz w:val="24"/>
          <w:szCs w:val="24"/>
        </w:rPr>
        <w:t>a to v uplynulom strednodobom horizonte (od r. 2007 do r. 2010) o cca 40 % čo spôsobilo</w:t>
      </w:r>
      <w:r w:rsidRPr="00E40104">
        <w:rPr>
          <w:rFonts w:ascii="Times New Roman" w:eastAsia="Calibri" w:hAnsi="Times New Roman"/>
          <w:sz w:val="24"/>
          <w:szCs w:val="24"/>
        </w:rPr>
        <w:t xml:space="preserve"> naj</w:t>
      </w:r>
      <w:r>
        <w:rPr>
          <w:rFonts w:ascii="Times New Roman" w:eastAsia="Calibri" w:hAnsi="Times New Roman"/>
          <w:sz w:val="24"/>
          <w:szCs w:val="24"/>
        </w:rPr>
        <w:t xml:space="preserve">mä odklad úmyselných výchovných </w:t>
      </w:r>
      <w:r w:rsidRPr="00E40104">
        <w:rPr>
          <w:rFonts w:ascii="Times New Roman" w:eastAsia="Calibri" w:hAnsi="Times New Roman"/>
          <w:sz w:val="24"/>
          <w:szCs w:val="24"/>
        </w:rPr>
        <w:t xml:space="preserve">ťažieb z dôvodu veľkého rozsahu </w:t>
      </w:r>
      <w:r>
        <w:rPr>
          <w:rFonts w:ascii="Times New Roman" w:eastAsia="Calibri" w:hAnsi="Times New Roman"/>
          <w:sz w:val="24"/>
          <w:szCs w:val="24"/>
        </w:rPr>
        <w:t xml:space="preserve">spracovávania dreva z náhodných </w:t>
      </w:r>
      <w:r w:rsidRPr="00E40104">
        <w:rPr>
          <w:rFonts w:ascii="Times New Roman" w:eastAsia="Calibri" w:hAnsi="Times New Roman"/>
          <w:sz w:val="24"/>
          <w:szCs w:val="24"/>
        </w:rPr>
        <w:t xml:space="preserve">ťažieb v rubných i </w:t>
      </w:r>
      <w:proofErr w:type="spellStart"/>
      <w:r w:rsidRPr="00E40104">
        <w:rPr>
          <w:rFonts w:ascii="Times New Roman" w:eastAsia="Calibri" w:hAnsi="Times New Roman"/>
          <w:sz w:val="24"/>
          <w:szCs w:val="24"/>
        </w:rPr>
        <w:t>predrubných</w:t>
      </w:r>
      <w:proofErr w:type="spellEnd"/>
      <w:r>
        <w:rPr>
          <w:rFonts w:ascii="Times New Roman" w:eastAsia="Calibri" w:hAnsi="Times New Roman"/>
          <w:sz w:val="24"/>
          <w:szCs w:val="24"/>
        </w:rPr>
        <w:t xml:space="preserve"> porastoch. V súčasnosti sa situácia stabilizuje a v roku 2011 predstavoval rozdiel plošného výkonu prebierok oproti referenčnému obdobiu cca 23 %. </w:t>
      </w:r>
    </w:p>
    <w:p w:rsidR="00BE691E" w:rsidRDefault="00BE691E" w:rsidP="00BE691E">
      <w:pPr>
        <w:spacing w:after="0" w:line="240" w:lineRule="auto"/>
        <w:jc w:val="both"/>
        <w:rPr>
          <w:rFonts w:ascii="Times New Roman" w:hAnsi="Times New Roman" w:cs="Times New Roman"/>
          <w:sz w:val="20"/>
          <w:szCs w:val="20"/>
        </w:rPr>
      </w:pPr>
    </w:p>
    <w:p w:rsidR="00BE691E" w:rsidRPr="00D5501D" w:rsidRDefault="00C970F8" w:rsidP="00BE691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61</w:t>
      </w:r>
      <w:r w:rsidR="00BE691E" w:rsidRPr="00155936">
        <w:rPr>
          <w:rFonts w:ascii="Times New Roman" w:hAnsi="Times New Roman" w:cs="Times New Roman"/>
          <w:sz w:val="20"/>
          <w:szCs w:val="20"/>
        </w:rPr>
        <w:t>:</w:t>
      </w:r>
      <w:r w:rsidR="00BE691E">
        <w:rPr>
          <w:rFonts w:ascii="Times New Roman" w:hAnsi="Times New Roman" w:cs="Times New Roman"/>
          <w:sz w:val="20"/>
          <w:szCs w:val="20"/>
        </w:rPr>
        <w:t xml:space="preserve"> Vývoj rozsahu výkonu prebierok v ha </w:t>
      </w:r>
    </w:p>
    <w:p w:rsidR="00BE691E" w:rsidRDefault="00BE691E" w:rsidP="00BE691E">
      <w:pPr>
        <w:spacing w:after="0" w:line="240" w:lineRule="auto"/>
        <w:jc w:val="both"/>
        <w:rPr>
          <w:rFonts w:ascii="Times New Roman" w:eastAsia="Calibri" w:hAnsi="Times New Roman"/>
          <w:sz w:val="24"/>
          <w:szCs w:val="24"/>
        </w:rPr>
      </w:pPr>
      <w:r>
        <w:rPr>
          <w:noProof/>
        </w:rPr>
        <w:drawing>
          <wp:inline distT="0" distB="0" distL="0" distR="0" wp14:anchorId="35825F11" wp14:editId="6585DF32">
            <wp:extent cx="5747657" cy="1650670"/>
            <wp:effectExtent l="0" t="0" r="0" b="0"/>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BE691E" w:rsidRPr="00C431FF" w:rsidRDefault="00BE691E" w:rsidP="00BE691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NLC-ÚLZI Zvolen</w:t>
      </w:r>
    </w:p>
    <w:p w:rsidR="00BE691E" w:rsidRDefault="00BE691E"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Práve z dôvodu kritickej hodnoty tohto kľúčového parametra a vysokého objemu náhodných ťažieb najmä v neštátnych lesoch bol objem </w:t>
      </w:r>
      <w:r w:rsidRPr="00E40104">
        <w:rPr>
          <w:rFonts w:ascii="Times New Roman" w:eastAsia="Calibri" w:hAnsi="Times New Roman"/>
          <w:sz w:val="24"/>
          <w:szCs w:val="24"/>
        </w:rPr>
        <w:t>skutočne vykonanej výchovnej ťažb</w:t>
      </w:r>
      <w:r>
        <w:rPr>
          <w:rFonts w:ascii="Times New Roman" w:eastAsia="Calibri" w:hAnsi="Times New Roman"/>
          <w:sz w:val="24"/>
          <w:szCs w:val="24"/>
        </w:rPr>
        <w:t xml:space="preserve">y vyšší než plánovaný. </w:t>
      </w:r>
    </w:p>
    <w:p w:rsidR="00BE691E" w:rsidRDefault="00BE691E" w:rsidP="00BE691E">
      <w:pPr>
        <w:spacing w:after="0" w:line="240" w:lineRule="auto"/>
        <w:jc w:val="both"/>
        <w:rPr>
          <w:rFonts w:ascii="Times New Roman" w:eastAsia="Calibri" w:hAnsi="Times New Roman"/>
          <w:sz w:val="24"/>
          <w:szCs w:val="24"/>
        </w:rPr>
      </w:pPr>
    </w:p>
    <w:p w:rsidR="004358D5" w:rsidRDefault="004358D5" w:rsidP="004358D5">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Pestovná</w:t>
      </w:r>
      <w:proofErr w:type="spellEnd"/>
      <w:r>
        <w:rPr>
          <w:rFonts w:ascii="Times New Roman" w:eastAsia="Calibri" w:hAnsi="Times New Roman"/>
          <w:sz w:val="24"/>
          <w:szCs w:val="24"/>
        </w:rPr>
        <w:t xml:space="preserve"> činnosť a ťažbová činnosť je v rámci lesného hospodárstva charakteristická vysokou nákladovosťou, ktorá je daná predovšetkým objektívne vysokým podielom fyzických, manuálnych úkonov, pričom pretrváva základný nedostatok v ich mechanizácii. </w:t>
      </w:r>
      <w:r w:rsidRPr="004358D5">
        <w:rPr>
          <w:rFonts w:ascii="Times New Roman" w:eastAsia="Calibri" w:hAnsi="Times New Roman"/>
          <w:sz w:val="24"/>
          <w:szCs w:val="24"/>
        </w:rPr>
        <w:t xml:space="preserve">Podľa druhového členenia nákladov v roku 2011, materiálové náklady vrátane odpisov predstavovali 61,5 % z celkových nákladov. Podiel materiálových nákladov bez odpisov z celkových nákladov v roku 2011 predstavoval 55,6 %. </w:t>
      </w:r>
      <w:r>
        <w:rPr>
          <w:rFonts w:ascii="Times New Roman" w:eastAsia="Calibri" w:hAnsi="Times New Roman"/>
          <w:sz w:val="24"/>
          <w:szCs w:val="24"/>
        </w:rPr>
        <w:t xml:space="preserve">Znepokojujúcim nákladovým ukazovateľom je </w:t>
      </w:r>
      <w:r>
        <w:rPr>
          <w:rFonts w:ascii="Times New Roman" w:eastAsia="Calibri" w:hAnsi="Times New Roman"/>
          <w:sz w:val="24"/>
          <w:szCs w:val="24"/>
        </w:rPr>
        <w:lastRenderedPageBreak/>
        <w:t xml:space="preserve">však predovšetkým objem mzdových nákladov, ktorý sa každoročne zvyšuje, a to bez zodpovedajúceho efektu v prírastku produktivity práce.  </w:t>
      </w:r>
    </w:p>
    <w:p w:rsidR="00E27F74" w:rsidRDefault="00E27F74" w:rsidP="00E27F74">
      <w:pPr>
        <w:spacing w:after="0" w:line="240" w:lineRule="auto"/>
        <w:jc w:val="both"/>
        <w:rPr>
          <w:rFonts w:ascii="Times New Roman" w:eastAsia="Calibri" w:hAnsi="Times New Roman"/>
          <w:sz w:val="24"/>
          <w:szCs w:val="24"/>
        </w:rPr>
      </w:pPr>
    </w:p>
    <w:p w:rsidR="00126508" w:rsidRPr="00126508" w:rsidRDefault="00C970F8" w:rsidP="00126508">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 43</w:t>
      </w:r>
      <w:r w:rsidR="00126508" w:rsidRPr="00A855A4">
        <w:rPr>
          <w:rFonts w:ascii="Times New Roman" w:hAnsi="Times New Roman" w:cs="Times New Roman"/>
          <w:sz w:val="20"/>
          <w:szCs w:val="20"/>
        </w:rPr>
        <w:t xml:space="preserve">: </w:t>
      </w:r>
      <w:r w:rsidR="00126508">
        <w:rPr>
          <w:rFonts w:ascii="Times New Roman" w:hAnsi="Times New Roman" w:cs="Times New Roman"/>
          <w:sz w:val="20"/>
          <w:szCs w:val="20"/>
        </w:rPr>
        <w:tab/>
        <w:t>Druhové</w:t>
      </w:r>
      <w:r w:rsidR="00126508" w:rsidRPr="00126508">
        <w:rPr>
          <w:rFonts w:ascii="Times New Roman" w:hAnsi="Times New Roman" w:cs="Times New Roman"/>
          <w:sz w:val="20"/>
          <w:szCs w:val="20"/>
        </w:rPr>
        <w:t xml:space="preserve"> členenie nákladov podľa vybraných výkonov v</w:t>
      </w:r>
      <w:r w:rsidR="00126508">
        <w:rPr>
          <w:rFonts w:ascii="Times New Roman" w:hAnsi="Times New Roman" w:cs="Times New Roman"/>
          <w:sz w:val="20"/>
          <w:szCs w:val="20"/>
        </w:rPr>
        <w:t> lesnom hospodárstve</w:t>
      </w:r>
    </w:p>
    <w:tbl>
      <w:tblPr>
        <w:tblW w:w="9051" w:type="dxa"/>
        <w:tblInd w:w="55" w:type="dxa"/>
        <w:tblCellMar>
          <w:left w:w="70" w:type="dxa"/>
          <w:right w:w="70" w:type="dxa"/>
        </w:tblCellMar>
        <w:tblLook w:val="04A0" w:firstRow="1" w:lastRow="0" w:firstColumn="1" w:lastColumn="0" w:noHBand="0" w:noVBand="1"/>
      </w:tblPr>
      <w:tblGrid>
        <w:gridCol w:w="3701"/>
        <w:gridCol w:w="1510"/>
        <w:gridCol w:w="960"/>
        <w:gridCol w:w="960"/>
        <w:gridCol w:w="960"/>
        <w:gridCol w:w="960"/>
      </w:tblGrid>
      <w:tr w:rsidR="00126508" w:rsidRPr="00126508" w:rsidTr="00126508">
        <w:trPr>
          <w:trHeight w:val="300"/>
        </w:trPr>
        <w:tc>
          <w:tcPr>
            <w:tcW w:w="3701" w:type="dxa"/>
            <w:tcBorders>
              <w:top w:val="nil"/>
              <w:left w:val="nil"/>
              <w:bottom w:val="single" w:sz="4" w:space="0" w:color="auto"/>
              <w:right w:val="nil"/>
            </w:tcBorders>
            <w:shd w:val="clear" w:color="000000" w:fill="D9D9D9"/>
            <w:noWrap/>
            <w:vAlign w:val="center"/>
            <w:hideMark/>
          </w:tcPr>
          <w:p w:rsidR="00126508" w:rsidRPr="00126508" w:rsidRDefault="00126508" w:rsidP="00126508">
            <w:pPr>
              <w:spacing w:after="0" w:line="240" w:lineRule="auto"/>
              <w:jc w:val="center"/>
              <w:rPr>
                <w:rFonts w:ascii="Times New Roman" w:eastAsia="Times New Roman" w:hAnsi="Times New Roman" w:cs="Times New Roman"/>
                <w:color w:val="000000"/>
                <w:sz w:val="20"/>
                <w:szCs w:val="20"/>
              </w:rPr>
            </w:pPr>
            <w:r w:rsidRPr="00126508">
              <w:rPr>
                <w:rFonts w:ascii="Times New Roman" w:eastAsia="Times New Roman" w:hAnsi="Times New Roman" w:cs="Times New Roman"/>
                <w:color w:val="000000"/>
                <w:sz w:val="20"/>
                <w:szCs w:val="20"/>
              </w:rPr>
              <w:t> </w:t>
            </w:r>
          </w:p>
        </w:tc>
        <w:tc>
          <w:tcPr>
            <w:tcW w:w="1510" w:type="dxa"/>
            <w:tcBorders>
              <w:top w:val="nil"/>
              <w:left w:val="nil"/>
              <w:bottom w:val="single" w:sz="4" w:space="0" w:color="auto"/>
              <w:right w:val="nil"/>
            </w:tcBorders>
            <w:shd w:val="clear" w:color="000000" w:fill="D9D9D9"/>
            <w:noWrap/>
            <w:vAlign w:val="center"/>
            <w:hideMark/>
          </w:tcPr>
          <w:p w:rsidR="00126508" w:rsidRPr="00126508" w:rsidRDefault="00126508" w:rsidP="00126508">
            <w:pPr>
              <w:spacing w:after="0" w:line="240" w:lineRule="auto"/>
              <w:jc w:val="center"/>
              <w:rPr>
                <w:rFonts w:ascii="Times New Roman" w:eastAsia="Times New Roman" w:hAnsi="Times New Roman" w:cs="Times New Roman"/>
                <w:color w:val="000000"/>
                <w:sz w:val="20"/>
                <w:szCs w:val="20"/>
              </w:rPr>
            </w:pPr>
            <w:r w:rsidRPr="00126508">
              <w:rPr>
                <w:rFonts w:ascii="Times New Roman" w:eastAsia="Times New Roman" w:hAnsi="Times New Roman" w:cs="Times New Roman"/>
                <w:color w:val="000000"/>
                <w:sz w:val="20"/>
                <w:szCs w:val="20"/>
              </w:rPr>
              <w:t>merná jednotka</w:t>
            </w:r>
          </w:p>
        </w:tc>
        <w:tc>
          <w:tcPr>
            <w:tcW w:w="960" w:type="dxa"/>
            <w:tcBorders>
              <w:top w:val="nil"/>
              <w:left w:val="nil"/>
              <w:bottom w:val="single" w:sz="4" w:space="0" w:color="auto"/>
              <w:right w:val="nil"/>
            </w:tcBorders>
            <w:shd w:val="clear" w:color="000000" w:fill="D9D9D9"/>
            <w:vAlign w:val="center"/>
            <w:hideMark/>
          </w:tcPr>
          <w:p w:rsidR="00126508" w:rsidRPr="00126508" w:rsidRDefault="00126508" w:rsidP="00126508">
            <w:pPr>
              <w:spacing w:after="0" w:line="240" w:lineRule="auto"/>
              <w:jc w:val="center"/>
              <w:rPr>
                <w:rFonts w:ascii="Times New Roman" w:eastAsia="Times New Roman" w:hAnsi="Times New Roman" w:cs="Times New Roman"/>
                <w:color w:val="000000"/>
                <w:sz w:val="20"/>
                <w:szCs w:val="20"/>
              </w:rPr>
            </w:pPr>
            <w:r w:rsidRPr="00126508">
              <w:rPr>
                <w:rFonts w:ascii="Times New Roman" w:eastAsia="Arial Unicode MS" w:hAnsi="Times New Roman" w:cs="Times New Roman"/>
                <w:color w:val="000000"/>
                <w:sz w:val="20"/>
                <w:szCs w:val="20"/>
              </w:rPr>
              <w:t>2008</w:t>
            </w:r>
          </w:p>
        </w:tc>
        <w:tc>
          <w:tcPr>
            <w:tcW w:w="960" w:type="dxa"/>
            <w:tcBorders>
              <w:top w:val="nil"/>
              <w:left w:val="nil"/>
              <w:bottom w:val="single" w:sz="4" w:space="0" w:color="auto"/>
              <w:right w:val="nil"/>
            </w:tcBorders>
            <w:shd w:val="clear" w:color="000000" w:fill="D9D9D9"/>
            <w:vAlign w:val="center"/>
            <w:hideMark/>
          </w:tcPr>
          <w:p w:rsidR="00126508" w:rsidRPr="00126508" w:rsidRDefault="00126508" w:rsidP="00126508">
            <w:pPr>
              <w:spacing w:after="0" w:line="240" w:lineRule="auto"/>
              <w:jc w:val="center"/>
              <w:rPr>
                <w:rFonts w:ascii="Times New Roman" w:eastAsia="Times New Roman" w:hAnsi="Times New Roman" w:cs="Times New Roman"/>
                <w:color w:val="000000"/>
                <w:sz w:val="20"/>
                <w:szCs w:val="20"/>
              </w:rPr>
            </w:pPr>
            <w:r w:rsidRPr="00126508">
              <w:rPr>
                <w:rFonts w:ascii="Times New Roman" w:eastAsia="Arial Unicode MS" w:hAnsi="Times New Roman" w:cs="Times New Roman"/>
                <w:color w:val="000000"/>
                <w:sz w:val="20"/>
                <w:szCs w:val="20"/>
              </w:rPr>
              <w:t>2009</w:t>
            </w:r>
          </w:p>
        </w:tc>
        <w:tc>
          <w:tcPr>
            <w:tcW w:w="960" w:type="dxa"/>
            <w:tcBorders>
              <w:top w:val="nil"/>
              <w:left w:val="nil"/>
              <w:bottom w:val="single" w:sz="4" w:space="0" w:color="auto"/>
              <w:right w:val="nil"/>
            </w:tcBorders>
            <w:shd w:val="clear" w:color="000000" w:fill="D9D9D9"/>
            <w:vAlign w:val="center"/>
            <w:hideMark/>
          </w:tcPr>
          <w:p w:rsidR="00126508" w:rsidRPr="00126508" w:rsidRDefault="00126508" w:rsidP="00126508">
            <w:pPr>
              <w:spacing w:after="0" w:line="240" w:lineRule="auto"/>
              <w:jc w:val="center"/>
              <w:rPr>
                <w:rFonts w:ascii="Times New Roman" w:eastAsia="Times New Roman" w:hAnsi="Times New Roman" w:cs="Times New Roman"/>
                <w:color w:val="000000"/>
                <w:sz w:val="20"/>
                <w:szCs w:val="20"/>
              </w:rPr>
            </w:pPr>
            <w:r w:rsidRPr="00126508">
              <w:rPr>
                <w:rFonts w:ascii="Times New Roman" w:eastAsia="Arial Unicode MS" w:hAnsi="Times New Roman" w:cs="Times New Roman"/>
                <w:color w:val="000000"/>
                <w:sz w:val="20"/>
                <w:szCs w:val="20"/>
              </w:rPr>
              <w:t>2010</w:t>
            </w:r>
          </w:p>
        </w:tc>
        <w:tc>
          <w:tcPr>
            <w:tcW w:w="960" w:type="dxa"/>
            <w:tcBorders>
              <w:top w:val="nil"/>
              <w:left w:val="nil"/>
              <w:bottom w:val="single" w:sz="4" w:space="0" w:color="auto"/>
              <w:right w:val="nil"/>
            </w:tcBorders>
            <w:shd w:val="clear" w:color="000000" w:fill="D9D9D9"/>
            <w:vAlign w:val="center"/>
            <w:hideMark/>
          </w:tcPr>
          <w:p w:rsidR="00126508" w:rsidRPr="00126508" w:rsidRDefault="00126508" w:rsidP="00126508">
            <w:pPr>
              <w:spacing w:after="0" w:line="240" w:lineRule="auto"/>
              <w:jc w:val="center"/>
              <w:rPr>
                <w:rFonts w:ascii="Times New Roman" w:eastAsia="Times New Roman" w:hAnsi="Times New Roman" w:cs="Times New Roman"/>
                <w:color w:val="000000"/>
                <w:sz w:val="20"/>
                <w:szCs w:val="20"/>
              </w:rPr>
            </w:pPr>
            <w:r w:rsidRPr="00126508">
              <w:rPr>
                <w:rFonts w:ascii="Times New Roman" w:eastAsia="Arial Unicode MS" w:hAnsi="Times New Roman" w:cs="Times New Roman"/>
                <w:color w:val="000000"/>
                <w:sz w:val="20"/>
                <w:szCs w:val="20"/>
              </w:rPr>
              <w:t>2011</w:t>
            </w:r>
          </w:p>
        </w:tc>
      </w:tr>
      <w:tr w:rsidR="00126508" w:rsidRPr="00126508" w:rsidTr="00126508">
        <w:trPr>
          <w:cantSplit/>
          <w:trHeight w:val="300"/>
        </w:trPr>
        <w:tc>
          <w:tcPr>
            <w:tcW w:w="3701" w:type="dxa"/>
            <w:tcBorders>
              <w:top w:val="nil"/>
              <w:left w:val="nil"/>
              <w:bottom w:val="nil"/>
              <w:right w:val="single" w:sz="4" w:space="0" w:color="auto"/>
            </w:tcBorders>
            <w:shd w:val="clear" w:color="auto" w:fill="auto"/>
            <w:noWrap/>
            <w:vAlign w:val="center"/>
            <w:hideMark/>
          </w:tcPr>
          <w:p w:rsidR="00126508" w:rsidRPr="00126508" w:rsidRDefault="00126508" w:rsidP="00126508">
            <w:pPr>
              <w:spacing w:after="0" w:line="240" w:lineRule="auto"/>
              <w:rPr>
                <w:rFonts w:ascii="Times New Roman" w:eastAsia="Times New Roman" w:hAnsi="Times New Roman" w:cs="Times New Roman"/>
                <w:b/>
                <w:bCs/>
                <w:color w:val="000000"/>
                <w:sz w:val="20"/>
                <w:szCs w:val="20"/>
              </w:rPr>
            </w:pPr>
            <w:r w:rsidRPr="00126508">
              <w:rPr>
                <w:rFonts w:ascii="Times New Roman" w:eastAsia="Times New Roman" w:hAnsi="Times New Roman" w:cs="Times New Roman"/>
                <w:b/>
                <w:bCs/>
                <w:color w:val="000000"/>
                <w:sz w:val="20"/>
                <w:szCs w:val="20"/>
              </w:rPr>
              <w:t>Náklady celkom</w:t>
            </w:r>
          </w:p>
        </w:tc>
        <w:tc>
          <w:tcPr>
            <w:tcW w:w="1510" w:type="dxa"/>
            <w:tcBorders>
              <w:top w:val="nil"/>
              <w:left w:val="nil"/>
              <w:bottom w:val="nil"/>
              <w:right w:val="single" w:sz="4" w:space="0" w:color="auto"/>
            </w:tcBorders>
            <w:shd w:val="clear" w:color="auto" w:fill="auto"/>
            <w:noWrap/>
            <w:vAlign w:val="center"/>
            <w:hideMark/>
          </w:tcPr>
          <w:p w:rsidR="00126508" w:rsidRPr="00126508" w:rsidRDefault="00126508" w:rsidP="00126508">
            <w:pPr>
              <w:spacing w:after="0" w:line="240" w:lineRule="auto"/>
              <w:jc w:val="center"/>
              <w:rPr>
                <w:rFonts w:ascii="Times New Roman" w:eastAsia="Times New Roman" w:hAnsi="Times New Roman" w:cs="Times New Roman"/>
                <w:color w:val="000000"/>
                <w:sz w:val="20"/>
                <w:szCs w:val="20"/>
              </w:rPr>
            </w:pPr>
            <w:r w:rsidRPr="00126508">
              <w:rPr>
                <w:rFonts w:ascii="Times New Roman" w:eastAsia="Times New Roman" w:hAnsi="Times New Roman" w:cs="Times New Roman"/>
                <w:color w:val="000000"/>
                <w:sz w:val="20"/>
                <w:szCs w:val="20"/>
              </w:rPr>
              <w:t>mil. EUR</w:t>
            </w:r>
          </w:p>
        </w:tc>
        <w:tc>
          <w:tcPr>
            <w:tcW w:w="960" w:type="dxa"/>
            <w:tcBorders>
              <w:top w:val="nil"/>
              <w:left w:val="nil"/>
              <w:bottom w:val="nil"/>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b/>
                <w:bCs/>
                <w:color w:val="000000"/>
                <w:sz w:val="20"/>
                <w:szCs w:val="20"/>
              </w:rPr>
            </w:pPr>
            <w:r w:rsidRPr="00126508">
              <w:rPr>
                <w:rFonts w:ascii="Times New Roman" w:eastAsia="Times New Roman" w:hAnsi="Times New Roman" w:cs="Times New Roman"/>
                <w:b/>
                <w:bCs/>
                <w:color w:val="000000"/>
                <w:sz w:val="20"/>
                <w:szCs w:val="20"/>
              </w:rPr>
              <w:t>470,69</w:t>
            </w:r>
          </w:p>
        </w:tc>
        <w:tc>
          <w:tcPr>
            <w:tcW w:w="960" w:type="dxa"/>
            <w:tcBorders>
              <w:top w:val="nil"/>
              <w:left w:val="nil"/>
              <w:bottom w:val="nil"/>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b/>
                <w:bCs/>
                <w:color w:val="000000"/>
                <w:sz w:val="20"/>
                <w:szCs w:val="20"/>
              </w:rPr>
            </w:pPr>
            <w:r w:rsidRPr="00126508">
              <w:rPr>
                <w:rFonts w:ascii="Times New Roman" w:eastAsia="Arial Unicode MS" w:hAnsi="Times New Roman" w:cs="Times New Roman"/>
                <w:b/>
                <w:bCs/>
                <w:color w:val="000000"/>
                <w:sz w:val="20"/>
                <w:szCs w:val="20"/>
              </w:rPr>
              <w:t>373,26</w:t>
            </w:r>
          </w:p>
        </w:tc>
        <w:tc>
          <w:tcPr>
            <w:tcW w:w="960" w:type="dxa"/>
            <w:tcBorders>
              <w:top w:val="nil"/>
              <w:left w:val="nil"/>
              <w:bottom w:val="nil"/>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b/>
                <w:bCs/>
                <w:color w:val="000000"/>
                <w:sz w:val="20"/>
                <w:szCs w:val="20"/>
              </w:rPr>
            </w:pPr>
            <w:r w:rsidRPr="00126508">
              <w:rPr>
                <w:rFonts w:ascii="Times New Roman" w:eastAsia="Arial Unicode MS" w:hAnsi="Times New Roman" w:cs="Times New Roman"/>
                <w:b/>
                <w:bCs/>
                <w:color w:val="000000"/>
                <w:sz w:val="20"/>
                <w:szCs w:val="20"/>
              </w:rPr>
              <w:t>460,71</w:t>
            </w:r>
          </w:p>
        </w:tc>
        <w:tc>
          <w:tcPr>
            <w:tcW w:w="960" w:type="dxa"/>
            <w:tcBorders>
              <w:top w:val="nil"/>
              <w:left w:val="nil"/>
              <w:bottom w:val="nil"/>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b/>
                <w:bCs/>
                <w:color w:val="000000"/>
                <w:sz w:val="20"/>
                <w:szCs w:val="20"/>
              </w:rPr>
            </w:pPr>
            <w:r w:rsidRPr="00126508">
              <w:rPr>
                <w:rFonts w:ascii="Times New Roman" w:eastAsia="Arial Unicode MS" w:hAnsi="Times New Roman" w:cs="Times New Roman"/>
                <w:b/>
                <w:bCs/>
                <w:color w:val="000000"/>
                <w:sz w:val="20"/>
                <w:szCs w:val="20"/>
              </w:rPr>
              <w:t>495,84</w:t>
            </w:r>
          </w:p>
        </w:tc>
      </w:tr>
      <w:tr w:rsidR="00126508" w:rsidRPr="00126508" w:rsidTr="00126508">
        <w:trPr>
          <w:cantSplit/>
          <w:trHeight w:val="300"/>
        </w:trPr>
        <w:tc>
          <w:tcPr>
            <w:tcW w:w="3701" w:type="dxa"/>
            <w:tcBorders>
              <w:top w:val="nil"/>
              <w:left w:val="nil"/>
              <w:bottom w:val="nil"/>
              <w:right w:val="single" w:sz="4" w:space="0" w:color="auto"/>
            </w:tcBorders>
            <w:shd w:val="clear" w:color="auto" w:fill="auto"/>
            <w:noWrap/>
            <w:vAlign w:val="center"/>
            <w:hideMark/>
          </w:tcPr>
          <w:p w:rsidR="00126508" w:rsidRPr="00126508" w:rsidRDefault="00126508" w:rsidP="00126508">
            <w:pPr>
              <w:spacing w:after="0" w:line="240" w:lineRule="auto"/>
              <w:rPr>
                <w:rFonts w:ascii="Times New Roman" w:eastAsia="Times New Roman" w:hAnsi="Times New Roman" w:cs="Times New Roman"/>
                <w:color w:val="000000"/>
                <w:sz w:val="20"/>
                <w:szCs w:val="20"/>
              </w:rPr>
            </w:pPr>
            <w:r w:rsidRPr="00126508">
              <w:rPr>
                <w:rFonts w:ascii="Times New Roman" w:eastAsia="Times New Roman" w:hAnsi="Times New Roman" w:cs="Times New Roman"/>
                <w:color w:val="000000"/>
                <w:sz w:val="20"/>
                <w:szCs w:val="20"/>
              </w:rPr>
              <w:t>Materiál. náklady vrátane odpisov</w:t>
            </w:r>
          </w:p>
        </w:tc>
        <w:tc>
          <w:tcPr>
            <w:tcW w:w="1510" w:type="dxa"/>
            <w:tcBorders>
              <w:top w:val="nil"/>
              <w:left w:val="nil"/>
              <w:bottom w:val="nil"/>
              <w:right w:val="single" w:sz="4" w:space="0" w:color="auto"/>
            </w:tcBorders>
            <w:shd w:val="clear" w:color="auto" w:fill="auto"/>
            <w:noWrap/>
            <w:vAlign w:val="center"/>
            <w:hideMark/>
          </w:tcPr>
          <w:p w:rsidR="00126508" w:rsidRPr="00126508" w:rsidRDefault="00126508" w:rsidP="00126508">
            <w:pPr>
              <w:spacing w:after="0" w:line="240" w:lineRule="auto"/>
              <w:jc w:val="center"/>
              <w:rPr>
                <w:rFonts w:ascii="Times New Roman" w:eastAsia="Times New Roman" w:hAnsi="Times New Roman" w:cs="Times New Roman"/>
                <w:color w:val="000000"/>
                <w:sz w:val="20"/>
                <w:szCs w:val="20"/>
              </w:rPr>
            </w:pPr>
            <w:r w:rsidRPr="00126508">
              <w:rPr>
                <w:rFonts w:ascii="Times New Roman" w:eastAsia="Times New Roman" w:hAnsi="Times New Roman" w:cs="Times New Roman"/>
                <w:color w:val="000000"/>
                <w:sz w:val="20"/>
                <w:szCs w:val="20"/>
              </w:rPr>
              <w:t>mil. EUR</w:t>
            </w:r>
          </w:p>
        </w:tc>
        <w:tc>
          <w:tcPr>
            <w:tcW w:w="960" w:type="dxa"/>
            <w:tcBorders>
              <w:top w:val="nil"/>
              <w:left w:val="nil"/>
              <w:bottom w:val="nil"/>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Times New Roman" w:hAnsi="Times New Roman" w:cs="Times New Roman"/>
                <w:color w:val="000000"/>
                <w:sz w:val="20"/>
                <w:szCs w:val="20"/>
              </w:rPr>
              <w:t>233,78</w:t>
            </w:r>
          </w:p>
        </w:tc>
        <w:tc>
          <w:tcPr>
            <w:tcW w:w="960" w:type="dxa"/>
            <w:tcBorders>
              <w:top w:val="nil"/>
              <w:left w:val="nil"/>
              <w:bottom w:val="nil"/>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Arial Unicode MS" w:hAnsi="Times New Roman" w:cs="Times New Roman"/>
                <w:color w:val="000000"/>
                <w:sz w:val="20"/>
                <w:szCs w:val="20"/>
              </w:rPr>
              <w:t>176,48</w:t>
            </w:r>
          </w:p>
        </w:tc>
        <w:tc>
          <w:tcPr>
            <w:tcW w:w="960" w:type="dxa"/>
            <w:tcBorders>
              <w:top w:val="nil"/>
              <w:left w:val="nil"/>
              <w:bottom w:val="nil"/>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Arial Unicode MS" w:hAnsi="Times New Roman" w:cs="Times New Roman"/>
                <w:color w:val="000000"/>
                <w:sz w:val="20"/>
                <w:szCs w:val="20"/>
              </w:rPr>
              <w:t>273,86</w:t>
            </w:r>
          </w:p>
        </w:tc>
        <w:tc>
          <w:tcPr>
            <w:tcW w:w="960" w:type="dxa"/>
            <w:tcBorders>
              <w:top w:val="nil"/>
              <w:left w:val="nil"/>
              <w:bottom w:val="nil"/>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Arial Unicode MS" w:hAnsi="Times New Roman" w:cs="Times New Roman"/>
                <w:color w:val="000000"/>
                <w:sz w:val="20"/>
                <w:szCs w:val="20"/>
              </w:rPr>
              <w:t>304,89</w:t>
            </w:r>
          </w:p>
        </w:tc>
      </w:tr>
      <w:tr w:rsidR="00126508" w:rsidRPr="00126508" w:rsidTr="00126508">
        <w:trPr>
          <w:cantSplit/>
          <w:trHeight w:val="300"/>
        </w:trPr>
        <w:tc>
          <w:tcPr>
            <w:tcW w:w="3701" w:type="dxa"/>
            <w:tcBorders>
              <w:top w:val="nil"/>
              <w:left w:val="nil"/>
              <w:bottom w:val="nil"/>
              <w:right w:val="single" w:sz="4" w:space="0" w:color="auto"/>
            </w:tcBorders>
            <w:shd w:val="clear" w:color="auto" w:fill="auto"/>
            <w:noWrap/>
            <w:vAlign w:val="center"/>
            <w:hideMark/>
          </w:tcPr>
          <w:p w:rsidR="00126508" w:rsidRPr="00126508" w:rsidRDefault="00126508" w:rsidP="00126508">
            <w:pPr>
              <w:spacing w:after="0" w:line="240" w:lineRule="auto"/>
              <w:rPr>
                <w:rFonts w:ascii="Times New Roman" w:eastAsia="Times New Roman" w:hAnsi="Times New Roman" w:cs="Times New Roman"/>
                <w:color w:val="000000"/>
                <w:sz w:val="20"/>
                <w:szCs w:val="20"/>
              </w:rPr>
            </w:pPr>
            <w:r w:rsidRPr="00126508">
              <w:rPr>
                <w:rFonts w:ascii="Times New Roman" w:eastAsia="Times New Roman" w:hAnsi="Times New Roman" w:cs="Times New Roman"/>
                <w:color w:val="000000"/>
                <w:sz w:val="20"/>
                <w:szCs w:val="20"/>
              </w:rPr>
              <w:t xml:space="preserve">    z toho: odpisy</w:t>
            </w:r>
          </w:p>
        </w:tc>
        <w:tc>
          <w:tcPr>
            <w:tcW w:w="1510" w:type="dxa"/>
            <w:tcBorders>
              <w:top w:val="nil"/>
              <w:left w:val="nil"/>
              <w:bottom w:val="nil"/>
              <w:right w:val="single" w:sz="4" w:space="0" w:color="auto"/>
            </w:tcBorders>
            <w:shd w:val="clear" w:color="auto" w:fill="auto"/>
            <w:noWrap/>
            <w:vAlign w:val="center"/>
            <w:hideMark/>
          </w:tcPr>
          <w:p w:rsidR="00126508" w:rsidRPr="00126508" w:rsidRDefault="00126508" w:rsidP="00126508">
            <w:pPr>
              <w:spacing w:after="0" w:line="240" w:lineRule="auto"/>
              <w:jc w:val="center"/>
              <w:rPr>
                <w:rFonts w:ascii="Times New Roman" w:eastAsia="Times New Roman" w:hAnsi="Times New Roman" w:cs="Times New Roman"/>
                <w:color w:val="000000"/>
                <w:sz w:val="20"/>
                <w:szCs w:val="20"/>
              </w:rPr>
            </w:pPr>
            <w:r w:rsidRPr="00126508">
              <w:rPr>
                <w:rFonts w:ascii="Times New Roman" w:eastAsia="Times New Roman" w:hAnsi="Times New Roman" w:cs="Times New Roman"/>
                <w:color w:val="000000"/>
                <w:sz w:val="20"/>
                <w:szCs w:val="20"/>
              </w:rPr>
              <w:t>mil. EUR</w:t>
            </w:r>
          </w:p>
        </w:tc>
        <w:tc>
          <w:tcPr>
            <w:tcW w:w="960" w:type="dxa"/>
            <w:tcBorders>
              <w:top w:val="nil"/>
              <w:left w:val="nil"/>
              <w:bottom w:val="nil"/>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Times New Roman" w:hAnsi="Times New Roman" w:cs="Times New Roman"/>
                <w:color w:val="000000"/>
                <w:sz w:val="20"/>
                <w:szCs w:val="20"/>
              </w:rPr>
              <w:t>32</w:t>
            </w:r>
          </w:p>
        </w:tc>
        <w:tc>
          <w:tcPr>
            <w:tcW w:w="960" w:type="dxa"/>
            <w:tcBorders>
              <w:top w:val="nil"/>
              <w:left w:val="nil"/>
              <w:bottom w:val="nil"/>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Arial Unicode MS" w:hAnsi="Times New Roman" w:cs="Times New Roman"/>
                <w:color w:val="000000"/>
                <w:sz w:val="20"/>
                <w:szCs w:val="20"/>
              </w:rPr>
              <w:t>29,14</w:t>
            </w:r>
          </w:p>
        </w:tc>
        <w:tc>
          <w:tcPr>
            <w:tcW w:w="960" w:type="dxa"/>
            <w:tcBorders>
              <w:top w:val="nil"/>
              <w:left w:val="nil"/>
              <w:bottom w:val="nil"/>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Arial Unicode MS" w:hAnsi="Times New Roman" w:cs="Times New Roman"/>
                <w:color w:val="000000"/>
                <w:sz w:val="20"/>
                <w:szCs w:val="20"/>
              </w:rPr>
              <w:t>26,82</w:t>
            </w:r>
          </w:p>
        </w:tc>
        <w:tc>
          <w:tcPr>
            <w:tcW w:w="960" w:type="dxa"/>
            <w:tcBorders>
              <w:top w:val="nil"/>
              <w:left w:val="nil"/>
              <w:bottom w:val="nil"/>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Arial Unicode MS" w:hAnsi="Times New Roman" w:cs="Times New Roman"/>
                <w:color w:val="000000"/>
                <w:sz w:val="20"/>
                <w:szCs w:val="20"/>
              </w:rPr>
              <w:t>29,42</w:t>
            </w:r>
          </w:p>
        </w:tc>
      </w:tr>
      <w:tr w:rsidR="00126508" w:rsidRPr="00126508" w:rsidTr="00126508">
        <w:trPr>
          <w:cantSplit/>
          <w:trHeight w:val="300"/>
        </w:trPr>
        <w:tc>
          <w:tcPr>
            <w:tcW w:w="3701" w:type="dxa"/>
            <w:tcBorders>
              <w:top w:val="nil"/>
              <w:left w:val="nil"/>
              <w:bottom w:val="nil"/>
              <w:right w:val="single" w:sz="4" w:space="0" w:color="auto"/>
            </w:tcBorders>
            <w:shd w:val="clear" w:color="auto" w:fill="auto"/>
            <w:noWrap/>
            <w:vAlign w:val="center"/>
            <w:hideMark/>
          </w:tcPr>
          <w:p w:rsidR="00126508" w:rsidRPr="00126508" w:rsidRDefault="00126508" w:rsidP="00126508">
            <w:pPr>
              <w:spacing w:after="0" w:line="240" w:lineRule="auto"/>
              <w:rPr>
                <w:rFonts w:ascii="Times New Roman" w:eastAsia="Times New Roman" w:hAnsi="Times New Roman" w:cs="Times New Roman"/>
                <w:color w:val="000000"/>
                <w:sz w:val="20"/>
                <w:szCs w:val="20"/>
              </w:rPr>
            </w:pPr>
            <w:r w:rsidRPr="00126508">
              <w:rPr>
                <w:rFonts w:ascii="Times New Roman" w:eastAsia="Times New Roman" w:hAnsi="Times New Roman" w:cs="Times New Roman"/>
                <w:color w:val="000000"/>
                <w:sz w:val="20"/>
                <w:szCs w:val="20"/>
              </w:rPr>
              <w:t>Osobné náklady</w:t>
            </w:r>
          </w:p>
        </w:tc>
        <w:tc>
          <w:tcPr>
            <w:tcW w:w="1510" w:type="dxa"/>
            <w:tcBorders>
              <w:top w:val="nil"/>
              <w:left w:val="nil"/>
              <w:bottom w:val="nil"/>
              <w:right w:val="single" w:sz="4" w:space="0" w:color="auto"/>
            </w:tcBorders>
            <w:shd w:val="clear" w:color="auto" w:fill="auto"/>
            <w:noWrap/>
            <w:vAlign w:val="center"/>
            <w:hideMark/>
          </w:tcPr>
          <w:p w:rsidR="00126508" w:rsidRPr="00126508" w:rsidRDefault="00126508" w:rsidP="00126508">
            <w:pPr>
              <w:spacing w:after="0" w:line="240" w:lineRule="auto"/>
              <w:jc w:val="center"/>
              <w:rPr>
                <w:rFonts w:ascii="Times New Roman" w:eastAsia="Times New Roman" w:hAnsi="Times New Roman" w:cs="Times New Roman"/>
                <w:color w:val="000000"/>
                <w:sz w:val="20"/>
                <w:szCs w:val="20"/>
              </w:rPr>
            </w:pPr>
            <w:r w:rsidRPr="00126508">
              <w:rPr>
                <w:rFonts w:ascii="Times New Roman" w:eastAsia="Times New Roman" w:hAnsi="Times New Roman" w:cs="Times New Roman"/>
                <w:color w:val="000000"/>
                <w:sz w:val="20"/>
                <w:szCs w:val="20"/>
              </w:rPr>
              <w:t>mil. EUR</w:t>
            </w:r>
          </w:p>
        </w:tc>
        <w:tc>
          <w:tcPr>
            <w:tcW w:w="960" w:type="dxa"/>
            <w:tcBorders>
              <w:top w:val="nil"/>
              <w:left w:val="nil"/>
              <w:bottom w:val="nil"/>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Times New Roman" w:hAnsi="Times New Roman" w:cs="Times New Roman"/>
                <w:color w:val="000000"/>
                <w:sz w:val="20"/>
                <w:szCs w:val="20"/>
              </w:rPr>
              <w:t>130,49</w:t>
            </w:r>
          </w:p>
        </w:tc>
        <w:tc>
          <w:tcPr>
            <w:tcW w:w="960" w:type="dxa"/>
            <w:tcBorders>
              <w:top w:val="nil"/>
              <w:left w:val="nil"/>
              <w:bottom w:val="nil"/>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Arial Unicode MS" w:hAnsi="Times New Roman" w:cs="Times New Roman"/>
                <w:color w:val="000000"/>
                <w:sz w:val="20"/>
                <w:szCs w:val="20"/>
              </w:rPr>
              <w:t>101,33</w:t>
            </w:r>
          </w:p>
        </w:tc>
        <w:tc>
          <w:tcPr>
            <w:tcW w:w="960" w:type="dxa"/>
            <w:tcBorders>
              <w:top w:val="nil"/>
              <w:left w:val="nil"/>
              <w:bottom w:val="nil"/>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Arial Unicode MS" w:hAnsi="Times New Roman" w:cs="Times New Roman"/>
                <w:color w:val="000000"/>
                <w:sz w:val="20"/>
                <w:szCs w:val="20"/>
              </w:rPr>
              <w:t>103,68</w:t>
            </w:r>
          </w:p>
        </w:tc>
        <w:tc>
          <w:tcPr>
            <w:tcW w:w="960" w:type="dxa"/>
            <w:tcBorders>
              <w:top w:val="nil"/>
              <w:left w:val="nil"/>
              <w:bottom w:val="nil"/>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Arial Unicode MS" w:hAnsi="Times New Roman" w:cs="Times New Roman"/>
                <w:color w:val="000000"/>
                <w:sz w:val="20"/>
                <w:szCs w:val="20"/>
              </w:rPr>
              <w:t>114,6</w:t>
            </w:r>
          </w:p>
        </w:tc>
      </w:tr>
      <w:tr w:rsidR="00126508" w:rsidRPr="00126508" w:rsidTr="00126508">
        <w:trPr>
          <w:cantSplit/>
          <w:trHeight w:val="300"/>
        </w:trPr>
        <w:tc>
          <w:tcPr>
            <w:tcW w:w="3701" w:type="dxa"/>
            <w:tcBorders>
              <w:top w:val="single" w:sz="4" w:space="0" w:color="auto"/>
              <w:left w:val="nil"/>
              <w:bottom w:val="single" w:sz="4" w:space="0" w:color="auto"/>
              <w:right w:val="single" w:sz="4" w:space="0" w:color="auto"/>
            </w:tcBorders>
            <w:shd w:val="clear" w:color="000000" w:fill="F2F2F2"/>
            <w:noWrap/>
            <w:vAlign w:val="center"/>
            <w:hideMark/>
          </w:tcPr>
          <w:p w:rsidR="00126508" w:rsidRPr="00126508" w:rsidRDefault="00126508" w:rsidP="00126508">
            <w:pPr>
              <w:spacing w:after="0" w:line="240" w:lineRule="auto"/>
              <w:rPr>
                <w:rFonts w:ascii="Times New Roman" w:eastAsia="Times New Roman" w:hAnsi="Times New Roman" w:cs="Times New Roman"/>
                <w:color w:val="000000"/>
                <w:sz w:val="20"/>
                <w:szCs w:val="20"/>
              </w:rPr>
            </w:pPr>
            <w:r w:rsidRPr="00126508">
              <w:rPr>
                <w:rFonts w:ascii="Times New Roman" w:eastAsia="Times New Roman" w:hAnsi="Times New Roman" w:cs="Times New Roman"/>
                <w:color w:val="000000"/>
                <w:sz w:val="20"/>
                <w:szCs w:val="20"/>
              </w:rPr>
              <w:t xml:space="preserve">   z toho: mzdové náklady</w:t>
            </w:r>
          </w:p>
        </w:tc>
        <w:tc>
          <w:tcPr>
            <w:tcW w:w="1510" w:type="dxa"/>
            <w:tcBorders>
              <w:top w:val="single" w:sz="4" w:space="0" w:color="auto"/>
              <w:left w:val="nil"/>
              <w:bottom w:val="single" w:sz="4" w:space="0" w:color="auto"/>
              <w:right w:val="single" w:sz="4" w:space="0" w:color="auto"/>
            </w:tcBorders>
            <w:shd w:val="clear" w:color="000000" w:fill="F2F2F2"/>
            <w:noWrap/>
            <w:vAlign w:val="center"/>
            <w:hideMark/>
          </w:tcPr>
          <w:p w:rsidR="00126508" w:rsidRPr="00126508" w:rsidRDefault="00126508" w:rsidP="00126508">
            <w:pPr>
              <w:spacing w:after="0" w:line="240" w:lineRule="auto"/>
              <w:jc w:val="center"/>
              <w:rPr>
                <w:rFonts w:ascii="Times New Roman" w:eastAsia="Times New Roman" w:hAnsi="Times New Roman" w:cs="Times New Roman"/>
                <w:color w:val="000000"/>
                <w:sz w:val="20"/>
                <w:szCs w:val="20"/>
              </w:rPr>
            </w:pPr>
            <w:r w:rsidRPr="00126508">
              <w:rPr>
                <w:rFonts w:ascii="Times New Roman" w:eastAsia="Times New Roman" w:hAnsi="Times New Roman" w:cs="Times New Roman"/>
                <w:color w:val="000000"/>
                <w:sz w:val="20"/>
                <w:szCs w:val="20"/>
              </w:rPr>
              <w:t>mil. EUR</w:t>
            </w:r>
          </w:p>
        </w:tc>
        <w:tc>
          <w:tcPr>
            <w:tcW w:w="960" w:type="dxa"/>
            <w:tcBorders>
              <w:top w:val="single" w:sz="4" w:space="0" w:color="auto"/>
              <w:left w:val="nil"/>
              <w:bottom w:val="single" w:sz="4" w:space="0" w:color="auto"/>
              <w:right w:val="nil"/>
            </w:tcBorders>
            <w:shd w:val="clear" w:color="000000" w:fill="F2F2F2"/>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Times New Roman" w:hAnsi="Times New Roman" w:cs="Times New Roman"/>
                <w:color w:val="000000"/>
                <w:sz w:val="20"/>
                <w:szCs w:val="20"/>
              </w:rPr>
              <w:t>92,81</w:t>
            </w:r>
          </w:p>
        </w:tc>
        <w:tc>
          <w:tcPr>
            <w:tcW w:w="960" w:type="dxa"/>
            <w:tcBorders>
              <w:top w:val="single" w:sz="4" w:space="0" w:color="auto"/>
              <w:left w:val="nil"/>
              <w:bottom w:val="single" w:sz="4" w:space="0" w:color="auto"/>
              <w:right w:val="nil"/>
            </w:tcBorders>
            <w:shd w:val="clear" w:color="000000" w:fill="F2F2F2"/>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Arial Unicode MS" w:hAnsi="Times New Roman" w:cs="Times New Roman"/>
                <w:color w:val="000000"/>
                <w:sz w:val="20"/>
                <w:szCs w:val="20"/>
              </w:rPr>
              <w:t>71,42</w:t>
            </w:r>
          </w:p>
        </w:tc>
        <w:tc>
          <w:tcPr>
            <w:tcW w:w="960" w:type="dxa"/>
            <w:tcBorders>
              <w:top w:val="single" w:sz="4" w:space="0" w:color="auto"/>
              <w:left w:val="nil"/>
              <w:bottom w:val="single" w:sz="4" w:space="0" w:color="auto"/>
              <w:right w:val="nil"/>
            </w:tcBorders>
            <w:shd w:val="clear" w:color="000000" w:fill="F2F2F2"/>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Arial Unicode MS" w:hAnsi="Times New Roman" w:cs="Times New Roman"/>
                <w:color w:val="000000"/>
                <w:sz w:val="20"/>
                <w:szCs w:val="20"/>
              </w:rPr>
              <w:t>75,02</w:t>
            </w:r>
          </w:p>
        </w:tc>
        <w:tc>
          <w:tcPr>
            <w:tcW w:w="960" w:type="dxa"/>
            <w:tcBorders>
              <w:top w:val="single" w:sz="4" w:space="0" w:color="auto"/>
              <w:left w:val="nil"/>
              <w:bottom w:val="single" w:sz="4" w:space="0" w:color="auto"/>
              <w:right w:val="nil"/>
            </w:tcBorders>
            <w:shd w:val="clear" w:color="000000" w:fill="F2F2F2"/>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Arial Unicode MS" w:hAnsi="Times New Roman" w:cs="Times New Roman"/>
                <w:color w:val="000000"/>
                <w:sz w:val="20"/>
                <w:szCs w:val="20"/>
              </w:rPr>
              <w:t>87,94</w:t>
            </w:r>
          </w:p>
        </w:tc>
      </w:tr>
      <w:tr w:rsidR="00126508" w:rsidRPr="00126508" w:rsidTr="00126508">
        <w:trPr>
          <w:cantSplit/>
          <w:trHeight w:val="300"/>
        </w:trPr>
        <w:tc>
          <w:tcPr>
            <w:tcW w:w="3701" w:type="dxa"/>
            <w:tcBorders>
              <w:top w:val="nil"/>
              <w:left w:val="nil"/>
              <w:bottom w:val="single" w:sz="4" w:space="0" w:color="auto"/>
              <w:right w:val="single" w:sz="4" w:space="0" w:color="auto"/>
            </w:tcBorders>
            <w:shd w:val="clear" w:color="auto" w:fill="auto"/>
            <w:noWrap/>
            <w:vAlign w:val="center"/>
            <w:hideMark/>
          </w:tcPr>
          <w:p w:rsidR="00126508" w:rsidRPr="00126508" w:rsidRDefault="00126508" w:rsidP="00126508">
            <w:pPr>
              <w:spacing w:after="0" w:line="240" w:lineRule="auto"/>
              <w:rPr>
                <w:rFonts w:ascii="Times New Roman" w:eastAsia="Times New Roman" w:hAnsi="Times New Roman" w:cs="Times New Roman"/>
                <w:color w:val="000000"/>
                <w:sz w:val="20"/>
                <w:szCs w:val="20"/>
              </w:rPr>
            </w:pPr>
            <w:r w:rsidRPr="00126508">
              <w:rPr>
                <w:rFonts w:ascii="Times New Roman" w:eastAsia="Times New Roman" w:hAnsi="Times New Roman" w:cs="Times New Roman"/>
                <w:color w:val="000000"/>
                <w:sz w:val="20"/>
                <w:szCs w:val="20"/>
              </w:rPr>
              <w:t>Ostatné</w:t>
            </w:r>
          </w:p>
        </w:tc>
        <w:tc>
          <w:tcPr>
            <w:tcW w:w="1510" w:type="dxa"/>
            <w:tcBorders>
              <w:top w:val="nil"/>
              <w:left w:val="nil"/>
              <w:bottom w:val="single" w:sz="4" w:space="0" w:color="auto"/>
              <w:right w:val="single" w:sz="4" w:space="0" w:color="auto"/>
            </w:tcBorders>
            <w:shd w:val="clear" w:color="auto" w:fill="auto"/>
            <w:noWrap/>
            <w:vAlign w:val="center"/>
            <w:hideMark/>
          </w:tcPr>
          <w:p w:rsidR="00126508" w:rsidRPr="00126508" w:rsidRDefault="00126508" w:rsidP="00126508">
            <w:pPr>
              <w:spacing w:after="0" w:line="240" w:lineRule="auto"/>
              <w:jc w:val="center"/>
              <w:rPr>
                <w:rFonts w:ascii="Times New Roman" w:eastAsia="Times New Roman" w:hAnsi="Times New Roman" w:cs="Times New Roman"/>
                <w:color w:val="000000"/>
                <w:sz w:val="20"/>
                <w:szCs w:val="20"/>
              </w:rPr>
            </w:pPr>
            <w:r w:rsidRPr="00126508">
              <w:rPr>
                <w:rFonts w:ascii="Times New Roman" w:eastAsia="Times New Roman" w:hAnsi="Times New Roman" w:cs="Times New Roman"/>
                <w:color w:val="000000"/>
                <w:sz w:val="20"/>
                <w:szCs w:val="20"/>
              </w:rPr>
              <w:t>mil. EUR</w:t>
            </w:r>
          </w:p>
        </w:tc>
        <w:tc>
          <w:tcPr>
            <w:tcW w:w="960" w:type="dxa"/>
            <w:tcBorders>
              <w:top w:val="nil"/>
              <w:left w:val="nil"/>
              <w:bottom w:val="single" w:sz="4" w:space="0" w:color="auto"/>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Times New Roman" w:hAnsi="Times New Roman" w:cs="Times New Roman"/>
                <w:color w:val="000000"/>
                <w:sz w:val="20"/>
                <w:szCs w:val="20"/>
              </w:rPr>
              <w:t>106,42</w:t>
            </w:r>
          </w:p>
        </w:tc>
        <w:tc>
          <w:tcPr>
            <w:tcW w:w="960" w:type="dxa"/>
            <w:tcBorders>
              <w:top w:val="nil"/>
              <w:left w:val="nil"/>
              <w:bottom w:val="single" w:sz="4" w:space="0" w:color="auto"/>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Arial Unicode MS" w:hAnsi="Times New Roman" w:cs="Times New Roman"/>
                <w:color w:val="000000"/>
                <w:sz w:val="20"/>
                <w:szCs w:val="20"/>
              </w:rPr>
              <w:t>95,45</w:t>
            </w:r>
          </w:p>
        </w:tc>
        <w:tc>
          <w:tcPr>
            <w:tcW w:w="960" w:type="dxa"/>
            <w:tcBorders>
              <w:top w:val="nil"/>
              <w:left w:val="nil"/>
              <w:bottom w:val="single" w:sz="4" w:space="0" w:color="auto"/>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Arial Unicode MS" w:hAnsi="Times New Roman" w:cs="Times New Roman"/>
                <w:color w:val="000000"/>
                <w:sz w:val="20"/>
                <w:szCs w:val="20"/>
              </w:rPr>
              <w:t>83,17</w:t>
            </w:r>
          </w:p>
        </w:tc>
        <w:tc>
          <w:tcPr>
            <w:tcW w:w="960" w:type="dxa"/>
            <w:tcBorders>
              <w:top w:val="nil"/>
              <w:left w:val="nil"/>
              <w:bottom w:val="single" w:sz="4" w:space="0" w:color="auto"/>
              <w:right w:val="nil"/>
            </w:tcBorders>
            <w:shd w:val="clear" w:color="auto" w:fill="auto"/>
            <w:vAlign w:val="center"/>
            <w:hideMark/>
          </w:tcPr>
          <w:p w:rsidR="00126508" w:rsidRPr="00126508" w:rsidRDefault="00126508" w:rsidP="00126508">
            <w:pPr>
              <w:spacing w:after="0" w:line="240" w:lineRule="auto"/>
              <w:jc w:val="right"/>
              <w:rPr>
                <w:rFonts w:ascii="Times New Roman" w:eastAsia="Times New Roman" w:hAnsi="Times New Roman" w:cs="Times New Roman"/>
                <w:color w:val="000000"/>
                <w:sz w:val="20"/>
                <w:szCs w:val="20"/>
              </w:rPr>
            </w:pPr>
            <w:r w:rsidRPr="00126508">
              <w:rPr>
                <w:rFonts w:ascii="Times New Roman" w:eastAsia="Arial Unicode MS" w:hAnsi="Times New Roman" w:cs="Times New Roman"/>
                <w:color w:val="000000"/>
                <w:sz w:val="20"/>
                <w:szCs w:val="20"/>
              </w:rPr>
              <w:t>76,35</w:t>
            </w:r>
          </w:p>
        </w:tc>
      </w:tr>
    </w:tbl>
    <w:p w:rsidR="00126508" w:rsidRPr="004358D5" w:rsidRDefault="00126508" w:rsidP="00126508">
      <w:pPr>
        <w:spacing w:after="0" w:line="240" w:lineRule="auto"/>
        <w:jc w:val="right"/>
        <w:rPr>
          <w:rFonts w:ascii="Times New Roman" w:eastAsia="Calibri" w:hAnsi="Times New Roman"/>
          <w:sz w:val="24"/>
          <w:szCs w:val="24"/>
        </w:rPr>
      </w:pPr>
      <w:r>
        <w:rPr>
          <w:rFonts w:ascii="Times New Roman" w:hAnsi="Times New Roman" w:cs="Times New Roman"/>
          <w:sz w:val="20"/>
          <w:szCs w:val="20"/>
        </w:rPr>
        <w:t>Zdroj: NLC-ÚLZI Zvolen</w:t>
      </w:r>
    </w:p>
    <w:p w:rsidR="00126508" w:rsidRDefault="00126508" w:rsidP="00E27F74">
      <w:pPr>
        <w:spacing w:after="0" w:line="240" w:lineRule="auto"/>
        <w:jc w:val="both"/>
        <w:rPr>
          <w:rFonts w:ascii="Times New Roman" w:eastAsia="Calibri" w:hAnsi="Times New Roman"/>
          <w:sz w:val="24"/>
          <w:szCs w:val="24"/>
        </w:rPr>
      </w:pPr>
    </w:p>
    <w:p w:rsidR="00E27F74" w:rsidRDefault="00E27F74" w:rsidP="00E27F74">
      <w:pPr>
        <w:spacing w:after="0" w:line="240" w:lineRule="auto"/>
        <w:jc w:val="both"/>
        <w:rPr>
          <w:rFonts w:ascii="Times New Roman" w:eastAsia="Calibri" w:hAnsi="Times New Roman"/>
          <w:sz w:val="24"/>
          <w:szCs w:val="24"/>
        </w:rPr>
      </w:pPr>
      <w:r>
        <w:rPr>
          <w:rFonts w:ascii="Times New Roman" w:eastAsia="Calibri" w:hAnsi="Times New Roman"/>
          <w:sz w:val="24"/>
          <w:szCs w:val="24"/>
        </w:rPr>
        <w:t>Celkové n</w:t>
      </w:r>
      <w:r w:rsidRPr="004358D5">
        <w:rPr>
          <w:rFonts w:ascii="Times New Roman" w:eastAsia="Calibri" w:hAnsi="Times New Roman"/>
          <w:sz w:val="24"/>
          <w:szCs w:val="24"/>
        </w:rPr>
        <w:t>áklady lesníckych činností (</w:t>
      </w:r>
      <w:proofErr w:type="spellStart"/>
      <w:r w:rsidRPr="004358D5">
        <w:rPr>
          <w:rFonts w:ascii="Times New Roman" w:eastAsia="Calibri" w:hAnsi="Times New Roman"/>
          <w:sz w:val="24"/>
          <w:szCs w:val="24"/>
        </w:rPr>
        <w:t>pestovná</w:t>
      </w:r>
      <w:proofErr w:type="spellEnd"/>
      <w:r w:rsidRPr="004358D5">
        <w:rPr>
          <w:rFonts w:ascii="Times New Roman" w:eastAsia="Calibri" w:hAnsi="Times New Roman"/>
          <w:sz w:val="24"/>
          <w:szCs w:val="24"/>
        </w:rPr>
        <w:t xml:space="preserve"> a  ťažbová činnosť) predstavovali 52,3 % z celkových nákladov. Podľa kalkulačného členenia nákladov, najväčší podiel z celkových nákladov v roku 2011 predstavovali priame nákl</w:t>
      </w:r>
      <w:r>
        <w:rPr>
          <w:rFonts w:ascii="Times New Roman" w:eastAsia="Calibri" w:hAnsi="Times New Roman"/>
          <w:sz w:val="24"/>
          <w:szCs w:val="24"/>
        </w:rPr>
        <w:t xml:space="preserve">ady ťažbovej činnosti (41,1 %). </w:t>
      </w:r>
      <w:r w:rsidRPr="004358D5">
        <w:rPr>
          <w:rFonts w:ascii="Times New Roman" w:eastAsia="Calibri" w:hAnsi="Times New Roman"/>
          <w:sz w:val="24"/>
          <w:szCs w:val="24"/>
        </w:rPr>
        <w:t xml:space="preserve">Pokles priamych nákladov ťažbovej činnosti </w:t>
      </w:r>
      <w:r>
        <w:rPr>
          <w:rFonts w:ascii="Times New Roman" w:eastAsia="Calibri" w:hAnsi="Times New Roman"/>
          <w:sz w:val="24"/>
          <w:szCs w:val="24"/>
        </w:rPr>
        <w:t xml:space="preserve">oproti roku 2010 </w:t>
      </w:r>
      <w:r w:rsidRPr="004358D5">
        <w:rPr>
          <w:rFonts w:ascii="Times New Roman" w:eastAsia="Calibri" w:hAnsi="Times New Roman"/>
          <w:sz w:val="24"/>
          <w:szCs w:val="24"/>
        </w:rPr>
        <w:t xml:space="preserve">(v absolútnej čiastke o 6 611 tis. EUR) je spôsobený znížením ťažieb dreva. V roku 2011 bol zaznamenaný nárast priamych nákladov </w:t>
      </w:r>
      <w:proofErr w:type="spellStart"/>
      <w:r w:rsidRPr="004358D5">
        <w:rPr>
          <w:rFonts w:ascii="Times New Roman" w:eastAsia="Calibri" w:hAnsi="Times New Roman"/>
          <w:sz w:val="24"/>
          <w:szCs w:val="24"/>
        </w:rPr>
        <w:t>pestovnej</w:t>
      </w:r>
      <w:proofErr w:type="spellEnd"/>
      <w:r w:rsidRPr="004358D5">
        <w:rPr>
          <w:rFonts w:ascii="Times New Roman" w:eastAsia="Calibri" w:hAnsi="Times New Roman"/>
          <w:sz w:val="24"/>
          <w:szCs w:val="24"/>
        </w:rPr>
        <w:t xml:space="preserve"> činnosti (o 11 790 tis. EUR) a výrazný nárast priamych nákladov ostatných (nelesníckych, obslužných) činností až o 35 382 tis. EUR. Pozitívne možno hodnotiť zníženie režijných nákladov o 5 436 tis. EUR. </w:t>
      </w:r>
    </w:p>
    <w:p w:rsidR="00126508" w:rsidRDefault="00126508" w:rsidP="00E27F74">
      <w:pPr>
        <w:spacing w:after="0" w:line="240" w:lineRule="auto"/>
        <w:jc w:val="both"/>
        <w:rPr>
          <w:rFonts w:ascii="Times New Roman" w:eastAsia="Calibri" w:hAnsi="Times New Roman"/>
          <w:sz w:val="24"/>
          <w:szCs w:val="24"/>
        </w:rPr>
      </w:pPr>
    </w:p>
    <w:p w:rsidR="00126508" w:rsidRPr="00126508" w:rsidRDefault="00C970F8" w:rsidP="00126508">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 44</w:t>
      </w:r>
      <w:r w:rsidR="00850910">
        <w:rPr>
          <w:rFonts w:ascii="Times New Roman" w:hAnsi="Times New Roman" w:cs="Times New Roman"/>
          <w:sz w:val="20"/>
          <w:szCs w:val="20"/>
        </w:rPr>
        <w:t>:</w:t>
      </w:r>
      <w:r w:rsidR="00126508">
        <w:rPr>
          <w:rFonts w:ascii="Times New Roman" w:hAnsi="Times New Roman" w:cs="Times New Roman"/>
          <w:sz w:val="20"/>
          <w:szCs w:val="20"/>
        </w:rPr>
        <w:tab/>
      </w:r>
      <w:r w:rsidR="00126508" w:rsidRPr="00126508">
        <w:rPr>
          <w:rFonts w:ascii="Times New Roman" w:hAnsi="Times New Roman" w:cs="Times New Roman"/>
          <w:sz w:val="20"/>
          <w:szCs w:val="20"/>
        </w:rPr>
        <w:t>Kalkulačné členenie nákladov podľa vybraných výkonov v LH</w:t>
      </w:r>
    </w:p>
    <w:tbl>
      <w:tblPr>
        <w:tblW w:w="9103" w:type="dxa"/>
        <w:tblInd w:w="55" w:type="dxa"/>
        <w:tblCellMar>
          <w:left w:w="70" w:type="dxa"/>
          <w:right w:w="70" w:type="dxa"/>
        </w:tblCellMar>
        <w:tblLook w:val="04A0" w:firstRow="1" w:lastRow="0" w:firstColumn="1" w:lastColumn="0" w:noHBand="0" w:noVBand="1"/>
      </w:tblPr>
      <w:tblGrid>
        <w:gridCol w:w="3843"/>
        <w:gridCol w:w="1420"/>
        <w:gridCol w:w="960"/>
        <w:gridCol w:w="960"/>
        <w:gridCol w:w="960"/>
        <w:gridCol w:w="960"/>
      </w:tblGrid>
      <w:tr w:rsidR="00E27F74" w:rsidRPr="00E27F74" w:rsidTr="00126508">
        <w:trPr>
          <w:trHeight w:val="255"/>
        </w:trPr>
        <w:tc>
          <w:tcPr>
            <w:tcW w:w="3843" w:type="dxa"/>
            <w:tcBorders>
              <w:top w:val="nil"/>
              <w:left w:val="nil"/>
              <w:bottom w:val="single" w:sz="4" w:space="0" w:color="auto"/>
              <w:right w:val="nil"/>
            </w:tcBorders>
            <w:shd w:val="clear" w:color="000000" w:fill="D9D9D9"/>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 </w:t>
            </w:r>
          </w:p>
        </w:tc>
        <w:tc>
          <w:tcPr>
            <w:tcW w:w="1420" w:type="dxa"/>
            <w:tcBorders>
              <w:top w:val="nil"/>
              <w:left w:val="nil"/>
              <w:bottom w:val="single" w:sz="4" w:space="0" w:color="auto"/>
              <w:right w:val="nil"/>
            </w:tcBorders>
            <w:shd w:val="clear" w:color="000000" w:fill="D9D9D9"/>
            <w:vAlign w:val="center"/>
            <w:hideMark/>
          </w:tcPr>
          <w:p w:rsidR="00E27F74" w:rsidRPr="00E27F74" w:rsidRDefault="00E27F74" w:rsidP="00E27F74">
            <w:pPr>
              <w:spacing w:after="0" w:line="240" w:lineRule="auto"/>
              <w:jc w:val="center"/>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Merná jednotka</w:t>
            </w:r>
          </w:p>
        </w:tc>
        <w:tc>
          <w:tcPr>
            <w:tcW w:w="960" w:type="dxa"/>
            <w:tcBorders>
              <w:top w:val="nil"/>
              <w:left w:val="nil"/>
              <w:bottom w:val="single" w:sz="4" w:space="0" w:color="auto"/>
              <w:right w:val="nil"/>
            </w:tcBorders>
            <w:shd w:val="clear" w:color="000000" w:fill="D9D9D9"/>
            <w:vAlign w:val="center"/>
            <w:hideMark/>
          </w:tcPr>
          <w:p w:rsidR="00E27F74" w:rsidRPr="00E27F74" w:rsidRDefault="00E27F74" w:rsidP="00E27F74">
            <w:pPr>
              <w:spacing w:after="0" w:line="240" w:lineRule="auto"/>
              <w:jc w:val="center"/>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2008</w:t>
            </w:r>
          </w:p>
        </w:tc>
        <w:tc>
          <w:tcPr>
            <w:tcW w:w="960" w:type="dxa"/>
            <w:tcBorders>
              <w:top w:val="nil"/>
              <w:left w:val="nil"/>
              <w:bottom w:val="single" w:sz="4" w:space="0" w:color="auto"/>
              <w:right w:val="nil"/>
            </w:tcBorders>
            <w:shd w:val="clear" w:color="000000" w:fill="D9D9D9"/>
            <w:vAlign w:val="center"/>
            <w:hideMark/>
          </w:tcPr>
          <w:p w:rsidR="00E27F74" w:rsidRPr="00E27F74" w:rsidRDefault="00E27F74" w:rsidP="00E27F74">
            <w:pPr>
              <w:spacing w:after="0" w:line="240" w:lineRule="auto"/>
              <w:jc w:val="center"/>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2009</w:t>
            </w:r>
          </w:p>
        </w:tc>
        <w:tc>
          <w:tcPr>
            <w:tcW w:w="960" w:type="dxa"/>
            <w:tcBorders>
              <w:top w:val="nil"/>
              <w:left w:val="nil"/>
              <w:bottom w:val="single" w:sz="4" w:space="0" w:color="auto"/>
              <w:right w:val="nil"/>
            </w:tcBorders>
            <w:shd w:val="clear" w:color="000000" w:fill="D9D9D9"/>
            <w:vAlign w:val="center"/>
            <w:hideMark/>
          </w:tcPr>
          <w:p w:rsidR="00E27F74" w:rsidRPr="00E27F74" w:rsidRDefault="00E27F74" w:rsidP="00E27F74">
            <w:pPr>
              <w:spacing w:after="0" w:line="240" w:lineRule="auto"/>
              <w:jc w:val="center"/>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2010</w:t>
            </w:r>
          </w:p>
        </w:tc>
        <w:tc>
          <w:tcPr>
            <w:tcW w:w="960" w:type="dxa"/>
            <w:tcBorders>
              <w:top w:val="nil"/>
              <w:left w:val="nil"/>
              <w:bottom w:val="single" w:sz="4" w:space="0" w:color="auto"/>
              <w:right w:val="nil"/>
            </w:tcBorders>
            <w:shd w:val="clear" w:color="000000" w:fill="D9D9D9"/>
            <w:vAlign w:val="center"/>
            <w:hideMark/>
          </w:tcPr>
          <w:p w:rsidR="00E27F74" w:rsidRPr="00E27F74" w:rsidRDefault="00E27F74" w:rsidP="00E27F74">
            <w:pPr>
              <w:spacing w:after="0" w:line="240" w:lineRule="auto"/>
              <w:jc w:val="center"/>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2011</w:t>
            </w:r>
          </w:p>
        </w:tc>
      </w:tr>
      <w:tr w:rsidR="00E27F74" w:rsidRPr="00E27F74" w:rsidTr="00126508">
        <w:trPr>
          <w:trHeight w:val="510"/>
        </w:trPr>
        <w:tc>
          <w:tcPr>
            <w:tcW w:w="3843" w:type="dxa"/>
            <w:tcBorders>
              <w:top w:val="nil"/>
              <w:left w:val="nil"/>
              <w:bottom w:val="nil"/>
              <w:right w:val="single" w:sz="4" w:space="0" w:color="auto"/>
            </w:tcBorders>
            <w:shd w:val="clear" w:color="auto" w:fill="auto"/>
            <w:vAlign w:val="center"/>
            <w:hideMark/>
          </w:tcPr>
          <w:p w:rsidR="00E27F74" w:rsidRPr="00E27F74" w:rsidRDefault="00E27F74" w:rsidP="00E27F74">
            <w:pPr>
              <w:spacing w:after="0" w:line="240" w:lineRule="auto"/>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 xml:space="preserve">Priame náklady </w:t>
            </w:r>
            <w:proofErr w:type="spellStart"/>
            <w:r w:rsidRPr="00E27F74">
              <w:rPr>
                <w:rFonts w:ascii="Times New Roman" w:eastAsia="Times New Roman" w:hAnsi="Times New Roman" w:cs="Times New Roman"/>
                <w:b/>
                <w:bCs/>
                <w:color w:val="000000"/>
                <w:sz w:val="20"/>
                <w:szCs w:val="20"/>
              </w:rPr>
              <w:t>pestovnej</w:t>
            </w:r>
            <w:proofErr w:type="spellEnd"/>
            <w:r w:rsidRPr="00E27F74">
              <w:rPr>
                <w:rFonts w:ascii="Times New Roman" w:eastAsia="Times New Roman" w:hAnsi="Times New Roman" w:cs="Times New Roman"/>
                <w:b/>
                <w:bCs/>
                <w:color w:val="000000"/>
                <w:sz w:val="20"/>
                <w:szCs w:val="20"/>
              </w:rPr>
              <w:t xml:space="preserve"> činnosti spolu</w:t>
            </w:r>
          </w:p>
        </w:tc>
        <w:tc>
          <w:tcPr>
            <w:tcW w:w="1420" w:type="dxa"/>
            <w:vMerge w:val="restart"/>
            <w:tcBorders>
              <w:top w:val="nil"/>
              <w:left w:val="nil"/>
              <w:bottom w:val="single" w:sz="4" w:space="0" w:color="000000"/>
              <w:right w:val="single" w:sz="4" w:space="0" w:color="auto"/>
            </w:tcBorders>
            <w:shd w:val="clear" w:color="auto" w:fill="auto"/>
            <w:vAlign w:val="center"/>
            <w:hideMark/>
          </w:tcPr>
          <w:p w:rsidR="00E27F74" w:rsidRPr="00E27F74" w:rsidRDefault="00E27F74" w:rsidP="00E27F74">
            <w:pPr>
              <w:spacing w:after="0" w:line="240" w:lineRule="auto"/>
              <w:jc w:val="center"/>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tis. EUR</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59 085</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38 910</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43 898</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55 688</w:t>
            </w:r>
          </w:p>
        </w:tc>
      </w:tr>
      <w:tr w:rsidR="00E27F74" w:rsidRPr="00E27F74" w:rsidTr="00126508">
        <w:trPr>
          <w:trHeight w:val="255"/>
        </w:trPr>
        <w:tc>
          <w:tcPr>
            <w:tcW w:w="3843" w:type="dxa"/>
            <w:tcBorders>
              <w:top w:val="nil"/>
              <w:left w:val="nil"/>
              <w:bottom w:val="nil"/>
              <w:right w:val="single" w:sz="4" w:space="0" w:color="auto"/>
            </w:tcBorders>
            <w:shd w:val="clear" w:color="auto" w:fill="auto"/>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Umelá obnova lesa</w:t>
            </w:r>
          </w:p>
        </w:tc>
        <w:tc>
          <w:tcPr>
            <w:tcW w:w="1420" w:type="dxa"/>
            <w:vMerge/>
            <w:tcBorders>
              <w:top w:val="nil"/>
              <w:left w:val="nil"/>
              <w:bottom w:val="single" w:sz="4" w:space="0" w:color="000000"/>
              <w:right w:val="single" w:sz="4" w:space="0" w:color="auto"/>
            </w:tcBorders>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16 613</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15 107</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10 598</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13 474</w:t>
            </w:r>
          </w:p>
        </w:tc>
      </w:tr>
      <w:tr w:rsidR="00E27F74" w:rsidRPr="00E27F74" w:rsidTr="00126508">
        <w:trPr>
          <w:trHeight w:val="255"/>
        </w:trPr>
        <w:tc>
          <w:tcPr>
            <w:tcW w:w="3843" w:type="dxa"/>
            <w:tcBorders>
              <w:top w:val="nil"/>
              <w:left w:val="nil"/>
              <w:bottom w:val="nil"/>
              <w:right w:val="single" w:sz="4" w:space="0" w:color="auto"/>
            </w:tcBorders>
            <w:shd w:val="clear" w:color="auto" w:fill="auto"/>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Starostlivosť o lesné kultúry</w:t>
            </w:r>
          </w:p>
        </w:tc>
        <w:tc>
          <w:tcPr>
            <w:tcW w:w="1420" w:type="dxa"/>
            <w:vMerge/>
            <w:tcBorders>
              <w:top w:val="nil"/>
              <w:left w:val="nil"/>
              <w:bottom w:val="single" w:sz="4" w:space="0" w:color="000000"/>
              <w:right w:val="single" w:sz="4" w:space="0" w:color="auto"/>
            </w:tcBorders>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2 434</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809</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1 350</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1 874</w:t>
            </w:r>
          </w:p>
        </w:tc>
      </w:tr>
      <w:tr w:rsidR="00E27F74" w:rsidRPr="00E27F74" w:rsidTr="00126508">
        <w:trPr>
          <w:trHeight w:val="255"/>
        </w:trPr>
        <w:tc>
          <w:tcPr>
            <w:tcW w:w="3843" w:type="dxa"/>
            <w:tcBorders>
              <w:top w:val="nil"/>
              <w:left w:val="nil"/>
              <w:bottom w:val="nil"/>
              <w:right w:val="single" w:sz="4" w:space="0" w:color="auto"/>
            </w:tcBorders>
            <w:shd w:val="clear" w:color="auto" w:fill="auto"/>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Ochrana mladých lesných porastov</w:t>
            </w:r>
          </w:p>
        </w:tc>
        <w:tc>
          <w:tcPr>
            <w:tcW w:w="1420" w:type="dxa"/>
            <w:vMerge/>
            <w:tcBorders>
              <w:top w:val="nil"/>
              <w:left w:val="nil"/>
              <w:bottom w:val="single" w:sz="4" w:space="0" w:color="000000"/>
              <w:right w:val="single" w:sz="4" w:space="0" w:color="auto"/>
            </w:tcBorders>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11 717</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6 353</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8 808</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9 131</w:t>
            </w:r>
          </w:p>
        </w:tc>
      </w:tr>
      <w:tr w:rsidR="00E27F74" w:rsidRPr="00E27F74" w:rsidTr="00126508">
        <w:trPr>
          <w:trHeight w:val="255"/>
        </w:trPr>
        <w:tc>
          <w:tcPr>
            <w:tcW w:w="3843" w:type="dxa"/>
            <w:tcBorders>
              <w:top w:val="nil"/>
              <w:left w:val="nil"/>
              <w:bottom w:val="nil"/>
              <w:right w:val="single" w:sz="4" w:space="0" w:color="auto"/>
            </w:tcBorders>
            <w:shd w:val="clear" w:color="auto" w:fill="auto"/>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Prerezávky</w:t>
            </w:r>
          </w:p>
        </w:tc>
        <w:tc>
          <w:tcPr>
            <w:tcW w:w="1420" w:type="dxa"/>
            <w:vMerge/>
            <w:tcBorders>
              <w:top w:val="nil"/>
              <w:left w:val="nil"/>
              <w:bottom w:val="single" w:sz="4" w:space="0" w:color="000000"/>
              <w:right w:val="single" w:sz="4" w:space="0" w:color="auto"/>
            </w:tcBorders>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5 088</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2 796</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2 551</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4 016</w:t>
            </w:r>
          </w:p>
        </w:tc>
      </w:tr>
      <w:tr w:rsidR="00E27F74" w:rsidRPr="00E27F74" w:rsidTr="00126508">
        <w:trPr>
          <w:trHeight w:val="255"/>
        </w:trPr>
        <w:tc>
          <w:tcPr>
            <w:tcW w:w="3843" w:type="dxa"/>
            <w:tcBorders>
              <w:top w:val="nil"/>
              <w:left w:val="nil"/>
              <w:bottom w:val="nil"/>
              <w:right w:val="single" w:sz="4" w:space="0" w:color="auto"/>
            </w:tcBorders>
            <w:shd w:val="clear" w:color="auto" w:fill="auto"/>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Ochrana lesa</w:t>
            </w:r>
          </w:p>
        </w:tc>
        <w:tc>
          <w:tcPr>
            <w:tcW w:w="1420" w:type="dxa"/>
            <w:vMerge/>
            <w:tcBorders>
              <w:top w:val="nil"/>
              <w:left w:val="nil"/>
              <w:bottom w:val="single" w:sz="4" w:space="0" w:color="000000"/>
              <w:right w:val="single" w:sz="4" w:space="0" w:color="auto"/>
            </w:tcBorders>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9 048</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4 557</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4 443</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4 883</w:t>
            </w:r>
          </w:p>
        </w:tc>
      </w:tr>
      <w:tr w:rsidR="00E27F74" w:rsidRPr="00E27F74" w:rsidTr="00126508">
        <w:trPr>
          <w:trHeight w:val="255"/>
        </w:trPr>
        <w:tc>
          <w:tcPr>
            <w:tcW w:w="3843" w:type="dxa"/>
            <w:tcBorders>
              <w:top w:val="nil"/>
              <w:left w:val="nil"/>
              <w:bottom w:val="single" w:sz="4" w:space="0" w:color="auto"/>
              <w:right w:val="single" w:sz="4" w:space="0" w:color="auto"/>
            </w:tcBorders>
            <w:shd w:val="clear" w:color="auto" w:fill="auto"/>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Ostatné pestovné činnosti</w:t>
            </w:r>
          </w:p>
        </w:tc>
        <w:tc>
          <w:tcPr>
            <w:tcW w:w="1420" w:type="dxa"/>
            <w:vMerge/>
            <w:tcBorders>
              <w:top w:val="nil"/>
              <w:left w:val="nil"/>
              <w:bottom w:val="single" w:sz="4" w:space="0" w:color="000000"/>
              <w:right w:val="single" w:sz="4" w:space="0" w:color="auto"/>
            </w:tcBorders>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14 185</w:t>
            </w:r>
          </w:p>
        </w:tc>
        <w:tc>
          <w:tcPr>
            <w:tcW w:w="960" w:type="dxa"/>
            <w:tcBorders>
              <w:top w:val="nil"/>
              <w:left w:val="nil"/>
              <w:bottom w:val="single" w:sz="4" w:space="0" w:color="auto"/>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9 289</w:t>
            </w:r>
          </w:p>
        </w:tc>
        <w:tc>
          <w:tcPr>
            <w:tcW w:w="960" w:type="dxa"/>
            <w:tcBorders>
              <w:top w:val="nil"/>
              <w:left w:val="nil"/>
              <w:bottom w:val="single" w:sz="4" w:space="0" w:color="auto"/>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16 149</w:t>
            </w:r>
          </w:p>
        </w:tc>
        <w:tc>
          <w:tcPr>
            <w:tcW w:w="960" w:type="dxa"/>
            <w:tcBorders>
              <w:top w:val="nil"/>
              <w:left w:val="nil"/>
              <w:bottom w:val="single" w:sz="4" w:space="0" w:color="auto"/>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22 310</w:t>
            </w:r>
          </w:p>
        </w:tc>
      </w:tr>
      <w:tr w:rsidR="00E27F74" w:rsidRPr="00E27F74" w:rsidTr="00126508">
        <w:trPr>
          <w:cantSplit/>
          <w:trHeight w:val="315"/>
        </w:trPr>
        <w:tc>
          <w:tcPr>
            <w:tcW w:w="3843" w:type="dxa"/>
            <w:tcBorders>
              <w:top w:val="nil"/>
              <w:left w:val="nil"/>
              <w:bottom w:val="single" w:sz="4" w:space="0" w:color="auto"/>
              <w:right w:val="single" w:sz="4" w:space="0" w:color="auto"/>
            </w:tcBorders>
            <w:shd w:val="clear" w:color="000000" w:fill="F2F2F2"/>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 xml:space="preserve">Priame náklady </w:t>
            </w:r>
            <w:proofErr w:type="spellStart"/>
            <w:r w:rsidRPr="00E27F74">
              <w:rPr>
                <w:rFonts w:ascii="Times New Roman" w:eastAsia="Times New Roman" w:hAnsi="Times New Roman" w:cs="Times New Roman"/>
                <w:color w:val="000000"/>
                <w:sz w:val="20"/>
                <w:szCs w:val="20"/>
              </w:rPr>
              <w:t>pestovnej</w:t>
            </w:r>
            <w:proofErr w:type="spellEnd"/>
            <w:r w:rsidRPr="00E27F74">
              <w:rPr>
                <w:rFonts w:ascii="Times New Roman" w:eastAsia="Times New Roman" w:hAnsi="Times New Roman" w:cs="Times New Roman"/>
                <w:color w:val="000000"/>
                <w:sz w:val="20"/>
                <w:szCs w:val="20"/>
              </w:rPr>
              <w:t xml:space="preserve"> činnosti</w:t>
            </w:r>
          </w:p>
        </w:tc>
        <w:tc>
          <w:tcPr>
            <w:tcW w:w="1420" w:type="dxa"/>
            <w:tcBorders>
              <w:top w:val="nil"/>
              <w:left w:val="nil"/>
              <w:bottom w:val="single" w:sz="4" w:space="0" w:color="auto"/>
              <w:right w:val="single" w:sz="4" w:space="0" w:color="auto"/>
            </w:tcBorders>
            <w:shd w:val="clear" w:color="000000" w:fill="F2F2F2"/>
            <w:vAlign w:val="center"/>
            <w:hideMark/>
          </w:tcPr>
          <w:p w:rsidR="00E27F74" w:rsidRPr="00E27F74" w:rsidRDefault="00E27F74" w:rsidP="00E27F74">
            <w:pPr>
              <w:spacing w:after="0" w:line="240" w:lineRule="auto"/>
              <w:jc w:val="center"/>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EUR/m</w:t>
            </w:r>
            <w:r w:rsidRPr="00E27F74">
              <w:rPr>
                <w:rFonts w:ascii="Times New Roman" w:eastAsia="Times New Roman" w:hAnsi="Times New Roman" w:cs="Times New Roman"/>
                <w:color w:val="000000"/>
                <w:sz w:val="20"/>
                <w:szCs w:val="20"/>
                <w:vertAlign w:val="superscript"/>
              </w:rPr>
              <w:t>3</w:t>
            </w:r>
            <w:r w:rsidRPr="00E27F74">
              <w:rPr>
                <w:rFonts w:ascii="Times New Roman" w:eastAsia="Times New Roman" w:hAnsi="Times New Roman" w:cs="Times New Roman"/>
                <w:color w:val="000000"/>
                <w:sz w:val="20"/>
                <w:szCs w:val="20"/>
              </w:rPr>
              <w:t xml:space="preserve"> ťažby</w:t>
            </w:r>
          </w:p>
        </w:tc>
        <w:tc>
          <w:tcPr>
            <w:tcW w:w="960" w:type="dxa"/>
            <w:tcBorders>
              <w:top w:val="nil"/>
              <w:left w:val="nil"/>
              <w:bottom w:val="single" w:sz="4" w:space="0" w:color="auto"/>
              <w:right w:val="nil"/>
            </w:tcBorders>
            <w:shd w:val="clear" w:color="000000" w:fill="F2F2F2"/>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6,24</w:t>
            </w:r>
          </w:p>
        </w:tc>
        <w:tc>
          <w:tcPr>
            <w:tcW w:w="960" w:type="dxa"/>
            <w:tcBorders>
              <w:top w:val="nil"/>
              <w:left w:val="nil"/>
              <w:bottom w:val="single" w:sz="4" w:space="0" w:color="auto"/>
              <w:right w:val="nil"/>
            </w:tcBorders>
            <w:shd w:val="clear" w:color="000000" w:fill="F2F2F2"/>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4,21</w:t>
            </w:r>
          </w:p>
        </w:tc>
        <w:tc>
          <w:tcPr>
            <w:tcW w:w="960" w:type="dxa"/>
            <w:tcBorders>
              <w:top w:val="nil"/>
              <w:left w:val="nil"/>
              <w:bottom w:val="single" w:sz="4" w:space="0" w:color="auto"/>
              <w:right w:val="nil"/>
            </w:tcBorders>
            <w:shd w:val="clear" w:color="000000" w:fill="F2F2F2"/>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4,45</w:t>
            </w:r>
          </w:p>
        </w:tc>
        <w:tc>
          <w:tcPr>
            <w:tcW w:w="960" w:type="dxa"/>
            <w:tcBorders>
              <w:top w:val="nil"/>
              <w:left w:val="nil"/>
              <w:bottom w:val="single" w:sz="4" w:space="0" w:color="auto"/>
              <w:right w:val="nil"/>
            </w:tcBorders>
            <w:shd w:val="clear" w:color="000000" w:fill="F2F2F2"/>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5,88</w:t>
            </w:r>
          </w:p>
        </w:tc>
      </w:tr>
      <w:tr w:rsidR="00E27F74" w:rsidRPr="00E27F74" w:rsidTr="00126508">
        <w:trPr>
          <w:trHeight w:val="510"/>
        </w:trPr>
        <w:tc>
          <w:tcPr>
            <w:tcW w:w="3843" w:type="dxa"/>
            <w:tcBorders>
              <w:top w:val="nil"/>
              <w:left w:val="nil"/>
              <w:bottom w:val="nil"/>
              <w:right w:val="single" w:sz="4" w:space="0" w:color="auto"/>
            </w:tcBorders>
            <w:shd w:val="clear" w:color="auto" w:fill="auto"/>
            <w:vAlign w:val="center"/>
            <w:hideMark/>
          </w:tcPr>
          <w:p w:rsidR="00E27F74" w:rsidRPr="00E27F74" w:rsidRDefault="00E27F74" w:rsidP="00E27F74">
            <w:pPr>
              <w:spacing w:after="0" w:line="240" w:lineRule="auto"/>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Priame náklady ťažbovej činnosti spolu</w:t>
            </w:r>
          </w:p>
        </w:tc>
        <w:tc>
          <w:tcPr>
            <w:tcW w:w="1420" w:type="dxa"/>
            <w:vMerge w:val="restart"/>
            <w:tcBorders>
              <w:top w:val="nil"/>
              <w:left w:val="nil"/>
              <w:bottom w:val="single" w:sz="4" w:space="0" w:color="000000"/>
              <w:right w:val="single" w:sz="4" w:space="0" w:color="auto"/>
            </w:tcBorders>
            <w:shd w:val="clear" w:color="auto" w:fill="auto"/>
            <w:vAlign w:val="center"/>
            <w:hideMark/>
          </w:tcPr>
          <w:p w:rsidR="00E27F74" w:rsidRPr="00E27F74" w:rsidRDefault="00E27F74" w:rsidP="00E27F74">
            <w:pPr>
              <w:spacing w:after="0" w:line="240" w:lineRule="auto"/>
              <w:jc w:val="center"/>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tis. EUR</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206 466</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176 408</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210 471</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203 860</w:t>
            </w:r>
          </w:p>
        </w:tc>
      </w:tr>
      <w:tr w:rsidR="00E27F74" w:rsidRPr="00E27F74" w:rsidTr="00126508">
        <w:trPr>
          <w:trHeight w:val="255"/>
        </w:trPr>
        <w:tc>
          <w:tcPr>
            <w:tcW w:w="3843" w:type="dxa"/>
            <w:tcBorders>
              <w:top w:val="nil"/>
              <w:left w:val="nil"/>
              <w:bottom w:val="nil"/>
              <w:right w:val="single" w:sz="4" w:space="0" w:color="auto"/>
            </w:tcBorders>
            <w:shd w:val="clear" w:color="auto" w:fill="auto"/>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Ťažba dreva</w:t>
            </w:r>
          </w:p>
        </w:tc>
        <w:tc>
          <w:tcPr>
            <w:tcW w:w="1420" w:type="dxa"/>
            <w:vMerge/>
            <w:tcBorders>
              <w:top w:val="nil"/>
              <w:left w:val="nil"/>
              <w:bottom w:val="single" w:sz="4" w:space="0" w:color="000000"/>
              <w:right w:val="single" w:sz="4" w:space="0" w:color="auto"/>
            </w:tcBorders>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53 110</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46 240</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83 613</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76 967</w:t>
            </w:r>
          </w:p>
        </w:tc>
      </w:tr>
      <w:tr w:rsidR="00E27F74" w:rsidRPr="00E27F74" w:rsidTr="00126508">
        <w:trPr>
          <w:trHeight w:val="255"/>
        </w:trPr>
        <w:tc>
          <w:tcPr>
            <w:tcW w:w="3843" w:type="dxa"/>
            <w:tcBorders>
              <w:top w:val="nil"/>
              <w:left w:val="nil"/>
              <w:bottom w:val="nil"/>
              <w:right w:val="single" w:sz="4" w:space="0" w:color="auto"/>
            </w:tcBorders>
            <w:shd w:val="clear" w:color="auto" w:fill="auto"/>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Približovanie dreva</w:t>
            </w:r>
          </w:p>
        </w:tc>
        <w:tc>
          <w:tcPr>
            <w:tcW w:w="1420" w:type="dxa"/>
            <w:vMerge/>
            <w:tcBorders>
              <w:top w:val="nil"/>
              <w:left w:val="nil"/>
              <w:bottom w:val="single" w:sz="4" w:space="0" w:color="000000"/>
              <w:right w:val="single" w:sz="4" w:space="0" w:color="auto"/>
            </w:tcBorders>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53 201</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40 656</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25 780</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38 764</w:t>
            </w:r>
          </w:p>
        </w:tc>
      </w:tr>
      <w:tr w:rsidR="00E27F74" w:rsidRPr="00E27F74" w:rsidTr="00126508">
        <w:trPr>
          <w:trHeight w:val="255"/>
        </w:trPr>
        <w:tc>
          <w:tcPr>
            <w:tcW w:w="3843" w:type="dxa"/>
            <w:tcBorders>
              <w:top w:val="nil"/>
              <w:left w:val="nil"/>
              <w:bottom w:val="nil"/>
              <w:right w:val="single" w:sz="4" w:space="0" w:color="auto"/>
            </w:tcBorders>
            <w:shd w:val="clear" w:color="auto" w:fill="auto"/>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Manipulácia dreva</w:t>
            </w:r>
          </w:p>
        </w:tc>
        <w:tc>
          <w:tcPr>
            <w:tcW w:w="1420" w:type="dxa"/>
            <w:vMerge/>
            <w:tcBorders>
              <w:top w:val="nil"/>
              <w:left w:val="nil"/>
              <w:bottom w:val="single" w:sz="4" w:space="0" w:color="000000"/>
              <w:right w:val="single" w:sz="4" w:space="0" w:color="auto"/>
            </w:tcBorders>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28 545</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22 730</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22 608</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17 204</w:t>
            </w:r>
          </w:p>
        </w:tc>
      </w:tr>
      <w:tr w:rsidR="00E27F74" w:rsidRPr="00E27F74" w:rsidTr="00126508">
        <w:trPr>
          <w:trHeight w:val="255"/>
        </w:trPr>
        <w:tc>
          <w:tcPr>
            <w:tcW w:w="3843" w:type="dxa"/>
            <w:tcBorders>
              <w:top w:val="nil"/>
              <w:left w:val="nil"/>
              <w:bottom w:val="nil"/>
              <w:right w:val="single" w:sz="4" w:space="0" w:color="auto"/>
            </w:tcBorders>
            <w:shd w:val="clear" w:color="auto" w:fill="auto"/>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Odvoz dreva</w:t>
            </w:r>
          </w:p>
        </w:tc>
        <w:tc>
          <w:tcPr>
            <w:tcW w:w="1420" w:type="dxa"/>
            <w:vMerge/>
            <w:tcBorders>
              <w:top w:val="nil"/>
              <w:left w:val="nil"/>
              <w:bottom w:val="single" w:sz="4" w:space="0" w:color="000000"/>
              <w:right w:val="single" w:sz="4" w:space="0" w:color="auto"/>
            </w:tcBorders>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42 101</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47 372</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38 567</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29 467</w:t>
            </w:r>
          </w:p>
        </w:tc>
      </w:tr>
      <w:tr w:rsidR="00E27F74" w:rsidRPr="00E27F74" w:rsidTr="00126508">
        <w:trPr>
          <w:trHeight w:val="510"/>
        </w:trPr>
        <w:tc>
          <w:tcPr>
            <w:tcW w:w="3843" w:type="dxa"/>
            <w:tcBorders>
              <w:top w:val="nil"/>
              <w:left w:val="nil"/>
              <w:bottom w:val="nil"/>
              <w:right w:val="single" w:sz="4" w:space="0" w:color="auto"/>
            </w:tcBorders>
            <w:shd w:val="clear" w:color="auto" w:fill="auto"/>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Oprava a údržba zvážnic, lesných ciest a manipulačných skladov</w:t>
            </w:r>
          </w:p>
        </w:tc>
        <w:tc>
          <w:tcPr>
            <w:tcW w:w="1420" w:type="dxa"/>
            <w:vMerge/>
            <w:tcBorders>
              <w:top w:val="nil"/>
              <w:left w:val="nil"/>
              <w:bottom w:val="single" w:sz="4" w:space="0" w:color="000000"/>
              <w:right w:val="single" w:sz="4" w:space="0" w:color="auto"/>
            </w:tcBorders>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19 786</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15 444</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19 227</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18 461</w:t>
            </w:r>
          </w:p>
        </w:tc>
      </w:tr>
      <w:tr w:rsidR="00E27F74" w:rsidRPr="00E27F74" w:rsidTr="00126508">
        <w:trPr>
          <w:trHeight w:val="510"/>
        </w:trPr>
        <w:tc>
          <w:tcPr>
            <w:tcW w:w="3843" w:type="dxa"/>
            <w:tcBorders>
              <w:top w:val="nil"/>
              <w:left w:val="nil"/>
              <w:bottom w:val="single" w:sz="4" w:space="0" w:color="auto"/>
              <w:right w:val="single" w:sz="4" w:space="0" w:color="auto"/>
            </w:tcBorders>
            <w:shd w:val="clear" w:color="auto" w:fill="auto"/>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Ostatné priame náklady ťažbovej činnosti</w:t>
            </w:r>
          </w:p>
        </w:tc>
        <w:tc>
          <w:tcPr>
            <w:tcW w:w="1420" w:type="dxa"/>
            <w:vMerge/>
            <w:tcBorders>
              <w:top w:val="nil"/>
              <w:left w:val="nil"/>
              <w:bottom w:val="single" w:sz="4" w:space="0" w:color="000000"/>
              <w:right w:val="single" w:sz="4" w:space="0" w:color="auto"/>
            </w:tcBorders>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9 724</w:t>
            </w:r>
          </w:p>
        </w:tc>
        <w:tc>
          <w:tcPr>
            <w:tcW w:w="960" w:type="dxa"/>
            <w:tcBorders>
              <w:top w:val="nil"/>
              <w:left w:val="nil"/>
              <w:bottom w:val="single" w:sz="4" w:space="0" w:color="auto"/>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3 966</w:t>
            </w:r>
          </w:p>
        </w:tc>
        <w:tc>
          <w:tcPr>
            <w:tcW w:w="960" w:type="dxa"/>
            <w:tcBorders>
              <w:top w:val="nil"/>
              <w:left w:val="nil"/>
              <w:bottom w:val="single" w:sz="4" w:space="0" w:color="auto"/>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20 677</w:t>
            </w:r>
          </w:p>
        </w:tc>
        <w:tc>
          <w:tcPr>
            <w:tcW w:w="960" w:type="dxa"/>
            <w:tcBorders>
              <w:top w:val="nil"/>
              <w:left w:val="nil"/>
              <w:bottom w:val="single" w:sz="4" w:space="0" w:color="auto"/>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22 997</w:t>
            </w:r>
          </w:p>
        </w:tc>
      </w:tr>
      <w:tr w:rsidR="00E27F74" w:rsidRPr="00E27F74" w:rsidTr="00126508">
        <w:trPr>
          <w:cantSplit/>
          <w:trHeight w:val="315"/>
        </w:trPr>
        <w:tc>
          <w:tcPr>
            <w:tcW w:w="3843" w:type="dxa"/>
            <w:tcBorders>
              <w:top w:val="nil"/>
              <w:left w:val="nil"/>
              <w:bottom w:val="single" w:sz="4" w:space="0" w:color="auto"/>
              <w:right w:val="single" w:sz="4" w:space="0" w:color="auto"/>
            </w:tcBorders>
            <w:shd w:val="clear" w:color="000000" w:fill="F2F2F2"/>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Priame náklady ťažbovej činnosti</w:t>
            </w:r>
          </w:p>
        </w:tc>
        <w:tc>
          <w:tcPr>
            <w:tcW w:w="1420" w:type="dxa"/>
            <w:tcBorders>
              <w:top w:val="nil"/>
              <w:left w:val="nil"/>
              <w:bottom w:val="single" w:sz="4" w:space="0" w:color="auto"/>
              <w:right w:val="single" w:sz="4" w:space="0" w:color="auto"/>
            </w:tcBorders>
            <w:shd w:val="clear" w:color="000000" w:fill="F2F2F2"/>
            <w:vAlign w:val="center"/>
            <w:hideMark/>
          </w:tcPr>
          <w:p w:rsidR="00E27F74" w:rsidRPr="00E27F74" w:rsidRDefault="00E27F74" w:rsidP="00E27F74">
            <w:pPr>
              <w:spacing w:after="0" w:line="240" w:lineRule="auto"/>
              <w:jc w:val="center"/>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EUR/m</w:t>
            </w:r>
            <w:r w:rsidRPr="00E27F74">
              <w:rPr>
                <w:rFonts w:ascii="Times New Roman" w:eastAsia="Times New Roman" w:hAnsi="Times New Roman" w:cs="Times New Roman"/>
                <w:color w:val="000000"/>
                <w:sz w:val="20"/>
                <w:szCs w:val="20"/>
                <w:vertAlign w:val="superscript"/>
              </w:rPr>
              <w:t xml:space="preserve">3 </w:t>
            </w:r>
            <w:r w:rsidRPr="00E27F74">
              <w:rPr>
                <w:rFonts w:ascii="Times New Roman" w:eastAsia="Times New Roman" w:hAnsi="Times New Roman" w:cs="Times New Roman"/>
                <w:color w:val="000000"/>
                <w:sz w:val="20"/>
                <w:szCs w:val="20"/>
              </w:rPr>
              <w:t>ťažby</w:t>
            </w:r>
          </w:p>
        </w:tc>
        <w:tc>
          <w:tcPr>
            <w:tcW w:w="960" w:type="dxa"/>
            <w:tcBorders>
              <w:top w:val="nil"/>
              <w:left w:val="nil"/>
              <w:bottom w:val="single" w:sz="4" w:space="0" w:color="auto"/>
              <w:right w:val="nil"/>
            </w:tcBorders>
            <w:shd w:val="clear" w:color="000000" w:fill="F2F2F2"/>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21,81</w:t>
            </w:r>
          </w:p>
        </w:tc>
        <w:tc>
          <w:tcPr>
            <w:tcW w:w="960" w:type="dxa"/>
            <w:tcBorders>
              <w:top w:val="nil"/>
              <w:left w:val="nil"/>
              <w:bottom w:val="single" w:sz="4" w:space="0" w:color="auto"/>
              <w:right w:val="nil"/>
            </w:tcBorders>
            <w:shd w:val="clear" w:color="000000" w:fill="F2F2F2"/>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19,08</w:t>
            </w:r>
          </w:p>
        </w:tc>
        <w:tc>
          <w:tcPr>
            <w:tcW w:w="960" w:type="dxa"/>
            <w:tcBorders>
              <w:top w:val="nil"/>
              <w:left w:val="nil"/>
              <w:bottom w:val="single" w:sz="4" w:space="0" w:color="auto"/>
              <w:right w:val="nil"/>
            </w:tcBorders>
            <w:shd w:val="clear" w:color="000000" w:fill="F2F2F2"/>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21,35</w:t>
            </w:r>
          </w:p>
        </w:tc>
        <w:tc>
          <w:tcPr>
            <w:tcW w:w="960" w:type="dxa"/>
            <w:tcBorders>
              <w:top w:val="nil"/>
              <w:left w:val="nil"/>
              <w:bottom w:val="single" w:sz="4" w:space="0" w:color="auto"/>
              <w:right w:val="nil"/>
            </w:tcBorders>
            <w:shd w:val="clear" w:color="000000" w:fill="F2F2F2"/>
            <w:vAlign w:val="center"/>
            <w:hideMark/>
          </w:tcPr>
          <w:p w:rsidR="00E27F74" w:rsidRPr="00E27F74" w:rsidRDefault="00E27F74" w:rsidP="00E27F74">
            <w:pPr>
              <w:spacing w:after="0" w:line="240" w:lineRule="auto"/>
              <w:jc w:val="right"/>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21,36</w:t>
            </w:r>
          </w:p>
        </w:tc>
      </w:tr>
      <w:tr w:rsidR="00E27F74" w:rsidRPr="00E27F74" w:rsidTr="00126508">
        <w:trPr>
          <w:cantSplit/>
          <w:trHeight w:val="255"/>
        </w:trPr>
        <w:tc>
          <w:tcPr>
            <w:tcW w:w="3843" w:type="dxa"/>
            <w:tcBorders>
              <w:top w:val="nil"/>
              <w:left w:val="nil"/>
              <w:bottom w:val="nil"/>
              <w:right w:val="single" w:sz="4" w:space="0" w:color="auto"/>
            </w:tcBorders>
            <w:shd w:val="clear" w:color="auto" w:fill="auto"/>
            <w:vAlign w:val="center"/>
            <w:hideMark/>
          </w:tcPr>
          <w:p w:rsidR="00E27F74" w:rsidRPr="00E27F74" w:rsidRDefault="00E27F74" w:rsidP="00E27F74">
            <w:pPr>
              <w:spacing w:after="0" w:line="240" w:lineRule="auto"/>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Ostatné priame náklady</w:t>
            </w:r>
          </w:p>
        </w:tc>
        <w:tc>
          <w:tcPr>
            <w:tcW w:w="1420" w:type="dxa"/>
            <w:vMerge w:val="restart"/>
            <w:tcBorders>
              <w:top w:val="nil"/>
              <w:left w:val="single" w:sz="4" w:space="0" w:color="auto"/>
              <w:bottom w:val="nil"/>
              <w:right w:val="single" w:sz="4" w:space="0" w:color="auto"/>
            </w:tcBorders>
            <w:shd w:val="clear" w:color="auto" w:fill="auto"/>
            <w:vAlign w:val="center"/>
            <w:hideMark/>
          </w:tcPr>
          <w:p w:rsidR="00E27F74" w:rsidRPr="00E27F74" w:rsidRDefault="00E27F74" w:rsidP="00E27F74">
            <w:pPr>
              <w:spacing w:after="0" w:line="240" w:lineRule="auto"/>
              <w:jc w:val="center"/>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tis. EUR</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34 690</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39 728</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99 696</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135 078</w:t>
            </w:r>
          </w:p>
        </w:tc>
      </w:tr>
      <w:tr w:rsidR="00E27F74" w:rsidRPr="00E27F74" w:rsidTr="00126508">
        <w:trPr>
          <w:cantSplit/>
          <w:trHeight w:val="255"/>
        </w:trPr>
        <w:tc>
          <w:tcPr>
            <w:tcW w:w="3843" w:type="dxa"/>
            <w:tcBorders>
              <w:top w:val="nil"/>
              <w:left w:val="nil"/>
              <w:bottom w:val="nil"/>
              <w:right w:val="single" w:sz="4" w:space="0" w:color="auto"/>
            </w:tcBorders>
            <w:shd w:val="clear" w:color="auto" w:fill="auto"/>
            <w:vAlign w:val="center"/>
            <w:hideMark/>
          </w:tcPr>
          <w:p w:rsidR="00E27F74" w:rsidRPr="00E27F74" w:rsidRDefault="00E27F74" w:rsidP="00E27F74">
            <w:pPr>
              <w:spacing w:after="0" w:line="240" w:lineRule="auto"/>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Priame náklady spolu</w:t>
            </w:r>
          </w:p>
        </w:tc>
        <w:tc>
          <w:tcPr>
            <w:tcW w:w="1420" w:type="dxa"/>
            <w:vMerge/>
            <w:tcBorders>
              <w:top w:val="nil"/>
              <w:left w:val="single" w:sz="4" w:space="0" w:color="auto"/>
              <w:bottom w:val="nil"/>
              <w:right w:val="single" w:sz="4" w:space="0" w:color="auto"/>
            </w:tcBorders>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300 241</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255 046</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354 065</w:t>
            </w:r>
          </w:p>
        </w:tc>
        <w:tc>
          <w:tcPr>
            <w:tcW w:w="960" w:type="dxa"/>
            <w:tcBorders>
              <w:top w:val="nil"/>
              <w:left w:val="nil"/>
              <w:bottom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394 626</w:t>
            </w:r>
          </w:p>
        </w:tc>
      </w:tr>
      <w:tr w:rsidR="00E27F74" w:rsidRPr="00E27F74" w:rsidTr="000F6F7E">
        <w:trPr>
          <w:cantSplit/>
          <w:trHeight w:val="255"/>
        </w:trPr>
        <w:tc>
          <w:tcPr>
            <w:tcW w:w="3843" w:type="dxa"/>
            <w:tcBorders>
              <w:top w:val="nil"/>
              <w:left w:val="nil"/>
              <w:right w:val="single" w:sz="4" w:space="0" w:color="auto"/>
            </w:tcBorders>
            <w:shd w:val="clear" w:color="auto" w:fill="auto"/>
            <w:vAlign w:val="center"/>
            <w:hideMark/>
          </w:tcPr>
          <w:p w:rsidR="00E27F74" w:rsidRPr="00E27F74" w:rsidRDefault="00E27F74" w:rsidP="00E27F74">
            <w:pPr>
              <w:spacing w:after="0" w:line="240" w:lineRule="auto"/>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Režijné náklady</w:t>
            </w:r>
          </w:p>
        </w:tc>
        <w:tc>
          <w:tcPr>
            <w:tcW w:w="1420" w:type="dxa"/>
            <w:vMerge/>
            <w:tcBorders>
              <w:top w:val="nil"/>
              <w:left w:val="single" w:sz="4" w:space="0" w:color="auto"/>
              <w:right w:val="single" w:sz="4" w:space="0" w:color="auto"/>
            </w:tcBorders>
            <w:vAlign w:val="center"/>
            <w:hideMark/>
          </w:tcPr>
          <w:p w:rsidR="00E27F74" w:rsidRPr="00E27F74" w:rsidRDefault="00E27F74" w:rsidP="00E27F74">
            <w:pPr>
              <w:spacing w:after="0" w:line="240" w:lineRule="auto"/>
              <w:rPr>
                <w:rFonts w:ascii="Times New Roman" w:eastAsia="Times New Roman" w:hAnsi="Times New Roman" w:cs="Times New Roman"/>
                <w:color w:val="000000"/>
                <w:sz w:val="20"/>
                <w:szCs w:val="20"/>
              </w:rPr>
            </w:pPr>
          </w:p>
        </w:tc>
        <w:tc>
          <w:tcPr>
            <w:tcW w:w="960" w:type="dxa"/>
            <w:tcBorders>
              <w:top w:val="nil"/>
              <w:left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170 449</w:t>
            </w:r>
          </w:p>
        </w:tc>
        <w:tc>
          <w:tcPr>
            <w:tcW w:w="960" w:type="dxa"/>
            <w:tcBorders>
              <w:top w:val="nil"/>
              <w:left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118 210</w:t>
            </w:r>
          </w:p>
        </w:tc>
        <w:tc>
          <w:tcPr>
            <w:tcW w:w="960" w:type="dxa"/>
            <w:tcBorders>
              <w:top w:val="nil"/>
              <w:left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106 648</w:t>
            </w:r>
          </w:p>
        </w:tc>
        <w:tc>
          <w:tcPr>
            <w:tcW w:w="960" w:type="dxa"/>
            <w:tcBorders>
              <w:top w:val="nil"/>
              <w:left w:val="nil"/>
              <w:right w:val="nil"/>
            </w:tcBorders>
            <w:shd w:val="clear" w:color="auto" w:fill="auto"/>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101 212</w:t>
            </w:r>
          </w:p>
        </w:tc>
      </w:tr>
      <w:tr w:rsidR="00E27F74" w:rsidRPr="00E27F74" w:rsidTr="000F6F7E">
        <w:trPr>
          <w:cantSplit/>
          <w:trHeight w:val="255"/>
        </w:trPr>
        <w:tc>
          <w:tcPr>
            <w:tcW w:w="3843" w:type="dxa"/>
            <w:tcBorders>
              <w:top w:val="nil"/>
              <w:left w:val="nil"/>
              <w:bottom w:val="single" w:sz="4" w:space="0" w:color="auto"/>
              <w:right w:val="single" w:sz="4" w:space="0" w:color="auto"/>
            </w:tcBorders>
            <w:shd w:val="clear" w:color="000000" w:fill="D9D9D9"/>
            <w:vAlign w:val="center"/>
            <w:hideMark/>
          </w:tcPr>
          <w:p w:rsidR="00E27F74" w:rsidRPr="00E27F74" w:rsidRDefault="00E27F74" w:rsidP="00E27F74">
            <w:pPr>
              <w:spacing w:after="0" w:line="240" w:lineRule="auto"/>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Náklady celkom</w:t>
            </w:r>
          </w:p>
        </w:tc>
        <w:tc>
          <w:tcPr>
            <w:tcW w:w="1420" w:type="dxa"/>
            <w:tcBorders>
              <w:top w:val="nil"/>
              <w:left w:val="nil"/>
              <w:bottom w:val="single" w:sz="4" w:space="0" w:color="auto"/>
              <w:right w:val="single" w:sz="4" w:space="0" w:color="auto"/>
            </w:tcBorders>
            <w:shd w:val="clear" w:color="000000" w:fill="D9D9D9"/>
            <w:vAlign w:val="center"/>
            <w:hideMark/>
          </w:tcPr>
          <w:p w:rsidR="00E27F74" w:rsidRPr="00E27F74" w:rsidRDefault="00E27F74" w:rsidP="00E27F74">
            <w:pPr>
              <w:spacing w:after="0" w:line="240" w:lineRule="auto"/>
              <w:jc w:val="center"/>
              <w:rPr>
                <w:rFonts w:ascii="Times New Roman" w:eastAsia="Times New Roman" w:hAnsi="Times New Roman" w:cs="Times New Roman"/>
                <w:color w:val="000000"/>
                <w:sz w:val="20"/>
                <w:szCs w:val="20"/>
              </w:rPr>
            </w:pPr>
            <w:r w:rsidRPr="00E27F74">
              <w:rPr>
                <w:rFonts w:ascii="Times New Roman" w:eastAsia="Times New Roman" w:hAnsi="Times New Roman" w:cs="Times New Roman"/>
                <w:color w:val="000000"/>
                <w:sz w:val="20"/>
                <w:szCs w:val="20"/>
              </w:rPr>
              <w:t>tis. EUR</w:t>
            </w:r>
          </w:p>
        </w:tc>
        <w:tc>
          <w:tcPr>
            <w:tcW w:w="960" w:type="dxa"/>
            <w:tcBorders>
              <w:top w:val="nil"/>
              <w:left w:val="nil"/>
              <w:bottom w:val="single" w:sz="4" w:space="0" w:color="auto"/>
              <w:right w:val="nil"/>
            </w:tcBorders>
            <w:shd w:val="clear" w:color="000000" w:fill="D9D9D9"/>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470 690</w:t>
            </w:r>
          </w:p>
        </w:tc>
        <w:tc>
          <w:tcPr>
            <w:tcW w:w="960" w:type="dxa"/>
            <w:tcBorders>
              <w:top w:val="nil"/>
              <w:left w:val="nil"/>
              <w:bottom w:val="single" w:sz="4" w:space="0" w:color="auto"/>
              <w:right w:val="nil"/>
            </w:tcBorders>
            <w:shd w:val="clear" w:color="000000" w:fill="D9D9D9"/>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373 256</w:t>
            </w:r>
          </w:p>
        </w:tc>
        <w:tc>
          <w:tcPr>
            <w:tcW w:w="960" w:type="dxa"/>
            <w:tcBorders>
              <w:top w:val="nil"/>
              <w:left w:val="nil"/>
              <w:bottom w:val="single" w:sz="4" w:space="0" w:color="auto"/>
              <w:right w:val="nil"/>
            </w:tcBorders>
            <w:shd w:val="clear" w:color="000000" w:fill="D9D9D9"/>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460 713</w:t>
            </w:r>
          </w:p>
        </w:tc>
        <w:tc>
          <w:tcPr>
            <w:tcW w:w="960" w:type="dxa"/>
            <w:tcBorders>
              <w:top w:val="nil"/>
              <w:left w:val="nil"/>
              <w:bottom w:val="single" w:sz="4" w:space="0" w:color="auto"/>
              <w:right w:val="nil"/>
            </w:tcBorders>
            <w:shd w:val="clear" w:color="000000" w:fill="D9D9D9"/>
            <w:vAlign w:val="center"/>
            <w:hideMark/>
          </w:tcPr>
          <w:p w:rsidR="00E27F74" w:rsidRPr="00E27F74" w:rsidRDefault="00E27F74" w:rsidP="00E27F74">
            <w:pPr>
              <w:spacing w:after="0" w:line="240" w:lineRule="auto"/>
              <w:jc w:val="right"/>
              <w:rPr>
                <w:rFonts w:ascii="Times New Roman" w:eastAsia="Times New Roman" w:hAnsi="Times New Roman" w:cs="Times New Roman"/>
                <w:b/>
                <w:bCs/>
                <w:color w:val="000000"/>
                <w:sz w:val="20"/>
                <w:szCs w:val="20"/>
              </w:rPr>
            </w:pPr>
            <w:r w:rsidRPr="00E27F74">
              <w:rPr>
                <w:rFonts w:ascii="Times New Roman" w:eastAsia="Times New Roman" w:hAnsi="Times New Roman" w:cs="Times New Roman"/>
                <w:b/>
                <w:bCs/>
                <w:color w:val="000000"/>
                <w:sz w:val="20"/>
                <w:szCs w:val="20"/>
              </w:rPr>
              <w:t>495 838</w:t>
            </w:r>
          </w:p>
        </w:tc>
      </w:tr>
    </w:tbl>
    <w:p w:rsidR="00E27F74" w:rsidRPr="004358D5" w:rsidRDefault="00126508" w:rsidP="00126508">
      <w:pPr>
        <w:spacing w:after="0" w:line="240" w:lineRule="auto"/>
        <w:jc w:val="right"/>
        <w:rPr>
          <w:rFonts w:ascii="Times New Roman" w:eastAsia="Calibri" w:hAnsi="Times New Roman"/>
          <w:sz w:val="24"/>
          <w:szCs w:val="24"/>
        </w:rPr>
      </w:pPr>
      <w:r>
        <w:rPr>
          <w:rFonts w:ascii="Times New Roman" w:hAnsi="Times New Roman" w:cs="Times New Roman"/>
          <w:sz w:val="20"/>
          <w:szCs w:val="20"/>
        </w:rPr>
        <w:t>Zdroj: NLC-ÚLZI Zvolen</w:t>
      </w:r>
    </w:p>
    <w:p w:rsidR="00850910" w:rsidRDefault="00850910"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sidRPr="00E40104">
        <w:rPr>
          <w:rFonts w:ascii="Times New Roman" w:eastAsia="Calibri" w:hAnsi="Times New Roman"/>
          <w:sz w:val="24"/>
          <w:szCs w:val="24"/>
        </w:rPr>
        <w:lastRenderedPageBreak/>
        <w:t>Najvýznamnejším zdrojom</w:t>
      </w:r>
      <w:r>
        <w:rPr>
          <w:rFonts w:ascii="Times New Roman" w:eastAsia="Calibri" w:hAnsi="Times New Roman"/>
          <w:sz w:val="24"/>
          <w:szCs w:val="24"/>
        </w:rPr>
        <w:t xml:space="preserve"> príjmov v lesníckom sektore je </w:t>
      </w:r>
      <w:r w:rsidRPr="00E40104">
        <w:rPr>
          <w:rFonts w:ascii="Times New Roman" w:eastAsia="Calibri" w:hAnsi="Times New Roman"/>
          <w:sz w:val="24"/>
          <w:szCs w:val="24"/>
        </w:rPr>
        <w:t xml:space="preserve">predaj dreva, ktorým sa zabezpečuje okolo 80 % tržieb a výnosov v lesnom hospodárstve. </w:t>
      </w:r>
      <w:r w:rsidRPr="00394D94">
        <w:rPr>
          <w:rFonts w:ascii="Times New Roman" w:eastAsia="Calibri" w:hAnsi="Times New Roman"/>
          <w:sz w:val="24"/>
          <w:szCs w:val="24"/>
        </w:rPr>
        <w:t>Trend predaja dreva v štátnych a neštátnych subjektoch a organizáciách bol však protichodný. V štátnych organizáciách poklesol predaj dreva</w:t>
      </w:r>
      <w:r>
        <w:rPr>
          <w:rFonts w:ascii="Times New Roman" w:eastAsia="Calibri" w:hAnsi="Times New Roman"/>
          <w:sz w:val="24"/>
          <w:szCs w:val="24"/>
        </w:rPr>
        <w:t>,</w:t>
      </w:r>
      <w:r w:rsidR="00B7536A">
        <w:rPr>
          <w:rFonts w:ascii="Times New Roman" w:eastAsia="Calibri" w:hAnsi="Times New Roman"/>
          <w:sz w:val="24"/>
          <w:szCs w:val="24"/>
        </w:rPr>
        <w:t xml:space="preserve"> </w:t>
      </w:r>
      <w:r>
        <w:rPr>
          <w:rFonts w:ascii="Times New Roman" w:eastAsia="Calibri" w:hAnsi="Times New Roman"/>
          <w:sz w:val="24"/>
          <w:szCs w:val="24"/>
        </w:rPr>
        <w:t xml:space="preserve">v porovnaní rokov 2010 a 2011, </w:t>
      </w:r>
      <w:r w:rsidRPr="00394D94">
        <w:rPr>
          <w:rFonts w:ascii="Times New Roman" w:eastAsia="Calibri" w:hAnsi="Times New Roman"/>
          <w:sz w:val="24"/>
          <w:szCs w:val="24"/>
        </w:rPr>
        <w:t>o 763 tis. m</w:t>
      </w:r>
      <w:r w:rsidRPr="00394D94">
        <w:rPr>
          <w:rFonts w:ascii="Times New Roman" w:eastAsia="Calibri" w:hAnsi="Times New Roman"/>
          <w:sz w:val="24"/>
          <w:szCs w:val="24"/>
          <w:vertAlign w:val="superscript"/>
        </w:rPr>
        <w:t>3</w:t>
      </w:r>
      <w:r w:rsidRPr="00394D94">
        <w:rPr>
          <w:rFonts w:ascii="Times New Roman" w:eastAsia="Calibri" w:hAnsi="Times New Roman"/>
          <w:sz w:val="24"/>
          <w:szCs w:val="24"/>
        </w:rPr>
        <w:t xml:space="preserve"> (najmä v dôsledku poklesu náhodných ťažieb v ihličnatých porastoch) a v neštátnych subjektoch predaj dreva stúpol o 330 tis. m</w:t>
      </w:r>
      <w:r w:rsidRPr="00394D94">
        <w:rPr>
          <w:rFonts w:ascii="Times New Roman" w:eastAsia="Calibri" w:hAnsi="Times New Roman"/>
          <w:sz w:val="24"/>
          <w:szCs w:val="24"/>
          <w:vertAlign w:val="superscript"/>
        </w:rPr>
        <w:t>3</w:t>
      </w:r>
      <w:r w:rsidRPr="00394D94">
        <w:rPr>
          <w:rFonts w:ascii="Times New Roman" w:eastAsia="Calibri" w:hAnsi="Times New Roman"/>
          <w:sz w:val="24"/>
          <w:szCs w:val="24"/>
        </w:rPr>
        <w:t>, čo ovplyvnilo výraznejší nárast tržieb v porovnaní so štátnymi organizáciami.</w:t>
      </w:r>
      <w:r w:rsidR="00B7536A">
        <w:rPr>
          <w:rFonts w:ascii="Times New Roman" w:eastAsia="Calibri" w:hAnsi="Times New Roman"/>
          <w:sz w:val="24"/>
          <w:szCs w:val="24"/>
        </w:rPr>
        <w:t xml:space="preserve"> </w:t>
      </w:r>
      <w:r w:rsidRPr="00452ACC">
        <w:rPr>
          <w:rFonts w:ascii="Times New Roman" w:eastAsia="Calibri" w:hAnsi="Times New Roman"/>
          <w:sz w:val="24"/>
          <w:szCs w:val="24"/>
        </w:rPr>
        <w:t>V roku 2011 dodali subjekty obhospodarujúce lesy na Slovensku na domáci trh</w:t>
      </w:r>
      <w:r>
        <w:rPr>
          <w:rFonts w:ascii="Times New Roman" w:eastAsia="Calibri" w:hAnsi="Times New Roman"/>
          <w:sz w:val="24"/>
          <w:szCs w:val="24"/>
        </w:rPr>
        <w:t>,</w:t>
      </w:r>
      <w:r w:rsidRPr="00452ACC">
        <w:rPr>
          <w:rFonts w:ascii="Times New Roman" w:eastAsia="Calibri" w:hAnsi="Times New Roman"/>
          <w:sz w:val="24"/>
          <w:szCs w:val="24"/>
        </w:rPr>
        <w:t xml:space="preserve"> vrátane vlastnej spotreby</w:t>
      </w:r>
      <w:r>
        <w:rPr>
          <w:rFonts w:ascii="Times New Roman" w:eastAsia="Calibri" w:hAnsi="Times New Roman"/>
          <w:sz w:val="24"/>
          <w:szCs w:val="24"/>
        </w:rPr>
        <w:t>,</w:t>
      </w:r>
      <w:r w:rsidRPr="00452ACC">
        <w:rPr>
          <w:rFonts w:ascii="Times New Roman" w:eastAsia="Calibri" w:hAnsi="Times New Roman"/>
          <w:sz w:val="24"/>
          <w:szCs w:val="24"/>
        </w:rPr>
        <w:t xml:space="preserve"> 8 827,7 tis. m</w:t>
      </w:r>
      <w:r w:rsidRPr="00452ACC">
        <w:rPr>
          <w:rFonts w:ascii="Times New Roman" w:eastAsia="Calibri" w:hAnsi="Times New Roman"/>
          <w:sz w:val="24"/>
          <w:szCs w:val="24"/>
          <w:vertAlign w:val="superscript"/>
        </w:rPr>
        <w:t>3</w:t>
      </w:r>
      <w:r>
        <w:rPr>
          <w:rFonts w:ascii="Times New Roman" w:eastAsia="Calibri" w:hAnsi="Times New Roman"/>
          <w:sz w:val="24"/>
          <w:szCs w:val="24"/>
        </w:rPr>
        <w:t xml:space="preserve"> dreva</w:t>
      </w:r>
      <w:r w:rsidRPr="00452ACC">
        <w:rPr>
          <w:rFonts w:ascii="Times New Roman" w:eastAsia="Calibri" w:hAnsi="Times New Roman"/>
          <w:sz w:val="24"/>
          <w:szCs w:val="24"/>
        </w:rPr>
        <w:t xml:space="preserve">. V porovnaní s rokom 2010 boli dodávky dreva na domáci trh </w:t>
      </w:r>
      <w:r>
        <w:rPr>
          <w:rFonts w:ascii="Times New Roman" w:eastAsia="Calibri" w:hAnsi="Times New Roman"/>
          <w:sz w:val="24"/>
          <w:szCs w:val="24"/>
        </w:rPr>
        <w:t xml:space="preserve">len </w:t>
      </w:r>
      <w:r w:rsidRPr="00452ACC">
        <w:rPr>
          <w:rFonts w:ascii="Times New Roman" w:eastAsia="Calibri" w:hAnsi="Times New Roman"/>
          <w:sz w:val="24"/>
          <w:szCs w:val="24"/>
        </w:rPr>
        <w:t>nepatrne nižšie</w:t>
      </w:r>
      <w:r>
        <w:rPr>
          <w:rFonts w:ascii="Times New Roman" w:eastAsia="Calibri" w:hAnsi="Times New Roman"/>
          <w:sz w:val="24"/>
          <w:szCs w:val="24"/>
        </w:rPr>
        <w:t xml:space="preserve">, a to </w:t>
      </w:r>
      <w:r w:rsidRPr="00452ACC">
        <w:rPr>
          <w:rFonts w:ascii="Times New Roman" w:eastAsia="Calibri" w:hAnsi="Times New Roman"/>
          <w:sz w:val="24"/>
          <w:szCs w:val="24"/>
        </w:rPr>
        <w:t>o</w:t>
      </w:r>
      <w:r>
        <w:rPr>
          <w:rFonts w:ascii="Times New Roman" w:eastAsia="Calibri" w:hAnsi="Times New Roman"/>
          <w:sz w:val="24"/>
          <w:szCs w:val="24"/>
        </w:rPr>
        <w:t> 0,99 %</w:t>
      </w:r>
      <w:r w:rsidRPr="00452ACC">
        <w:rPr>
          <w:rFonts w:ascii="Times New Roman" w:eastAsia="Calibri" w:hAnsi="Times New Roman"/>
          <w:sz w:val="24"/>
          <w:szCs w:val="24"/>
        </w:rPr>
        <w:t>.</w:t>
      </w:r>
      <w:r>
        <w:rPr>
          <w:rFonts w:ascii="Times New Roman" w:eastAsia="Calibri" w:hAnsi="Times New Roman"/>
          <w:sz w:val="24"/>
          <w:szCs w:val="24"/>
        </w:rPr>
        <w:t xml:space="preserve"> Výpadok ponuky na trhu sa takto prejavil na objeme vývozu, ktorý medziročne klesol o viac ako 40 %. </w:t>
      </w:r>
    </w:p>
    <w:p w:rsidR="00BE691E" w:rsidRDefault="00BE691E" w:rsidP="00BE691E">
      <w:pPr>
        <w:spacing w:after="0" w:line="240" w:lineRule="auto"/>
        <w:jc w:val="both"/>
        <w:rPr>
          <w:rFonts w:ascii="Times New Roman" w:eastAsia="Calibri" w:hAnsi="Times New Roman"/>
          <w:sz w:val="24"/>
          <w:szCs w:val="24"/>
        </w:rPr>
      </w:pPr>
    </w:p>
    <w:p w:rsidR="00BE691E" w:rsidRDefault="00C970F8" w:rsidP="00BE691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62</w:t>
      </w:r>
      <w:r w:rsidR="00BE691E" w:rsidRPr="00155936">
        <w:rPr>
          <w:rFonts w:ascii="Times New Roman" w:hAnsi="Times New Roman" w:cs="Times New Roman"/>
          <w:sz w:val="20"/>
          <w:szCs w:val="20"/>
        </w:rPr>
        <w:t>:</w:t>
      </w:r>
      <w:r w:rsidR="00BE691E" w:rsidRPr="00207E2B">
        <w:rPr>
          <w:rFonts w:ascii="Times New Roman" w:hAnsi="Times New Roman" w:cs="Times New Roman"/>
          <w:sz w:val="20"/>
          <w:szCs w:val="20"/>
        </w:rPr>
        <w:t>Vývoj ponuky surového dreva v tis. m</w:t>
      </w:r>
      <w:r w:rsidR="00BE691E" w:rsidRPr="00207E2B">
        <w:rPr>
          <w:rFonts w:ascii="Times New Roman" w:hAnsi="Times New Roman" w:cs="Times New Roman"/>
          <w:sz w:val="20"/>
          <w:szCs w:val="20"/>
          <w:vertAlign w:val="superscript"/>
        </w:rPr>
        <w:t>3</w:t>
      </w:r>
    </w:p>
    <w:p w:rsidR="00BE691E" w:rsidRDefault="00BE691E" w:rsidP="00BE691E">
      <w:pPr>
        <w:spacing w:after="0" w:line="240" w:lineRule="auto"/>
        <w:jc w:val="both"/>
        <w:rPr>
          <w:rFonts w:ascii="Times New Roman" w:eastAsia="Calibri" w:hAnsi="Times New Roman"/>
          <w:sz w:val="24"/>
          <w:szCs w:val="24"/>
        </w:rPr>
      </w:pPr>
      <w:r>
        <w:rPr>
          <w:noProof/>
        </w:rPr>
        <w:drawing>
          <wp:inline distT="0" distB="0" distL="0" distR="0" wp14:anchorId="5BD08111" wp14:editId="68F44556">
            <wp:extent cx="5747657" cy="2398816"/>
            <wp:effectExtent l="0" t="0" r="0" b="1905"/>
            <wp:docPr id="54" name="Graf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BE691E" w:rsidRPr="00C431FF" w:rsidRDefault="00BE691E" w:rsidP="00BE691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NLC-ÚLZI Zvolen</w:t>
      </w:r>
    </w:p>
    <w:p w:rsidR="006052B6" w:rsidRDefault="006052B6"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V porovnaní s referenčným rokom 2002 došlo k nárastu ponuky dreva na domácom trhu o viac ako 75 %, pričom objem vývozu sa znížil, predovšetkým v roku 2011, o zhruba 40 %. V strednodobom horizonte môžeme konštatovať, že ponuka surového dreva je stabilná s minimálnymi výkyvmi. </w:t>
      </w:r>
    </w:p>
    <w:p w:rsidR="00BE691E" w:rsidRDefault="00BE691E" w:rsidP="00BE691E">
      <w:pPr>
        <w:spacing w:after="0" w:line="240" w:lineRule="auto"/>
        <w:jc w:val="both"/>
        <w:rPr>
          <w:rFonts w:ascii="Times New Roman" w:eastAsia="Calibri" w:hAnsi="Times New Roman"/>
          <w:sz w:val="24"/>
          <w:szCs w:val="24"/>
        </w:rPr>
      </w:pPr>
    </w:p>
    <w:p w:rsidR="00BE691E" w:rsidRPr="00E40104" w:rsidRDefault="00BE691E" w:rsidP="00BE691E">
      <w:pPr>
        <w:spacing w:after="0" w:line="240" w:lineRule="auto"/>
        <w:jc w:val="both"/>
        <w:rPr>
          <w:rFonts w:ascii="Times New Roman" w:eastAsia="Calibri" w:hAnsi="Times New Roman"/>
          <w:sz w:val="24"/>
          <w:szCs w:val="24"/>
        </w:rPr>
      </w:pPr>
      <w:r w:rsidRPr="00E40104">
        <w:rPr>
          <w:rFonts w:ascii="Times New Roman" w:eastAsia="Calibri" w:hAnsi="Times New Roman"/>
          <w:sz w:val="24"/>
          <w:szCs w:val="24"/>
        </w:rPr>
        <w:t>V záujme zvýšenia zamestna</w:t>
      </w:r>
      <w:r>
        <w:rPr>
          <w:rFonts w:ascii="Times New Roman" w:eastAsia="Calibri" w:hAnsi="Times New Roman"/>
          <w:sz w:val="24"/>
          <w:szCs w:val="24"/>
        </w:rPr>
        <w:t xml:space="preserve">nosti a príjmov obyvateľstva sa </w:t>
      </w:r>
      <w:r w:rsidRPr="00E40104">
        <w:rPr>
          <w:rFonts w:ascii="Times New Roman" w:eastAsia="Calibri" w:hAnsi="Times New Roman"/>
          <w:sz w:val="24"/>
          <w:szCs w:val="24"/>
        </w:rPr>
        <w:t>presadzuje spracovanie vy</w:t>
      </w:r>
      <w:r>
        <w:rPr>
          <w:rFonts w:ascii="Times New Roman" w:eastAsia="Calibri" w:hAnsi="Times New Roman"/>
          <w:sz w:val="24"/>
          <w:szCs w:val="24"/>
        </w:rPr>
        <w:t>produkovanej suroviny v domácom prostredí, čo potvrdzuje najmä prioritná orientácia umiestnenia domácej produkcie surového dreva na domáci trh.</w:t>
      </w:r>
      <w:r w:rsidRPr="00E40104">
        <w:rPr>
          <w:rFonts w:ascii="Times New Roman" w:eastAsia="Calibri" w:hAnsi="Times New Roman"/>
          <w:sz w:val="24"/>
          <w:szCs w:val="24"/>
        </w:rPr>
        <w:t xml:space="preserve"> Naďalej však nedoc</w:t>
      </w:r>
      <w:r>
        <w:rPr>
          <w:rFonts w:ascii="Times New Roman" w:eastAsia="Calibri" w:hAnsi="Times New Roman"/>
          <w:sz w:val="24"/>
          <w:szCs w:val="24"/>
        </w:rPr>
        <w:t xml:space="preserve">hádza k významnejšiemu zvýšeniu </w:t>
      </w:r>
      <w:r w:rsidRPr="00E40104">
        <w:rPr>
          <w:rFonts w:ascii="Times New Roman" w:eastAsia="Calibri" w:hAnsi="Times New Roman"/>
          <w:sz w:val="24"/>
          <w:szCs w:val="24"/>
        </w:rPr>
        <w:t>pridanej hodnoty vo výrobkoch z dreva.</w:t>
      </w:r>
    </w:p>
    <w:p w:rsidR="003D2096" w:rsidRDefault="003D2096" w:rsidP="00BE691E">
      <w:pPr>
        <w:spacing w:after="0" w:line="240" w:lineRule="auto"/>
        <w:jc w:val="both"/>
        <w:rPr>
          <w:rFonts w:ascii="Times New Roman" w:eastAsia="Calibri" w:hAnsi="Times New Roman"/>
          <w:sz w:val="24"/>
          <w:szCs w:val="24"/>
        </w:rPr>
      </w:pPr>
    </w:p>
    <w:p w:rsidR="006052B6" w:rsidRDefault="003D2096" w:rsidP="003D2096">
      <w:pPr>
        <w:spacing w:after="0" w:line="240" w:lineRule="auto"/>
        <w:jc w:val="both"/>
        <w:rPr>
          <w:rFonts w:ascii="Times New Roman" w:hAnsi="Times New Roman"/>
          <w:sz w:val="24"/>
          <w:szCs w:val="24"/>
        </w:rPr>
      </w:pPr>
      <w:r w:rsidRPr="003D2096">
        <w:rPr>
          <w:rFonts w:ascii="Times New Roman" w:hAnsi="Times New Roman"/>
          <w:sz w:val="24"/>
          <w:szCs w:val="24"/>
        </w:rPr>
        <w:t>Celkový objem dodávok a tuzemské dodávky bukovej guľatiny sú na úrovni roku 2010. K nárastu o 39 tis. m</w:t>
      </w:r>
      <w:r w:rsidRPr="003D2096">
        <w:rPr>
          <w:rFonts w:ascii="Times New Roman" w:hAnsi="Times New Roman"/>
          <w:sz w:val="24"/>
          <w:szCs w:val="24"/>
          <w:vertAlign w:val="superscript"/>
        </w:rPr>
        <w:t>3</w:t>
      </w:r>
      <w:r>
        <w:rPr>
          <w:rFonts w:ascii="Times New Roman" w:hAnsi="Times New Roman"/>
          <w:sz w:val="24"/>
          <w:szCs w:val="24"/>
        </w:rPr>
        <w:t>,</w:t>
      </w:r>
      <w:r w:rsidRPr="003D2096">
        <w:rPr>
          <w:rFonts w:ascii="Times New Roman" w:hAnsi="Times New Roman"/>
          <w:sz w:val="24"/>
          <w:szCs w:val="24"/>
        </w:rPr>
        <w:t xml:space="preserve"> t. j. o 37,8 %</w:t>
      </w:r>
      <w:r>
        <w:rPr>
          <w:rFonts w:ascii="Times New Roman" w:hAnsi="Times New Roman"/>
          <w:sz w:val="24"/>
          <w:szCs w:val="24"/>
        </w:rPr>
        <w:t>,došlo v celkovom exporte</w:t>
      </w:r>
      <w:r w:rsidRPr="003D2096">
        <w:rPr>
          <w:rFonts w:ascii="Times New Roman" w:hAnsi="Times New Roman"/>
          <w:sz w:val="24"/>
          <w:szCs w:val="24"/>
        </w:rPr>
        <w:t xml:space="preserve">, </w:t>
      </w:r>
      <w:r>
        <w:rPr>
          <w:rFonts w:ascii="Times New Roman" w:hAnsi="Times New Roman"/>
          <w:sz w:val="24"/>
          <w:szCs w:val="24"/>
        </w:rPr>
        <w:t xml:space="preserve">pričom </w:t>
      </w:r>
      <w:r w:rsidR="006052B6">
        <w:rPr>
          <w:rFonts w:ascii="Times New Roman" w:hAnsi="Times New Roman"/>
          <w:sz w:val="24"/>
          <w:szCs w:val="24"/>
        </w:rPr>
        <w:t xml:space="preserve">dovoz sa zvýšil o    </w:t>
      </w:r>
      <w:r w:rsidRPr="003D2096">
        <w:rPr>
          <w:rFonts w:ascii="Times New Roman" w:hAnsi="Times New Roman"/>
          <w:sz w:val="24"/>
          <w:szCs w:val="24"/>
        </w:rPr>
        <w:t>3,3 tis. m</w:t>
      </w:r>
      <w:r w:rsidRPr="003D2096">
        <w:rPr>
          <w:rFonts w:ascii="Times New Roman" w:hAnsi="Times New Roman"/>
          <w:sz w:val="24"/>
          <w:szCs w:val="24"/>
          <w:vertAlign w:val="superscript"/>
        </w:rPr>
        <w:t>3</w:t>
      </w:r>
      <w:r w:rsidRPr="003D2096">
        <w:rPr>
          <w:rFonts w:ascii="Times New Roman" w:hAnsi="Times New Roman"/>
          <w:sz w:val="24"/>
          <w:szCs w:val="24"/>
        </w:rPr>
        <w:t xml:space="preserve">, t. j. o 145 % oproti roku 2010. </w:t>
      </w:r>
      <w:r w:rsidR="006052B6">
        <w:rPr>
          <w:rFonts w:ascii="Times New Roman" w:hAnsi="Times New Roman"/>
          <w:sz w:val="24"/>
          <w:szCs w:val="24"/>
        </w:rPr>
        <w:t>Zvyšujú sa dodávky</w:t>
      </w:r>
      <w:r w:rsidRPr="003D2096">
        <w:rPr>
          <w:rFonts w:ascii="Times New Roman" w:hAnsi="Times New Roman"/>
          <w:sz w:val="24"/>
          <w:szCs w:val="24"/>
        </w:rPr>
        <w:t xml:space="preserve"> bukovej vlákniny</w:t>
      </w:r>
      <w:r w:rsidR="006052B6">
        <w:rPr>
          <w:rFonts w:ascii="Times New Roman" w:hAnsi="Times New Roman"/>
          <w:sz w:val="24"/>
          <w:szCs w:val="24"/>
        </w:rPr>
        <w:t xml:space="preserve">, a to o   </w:t>
      </w:r>
      <w:r w:rsidRPr="003D2096">
        <w:rPr>
          <w:rFonts w:ascii="Times New Roman" w:hAnsi="Times New Roman"/>
          <w:sz w:val="24"/>
          <w:szCs w:val="24"/>
        </w:rPr>
        <w:t>216,4 tis. m</w:t>
      </w:r>
      <w:r w:rsidRPr="003D2096">
        <w:rPr>
          <w:rFonts w:ascii="Times New Roman" w:hAnsi="Times New Roman"/>
          <w:sz w:val="24"/>
          <w:szCs w:val="24"/>
          <w:vertAlign w:val="superscript"/>
        </w:rPr>
        <w:t>3</w:t>
      </w:r>
      <w:r w:rsidRPr="003D2096">
        <w:rPr>
          <w:rFonts w:ascii="Times New Roman" w:hAnsi="Times New Roman"/>
          <w:sz w:val="24"/>
          <w:szCs w:val="24"/>
        </w:rPr>
        <w:t xml:space="preserve">. Jej celkový </w:t>
      </w:r>
      <w:r w:rsidR="006052B6">
        <w:rPr>
          <w:rFonts w:ascii="Times New Roman" w:hAnsi="Times New Roman"/>
          <w:sz w:val="24"/>
          <w:szCs w:val="24"/>
        </w:rPr>
        <w:t>vývoz</w:t>
      </w:r>
      <w:r w:rsidRPr="003D2096">
        <w:rPr>
          <w:rFonts w:ascii="Times New Roman" w:hAnsi="Times New Roman"/>
          <w:sz w:val="24"/>
          <w:szCs w:val="24"/>
        </w:rPr>
        <w:t xml:space="preserve"> vzrástol o 12,2 tis. m</w:t>
      </w:r>
      <w:r w:rsidRPr="003D2096">
        <w:rPr>
          <w:rFonts w:ascii="Times New Roman" w:hAnsi="Times New Roman"/>
          <w:sz w:val="24"/>
          <w:szCs w:val="24"/>
          <w:vertAlign w:val="superscript"/>
        </w:rPr>
        <w:t>3</w:t>
      </w:r>
      <w:r w:rsidRPr="003D2096">
        <w:rPr>
          <w:rFonts w:ascii="Times New Roman" w:hAnsi="Times New Roman"/>
          <w:sz w:val="24"/>
          <w:szCs w:val="24"/>
        </w:rPr>
        <w:t xml:space="preserve">, </w:t>
      </w:r>
      <w:r w:rsidR="006052B6">
        <w:rPr>
          <w:rFonts w:ascii="Times New Roman" w:hAnsi="Times New Roman"/>
          <w:sz w:val="24"/>
          <w:szCs w:val="24"/>
        </w:rPr>
        <w:t>pričom dovoz</w:t>
      </w:r>
      <w:r w:rsidRPr="003D2096">
        <w:rPr>
          <w:rFonts w:ascii="Times New Roman" w:hAnsi="Times New Roman"/>
          <w:sz w:val="24"/>
          <w:szCs w:val="24"/>
        </w:rPr>
        <w:t xml:space="preserve"> poklesol o cca 3 tis. m</w:t>
      </w:r>
      <w:r w:rsidRPr="003D2096">
        <w:rPr>
          <w:rFonts w:ascii="Times New Roman" w:hAnsi="Times New Roman"/>
          <w:sz w:val="24"/>
          <w:szCs w:val="24"/>
          <w:vertAlign w:val="superscript"/>
        </w:rPr>
        <w:t>3</w:t>
      </w:r>
      <w:r w:rsidRPr="003D2096">
        <w:rPr>
          <w:rFonts w:ascii="Times New Roman" w:hAnsi="Times New Roman"/>
          <w:sz w:val="24"/>
          <w:szCs w:val="24"/>
        </w:rPr>
        <w:t xml:space="preserve">. </w:t>
      </w:r>
    </w:p>
    <w:p w:rsidR="006052B6" w:rsidRDefault="006052B6" w:rsidP="003D2096">
      <w:pPr>
        <w:spacing w:after="0" w:line="240" w:lineRule="auto"/>
        <w:jc w:val="both"/>
        <w:rPr>
          <w:rFonts w:ascii="Times New Roman" w:hAnsi="Times New Roman"/>
          <w:sz w:val="24"/>
          <w:szCs w:val="24"/>
        </w:rPr>
      </w:pPr>
    </w:p>
    <w:p w:rsidR="003D2096" w:rsidRPr="003D2096" w:rsidRDefault="006052B6" w:rsidP="003D2096">
      <w:pPr>
        <w:spacing w:after="0" w:line="240" w:lineRule="auto"/>
        <w:jc w:val="both"/>
        <w:rPr>
          <w:rFonts w:ascii="Times New Roman" w:hAnsi="Times New Roman"/>
          <w:sz w:val="24"/>
          <w:szCs w:val="24"/>
        </w:rPr>
      </w:pPr>
      <w:r>
        <w:rPr>
          <w:rFonts w:ascii="Times New Roman" w:hAnsi="Times New Roman"/>
          <w:sz w:val="24"/>
          <w:szCs w:val="24"/>
        </w:rPr>
        <w:t>Zvyšujú sa</w:t>
      </w:r>
      <w:r w:rsidR="003D2096" w:rsidRPr="003D2096">
        <w:rPr>
          <w:rFonts w:ascii="Times New Roman" w:hAnsi="Times New Roman"/>
          <w:sz w:val="24"/>
          <w:szCs w:val="24"/>
        </w:rPr>
        <w:t> dubovej guľatiny došlo k zvýšeniu celkových dodávok o 49,8 tis. m</w:t>
      </w:r>
      <w:r w:rsidR="003D2096" w:rsidRPr="003D2096">
        <w:rPr>
          <w:rFonts w:ascii="Times New Roman" w:hAnsi="Times New Roman"/>
          <w:sz w:val="24"/>
          <w:szCs w:val="24"/>
          <w:vertAlign w:val="superscript"/>
        </w:rPr>
        <w:t>3</w:t>
      </w:r>
      <w:r>
        <w:rPr>
          <w:rFonts w:ascii="Times New Roman" w:hAnsi="Times New Roman"/>
          <w:sz w:val="24"/>
          <w:szCs w:val="24"/>
        </w:rPr>
        <w:t>.T</w:t>
      </w:r>
      <w:r w:rsidR="003D2096" w:rsidRPr="003D2096">
        <w:rPr>
          <w:rFonts w:ascii="Times New Roman" w:hAnsi="Times New Roman"/>
          <w:sz w:val="24"/>
          <w:szCs w:val="24"/>
        </w:rPr>
        <w:t>uzemské dodávky vzrástli o 56,2 tis. m</w:t>
      </w:r>
      <w:r w:rsidR="003D2096" w:rsidRPr="003D2096">
        <w:rPr>
          <w:rFonts w:ascii="Times New Roman" w:hAnsi="Times New Roman"/>
          <w:sz w:val="24"/>
          <w:szCs w:val="24"/>
          <w:vertAlign w:val="superscript"/>
        </w:rPr>
        <w:t xml:space="preserve">3 </w:t>
      </w:r>
      <w:r w:rsidR="003D2096" w:rsidRPr="003D2096">
        <w:rPr>
          <w:rFonts w:ascii="Times New Roman" w:hAnsi="Times New Roman"/>
          <w:sz w:val="24"/>
          <w:szCs w:val="24"/>
        </w:rPr>
        <w:t>a priamy vývoz sa znížil o 5,8 tis. m</w:t>
      </w:r>
      <w:r w:rsidR="003D2096" w:rsidRPr="003D2096">
        <w:rPr>
          <w:rFonts w:ascii="Times New Roman" w:hAnsi="Times New Roman"/>
          <w:sz w:val="24"/>
          <w:szCs w:val="24"/>
          <w:vertAlign w:val="superscript"/>
        </w:rPr>
        <w:t>3</w:t>
      </w:r>
      <w:r w:rsidR="003D2096" w:rsidRPr="003D2096">
        <w:rPr>
          <w:rFonts w:ascii="Times New Roman" w:hAnsi="Times New Roman"/>
          <w:sz w:val="24"/>
          <w:szCs w:val="24"/>
        </w:rPr>
        <w:t>. Pri dubovej vláknine došlo k zvýšeniu celkových dodávok o 21,4 tis. m</w:t>
      </w:r>
      <w:r w:rsidR="003D2096" w:rsidRPr="003D2096">
        <w:rPr>
          <w:rFonts w:ascii="Times New Roman" w:hAnsi="Times New Roman"/>
          <w:sz w:val="24"/>
          <w:szCs w:val="24"/>
          <w:vertAlign w:val="superscript"/>
        </w:rPr>
        <w:t>3</w:t>
      </w:r>
      <w:r w:rsidR="003D2096" w:rsidRPr="003D2096">
        <w:rPr>
          <w:rFonts w:ascii="Times New Roman" w:hAnsi="Times New Roman"/>
          <w:sz w:val="24"/>
          <w:szCs w:val="24"/>
        </w:rPr>
        <w:t>. a jej celkový vývoz klesol o 4,8 tis. m</w:t>
      </w:r>
      <w:r w:rsidR="003D2096" w:rsidRPr="003D2096">
        <w:rPr>
          <w:rFonts w:ascii="Times New Roman" w:hAnsi="Times New Roman"/>
          <w:sz w:val="24"/>
          <w:szCs w:val="24"/>
          <w:vertAlign w:val="superscript"/>
        </w:rPr>
        <w:t>3</w:t>
      </w:r>
      <w:r w:rsidR="003D2096" w:rsidRPr="003D2096">
        <w:rPr>
          <w:rFonts w:ascii="Times New Roman" w:hAnsi="Times New Roman"/>
          <w:sz w:val="24"/>
          <w:szCs w:val="24"/>
        </w:rPr>
        <w:t xml:space="preserve">, </w:t>
      </w:r>
      <w:r>
        <w:rPr>
          <w:rFonts w:ascii="Times New Roman" w:hAnsi="Times New Roman"/>
          <w:sz w:val="24"/>
          <w:szCs w:val="24"/>
        </w:rPr>
        <w:t xml:space="preserve">  t. j. o 26,4 %. D</w:t>
      </w:r>
      <w:r w:rsidR="003D2096" w:rsidRPr="003D2096">
        <w:rPr>
          <w:rFonts w:ascii="Times New Roman" w:hAnsi="Times New Roman"/>
          <w:sz w:val="24"/>
          <w:szCs w:val="24"/>
        </w:rPr>
        <w:t>ovoz vzrástol o 14,7 tis. m</w:t>
      </w:r>
      <w:r w:rsidR="003D2096" w:rsidRPr="003D2096">
        <w:rPr>
          <w:rFonts w:ascii="Times New Roman" w:hAnsi="Times New Roman"/>
          <w:sz w:val="24"/>
          <w:szCs w:val="24"/>
          <w:vertAlign w:val="superscript"/>
        </w:rPr>
        <w:t>3</w:t>
      </w:r>
      <w:r w:rsidR="003D2096" w:rsidRPr="003D2096">
        <w:rPr>
          <w:rFonts w:ascii="Times New Roman" w:hAnsi="Times New Roman"/>
          <w:sz w:val="24"/>
          <w:szCs w:val="24"/>
        </w:rPr>
        <w:t>, t. j. o 34 %.</w:t>
      </w:r>
    </w:p>
    <w:p w:rsidR="006052B6" w:rsidRDefault="006052B6" w:rsidP="006052B6">
      <w:pPr>
        <w:spacing w:after="0" w:line="240" w:lineRule="auto"/>
        <w:jc w:val="both"/>
        <w:rPr>
          <w:rFonts w:ascii="Times New Roman" w:eastAsia="Calibri" w:hAnsi="Times New Roman"/>
          <w:sz w:val="24"/>
          <w:szCs w:val="24"/>
        </w:rPr>
      </w:pPr>
    </w:p>
    <w:p w:rsidR="006052B6" w:rsidRDefault="006052B6" w:rsidP="006052B6">
      <w:pPr>
        <w:spacing w:after="0" w:line="240" w:lineRule="auto"/>
        <w:jc w:val="both"/>
        <w:rPr>
          <w:rFonts w:ascii="Times New Roman" w:eastAsia="Calibri" w:hAnsi="Times New Roman"/>
          <w:sz w:val="24"/>
          <w:szCs w:val="24"/>
        </w:rPr>
      </w:pPr>
      <w:r w:rsidRPr="00E40104">
        <w:rPr>
          <w:rFonts w:ascii="Times New Roman" w:eastAsia="Calibri" w:hAnsi="Times New Roman"/>
          <w:sz w:val="24"/>
          <w:szCs w:val="24"/>
        </w:rPr>
        <w:t>Vzťahy medzi lesným h</w:t>
      </w:r>
      <w:r>
        <w:rPr>
          <w:rFonts w:ascii="Times New Roman" w:eastAsia="Calibri" w:hAnsi="Times New Roman"/>
          <w:sz w:val="24"/>
          <w:szCs w:val="24"/>
        </w:rPr>
        <w:t xml:space="preserve">ospodárstvom a drevospracujúcim </w:t>
      </w:r>
      <w:r w:rsidRPr="00E40104">
        <w:rPr>
          <w:rFonts w:ascii="Times New Roman" w:eastAsia="Calibri" w:hAnsi="Times New Roman"/>
          <w:sz w:val="24"/>
          <w:szCs w:val="24"/>
        </w:rPr>
        <w:t>priemyslom sa rozvíjajú na pro</w:t>
      </w:r>
      <w:r>
        <w:rPr>
          <w:rFonts w:ascii="Times New Roman" w:eastAsia="Calibri" w:hAnsi="Times New Roman"/>
          <w:sz w:val="24"/>
          <w:szCs w:val="24"/>
        </w:rPr>
        <w:t xml:space="preserve">fesionálnom prístupe k obchodu, </w:t>
      </w:r>
      <w:r w:rsidRPr="00E40104">
        <w:rPr>
          <w:rFonts w:ascii="Times New Roman" w:eastAsia="Calibri" w:hAnsi="Times New Roman"/>
          <w:sz w:val="24"/>
          <w:szCs w:val="24"/>
        </w:rPr>
        <w:t xml:space="preserve">partnerstvu a spolupráci. Najstabilnejším </w:t>
      </w:r>
      <w:r>
        <w:rPr>
          <w:rFonts w:ascii="Times New Roman" w:eastAsia="Calibri" w:hAnsi="Times New Roman"/>
          <w:sz w:val="24"/>
          <w:szCs w:val="24"/>
        </w:rPr>
        <w:t xml:space="preserve">odvetvím je </w:t>
      </w:r>
      <w:r>
        <w:rPr>
          <w:rFonts w:ascii="Times New Roman" w:eastAsia="Calibri" w:hAnsi="Times New Roman"/>
          <w:sz w:val="24"/>
          <w:szCs w:val="24"/>
        </w:rPr>
        <w:lastRenderedPageBreak/>
        <w:t xml:space="preserve">celulózo-papierenský </w:t>
      </w:r>
      <w:r w:rsidRPr="00E40104">
        <w:rPr>
          <w:rFonts w:ascii="Times New Roman" w:eastAsia="Calibri" w:hAnsi="Times New Roman"/>
          <w:sz w:val="24"/>
          <w:szCs w:val="24"/>
        </w:rPr>
        <w:t>priemysel. Drevársky pr</w:t>
      </w:r>
      <w:r>
        <w:rPr>
          <w:rFonts w:ascii="Times New Roman" w:eastAsia="Calibri" w:hAnsi="Times New Roman"/>
          <w:sz w:val="24"/>
          <w:szCs w:val="24"/>
        </w:rPr>
        <w:t xml:space="preserve">iemysel je schopný stále väčšej </w:t>
      </w:r>
      <w:r w:rsidRPr="00E40104">
        <w:rPr>
          <w:rFonts w:ascii="Times New Roman" w:eastAsia="Calibri" w:hAnsi="Times New Roman"/>
          <w:sz w:val="24"/>
          <w:szCs w:val="24"/>
        </w:rPr>
        <w:t>absorpcie dreva, očakáva sa však</w:t>
      </w:r>
      <w:r>
        <w:rPr>
          <w:rFonts w:ascii="Times New Roman" w:eastAsia="Calibri" w:hAnsi="Times New Roman"/>
          <w:sz w:val="24"/>
          <w:szCs w:val="24"/>
        </w:rPr>
        <w:t xml:space="preserve"> väčšia koncentrácia piliarskej </w:t>
      </w:r>
      <w:r w:rsidRPr="00E40104">
        <w:rPr>
          <w:rFonts w:ascii="Times New Roman" w:eastAsia="Calibri" w:hAnsi="Times New Roman"/>
          <w:sz w:val="24"/>
          <w:szCs w:val="24"/>
        </w:rPr>
        <w:t>výroby a následne aj sofistikovanejšie sp</w:t>
      </w:r>
      <w:r>
        <w:rPr>
          <w:rFonts w:ascii="Times New Roman" w:eastAsia="Calibri" w:hAnsi="Times New Roman"/>
          <w:sz w:val="24"/>
          <w:szCs w:val="24"/>
        </w:rPr>
        <w:t>racovanie piliarskych výrobkov. Naďalej však n</w:t>
      </w:r>
      <w:r w:rsidRPr="003D2096">
        <w:rPr>
          <w:rFonts w:ascii="Times New Roman" w:eastAsia="Calibri" w:hAnsi="Times New Roman"/>
          <w:sz w:val="24"/>
          <w:szCs w:val="24"/>
        </w:rPr>
        <w:t>a Slovensku pretrvávajú kapacitné problémy pri spracovaní bukovej a dubovej guľatiny domácimi spracovateľmi dreva, ako aj s ich schopnosťou vyššieho zhodnotenia listnatej suroviny. Vyrábajú sa najmä rezivo a polotovary pre nábytkársky priemysel, parkety a ďalšie výrobky s nižšou pridanou hodnotou.</w:t>
      </w:r>
    </w:p>
    <w:p w:rsidR="003D2096" w:rsidRPr="006052B6" w:rsidRDefault="003D2096" w:rsidP="00BE691E">
      <w:pPr>
        <w:spacing w:after="0" w:line="240" w:lineRule="auto"/>
        <w:jc w:val="both"/>
        <w:rPr>
          <w:rFonts w:ascii="Times New Roman" w:hAnsi="Times New Roman" w:cs="Times New Roman"/>
          <w:sz w:val="20"/>
          <w:szCs w:val="20"/>
        </w:rPr>
      </w:pPr>
    </w:p>
    <w:p w:rsidR="006052B6" w:rsidRPr="006052B6" w:rsidRDefault="00C970F8" w:rsidP="006052B6">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 45</w:t>
      </w:r>
      <w:r w:rsidR="006052B6" w:rsidRPr="00A855A4">
        <w:rPr>
          <w:rFonts w:ascii="Times New Roman" w:hAnsi="Times New Roman" w:cs="Times New Roman"/>
          <w:sz w:val="20"/>
          <w:szCs w:val="20"/>
        </w:rPr>
        <w:t xml:space="preserve">: </w:t>
      </w:r>
      <w:r w:rsidR="006052B6">
        <w:rPr>
          <w:rFonts w:ascii="Times New Roman" w:hAnsi="Times New Roman" w:cs="Times New Roman"/>
          <w:sz w:val="20"/>
          <w:szCs w:val="20"/>
        </w:rPr>
        <w:tab/>
      </w:r>
      <w:r w:rsidR="006052B6" w:rsidRPr="006052B6">
        <w:rPr>
          <w:rFonts w:ascii="Times New Roman" w:hAnsi="Times New Roman" w:cs="Times New Roman"/>
          <w:sz w:val="20"/>
          <w:szCs w:val="20"/>
        </w:rPr>
        <w:t>Produkcia a spotreba dreva na obyvateľa</w:t>
      </w:r>
    </w:p>
    <w:tbl>
      <w:tblPr>
        <w:tblW w:w="9068" w:type="dxa"/>
        <w:tblInd w:w="55" w:type="dxa"/>
        <w:tblCellMar>
          <w:left w:w="70" w:type="dxa"/>
          <w:right w:w="70" w:type="dxa"/>
        </w:tblCellMar>
        <w:tblLook w:val="04A0" w:firstRow="1" w:lastRow="0" w:firstColumn="1" w:lastColumn="0" w:noHBand="0" w:noVBand="1"/>
      </w:tblPr>
      <w:tblGrid>
        <w:gridCol w:w="4268"/>
        <w:gridCol w:w="960"/>
        <w:gridCol w:w="960"/>
        <w:gridCol w:w="960"/>
        <w:gridCol w:w="960"/>
        <w:gridCol w:w="960"/>
      </w:tblGrid>
      <w:tr w:rsidR="006052B6" w:rsidRPr="006052B6" w:rsidTr="006052B6">
        <w:trPr>
          <w:trHeight w:val="300"/>
        </w:trPr>
        <w:tc>
          <w:tcPr>
            <w:tcW w:w="4268" w:type="dxa"/>
            <w:vMerge w:val="restart"/>
            <w:tcBorders>
              <w:top w:val="nil"/>
              <w:left w:val="nil"/>
              <w:bottom w:val="nil"/>
              <w:right w:val="single" w:sz="4" w:space="0" w:color="auto"/>
            </w:tcBorders>
            <w:shd w:val="clear" w:color="000000" w:fill="D9D9D9"/>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D9D9D9"/>
            <w:vAlign w:val="center"/>
            <w:hideMark/>
          </w:tcPr>
          <w:p w:rsidR="006052B6" w:rsidRPr="006052B6" w:rsidRDefault="006052B6" w:rsidP="006052B6">
            <w:pPr>
              <w:spacing w:after="0" w:line="240" w:lineRule="auto"/>
              <w:jc w:val="center"/>
              <w:rPr>
                <w:rFonts w:ascii="Times New Roman" w:eastAsia="Times New Roman" w:hAnsi="Times New Roman" w:cs="Times New Roman"/>
                <w:b/>
                <w:bCs/>
                <w:color w:val="000000"/>
                <w:sz w:val="20"/>
                <w:szCs w:val="20"/>
              </w:rPr>
            </w:pPr>
            <w:r w:rsidRPr="006052B6">
              <w:rPr>
                <w:rFonts w:ascii="Times New Roman" w:eastAsia="Times New Roman" w:hAnsi="Times New Roman" w:cs="Times New Roman"/>
                <w:b/>
                <w:bCs/>
                <w:color w:val="000000"/>
                <w:sz w:val="20"/>
                <w:szCs w:val="20"/>
              </w:rPr>
              <w:t>2007</w:t>
            </w:r>
          </w:p>
        </w:tc>
        <w:tc>
          <w:tcPr>
            <w:tcW w:w="960" w:type="dxa"/>
            <w:tcBorders>
              <w:top w:val="nil"/>
              <w:left w:val="nil"/>
              <w:bottom w:val="nil"/>
              <w:right w:val="nil"/>
            </w:tcBorders>
            <w:shd w:val="clear" w:color="000000" w:fill="D9D9D9"/>
            <w:vAlign w:val="center"/>
            <w:hideMark/>
          </w:tcPr>
          <w:p w:rsidR="006052B6" w:rsidRPr="006052B6" w:rsidRDefault="006052B6" w:rsidP="006052B6">
            <w:pPr>
              <w:spacing w:after="0" w:line="240" w:lineRule="auto"/>
              <w:jc w:val="center"/>
              <w:rPr>
                <w:rFonts w:ascii="Times New Roman" w:eastAsia="Times New Roman" w:hAnsi="Times New Roman" w:cs="Times New Roman"/>
                <w:b/>
                <w:bCs/>
                <w:color w:val="000000"/>
                <w:sz w:val="20"/>
                <w:szCs w:val="20"/>
              </w:rPr>
            </w:pPr>
            <w:r w:rsidRPr="006052B6">
              <w:rPr>
                <w:rFonts w:ascii="Times New Roman" w:eastAsia="Times New Roman" w:hAnsi="Times New Roman" w:cs="Times New Roman"/>
                <w:b/>
                <w:bCs/>
                <w:color w:val="000000"/>
                <w:sz w:val="20"/>
                <w:szCs w:val="20"/>
              </w:rPr>
              <w:t>2008</w:t>
            </w:r>
          </w:p>
        </w:tc>
        <w:tc>
          <w:tcPr>
            <w:tcW w:w="960" w:type="dxa"/>
            <w:tcBorders>
              <w:top w:val="nil"/>
              <w:left w:val="nil"/>
              <w:bottom w:val="nil"/>
              <w:right w:val="nil"/>
            </w:tcBorders>
            <w:shd w:val="clear" w:color="000000" w:fill="D9D9D9"/>
            <w:vAlign w:val="center"/>
            <w:hideMark/>
          </w:tcPr>
          <w:p w:rsidR="006052B6" w:rsidRPr="006052B6" w:rsidRDefault="006052B6" w:rsidP="006052B6">
            <w:pPr>
              <w:spacing w:after="0" w:line="240" w:lineRule="auto"/>
              <w:jc w:val="center"/>
              <w:rPr>
                <w:rFonts w:ascii="Times New Roman" w:eastAsia="Times New Roman" w:hAnsi="Times New Roman" w:cs="Times New Roman"/>
                <w:b/>
                <w:bCs/>
                <w:color w:val="000000"/>
                <w:sz w:val="20"/>
                <w:szCs w:val="20"/>
              </w:rPr>
            </w:pPr>
            <w:r w:rsidRPr="006052B6">
              <w:rPr>
                <w:rFonts w:ascii="Times New Roman" w:eastAsia="Times New Roman" w:hAnsi="Times New Roman" w:cs="Times New Roman"/>
                <w:b/>
                <w:bCs/>
                <w:color w:val="000000"/>
                <w:sz w:val="20"/>
                <w:szCs w:val="20"/>
              </w:rPr>
              <w:t>2009</w:t>
            </w:r>
          </w:p>
        </w:tc>
        <w:tc>
          <w:tcPr>
            <w:tcW w:w="960" w:type="dxa"/>
            <w:tcBorders>
              <w:top w:val="nil"/>
              <w:left w:val="nil"/>
              <w:bottom w:val="nil"/>
              <w:right w:val="nil"/>
            </w:tcBorders>
            <w:shd w:val="clear" w:color="000000" w:fill="D9D9D9"/>
            <w:vAlign w:val="center"/>
            <w:hideMark/>
          </w:tcPr>
          <w:p w:rsidR="006052B6" w:rsidRPr="006052B6" w:rsidRDefault="006052B6" w:rsidP="006052B6">
            <w:pPr>
              <w:spacing w:after="0" w:line="240" w:lineRule="auto"/>
              <w:jc w:val="center"/>
              <w:rPr>
                <w:rFonts w:ascii="Times New Roman" w:eastAsia="Times New Roman" w:hAnsi="Times New Roman" w:cs="Times New Roman"/>
                <w:b/>
                <w:bCs/>
                <w:color w:val="000000"/>
                <w:sz w:val="20"/>
                <w:szCs w:val="20"/>
              </w:rPr>
            </w:pPr>
            <w:r w:rsidRPr="006052B6">
              <w:rPr>
                <w:rFonts w:ascii="Times New Roman" w:eastAsia="Times New Roman" w:hAnsi="Times New Roman" w:cs="Times New Roman"/>
                <w:b/>
                <w:bCs/>
                <w:color w:val="000000"/>
                <w:sz w:val="20"/>
                <w:szCs w:val="20"/>
              </w:rPr>
              <w:t>2010</w:t>
            </w:r>
          </w:p>
        </w:tc>
        <w:tc>
          <w:tcPr>
            <w:tcW w:w="960" w:type="dxa"/>
            <w:tcBorders>
              <w:top w:val="nil"/>
              <w:left w:val="nil"/>
              <w:bottom w:val="nil"/>
              <w:right w:val="nil"/>
            </w:tcBorders>
            <w:shd w:val="clear" w:color="000000" w:fill="D9D9D9"/>
            <w:vAlign w:val="center"/>
            <w:hideMark/>
          </w:tcPr>
          <w:p w:rsidR="006052B6" w:rsidRPr="006052B6" w:rsidRDefault="006052B6" w:rsidP="006052B6">
            <w:pPr>
              <w:spacing w:after="0" w:line="240" w:lineRule="auto"/>
              <w:jc w:val="center"/>
              <w:rPr>
                <w:rFonts w:ascii="Times New Roman" w:eastAsia="Times New Roman" w:hAnsi="Times New Roman" w:cs="Times New Roman"/>
                <w:b/>
                <w:bCs/>
                <w:color w:val="000000"/>
                <w:sz w:val="20"/>
                <w:szCs w:val="20"/>
              </w:rPr>
            </w:pPr>
            <w:r w:rsidRPr="006052B6">
              <w:rPr>
                <w:rFonts w:ascii="Times New Roman" w:eastAsia="Times New Roman" w:hAnsi="Times New Roman" w:cs="Times New Roman"/>
                <w:b/>
                <w:bCs/>
                <w:color w:val="000000"/>
                <w:sz w:val="20"/>
                <w:szCs w:val="20"/>
              </w:rPr>
              <w:t>2011</w:t>
            </w:r>
          </w:p>
        </w:tc>
      </w:tr>
      <w:tr w:rsidR="006052B6" w:rsidRPr="006052B6" w:rsidTr="006052B6">
        <w:trPr>
          <w:trHeight w:val="300"/>
        </w:trPr>
        <w:tc>
          <w:tcPr>
            <w:tcW w:w="4268" w:type="dxa"/>
            <w:vMerge/>
            <w:tcBorders>
              <w:top w:val="nil"/>
              <w:left w:val="nil"/>
              <w:bottom w:val="nil"/>
              <w:right w:val="single" w:sz="4" w:space="0" w:color="auto"/>
            </w:tcBorders>
            <w:vAlign w:val="center"/>
            <w:hideMark/>
          </w:tcPr>
          <w:p w:rsidR="006052B6" w:rsidRPr="006052B6" w:rsidRDefault="006052B6" w:rsidP="006052B6">
            <w:pPr>
              <w:spacing w:after="0" w:line="240" w:lineRule="auto"/>
              <w:rPr>
                <w:rFonts w:ascii="Times New Roman" w:eastAsia="Times New Roman" w:hAnsi="Times New Roman" w:cs="Times New Roman"/>
                <w:color w:val="000000"/>
                <w:sz w:val="20"/>
                <w:szCs w:val="20"/>
              </w:rPr>
            </w:pPr>
          </w:p>
        </w:tc>
        <w:tc>
          <w:tcPr>
            <w:tcW w:w="4800" w:type="dxa"/>
            <w:gridSpan w:val="5"/>
            <w:tcBorders>
              <w:top w:val="nil"/>
              <w:left w:val="nil"/>
              <w:bottom w:val="nil"/>
              <w:right w:val="nil"/>
            </w:tcBorders>
            <w:shd w:val="clear" w:color="000000" w:fill="D9D9D9"/>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m</w:t>
            </w:r>
            <w:r w:rsidRPr="006052B6">
              <w:rPr>
                <w:rFonts w:ascii="Times New Roman" w:eastAsia="Times New Roman" w:hAnsi="Times New Roman" w:cs="Times New Roman"/>
                <w:color w:val="000000"/>
                <w:sz w:val="20"/>
                <w:szCs w:val="20"/>
                <w:vertAlign w:val="superscript"/>
              </w:rPr>
              <w:t>3</w:t>
            </w:r>
            <w:r w:rsidRPr="006052B6">
              <w:rPr>
                <w:rFonts w:ascii="Times New Roman" w:eastAsia="Times New Roman" w:hAnsi="Times New Roman" w:cs="Times New Roman"/>
                <w:color w:val="000000"/>
                <w:sz w:val="20"/>
                <w:szCs w:val="20"/>
              </w:rPr>
              <w:t xml:space="preserve"> na obyvateľa</w:t>
            </w:r>
          </w:p>
        </w:tc>
      </w:tr>
      <w:tr w:rsidR="006052B6" w:rsidRPr="006052B6" w:rsidTr="006052B6">
        <w:trPr>
          <w:trHeight w:val="300"/>
        </w:trPr>
        <w:tc>
          <w:tcPr>
            <w:tcW w:w="4268" w:type="dxa"/>
            <w:tcBorders>
              <w:top w:val="nil"/>
              <w:left w:val="nil"/>
              <w:bottom w:val="nil"/>
              <w:right w:val="single" w:sz="4" w:space="0" w:color="auto"/>
            </w:tcBorders>
            <w:shd w:val="clear" w:color="auto" w:fill="auto"/>
            <w:vAlign w:val="center"/>
            <w:hideMark/>
          </w:tcPr>
          <w:p w:rsidR="006052B6" w:rsidRPr="006052B6" w:rsidRDefault="006052B6" w:rsidP="006052B6">
            <w:pPr>
              <w:spacing w:after="0" w:line="240" w:lineRule="auto"/>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Guľatina - produkcia</w:t>
            </w:r>
          </w:p>
        </w:tc>
        <w:tc>
          <w:tcPr>
            <w:tcW w:w="960" w:type="dxa"/>
            <w:tcBorders>
              <w:top w:val="nil"/>
              <w:left w:val="nil"/>
              <w:bottom w:val="nil"/>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1,506</w:t>
            </w:r>
          </w:p>
        </w:tc>
        <w:tc>
          <w:tcPr>
            <w:tcW w:w="960" w:type="dxa"/>
            <w:tcBorders>
              <w:top w:val="nil"/>
              <w:left w:val="nil"/>
              <w:bottom w:val="nil"/>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1,713</w:t>
            </w:r>
          </w:p>
        </w:tc>
        <w:tc>
          <w:tcPr>
            <w:tcW w:w="960" w:type="dxa"/>
            <w:tcBorders>
              <w:top w:val="nil"/>
              <w:left w:val="nil"/>
              <w:bottom w:val="nil"/>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1,675</w:t>
            </w:r>
          </w:p>
        </w:tc>
        <w:tc>
          <w:tcPr>
            <w:tcW w:w="960" w:type="dxa"/>
            <w:tcBorders>
              <w:top w:val="nil"/>
              <w:left w:val="nil"/>
              <w:bottom w:val="nil"/>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1,766</w:t>
            </w:r>
          </w:p>
        </w:tc>
        <w:tc>
          <w:tcPr>
            <w:tcW w:w="960" w:type="dxa"/>
            <w:tcBorders>
              <w:top w:val="nil"/>
              <w:left w:val="nil"/>
              <w:bottom w:val="nil"/>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1,693</w:t>
            </w:r>
          </w:p>
        </w:tc>
      </w:tr>
      <w:tr w:rsidR="006052B6" w:rsidRPr="006052B6" w:rsidTr="006052B6">
        <w:trPr>
          <w:trHeight w:val="300"/>
        </w:trPr>
        <w:tc>
          <w:tcPr>
            <w:tcW w:w="4268" w:type="dxa"/>
            <w:tcBorders>
              <w:top w:val="nil"/>
              <w:left w:val="nil"/>
              <w:bottom w:val="single" w:sz="4" w:space="0" w:color="auto"/>
              <w:right w:val="single" w:sz="4" w:space="0" w:color="auto"/>
            </w:tcBorders>
            <w:shd w:val="clear" w:color="auto" w:fill="auto"/>
            <w:vAlign w:val="center"/>
            <w:hideMark/>
          </w:tcPr>
          <w:p w:rsidR="006052B6" w:rsidRPr="006052B6" w:rsidRDefault="006052B6" w:rsidP="006052B6">
            <w:pPr>
              <w:spacing w:after="0" w:line="240" w:lineRule="auto"/>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Guľatina - spotreba</w:t>
            </w:r>
          </w:p>
        </w:tc>
        <w:tc>
          <w:tcPr>
            <w:tcW w:w="960" w:type="dxa"/>
            <w:tcBorders>
              <w:top w:val="nil"/>
              <w:left w:val="nil"/>
              <w:bottom w:val="single" w:sz="4" w:space="0" w:color="auto"/>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1,298</w:t>
            </w:r>
          </w:p>
        </w:tc>
        <w:tc>
          <w:tcPr>
            <w:tcW w:w="960" w:type="dxa"/>
            <w:tcBorders>
              <w:top w:val="nil"/>
              <w:left w:val="nil"/>
              <w:bottom w:val="single" w:sz="4" w:space="0" w:color="auto"/>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1,439</w:t>
            </w:r>
          </w:p>
        </w:tc>
        <w:tc>
          <w:tcPr>
            <w:tcW w:w="960" w:type="dxa"/>
            <w:tcBorders>
              <w:top w:val="nil"/>
              <w:left w:val="nil"/>
              <w:bottom w:val="single" w:sz="4" w:space="0" w:color="auto"/>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1,286</w:t>
            </w:r>
          </w:p>
        </w:tc>
        <w:tc>
          <w:tcPr>
            <w:tcW w:w="960" w:type="dxa"/>
            <w:tcBorders>
              <w:top w:val="nil"/>
              <w:left w:val="nil"/>
              <w:bottom w:val="single" w:sz="4" w:space="0" w:color="auto"/>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1,414</w:t>
            </w:r>
          </w:p>
        </w:tc>
        <w:tc>
          <w:tcPr>
            <w:tcW w:w="960" w:type="dxa"/>
            <w:tcBorders>
              <w:top w:val="nil"/>
              <w:left w:val="nil"/>
              <w:bottom w:val="single" w:sz="4" w:space="0" w:color="auto"/>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1,374</w:t>
            </w:r>
          </w:p>
        </w:tc>
      </w:tr>
      <w:tr w:rsidR="006052B6" w:rsidRPr="006052B6" w:rsidTr="006052B6">
        <w:trPr>
          <w:trHeight w:val="300"/>
        </w:trPr>
        <w:tc>
          <w:tcPr>
            <w:tcW w:w="4268" w:type="dxa"/>
            <w:tcBorders>
              <w:top w:val="nil"/>
              <w:left w:val="nil"/>
              <w:bottom w:val="nil"/>
              <w:right w:val="single" w:sz="4" w:space="0" w:color="auto"/>
            </w:tcBorders>
            <w:shd w:val="clear" w:color="000000" w:fill="F2F2F2"/>
            <w:vAlign w:val="center"/>
            <w:hideMark/>
          </w:tcPr>
          <w:p w:rsidR="006052B6" w:rsidRPr="006052B6" w:rsidRDefault="006052B6" w:rsidP="006052B6">
            <w:pPr>
              <w:spacing w:after="0" w:line="240" w:lineRule="auto"/>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Priemyselná guľatina – produkcia</w:t>
            </w:r>
          </w:p>
        </w:tc>
        <w:tc>
          <w:tcPr>
            <w:tcW w:w="960" w:type="dxa"/>
            <w:tcBorders>
              <w:top w:val="nil"/>
              <w:left w:val="nil"/>
              <w:bottom w:val="nil"/>
              <w:right w:val="nil"/>
            </w:tcBorders>
            <w:shd w:val="clear" w:color="000000" w:fill="F2F2F2"/>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1,428</w:t>
            </w:r>
          </w:p>
        </w:tc>
        <w:tc>
          <w:tcPr>
            <w:tcW w:w="960" w:type="dxa"/>
            <w:tcBorders>
              <w:top w:val="nil"/>
              <w:left w:val="nil"/>
              <w:bottom w:val="nil"/>
              <w:right w:val="nil"/>
            </w:tcBorders>
            <w:shd w:val="clear" w:color="000000" w:fill="F2F2F2"/>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1,61</w:t>
            </w:r>
          </w:p>
        </w:tc>
        <w:tc>
          <w:tcPr>
            <w:tcW w:w="960" w:type="dxa"/>
            <w:tcBorders>
              <w:top w:val="nil"/>
              <w:left w:val="nil"/>
              <w:bottom w:val="nil"/>
              <w:right w:val="nil"/>
            </w:tcBorders>
            <w:shd w:val="clear" w:color="000000" w:fill="F2F2F2"/>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1,567</w:t>
            </w:r>
          </w:p>
        </w:tc>
        <w:tc>
          <w:tcPr>
            <w:tcW w:w="960" w:type="dxa"/>
            <w:tcBorders>
              <w:top w:val="nil"/>
              <w:left w:val="nil"/>
              <w:bottom w:val="nil"/>
              <w:right w:val="nil"/>
            </w:tcBorders>
            <w:shd w:val="clear" w:color="000000" w:fill="F2F2F2"/>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1,68</w:t>
            </w:r>
          </w:p>
        </w:tc>
        <w:tc>
          <w:tcPr>
            <w:tcW w:w="960" w:type="dxa"/>
            <w:tcBorders>
              <w:top w:val="nil"/>
              <w:left w:val="nil"/>
              <w:bottom w:val="nil"/>
              <w:right w:val="nil"/>
            </w:tcBorders>
            <w:shd w:val="clear" w:color="000000" w:fill="F2F2F2"/>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1,585</w:t>
            </w:r>
          </w:p>
        </w:tc>
      </w:tr>
      <w:tr w:rsidR="006052B6" w:rsidRPr="006052B6" w:rsidTr="006052B6">
        <w:trPr>
          <w:trHeight w:val="300"/>
        </w:trPr>
        <w:tc>
          <w:tcPr>
            <w:tcW w:w="4268" w:type="dxa"/>
            <w:tcBorders>
              <w:top w:val="nil"/>
              <w:left w:val="nil"/>
              <w:bottom w:val="single" w:sz="4" w:space="0" w:color="auto"/>
              <w:right w:val="single" w:sz="4" w:space="0" w:color="auto"/>
            </w:tcBorders>
            <w:shd w:val="clear" w:color="000000" w:fill="F2F2F2"/>
            <w:vAlign w:val="center"/>
            <w:hideMark/>
          </w:tcPr>
          <w:p w:rsidR="006052B6" w:rsidRPr="006052B6" w:rsidRDefault="006052B6" w:rsidP="006052B6">
            <w:pPr>
              <w:spacing w:after="0" w:line="240" w:lineRule="auto"/>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Priemyselná guľatina – spotreba</w:t>
            </w:r>
          </w:p>
        </w:tc>
        <w:tc>
          <w:tcPr>
            <w:tcW w:w="960" w:type="dxa"/>
            <w:tcBorders>
              <w:top w:val="nil"/>
              <w:left w:val="nil"/>
              <w:bottom w:val="single" w:sz="4" w:space="0" w:color="auto"/>
              <w:right w:val="nil"/>
            </w:tcBorders>
            <w:shd w:val="clear" w:color="000000" w:fill="F2F2F2"/>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1,232</w:t>
            </w:r>
          </w:p>
        </w:tc>
        <w:tc>
          <w:tcPr>
            <w:tcW w:w="960" w:type="dxa"/>
            <w:tcBorders>
              <w:top w:val="nil"/>
              <w:left w:val="nil"/>
              <w:bottom w:val="single" w:sz="4" w:space="0" w:color="auto"/>
              <w:right w:val="nil"/>
            </w:tcBorders>
            <w:shd w:val="clear" w:color="000000" w:fill="F2F2F2"/>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1,344</w:t>
            </w:r>
          </w:p>
        </w:tc>
        <w:tc>
          <w:tcPr>
            <w:tcW w:w="960" w:type="dxa"/>
            <w:tcBorders>
              <w:top w:val="nil"/>
              <w:left w:val="nil"/>
              <w:bottom w:val="single" w:sz="4" w:space="0" w:color="auto"/>
              <w:right w:val="nil"/>
            </w:tcBorders>
            <w:shd w:val="clear" w:color="000000" w:fill="F2F2F2"/>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1,194</w:t>
            </w:r>
          </w:p>
        </w:tc>
        <w:tc>
          <w:tcPr>
            <w:tcW w:w="960" w:type="dxa"/>
            <w:tcBorders>
              <w:top w:val="nil"/>
              <w:left w:val="nil"/>
              <w:bottom w:val="single" w:sz="4" w:space="0" w:color="auto"/>
              <w:right w:val="nil"/>
            </w:tcBorders>
            <w:shd w:val="clear" w:color="000000" w:fill="F2F2F2"/>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1,34</w:t>
            </w:r>
          </w:p>
        </w:tc>
        <w:tc>
          <w:tcPr>
            <w:tcW w:w="960" w:type="dxa"/>
            <w:tcBorders>
              <w:top w:val="nil"/>
              <w:left w:val="nil"/>
              <w:bottom w:val="single" w:sz="4" w:space="0" w:color="auto"/>
              <w:right w:val="nil"/>
            </w:tcBorders>
            <w:shd w:val="clear" w:color="000000" w:fill="F2F2F2"/>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1,281</w:t>
            </w:r>
          </w:p>
        </w:tc>
      </w:tr>
      <w:tr w:rsidR="006052B6" w:rsidRPr="006052B6" w:rsidTr="006052B6">
        <w:trPr>
          <w:trHeight w:val="300"/>
        </w:trPr>
        <w:tc>
          <w:tcPr>
            <w:tcW w:w="4268" w:type="dxa"/>
            <w:tcBorders>
              <w:top w:val="nil"/>
              <w:left w:val="nil"/>
              <w:bottom w:val="nil"/>
              <w:right w:val="single" w:sz="4" w:space="0" w:color="auto"/>
            </w:tcBorders>
            <w:shd w:val="clear" w:color="auto" w:fill="auto"/>
            <w:vAlign w:val="center"/>
            <w:hideMark/>
          </w:tcPr>
          <w:p w:rsidR="006052B6" w:rsidRPr="006052B6" w:rsidRDefault="006052B6" w:rsidP="006052B6">
            <w:pPr>
              <w:spacing w:after="0" w:line="240" w:lineRule="auto"/>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Vlákninové drevo - produkcia</w:t>
            </w:r>
          </w:p>
        </w:tc>
        <w:tc>
          <w:tcPr>
            <w:tcW w:w="960" w:type="dxa"/>
            <w:tcBorders>
              <w:top w:val="nil"/>
              <w:left w:val="nil"/>
              <w:bottom w:val="nil"/>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0,521</w:t>
            </w:r>
          </w:p>
        </w:tc>
        <w:tc>
          <w:tcPr>
            <w:tcW w:w="960" w:type="dxa"/>
            <w:tcBorders>
              <w:top w:val="nil"/>
              <w:left w:val="nil"/>
              <w:bottom w:val="nil"/>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0,553</w:t>
            </w:r>
          </w:p>
        </w:tc>
        <w:tc>
          <w:tcPr>
            <w:tcW w:w="960" w:type="dxa"/>
            <w:tcBorders>
              <w:top w:val="nil"/>
              <w:left w:val="nil"/>
              <w:bottom w:val="nil"/>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0,686</w:t>
            </w:r>
          </w:p>
        </w:tc>
        <w:tc>
          <w:tcPr>
            <w:tcW w:w="960" w:type="dxa"/>
            <w:tcBorders>
              <w:top w:val="nil"/>
              <w:left w:val="nil"/>
              <w:bottom w:val="nil"/>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0,59</w:t>
            </w:r>
          </w:p>
        </w:tc>
        <w:tc>
          <w:tcPr>
            <w:tcW w:w="960" w:type="dxa"/>
            <w:tcBorders>
              <w:top w:val="nil"/>
              <w:left w:val="nil"/>
              <w:bottom w:val="nil"/>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0,558</w:t>
            </w:r>
          </w:p>
        </w:tc>
      </w:tr>
      <w:tr w:rsidR="006052B6" w:rsidRPr="006052B6" w:rsidTr="006052B6">
        <w:trPr>
          <w:trHeight w:val="300"/>
        </w:trPr>
        <w:tc>
          <w:tcPr>
            <w:tcW w:w="4268" w:type="dxa"/>
            <w:tcBorders>
              <w:top w:val="nil"/>
              <w:left w:val="nil"/>
              <w:bottom w:val="single" w:sz="4" w:space="0" w:color="auto"/>
              <w:right w:val="single" w:sz="4" w:space="0" w:color="auto"/>
            </w:tcBorders>
            <w:shd w:val="clear" w:color="auto" w:fill="auto"/>
            <w:vAlign w:val="center"/>
            <w:hideMark/>
          </w:tcPr>
          <w:p w:rsidR="006052B6" w:rsidRPr="006052B6" w:rsidRDefault="006052B6" w:rsidP="006052B6">
            <w:pPr>
              <w:spacing w:after="0" w:line="240" w:lineRule="auto"/>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Vlákninové drevo- spotreba</w:t>
            </w:r>
          </w:p>
        </w:tc>
        <w:tc>
          <w:tcPr>
            <w:tcW w:w="960" w:type="dxa"/>
            <w:tcBorders>
              <w:top w:val="nil"/>
              <w:left w:val="nil"/>
              <w:bottom w:val="single" w:sz="4" w:space="0" w:color="auto"/>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0,432</w:t>
            </w:r>
          </w:p>
        </w:tc>
        <w:tc>
          <w:tcPr>
            <w:tcW w:w="960" w:type="dxa"/>
            <w:tcBorders>
              <w:top w:val="nil"/>
              <w:left w:val="nil"/>
              <w:bottom w:val="single" w:sz="4" w:space="0" w:color="auto"/>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0,486</w:t>
            </w:r>
          </w:p>
        </w:tc>
        <w:tc>
          <w:tcPr>
            <w:tcW w:w="960" w:type="dxa"/>
            <w:tcBorders>
              <w:top w:val="nil"/>
              <w:left w:val="nil"/>
              <w:bottom w:val="single" w:sz="4" w:space="0" w:color="auto"/>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0,519</w:t>
            </w:r>
          </w:p>
        </w:tc>
        <w:tc>
          <w:tcPr>
            <w:tcW w:w="960" w:type="dxa"/>
            <w:tcBorders>
              <w:top w:val="nil"/>
              <w:left w:val="nil"/>
              <w:bottom w:val="single" w:sz="4" w:space="0" w:color="auto"/>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0,534</w:t>
            </w:r>
          </w:p>
        </w:tc>
        <w:tc>
          <w:tcPr>
            <w:tcW w:w="960" w:type="dxa"/>
            <w:tcBorders>
              <w:top w:val="nil"/>
              <w:left w:val="nil"/>
              <w:bottom w:val="single" w:sz="4" w:space="0" w:color="auto"/>
              <w:right w:val="nil"/>
            </w:tcBorders>
            <w:shd w:val="clear" w:color="auto" w:fill="auto"/>
            <w:vAlign w:val="center"/>
            <w:hideMark/>
          </w:tcPr>
          <w:p w:rsidR="006052B6" w:rsidRPr="006052B6" w:rsidRDefault="006052B6" w:rsidP="006052B6">
            <w:pPr>
              <w:spacing w:after="0" w:line="240" w:lineRule="auto"/>
              <w:jc w:val="center"/>
              <w:rPr>
                <w:rFonts w:ascii="Times New Roman" w:eastAsia="Times New Roman" w:hAnsi="Times New Roman" w:cs="Times New Roman"/>
                <w:color w:val="000000"/>
                <w:sz w:val="20"/>
                <w:szCs w:val="20"/>
              </w:rPr>
            </w:pPr>
            <w:r w:rsidRPr="006052B6">
              <w:rPr>
                <w:rFonts w:ascii="Times New Roman" w:eastAsia="Times New Roman" w:hAnsi="Times New Roman" w:cs="Times New Roman"/>
                <w:color w:val="000000"/>
                <w:sz w:val="20"/>
                <w:szCs w:val="20"/>
              </w:rPr>
              <w:t>0,583</w:t>
            </w:r>
          </w:p>
        </w:tc>
      </w:tr>
    </w:tbl>
    <w:p w:rsidR="006052B6" w:rsidRPr="00C431FF" w:rsidRDefault="006052B6" w:rsidP="006052B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NLC-ÚLZI Zvolen</w:t>
      </w:r>
    </w:p>
    <w:p w:rsidR="006052B6" w:rsidRDefault="006052B6" w:rsidP="00BE691E">
      <w:pPr>
        <w:spacing w:after="0" w:line="240" w:lineRule="auto"/>
        <w:jc w:val="both"/>
        <w:rPr>
          <w:rFonts w:ascii="Times New Roman" w:eastAsia="Calibri" w:hAnsi="Times New Roman"/>
          <w:sz w:val="24"/>
          <w:szCs w:val="24"/>
        </w:rPr>
      </w:pPr>
    </w:p>
    <w:p w:rsidR="00F35142" w:rsidRPr="00F35142" w:rsidRDefault="00F35142" w:rsidP="00F35142">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V rámci využívania potenciálu dreva v zmysle trvalo udržateľného obhospodarovania lesov je v súčasnosti nedocenený jeho energetický potenciál. </w:t>
      </w:r>
      <w:r w:rsidRPr="00F35142">
        <w:rPr>
          <w:rFonts w:ascii="Times New Roman" w:eastAsia="Calibri" w:hAnsi="Times New Roman"/>
          <w:sz w:val="24"/>
          <w:szCs w:val="24"/>
        </w:rPr>
        <w:t>Rýchlejšiemu a efektívnejšiemu uplatneniu lesnej palivovej biomasy bráni nedostatok vhodných ťažbovo-výrobných technológií, nesúlad miesta jej produkcie a spotreby a chýbajúca spoločná stratégia produkcie a využívania biomasy. To spôsobuje zníženú ekonomickú dostupnosť zdrojov na lesných pozemkoch a zvýšené využívanie tzv. zameniteľných sortimentov dreva na energetické účely.</w:t>
      </w:r>
    </w:p>
    <w:p w:rsidR="00F35142" w:rsidRDefault="00F35142" w:rsidP="00F35142">
      <w:pPr>
        <w:spacing w:after="0" w:line="240" w:lineRule="auto"/>
        <w:jc w:val="both"/>
        <w:rPr>
          <w:rFonts w:ascii="Times New Roman" w:eastAsia="Calibri" w:hAnsi="Times New Roman"/>
          <w:sz w:val="24"/>
          <w:szCs w:val="24"/>
        </w:rPr>
      </w:pPr>
    </w:p>
    <w:p w:rsidR="00F35142" w:rsidRPr="00F35142" w:rsidRDefault="00F35142" w:rsidP="00F35142">
      <w:pPr>
        <w:spacing w:after="0" w:line="240" w:lineRule="auto"/>
        <w:jc w:val="both"/>
        <w:rPr>
          <w:rFonts w:ascii="Times New Roman" w:eastAsia="Calibri" w:hAnsi="Times New Roman"/>
          <w:sz w:val="24"/>
          <w:szCs w:val="24"/>
        </w:rPr>
      </w:pPr>
      <w:r w:rsidRPr="00F35142">
        <w:rPr>
          <w:rFonts w:ascii="Times New Roman" w:eastAsia="Calibri" w:hAnsi="Times New Roman"/>
          <w:sz w:val="24"/>
          <w:szCs w:val="24"/>
        </w:rPr>
        <w:t>Hlavnými zdrojmi dreva vhodného na energetické využitie sú porasty drevín na lesných pozemkoch a odpady po mechanickom a chemickom spracovaní dreva. Ďalšími zdrojmi sú porasty na nelesných pozemkoch a komunálny drevný odpad. Zásoba dreva na lesných pozemkoch v roku 2011 dosiahla 465 mil. m3 hrubiny bez kôry. Potenciál stromovej biomasy vhodnej na energetické využitie v uvedenom roku dosiahol hodnotu cca 2,5 mil. ton. Na zvyšovanie využiteľného potenciálu palivovej lesnej biomasy má vplyv vývoj vekovej štruktúry a drevinového zloženia porastov. Do roku 2050 sa predpokladá zvýšenie ročného využiteľného potenciálu na 3,2 mil. ton.</w:t>
      </w:r>
    </w:p>
    <w:p w:rsidR="00F35142" w:rsidRDefault="00F35142" w:rsidP="00F35142">
      <w:pPr>
        <w:spacing w:after="0" w:line="240" w:lineRule="auto"/>
        <w:jc w:val="both"/>
        <w:rPr>
          <w:rFonts w:ascii="Times New Roman" w:eastAsia="Calibri" w:hAnsi="Times New Roman"/>
          <w:sz w:val="24"/>
          <w:szCs w:val="24"/>
        </w:rPr>
      </w:pPr>
    </w:p>
    <w:p w:rsidR="00F35142" w:rsidRPr="00F35142" w:rsidRDefault="00F35142" w:rsidP="00F35142">
      <w:pPr>
        <w:spacing w:after="0" w:line="240" w:lineRule="auto"/>
        <w:jc w:val="both"/>
        <w:rPr>
          <w:rFonts w:ascii="Times New Roman" w:eastAsia="Calibri" w:hAnsi="Times New Roman"/>
          <w:sz w:val="24"/>
          <w:szCs w:val="24"/>
        </w:rPr>
      </w:pPr>
      <w:r w:rsidRPr="00F35142">
        <w:rPr>
          <w:rFonts w:ascii="Times New Roman" w:eastAsia="Calibri" w:hAnsi="Times New Roman"/>
          <w:sz w:val="24"/>
          <w:szCs w:val="24"/>
        </w:rPr>
        <w:t xml:space="preserve">Vplyvom vzrastajúceho dopytu sa bude zvyšovať najmä produkcia lesných palivových štiepok z korunových častí stromov a stromovej biomasy výchovných ťažieb. Produkcia palivovej </w:t>
      </w:r>
      <w:proofErr w:type="spellStart"/>
      <w:r w:rsidRPr="00F35142">
        <w:rPr>
          <w:rFonts w:ascii="Times New Roman" w:eastAsia="Calibri" w:hAnsi="Times New Roman"/>
          <w:sz w:val="24"/>
          <w:szCs w:val="24"/>
        </w:rPr>
        <w:t>dendromasy</w:t>
      </w:r>
      <w:proofErr w:type="spellEnd"/>
      <w:r w:rsidRPr="00F35142">
        <w:rPr>
          <w:rFonts w:ascii="Times New Roman" w:eastAsia="Calibri" w:hAnsi="Times New Roman"/>
          <w:sz w:val="24"/>
          <w:szCs w:val="24"/>
        </w:rPr>
        <w:t xml:space="preserve"> z odpadov po spracovaní dreva sa v porovnaní z predchádzajúcim obdobím mierne zvýšila najmä z dôvodu vzrastajúceho dopytu. Ročná vlastná spotreba biomasy v roku 2011 bola 1,3 mil. ton a dodávky na domáci a zahraničný trh vo forme štiepok, jemnozrnných a kusových odpadov </w:t>
      </w:r>
      <w:proofErr w:type="spellStart"/>
      <w:r w:rsidRPr="00F35142">
        <w:rPr>
          <w:rFonts w:ascii="Times New Roman" w:eastAsia="Calibri" w:hAnsi="Times New Roman"/>
          <w:sz w:val="24"/>
          <w:szCs w:val="24"/>
        </w:rPr>
        <w:t>peliet</w:t>
      </w:r>
      <w:proofErr w:type="spellEnd"/>
      <w:r w:rsidRPr="00F35142">
        <w:rPr>
          <w:rFonts w:ascii="Times New Roman" w:eastAsia="Calibri" w:hAnsi="Times New Roman"/>
          <w:sz w:val="24"/>
          <w:szCs w:val="24"/>
        </w:rPr>
        <w:t xml:space="preserve"> a brikiet dosiahli 0,4 mil. ton.</w:t>
      </w:r>
    </w:p>
    <w:p w:rsidR="00F35142" w:rsidRDefault="00F35142" w:rsidP="00F35142">
      <w:pPr>
        <w:spacing w:after="0" w:line="240" w:lineRule="auto"/>
        <w:jc w:val="both"/>
        <w:rPr>
          <w:rFonts w:ascii="Times New Roman" w:eastAsia="Calibri" w:hAnsi="Times New Roman"/>
          <w:sz w:val="24"/>
          <w:szCs w:val="24"/>
        </w:rPr>
      </w:pPr>
    </w:p>
    <w:p w:rsidR="00F35142" w:rsidRPr="00F35142" w:rsidRDefault="00F35142" w:rsidP="00F35142">
      <w:pPr>
        <w:spacing w:after="0" w:line="240" w:lineRule="auto"/>
        <w:jc w:val="both"/>
        <w:rPr>
          <w:rFonts w:ascii="Times New Roman" w:eastAsia="Calibri" w:hAnsi="Times New Roman"/>
          <w:sz w:val="24"/>
          <w:szCs w:val="24"/>
        </w:rPr>
      </w:pPr>
      <w:r w:rsidRPr="00F35142">
        <w:rPr>
          <w:rFonts w:ascii="Times New Roman" w:eastAsia="Calibri" w:hAnsi="Times New Roman"/>
          <w:sz w:val="24"/>
          <w:szCs w:val="24"/>
        </w:rPr>
        <w:t>Väčšie využitie palivovej drevnej biomasy v súčasnosti limitujú právne predpisy, ktoré určujú produkciu v porastoch drevín na nevyužívaných poľnohospodárskych pozemkoch (biele plochy) a tiež zakladanie energetických porastov. V roku 2011 sa zvýšila intenzita obnovy brehových porastov a ostatných líniových výsadieb. Celková ročná produkcia palivovej drevnej biomasy z nelesných pozemkov dosiahla 0,1 mil. ton.</w:t>
      </w:r>
    </w:p>
    <w:p w:rsidR="00F35142" w:rsidRDefault="00F35142"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Vnímajúc vyššie uvedené skutočnosti, na to, aby sa l</w:t>
      </w:r>
      <w:r w:rsidRPr="00E40104">
        <w:rPr>
          <w:rFonts w:ascii="Times New Roman" w:eastAsia="Calibri" w:hAnsi="Times New Roman"/>
          <w:sz w:val="24"/>
          <w:szCs w:val="24"/>
        </w:rPr>
        <w:t>esné hospodárstvo na Slovens</w:t>
      </w:r>
      <w:r>
        <w:rPr>
          <w:rFonts w:ascii="Times New Roman" w:eastAsia="Calibri" w:hAnsi="Times New Roman"/>
          <w:sz w:val="24"/>
          <w:szCs w:val="24"/>
        </w:rPr>
        <w:t xml:space="preserve">ku sa stalo plne konkurencieschopnou </w:t>
      </w:r>
      <w:r w:rsidRPr="00E40104">
        <w:rPr>
          <w:rFonts w:ascii="Times New Roman" w:eastAsia="Calibri" w:hAnsi="Times New Roman"/>
          <w:sz w:val="24"/>
          <w:szCs w:val="24"/>
        </w:rPr>
        <w:t>súčasťou Európy v oblasti trhovýc</w:t>
      </w:r>
      <w:r>
        <w:rPr>
          <w:rFonts w:ascii="Times New Roman" w:eastAsia="Calibri" w:hAnsi="Times New Roman"/>
          <w:sz w:val="24"/>
          <w:szCs w:val="24"/>
        </w:rPr>
        <w:t xml:space="preserve">h produktov, verejnoprospešných </w:t>
      </w:r>
      <w:r w:rsidRPr="00E40104">
        <w:rPr>
          <w:rFonts w:ascii="Times New Roman" w:eastAsia="Calibri" w:hAnsi="Times New Roman"/>
          <w:sz w:val="24"/>
          <w:szCs w:val="24"/>
        </w:rPr>
        <w:t>funkcií lesa</w:t>
      </w:r>
      <w:r>
        <w:rPr>
          <w:rFonts w:ascii="Times New Roman" w:eastAsia="Calibri" w:hAnsi="Times New Roman"/>
          <w:sz w:val="24"/>
          <w:szCs w:val="24"/>
        </w:rPr>
        <w:t xml:space="preserve"> a</w:t>
      </w:r>
      <w:r w:rsidR="003748EC">
        <w:rPr>
          <w:rFonts w:ascii="Times New Roman" w:eastAsia="Calibri" w:hAnsi="Times New Roman"/>
          <w:sz w:val="24"/>
          <w:szCs w:val="24"/>
        </w:rPr>
        <w:t> </w:t>
      </w:r>
      <w:proofErr w:type="spellStart"/>
      <w:r>
        <w:rPr>
          <w:rFonts w:ascii="Times New Roman" w:eastAsia="Calibri" w:hAnsi="Times New Roman"/>
          <w:sz w:val="24"/>
          <w:szCs w:val="24"/>
        </w:rPr>
        <w:t>know</w:t>
      </w:r>
      <w:proofErr w:type="spellEnd"/>
      <w:r w:rsidR="003748EC">
        <w:rPr>
          <w:rFonts w:ascii="Times New Roman" w:eastAsia="Calibri" w:hAnsi="Times New Roman"/>
          <w:sz w:val="24"/>
          <w:szCs w:val="24"/>
        </w:rPr>
        <w:t xml:space="preserve"> </w:t>
      </w:r>
      <w:proofErr w:type="spellStart"/>
      <w:r>
        <w:rPr>
          <w:rFonts w:ascii="Times New Roman" w:eastAsia="Calibri" w:hAnsi="Times New Roman"/>
          <w:sz w:val="24"/>
          <w:szCs w:val="24"/>
        </w:rPr>
        <w:t>how</w:t>
      </w:r>
      <w:proofErr w:type="spellEnd"/>
      <w:r>
        <w:rPr>
          <w:rFonts w:ascii="Times New Roman" w:eastAsia="Calibri" w:hAnsi="Times New Roman"/>
          <w:sz w:val="24"/>
          <w:szCs w:val="24"/>
        </w:rPr>
        <w:t xml:space="preserve"> je potrebné dôslednejšie </w:t>
      </w:r>
      <w:r w:rsidRPr="00E40104">
        <w:rPr>
          <w:rFonts w:ascii="Times New Roman" w:eastAsia="Calibri" w:hAnsi="Times New Roman"/>
          <w:sz w:val="24"/>
          <w:szCs w:val="24"/>
        </w:rPr>
        <w:t>presadzovať princípy ekolo</w:t>
      </w:r>
      <w:r>
        <w:rPr>
          <w:rFonts w:ascii="Times New Roman" w:eastAsia="Calibri" w:hAnsi="Times New Roman"/>
          <w:sz w:val="24"/>
          <w:szCs w:val="24"/>
        </w:rPr>
        <w:t xml:space="preserve">gicko-ekonomickej udržateľnosti </w:t>
      </w:r>
      <w:r w:rsidRPr="00E40104">
        <w:rPr>
          <w:rFonts w:ascii="Times New Roman" w:eastAsia="Calibri" w:hAnsi="Times New Roman"/>
          <w:sz w:val="24"/>
          <w:szCs w:val="24"/>
        </w:rPr>
        <w:t>a zvyšovania efektívnosti lesného hospodárstv</w:t>
      </w:r>
      <w:r>
        <w:rPr>
          <w:rFonts w:ascii="Times New Roman" w:eastAsia="Calibri" w:hAnsi="Times New Roman"/>
          <w:sz w:val="24"/>
          <w:szCs w:val="24"/>
        </w:rPr>
        <w:t>a. Brzdou ďalšieho pokroku v tejto oblasti je aj u</w:t>
      </w:r>
      <w:r w:rsidRPr="00E40104">
        <w:rPr>
          <w:rFonts w:ascii="Times New Roman" w:eastAsia="Calibri" w:hAnsi="Times New Roman"/>
          <w:sz w:val="24"/>
          <w:szCs w:val="24"/>
        </w:rPr>
        <w:t xml:space="preserve">sporiadanie vlastníctva lesov </w:t>
      </w:r>
      <w:r>
        <w:rPr>
          <w:rFonts w:ascii="Times New Roman" w:eastAsia="Calibri" w:hAnsi="Times New Roman"/>
          <w:sz w:val="24"/>
          <w:szCs w:val="24"/>
        </w:rPr>
        <w:t xml:space="preserve">v zmysle reštitučných </w:t>
      </w:r>
      <w:r w:rsidRPr="00E40104">
        <w:rPr>
          <w:rFonts w:ascii="Times New Roman" w:eastAsia="Calibri" w:hAnsi="Times New Roman"/>
          <w:sz w:val="24"/>
          <w:szCs w:val="24"/>
        </w:rPr>
        <w:t>zákonov</w:t>
      </w:r>
      <w:r>
        <w:rPr>
          <w:rFonts w:ascii="Times New Roman" w:eastAsia="Calibri" w:hAnsi="Times New Roman"/>
          <w:sz w:val="24"/>
          <w:szCs w:val="24"/>
        </w:rPr>
        <w:t>, ktoré</w:t>
      </w:r>
      <w:r w:rsidRPr="00E40104">
        <w:rPr>
          <w:rFonts w:ascii="Times New Roman" w:eastAsia="Calibri" w:hAnsi="Times New Roman"/>
          <w:sz w:val="24"/>
          <w:szCs w:val="24"/>
        </w:rPr>
        <w:t xml:space="preserve"> sa doposiaľ neukon</w:t>
      </w:r>
      <w:r>
        <w:rPr>
          <w:rFonts w:ascii="Times New Roman" w:eastAsia="Calibri" w:hAnsi="Times New Roman"/>
          <w:sz w:val="24"/>
          <w:szCs w:val="24"/>
        </w:rPr>
        <w:t xml:space="preserve">čilo. </w:t>
      </w:r>
    </w:p>
    <w:p w:rsidR="00020F06" w:rsidRPr="0093017B" w:rsidRDefault="00020F06" w:rsidP="00BE691E">
      <w:pPr>
        <w:spacing w:after="0" w:line="240" w:lineRule="auto"/>
        <w:jc w:val="both"/>
        <w:rPr>
          <w:rFonts w:ascii="Times New Roman" w:hAnsi="Times New Roman" w:cs="Times New Roman"/>
          <w:sz w:val="20"/>
          <w:szCs w:val="20"/>
        </w:rPr>
      </w:pPr>
    </w:p>
    <w:p w:rsidR="0093017B" w:rsidRPr="0093017B" w:rsidRDefault="00C970F8" w:rsidP="0093017B">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 46</w:t>
      </w:r>
      <w:r w:rsidR="0093017B" w:rsidRPr="00A855A4">
        <w:rPr>
          <w:rFonts w:ascii="Times New Roman" w:hAnsi="Times New Roman" w:cs="Times New Roman"/>
          <w:sz w:val="20"/>
          <w:szCs w:val="20"/>
        </w:rPr>
        <w:t xml:space="preserve">: </w:t>
      </w:r>
      <w:r w:rsidR="0093017B">
        <w:rPr>
          <w:rFonts w:ascii="Times New Roman" w:hAnsi="Times New Roman" w:cs="Times New Roman"/>
          <w:sz w:val="20"/>
          <w:szCs w:val="20"/>
        </w:rPr>
        <w:tab/>
      </w:r>
      <w:r w:rsidR="0093017B" w:rsidRPr="0093017B">
        <w:rPr>
          <w:rFonts w:ascii="Times New Roman" w:hAnsi="Times New Roman" w:cs="Times New Roman"/>
          <w:sz w:val="20"/>
          <w:szCs w:val="20"/>
        </w:rPr>
        <w:t>Štruktúra vlastníctva lesov</w:t>
      </w:r>
    </w:p>
    <w:tbl>
      <w:tblPr>
        <w:tblW w:w="9054" w:type="dxa"/>
        <w:tblInd w:w="55" w:type="dxa"/>
        <w:tblLayout w:type="fixed"/>
        <w:tblCellMar>
          <w:left w:w="70" w:type="dxa"/>
          <w:right w:w="70" w:type="dxa"/>
        </w:tblCellMar>
        <w:tblLook w:val="04A0" w:firstRow="1" w:lastRow="0" w:firstColumn="1" w:lastColumn="0" w:noHBand="0" w:noVBand="1"/>
      </w:tblPr>
      <w:tblGrid>
        <w:gridCol w:w="582"/>
        <w:gridCol w:w="1559"/>
        <w:gridCol w:w="709"/>
        <w:gridCol w:w="993"/>
        <w:gridCol w:w="850"/>
        <w:gridCol w:w="851"/>
        <w:gridCol w:w="850"/>
        <w:gridCol w:w="851"/>
        <w:gridCol w:w="850"/>
        <w:gridCol w:w="959"/>
      </w:tblGrid>
      <w:tr w:rsidR="00E66206" w:rsidRPr="0093017B" w:rsidTr="0093017B">
        <w:trPr>
          <w:trHeight w:val="510"/>
        </w:trPr>
        <w:tc>
          <w:tcPr>
            <w:tcW w:w="582" w:type="dxa"/>
            <w:tcBorders>
              <w:top w:val="nil"/>
              <w:left w:val="nil"/>
              <w:bottom w:val="nil"/>
              <w:right w:val="nil"/>
            </w:tcBorders>
            <w:shd w:val="clear" w:color="000000" w:fill="D9D9D9"/>
            <w:vAlign w:val="center"/>
            <w:hideMark/>
          </w:tcPr>
          <w:p w:rsidR="00E66206" w:rsidRPr="00E66206" w:rsidRDefault="00E66206" w:rsidP="00E66206">
            <w:pPr>
              <w:spacing w:after="0" w:line="240" w:lineRule="auto"/>
              <w:jc w:val="center"/>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 </w:t>
            </w:r>
          </w:p>
        </w:tc>
        <w:tc>
          <w:tcPr>
            <w:tcW w:w="1559" w:type="dxa"/>
            <w:tcBorders>
              <w:top w:val="nil"/>
              <w:left w:val="nil"/>
              <w:bottom w:val="nil"/>
              <w:right w:val="single" w:sz="4" w:space="0" w:color="auto"/>
            </w:tcBorders>
            <w:shd w:val="clear" w:color="000000" w:fill="D9D9D9"/>
            <w:vAlign w:val="center"/>
            <w:hideMark/>
          </w:tcPr>
          <w:p w:rsidR="00E66206" w:rsidRPr="00E66206" w:rsidRDefault="00E66206" w:rsidP="00E66206">
            <w:pPr>
              <w:spacing w:after="0" w:line="240" w:lineRule="auto"/>
              <w:jc w:val="center"/>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 </w:t>
            </w:r>
          </w:p>
        </w:tc>
        <w:tc>
          <w:tcPr>
            <w:tcW w:w="709" w:type="dxa"/>
            <w:tcBorders>
              <w:top w:val="nil"/>
              <w:left w:val="nil"/>
              <w:bottom w:val="nil"/>
              <w:right w:val="nil"/>
            </w:tcBorders>
            <w:shd w:val="clear" w:color="000000" w:fill="D9D9D9"/>
            <w:vAlign w:val="center"/>
            <w:hideMark/>
          </w:tcPr>
          <w:p w:rsidR="00E66206" w:rsidRPr="00E66206" w:rsidRDefault="00E66206" w:rsidP="00E66206">
            <w:pPr>
              <w:spacing w:after="0" w:line="240" w:lineRule="auto"/>
              <w:jc w:val="center"/>
              <w:rPr>
                <w:rFonts w:ascii="Times New Roman" w:eastAsia="Times New Roman" w:hAnsi="Times New Roman" w:cs="Times New Roman"/>
                <w:b/>
                <w:bCs/>
                <w:color w:val="000000"/>
                <w:sz w:val="18"/>
                <w:szCs w:val="18"/>
              </w:rPr>
            </w:pPr>
            <w:r w:rsidRPr="00E66206">
              <w:rPr>
                <w:rFonts w:ascii="Times New Roman" w:eastAsia="Times New Roman" w:hAnsi="Times New Roman" w:cs="Times New Roman"/>
                <w:b/>
                <w:bCs/>
                <w:color w:val="000000"/>
                <w:sz w:val="18"/>
                <w:szCs w:val="18"/>
              </w:rPr>
              <w:t>Štátne</w:t>
            </w:r>
          </w:p>
        </w:tc>
        <w:tc>
          <w:tcPr>
            <w:tcW w:w="993" w:type="dxa"/>
            <w:tcBorders>
              <w:top w:val="nil"/>
              <w:left w:val="nil"/>
              <w:bottom w:val="nil"/>
              <w:right w:val="nil"/>
            </w:tcBorders>
            <w:shd w:val="clear" w:color="000000" w:fill="D9D9D9"/>
            <w:vAlign w:val="center"/>
            <w:hideMark/>
          </w:tcPr>
          <w:p w:rsidR="00E66206" w:rsidRPr="00E66206" w:rsidRDefault="00E66206" w:rsidP="00E66206">
            <w:pPr>
              <w:spacing w:after="0" w:line="240" w:lineRule="auto"/>
              <w:jc w:val="center"/>
              <w:rPr>
                <w:rFonts w:ascii="Times New Roman" w:eastAsia="Times New Roman" w:hAnsi="Times New Roman" w:cs="Times New Roman"/>
                <w:b/>
                <w:bCs/>
                <w:color w:val="000000"/>
                <w:sz w:val="18"/>
                <w:szCs w:val="18"/>
              </w:rPr>
            </w:pPr>
            <w:r w:rsidRPr="00E66206">
              <w:rPr>
                <w:rFonts w:ascii="Times New Roman" w:eastAsia="Times New Roman" w:hAnsi="Times New Roman" w:cs="Times New Roman"/>
                <w:b/>
                <w:bCs/>
                <w:color w:val="000000"/>
                <w:sz w:val="18"/>
                <w:szCs w:val="18"/>
              </w:rPr>
              <w:t>Súkromné</w:t>
            </w:r>
          </w:p>
        </w:tc>
        <w:tc>
          <w:tcPr>
            <w:tcW w:w="850" w:type="dxa"/>
            <w:tcBorders>
              <w:top w:val="nil"/>
              <w:left w:val="nil"/>
              <w:bottom w:val="nil"/>
              <w:right w:val="nil"/>
            </w:tcBorders>
            <w:shd w:val="clear" w:color="000000" w:fill="D9D9D9"/>
            <w:vAlign w:val="center"/>
            <w:hideMark/>
          </w:tcPr>
          <w:p w:rsidR="00E66206" w:rsidRPr="00E66206" w:rsidRDefault="00E66206" w:rsidP="00E66206">
            <w:pPr>
              <w:spacing w:after="0" w:line="240" w:lineRule="auto"/>
              <w:jc w:val="center"/>
              <w:rPr>
                <w:rFonts w:ascii="Times New Roman" w:eastAsia="Times New Roman" w:hAnsi="Times New Roman" w:cs="Times New Roman"/>
                <w:b/>
                <w:bCs/>
                <w:color w:val="000000"/>
                <w:sz w:val="18"/>
                <w:szCs w:val="18"/>
              </w:rPr>
            </w:pPr>
            <w:proofErr w:type="spellStart"/>
            <w:r w:rsidRPr="00E66206">
              <w:rPr>
                <w:rFonts w:ascii="Times New Roman" w:eastAsia="Times New Roman" w:hAnsi="Times New Roman" w:cs="Times New Roman"/>
                <w:b/>
                <w:bCs/>
                <w:color w:val="000000"/>
                <w:sz w:val="18"/>
                <w:szCs w:val="18"/>
              </w:rPr>
              <w:t>Spoločen-stevné</w:t>
            </w:r>
            <w:proofErr w:type="spellEnd"/>
          </w:p>
        </w:tc>
        <w:tc>
          <w:tcPr>
            <w:tcW w:w="851" w:type="dxa"/>
            <w:tcBorders>
              <w:top w:val="nil"/>
              <w:left w:val="nil"/>
              <w:bottom w:val="nil"/>
              <w:right w:val="nil"/>
            </w:tcBorders>
            <w:shd w:val="clear" w:color="000000" w:fill="D9D9D9"/>
            <w:vAlign w:val="center"/>
            <w:hideMark/>
          </w:tcPr>
          <w:p w:rsidR="00E66206" w:rsidRPr="00E66206" w:rsidRDefault="00E66206" w:rsidP="00E66206">
            <w:pPr>
              <w:spacing w:after="0" w:line="240" w:lineRule="auto"/>
              <w:jc w:val="center"/>
              <w:rPr>
                <w:rFonts w:ascii="Times New Roman" w:eastAsia="Times New Roman" w:hAnsi="Times New Roman" w:cs="Times New Roman"/>
                <w:b/>
                <w:bCs/>
                <w:color w:val="000000"/>
                <w:sz w:val="18"/>
                <w:szCs w:val="18"/>
              </w:rPr>
            </w:pPr>
            <w:r w:rsidRPr="00E66206">
              <w:rPr>
                <w:rFonts w:ascii="Times New Roman" w:eastAsia="Times New Roman" w:hAnsi="Times New Roman" w:cs="Times New Roman"/>
                <w:b/>
                <w:bCs/>
                <w:color w:val="000000"/>
                <w:sz w:val="18"/>
                <w:szCs w:val="18"/>
              </w:rPr>
              <w:t>Cirkevné</w:t>
            </w:r>
          </w:p>
        </w:tc>
        <w:tc>
          <w:tcPr>
            <w:tcW w:w="850" w:type="dxa"/>
            <w:tcBorders>
              <w:top w:val="nil"/>
              <w:left w:val="nil"/>
              <w:bottom w:val="nil"/>
              <w:right w:val="nil"/>
            </w:tcBorders>
            <w:shd w:val="clear" w:color="000000" w:fill="D9D9D9"/>
            <w:vAlign w:val="center"/>
            <w:hideMark/>
          </w:tcPr>
          <w:p w:rsidR="00E66206" w:rsidRPr="00E66206" w:rsidRDefault="00E66206" w:rsidP="00E66206">
            <w:pPr>
              <w:spacing w:after="0" w:line="240" w:lineRule="auto"/>
              <w:jc w:val="center"/>
              <w:rPr>
                <w:rFonts w:ascii="Times New Roman" w:eastAsia="Times New Roman" w:hAnsi="Times New Roman" w:cs="Times New Roman"/>
                <w:b/>
                <w:bCs/>
                <w:color w:val="000000"/>
                <w:sz w:val="18"/>
                <w:szCs w:val="18"/>
              </w:rPr>
            </w:pPr>
            <w:proofErr w:type="spellStart"/>
            <w:r w:rsidRPr="00E66206">
              <w:rPr>
                <w:rFonts w:ascii="Times New Roman" w:eastAsia="Times New Roman" w:hAnsi="Times New Roman" w:cs="Times New Roman"/>
                <w:b/>
                <w:bCs/>
                <w:color w:val="000000"/>
                <w:sz w:val="18"/>
                <w:szCs w:val="18"/>
              </w:rPr>
              <w:t>Poľnoh</w:t>
            </w:r>
            <w:proofErr w:type="spellEnd"/>
            <w:r w:rsidRPr="00E66206">
              <w:rPr>
                <w:rFonts w:ascii="Times New Roman" w:eastAsia="Times New Roman" w:hAnsi="Times New Roman" w:cs="Times New Roman"/>
                <w:b/>
                <w:bCs/>
                <w:color w:val="000000"/>
                <w:sz w:val="18"/>
                <w:szCs w:val="18"/>
              </w:rPr>
              <w:t>. družstvá</w:t>
            </w:r>
          </w:p>
        </w:tc>
        <w:tc>
          <w:tcPr>
            <w:tcW w:w="851" w:type="dxa"/>
            <w:tcBorders>
              <w:top w:val="nil"/>
              <w:left w:val="nil"/>
              <w:bottom w:val="nil"/>
              <w:right w:val="nil"/>
            </w:tcBorders>
            <w:shd w:val="clear" w:color="000000" w:fill="D9D9D9"/>
            <w:vAlign w:val="center"/>
            <w:hideMark/>
          </w:tcPr>
          <w:p w:rsidR="00E66206" w:rsidRPr="00E66206" w:rsidRDefault="00E66206" w:rsidP="00E66206">
            <w:pPr>
              <w:spacing w:after="0" w:line="240" w:lineRule="auto"/>
              <w:jc w:val="center"/>
              <w:rPr>
                <w:rFonts w:ascii="Times New Roman" w:eastAsia="Times New Roman" w:hAnsi="Times New Roman" w:cs="Times New Roman"/>
                <w:b/>
                <w:bCs/>
                <w:color w:val="000000"/>
                <w:sz w:val="18"/>
                <w:szCs w:val="18"/>
              </w:rPr>
            </w:pPr>
            <w:r w:rsidRPr="00E66206">
              <w:rPr>
                <w:rFonts w:ascii="Times New Roman" w:eastAsia="Times New Roman" w:hAnsi="Times New Roman" w:cs="Times New Roman"/>
                <w:b/>
                <w:bCs/>
                <w:color w:val="000000"/>
                <w:sz w:val="18"/>
                <w:szCs w:val="18"/>
              </w:rPr>
              <w:t>Obecné</w:t>
            </w:r>
          </w:p>
        </w:tc>
        <w:tc>
          <w:tcPr>
            <w:tcW w:w="850" w:type="dxa"/>
            <w:tcBorders>
              <w:top w:val="nil"/>
              <w:left w:val="nil"/>
              <w:bottom w:val="nil"/>
              <w:right w:val="nil"/>
            </w:tcBorders>
            <w:shd w:val="clear" w:color="000000" w:fill="D9D9D9"/>
            <w:vAlign w:val="center"/>
            <w:hideMark/>
          </w:tcPr>
          <w:p w:rsidR="00E66206" w:rsidRPr="00E66206" w:rsidRDefault="00E66206" w:rsidP="00E66206">
            <w:pPr>
              <w:spacing w:after="0" w:line="240" w:lineRule="auto"/>
              <w:jc w:val="center"/>
              <w:rPr>
                <w:rFonts w:ascii="Times New Roman" w:eastAsia="Times New Roman" w:hAnsi="Times New Roman" w:cs="Times New Roman"/>
                <w:b/>
                <w:bCs/>
                <w:color w:val="000000"/>
                <w:sz w:val="18"/>
                <w:szCs w:val="18"/>
              </w:rPr>
            </w:pPr>
            <w:r w:rsidRPr="00E66206">
              <w:rPr>
                <w:rFonts w:ascii="Times New Roman" w:eastAsia="Times New Roman" w:hAnsi="Times New Roman" w:cs="Times New Roman"/>
                <w:b/>
                <w:bCs/>
                <w:color w:val="000000"/>
                <w:sz w:val="18"/>
                <w:szCs w:val="18"/>
              </w:rPr>
              <w:t>Neštátne spolu</w:t>
            </w:r>
          </w:p>
        </w:tc>
        <w:tc>
          <w:tcPr>
            <w:tcW w:w="959" w:type="dxa"/>
            <w:tcBorders>
              <w:top w:val="nil"/>
              <w:left w:val="nil"/>
              <w:bottom w:val="nil"/>
              <w:right w:val="nil"/>
            </w:tcBorders>
            <w:shd w:val="clear" w:color="000000" w:fill="D9D9D9"/>
            <w:vAlign w:val="center"/>
            <w:hideMark/>
          </w:tcPr>
          <w:p w:rsidR="00E66206" w:rsidRPr="00E66206" w:rsidRDefault="00E66206" w:rsidP="00E66206">
            <w:pPr>
              <w:spacing w:after="0" w:line="240" w:lineRule="auto"/>
              <w:jc w:val="center"/>
              <w:rPr>
                <w:rFonts w:ascii="Times New Roman" w:eastAsia="Times New Roman" w:hAnsi="Times New Roman" w:cs="Times New Roman"/>
                <w:b/>
                <w:bCs/>
                <w:color w:val="000000"/>
                <w:sz w:val="18"/>
                <w:szCs w:val="18"/>
              </w:rPr>
            </w:pPr>
            <w:r w:rsidRPr="00E66206">
              <w:rPr>
                <w:rFonts w:ascii="Times New Roman" w:eastAsia="Times New Roman" w:hAnsi="Times New Roman" w:cs="Times New Roman"/>
                <w:b/>
                <w:bCs/>
                <w:color w:val="000000"/>
                <w:sz w:val="18"/>
                <w:szCs w:val="18"/>
              </w:rPr>
              <w:t>Nezistené</w:t>
            </w:r>
          </w:p>
        </w:tc>
      </w:tr>
      <w:tr w:rsidR="0093017B" w:rsidRPr="00E66206" w:rsidTr="0093017B">
        <w:trPr>
          <w:trHeight w:val="495"/>
        </w:trPr>
        <w:tc>
          <w:tcPr>
            <w:tcW w:w="582" w:type="dxa"/>
            <w:tcBorders>
              <w:top w:val="nil"/>
              <w:left w:val="nil"/>
              <w:bottom w:val="single" w:sz="4" w:space="0" w:color="auto"/>
              <w:right w:val="nil"/>
            </w:tcBorders>
            <w:shd w:val="clear" w:color="000000" w:fill="D9D9D9"/>
            <w:vAlign w:val="center"/>
            <w:hideMark/>
          </w:tcPr>
          <w:p w:rsidR="00E66206" w:rsidRPr="00E66206" w:rsidRDefault="00E66206" w:rsidP="00E66206">
            <w:pPr>
              <w:spacing w:after="0" w:line="240" w:lineRule="auto"/>
              <w:jc w:val="center"/>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000000" w:fill="D9D9D9"/>
            <w:vAlign w:val="center"/>
            <w:hideMark/>
          </w:tcPr>
          <w:p w:rsidR="00E66206" w:rsidRPr="00E66206" w:rsidRDefault="00E66206" w:rsidP="00E66206">
            <w:pPr>
              <w:spacing w:after="0" w:line="240" w:lineRule="auto"/>
              <w:jc w:val="center"/>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 </w:t>
            </w:r>
          </w:p>
        </w:tc>
        <w:tc>
          <w:tcPr>
            <w:tcW w:w="6913" w:type="dxa"/>
            <w:gridSpan w:val="8"/>
            <w:tcBorders>
              <w:top w:val="nil"/>
              <w:left w:val="nil"/>
              <w:bottom w:val="single" w:sz="4" w:space="0" w:color="auto"/>
              <w:right w:val="nil"/>
            </w:tcBorders>
            <w:shd w:val="clear" w:color="000000" w:fill="D9D9D9"/>
            <w:vAlign w:val="center"/>
            <w:hideMark/>
          </w:tcPr>
          <w:p w:rsidR="00E66206" w:rsidRPr="00E66206" w:rsidRDefault="00E66206" w:rsidP="00E66206">
            <w:pPr>
              <w:spacing w:after="0" w:line="240" w:lineRule="auto"/>
              <w:jc w:val="center"/>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Porastová pôda (%) vo vlastníctve / v obhospodarovaní</w:t>
            </w:r>
          </w:p>
        </w:tc>
      </w:tr>
      <w:tr w:rsidR="0093017B" w:rsidRPr="00E66206" w:rsidTr="0093017B">
        <w:trPr>
          <w:trHeight w:val="300"/>
        </w:trPr>
        <w:tc>
          <w:tcPr>
            <w:tcW w:w="582" w:type="dxa"/>
            <w:vMerge w:val="restart"/>
            <w:tcBorders>
              <w:top w:val="nil"/>
              <w:left w:val="nil"/>
              <w:bottom w:val="nil"/>
              <w:right w:val="nil"/>
            </w:tcBorders>
            <w:shd w:val="clear" w:color="auto" w:fill="auto"/>
            <w:vAlign w:val="center"/>
            <w:hideMark/>
          </w:tcPr>
          <w:p w:rsidR="00E66206" w:rsidRPr="00E66206" w:rsidRDefault="00E66206" w:rsidP="00E66206">
            <w:pPr>
              <w:spacing w:after="0" w:line="240" w:lineRule="auto"/>
              <w:jc w:val="center"/>
              <w:rPr>
                <w:rFonts w:ascii="Times New Roman" w:eastAsia="Times New Roman" w:hAnsi="Times New Roman" w:cs="Times New Roman"/>
                <w:color w:val="000000"/>
                <w:sz w:val="18"/>
                <w:szCs w:val="18"/>
              </w:rPr>
            </w:pPr>
            <w:r w:rsidRPr="00E66206">
              <w:rPr>
                <w:rFonts w:ascii="Times New Roman" w:eastAsia="Times New Roman" w:hAnsi="Times New Roman" w:cs="Times New Roman"/>
                <w:bCs/>
                <w:color w:val="000000"/>
                <w:sz w:val="18"/>
                <w:szCs w:val="18"/>
              </w:rPr>
              <w:t>2011</w:t>
            </w:r>
          </w:p>
        </w:tc>
        <w:tc>
          <w:tcPr>
            <w:tcW w:w="1559" w:type="dxa"/>
            <w:tcBorders>
              <w:top w:val="nil"/>
              <w:left w:val="nil"/>
              <w:bottom w:val="nil"/>
              <w:right w:val="single" w:sz="4" w:space="0" w:color="auto"/>
            </w:tcBorders>
            <w:shd w:val="clear" w:color="auto" w:fill="auto"/>
            <w:vAlign w:val="center"/>
            <w:hideMark/>
          </w:tcPr>
          <w:p w:rsidR="00E66206" w:rsidRPr="00E66206" w:rsidRDefault="00E66206" w:rsidP="00E66206">
            <w:pPr>
              <w:spacing w:after="0" w:line="240" w:lineRule="auto"/>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vlastníctvo</w:t>
            </w:r>
          </w:p>
        </w:tc>
        <w:tc>
          <w:tcPr>
            <w:tcW w:w="709"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bCs/>
                <w:color w:val="000000"/>
                <w:sz w:val="18"/>
                <w:szCs w:val="18"/>
              </w:rPr>
              <w:t>40,8</w:t>
            </w:r>
          </w:p>
        </w:tc>
        <w:tc>
          <w:tcPr>
            <w:tcW w:w="993"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bCs/>
                <w:color w:val="000000"/>
                <w:sz w:val="18"/>
                <w:szCs w:val="18"/>
              </w:rPr>
              <w:t>11,3</w:t>
            </w:r>
          </w:p>
        </w:tc>
        <w:tc>
          <w:tcPr>
            <w:tcW w:w="850"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bCs/>
                <w:color w:val="000000"/>
                <w:sz w:val="18"/>
                <w:szCs w:val="18"/>
              </w:rPr>
              <w:t>24,5</w:t>
            </w:r>
          </w:p>
        </w:tc>
        <w:tc>
          <w:tcPr>
            <w:tcW w:w="851"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bCs/>
                <w:color w:val="000000"/>
                <w:sz w:val="18"/>
                <w:szCs w:val="18"/>
              </w:rPr>
              <w:t>2,9</w:t>
            </w:r>
          </w:p>
        </w:tc>
        <w:tc>
          <w:tcPr>
            <w:tcW w:w="850"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bCs/>
                <w:color w:val="000000"/>
                <w:sz w:val="18"/>
                <w:szCs w:val="18"/>
              </w:rPr>
              <w:t>0,3</w:t>
            </w:r>
          </w:p>
        </w:tc>
        <w:tc>
          <w:tcPr>
            <w:tcW w:w="851"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bCs/>
                <w:color w:val="000000"/>
                <w:sz w:val="18"/>
                <w:szCs w:val="18"/>
              </w:rPr>
              <w:t>9,4</w:t>
            </w:r>
          </w:p>
        </w:tc>
        <w:tc>
          <w:tcPr>
            <w:tcW w:w="850"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bCs/>
                <w:color w:val="000000"/>
                <w:sz w:val="18"/>
                <w:szCs w:val="18"/>
              </w:rPr>
              <w:t>48,3</w:t>
            </w:r>
          </w:p>
        </w:tc>
        <w:tc>
          <w:tcPr>
            <w:tcW w:w="959"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bCs/>
                <w:color w:val="000000"/>
                <w:sz w:val="18"/>
                <w:szCs w:val="18"/>
              </w:rPr>
              <w:t>10,9</w:t>
            </w:r>
          </w:p>
        </w:tc>
      </w:tr>
      <w:tr w:rsidR="0093017B" w:rsidRPr="00E66206" w:rsidTr="0093017B">
        <w:trPr>
          <w:trHeight w:val="300"/>
        </w:trPr>
        <w:tc>
          <w:tcPr>
            <w:tcW w:w="582" w:type="dxa"/>
            <w:vMerge/>
            <w:tcBorders>
              <w:top w:val="nil"/>
              <w:left w:val="nil"/>
              <w:bottom w:val="nil"/>
              <w:right w:val="nil"/>
            </w:tcBorders>
            <w:vAlign w:val="center"/>
            <w:hideMark/>
          </w:tcPr>
          <w:p w:rsidR="00E66206" w:rsidRPr="00E66206" w:rsidRDefault="00E66206" w:rsidP="00E66206">
            <w:pPr>
              <w:spacing w:after="0" w:line="240" w:lineRule="auto"/>
              <w:rPr>
                <w:rFonts w:ascii="Times New Roman" w:eastAsia="Times New Roman" w:hAnsi="Times New Roman" w:cs="Times New Roman"/>
                <w:color w:val="000000"/>
                <w:sz w:val="18"/>
                <w:szCs w:val="18"/>
              </w:rPr>
            </w:pPr>
          </w:p>
        </w:tc>
        <w:tc>
          <w:tcPr>
            <w:tcW w:w="1559" w:type="dxa"/>
            <w:tcBorders>
              <w:top w:val="nil"/>
              <w:left w:val="nil"/>
              <w:bottom w:val="nil"/>
              <w:right w:val="single" w:sz="4" w:space="0" w:color="auto"/>
            </w:tcBorders>
            <w:shd w:val="clear" w:color="auto" w:fill="auto"/>
            <w:vAlign w:val="center"/>
            <w:hideMark/>
          </w:tcPr>
          <w:p w:rsidR="00E66206" w:rsidRPr="00E66206" w:rsidRDefault="00E66206" w:rsidP="00E66206">
            <w:pPr>
              <w:spacing w:after="0" w:line="240" w:lineRule="auto"/>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obhospodarovanie</w:t>
            </w:r>
          </w:p>
        </w:tc>
        <w:tc>
          <w:tcPr>
            <w:tcW w:w="709"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bCs/>
                <w:color w:val="000000"/>
                <w:sz w:val="18"/>
                <w:szCs w:val="18"/>
              </w:rPr>
              <w:t>55,1</w:t>
            </w:r>
          </w:p>
        </w:tc>
        <w:tc>
          <w:tcPr>
            <w:tcW w:w="993"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bCs/>
                <w:color w:val="000000"/>
                <w:sz w:val="18"/>
                <w:szCs w:val="18"/>
              </w:rPr>
              <w:t>6,5</w:t>
            </w:r>
          </w:p>
        </w:tc>
        <w:tc>
          <w:tcPr>
            <w:tcW w:w="850"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bCs/>
                <w:color w:val="000000"/>
                <w:sz w:val="18"/>
                <w:szCs w:val="18"/>
              </w:rPr>
              <w:t>27,9</w:t>
            </w:r>
          </w:p>
        </w:tc>
        <w:tc>
          <w:tcPr>
            <w:tcW w:w="851"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bCs/>
                <w:color w:val="000000"/>
                <w:sz w:val="18"/>
                <w:szCs w:val="18"/>
              </w:rPr>
              <w:t>1,3</w:t>
            </w:r>
          </w:p>
        </w:tc>
        <w:tc>
          <w:tcPr>
            <w:tcW w:w="850"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bCs/>
                <w:color w:val="000000"/>
                <w:sz w:val="18"/>
                <w:szCs w:val="18"/>
              </w:rPr>
              <w:t>0,3</w:t>
            </w:r>
          </w:p>
        </w:tc>
        <w:tc>
          <w:tcPr>
            <w:tcW w:w="851"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bCs/>
                <w:color w:val="000000"/>
                <w:sz w:val="18"/>
                <w:szCs w:val="18"/>
              </w:rPr>
              <w:t>8,9</w:t>
            </w:r>
          </w:p>
        </w:tc>
        <w:tc>
          <w:tcPr>
            <w:tcW w:w="850"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bCs/>
                <w:color w:val="000000"/>
                <w:sz w:val="18"/>
                <w:szCs w:val="18"/>
              </w:rPr>
              <w:t>44,9</w:t>
            </w:r>
          </w:p>
        </w:tc>
        <w:tc>
          <w:tcPr>
            <w:tcW w:w="959"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bCs/>
                <w:color w:val="000000"/>
                <w:sz w:val="18"/>
                <w:szCs w:val="18"/>
              </w:rPr>
              <w:t>-</w:t>
            </w:r>
          </w:p>
        </w:tc>
      </w:tr>
      <w:tr w:rsidR="00E66206" w:rsidRPr="0093017B" w:rsidTr="0093017B">
        <w:trPr>
          <w:trHeight w:val="300"/>
        </w:trPr>
        <w:tc>
          <w:tcPr>
            <w:tcW w:w="582" w:type="dxa"/>
            <w:vMerge w:val="restart"/>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center"/>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2010</w:t>
            </w:r>
          </w:p>
        </w:tc>
        <w:tc>
          <w:tcPr>
            <w:tcW w:w="1559" w:type="dxa"/>
            <w:tcBorders>
              <w:top w:val="nil"/>
              <w:left w:val="nil"/>
              <w:bottom w:val="nil"/>
              <w:right w:val="single" w:sz="4" w:space="0" w:color="auto"/>
            </w:tcBorders>
            <w:shd w:val="clear" w:color="000000" w:fill="F2F2F2"/>
            <w:vAlign w:val="center"/>
            <w:hideMark/>
          </w:tcPr>
          <w:p w:rsidR="00E66206" w:rsidRPr="00E66206" w:rsidRDefault="00E66206" w:rsidP="00E66206">
            <w:pPr>
              <w:spacing w:after="0" w:line="240" w:lineRule="auto"/>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vlastníctvo</w:t>
            </w:r>
          </w:p>
        </w:tc>
        <w:tc>
          <w:tcPr>
            <w:tcW w:w="709"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40,9</w:t>
            </w:r>
          </w:p>
        </w:tc>
        <w:tc>
          <w:tcPr>
            <w:tcW w:w="993"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12,3</w:t>
            </w:r>
          </w:p>
        </w:tc>
        <w:tc>
          <w:tcPr>
            <w:tcW w:w="850"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25</w:t>
            </w:r>
          </w:p>
        </w:tc>
        <w:tc>
          <w:tcPr>
            <w:tcW w:w="851"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2,9</w:t>
            </w:r>
          </w:p>
        </w:tc>
        <w:tc>
          <w:tcPr>
            <w:tcW w:w="850"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0,3</w:t>
            </w:r>
          </w:p>
        </w:tc>
        <w:tc>
          <w:tcPr>
            <w:tcW w:w="851"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9,4</w:t>
            </w:r>
          </w:p>
        </w:tc>
        <w:tc>
          <w:tcPr>
            <w:tcW w:w="850"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49,9</w:t>
            </w:r>
          </w:p>
        </w:tc>
        <w:tc>
          <w:tcPr>
            <w:tcW w:w="959"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9,2</w:t>
            </w:r>
          </w:p>
        </w:tc>
      </w:tr>
      <w:tr w:rsidR="00E66206" w:rsidRPr="0093017B" w:rsidTr="0093017B">
        <w:trPr>
          <w:trHeight w:val="300"/>
        </w:trPr>
        <w:tc>
          <w:tcPr>
            <w:tcW w:w="582" w:type="dxa"/>
            <w:vMerge/>
            <w:tcBorders>
              <w:top w:val="nil"/>
              <w:left w:val="nil"/>
              <w:bottom w:val="nil"/>
              <w:right w:val="nil"/>
            </w:tcBorders>
            <w:vAlign w:val="center"/>
            <w:hideMark/>
          </w:tcPr>
          <w:p w:rsidR="00E66206" w:rsidRPr="00E66206" w:rsidRDefault="00E66206" w:rsidP="00E66206">
            <w:pPr>
              <w:spacing w:after="0" w:line="240" w:lineRule="auto"/>
              <w:rPr>
                <w:rFonts w:ascii="Times New Roman" w:eastAsia="Times New Roman" w:hAnsi="Times New Roman" w:cs="Times New Roman"/>
                <w:color w:val="000000"/>
                <w:sz w:val="18"/>
                <w:szCs w:val="18"/>
              </w:rPr>
            </w:pPr>
          </w:p>
        </w:tc>
        <w:tc>
          <w:tcPr>
            <w:tcW w:w="1559" w:type="dxa"/>
            <w:tcBorders>
              <w:top w:val="nil"/>
              <w:left w:val="nil"/>
              <w:bottom w:val="nil"/>
              <w:right w:val="single" w:sz="4" w:space="0" w:color="auto"/>
            </w:tcBorders>
            <w:shd w:val="clear" w:color="000000" w:fill="F2F2F2"/>
            <w:vAlign w:val="center"/>
            <w:hideMark/>
          </w:tcPr>
          <w:p w:rsidR="00E66206" w:rsidRPr="00E66206" w:rsidRDefault="00E66206" w:rsidP="00E66206">
            <w:pPr>
              <w:spacing w:after="0" w:line="240" w:lineRule="auto"/>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obhospodarovanie</w:t>
            </w:r>
          </w:p>
        </w:tc>
        <w:tc>
          <w:tcPr>
            <w:tcW w:w="709"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55,4</w:t>
            </w:r>
          </w:p>
        </w:tc>
        <w:tc>
          <w:tcPr>
            <w:tcW w:w="993"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6,4</w:t>
            </w:r>
          </w:p>
        </w:tc>
        <w:tc>
          <w:tcPr>
            <w:tcW w:w="850"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27,4</w:t>
            </w:r>
          </w:p>
        </w:tc>
        <w:tc>
          <w:tcPr>
            <w:tcW w:w="851"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1,4</w:t>
            </w:r>
          </w:p>
        </w:tc>
        <w:tc>
          <w:tcPr>
            <w:tcW w:w="850"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0,3</w:t>
            </w:r>
          </w:p>
        </w:tc>
        <w:tc>
          <w:tcPr>
            <w:tcW w:w="851"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9,1</w:t>
            </w:r>
          </w:p>
        </w:tc>
        <w:tc>
          <w:tcPr>
            <w:tcW w:w="850"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45,6</w:t>
            </w:r>
          </w:p>
        </w:tc>
        <w:tc>
          <w:tcPr>
            <w:tcW w:w="959"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w:t>
            </w:r>
          </w:p>
        </w:tc>
      </w:tr>
      <w:tr w:rsidR="0093017B" w:rsidRPr="00E66206" w:rsidTr="0093017B">
        <w:trPr>
          <w:trHeight w:val="300"/>
        </w:trPr>
        <w:tc>
          <w:tcPr>
            <w:tcW w:w="582" w:type="dxa"/>
            <w:vMerge w:val="restart"/>
            <w:tcBorders>
              <w:top w:val="nil"/>
              <w:left w:val="nil"/>
              <w:bottom w:val="nil"/>
              <w:right w:val="nil"/>
            </w:tcBorders>
            <w:shd w:val="clear" w:color="auto" w:fill="auto"/>
            <w:vAlign w:val="center"/>
            <w:hideMark/>
          </w:tcPr>
          <w:p w:rsidR="00E66206" w:rsidRPr="00E66206" w:rsidRDefault="00E66206" w:rsidP="00E66206">
            <w:pPr>
              <w:spacing w:after="0" w:line="240" w:lineRule="auto"/>
              <w:jc w:val="center"/>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2009</w:t>
            </w:r>
          </w:p>
        </w:tc>
        <w:tc>
          <w:tcPr>
            <w:tcW w:w="1559" w:type="dxa"/>
            <w:tcBorders>
              <w:top w:val="nil"/>
              <w:left w:val="nil"/>
              <w:bottom w:val="nil"/>
              <w:right w:val="single" w:sz="4" w:space="0" w:color="auto"/>
            </w:tcBorders>
            <w:shd w:val="clear" w:color="auto" w:fill="auto"/>
            <w:vAlign w:val="center"/>
            <w:hideMark/>
          </w:tcPr>
          <w:p w:rsidR="00E66206" w:rsidRPr="00E66206" w:rsidRDefault="00E66206" w:rsidP="00E66206">
            <w:pPr>
              <w:spacing w:after="0" w:line="240" w:lineRule="auto"/>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vlastníctvo</w:t>
            </w:r>
          </w:p>
        </w:tc>
        <w:tc>
          <w:tcPr>
            <w:tcW w:w="709"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40,9</w:t>
            </w:r>
          </w:p>
        </w:tc>
        <w:tc>
          <w:tcPr>
            <w:tcW w:w="993"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13,4</w:t>
            </w:r>
          </w:p>
        </w:tc>
        <w:tc>
          <w:tcPr>
            <w:tcW w:w="850"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26</w:t>
            </w:r>
          </w:p>
        </w:tc>
        <w:tc>
          <w:tcPr>
            <w:tcW w:w="851"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3</w:t>
            </w:r>
          </w:p>
        </w:tc>
        <w:tc>
          <w:tcPr>
            <w:tcW w:w="850"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0,3</w:t>
            </w:r>
          </w:p>
        </w:tc>
        <w:tc>
          <w:tcPr>
            <w:tcW w:w="851"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9,7</w:t>
            </w:r>
          </w:p>
        </w:tc>
        <w:tc>
          <w:tcPr>
            <w:tcW w:w="850"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52,4</w:t>
            </w:r>
          </w:p>
        </w:tc>
        <w:tc>
          <w:tcPr>
            <w:tcW w:w="959"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6,7</w:t>
            </w:r>
          </w:p>
        </w:tc>
      </w:tr>
      <w:tr w:rsidR="0093017B" w:rsidRPr="00E66206" w:rsidTr="0093017B">
        <w:trPr>
          <w:trHeight w:val="300"/>
        </w:trPr>
        <w:tc>
          <w:tcPr>
            <w:tcW w:w="582" w:type="dxa"/>
            <w:vMerge/>
            <w:tcBorders>
              <w:top w:val="nil"/>
              <w:left w:val="nil"/>
              <w:bottom w:val="nil"/>
              <w:right w:val="nil"/>
            </w:tcBorders>
            <w:vAlign w:val="center"/>
            <w:hideMark/>
          </w:tcPr>
          <w:p w:rsidR="00E66206" w:rsidRPr="00E66206" w:rsidRDefault="00E66206" w:rsidP="00E66206">
            <w:pPr>
              <w:spacing w:after="0" w:line="240" w:lineRule="auto"/>
              <w:rPr>
                <w:rFonts w:ascii="Times New Roman" w:eastAsia="Times New Roman" w:hAnsi="Times New Roman" w:cs="Times New Roman"/>
                <w:color w:val="000000"/>
                <w:sz w:val="18"/>
                <w:szCs w:val="18"/>
              </w:rPr>
            </w:pPr>
          </w:p>
        </w:tc>
        <w:tc>
          <w:tcPr>
            <w:tcW w:w="1559" w:type="dxa"/>
            <w:tcBorders>
              <w:top w:val="nil"/>
              <w:left w:val="nil"/>
              <w:bottom w:val="nil"/>
              <w:right w:val="single" w:sz="4" w:space="0" w:color="auto"/>
            </w:tcBorders>
            <w:shd w:val="clear" w:color="auto" w:fill="auto"/>
            <w:vAlign w:val="center"/>
            <w:hideMark/>
          </w:tcPr>
          <w:p w:rsidR="00E66206" w:rsidRPr="00E66206" w:rsidRDefault="00E66206" w:rsidP="00E66206">
            <w:pPr>
              <w:spacing w:after="0" w:line="240" w:lineRule="auto"/>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obhospodarovanie</w:t>
            </w:r>
          </w:p>
        </w:tc>
        <w:tc>
          <w:tcPr>
            <w:tcW w:w="709"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54,8</w:t>
            </w:r>
          </w:p>
        </w:tc>
        <w:tc>
          <w:tcPr>
            <w:tcW w:w="993"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6,9</w:t>
            </w:r>
          </w:p>
        </w:tc>
        <w:tc>
          <w:tcPr>
            <w:tcW w:w="850"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27,4</w:t>
            </w:r>
          </w:p>
        </w:tc>
        <w:tc>
          <w:tcPr>
            <w:tcW w:w="851"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1,6</w:t>
            </w:r>
          </w:p>
        </w:tc>
        <w:tc>
          <w:tcPr>
            <w:tcW w:w="850"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0,3</w:t>
            </w:r>
          </w:p>
        </w:tc>
        <w:tc>
          <w:tcPr>
            <w:tcW w:w="851"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9</w:t>
            </w:r>
          </w:p>
        </w:tc>
        <w:tc>
          <w:tcPr>
            <w:tcW w:w="850"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45,2</w:t>
            </w:r>
          </w:p>
        </w:tc>
        <w:tc>
          <w:tcPr>
            <w:tcW w:w="959"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w:t>
            </w:r>
          </w:p>
        </w:tc>
      </w:tr>
      <w:tr w:rsidR="00E66206" w:rsidRPr="0093017B" w:rsidTr="0093017B">
        <w:trPr>
          <w:trHeight w:val="300"/>
        </w:trPr>
        <w:tc>
          <w:tcPr>
            <w:tcW w:w="582" w:type="dxa"/>
            <w:vMerge w:val="restart"/>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center"/>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2008</w:t>
            </w:r>
          </w:p>
        </w:tc>
        <w:tc>
          <w:tcPr>
            <w:tcW w:w="1559" w:type="dxa"/>
            <w:tcBorders>
              <w:top w:val="nil"/>
              <w:left w:val="nil"/>
              <w:bottom w:val="nil"/>
              <w:right w:val="single" w:sz="4" w:space="0" w:color="auto"/>
            </w:tcBorders>
            <w:shd w:val="clear" w:color="000000" w:fill="F2F2F2"/>
            <w:vAlign w:val="center"/>
            <w:hideMark/>
          </w:tcPr>
          <w:p w:rsidR="00E66206" w:rsidRPr="00E66206" w:rsidRDefault="00E66206" w:rsidP="00E66206">
            <w:pPr>
              <w:spacing w:after="0" w:line="240" w:lineRule="auto"/>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vlastníctvo</w:t>
            </w:r>
          </w:p>
        </w:tc>
        <w:tc>
          <w:tcPr>
            <w:tcW w:w="709"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40,2</w:t>
            </w:r>
          </w:p>
        </w:tc>
        <w:tc>
          <w:tcPr>
            <w:tcW w:w="993"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13</w:t>
            </w:r>
          </w:p>
        </w:tc>
        <w:tc>
          <w:tcPr>
            <w:tcW w:w="850"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25,6</w:t>
            </w:r>
          </w:p>
        </w:tc>
        <w:tc>
          <w:tcPr>
            <w:tcW w:w="851"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3</w:t>
            </w:r>
          </w:p>
        </w:tc>
        <w:tc>
          <w:tcPr>
            <w:tcW w:w="850"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0,2</w:t>
            </w:r>
          </w:p>
        </w:tc>
        <w:tc>
          <w:tcPr>
            <w:tcW w:w="851"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9,7</w:t>
            </w:r>
          </w:p>
        </w:tc>
        <w:tc>
          <w:tcPr>
            <w:tcW w:w="850"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51,5</w:t>
            </w:r>
          </w:p>
        </w:tc>
        <w:tc>
          <w:tcPr>
            <w:tcW w:w="959"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8,2</w:t>
            </w:r>
          </w:p>
        </w:tc>
      </w:tr>
      <w:tr w:rsidR="00E66206" w:rsidRPr="0093017B" w:rsidTr="0093017B">
        <w:trPr>
          <w:trHeight w:val="300"/>
        </w:trPr>
        <w:tc>
          <w:tcPr>
            <w:tcW w:w="582" w:type="dxa"/>
            <w:vMerge/>
            <w:tcBorders>
              <w:top w:val="nil"/>
              <w:left w:val="nil"/>
              <w:bottom w:val="nil"/>
              <w:right w:val="nil"/>
            </w:tcBorders>
            <w:vAlign w:val="center"/>
            <w:hideMark/>
          </w:tcPr>
          <w:p w:rsidR="00E66206" w:rsidRPr="00E66206" w:rsidRDefault="00E66206" w:rsidP="00E66206">
            <w:pPr>
              <w:spacing w:after="0" w:line="240" w:lineRule="auto"/>
              <w:rPr>
                <w:rFonts w:ascii="Times New Roman" w:eastAsia="Times New Roman" w:hAnsi="Times New Roman" w:cs="Times New Roman"/>
                <w:color w:val="000000"/>
                <w:sz w:val="18"/>
                <w:szCs w:val="18"/>
              </w:rPr>
            </w:pPr>
          </w:p>
        </w:tc>
        <w:tc>
          <w:tcPr>
            <w:tcW w:w="1559" w:type="dxa"/>
            <w:tcBorders>
              <w:top w:val="nil"/>
              <w:left w:val="nil"/>
              <w:bottom w:val="nil"/>
              <w:right w:val="single" w:sz="4" w:space="0" w:color="auto"/>
            </w:tcBorders>
            <w:shd w:val="clear" w:color="000000" w:fill="F2F2F2"/>
            <w:vAlign w:val="center"/>
            <w:hideMark/>
          </w:tcPr>
          <w:p w:rsidR="00E66206" w:rsidRPr="00E66206" w:rsidRDefault="00E66206" w:rsidP="00E66206">
            <w:pPr>
              <w:spacing w:after="0" w:line="240" w:lineRule="auto"/>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obhospodarovanie</w:t>
            </w:r>
          </w:p>
        </w:tc>
        <w:tc>
          <w:tcPr>
            <w:tcW w:w="709"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55,1</w:t>
            </w:r>
          </w:p>
        </w:tc>
        <w:tc>
          <w:tcPr>
            <w:tcW w:w="993"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7,2</w:t>
            </w:r>
          </w:p>
        </w:tc>
        <w:tc>
          <w:tcPr>
            <w:tcW w:w="850"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26,9</w:t>
            </w:r>
          </w:p>
        </w:tc>
        <w:tc>
          <w:tcPr>
            <w:tcW w:w="851"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1,7</w:t>
            </w:r>
          </w:p>
        </w:tc>
        <w:tc>
          <w:tcPr>
            <w:tcW w:w="850"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0,3</w:t>
            </w:r>
          </w:p>
        </w:tc>
        <w:tc>
          <w:tcPr>
            <w:tcW w:w="851"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8,8</w:t>
            </w:r>
          </w:p>
        </w:tc>
        <w:tc>
          <w:tcPr>
            <w:tcW w:w="850"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44,9</w:t>
            </w:r>
          </w:p>
        </w:tc>
        <w:tc>
          <w:tcPr>
            <w:tcW w:w="959"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w:t>
            </w:r>
          </w:p>
        </w:tc>
      </w:tr>
      <w:tr w:rsidR="0093017B" w:rsidRPr="00E66206" w:rsidTr="0093017B">
        <w:trPr>
          <w:trHeight w:val="300"/>
        </w:trPr>
        <w:tc>
          <w:tcPr>
            <w:tcW w:w="582" w:type="dxa"/>
            <w:vMerge w:val="restart"/>
            <w:tcBorders>
              <w:top w:val="nil"/>
              <w:left w:val="nil"/>
              <w:bottom w:val="nil"/>
              <w:right w:val="nil"/>
            </w:tcBorders>
            <w:shd w:val="clear" w:color="auto" w:fill="auto"/>
            <w:vAlign w:val="center"/>
            <w:hideMark/>
          </w:tcPr>
          <w:p w:rsidR="00E66206" w:rsidRPr="00E66206" w:rsidRDefault="00E66206" w:rsidP="00E66206">
            <w:pPr>
              <w:spacing w:after="0" w:line="240" w:lineRule="auto"/>
              <w:jc w:val="center"/>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2007</w:t>
            </w:r>
          </w:p>
        </w:tc>
        <w:tc>
          <w:tcPr>
            <w:tcW w:w="1559" w:type="dxa"/>
            <w:tcBorders>
              <w:top w:val="nil"/>
              <w:left w:val="nil"/>
              <w:bottom w:val="nil"/>
              <w:right w:val="single" w:sz="4" w:space="0" w:color="auto"/>
            </w:tcBorders>
            <w:shd w:val="clear" w:color="auto" w:fill="auto"/>
            <w:vAlign w:val="center"/>
            <w:hideMark/>
          </w:tcPr>
          <w:p w:rsidR="00E66206" w:rsidRPr="00E66206" w:rsidRDefault="00E66206" w:rsidP="00E66206">
            <w:pPr>
              <w:spacing w:after="0" w:line="240" w:lineRule="auto"/>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vlastníctvo</w:t>
            </w:r>
          </w:p>
        </w:tc>
        <w:tc>
          <w:tcPr>
            <w:tcW w:w="709"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41,4</w:t>
            </w:r>
          </w:p>
        </w:tc>
        <w:tc>
          <w:tcPr>
            <w:tcW w:w="993"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14,3</w:t>
            </w:r>
          </w:p>
        </w:tc>
        <w:tc>
          <w:tcPr>
            <w:tcW w:w="850"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25,5</w:t>
            </w:r>
          </w:p>
        </w:tc>
        <w:tc>
          <w:tcPr>
            <w:tcW w:w="851"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3,2</w:t>
            </w:r>
          </w:p>
        </w:tc>
        <w:tc>
          <w:tcPr>
            <w:tcW w:w="850"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0,2</w:t>
            </w:r>
          </w:p>
        </w:tc>
        <w:tc>
          <w:tcPr>
            <w:tcW w:w="851"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9,8</w:t>
            </w:r>
          </w:p>
        </w:tc>
        <w:tc>
          <w:tcPr>
            <w:tcW w:w="850"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53</w:t>
            </w:r>
          </w:p>
        </w:tc>
        <w:tc>
          <w:tcPr>
            <w:tcW w:w="959"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5,6</w:t>
            </w:r>
          </w:p>
        </w:tc>
      </w:tr>
      <w:tr w:rsidR="0093017B" w:rsidRPr="00E66206" w:rsidTr="0093017B">
        <w:trPr>
          <w:trHeight w:val="300"/>
        </w:trPr>
        <w:tc>
          <w:tcPr>
            <w:tcW w:w="582" w:type="dxa"/>
            <w:vMerge/>
            <w:tcBorders>
              <w:top w:val="nil"/>
              <w:left w:val="nil"/>
              <w:bottom w:val="nil"/>
              <w:right w:val="nil"/>
            </w:tcBorders>
            <w:vAlign w:val="center"/>
            <w:hideMark/>
          </w:tcPr>
          <w:p w:rsidR="00E66206" w:rsidRPr="00E66206" w:rsidRDefault="00E66206" w:rsidP="00E66206">
            <w:pPr>
              <w:spacing w:after="0" w:line="240" w:lineRule="auto"/>
              <w:rPr>
                <w:rFonts w:ascii="Times New Roman" w:eastAsia="Times New Roman" w:hAnsi="Times New Roman" w:cs="Times New Roman"/>
                <w:color w:val="000000"/>
                <w:sz w:val="18"/>
                <w:szCs w:val="18"/>
              </w:rPr>
            </w:pPr>
          </w:p>
        </w:tc>
        <w:tc>
          <w:tcPr>
            <w:tcW w:w="1559" w:type="dxa"/>
            <w:tcBorders>
              <w:top w:val="nil"/>
              <w:left w:val="nil"/>
              <w:bottom w:val="nil"/>
              <w:right w:val="single" w:sz="4" w:space="0" w:color="auto"/>
            </w:tcBorders>
            <w:shd w:val="clear" w:color="auto" w:fill="auto"/>
            <w:vAlign w:val="center"/>
            <w:hideMark/>
          </w:tcPr>
          <w:p w:rsidR="00E66206" w:rsidRPr="00E66206" w:rsidRDefault="00E66206" w:rsidP="00E66206">
            <w:pPr>
              <w:spacing w:after="0" w:line="240" w:lineRule="auto"/>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obhospodarovanie</w:t>
            </w:r>
          </w:p>
        </w:tc>
        <w:tc>
          <w:tcPr>
            <w:tcW w:w="709"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55,5</w:t>
            </w:r>
          </w:p>
        </w:tc>
        <w:tc>
          <w:tcPr>
            <w:tcW w:w="993"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7,2</w:t>
            </w:r>
          </w:p>
        </w:tc>
        <w:tc>
          <w:tcPr>
            <w:tcW w:w="850"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26</w:t>
            </w:r>
          </w:p>
        </w:tc>
        <w:tc>
          <w:tcPr>
            <w:tcW w:w="851"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2,1</w:t>
            </w:r>
          </w:p>
        </w:tc>
        <w:tc>
          <w:tcPr>
            <w:tcW w:w="850"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0,3</w:t>
            </w:r>
          </w:p>
        </w:tc>
        <w:tc>
          <w:tcPr>
            <w:tcW w:w="851"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8,9</w:t>
            </w:r>
          </w:p>
        </w:tc>
        <w:tc>
          <w:tcPr>
            <w:tcW w:w="850"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44,5</w:t>
            </w:r>
          </w:p>
        </w:tc>
        <w:tc>
          <w:tcPr>
            <w:tcW w:w="959" w:type="dxa"/>
            <w:tcBorders>
              <w:top w:val="nil"/>
              <w:left w:val="nil"/>
              <w:bottom w:val="nil"/>
              <w:right w:val="nil"/>
            </w:tcBorders>
            <w:shd w:val="clear" w:color="auto" w:fill="auto"/>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w:t>
            </w:r>
          </w:p>
        </w:tc>
      </w:tr>
      <w:tr w:rsidR="00E66206" w:rsidRPr="0093017B" w:rsidTr="0093017B">
        <w:trPr>
          <w:trHeight w:val="300"/>
        </w:trPr>
        <w:tc>
          <w:tcPr>
            <w:tcW w:w="582" w:type="dxa"/>
            <w:vMerge w:val="restart"/>
            <w:tcBorders>
              <w:top w:val="nil"/>
              <w:left w:val="nil"/>
              <w:bottom w:val="single" w:sz="4" w:space="0" w:color="000000"/>
              <w:right w:val="nil"/>
            </w:tcBorders>
            <w:shd w:val="clear" w:color="000000" w:fill="F2F2F2"/>
            <w:vAlign w:val="center"/>
            <w:hideMark/>
          </w:tcPr>
          <w:p w:rsidR="00E66206" w:rsidRPr="00E66206" w:rsidRDefault="00E66206" w:rsidP="00E66206">
            <w:pPr>
              <w:spacing w:after="0" w:line="240" w:lineRule="auto"/>
              <w:jc w:val="center"/>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2002</w:t>
            </w:r>
          </w:p>
        </w:tc>
        <w:tc>
          <w:tcPr>
            <w:tcW w:w="1559" w:type="dxa"/>
            <w:tcBorders>
              <w:top w:val="nil"/>
              <w:left w:val="nil"/>
              <w:bottom w:val="nil"/>
              <w:right w:val="single" w:sz="4" w:space="0" w:color="auto"/>
            </w:tcBorders>
            <w:shd w:val="clear" w:color="000000" w:fill="F2F2F2"/>
            <w:vAlign w:val="center"/>
            <w:hideMark/>
          </w:tcPr>
          <w:p w:rsidR="00E66206" w:rsidRPr="00E66206" w:rsidRDefault="00E66206" w:rsidP="00E66206">
            <w:pPr>
              <w:spacing w:after="0" w:line="240" w:lineRule="auto"/>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vlastníctvo</w:t>
            </w:r>
          </w:p>
        </w:tc>
        <w:tc>
          <w:tcPr>
            <w:tcW w:w="709"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42,8</w:t>
            </w:r>
          </w:p>
        </w:tc>
        <w:tc>
          <w:tcPr>
            <w:tcW w:w="993"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12,9</w:t>
            </w:r>
          </w:p>
        </w:tc>
        <w:tc>
          <w:tcPr>
            <w:tcW w:w="850"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24</w:t>
            </w:r>
          </w:p>
        </w:tc>
        <w:tc>
          <w:tcPr>
            <w:tcW w:w="851"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3,2</w:t>
            </w:r>
          </w:p>
        </w:tc>
        <w:tc>
          <w:tcPr>
            <w:tcW w:w="850"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0,1</w:t>
            </w:r>
          </w:p>
        </w:tc>
        <w:tc>
          <w:tcPr>
            <w:tcW w:w="851"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9,7</w:t>
            </w:r>
          </w:p>
        </w:tc>
        <w:tc>
          <w:tcPr>
            <w:tcW w:w="850"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49,9</w:t>
            </w:r>
          </w:p>
        </w:tc>
        <w:tc>
          <w:tcPr>
            <w:tcW w:w="959" w:type="dxa"/>
            <w:tcBorders>
              <w:top w:val="nil"/>
              <w:left w:val="nil"/>
              <w:bottom w:val="nil"/>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7,3</w:t>
            </w:r>
          </w:p>
        </w:tc>
      </w:tr>
      <w:tr w:rsidR="00E66206" w:rsidRPr="0093017B" w:rsidTr="0093017B">
        <w:trPr>
          <w:trHeight w:val="300"/>
        </w:trPr>
        <w:tc>
          <w:tcPr>
            <w:tcW w:w="582" w:type="dxa"/>
            <w:vMerge/>
            <w:tcBorders>
              <w:top w:val="nil"/>
              <w:left w:val="nil"/>
              <w:bottom w:val="single" w:sz="4" w:space="0" w:color="000000"/>
              <w:right w:val="nil"/>
            </w:tcBorders>
            <w:vAlign w:val="center"/>
            <w:hideMark/>
          </w:tcPr>
          <w:p w:rsidR="00E66206" w:rsidRPr="00E66206" w:rsidRDefault="00E66206" w:rsidP="00E66206">
            <w:pPr>
              <w:spacing w:after="0" w:line="240" w:lineRule="auto"/>
              <w:rPr>
                <w:rFonts w:ascii="Times New Roman" w:eastAsia="Times New Roman" w:hAnsi="Times New Roman" w:cs="Times New Roman"/>
                <w:color w:val="000000"/>
                <w:sz w:val="18"/>
                <w:szCs w:val="18"/>
              </w:rPr>
            </w:pPr>
          </w:p>
        </w:tc>
        <w:tc>
          <w:tcPr>
            <w:tcW w:w="1559" w:type="dxa"/>
            <w:tcBorders>
              <w:top w:val="nil"/>
              <w:left w:val="nil"/>
              <w:bottom w:val="single" w:sz="4" w:space="0" w:color="auto"/>
              <w:right w:val="single" w:sz="4" w:space="0" w:color="auto"/>
            </w:tcBorders>
            <w:shd w:val="clear" w:color="000000" w:fill="F2F2F2"/>
            <w:vAlign w:val="center"/>
            <w:hideMark/>
          </w:tcPr>
          <w:p w:rsidR="00E66206" w:rsidRPr="00E66206" w:rsidRDefault="00E66206" w:rsidP="00E66206">
            <w:pPr>
              <w:spacing w:after="0" w:line="240" w:lineRule="auto"/>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obhospodarovanie</w:t>
            </w:r>
          </w:p>
        </w:tc>
        <w:tc>
          <w:tcPr>
            <w:tcW w:w="709" w:type="dxa"/>
            <w:tcBorders>
              <w:top w:val="nil"/>
              <w:left w:val="nil"/>
              <w:bottom w:val="single" w:sz="4" w:space="0" w:color="auto"/>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62,3</w:t>
            </w:r>
          </w:p>
        </w:tc>
        <w:tc>
          <w:tcPr>
            <w:tcW w:w="993" w:type="dxa"/>
            <w:tcBorders>
              <w:top w:val="nil"/>
              <w:left w:val="nil"/>
              <w:bottom w:val="single" w:sz="4" w:space="0" w:color="auto"/>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6,1</w:t>
            </w:r>
          </w:p>
        </w:tc>
        <w:tc>
          <w:tcPr>
            <w:tcW w:w="850" w:type="dxa"/>
            <w:tcBorders>
              <w:top w:val="nil"/>
              <w:left w:val="nil"/>
              <w:bottom w:val="single" w:sz="4" w:space="0" w:color="auto"/>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20,6</w:t>
            </w:r>
          </w:p>
        </w:tc>
        <w:tc>
          <w:tcPr>
            <w:tcW w:w="851" w:type="dxa"/>
            <w:tcBorders>
              <w:top w:val="nil"/>
              <w:left w:val="nil"/>
              <w:bottom w:val="single" w:sz="4" w:space="0" w:color="auto"/>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2,1</w:t>
            </w:r>
          </w:p>
        </w:tc>
        <w:tc>
          <w:tcPr>
            <w:tcW w:w="850" w:type="dxa"/>
            <w:tcBorders>
              <w:top w:val="nil"/>
              <w:left w:val="nil"/>
              <w:bottom w:val="single" w:sz="4" w:space="0" w:color="auto"/>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0,2</w:t>
            </w:r>
          </w:p>
        </w:tc>
        <w:tc>
          <w:tcPr>
            <w:tcW w:w="851" w:type="dxa"/>
            <w:tcBorders>
              <w:top w:val="nil"/>
              <w:left w:val="nil"/>
              <w:bottom w:val="single" w:sz="4" w:space="0" w:color="auto"/>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8,7</w:t>
            </w:r>
          </w:p>
        </w:tc>
        <w:tc>
          <w:tcPr>
            <w:tcW w:w="850" w:type="dxa"/>
            <w:tcBorders>
              <w:top w:val="nil"/>
              <w:left w:val="nil"/>
              <w:bottom w:val="single" w:sz="4" w:space="0" w:color="auto"/>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37,7</w:t>
            </w:r>
          </w:p>
        </w:tc>
        <w:tc>
          <w:tcPr>
            <w:tcW w:w="959" w:type="dxa"/>
            <w:tcBorders>
              <w:top w:val="nil"/>
              <w:left w:val="nil"/>
              <w:bottom w:val="single" w:sz="4" w:space="0" w:color="auto"/>
              <w:right w:val="nil"/>
            </w:tcBorders>
            <w:shd w:val="clear" w:color="000000" w:fill="F2F2F2"/>
            <w:vAlign w:val="center"/>
            <w:hideMark/>
          </w:tcPr>
          <w:p w:rsidR="00E66206" w:rsidRPr="00E66206" w:rsidRDefault="00E66206" w:rsidP="00E66206">
            <w:pPr>
              <w:spacing w:after="0" w:line="240" w:lineRule="auto"/>
              <w:jc w:val="right"/>
              <w:rPr>
                <w:rFonts w:ascii="Times New Roman" w:eastAsia="Times New Roman" w:hAnsi="Times New Roman" w:cs="Times New Roman"/>
                <w:color w:val="000000"/>
                <w:sz w:val="18"/>
                <w:szCs w:val="18"/>
              </w:rPr>
            </w:pPr>
            <w:r w:rsidRPr="00E66206">
              <w:rPr>
                <w:rFonts w:ascii="Times New Roman" w:eastAsia="Times New Roman" w:hAnsi="Times New Roman" w:cs="Times New Roman"/>
                <w:color w:val="000000"/>
                <w:sz w:val="18"/>
                <w:szCs w:val="18"/>
              </w:rPr>
              <w:t>-</w:t>
            </w:r>
          </w:p>
        </w:tc>
      </w:tr>
    </w:tbl>
    <w:p w:rsidR="0093017B" w:rsidRPr="00C431FF" w:rsidRDefault="0093017B" w:rsidP="0093017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NLC-ÚLZI Zvolen</w:t>
      </w:r>
    </w:p>
    <w:p w:rsidR="00E66206" w:rsidRDefault="00E66206" w:rsidP="00BE691E">
      <w:pPr>
        <w:spacing w:after="0" w:line="240" w:lineRule="auto"/>
        <w:jc w:val="both"/>
        <w:rPr>
          <w:rFonts w:ascii="Times New Roman" w:eastAsia="Calibri" w:hAnsi="Times New Roman"/>
          <w:sz w:val="24"/>
          <w:szCs w:val="24"/>
        </w:rPr>
      </w:pPr>
    </w:p>
    <w:p w:rsidR="00E66206" w:rsidRPr="00E66206" w:rsidRDefault="00020F06" w:rsidP="00E66206">
      <w:pPr>
        <w:spacing w:after="0" w:line="240" w:lineRule="auto"/>
        <w:jc w:val="both"/>
        <w:rPr>
          <w:rFonts w:ascii="Times New Roman" w:eastAsia="Calibri" w:hAnsi="Times New Roman"/>
          <w:sz w:val="24"/>
          <w:szCs w:val="24"/>
        </w:rPr>
      </w:pPr>
      <w:r w:rsidRPr="00020F06">
        <w:rPr>
          <w:rFonts w:ascii="Times New Roman" w:eastAsia="Calibri" w:hAnsi="Times New Roman"/>
          <w:sz w:val="24"/>
          <w:szCs w:val="24"/>
        </w:rPr>
        <w:t xml:space="preserve">Vo vlastnícke štátu, v správe štátnych organizácií lesného hospodárstva SR bolo v roku 2011 790 844 ha porastovej pôdy, čo predstavuje 40,8 % z celkovej výmery porastovej pôdy. Štátne organizácie v tomto období obhospodarovali však 1 069 286 ha porastovej pôdy, čo je 55,1 % z celkovej porastovej </w:t>
      </w:r>
      <w:proofErr w:type="spellStart"/>
      <w:r w:rsidRPr="00020F06">
        <w:rPr>
          <w:rFonts w:ascii="Times New Roman" w:eastAsia="Calibri" w:hAnsi="Times New Roman"/>
          <w:sz w:val="24"/>
          <w:szCs w:val="24"/>
        </w:rPr>
        <w:t>pôdy.</w:t>
      </w:r>
      <w:r w:rsidR="00E66206" w:rsidRPr="00E66206">
        <w:rPr>
          <w:rFonts w:ascii="Times New Roman" w:eastAsia="Calibri" w:hAnsi="Times New Roman"/>
          <w:sz w:val="24"/>
          <w:szCs w:val="24"/>
        </w:rPr>
        <w:t>Neštátne</w:t>
      </w:r>
      <w:proofErr w:type="spellEnd"/>
      <w:r w:rsidR="00E66206" w:rsidRPr="00E66206">
        <w:rPr>
          <w:rFonts w:ascii="Times New Roman" w:eastAsia="Calibri" w:hAnsi="Times New Roman"/>
          <w:sz w:val="24"/>
          <w:szCs w:val="24"/>
        </w:rPr>
        <w:t xml:space="preserve"> subjekty lesného hospodárstva vlastnia a obhospodarujú lesy súkromné, </w:t>
      </w:r>
      <w:proofErr w:type="spellStart"/>
      <w:r w:rsidR="00E66206" w:rsidRPr="00E66206">
        <w:rPr>
          <w:rFonts w:ascii="Times New Roman" w:eastAsia="Calibri" w:hAnsi="Times New Roman"/>
          <w:sz w:val="24"/>
          <w:szCs w:val="24"/>
        </w:rPr>
        <w:t>spoločenstevné</w:t>
      </w:r>
      <w:proofErr w:type="spellEnd"/>
      <w:r w:rsidR="00E66206" w:rsidRPr="00E66206">
        <w:rPr>
          <w:rFonts w:ascii="Times New Roman" w:eastAsia="Calibri" w:hAnsi="Times New Roman"/>
          <w:sz w:val="24"/>
          <w:szCs w:val="24"/>
        </w:rPr>
        <w:t xml:space="preserve">, cirkevné, obecné a lesy poľnohospodárskych družstiev. </w:t>
      </w:r>
      <w:r w:rsidR="00E66206">
        <w:rPr>
          <w:rFonts w:ascii="Times New Roman" w:eastAsia="Calibri" w:hAnsi="Times New Roman"/>
          <w:sz w:val="24"/>
          <w:szCs w:val="24"/>
        </w:rPr>
        <w:t>N</w:t>
      </w:r>
      <w:r w:rsidR="00E66206" w:rsidRPr="00E66206">
        <w:rPr>
          <w:rFonts w:ascii="Times New Roman" w:eastAsia="Calibri" w:hAnsi="Times New Roman"/>
          <w:sz w:val="24"/>
          <w:szCs w:val="24"/>
        </w:rPr>
        <w:t xml:space="preserve">ie všetky pozemky vo vlastníctve neštátnych subjektov </w:t>
      </w:r>
      <w:r w:rsidR="00E66206">
        <w:rPr>
          <w:rFonts w:ascii="Times New Roman" w:eastAsia="Calibri" w:hAnsi="Times New Roman"/>
          <w:sz w:val="24"/>
          <w:szCs w:val="24"/>
        </w:rPr>
        <w:t xml:space="preserve">však </w:t>
      </w:r>
      <w:r w:rsidR="00E66206" w:rsidRPr="00E66206">
        <w:rPr>
          <w:rFonts w:ascii="Times New Roman" w:eastAsia="Calibri" w:hAnsi="Times New Roman"/>
          <w:sz w:val="24"/>
          <w:szCs w:val="24"/>
        </w:rPr>
        <w:t xml:space="preserve">tieto subjekty aj obhospodarujú. Táto skutočnosť je spôsobená aj neukončeným procesom transformácie vlastníckych a užívacích vzťahov k lesným pozemkom. </w:t>
      </w:r>
      <w:r w:rsidR="00E66206">
        <w:rPr>
          <w:rFonts w:ascii="Times New Roman" w:eastAsia="Calibri" w:hAnsi="Times New Roman"/>
          <w:sz w:val="24"/>
          <w:szCs w:val="24"/>
        </w:rPr>
        <w:t xml:space="preserve">Hlavným problémom je </w:t>
      </w:r>
      <w:proofErr w:type="spellStart"/>
      <w:r w:rsidR="00E66206">
        <w:rPr>
          <w:rFonts w:ascii="Times New Roman" w:eastAsia="Calibri" w:hAnsi="Times New Roman"/>
          <w:sz w:val="24"/>
          <w:szCs w:val="24"/>
        </w:rPr>
        <w:t>vysporiadanie</w:t>
      </w:r>
      <w:proofErr w:type="spellEnd"/>
      <w:r w:rsidR="00E66206">
        <w:rPr>
          <w:rFonts w:ascii="Times New Roman" w:eastAsia="Calibri" w:hAnsi="Times New Roman"/>
          <w:sz w:val="24"/>
          <w:szCs w:val="24"/>
        </w:rPr>
        <w:t xml:space="preserve"> najmä </w:t>
      </w:r>
      <w:r w:rsidR="00E66206" w:rsidRPr="00E40104">
        <w:rPr>
          <w:rFonts w:ascii="Times New Roman" w:eastAsia="Calibri" w:hAnsi="Times New Roman"/>
          <w:sz w:val="24"/>
          <w:szCs w:val="24"/>
        </w:rPr>
        <w:t>drobné</w:t>
      </w:r>
      <w:r w:rsidR="00E66206">
        <w:rPr>
          <w:rFonts w:ascii="Times New Roman" w:eastAsia="Calibri" w:hAnsi="Times New Roman"/>
          <w:sz w:val="24"/>
          <w:szCs w:val="24"/>
        </w:rPr>
        <w:t>ho</w:t>
      </w:r>
      <w:r w:rsidR="00E66206" w:rsidRPr="00E40104">
        <w:rPr>
          <w:rFonts w:ascii="Times New Roman" w:eastAsia="Calibri" w:hAnsi="Times New Roman"/>
          <w:sz w:val="24"/>
          <w:szCs w:val="24"/>
        </w:rPr>
        <w:t xml:space="preserve"> súkromné</w:t>
      </w:r>
      <w:r w:rsidR="00E66206">
        <w:rPr>
          <w:rFonts w:ascii="Times New Roman" w:eastAsia="Calibri" w:hAnsi="Times New Roman"/>
          <w:sz w:val="24"/>
          <w:szCs w:val="24"/>
        </w:rPr>
        <w:t>ho vlastníctva</w:t>
      </w:r>
      <w:r w:rsidR="00E66206" w:rsidRPr="00E40104">
        <w:rPr>
          <w:rFonts w:ascii="Times New Roman" w:eastAsia="Calibri" w:hAnsi="Times New Roman"/>
          <w:sz w:val="24"/>
          <w:szCs w:val="24"/>
        </w:rPr>
        <w:t>.</w:t>
      </w:r>
    </w:p>
    <w:p w:rsidR="00BE691E" w:rsidRDefault="00BE691E" w:rsidP="00BE691E">
      <w:pPr>
        <w:spacing w:after="0" w:line="240" w:lineRule="auto"/>
        <w:jc w:val="both"/>
        <w:rPr>
          <w:rFonts w:ascii="Times New Roman" w:eastAsia="Calibri" w:hAnsi="Times New Roman"/>
          <w:sz w:val="24"/>
          <w:szCs w:val="24"/>
        </w:rPr>
      </w:pPr>
    </w:p>
    <w:p w:rsidR="00020F06" w:rsidRDefault="00020F06" w:rsidP="00BE691E">
      <w:pPr>
        <w:spacing w:after="0" w:line="240" w:lineRule="auto"/>
        <w:jc w:val="both"/>
        <w:rPr>
          <w:rFonts w:ascii="Times New Roman" w:eastAsia="Calibri" w:hAnsi="Times New Roman"/>
          <w:sz w:val="24"/>
          <w:szCs w:val="24"/>
        </w:rPr>
      </w:pPr>
      <w:r w:rsidRPr="00020F06">
        <w:rPr>
          <w:rFonts w:ascii="Times New Roman" w:eastAsia="Calibri" w:hAnsi="Times New Roman"/>
          <w:sz w:val="24"/>
          <w:szCs w:val="24"/>
        </w:rPr>
        <w:t>Lesy sú neoddeliteľnou súčasťou vidieckej krajiny a správne využívanie ich funkcií môže pomôcť k vyššej pridanej hodnote, k flexibilnejšej ekonomike a v konečnom dôsledku aj k trvalo udržateľnému obhospodarovaniu lesov. Keďže 41% územia Slovenska pokrývajú lesy, rozvoj lesníctva nemalou mierou prispieva k rozvoju vidieka.</w:t>
      </w:r>
      <w:r>
        <w:rPr>
          <w:rFonts w:ascii="Times New Roman" w:eastAsia="Calibri" w:hAnsi="Times New Roman"/>
          <w:sz w:val="24"/>
          <w:szCs w:val="24"/>
        </w:rPr>
        <w:t xml:space="preserve"> V tejto súvislosti a v záujme </w:t>
      </w:r>
      <w:proofErr w:type="spellStart"/>
      <w:r>
        <w:rPr>
          <w:rFonts w:ascii="Times New Roman" w:eastAsia="Calibri" w:hAnsi="Times New Roman"/>
          <w:sz w:val="24"/>
          <w:szCs w:val="24"/>
        </w:rPr>
        <w:t>diverzifikovať</w:t>
      </w:r>
      <w:proofErr w:type="spellEnd"/>
      <w:r>
        <w:rPr>
          <w:rFonts w:ascii="Times New Roman" w:eastAsia="Calibri" w:hAnsi="Times New Roman"/>
          <w:sz w:val="24"/>
          <w:szCs w:val="24"/>
        </w:rPr>
        <w:t xml:space="preserve"> zdroje príjmov z drevných produktov je potrebné sústrediť sa na podporu diverzifikačnej činnosti drobných obhospodarovateľov lesa. </w:t>
      </w:r>
    </w:p>
    <w:p w:rsidR="00020F06" w:rsidRDefault="00020F06" w:rsidP="00BE691E">
      <w:pPr>
        <w:spacing w:after="0" w:line="240" w:lineRule="auto"/>
        <w:jc w:val="both"/>
        <w:rPr>
          <w:rFonts w:ascii="Times New Roman" w:eastAsia="Calibri" w:hAnsi="Times New Roman"/>
          <w:sz w:val="24"/>
          <w:szCs w:val="24"/>
        </w:rPr>
      </w:pPr>
    </w:p>
    <w:p w:rsidR="000F6F7E" w:rsidRDefault="00BE691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Nakoľko sa lesné hospodárstvo </w:t>
      </w:r>
      <w:r w:rsidRPr="00B4393B">
        <w:rPr>
          <w:rFonts w:ascii="Times New Roman" w:eastAsia="Calibri" w:hAnsi="Times New Roman"/>
          <w:sz w:val="24"/>
          <w:szCs w:val="24"/>
        </w:rPr>
        <w:t>vníma ako súčasť rozvoja vidieka</w:t>
      </w:r>
      <w:r>
        <w:rPr>
          <w:rFonts w:ascii="Times New Roman" w:eastAsia="Calibri" w:hAnsi="Times New Roman"/>
          <w:sz w:val="24"/>
          <w:szCs w:val="24"/>
        </w:rPr>
        <w:t>, a teda strategickým cieľom v tejto oblasti je z</w:t>
      </w:r>
      <w:r w:rsidRPr="00B4393B">
        <w:rPr>
          <w:rFonts w:ascii="Times New Roman" w:eastAsia="Calibri" w:hAnsi="Times New Roman"/>
          <w:sz w:val="24"/>
          <w:szCs w:val="24"/>
        </w:rPr>
        <w:t>abezpečenie trvalo udržateľného ob</w:t>
      </w:r>
      <w:r>
        <w:rPr>
          <w:rFonts w:ascii="Times New Roman" w:eastAsia="Calibri" w:hAnsi="Times New Roman"/>
          <w:sz w:val="24"/>
          <w:szCs w:val="24"/>
        </w:rPr>
        <w:t xml:space="preserve">hospodarovania lesov založeného na primeranom </w:t>
      </w:r>
      <w:r w:rsidRPr="00B4393B">
        <w:rPr>
          <w:rFonts w:ascii="Times New Roman" w:eastAsia="Calibri" w:hAnsi="Times New Roman"/>
          <w:sz w:val="24"/>
          <w:szCs w:val="24"/>
        </w:rPr>
        <w:t>využívaní</w:t>
      </w:r>
      <w:r>
        <w:rPr>
          <w:rFonts w:ascii="Times New Roman" w:eastAsia="Calibri" w:hAnsi="Times New Roman"/>
          <w:sz w:val="24"/>
          <w:szCs w:val="24"/>
        </w:rPr>
        <w:t xml:space="preserve"> ich ekonomických, ekologických </w:t>
      </w:r>
      <w:r w:rsidRPr="00B4393B">
        <w:rPr>
          <w:rFonts w:ascii="Times New Roman" w:eastAsia="Calibri" w:hAnsi="Times New Roman"/>
          <w:sz w:val="24"/>
          <w:szCs w:val="24"/>
        </w:rPr>
        <w:t>a sociálnych funkcií pre rozvoj spoločn</w:t>
      </w:r>
      <w:r>
        <w:rPr>
          <w:rFonts w:ascii="Times New Roman" w:eastAsia="Calibri" w:hAnsi="Times New Roman"/>
          <w:sz w:val="24"/>
          <w:szCs w:val="24"/>
        </w:rPr>
        <w:t xml:space="preserve">osti a najmä vidieckych oblastí, je potrebné rozlišovať jeho 3 aspekty, a to </w:t>
      </w:r>
      <w:r w:rsidRPr="00156CDC">
        <w:rPr>
          <w:rFonts w:ascii="Times New Roman" w:eastAsia="Calibri" w:hAnsi="Times New Roman"/>
          <w:sz w:val="24"/>
          <w:szCs w:val="24"/>
        </w:rPr>
        <w:t>ekonomický,</w:t>
      </w:r>
      <w:r w:rsidR="003748EC">
        <w:rPr>
          <w:rFonts w:ascii="Times New Roman" w:eastAsia="Calibri" w:hAnsi="Times New Roman"/>
          <w:sz w:val="24"/>
          <w:szCs w:val="24"/>
        </w:rPr>
        <w:t xml:space="preserve"> </w:t>
      </w:r>
      <w:r w:rsidRPr="00156CDC">
        <w:rPr>
          <w:rFonts w:ascii="Times New Roman" w:eastAsia="Calibri" w:hAnsi="Times New Roman"/>
          <w:sz w:val="24"/>
          <w:szCs w:val="24"/>
        </w:rPr>
        <w:t>ekologický asociálny.</w:t>
      </w:r>
    </w:p>
    <w:p w:rsidR="00850910" w:rsidRDefault="00850910" w:rsidP="00BE691E">
      <w:pPr>
        <w:spacing w:after="0" w:line="240" w:lineRule="auto"/>
        <w:jc w:val="both"/>
        <w:rPr>
          <w:rFonts w:ascii="Times New Roman" w:eastAsia="Calibri" w:hAnsi="Times New Roman"/>
          <w:sz w:val="24"/>
          <w:szCs w:val="24"/>
        </w:rPr>
      </w:pPr>
    </w:p>
    <w:p w:rsidR="00BE691E" w:rsidRPr="00156CDC" w:rsidRDefault="00BE691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V rámci týchto troch aspektov sú zadefinované aj prioritné úlohy lesného hospodárstva pre zabezpečenie </w:t>
      </w:r>
      <w:r w:rsidRPr="00B4393B">
        <w:rPr>
          <w:rFonts w:ascii="Times New Roman" w:eastAsia="Calibri" w:hAnsi="Times New Roman"/>
          <w:sz w:val="24"/>
          <w:szCs w:val="24"/>
        </w:rPr>
        <w:t>trvalo udržateľného ob</w:t>
      </w:r>
      <w:r>
        <w:rPr>
          <w:rFonts w:ascii="Times New Roman" w:eastAsia="Calibri" w:hAnsi="Times New Roman"/>
          <w:sz w:val="24"/>
          <w:szCs w:val="24"/>
        </w:rPr>
        <w:t>hospodarovania lesov.</w:t>
      </w:r>
    </w:p>
    <w:p w:rsidR="00BE691E" w:rsidRDefault="00BE691E" w:rsidP="00BE691E">
      <w:pPr>
        <w:spacing w:after="0" w:line="240" w:lineRule="auto"/>
        <w:jc w:val="both"/>
        <w:rPr>
          <w:rFonts w:ascii="Times New Roman" w:eastAsia="Calibri" w:hAnsi="Times New Roman"/>
          <w:sz w:val="24"/>
          <w:szCs w:val="24"/>
        </w:rPr>
      </w:pPr>
    </w:p>
    <w:p w:rsidR="00C5344B" w:rsidRDefault="00C5344B" w:rsidP="00BE691E">
      <w:pPr>
        <w:spacing w:after="0" w:line="240" w:lineRule="auto"/>
        <w:jc w:val="both"/>
        <w:rPr>
          <w:rFonts w:ascii="Times New Roman" w:eastAsia="Calibri" w:hAnsi="Times New Roman"/>
          <w:sz w:val="24"/>
          <w:szCs w:val="24"/>
        </w:rPr>
      </w:pPr>
    </w:p>
    <w:p w:rsidR="00BE691E" w:rsidRPr="00E015A4" w:rsidRDefault="00BE691E" w:rsidP="000D68DC">
      <w:pPr>
        <w:pStyle w:val="Nadpis2"/>
        <w:numPr>
          <w:ilvl w:val="1"/>
          <w:numId w:val="8"/>
        </w:numPr>
        <w:rPr>
          <w:rFonts w:cs="Times New Roman"/>
          <w:szCs w:val="24"/>
        </w:rPr>
      </w:pPr>
      <w:bookmarkStart w:id="42" w:name="_Toc359550663"/>
      <w:r w:rsidRPr="00E015A4">
        <w:rPr>
          <w:rFonts w:cs="Times New Roman"/>
          <w:szCs w:val="24"/>
        </w:rPr>
        <w:t>Ekonomický aspekt trvalo udržateľného obhospodarovania lesov</w:t>
      </w:r>
      <w:bookmarkEnd w:id="42"/>
    </w:p>
    <w:p w:rsidR="00BE691E" w:rsidRDefault="00BE691E"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Ekonomický aspekt trvalo udržateľného obhospodarovania lesov obsahuje napĺňanie základných predpokladov pre zvýšenie konkurencieschopnosti lesníckeho sektora v dlhodobom horizonte a zlepšenie trvalo udržateľného využívania lesníckych výrobkov a služieb. </w:t>
      </w:r>
    </w:p>
    <w:p w:rsidR="00BE691E" w:rsidRDefault="00BE691E"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sidRPr="00F822A5">
        <w:rPr>
          <w:rFonts w:ascii="Times New Roman" w:eastAsia="Calibri" w:hAnsi="Times New Roman"/>
          <w:sz w:val="24"/>
          <w:szCs w:val="24"/>
        </w:rPr>
        <w:t>Konkurencieschopnosť lesného hosp</w:t>
      </w:r>
      <w:r>
        <w:rPr>
          <w:rFonts w:ascii="Times New Roman" w:eastAsia="Calibri" w:hAnsi="Times New Roman"/>
          <w:sz w:val="24"/>
          <w:szCs w:val="24"/>
        </w:rPr>
        <w:t xml:space="preserve">odárstva je nutným predpokladom </w:t>
      </w:r>
      <w:r w:rsidRPr="00F822A5">
        <w:rPr>
          <w:rFonts w:ascii="Times New Roman" w:eastAsia="Calibri" w:hAnsi="Times New Roman"/>
          <w:sz w:val="24"/>
          <w:szCs w:val="24"/>
        </w:rPr>
        <w:t>na zabezpečovanie rozmanitých prínosov, ktoré trvalo udržateľ</w:t>
      </w:r>
      <w:r>
        <w:rPr>
          <w:rFonts w:ascii="Times New Roman" w:eastAsia="Calibri" w:hAnsi="Times New Roman"/>
          <w:sz w:val="24"/>
          <w:szCs w:val="24"/>
        </w:rPr>
        <w:t xml:space="preserve">né </w:t>
      </w:r>
      <w:r w:rsidRPr="00F822A5">
        <w:rPr>
          <w:rFonts w:ascii="Times New Roman" w:eastAsia="Calibri" w:hAnsi="Times New Roman"/>
          <w:sz w:val="24"/>
          <w:szCs w:val="24"/>
        </w:rPr>
        <w:t>lesné hospodárstvo poskytuje spoloč</w:t>
      </w:r>
      <w:r>
        <w:rPr>
          <w:rFonts w:ascii="Times New Roman" w:eastAsia="Calibri" w:hAnsi="Times New Roman"/>
          <w:sz w:val="24"/>
          <w:szCs w:val="24"/>
        </w:rPr>
        <w:t xml:space="preserve">nosti. Lesné hospodárstvo </w:t>
      </w:r>
      <w:r w:rsidRPr="00F822A5">
        <w:rPr>
          <w:rFonts w:ascii="Times New Roman" w:eastAsia="Calibri" w:hAnsi="Times New Roman"/>
          <w:sz w:val="24"/>
          <w:szCs w:val="24"/>
        </w:rPr>
        <w:t>disponuje veľkým potenciálom pre ďalš</w:t>
      </w:r>
      <w:r>
        <w:rPr>
          <w:rFonts w:ascii="Times New Roman" w:eastAsia="Calibri" w:hAnsi="Times New Roman"/>
          <w:sz w:val="24"/>
          <w:szCs w:val="24"/>
        </w:rPr>
        <w:t xml:space="preserve">í rozvoj vysoko kvalitných </w:t>
      </w:r>
      <w:r w:rsidRPr="00F822A5">
        <w:rPr>
          <w:rFonts w:ascii="Times New Roman" w:eastAsia="Calibri" w:hAnsi="Times New Roman"/>
          <w:sz w:val="24"/>
          <w:szCs w:val="24"/>
        </w:rPr>
        <w:t>výrobkov a služieb s pridanou ho</w:t>
      </w:r>
      <w:r>
        <w:rPr>
          <w:rFonts w:ascii="Times New Roman" w:eastAsia="Calibri" w:hAnsi="Times New Roman"/>
          <w:sz w:val="24"/>
          <w:szCs w:val="24"/>
        </w:rPr>
        <w:t xml:space="preserve">dnotou pre rôznorodý a stále sa </w:t>
      </w:r>
      <w:r w:rsidRPr="00F822A5">
        <w:rPr>
          <w:rFonts w:ascii="Times New Roman" w:eastAsia="Calibri" w:hAnsi="Times New Roman"/>
          <w:sz w:val="24"/>
          <w:szCs w:val="24"/>
        </w:rPr>
        <w:t>zvyšujúci dopyt spoloč</w:t>
      </w:r>
      <w:r>
        <w:rPr>
          <w:rFonts w:ascii="Times New Roman" w:eastAsia="Calibri" w:hAnsi="Times New Roman"/>
          <w:sz w:val="24"/>
          <w:szCs w:val="24"/>
        </w:rPr>
        <w:t xml:space="preserve">nosti </w:t>
      </w:r>
      <w:r w:rsidRPr="00F822A5">
        <w:rPr>
          <w:rFonts w:ascii="Times New Roman" w:eastAsia="Calibri" w:hAnsi="Times New Roman"/>
          <w:sz w:val="24"/>
          <w:szCs w:val="24"/>
        </w:rPr>
        <w:t>založený na obnoviteľ</w:t>
      </w:r>
      <w:r>
        <w:rPr>
          <w:rFonts w:ascii="Times New Roman" w:eastAsia="Calibri" w:hAnsi="Times New Roman"/>
          <w:sz w:val="24"/>
          <w:szCs w:val="24"/>
        </w:rPr>
        <w:t xml:space="preserve">ných zdrojoch </w:t>
      </w:r>
      <w:r w:rsidRPr="00F822A5">
        <w:rPr>
          <w:rFonts w:ascii="Times New Roman" w:eastAsia="Calibri" w:hAnsi="Times New Roman"/>
          <w:sz w:val="24"/>
          <w:szCs w:val="24"/>
        </w:rPr>
        <w:t>surovín. Pre rozvoj</w:t>
      </w:r>
      <w:r>
        <w:rPr>
          <w:rFonts w:ascii="Times New Roman" w:eastAsia="Calibri" w:hAnsi="Times New Roman"/>
          <w:sz w:val="24"/>
          <w:szCs w:val="24"/>
        </w:rPr>
        <w:t xml:space="preserve"> silného a dynamického odvetvia </w:t>
      </w:r>
      <w:r w:rsidRPr="00F822A5">
        <w:rPr>
          <w:rFonts w:ascii="Times New Roman" w:eastAsia="Calibri" w:hAnsi="Times New Roman"/>
          <w:sz w:val="24"/>
          <w:szCs w:val="24"/>
        </w:rPr>
        <w:t>schopného plniť</w:t>
      </w:r>
      <w:r w:rsidR="001D72C3">
        <w:rPr>
          <w:rFonts w:ascii="Times New Roman" w:eastAsia="Calibri" w:hAnsi="Times New Roman"/>
          <w:sz w:val="24"/>
          <w:szCs w:val="24"/>
        </w:rPr>
        <w:t xml:space="preserve"> </w:t>
      </w:r>
      <w:r w:rsidRPr="00F822A5">
        <w:rPr>
          <w:rFonts w:ascii="Times New Roman" w:eastAsia="Calibri" w:hAnsi="Times New Roman"/>
          <w:sz w:val="24"/>
          <w:szCs w:val="24"/>
        </w:rPr>
        <w:t xml:space="preserve">úlohy vyplývajúce z globálnej zmeny </w:t>
      </w:r>
      <w:r>
        <w:rPr>
          <w:rFonts w:ascii="Times New Roman" w:eastAsia="Calibri" w:hAnsi="Times New Roman"/>
          <w:sz w:val="24"/>
          <w:szCs w:val="24"/>
        </w:rPr>
        <w:t>je potrebné predovšetkým</w:t>
      </w:r>
      <w:r w:rsidRPr="00F822A5">
        <w:rPr>
          <w:rFonts w:ascii="Times New Roman" w:eastAsia="Calibri" w:hAnsi="Times New Roman"/>
          <w:sz w:val="24"/>
          <w:szCs w:val="24"/>
        </w:rPr>
        <w:t xml:space="preserve"> realizovať</w:t>
      </w:r>
      <w:r>
        <w:rPr>
          <w:rFonts w:ascii="Times New Roman" w:eastAsia="Calibri" w:hAnsi="Times New Roman"/>
          <w:sz w:val="24"/>
          <w:szCs w:val="24"/>
        </w:rPr>
        <w:t xml:space="preserve"> opatrenia v oblastiach </w:t>
      </w:r>
      <w:r w:rsidRPr="00F822A5">
        <w:rPr>
          <w:rFonts w:ascii="Times New Roman" w:eastAsia="Calibri" w:hAnsi="Times New Roman"/>
          <w:sz w:val="24"/>
          <w:szCs w:val="24"/>
        </w:rPr>
        <w:t>výskumu, technického r</w:t>
      </w:r>
      <w:r>
        <w:rPr>
          <w:rFonts w:ascii="Times New Roman" w:eastAsia="Calibri" w:hAnsi="Times New Roman"/>
          <w:sz w:val="24"/>
          <w:szCs w:val="24"/>
        </w:rPr>
        <w:t xml:space="preserve">ozvoja, inovácií a investovanie </w:t>
      </w:r>
      <w:r w:rsidRPr="00F822A5">
        <w:rPr>
          <w:rFonts w:ascii="Times New Roman" w:eastAsia="Calibri" w:hAnsi="Times New Roman"/>
          <w:sz w:val="24"/>
          <w:szCs w:val="24"/>
        </w:rPr>
        <w:t>do kvalitných pracovných miest a ľudského kapitálu.</w:t>
      </w:r>
    </w:p>
    <w:p w:rsidR="00BE691E" w:rsidRDefault="00BE691E"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V rámci dôsledného napĺňania základných predpokladov pre zvýšenie konkurencieschopnosti lesníckeho sektora v dlhodobom horizonte a zlepšenie trvalo udržateľného využívania lesníckych výrobkov a služieb boli takto zadefinované tieto prioritné úlohy:</w:t>
      </w:r>
    </w:p>
    <w:p w:rsidR="00BE691E" w:rsidRDefault="00BE691E" w:rsidP="00BE691E">
      <w:pPr>
        <w:spacing w:after="0" w:line="240" w:lineRule="auto"/>
        <w:jc w:val="both"/>
        <w:rPr>
          <w:rFonts w:ascii="Times New Roman" w:eastAsia="Calibri" w:hAnsi="Times New Roman"/>
          <w:sz w:val="24"/>
          <w:szCs w:val="24"/>
        </w:rPr>
      </w:pPr>
    </w:p>
    <w:p w:rsidR="00BE691E" w:rsidRDefault="00BE691E" w:rsidP="000D68DC">
      <w:pPr>
        <w:pStyle w:val="Odsekzoznamu"/>
        <w:numPr>
          <w:ilvl w:val="0"/>
          <w:numId w:val="9"/>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Príprava techniky a technológií obhospodarovateľov lesov </w:t>
      </w:r>
    </w:p>
    <w:p w:rsidR="00BE691E" w:rsidRPr="004969EF" w:rsidRDefault="00BE691E" w:rsidP="00BE691E">
      <w:pPr>
        <w:pStyle w:val="Odsekzoznamu"/>
        <w:spacing w:after="0" w:line="240" w:lineRule="auto"/>
        <w:jc w:val="both"/>
        <w:rPr>
          <w:rFonts w:ascii="Times New Roman" w:eastAsia="Calibri" w:hAnsi="Times New Roman"/>
          <w:sz w:val="24"/>
          <w:szCs w:val="24"/>
        </w:rPr>
      </w:pPr>
      <w:r>
        <w:rPr>
          <w:rFonts w:ascii="Times New Roman" w:eastAsia="Calibri" w:hAnsi="Times New Roman"/>
          <w:sz w:val="24"/>
          <w:szCs w:val="24"/>
        </w:rPr>
        <w:t>(prostredníctvom podpory obstarania lesnej techniky, zariadení a technológií dosiahnuť zvýšenie ekonomickej hodnoty súkromných a obecných lesov, zvýšenie produkcie a posilnenie trhových príležitostí)</w:t>
      </w:r>
    </w:p>
    <w:p w:rsidR="00BE691E" w:rsidRDefault="00BE691E" w:rsidP="000D68DC">
      <w:pPr>
        <w:pStyle w:val="Odsekzoznamu"/>
        <w:numPr>
          <w:ilvl w:val="0"/>
          <w:numId w:val="9"/>
        </w:numPr>
        <w:spacing w:after="0" w:line="240" w:lineRule="auto"/>
        <w:jc w:val="both"/>
        <w:rPr>
          <w:rFonts w:ascii="Times New Roman" w:eastAsia="Calibri" w:hAnsi="Times New Roman"/>
          <w:sz w:val="24"/>
          <w:szCs w:val="24"/>
        </w:rPr>
      </w:pPr>
      <w:r>
        <w:rPr>
          <w:rFonts w:ascii="Times New Roman" w:eastAsia="Calibri" w:hAnsi="Times New Roman"/>
          <w:sz w:val="24"/>
          <w:szCs w:val="24"/>
        </w:rPr>
        <w:t>Podpora využívania lesnej biomasy na výrobu energie</w:t>
      </w:r>
    </w:p>
    <w:p w:rsidR="00BE691E" w:rsidRPr="004969EF" w:rsidRDefault="00BE691E" w:rsidP="00BE691E">
      <w:pPr>
        <w:pStyle w:val="Odsekzoznamu"/>
        <w:spacing w:after="0" w:line="240" w:lineRule="auto"/>
        <w:jc w:val="both"/>
        <w:rPr>
          <w:rFonts w:ascii="Times New Roman" w:eastAsia="Calibri" w:hAnsi="Times New Roman"/>
          <w:sz w:val="24"/>
          <w:szCs w:val="24"/>
        </w:rPr>
      </w:pPr>
      <w:r>
        <w:rPr>
          <w:rFonts w:ascii="Times New Roman" w:eastAsia="Calibri" w:hAnsi="Times New Roman"/>
          <w:sz w:val="24"/>
          <w:szCs w:val="24"/>
        </w:rPr>
        <w:t>(využitie produkcie a energetického využitia drevnej biomasy)</w:t>
      </w:r>
    </w:p>
    <w:p w:rsidR="00BE691E" w:rsidRDefault="00BE691E" w:rsidP="000D68DC">
      <w:pPr>
        <w:pStyle w:val="Odsekzoznamu"/>
        <w:numPr>
          <w:ilvl w:val="0"/>
          <w:numId w:val="9"/>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Podpora usporiadania vlastníckych a užívacích práv k lesným nehnuteľnostiam </w:t>
      </w:r>
    </w:p>
    <w:p w:rsidR="00BE691E" w:rsidRDefault="00BE691E" w:rsidP="00BE691E">
      <w:pPr>
        <w:pStyle w:val="Odsekzoznamu"/>
        <w:spacing w:after="0" w:line="240" w:lineRule="auto"/>
        <w:jc w:val="both"/>
        <w:rPr>
          <w:rFonts w:ascii="Times New Roman" w:eastAsia="Calibri" w:hAnsi="Times New Roman"/>
          <w:sz w:val="24"/>
          <w:szCs w:val="24"/>
        </w:rPr>
      </w:pPr>
      <w:r>
        <w:rPr>
          <w:rFonts w:ascii="Times New Roman" w:eastAsia="Calibri" w:hAnsi="Times New Roman"/>
          <w:sz w:val="24"/>
          <w:szCs w:val="24"/>
        </w:rPr>
        <w:t>(usporiadanie vlastníckych a užívacích práv k lesným pozemkom vo vlastníctve neštátnych subjektov, v obhospodarovaní štátnych organizácií lesného hospodárstva)</w:t>
      </w:r>
    </w:p>
    <w:p w:rsidR="00BE691E" w:rsidRDefault="00BE691E" w:rsidP="00BE691E">
      <w:pPr>
        <w:spacing w:after="0" w:line="240" w:lineRule="auto"/>
        <w:rPr>
          <w:rFonts w:ascii="Times New Roman" w:hAnsi="Times New Roman" w:cs="Times New Roman"/>
          <w:b/>
          <w:sz w:val="28"/>
          <w:szCs w:val="28"/>
        </w:rPr>
      </w:pPr>
    </w:p>
    <w:p w:rsidR="00BE691E" w:rsidRPr="00E015A4" w:rsidRDefault="00BE691E" w:rsidP="000D68DC">
      <w:pPr>
        <w:pStyle w:val="Nadpis3"/>
        <w:numPr>
          <w:ilvl w:val="2"/>
          <w:numId w:val="8"/>
        </w:numPr>
        <w:rPr>
          <w:rFonts w:cs="Times New Roman"/>
          <w:szCs w:val="24"/>
        </w:rPr>
      </w:pPr>
      <w:bookmarkStart w:id="43" w:name="_Toc359550664"/>
      <w:r w:rsidRPr="00E015A4">
        <w:rPr>
          <w:rFonts w:eastAsia="Calibri"/>
          <w:szCs w:val="24"/>
        </w:rPr>
        <w:t>Príprava techniky a technológií obhospodarovateľov lesov</w:t>
      </w:r>
      <w:bookmarkEnd w:id="43"/>
    </w:p>
    <w:p w:rsidR="00BE691E" w:rsidRDefault="00BE691E" w:rsidP="00BE691E">
      <w:pPr>
        <w:spacing w:after="0" w:line="240" w:lineRule="auto"/>
        <w:jc w:val="both"/>
        <w:rPr>
          <w:rFonts w:ascii="Times New Roman" w:eastAsia="Calibri" w:hAnsi="Times New Roman"/>
          <w:sz w:val="24"/>
          <w:szCs w:val="24"/>
        </w:rPr>
      </w:pPr>
    </w:p>
    <w:p w:rsidR="00BE691E" w:rsidRPr="00942CE0" w:rsidRDefault="00BE691E" w:rsidP="00BE691E">
      <w:pPr>
        <w:spacing w:after="0" w:line="240" w:lineRule="auto"/>
        <w:jc w:val="both"/>
        <w:rPr>
          <w:rFonts w:ascii="Times New Roman" w:eastAsia="Calibri" w:hAnsi="Times New Roman"/>
          <w:sz w:val="24"/>
          <w:szCs w:val="24"/>
        </w:rPr>
      </w:pPr>
      <w:r w:rsidRPr="00942CE0">
        <w:rPr>
          <w:rFonts w:ascii="Times New Roman" w:eastAsia="Calibri" w:hAnsi="Times New Roman"/>
          <w:sz w:val="24"/>
          <w:szCs w:val="24"/>
        </w:rPr>
        <w:t>Prispôsobovanie odvetvia lesného hospodárstva novým podmienkam si vyžaduje podporu  vhodných investícií pre zabezpečenie jeho konkurencieschopnosti. V lesnom hospodárstve pretrváva nedostatočne mechanizovaná ťažba, približovanie a odvoz dreva v lesoch. Väčšina technológií a mechanizmov používaných v lesnom hospodárstve je morálne i fyzicky zastaraná a nespĺňa ani environmentálne kritériá kladené na mechanizmy pracujúce v lese.</w:t>
      </w:r>
    </w:p>
    <w:p w:rsidR="00BE691E" w:rsidRDefault="00BE691E" w:rsidP="00BE691E">
      <w:pPr>
        <w:spacing w:after="0" w:line="240" w:lineRule="auto"/>
        <w:jc w:val="both"/>
        <w:rPr>
          <w:rFonts w:ascii="Times New Roman" w:eastAsia="Calibri" w:hAnsi="Times New Roman"/>
          <w:sz w:val="24"/>
          <w:szCs w:val="24"/>
        </w:rPr>
      </w:pPr>
    </w:p>
    <w:p w:rsidR="00C5344B" w:rsidRDefault="00BE691E" w:rsidP="00BE691E">
      <w:pPr>
        <w:spacing w:after="0" w:line="240" w:lineRule="auto"/>
        <w:jc w:val="both"/>
        <w:rPr>
          <w:rFonts w:ascii="Times New Roman" w:eastAsia="Calibri" w:hAnsi="Times New Roman"/>
          <w:sz w:val="24"/>
          <w:szCs w:val="24"/>
        </w:rPr>
      </w:pPr>
      <w:r w:rsidRPr="00942CE0">
        <w:rPr>
          <w:rFonts w:ascii="Times New Roman" w:eastAsia="Calibri" w:hAnsi="Times New Roman"/>
          <w:sz w:val="24"/>
          <w:szCs w:val="24"/>
        </w:rPr>
        <w:t>Obstaraním nových mechanizmov  s vyššími výkonnostnými parametrami , priaznivejšími k životnému prostredie  a to najmä mechanizmov na  približovanie a odvoz vyťaženého dreva</w:t>
      </w:r>
      <w:r>
        <w:rPr>
          <w:rFonts w:ascii="Times New Roman" w:eastAsia="Calibri" w:hAnsi="Times New Roman"/>
          <w:sz w:val="24"/>
          <w:szCs w:val="24"/>
        </w:rPr>
        <w:t xml:space="preserve"> sa p</w:t>
      </w:r>
      <w:r w:rsidR="007B5BCA">
        <w:rPr>
          <w:rFonts w:ascii="Times New Roman" w:eastAsia="Calibri" w:hAnsi="Times New Roman"/>
          <w:sz w:val="24"/>
          <w:szCs w:val="24"/>
        </w:rPr>
        <w:t>rejavia tieto pozitívne efekty:</w:t>
      </w:r>
    </w:p>
    <w:p w:rsidR="00BE691E" w:rsidRDefault="00BE691E" w:rsidP="000D68DC">
      <w:pPr>
        <w:pStyle w:val="Odsekzoznamu"/>
        <w:numPr>
          <w:ilvl w:val="0"/>
          <w:numId w:val="9"/>
        </w:numPr>
        <w:spacing w:after="0" w:line="240" w:lineRule="auto"/>
        <w:jc w:val="both"/>
        <w:rPr>
          <w:rFonts w:ascii="Times New Roman" w:eastAsia="Calibri" w:hAnsi="Times New Roman"/>
          <w:sz w:val="24"/>
          <w:szCs w:val="24"/>
        </w:rPr>
      </w:pPr>
      <w:r w:rsidRPr="00942CE0">
        <w:rPr>
          <w:rFonts w:ascii="Times New Roman" w:eastAsia="Calibri" w:hAnsi="Times New Roman"/>
          <w:sz w:val="24"/>
          <w:szCs w:val="24"/>
        </w:rPr>
        <w:t>znížia sa škody na životn</w:t>
      </w:r>
      <w:r>
        <w:rPr>
          <w:rFonts w:ascii="Times New Roman" w:eastAsia="Calibri" w:hAnsi="Times New Roman"/>
          <w:sz w:val="24"/>
          <w:szCs w:val="24"/>
        </w:rPr>
        <w:t>om prostredí v lesoch Slovenska;</w:t>
      </w:r>
    </w:p>
    <w:p w:rsidR="00BE691E" w:rsidRDefault="00BE691E" w:rsidP="000D68DC">
      <w:pPr>
        <w:pStyle w:val="Odsekzoznamu"/>
        <w:numPr>
          <w:ilvl w:val="0"/>
          <w:numId w:val="9"/>
        </w:numPr>
        <w:spacing w:after="0" w:line="240" w:lineRule="auto"/>
        <w:jc w:val="both"/>
        <w:rPr>
          <w:rFonts w:ascii="Times New Roman" w:eastAsia="Calibri" w:hAnsi="Times New Roman"/>
          <w:sz w:val="24"/>
          <w:szCs w:val="24"/>
        </w:rPr>
      </w:pPr>
      <w:r>
        <w:rPr>
          <w:rFonts w:ascii="Times New Roman" w:eastAsia="Calibri" w:hAnsi="Times New Roman"/>
          <w:sz w:val="24"/>
          <w:szCs w:val="24"/>
        </w:rPr>
        <w:t>e</w:t>
      </w:r>
      <w:r w:rsidRPr="00942CE0">
        <w:rPr>
          <w:rFonts w:ascii="Times New Roman" w:eastAsia="Calibri" w:hAnsi="Times New Roman"/>
          <w:sz w:val="24"/>
          <w:szCs w:val="24"/>
        </w:rPr>
        <w:t>liminujú sa úniky pohonných a mazacích  lá</w:t>
      </w:r>
      <w:r>
        <w:rPr>
          <w:rFonts w:ascii="Times New Roman" w:eastAsia="Calibri" w:hAnsi="Times New Roman"/>
          <w:sz w:val="24"/>
          <w:szCs w:val="24"/>
        </w:rPr>
        <w:t>tok, ako i hydraulických olejov;</w:t>
      </w:r>
    </w:p>
    <w:p w:rsidR="00BE691E" w:rsidRDefault="00BE691E" w:rsidP="000D68DC">
      <w:pPr>
        <w:pStyle w:val="Odsekzoznamu"/>
        <w:numPr>
          <w:ilvl w:val="0"/>
          <w:numId w:val="9"/>
        </w:numPr>
        <w:spacing w:after="0" w:line="240" w:lineRule="auto"/>
        <w:jc w:val="both"/>
        <w:rPr>
          <w:rFonts w:ascii="Times New Roman" w:eastAsia="Calibri" w:hAnsi="Times New Roman"/>
          <w:sz w:val="24"/>
          <w:szCs w:val="24"/>
        </w:rPr>
      </w:pPr>
      <w:r w:rsidRPr="00942CE0">
        <w:rPr>
          <w:rFonts w:ascii="Times New Roman" w:eastAsia="Calibri" w:hAnsi="Times New Roman"/>
          <w:sz w:val="24"/>
          <w:szCs w:val="24"/>
        </w:rPr>
        <w:t>znížia sa emisie kysličn</w:t>
      </w:r>
      <w:r>
        <w:rPr>
          <w:rFonts w:ascii="Times New Roman" w:eastAsia="Calibri" w:hAnsi="Times New Roman"/>
          <w:sz w:val="24"/>
          <w:szCs w:val="24"/>
        </w:rPr>
        <w:t>íka uhličitého a oxidov dusíka;</w:t>
      </w:r>
      <w:r w:rsidR="003748EC">
        <w:rPr>
          <w:rFonts w:ascii="Times New Roman" w:eastAsia="Calibri" w:hAnsi="Times New Roman"/>
          <w:sz w:val="24"/>
          <w:szCs w:val="24"/>
        </w:rPr>
        <w:t xml:space="preserve"> </w:t>
      </w:r>
      <w:r>
        <w:rPr>
          <w:rFonts w:ascii="Times New Roman" w:eastAsia="Calibri" w:hAnsi="Times New Roman"/>
          <w:sz w:val="24"/>
          <w:szCs w:val="24"/>
        </w:rPr>
        <w:t>a</w:t>
      </w:r>
    </w:p>
    <w:p w:rsidR="00BE691E" w:rsidRDefault="00BE691E" w:rsidP="000D68DC">
      <w:pPr>
        <w:pStyle w:val="Odsekzoznamu"/>
        <w:numPr>
          <w:ilvl w:val="0"/>
          <w:numId w:val="9"/>
        </w:numPr>
        <w:spacing w:after="0" w:line="240" w:lineRule="auto"/>
        <w:jc w:val="both"/>
        <w:rPr>
          <w:rFonts w:ascii="Times New Roman" w:eastAsia="Calibri" w:hAnsi="Times New Roman"/>
          <w:sz w:val="24"/>
          <w:szCs w:val="24"/>
        </w:rPr>
      </w:pPr>
      <w:r>
        <w:rPr>
          <w:rFonts w:ascii="Times New Roman" w:eastAsia="Calibri" w:hAnsi="Times New Roman"/>
          <w:sz w:val="24"/>
          <w:szCs w:val="24"/>
        </w:rPr>
        <w:t>p</w:t>
      </w:r>
      <w:r w:rsidRPr="00942CE0">
        <w:rPr>
          <w:rFonts w:ascii="Times New Roman" w:eastAsia="Calibri" w:hAnsi="Times New Roman"/>
          <w:sz w:val="24"/>
          <w:szCs w:val="24"/>
        </w:rPr>
        <w:t xml:space="preserve">odstatne sa zvýši časové a výkonové využitie mechanizmov. </w:t>
      </w:r>
    </w:p>
    <w:p w:rsidR="00BE691E" w:rsidRPr="00942CE0" w:rsidRDefault="00BE691E" w:rsidP="00BE691E">
      <w:pPr>
        <w:spacing w:after="0" w:line="240" w:lineRule="auto"/>
        <w:jc w:val="both"/>
        <w:rPr>
          <w:rFonts w:ascii="Times New Roman" w:eastAsia="Calibri" w:hAnsi="Times New Roman"/>
          <w:sz w:val="24"/>
          <w:szCs w:val="24"/>
        </w:rPr>
      </w:pPr>
      <w:r w:rsidRPr="00942CE0">
        <w:rPr>
          <w:rFonts w:ascii="Times New Roman" w:eastAsia="Calibri" w:hAnsi="Times New Roman"/>
          <w:sz w:val="24"/>
          <w:szCs w:val="24"/>
        </w:rPr>
        <w:lastRenderedPageBreak/>
        <w:t>Tieto skutočnosti sa priamo premietnu do znižovania nákladov na m</w:t>
      </w:r>
      <w:r w:rsidRPr="00942CE0">
        <w:rPr>
          <w:rFonts w:ascii="Times New Roman" w:eastAsia="Calibri" w:hAnsi="Times New Roman"/>
          <w:sz w:val="24"/>
          <w:szCs w:val="24"/>
          <w:vertAlign w:val="superscript"/>
        </w:rPr>
        <w:t>3</w:t>
      </w:r>
      <w:r w:rsidRPr="00942CE0">
        <w:rPr>
          <w:rFonts w:ascii="Times New Roman" w:eastAsia="Calibri" w:hAnsi="Times New Roman"/>
          <w:sz w:val="24"/>
          <w:szCs w:val="24"/>
        </w:rPr>
        <w:t xml:space="preserve"> vyťaženého a odvezeného dreva a</w:t>
      </w:r>
      <w:r>
        <w:rPr>
          <w:rFonts w:ascii="Times New Roman" w:eastAsia="Calibri" w:hAnsi="Times New Roman"/>
          <w:sz w:val="24"/>
          <w:szCs w:val="24"/>
        </w:rPr>
        <w:t xml:space="preserve"> priaznivo ovplyvnia celkovú eko</w:t>
      </w:r>
      <w:r w:rsidRPr="00942CE0">
        <w:rPr>
          <w:rFonts w:ascii="Times New Roman" w:eastAsia="Calibri" w:hAnsi="Times New Roman"/>
          <w:sz w:val="24"/>
          <w:szCs w:val="24"/>
        </w:rPr>
        <w:t xml:space="preserve">nomickú situáciu podnikateľských subjektov v lesnom hospodárstve. </w:t>
      </w:r>
    </w:p>
    <w:p w:rsidR="00BE691E" w:rsidRDefault="00BE691E"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Zároveň r</w:t>
      </w:r>
      <w:r w:rsidRPr="00942CE0">
        <w:rPr>
          <w:rFonts w:ascii="Times New Roman" w:eastAsia="Calibri" w:hAnsi="Times New Roman"/>
          <w:sz w:val="24"/>
          <w:szCs w:val="24"/>
        </w:rPr>
        <w:t>ozvoj informačných systémov v lesníctve prostredníctvom podpory obstarania  modernej výpočtovej techniky a programového vybavenia, vrátane zriadenia pripojenia na internet prispeje k racionalizácii lesníckej výroby.</w:t>
      </w:r>
    </w:p>
    <w:p w:rsidR="00BE691E" w:rsidRDefault="00BE691E" w:rsidP="00BE691E">
      <w:pPr>
        <w:spacing w:after="0" w:line="240" w:lineRule="auto"/>
        <w:jc w:val="both"/>
        <w:rPr>
          <w:rFonts w:ascii="Times New Roman" w:eastAsia="Calibri" w:hAnsi="Times New Roman"/>
          <w:sz w:val="24"/>
          <w:szCs w:val="24"/>
        </w:rPr>
      </w:pPr>
    </w:p>
    <w:p w:rsidR="007F7B56" w:rsidRDefault="00BE691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Naplnenie tejto prioritnej úlohy si bude vyžadovať financovanie na úrovni 54,5 mil. EUR, pričom sa uvažuje so zvýšením hrubej pridanej hodnoty v podporených podnikoch lesného hospodárstva v objeme 18,3 mil. EUR. Pozitívna zmena hrubej pridanej hodnoty bude mať priamy pozitívny dosah na produktivitu práce, počítanej ako zmena hrubej pridanej hodnoty na ekvivalent pracovného miesta, vo výške 5 900 EUR. Predpokladá sa pritom pozitívny vplyv na hospodársky rast, počítaný ako prírastok čistej pridanej hodnoty vyjadrenej v parite kúpnej sily v objeme 15,7 mil. EUR.  </w:t>
      </w:r>
    </w:p>
    <w:p w:rsidR="00825350" w:rsidRPr="00CA24F7" w:rsidRDefault="00825350" w:rsidP="00BE691E">
      <w:pPr>
        <w:spacing w:after="0" w:line="240" w:lineRule="auto"/>
        <w:jc w:val="both"/>
        <w:rPr>
          <w:rFonts w:ascii="Times New Roman" w:eastAsia="Calibri" w:hAnsi="Times New Roman"/>
          <w:sz w:val="24"/>
          <w:szCs w:val="24"/>
        </w:rPr>
      </w:pPr>
    </w:p>
    <w:p w:rsidR="00BE691E" w:rsidRPr="00E015A4" w:rsidRDefault="00BE691E" w:rsidP="000D68DC">
      <w:pPr>
        <w:pStyle w:val="Nadpis3"/>
        <w:numPr>
          <w:ilvl w:val="2"/>
          <w:numId w:val="8"/>
        </w:numPr>
        <w:rPr>
          <w:rFonts w:eastAsia="Calibri"/>
          <w:szCs w:val="24"/>
        </w:rPr>
      </w:pPr>
      <w:bookmarkStart w:id="44" w:name="_Toc359550665"/>
      <w:r w:rsidRPr="00E015A4">
        <w:rPr>
          <w:rFonts w:eastAsia="Calibri"/>
          <w:szCs w:val="24"/>
        </w:rPr>
        <w:t>Podpora využívania lesnej biomasy na výrobu energie</w:t>
      </w:r>
      <w:bookmarkEnd w:id="44"/>
    </w:p>
    <w:p w:rsidR="00BE691E" w:rsidRPr="00CA24F7" w:rsidRDefault="00BE691E" w:rsidP="00BE691E">
      <w:pPr>
        <w:spacing w:after="0" w:line="240" w:lineRule="auto"/>
        <w:jc w:val="both"/>
        <w:rPr>
          <w:rFonts w:ascii="Times New Roman" w:eastAsia="Calibri" w:hAnsi="Times New Roman"/>
          <w:sz w:val="24"/>
          <w:szCs w:val="24"/>
        </w:rPr>
      </w:pPr>
    </w:p>
    <w:p w:rsidR="00BE691E" w:rsidRPr="00DF3283" w:rsidRDefault="00BE691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Slovenská republika</w:t>
      </w:r>
      <w:r w:rsidRPr="00137885">
        <w:rPr>
          <w:rFonts w:ascii="Times New Roman" w:eastAsia="Calibri" w:hAnsi="Times New Roman"/>
          <w:sz w:val="24"/>
          <w:szCs w:val="24"/>
        </w:rPr>
        <w:t xml:space="preserve"> sa v sú</w:t>
      </w:r>
      <w:r>
        <w:rPr>
          <w:rFonts w:ascii="Times New Roman" w:eastAsia="Calibri" w:hAnsi="Times New Roman"/>
          <w:sz w:val="24"/>
          <w:szCs w:val="24"/>
        </w:rPr>
        <w:t xml:space="preserve">vislosti so </w:t>
      </w:r>
      <w:r w:rsidRPr="00137885">
        <w:rPr>
          <w:rFonts w:ascii="Times New Roman" w:eastAsia="Calibri" w:hAnsi="Times New Roman"/>
          <w:sz w:val="24"/>
          <w:szCs w:val="24"/>
        </w:rPr>
        <w:t>vstupom do EÚ zaviazalo podporovať</w:t>
      </w:r>
      <w:r w:rsidR="003748EC">
        <w:rPr>
          <w:rFonts w:ascii="Times New Roman" w:eastAsia="Calibri" w:hAnsi="Times New Roman"/>
          <w:sz w:val="24"/>
          <w:szCs w:val="24"/>
        </w:rPr>
        <w:t xml:space="preserve"> </w:t>
      </w:r>
      <w:r w:rsidRPr="00137885">
        <w:rPr>
          <w:rFonts w:ascii="Times New Roman" w:eastAsia="Calibri" w:hAnsi="Times New Roman"/>
          <w:sz w:val="24"/>
          <w:szCs w:val="24"/>
        </w:rPr>
        <w:t>využívanie obnoviteľný</w:t>
      </w:r>
      <w:r>
        <w:rPr>
          <w:rFonts w:ascii="Times New Roman" w:eastAsia="Calibri" w:hAnsi="Times New Roman"/>
          <w:sz w:val="24"/>
          <w:szCs w:val="24"/>
        </w:rPr>
        <w:t xml:space="preserve">ch </w:t>
      </w:r>
      <w:r w:rsidRPr="00137885">
        <w:rPr>
          <w:rFonts w:ascii="Times New Roman" w:eastAsia="Calibri" w:hAnsi="Times New Roman"/>
          <w:sz w:val="24"/>
          <w:szCs w:val="24"/>
        </w:rPr>
        <w:t>z</w:t>
      </w:r>
      <w:r>
        <w:rPr>
          <w:rFonts w:ascii="Times New Roman" w:eastAsia="Calibri" w:hAnsi="Times New Roman"/>
          <w:sz w:val="24"/>
          <w:szCs w:val="24"/>
        </w:rPr>
        <w:t xml:space="preserve">drojov energie (OZE). V podmienkach </w:t>
      </w:r>
      <w:r w:rsidRPr="00C544E2">
        <w:rPr>
          <w:rFonts w:ascii="Times New Roman" w:eastAsia="Calibri" w:hAnsi="Times New Roman"/>
          <w:sz w:val="24"/>
          <w:szCs w:val="24"/>
        </w:rPr>
        <w:t>Slovenska je drevná</w:t>
      </w:r>
      <w:r>
        <w:rPr>
          <w:rFonts w:ascii="Times New Roman" w:eastAsia="Calibri" w:hAnsi="Times New Roman"/>
          <w:sz w:val="24"/>
          <w:szCs w:val="24"/>
        </w:rPr>
        <w:t xml:space="preserve"> biomasa popri </w:t>
      </w:r>
      <w:r w:rsidRPr="00C544E2">
        <w:rPr>
          <w:rFonts w:ascii="Times New Roman" w:eastAsia="Calibri" w:hAnsi="Times New Roman"/>
          <w:sz w:val="24"/>
          <w:szCs w:val="24"/>
        </w:rPr>
        <w:t>vodnej energii najvýznamnejší</w:t>
      </w:r>
      <w:r>
        <w:rPr>
          <w:rFonts w:ascii="Times New Roman" w:eastAsia="Calibri" w:hAnsi="Times New Roman"/>
          <w:sz w:val="24"/>
          <w:szCs w:val="24"/>
        </w:rPr>
        <w:t xml:space="preserve">m OZE. </w:t>
      </w:r>
      <w:r w:rsidRPr="00DF3283">
        <w:rPr>
          <w:rFonts w:ascii="Times New Roman" w:eastAsia="Calibri" w:hAnsi="Times New Roman"/>
          <w:sz w:val="24"/>
          <w:szCs w:val="24"/>
        </w:rPr>
        <w:t>Energetické porasty sa podľa</w:t>
      </w:r>
      <w:r>
        <w:rPr>
          <w:rFonts w:ascii="Times New Roman" w:eastAsia="Calibri" w:hAnsi="Times New Roman"/>
          <w:sz w:val="24"/>
          <w:szCs w:val="24"/>
        </w:rPr>
        <w:t xml:space="preserve"> dĺžky rubnej doby rozdeľujú na </w:t>
      </w:r>
      <w:r w:rsidRPr="00DF3283">
        <w:rPr>
          <w:rFonts w:ascii="Times New Roman" w:eastAsia="Calibri" w:hAnsi="Times New Roman"/>
          <w:sz w:val="24"/>
          <w:szCs w:val="24"/>
        </w:rPr>
        <w:t xml:space="preserve">porasty s veľmi krátkou rubnou dobou - 3 až </w:t>
      </w:r>
      <w:r>
        <w:rPr>
          <w:rFonts w:ascii="Times New Roman" w:eastAsia="Calibri" w:hAnsi="Times New Roman"/>
          <w:sz w:val="24"/>
          <w:szCs w:val="24"/>
        </w:rPr>
        <w:t xml:space="preserve">4 roky, </w:t>
      </w:r>
      <w:r w:rsidRPr="00DF3283">
        <w:rPr>
          <w:rFonts w:ascii="Times New Roman" w:eastAsia="Calibri" w:hAnsi="Times New Roman"/>
          <w:sz w:val="24"/>
          <w:szCs w:val="24"/>
        </w:rPr>
        <w:t xml:space="preserve">porasty s krátkou rubnou dobou - 5 až </w:t>
      </w:r>
      <w:r>
        <w:rPr>
          <w:rFonts w:ascii="Times New Roman" w:eastAsia="Calibri" w:hAnsi="Times New Roman"/>
          <w:sz w:val="24"/>
          <w:szCs w:val="24"/>
        </w:rPr>
        <w:t xml:space="preserve">8 rokov a </w:t>
      </w:r>
      <w:r w:rsidRPr="00DF3283">
        <w:rPr>
          <w:rFonts w:ascii="Times New Roman" w:eastAsia="Calibri" w:hAnsi="Times New Roman"/>
          <w:sz w:val="24"/>
          <w:szCs w:val="24"/>
        </w:rPr>
        <w:t>poras</w:t>
      </w:r>
      <w:r>
        <w:rPr>
          <w:rFonts w:ascii="Times New Roman" w:eastAsia="Calibri" w:hAnsi="Times New Roman"/>
          <w:sz w:val="24"/>
          <w:szCs w:val="24"/>
        </w:rPr>
        <w:t xml:space="preserve">ty so skrátenou rubnou dobou - </w:t>
      </w:r>
      <w:r w:rsidRPr="00DF3283">
        <w:rPr>
          <w:rFonts w:ascii="Times New Roman" w:eastAsia="Calibri" w:hAnsi="Times New Roman"/>
          <w:sz w:val="24"/>
          <w:szCs w:val="24"/>
        </w:rPr>
        <w:t>10 až 20 rokov</w:t>
      </w:r>
      <w:r>
        <w:rPr>
          <w:rFonts w:ascii="Times New Roman" w:eastAsia="Calibri" w:hAnsi="Times New Roman"/>
          <w:sz w:val="24"/>
          <w:szCs w:val="24"/>
        </w:rPr>
        <w:t>.</w:t>
      </w:r>
    </w:p>
    <w:p w:rsidR="00BE691E" w:rsidRPr="00DF3283" w:rsidRDefault="00BE691E"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sidRPr="00DF3283">
        <w:rPr>
          <w:rFonts w:ascii="Times New Roman" w:eastAsia="Calibri" w:hAnsi="Times New Roman"/>
          <w:sz w:val="24"/>
          <w:szCs w:val="24"/>
        </w:rPr>
        <w:t xml:space="preserve">Najväčší praktický význam majú porasty so skrátenou rubnou dobou. Na ich zakladanie sa v závislosti od klimatických podmienok a pôdnych pomerov </w:t>
      </w:r>
      <w:r>
        <w:rPr>
          <w:rFonts w:ascii="Times New Roman" w:eastAsia="Calibri" w:hAnsi="Times New Roman"/>
          <w:sz w:val="24"/>
          <w:szCs w:val="24"/>
        </w:rPr>
        <w:t>možno</w:t>
      </w:r>
      <w:r w:rsidRPr="00DF3283">
        <w:rPr>
          <w:rFonts w:ascii="Times New Roman" w:eastAsia="Calibri" w:hAnsi="Times New Roman"/>
          <w:sz w:val="24"/>
          <w:szCs w:val="24"/>
        </w:rPr>
        <w:t xml:space="preserve"> použiť domáce a vyšľachtené klony topoľov, uznané (</w:t>
      </w:r>
      <w:proofErr w:type="spellStart"/>
      <w:r w:rsidRPr="00DF3283">
        <w:rPr>
          <w:rFonts w:ascii="Times New Roman" w:eastAsia="Calibri" w:hAnsi="Times New Roman"/>
          <w:sz w:val="24"/>
          <w:szCs w:val="24"/>
        </w:rPr>
        <w:t>rajonizované</w:t>
      </w:r>
      <w:proofErr w:type="spellEnd"/>
      <w:r w:rsidRPr="00DF3283">
        <w:rPr>
          <w:rFonts w:ascii="Times New Roman" w:eastAsia="Calibri" w:hAnsi="Times New Roman"/>
          <w:sz w:val="24"/>
          <w:szCs w:val="24"/>
        </w:rPr>
        <w:t xml:space="preserve">) klony stromových foriem vŕb, potomstvá osiky dopestované zo semena uznaných porastov, ako aj uznané populácie agáta bieleho. Produkcia drevnej hmoty sa v závislosti od </w:t>
      </w:r>
      <w:proofErr w:type="spellStart"/>
      <w:r w:rsidRPr="00DF3283">
        <w:rPr>
          <w:rFonts w:ascii="Times New Roman" w:eastAsia="Calibri" w:hAnsi="Times New Roman"/>
          <w:sz w:val="24"/>
          <w:szCs w:val="24"/>
        </w:rPr>
        <w:t>stanovišt</w:t>
      </w:r>
      <w:r>
        <w:rPr>
          <w:rFonts w:ascii="Times New Roman" w:eastAsia="Calibri" w:hAnsi="Times New Roman"/>
          <w:sz w:val="24"/>
          <w:szCs w:val="24"/>
        </w:rPr>
        <w:t>ných</w:t>
      </w:r>
      <w:proofErr w:type="spellEnd"/>
      <w:r>
        <w:rPr>
          <w:rFonts w:ascii="Times New Roman" w:eastAsia="Calibri" w:hAnsi="Times New Roman"/>
          <w:sz w:val="24"/>
          <w:szCs w:val="24"/>
        </w:rPr>
        <w:t xml:space="preserve"> podmienok pohybuje pri 15-</w:t>
      </w:r>
      <w:r w:rsidRPr="00DF3283">
        <w:rPr>
          <w:rFonts w:ascii="Times New Roman" w:eastAsia="Calibri" w:hAnsi="Times New Roman"/>
          <w:sz w:val="24"/>
          <w:szCs w:val="24"/>
        </w:rPr>
        <w:t>ročnej rubnej dobe od 90 do 340 m</w:t>
      </w:r>
      <w:r w:rsidRPr="00207C99">
        <w:rPr>
          <w:rFonts w:ascii="Times New Roman" w:eastAsia="Calibri" w:hAnsi="Times New Roman"/>
          <w:sz w:val="24"/>
          <w:szCs w:val="24"/>
          <w:vertAlign w:val="superscript"/>
        </w:rPr>
        <w:t>3</w:t>
      </w:r>
      <w:r>
        <w:rPr>
          <w:rFonts w:ascii="Times New Roman" w:eastAsia="Calibri" w:hAnsi="Times New Roman"/>
          <w:sz w:val="24"/>
          <w:szCs w:val="24"/>
        </w:rPr>
        <w:t>/</w:t>
      </w:r>
      <w:r w:rsidRPr="00DF3283">
        <w:rPr>
          <w:rFonts w:ascii="Times New Roman" w:eastAsia="Calibri" w:hAnsi="Times New Roman"/>
          <w:sz w:val="24"/>
          <w:szCs w:val="24"/>
        </w:rPr>
        <w:t>ha.</w:t>
      </w:r>
    </w:p>
    <w:p w:rsidR="00BE691E" w:rsidRDefault="00BE691E" w:rsidP="00BE691E">
      <w:pPr>
        <w:spacing w:after="0" w:line="240" w:lineRule="auto"/>
        <w:jc w:val="both"/>
        <w:rPr>
          <w:rFonts w:ascii="Times New Roman" w:eastAsia="Calibri" w:hAnsi="Times New Roman"/>
          <w:sz w:val="24"/>
          <w:szCs w:val="24"/>
        </w:rPr>
      </w:pPr>
    </w:p>
    <w:p w:rsidR="00BE691E" w:rsidRPr="00137885" w:rsidRDefault="00BE691E" w:rsidP="00BE691E">
      <w:pPr>
        <w:spacing w:after="0" w:line="240" w:lineRule="auto"/>
        <w:jc w:val="both"/>
        <w:rPr>
          <w:rFonts w:ascii="Times New Roman" w:eastAsia="Calibri" w:hAnsi="Times New Roman"/>
          <w:sz w:val="24"/>
          <w:szCs w:val="24"/>
        </w:rPr>
      </w:pPr>
      <w:r w:rsidRPr="00137885">
        <w:rPr>
          <w:rFonts w:ascii="Times New Roman" w:eastAsia="Calibri" w:hAnsi="Times New Roman"/>
          <w:sz w:val="24"/>
          <w:szCs w:val="24"/>
        </w:rPr>
        <w:t xml:space="preserve">Produkciu palivovej </w:t>
      </w:r>
      <w:proofErr w:type="spellStart"/>
      <w:r w:rsidRPr="00137885">
        <w:rPr>
          <w:rFonts w:ascii="Times New Roman" w:eastAsia="Calibri" w:hAnsi="Times New Roman"/>
          <w:sz w:val="24"/>
          <w:szCs w:val="24"/>
        </w:rPr>
        <w:t>dendromasy</w:t>
      </w:r>
      <w:proofErr w:type="spellEnd"/>
      <w:r w:rsidRPr="00137885">
        <w:rPr>
          <w:rFonts w:ascii="Times New Roman" w:eastAsia="Calibri" w:hAnsi="Times New Roman"/>
          <w:sz w:val="24"/>
          <w:szCs w:val="24"/>
        </w:rPr>
        <w:t xml:space="preserve"> a tiež vlákninového dreva možno v porastoch  rýchlorastúcich drevín v relatívne krátkom časovom úseku zvýšiť skrátením rubných dôb, najmä v menej produkčných porastoch a v porastoch s nízkym podielom guľatinových sortimentov. Trvalo udržateľný rast produkcie </w:t>
      </w:r>
      <w:proofErr w:type="spellStart"/>
      <w:r w:rsidRPr="00137885">
        <w:rPr>
          <w:rFonts w:ascii="Times New Roman" w:eastAsia="Calibri" w:hAnsi="Times New Roman"/>
          <w:sz w:val="24"/>
          <w:szCs w:val="24"/>
        </w:rPr>
        <w:t>dendromasy</w:t>
      </w:r>
      <w:proofErr w:type="spellEnd"/>
      <w:r w:rsidRPr="00137885">
        <w:rPr>
          <w:rFonts w:ascii="Times New Roman" w:eastAsia="Calibri" w:hAnsi="Times New Roman"/>
          <w:sz w:val="24"/>
          <w:szCs w:val="24"/>
        </w:rPr>
        <w:t xml:space="preserve"> možno dosiahnuť zmenou spôsobu obhospodarovania porastov rýchlorastúcich drevín a v opodstatnených prípadoch tiež ich zaradením do energetických porastov.</w:t>
      </w:r>
    </w:p>
    <w:p w:rsidR="00BE691E" w:rsidRDefault="00BE691E" w:rsidP="00BE691E">
      <w:pPr>
        <w:spacing w:after="0" w:line="240" w:lineRule="auto"/>
        <w:jc w:val="both"/>
        <w:rPr>
          <w:rFonts w:ascii="Times New Roman" w:eastAsia="Calibri" w:hAnsi="Times New Roman"/>
          <w:sz w:val="24"/>
          <w:szCs w:val="24"/>
        </w:rPr>
      </w:pPr>
    </w:p>
    <w:p w:rsidR="00BE691E" w:rsidRPr="00DF3283" w:rsidRDefault="00BE691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V  strednodobom horizonte</w:t>
      </w:r>
      <w:r w:rsidRPr="00DF3283">
        <w:rPr>
          <w:rFonts w:ascii="Times New Roman" w:eastAsia="Calibri" w:hAnsi="Times New Roman"/>
          <w:sz w:val="24"/>
          <w:szCs w:val="24"/>
        </w:rPr>
        <w:t xml:space="preserve"> možno uvažovať s pestovaním energetických porastov na výmere </w:t>
      </w:r>
      <w:r>
        <w:rPr>
          <w:rFonts w:ascii="Times New Roman" w:eastAsia="Calibri" w:hAnsi="Times New Roman"/>
          <w:sz w:val="24"/>
          <w:szCs w:val="24"/>
        </w:rPr>
        <w:t>7 500 ha</w:t>
      </w:r>
      <w:r w:rsidRPr="00DF3283">
        <w:rPr>
          <w:rFonts w:ascii="Times New Roman" w:eastAsia="Calibri" w:hAnsi="Times New Roman"/>
          <w:sz w:val="24"/>
          <w:szCs w:val="24"/>
        </w:rPr>
        <w:t xml:space="preserve"> pri očakáva</w:t>
      </w:r>
      <w:r>
        <w:rPr>
          <w:rFonts w:ascii="Times New Roman" w:eastAsia="Calibri" w:hAnsi="Times New Roman"/>
          <w:sz w:val="24"/>
          <w:szCs w:val="24"/>
        </w:rPr>
        <w:t>nej ročnej</w:t>
      </w:r>
      <w:r w:rsidRPr="00DF3283">
        <w:rPr>
          <w:rFonts w:ascii="Times New Roman" w:eastAsia="Calibri" w:hAnsi="Times New Roman"/>
          <w:sz w:val="24"/>
          <w:szCs w:val="24"/>
        </w:rPr>
        <w:t xml:space="preserve"> produkcii </w:t>
      </w:r>
      <w:r>
        <w:rPr>
          <w:rFonts w:ascii="Times New Roman" w:eastAsia="Calibri" w:hAnsi="Times New Roman"/>
          <w:sz w:val="24"/>
          <w:szCs w:val="24"/>
        </w:rPr>
        <w:t>62 500</w:t>
      </w:r>
      <w:r w:rsidRPr="00DF3283">
        <w:rPr>
          <w:rFonts w:ascii="Times New Roman" w:eastAsia="Calibri" w:hAnsi="Times New Roman"/>
          <w:sz w:val="24"/>
          <w:szCs w:val="24"/>
        </w:rPr>
        <w:t xml:space="preserve"> m</w:t>
      </w:r>
      <w:r w:rsidRPr="00DF3283">
        <w:rPr>
          <w:rFonts w:ascii="Times New Roman" w:eastAsia="Calibri" w:hAnsi="Times New Roman"/>
          <w:sz w:val="24"/>
          <w:szCs w:val="24"/>
          <w:vertAlign w:val="superscript"/>
        </w:rPr>
        <w:t>3</w:t>
      </w:r>
      <w:r w:rsidRPr="00DF3283">
        <w:rPr>
          <w:rFonts w:ascii="Times New Roman" w:eastAsia="Calibri" w:hAnsi="Times New Roman"/>
          <w:sz w:val="24"/>
          <w:szCs w:val="24"/>
        </w:rPr>
        <w:t>dendromasy. Z toho pri 15 ročnej rubnej dobe pripadne na energetickú štiepku 70% a vlákninové drevo 30%.</w:t>
      </w:r>
    </w:p>
    <w:p w:rsidR="00BE691E" w:rsidRDefault="00BE691E"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sidRPr="00207C99">
        <w:rPr>
          <w:rFonts w:ascii="Times New Roman" w:eastAsia="Calibri" w:hAnsi="Times New Roman"/>
          <w:sz w:val="24"/>
          <w:szCs w:val="24"/>
        </w:rPr>
        <w:t xml:space="preserve">Priame náklady na založenie, ošetrovanie porastov a výkony súvisiace s ťažbovou činnosťou energetických porastov sa predpokladajú vo výške 2 650 </w:t>
      </w:r>
      <w:r>
        <w:rPr>
          <w:rFonts w:ascii="Times New Roman" w:eastAsia="Calibri" w:hAnsi="Times New Roman"/>
          <w:sz w:val="24"/>
          <w:szCs w:val="24"/>
        </w:rPr>
        <w:t>EUR/ha, čo pri celkovej výmere 7 500 ha vyžaduje financovanie na úrovni cca 20 000 </w:t>
      </w:r>
      <w:proofErr w:type="spellStart"/>
      <w:r>
        <w:rPr>
          <w:rFonts w:ascii="Times New Roman" w:eastAsia="Calibri" w:hAnsi="Times New Roman"/>
          <w:sz w:val="24"/>
          <w:szCs w:val="24"/>
        </w:rPr>
        <w:t>000</w:t>
      </w:r>
      <w:proofErr w:type="spellEnd"/>
      <w:r>
        <w:rPr>
          <w:rFonts w:ascii="Times New Roman" w:eastAsia="Calibri" w:hAnsi="Times New Roman"/>
          <w:sz w:val="24"/>
          <w:szCs w:val="24"/>
        </w:rPr>
        <w:t xml:space="preserve"> EUR.</w:t>
      </w:r>
    </w:p>
    <w:p w:rsidR="00BE691E" w:rsidRDefault="00BE691E"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sidRPr="00207C99">
        <w:rPr>
          <w:rFonts w:ascii="Times New Roman" w:eastAsia="Calibri" w:hAnsi="Times New Roman"/>
          <w:sz w:val="24"/>
          <w:szCs w:val="24"/>
        </w:rPr>
        <w:t xml:space="preserve">V procese samotnej výroby štiepky sa počíta s nákupom </w:t>
      </w:r>
      <w:proofErr w:type="spellStart"/>
      <w:r w:rsidRPr="00207C99">
        <w:rPr>
          <w:rFonts w:ascii="Times New Roman" w:eastAsia="Calibri" w:hAnsi="Times New Roman"/>
          <w:sz w:val="24"/>
          <w:szCs w:val="24"/>
        </w:rPr>
        <w:t>dendromasy</w:t>
      </w:r>
      <w:proofErr w:type="spellEnd"/>
      <w:r w:rsidRPr="00207C99">
        <w:rPr>
          <w:rFonts w:ascii="Times New Roman" w:eastAsia="Calibri" w:hAnsi="Times New Roman"/>
          <w:sz w:val="24"/>
          <w:szCs w:val="24"/>
        </w:rPr>
        <w:t xml:space="preserve"> od producen</w:t>
      </w:r>
      <w:r>
        <w:rPr>
          <w:rFonts w:ascii="Times New Roman" w:eastAsia="Calibri" w:hAnsi="Times New Roman"/>
          <w:sz w:val="24"/>
          <w:szCs w:val="24"/>
        </w:rPr>
        <w:t xml:space="preserve">ta, teda </w:t>
      </w:r>
      <w:r w:rsidRPr="00207C99">
        <w:rPr>
          <w:rFonts w:ascii="Times New Roman" w:eastAsia="Calibri" w:hAnsi="Times New Roman"/>
          <w:sz w:val="24"/>
          <w:szCs w:val="24"/>
        </w:rPr>
        <w:t xml:space="preserve">pestovateľa, jej následné </w:t>
      </w:r>
      <w:proofErr w:type="spellStart"/>
      <w:r w:rsidRPr="00207C99">
        <w:rPr>
          <w:rFonts w:ascii="Times New Roman" w:eastAsia="Calibri" w:hAnsi="Times New Roman"/>
          <w:sz w:val="24"/>
          <w:szCs w:val="24"/>
        </w:rPr>
        <w:t>zoštiepkovanie</w:t>
      </w:r>
      <w:proofErr w:type="spellEnd"/>
      <w:r w:rsidRPr="00207C99">
        <w:rPr>
          <w:rFonts w:ascii="Times New Roman" w:eastAsia="Calibri" w:hAnsi="Times New Roman"/>
          <w:sz w:val="24"/>
          <w:szCs w:val="24"/>
        </w:rPr>
        <w:t xml:space="preserve"> ako aj odvoz štiepky k spotreb</w:t>
      </w:r>
      <w:r>
        <w:rPr>
          <w:rFonts w:ascii="Times New Roman" w:eastAsia="Calibri" w:hAnsi="Times New Roman"/>
          <w:sz w:val="24"/>
          <w:szCs w:val="24"/>
        </w:rPr>
        <w:t xml:space="preserve">iteľovi (tepláreň, elektráreň). Výška celkových nákladov, na základe vyčíslenia jednotlivých položiek </w:t>
      </w:r>
      <w:r>
        <w:rPr>
          <w:rFonts w:ascii="Times New Roman" w:eastAsia="Calibri" w:hAnsi="Times New Roman"/>
          <w:sz w:val="24"/>
          <w:szCs w:val="24"/>
        </w:rPr>
        <w:lastRenderedPageBreak/>
        <w:t>kalkulačného vzorca dosahuje úroveň 46,50 EUR/t.</w:t>
      </w:r>
      <w:r w:rsidRPr="00207C99">
        <w:rPr>
          <w:rFonts w:ascii="Times New Roman" w:eastAsia="Calibri" w:hAnsi="Times New Roman"/>
          <w:sz w:val="24"/>
          <w:szCs w:val="24"/>
        </w:rPr>
        <w:t xml:space="preserve"> Priemerné speňaženie drevnej štiepky </w:t>
      </w:r>
      <w:r>
        <w:rPr>
          <w:rFonts w:ascii="Times New Roman" w:eastAsia="Calibri" w:hAnsi="Times New Roman"/>
          <w:sz w:val="24"/>
          <w:szCs w:val="24"/>
        </w:rPr>
        <w:t>je vo výške 46,70 EUR</w:t>
      </w:r>
      <w:r w:rsidRPr="00207C99">
        <w:rPr>
          <w:rFonts w:ascii="Times New Roman" w:eastAsia="Calibri" w:hAnsi="Times New Roman"/>
          <w:sz w:val="24"/>
          <w:szCs w:val="24"/>
        </w:rPr>
        <w:t xml:space="preserve">/t. Konečný zisk z dodanej štiepky predstavuje úroveň vo výške 0,20 </w:t>
      </w:r>
      <w:r>
        <w:rPr>
          <w:rFonts w:ascii="Times New Roman" w:eastAsia="Calibri" w:hAnsi="Times New Roman"/>
          <w:sz w:val="24"/>
          <w:szCs w:val="24"/>
        </w:rPr>
        <w:t>EUR/t</w:t>
      </w:r>
      <w:r w:rsidRPr="00207C99">
        <w:rPr>
          <w:rFonts w:ascii="Times New Roman" w:eastAsia="Calibri" w:hAnsi="Times New Roman"/>
          <w:sz w:val="24"/>
          <w:szCs w:val="24"/>
        </w:rPr>
        <w:t xml:space="preserve"> (priemerné speňaženie mínus celkové náklady).</w:t>
      </w:r>
    </w:p>
    <w:p w:rsidR="00BE691E" w:rsidRPr="00207C99" w:rsidRDefault="00BE691E"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Z hľadiska korektnosti prepočtov je potrebné dodať, že n</w:t>
      </w:r>
      <w:r w:rsidRPr="00207C99">
        <w:rPr>
          <w:rFonts w:ascii="Times New Roman" w:eastAsia="Calibri" w:hAnsi="Times New Roman"/>
          <w:sz w:val="24"/>
          <w:szCs w:val="24"/>
        </w:rPr>
        <w:t>a celkovú efektivitu má výrazný vplyv preprava štiepky (vrátane manipulácie s ňou) konečnému odberateľovi, pričom za únosnú možno považovať prepravnú vzdialenosť do 40-50 km. Energetické porasty by sa preto mali zakladať len v takejto vzdialenosti od odberných miest.</w:t>
      </w:r>
    </w:p>
    <w:p w:rsidR="007F7B56" w:rsidRPr="00CA24F7" w:rsidRDefault="007F7B56" w:rsidP="00BE691E">
      <w:pPr>
        <w:spacing w:after="0" w:line="240" w:lineRule="auto"/>
        <w:jc w:val="both"/>
        <w:rPr>
          <w:rFonts w:ascii="Times New Roman" w:eastAsia="Calibri" w:hAnsi="Times New Roman"/>
          <w:sz w:val="24"/>
          <w:szCs w:val="24"/>
        </w:rPr>
      </w:pPr>
    </w:p>
    <w:p w:rsidR="00BE691E" w:rsidRPr="00E015A4" w:rsidRDefault="00BE691E" w:rsidP="000D68DC">
      <w:pPr>
        <w:pStyle w:val="Nadpis3"/>
        <w:numPr>
          <w:ilvl w:val="2"/>
          <w:numId w:val="8"/>
        </w:numPr>
        <w:rPr>
          <w:rFonts w:eastAsia="Calibri"/>
          <w:szCs w:val="24"/>
        </w:rPr>
      </w:pPr>
      <w:bookmarkStart w:id="45" w:name="_Toc359550666"/>
      <w:r w:rsidRPr="00E015A4">
        <w:rPr>
          <w:rFonts w:eastAsia="Calibri"/>
          <w:szCs w:val="24"/>
        </w:rPr>
        <w:t>Podpora usporiadania vlastníckych a užívacích práv k lesným nehnuteľnostiam</w:t>
      </w:r>
      <w:bookmarkEnd w:id="45"/>
    </w:p>
    <w:p w:rsidR="007F7B56" w:rsidRDefault="007F7B56" w:rsidP="00454E96">
      <w:pPr>
        <w:spacing w:after="0" w:line="240" w:lineRule="auto"/>
        <w:jc w:val="both"/>
        <w:rPr>
          <w:rFonts w:ascii="Times New Roman" w:eastAsia="Calibri" w:hAnsi="Times New Roman"/>
          <w:sz w:val="24"/>
          <w:szCs w:val="24"/>
        </w:rPr>
      </w:pPr>
    </w:p>
    <w:p w:rsidR="00454E96" w:rsidRDefault="00454E96" w:rsidP="00454E96">
      <w:pPr>
        <w:spacing w:after="0" w:line="240" w:lineRule="auto"/>
        <w:jc w:val="both"/>
        <w:rPr>
          <w:rFonts w:ascii="Times New Roman" w:eastAsia="Calibri" w:hAnsi="Times New Roman"/>
          <w:sz w:val="24"/>
          <w:szCs w:val="24"/>
        </w:rPr>
      </w:pPr>
      <w:r w:rsidRPr="00454E96">
        <w:rPr>
          <w:rFonts w:ascii="Times New Roman" w:eastAsia="Calibri" w:hAnsi="Times New Roman"/>
          <w:sz w:val="24"/>
          <w:szCs w:val="24"/>
        </w:rPr>
        <w:t xml:space="preserve">Vo vlastnícke štátu, v správe štátnych organizácií lesného hospodárstva SR bolo v roku 2011 790 844 ha porastovej pôdy, čo predstavuje 40,8 % z celkovej výmery porastovej pôdy. Štátne organizácie však v tomto období obhospodarovali </w:t>
      </w:r>
      <w:r>
        <w:rPr>
          <w:rFonts w:ascii="Times New Roman" w:eastAsia="Calibri" w:hAnsi="Times New Roman"/>
          <w:sz w:val="24"/>
          <w:szCs w:val="24"/>
        </w:rPr>
        <w:t xml:space="preserve">až </w:t>
      </w:r>
      <w:r w:rsidRPr="00454E96">
        <w:rPr>
          <w:rFonts w:ascii="Times New Roman" w:eastAsia="Calibri" w:hAnsi="Times New Roman"/>
          <w:sz w:val="24"/>
          <w:szCs w:val="24"/>
        </w:rPr>
        <w:t xml:space="preserve">1 069 286 ha porastovej pôdy, čo je 55,1 % z celkovej porastovej pôdy. </w:t>
      </w:r>
      <w:r>
        <w:rPr>
          <w:rFonts w:ascii="Times New Roman" w:eastAsia="Calibri" w:hAnsi="Times New Roman"/>
          <w:sz w:val="24"/>
          <w:szCs w:val="24"/>
        </w:rPr>
        <w:t>P</w:t>
      </w:r>
      <w:r w:rsidRPr="00454E96">
        <w:rPr>
          <w:rFonts w:ascii="Times New Roman" w:eastAsia="Calibri" w:hAnsi="Times New Roman"/>
          <w:sz w:val="24"/>
          <w:szCs w:val="24"/>
        </w:rPr>
        <w:t xml:space="preserve">roces usporiadania vlastníckych a užívacích práv k lesným pozemkom podľa platných reštitučných zákonov prebieha aj naďalej a nie je možné stanoviť jeho ukončenie. </w:t>
      </w:r>
    </w:p>
    <w:p w:rsidR="00454E96" w:rsidRDefault="00454E96" w:rsidP="00454E96">
      <w:pPr>
        <w:spacing w:after="0" w:line="240" w:lineRule="auto"/>
        <w:jc w:val="both"/>
        <w:rPr>
          <w:rFonts w:ascii="Times New Roman" w:eastAsia="Calibri" w:hAnsi="Times New Roman"/>
          <w:sz w:val="24"/>
          <w:szCs w:val="24"/>
        </w:rPr>
      </w:pPr>
    </w:p>
    <w:p w:rsidR="00454E96" w:rsidRPr="00454E96" w:rsidRDefault="00454E96" w:rsidP="00454E96">
      <w:pPr>
        <w:spacing w:after="0" w:line="240" w:lineRule="auto"/>
        <w:jc w:val="both"/>
        <w:rPr>
          <w:rFonts w:ascii="Times New Roman" w:eastAsia="Calibri" w:hAnsi="Times New Roman"/>
          <w:sz w:val="24"/>
          <w:szCs w:val="24"/>
        </w:rPr>
      </w:pPr>
      <w:r w:rsidRPr="00454E96">
        <w:rPr>
          <w:rFonts w:ascii="Times New Roman" w:eastAsia="Calibri" w:hAnsi="Times New Roman"/>
          <w:sz w:val="24"/>
          <w:szCs w:val="24"/>
        </w:rPr>
        <w:t>V roku 2011 bolo na Slovensku 211 372 ha porastovej pôdy tzv. neznámych vlastníkov (nezistené vlastníctvo), čo predstavuje 10,9 % z celkovej výmery porastovej plochy.</w:t>
      </w:r>
    </w:p>
    <w:p w:rsidR="00454E96" w:rsidRDefault="00454E96" w:rsidP="00454E96">
      <w:pPr>
        <w:spacing w:after="0" w:line="240" w:lineRule="auto"/>
        <w:jc w:val="both"/>
        <w:rPr>
          <w:rFonts w:ascii="Times New Roman" w:eastAsia="Calibri" w:hAnsi="Times New Roman"/>
          <w:sz w:val="24"/>
          <w:szCs w:val="24"/>
        </w:rPr>
      </w:pPr>
    </w:p>
    <w:p w:rsidR="00454E96" w:rsidRDefault="00454E96" w:rsidP="00454E96">
      <w:pPr>
        <w:spacing w:after="0" w:line="240" w:lineRule="auto"/>
        <w:jc w:val="both"/>
        <w:rPr>
          <w:rFonts w:ascii="Times New Roman" w:eastAsia="Calibri" w:hAnsi="Times New Roman"/>
          <w:sz w:val="24"/>
          <w:szCs w:val="24"/>
        </w:rPr>
      </w:pPr>
      <w:r w:rsidRPr="00454E96">
        <w:rPr>
          <w:rFonts w:ascii="Times New Roman" w:eastAsia="Calibri" w:hAnsi="Times New Roman"/>
          <w:sz w:val="24"/>
          <w:szCs w:val="24"/>
        </w:rPr>
        <w:t xml:space="preserve">Neštátne subjekty lesného hospodárstva vlastnia a obhospodarujú lesy súkromné, </w:t>
      </w:r>
      <w:proofErr w:type="spellStart"/>
      <w:r w:rsidRPr="00454E96">
        <w:rPr>
          <w:rFonts w:ascii="Times New Roman" w:eastAsia="Calibri" w:hAnsi="Times New Roman"/>
          <w:sz w:val="24"/>
          <w:szCs w:val="24"/>
        </w:rPr>
        <w:t>spoločenstevné</w:t>
      </w:r>
      <w:proofErr w:type="spellEnd"/>
      <w:r w:rsidRPr="00454E96">
        <w:rPr>
          <w:rFonts w:ascii="Times New Roman" w:eastAsia="Calibri" w:hAnsi="Times New Roman"/>
          <w:sz w:val="24"/>
          <w:szCs w:val="24"/>
        </w:rPr>
        <w:t>, cirkevné, obecné a les</w:t>
      </w:r>
      <w:r>
        <w:rPr>
          <w:rFonts w:ascii="Times New Roman" w:eastAsia="Calibri" w:hAnsi="Times New Roman"/>
          <w:sz w:val="24"/>
          <w:szCs w:val="24"/>
        </w:rPr>
        <w:t xml:space="preserve">y poľnohospodárskych družstiev, pričom </w:t>
      </w:r>
      <w:r w:rsidRPr="00454E96">
        <w:rPr>
          <w:rFonts w:ascii="Times New Roman" w:eastAsia="Calibri" w:hAnsi="Times New Roman"/>
          <w:sz w:val="24"/>
          <w:szCs w:val="24"/>
        </w:rPr>
        <w:t xml:space="preserve">nie všetky pozemky vo vlastníctve neštátnych subjektov tieto subjekty aj obhospodarujú. Táto skutočnosť je spôsobená aj neukončeným procesom transformácie vlastníckych a užívacích vzťahov k lesným pozemkom. </w:t>
      </w:r>
    </w:p>
    <w:p w:rsidR="00454E96" w:rsidRDefault="00454E96" w:rsidP="00454E96">
      <w:pPr>
        <w:spacing w:after="0" w:line="240" w:lineRule="auto"/>
        <w:jc w:val="both"/>
        <w:rPr>
          <w:rFonts w:ascii="Times New Roman" w:eastAsia="Calibri" w:hAnsi="Times New Roman"/>
          <w:sz w:val="24"/>
          <w:szCs w:val="24"/>
        </w:rPr>
      </w:pPr>
    </w:p>
    <w:p w:rsidR="00454E96" w:rsidRDefault="00454E96" w:rsidP="00454E96">
      <w:pPr>
        <w:spacing w:after="0" w:line="240" w:lineRule="auto"/>
        <w:jc w:val="both"/>
        <w:rPr>
          <w:rFonts w:ascii="Times New Roman" w:eastAsia="Calibri" w:hAnsi="Times New Roman"/>
          <w:sz w:val="24"/>
          <w:szCs w:val="24"/>
        </w:rPr>
      </w:pPr>
      <w:r w:rsidRPr="00454E96">
        <w:rPr>
          <w:rFonts w:ascii="Times New Roman" w:eastAsia="Calibri" w:hAnsi="Times New Roman"/>
          <w:sz w:val="24"/>
          <w:szCs w:val="24"/>
        </w:rPr>
        <w:t xml:space="preserve">Lesné pozemky, ktoré sú predmetom transformácie vlastníckych a užívacích vzťahov, odovzdávajú vlastníkom </w:t>
      </w:r>
      <w:r>
        <w:rPr>
          <w:rFonts w:ascii="Times New Roman" w:eastAsia="Calibri" w:hAnsi="Times New Roman"/>
          <w:sz w:val="24"/>
          <w:szCs w:val="24"/>
        </w:rPr>
        <w:t xml:space="preserve">povinné osoby, t.j. </w:t>
      </w:r>
      <w:r w:rsidRPr="00454E96">
        <w:rPr>
          <w:rFonts w:ascii="Times New Roman" w:eastAsia="Calibri" w:hAnsi="Times New Roman"/>
          <w:sz w:val="24"/>
          <w:szCs w:val="24"/>
        </w:rPr>
        <w:t xml:space="preserve">štátne organizácie lesného hospodárstva v gescii </w:t>
      </w:r>
      <w:r>
        <w:rPr>
          <w:rFonts w:ascii="Times New Roman" w:eastAsia="Calibri" w:hAnsi="Times New Roman"/>
          <w:sz w:val="24"/>
          <w:szCs w:val="24"/>
        </w:rPr>
        <w:t>Ministerstva pôdohospodárstva a rozvoja vidieka SR</w:t>
      </w:r>
      <w:r w:rsidRPr="00454E96">
        <w:rPr>
          <w:rFonts w:ascii="Times New Roman" w:eastAsia="Calibri" w:hAnsi="Times New Roman"/>
          <w:sz w:val="24"/>
          <w:szCs w:val="24"/>
        </w:rPr>
        <w:t xml:space="preserve"> a Ministerstva obrany SR. Povinnými osobami sú LESY SR, š. p., LPM Ulič, š. p.</w:t>
      </w:r>
      <w:r>
        <w:rPr>
          <w:rFonts w:ascii="Times New Roman" w:eastAsia="Calibri" w:hAnsi="Times New Roman"/>
          <w:sz w:val="24"/>
          <w:szCs w:val="24"/>
        </w:rPr>
        <w:t xml:space="preserve">, </w:t>
      </w:r>
      <w:r w:rsidRPr="00454E96">
        <w:rPr>
          <w:rFonts w:ascii="Times New Roman" w:eastAsia="Calibri" w:hAnsi="Times New Roman"/>
          <w:sz w:val="24"/>
          <w:szCs w:val="24"/>
        </w:rPr>
        <w:t xml:space="preserve">ŠL TANAP, Tatranská Lomnica a VLM SR - štátny podnik. </w:t>
      </w:r>
    </w:p>
    <w:p w:rsidR="00454E96" w:rsidRDefault="00454E96" w:rsidP="00454E96">
      <w:pPr>
        <w:spacing w:after="0" w:line="240" w:lineRule="auto"/>
        <w:jc w:val="both"/>
        <w:rPr>
          <w:rFonts w:ascii="Times New Roman" w:eastAsia="Calibri" w:hAnsi="Times New Roman"/>
          <w:sz w:val="24"/>
          <w:szCs w:val="24"/>
        </w:rPr>
      </w:pPr>
    </w:p>
    <w:p w:rsidR="00454E96" w:rsidRDefault="00454E96" w:rsidP="00454E96">
      <w:pPr>
        <w:spacing w:after="0" w:line="240" w:lineRule="auto"/>
        <w:jc w:val="both"/>
        <w:rPr>
          <w:rFonts w:ascii="Times New Roman" w:eastAsia="Calibri" w:hAnsi="Times New Roman"/>
          <w:sz w:val="24"/>
          <w:szCs w:val="24"/>
        </w:rPr>
      </w:pPr>
      <w:r w:rsidRPr="00454E96">
        <w:rPr>
          <w:rFonts w:ascii="Times New Roman" w:eastAsia="Calibri" w:hAnsi="Times New Roman"/>
          <w:sz w:val="24"/>
          <w:szCs w:val="24"/>
        </w:rPr>
        <w:t xml:space="preserve">Výmera neodovzdaných lesných pozemkov pozostáva z lesných pozemkov vo vlastníctve fyzických a právnických osôb, ktoré si svoje práva u povinných osôb uplatnili a sú v riešení, ďalej z lesných pozemkov vo vlastníctve neznámych fyzických osôb, fyzických osôb, ktorých pobyt nie je známy a osôb ktoré si svoje práva doteraz neuplatnili. </w:t>
      </w:r>
    </w:p>
    <w:p w:rsidR="00454E96" w:rsidRDefault="00454E96" w:rsidP="00454E96">
      <w:pPr>
        <w:spacing w:after="0" w:line="240" w:lineRule="auto"/>
        <w:jc w:val="both"/>
        <w:rPr>
          <w:rFonts w:ascii="Times New Roman" w:eastAsia="Calibri" w:hAnsi="Times New Roman"/>
          <w:sz w:val="24"/>
          <w:szCs w:val="24"/>
        </w:rPr>
      </w:pPr>
    </w:p>
    <w:p w:rsidR="00454E96" w:rsidRDefault="00454E96" w:rsidP="00454E9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Urýchlené usporiadanie vlastníckych a užívacích práv k lesným pozemkom vo vlastníctve neštátnych subjektov a súčasne v obhospodarovaní štátnych organizácií lesného hospodárstva je potrebné nakoľko obhospodarovaním tohto lesného majetku vznikajú štátnym organizáciám lesného hospodárstva vysoké vynútené náklady. </w:t>
      </w:r>
      <w:r w:rsidR="007F7B56">
        <w:rPr>
          <w:rFonts w:ascii="Times New Roman" w:eastAsia="Calibri" w:hAnsi="Times New Roman"/>
          <w:sz w:val="24"/>
          <w:szCs w:val="24"/>
        </w:rPr>
        <w:t>V súčasnej dobe je v obhospodarovaní štátnych organizácií lesného hospodárstva 207 643 ha lesných pozemkov vo vlastníctve neštátneho sektoru, z čoho je 89 714 ha vo vybavovaní a 117 929 ha vo vlastníctve neštátnych subjektov, ktoré zatiaľ nepožiadali o vydanie majetku.</w:t>
      </w:r>
    </w:p>
    <w:p w:rsidR="007F7B56" w:rsidRDefault="007F7B56" w:rsidP="00454E96">
      <w:pPr>
        <w:spacing w:after="0" w:line="240" w:lineRule="auto"/>
        <w:jc w:val="both"/>
        <w:rPr>
          <w:rFonts w:ascii="Times New Roman" w:eastAsia="Calibri" w:hAnsi="Times New Roman"/>
          <w:sz w:val="24"/>
          <w:szCs w:val="24"/>
        </w:rPr>
      </w:pPr>
    </w:p>
    <w:p w:rsidR="007F7B56" w:rsidRPr="00454E96" w:rsidRDefault="007F7B56" w:rsidP="00454E9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Celkové predpokladané náklady na usporiadanie vlastníckych a užívacích práv k lesným nehnuteľnostiam na rok predstavujú 2 500 000 EUR, z čoho na vyhotovenie geometrických plánov 450 000 EUR, poplatky za </w:t>
      </w:r>
      <w:r w:rsidRPr="007F7B56">
        <w:rPr>
          <w:rFonts w:ascii="Times New Roman" w:eastAsia="Calibri" w:hAnsi="Times New Roman"/>
          <w:sz w:val="24"/>
          <w:szCs w:val="24"/>
        </w:rPr>
        <w:t>register obnovenej evidencie pozemkov</w:t>
      </w:r>
      <w:r>
        <w:rPr>
          <w:rFonts w:ascii="Times New Roman" w:eastAsia="Calibri" w:hAnsi="Times New Roman"/>
          <w:sz w:val="24"/>
          <w:szCs w:val="24"/>
        </w:rPr>
        <w:t xml:space="preserve"> 550 000 EUR, </w:t>
      </w:r>
      <w:r>
        <w:rPr>
          <w:rFonts w:ascii="Times New Roman" w:eastAsia="Calibri" w:hAnsi="Times New Roman"/>
          <w:sz w:val="24"/>
          <w:szCs w:val="24"/>
        </w:rPr>
        <w:lastRenderedPageBreak/>
        <w:t>finančná náhrada za pozemky malých výmer 15 000 EUR a daň z nehnuteľností vo vlastníctve neštátneho sektora 1 485 000 EUR.</w:t>
      </w:r>
    </w:p>
    <w:p w:rsidR="00BE691E" w:rsidRDefault="00BE691E" w:rsidP="00BE691E">
      <w:pPr>
        <w:spacing w:after="0" w:line="240" w:lineRule="auto"/>
        <w:rPr>
          <w:rFonts w:ascii="Times New Roman" w:hAnsi="Times New Roman" w:cs="Times New Roman"/>
          <w:b/>
          <w:sz w:val="24"/>
          <w:szCs w:val="24"/>
        </w:rPr>
      </w:pPr>
    </w:p>
    <w:p w:rsidR="00850910" w:rsidRPr="007F7B56" w:rsidRDefault="00850910" w:rsidP="00BE691E">
      <w:pPr>
        <w:spacing w:after="0" w:line="240" w:lineRule="auto"/>
        <w:rPr>
          <w:rFonts w:ascii="Times New Roman" w:hAnsi="Times New Roman" w:cs="Times New Roman"/>
          <w:b/>
          <w:sz w:val="24"/>
          <w:szCs w:val="24"/>
        </w:rPr>
      </w:pPr>
    </w:p>
    <w:p w:rsidR="00BE691E" w:rsidRPr="00E015A4" w:rsidRDefault="00BE691E" w:rsidP="000D68DC">
      <w:pPr>
        <w:pStyle w:val="Nadpis2"/>
        <w:numPr>
          <w:ilvl w:val="1"/>
          <w:numId w:val="8"/>
        </w:numPr>
        <w:rPr>
          <w:rFonts w:cs="Times New Roman"/>
          <w:szCs w:val="24"/>
        </w:rPr>
      </w:pPr>
      <w:bookmarkStart w:id="46" w:name="_Toc359550667"/>
      <w:r w:rsidRPr="00E015A4">
        <w:rPr>
          <w:rFonts w:cs="Times New Roman"/>
          <w:szCs w:val="24"/>
        </w:rPr>
        <w:t>Ekologický aspekt trvalo udržateľného obhospodarovania lesov</w:t>
      </w:r>
      <w:bookmarkEnd w:id="46"/>
    </w:p>
    <w:p w:rsidR="00BE691E" w:rsidRDefault="00BE691E"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Ekologický aspekt trvalo udržateľného obhospodarovania lesov obsahuje napĺňanie základných predpokladov pre zlepšovanie biologickej rozmanitosti, viazanie uhlíka, integritu, zdravie a odolnosť lesných ekosystémov.</w:t>
      </w:r>
    </w:p>
    <w:p w:rsidR="00BE691E" w:rsidRDefault="00BE691E" w:rsidP="00BE691E">
      <w:pPr>
        <w:spacing w:after="0" w:line="240" w:lineRule="auto"/>
        <w:jc w:val="both"/>
        <w:rPr>
          <w:rFonts w:ascii="Times New Roman" w:eastAsia="Calibri" w:hAnsi="Times New Roman"/>
          <w:sz w:val="24"/>
          <w:szCs w:val="24"/>
        </w:rPr>
      </w:pPr>
    </w:p>
    <w:p w:rsidR="00BE691E" w:rsidRPr="0035502A" w:rsidRDefault="00BE691E" w:rsidP="00BE691E">
      <w:pPr>
        <w:spacing w:after="0" w:line="240" w:lineRule="auto"/>
        <w:jc w:val="both"/>
        <w:rPr>
          <w:rFonts w:ascii="Times New Roman" w:eastAsia="Calibri" w:hAnsi="Times New Roman"/>
          <w:sz w:val="24"/>
          <w:szCs w:val="24"/>
        </w:rPr>
      </w:pPr>
      <w:r w:rsidRPr="0035502A">
        <w:rPr>
          <w:rFonts w:ascii="Times New Roman" w:eastAsia="Calibri" w:hAnsi="Times New Roman"/>
          <w:sz w:val="24"/>
          <w:szCs w:val="24"/>
        </w:rPr>
        <w:t>Predpokladaná klimatická zmena sa považuje za jednu z</w:t>
      </w:r>
      <w:r>
        <w:rPr>
          <w:rFonts w:ascii="Times New Roman" w:eastAsia="Calibri" w:hAnsi="Times New Roman"/>
          <w:sz w:val="24"/>
          <w:szCs w:val="24"/>
        </w:rPr>
        <w:t> </w:t>
      </w:r>
      <w:r w:rsidRPr="0035502A">
        <w:rPr>
          <w:rFonts w:ascii="Times New Roman" w:eastAsia="Calibri" w:hAnsi="Times New Roman"/>
          <w:sz w:val="24"/>
          <w:szCs w:val="24"/>
        </w:rPr>
        <w:t>najvážnejší</w:t>
      </w:r>
      <w:r>
        <w:rPr>
          <w:rFonts w:ascii="Times New Roman" w:eastAsia="Calibri" w:hAnsi="Times New Roman"/>
          <w:sz w:val="24"/>
          <w:szCs w:val="24"/>
        </w:rPr>
        <w:t xml:space="preserve">ch hrozieb trvalo </w:t>
      </w:r>
      <w:r w:rsidRPr="0035502A">
        <w:rPr>
          <w:rFonts w:ascii="Times New Roman" w:eastAsia="Calibri" w:hAnsi="Times New Roman"/>
          <w:sz w:val="24"/>
          <w:szCs w:val="24"/>
        </w:rPr>
        <w:t>udržateľného rozvoja s nepriaznivý</w:t>
      </w:r>
      <w:r>
        <w:rPr>
          <w:rFonts w:ascii="Times New Roman" w:eastAsia="Calibri" w:hAnsi="Times New Roman"/>
          <w:sz w:val="24"/>
          <w:szCs w:val="24"/>
        </w:rPr>
        <w:t xml:space="preserve">mi dopadmi </w:t>
      </w:r>
      <w:r w:rsidRPr="0035502A">
        <w:rPr>
          <w:rFonts w:ascii="Times New Roman" w:eastAsia="Calibri" w:hAnsi="Times New Roman"/>
          <w:sz w:val="24"/>
          <w:szCs w:val="24"/>
        </w:rPr>
        <w:t>na životné prostredie, zdravie človeka, potravinovú bezpečnosť</w:t>
      </w:r>
      <w:r>
        <w:rPr>
          <w:rFonts w:ascii="Times New Roman" w:eastAsia="Calibri" w:hAnsi="Times New Roman"/>
          <w:sz w:val="24"/>
          <w:szCs w:val="24"/>
        </w:rPr>
        <w:t xml:space="preserve">, </w:t>
      </w:r>
      <w:r w:rsidRPr="0035502A">
        <w:rPr>
          <w:rFonts w:ascii="Times New Roman" w:eastAsia="Calibri" w:hAnsi="Times New Roman"/>
          <w:sz w:val="24"/>
          <w:szCs w:val="24"/>
        </w:rPr>
        <w:t>prírodné zdroje a infraštruktúru. Dokázalo sa, že zvyš</w:t>
      </w:r>
      <w:r>
        <w:rPr>
          <w:rFonts w:ascii="Times New Roman" w:eastAsia="Calibri" w:hAnsi="Times New Roman"/>
          <w:sz w:val="24"/>
          <w:szCs w:val="24"/>
        </w:rPr>
        <w:t xml:space="preserve">ovanie </w:t>
      </w:r>
      <w:r w:rsidRPr="0035502A">
        <w:rPr>
          <w:rFonts w:ascii="Times New Roman" w:eastAsia="Calibri" w:hAnsi="Times New Roman"/>
          <w:sz w:val="24"/>
          <w:szCs w:val="24"/>
        </w:rPr>
        <w:t xml:space="preserve">koncentrácií </w:t>
      </w:r>
      <w:proofErr w:type="spellStart"/>
      <w:r w:rsidRPr="0035502A">
        <w:rPr>
          <w:rFonts w:ascii="Times New Roman" w:eastAsia="Calibri" w:hAnsi="Times New Roman"/>
          <w:sz w:val="24"/>
          <w:szCs w:val="24"/>
        </w:rPr>
        <w:t>antropogénne</w:t>
      </w:r>
      <w:proofErr w:type="spellEnd"/>
      <w:r w:rsidRPr="0035502A">
        <w:rPr>
          <w:rFonts w:ascii="Times New Roman" w:eastAsia="Calibri" w:hAnsi="Times New Roman"/>
          <w:sz w:val="24"/>
          <w:szCs w:val="24"/>
        </w:rPr>
        <w:t xml:space="preserve"> produkovaných skleníkový</w:t>
      </w:r>
      <w:r>
        <w:rPr>
          <w:rFonts w:ascii="Times New Roman" w:eastAsia="Calibri" w:hAnsi="Times New Roman"/>
          <w:sz w:val="24"/>
          <w:szCs w:val="24"/>
        </w:rPr>
        <w:t xml:space="preserve">ch plynov </w:t>
      </w:r>
      <w:r w:rsidRPr="0035502A">
        <w:rPr>
          <w:rFonts w:ascii="Times New Roman" w:eastAsia="Calibri" w:hAnsi="Times New Roman"/>
          <w:sz w:val="24"/>
          <w:szCs w:val="24"/>
        </w:rPr>
        <w:t>v atmosfére spô</w:t>
      </w:r>
      <w:r>
        <w:rPr>
          <w:rFonts w:ascii="Times New Roman" w:eastAsia="Calibri" w:hAnsi="Times New Roman"/>
          <w:sz w:val="24"/>
          <w:szCs w:val="24"/>
        </w:rPr>
        <w:t xml:space="preserve">sobuje </w:t>
      </w:r>
      <w:r w:rsidRPr="0035502A">
        <w:rPr>
          <w:rFonts w:ascii="Times New Roman" w:eastAsia="Calibri" w:hAnsi="Times New Roman"/>
          <w:sz w:val="24"/>
          <w:szCs w:val="24"/>
        </w:rPr>
        <w:t>zmeny klímy a</w:t>
      </w:r>
      <w:r>
        <w:rPr>
          <w:rFonts w:ascii="Times New Roman" w:eastAsia="Calibri" w:hAnsi="Times New Roman"/>
          <w:sz w:val="24"/>
          <w:szCs w:val="24"/>
        </w:rPr>
        <w:t> </w:t>
      </w:r>
      <w:r w:rsidRPr="0035502A">
        <w:rPr>
          <w:rFonts w:ascii="Times New Roman" w:eastAsia="Calibri" w:hAnsi="Times New Roman"/>
          <w:sz w:val="24"/>
          <w:szCs w:val="24"/>
        </w:rPr>
        <w:t>ž</w:t>
      </w:r>
      <w:r>
        <w:rPr>
          <w:rFonts w:ascii="Times New Roman" w:eastAsia="Calibri" w:hAnsi="Times New Roman"/>
          <w:sz w:val="24"/>
          <w:szCs w:val="24"/>
        </w:rPr>
        <w:t xml:space="preserve">e </w:t>
      </w:r>
      <w:r w:rsidRPr="0035502A">
        <w:rPr>
          <w:rFonts w:ascii="Times New Roman" w:eastAsia="Calibri" w:hAnsi="Times New Roman"/>
          <w:sz w:val="24"/>
          <w:szCs w:val="24"/>
        </w:rPr>
        <w:t>na zmiernenie jej dopadov treba realizovať</w:t>
      </w:r>
      <w:r w:rsidR="002A7940">
        <w:rPr>
          <w:rFonts w:ascii="Times New Roman" w:eastAsia="Calibri" w:hAnsi="Times New Roman"/>
          <w:sz w:val="24"/>
          <w:szCs w:val="24"/>
        </w:rPr>
        <w:t xml:space="preserve"> </w:t>
      </w:r>
      <w:r w:rsidRPr="0035502A">
        <w:rPr>
          <w:rFonts w:ascii="Times New Roman" w:eastAsia="Calibri" w:hAnsi="Times New Roman"/>
          <w:sz w:val="24"/>
          <w:szCs w:val="24"/>
        </w:rPr>
        <w:t>vhodné opatrenia.</w:t>
      </w:r>
    </w:p>
    <w:p w:rsidR="00BE691E" w:rsidRDefault="00BE691E" w:rsidP="00BE691E">
      <w:pPr>
        <w:spacing w:after="0" w:line="240" w:lineRule="auto"/>
        <w:jc w:val="both"/>
        <w:rPr>
          <w:rFonts w:ascii="Times New Roman" w:eastAsia="Calibri" w:hAnsi="Times New Roman"/>
          <w:sz w:val="24"/>
          <w:szCs w:val="24"/>
        </w:rPr>
      </w:pPr>
    </w:p>
    <w:p w:rsidR="00BE691E" w:rsidRPr="0035502A" w:rsidRDefault="00BE691E" w:rsidP="00BE691E">
      <w:pPr>
        <w:spacing w:after="0" w:line="240" w:lineRule="auto"/>
        <w:jc w:val="both"/>
        <w:rPr>
          <w:rFonts w:ascii="Times New Roman" w:eastAsia="Calibri" w:hAnsi="Times New Roman"/>
          <w:sz w:val="24"/>
          <w:szCs w:val="24"/>
        </w:rPr>
      </w:pPr>
      <w:r w:rsidRPr="0035502A">
        <w:rPr>
          <w:rFonts w:ascii="Times New Roman" w:eastAsia="Calibri" w:hAnsi="Times New Roman"/>
          <w:sz w:val="24"/>
          <w:szCs w:val="24"/>
        </w:rPr>
        <w:t>Lesné ekosystémy môžu absorbovaní</w:t>
      </w:r>
      <w:r>
        <w:rPr>
          <w:rFonts w:ascii="Times New Roman" w:eastAsia="Calibri" w:hAnsi="Times New Roman"/>
          <w:sz w:val="24"/>
          <w:szCs w:val="24"/>
        </w:rPr>
        <w:t xml:space="preserve">m </w:t>
      </w:r>
      <w:r w:rsidRPr="0035502A">
        <w:rPr>
          <w:rFonts w:ascii="Times New Roman" w:eastAsia="Calibri" w:hAnsi="Times New Roman"/>
          <w:sz w:val="24"/>
          <w:szCs w:val="24"/>
        </w:rPr>
        <w:t>kysličníka uhličitého a jeho uskladnení</w:t>
      </w:r>
      <w:r>
        <w:rPr>
          <w:rFonts w:ascii="Times New Roman" w:eastAsia="Calibri" w:hAnsi="Times New Roman"/>
          <w:sz w:val="24"/>
          <w:szCs w:val="24"/>
        </w:rPr>
        <w:t xml:space="preserve">m </w:t>
      </w:r>
      <w:r w:rsidRPr="0035502A">
        <w:rPr>
          <w:rFonts w:ascii="Times New Roman" w:eastAsia="Calibri" w:hAnsi="Times New Roman"/>
          <w:sz w:val="24"/>
          <w:szCs w:val="24"/>
        </w:rPr>
        <w:t>vo vegetá</w:t>
      </w:r>
      <w:r>
        <w:rPr>
          <w:rFonts w:ascii="Times New Roman" w:eastAsia="Calibri" w:hAnsi="Times New Roman"/>
          <w:sz w:val="24"/>
          <w:szCs w:val="24"/>
        </w:rPr>
        <w:t xml:space="preserve">cii </w:t>
      </w:r>
      <w:r w:rsidRPr="0035502A">
        <w:rPr>
          <w:rFonts w:ascii="Times New Roman" w:eastAsia="Calibri" w:hAnsi="Times New Roman"/>
          <w:sz w:val="24"/>
          <w:szCs w:val="24"/>
        </w:rPr>
        <w:t>a v pôde vý</w:t>
      </w:r>
      <w:r>
        <w:rPr>
          <w:rFonts w:ascii="Times New Roman" w:eastAsia="Calibri" w:hAnsi="Times New Roman"/>
          <w:sz w:val="24"/>
          <w:szCs w:val="24"/>
        </w:rPr>
        <w:t xml:space="preserve">znamne </w:t>
      </w:r>
      <w:r w:rsidRPr="0035502A">
        <w:rPr>
          <w:rFonts w:ascii="Times New Roman" w:eastAsia="Calibri" w:hAnsi="Times New Roman"/>
          <w:sz w:val="24"/>
          <w:szCs w:val="24"/>
        </w:rPr>
        <w:t>ovplyvňovať priebeh a rozsa</w:t>
      </w:r>
      <w:r>
        <w:rPr>
          <w:rFonts w:ascii="Times New Roman" w:eastAsia="Calibri" w:hAnsi="Times New Roman"/>
          <w:sz w:val="24"/>
          <w:szCs w:val="24"/>
        </w:rPr>
        <w:t xml:space="preserve">h klimatickej </w:t>
      </w:r>
      <w:r w:rsidRPr="0035502A">
        <w:rPr>
          <w:rFonts w:ascii="Times New Roman" w:eastAsia="Calibri" w:hAnsi="Times New Roman"/>
          <w:sz w:val="24"/>
          <w:szCs w:val="24"/>
        </w:rPr>
        <w:t>zmeny. V dôsledku globálnych zmien klí</w:t>
      </w:r>
      <w:r>
        <w:rPr>
          <w:rFonts w:ascii="Times New Roman" w:eastAsia="Calibri" w:hAnsi="Times New Roman"/>
          <w:sz w:val="24"/>
          <w:szCs w:val="24"/>
        </w:rPr>
        <w:t xml:space="preserve">my sa bude pravdepodobne </w:t>
      </w:r>
      <w:r w:rsidRPr="0035502A">
        <w:rPr>
          <w:rFonts w:ascii="Times New Roman" w:eastAsia="Calibri" w:hAnsi="Times New Roman"/>
          <w:sz w:val="24"/>
          <w:szCs w:val="24"/>
        </w:rPr>
        <w:t>zvyšovať výskyt extrémnych klimatických javov, sucha, zá</w:t>
      </w:r>
      <w:r>
        <w:rPr>
          <w:rFonts w:ascii="Times New Roman" w:eastAsia="Calibri" w:hAnsi="Times New Roman"/>
          <w:sz w:val="24"/>
          <w:szCs w:val="24"/>
        </w:rPr>
        <w:t xml:space="preserve">plav, </w:t>
      </w:r>
      <w:r w:rsidRPr="0035502A">
        <w:rPr>
          <w:rFonts w:ascii="Times New Roman" w:eastAsia="Calibri" w:hAnsi="Times New Roman"/>
          <w:sz w:val="24"/>
          <w:szCs w:val="24"/>
        </w:rPr>
        <w:t>extrémne vysokých a nízkych teplôt. Dôjde k hynutiu menej odolný</w:t>
      </w:r>
      <w:r>
        <w:rPr>
          <w:rFonts w:ascii="Times New Roman" w:eastAsia="Calibri" w:hAnsi="Times New Roman"/>
          <w:sz w:val="24"/>
          <w:szCs w:val="24"/>
        </w:rPr>
        <w:t xml:space="preserve">ch </w:t>
      </w:r>
      <w:r w:rsidRPr="0035502A">
        <w:rPr>
          <w:rFonts w:ascii="Times New Roman" w:eastAsia="Calibri" w:hAnsi="Times New Roman"/>
          <w:sz w:val="24"/>
          <w:szCs w:val="24"/>
        </w:rPr>
        <w:t>a na stabilitu prostredia náročnejších drevín. Klimaxové spoločenstvá</w:t>
      </w:r>
      <w:r w:rsidR="002A7940">
        <w:rPr>
          <w:rFonts w:ascii="Times New Roman" w:eastAsia="Calibri" w:hAnsi="Times New Roman"/>
          <w:sz w:val="24"/>
          <w:szCs w:val="24"/>
        </w:rPr>
        <w:t xml:space="preserve"> </w:t>
      </w:r>
      <w:r w:rsidRPr="0035502A">
        <w:rPr>
          <w:rFonts w:ascii="Times New Roman" w:eastAsia="Calibri" w:hAnsi="Times New Roman"/>
          <w:sz w:val="24"/>
          <w:szCs w:val="24"/>
        </w:rPr>
        <w:t>budú</w:t>
      </w:r>
      <w:r w:rsidR="00212E18">
        <w:rPr>
          <w:rFonts w:ascii="Times New Roman" w:eastAsia="Calibri" w:hAnsi="Times New Roman"/>
          <w:sz w:val="24"/>
          <w:szCs w:val="24"/>
        </w:rPr>
        <w:t xml:space="preserve"> ustupovať pionierskym drevinám,</w:t>
      </w:r>
      <w:r w:rsidRPr="0035502A">
        <w:rPr>
          <w:rFonts w:ascii="Times New Roman" w:eastAsia="Calibri" w:hAnsi="Times New Roman"/>
          <w:sz w:val="24"/>
          <w:szCs w:val="24"/>
        </w:rPr>
        <w:t xml:space="preserve"> prežívať budú</w:t>
      </w:r>
      <w:r w:rsidR="002A7940">
        <w:rPr>
          <w:rFonts w:ascii="Times New Roman" w:eastAsia="Calibri" w:hAnsi="Times New Roman"/>
          <w:sz w:val="24"/>
          <w:szCs w:val="24"/>
        </w:rPr>
        <w:t xml:space="preserve"> </w:t>
      </w:r>
      <w:r w:rsidRPr="0035502A">
        <w:rPr>
          <w:rFonts w:ascii="Times New Roman" w:eastAsia="Calibri" w:hAnsi="Times New Roman"/>
          <w:sz w:val="24"/>
          <w:szCs w:val="24"/>
        </w:rPr>
        <w:t>iba odolnejšie populácie cieľových drevín.</w:t>
      </w:r>
    </w:p>
    <w:p w:rsidR="00BE691E" w:rsidRDefault="00BE691E"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V rámci dôsledného napĺňania základných predpokladov pre zlepšovanie biologickej rozmanitosti, viazanie uhlíka, integritu, zdravie a odolnosť lesných ekosystémov boli takto zadefinované tieto prioritné úlohy:</w:t>
      </w:r>
    </w:p>
    <w:p w:rsidR="00BE691E" w:rsidRDefault="00BE691E" w:rsidP="00BE691E">
      <w:pPr>
        <w:spacing w:after="0" w:line="240" w:lineRule="auto"/>
        <w:jc w:val="both"/>
        <w:rPr>
          <w:rFonts w:ascii="Times New Roman" w:eastAsia="Calibri" w:hAnsi="Times New Roman"/>
          <w:sz w:val="24"/>
          <w:szCs w:val="24"/>
        </w:rPr>
      </w:pPr>
    </w:p>
    <w:p w:rsidR="00BE691E" w:rsidRDefault="00BE691E" w:rsidP="000D68DC">
      <w:pPr>
        <w:pStyle w:val="Odsekzoznamu"/>
        <w:numPr>
          <w:ilvl w:val="0"/>
          <w:numId w:val="9"/>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Zabezpečenie starostlivosti o drobné vodné toky v pôsobnosti MPRV SR </w:t>
      </w:r>
    </w:p>
    <w:p w:rsidR="00BE691E" w:rsidRPr="004969EF" w:rsidRDefault="00BE691E" w:rsidP="00BE691E">
      <w:pPr>
        <w:pStyle w:val="Odsekzoznamu"/>
        <w:spacing w:after="0" w:line="240" w:lineRule="auto"/>
        <w:jc w:val="both"/>
        <w:rPr>
          <w:rFonts w:ascii="Times New Roman" w:eastAsia="Calibri" w:hAnsi="Times New Roman"/>
          <w:sz w:val="24"/>
          <w:szCs w:val="24"/>
        </w:rPr>
      </w:pPr>
      <w:r>
        <w:rPr>
          <w:rFonts w:ascii="Times New Roman" w:eastAsia="Calibri" w:hAnsi="Times New Roman"/>
          <w:sz w:val="24"/>
          <w:szCs w:val="24"/>
        </w:rPr>
        <w:t>(z</w:t>
      </w:r>
      <w:r w:rsidRPr="00E74FA5">
        <w:rPr>
          <w:rFonts w:ascii="Times New Roman" w:eastAsia="Calibri" w:hAnsi="Times New Roman"/>
          <w:sz w:val="24"/>
          <w:szCs w:val="24"/>
        </w:rPr>
        <w:t>abezpečenie ochrany lesných pozemkov, priľahlých poľn</w:t>
      </w:r>
      <w:r>
        <w:rPr>
          <w:rFonts w:ascii="Times New Roman" w:eastAsia="Calibri" w:hAnsi="Times New Roman"/>
          <w:sz w:val="24"/>
          <w:szCs w:val="24"/>
        </w:rPr>
        <w:t>ohospodárskych pozemkov a intra</w:t>
      </w:r>
      <w:r w:rsidRPr="00E74FA5">
        <w:rPr>
          <w:rFonts w:ascii="Times New Roman" w:eastAsia="Calibri" w:hAnsi="Times New Roman"/>
          <w:sz w:val="24"/>
          <w:szCs w:val="24"/>
        </w:rPr>
        <w:t>vilánov obcí pred povodňami, zlepšenie zadržiavania vody v krajine, zmierňovanie dopadov klimatickej zmeny, podporovanie a zachovanie biologickej diverzity</w:t>
      </w:r>
      <w:r>
        <w:rPr>
          <w:rFonts w:ascii="Times New Roman" w:eastAsia="Calibri" w:hAnsi="Times New Roman"/>
          <w:sz w:val="24"/>
          <w:szCs w:val="24"/>
        </w:rPr>
        <w:t>)</w:t>
      </w:r>
    </w:p>
    <w:p w:rsidR="00BE691E" w:rsidRDefault="00BE691E" w:rsidP="000D68DC">
      <w:pPr>
        <w:pStyle w:val="Odsekzoznamu"/>
        <w:numPr>
          <w:ilvl w:val="0"/>
          <w:numId w:val="9"/>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Podpora ochrany a trvalého využívania genetických zdrojov lesných drevín </w:t>
      </w:r>
    </w:p>
    <w:p w:rsidR="00BE691E" w:rsidRDefault="00BE691E" w:rsidP="00BE691E">
      <w:pPr>
        <w:pStyle w:val="Odsekzoznamu"/>
        <w:spacing w:after="0" w:line="240" w:lineRule="auto"/>
        <w:jc w:val="both"/>
        <w:rPr>
          <w:rFonts w:ascii="Times New Roman" w:eastAsia="Calibri" w:hAnsi="Times New Roman"/>
          <w:sz w:val="24"/>
          <w:szCs w:val="24"/>
        </w:rPr>
      </w:pPr>
      <w:r>
        <w:rPr>
          <w:rFonts w:ascii="Times New Roman" w:eastAsia="Calibri" w:hAnsi="Times New Roman"/>
          <w:sz w:val="24"/>
          <w:szCs w:val="24"/>
        </w:rPr>
        <w:t>(zabezpečenie dostatočného počtu a ochrany genetických zdrojov lesných drevín, podpora zakladania nových a ochrana existujúcich zdrojov genofondu lesných drevín, a to najmä z oblastí poškodených pôsobením škodlivých činiteľov)</w:t>
      </w:r>
    </w:p>
    <w:p w:rsidR="00BE691E" w:rsidRDefault="00BE691E" w:rsidP="000D68DC">
      <w:pPr>
        <w:pStyle w:val="Odsekzoznamu"/>
        <w:numPr>
          <w:ilvl w:val="0"/>
          <w:numId w:val="9"/>
        </w:numPr>
        <w:spacing w:after="0" w:line="240" w:lineRule="auto"/>
        <w:jc w:val="both"/>
        <w:rPr>
          <w:rFonts w:ascii="Times New Roman" w:eastAsia="Calibri" w:hAnsi="Times New Roman"/>
          <w:sz w:val="24"/>
          <w:szCs w:val="24"/>
        </w:rPr>
      </w:pPr>
      <w:r>
        <w:rPr>
          <w:rFonts w:ascii="Times New Roman" w:eastAsia="Calibri" w:hAnsi="Times New Roman"/>
          <w:sz w:val="24"/>
          <w:szCs w:val="24"/>
        </w:rPr>
        <w:t>Obnova funkcií lesov na plochách postihnutých kalamitou a zvýšenie stability lesných porastov</w:t>
      </w:r>
    </w:p>
    <w:p w:rsidR="00BE691E" w:rsidRPr="008A3732" w:rsidRDefault="00BE691E" w:rsidP="008A3732">
      <w:pPr>
        <w:spacing w:after="0" w:line="240" w:lineRule="auto"/>
        <w:jc w:val="both"/>
        <w:rPr>
          <w:rFonts w:ascii="Times New Roman" w:eastAsia="Calibri" w:hAnsi="Times New Roman"/>
          <w:sz w:val="24"/>
          <w:szCs w:val="24"/>
        </w:rPr>
      </w:pPr>
    </w:p>
    <w:p w:rsidR="00BE691E" w:rsidRPr="00E015A4" w:rsidRDefault="00BE691E" w:rsidP="000D68DC">
      <w:pPr>
        <w:pStyle w:val="Nadpis3"/>
        <w:numPr>
          <w:ilvl w:val="2"/>
          <w:numId w:val="8"/>
        </w:numPr>
        <w:rPr>
          <w:rFonts w:eastAsia="Calibri"/>
          <w:szCs w:val="24"/>
        </w:rPr>
      </w:pPr>
      <w:bookmarkStart w:id="47" w:name="_Toc359550668"/>
      <w:r w:rsidRPr="00E015A4">
        <w:rPr>
          <w:rFonts w:eastAsia="Calibri"/>
          <w:szCs w:val="24"/>
        </w:rPr>
        <w:t>Zabezpečenie starostlivosti o drobné vodné toky v pôsobnosti MPRV SR</w:t>
      </w:r>
      <w:bookmarkEnd w:id="47"/>
    </w:p>
    <w:p w:rsidR="00BE691E" w:rsidRDefault="00BE691E" w:rsidP="00BE691E">
      <w:pPr>
        <w:spacing w:after="0" w:line="240" w:lineRule="auto"/>
        <w:jc w:val="both"/>
        <w:rPr>
          <w:rFonts w:ascii="Times New Roman" w:eastAsia="Calibri" w:hAnsi="Times New Roman"/>
          <w:b/>
          <w:sz w:val="24"/>
          <w:szCs w:val="24"/>
        </w:rPr>
      </w:pPr>
    </w:p>
    <w:p w:rsidR="00212E18" w:rsidRDefault="00212E18" w:rsidP="00212E18">
      <w:pPr>
        <w:spacing w:after="0" w:line="240" w:lineRule="auto"/>
        <w:jc w:val="both"/>
        <w:rPr>
          <w:rFonts w:ascii="Times New Roman" w:eastAsia="Calibri" w:hAnsi="Times New Roman"/>
          <w:sz w:val="24"/>
          <w:szCs w:val="24"/>
        </w:rPr>
      </w:pPr>
      <w:r w:rsidRPr="00212E18">
        <w:rPr>
          <w:rFonts w:ascii="Times New Roman" w:eastAsia="Calibri" w:hAnsi="Times New Roman"/>
          <w:sz w:val="24"/>
          <w:szCs w:val="24"/>
        </w:rPr>
        <w:t>Celko</w:t>
      </w:r>
      <w:r w:rsidR="00CF1F09">
        <w:rPr>
          <w:rFonts w:ascii="Times New Roman" w:eastAsia="Calibri" w:hAnsi="Times New Roman"/>
          <w:sz w:val="24"/>
          <w:szCs w:val="24"/>
        </w:rPr>
        <w:t>vá dĺžka drobných vodných tokov</w:t>
      </w:r>
      <w:r w:rsidRPr="00212E18">
        <w:rPr>
          <w:rFonts w:ascii="Times New Roman" w:eastAsia="Calibri" w:hAnsi="Times New Roman"/>
          <w:sz w:val="24"/>
          <w:szCs w:val="24"/>
        </w:rPr>
        <w:t xml:space="preserve"> v správe štátnych organizácií v zriaďovateľskej pôsobnosti Ministerstva pôdohospodárstva a rozvoja vidieka Slovenskej republiky, je </w:t>
      </w:r>
      <w:smartTag w:uri="urn:schemas-microsoft-com:office:smarttags" w:element="metricconverter">
        <w:smartTagPr>
          <w:attr w:name="ProductID" w:val="18ﾠ555,93 km"/>
        </w:smartTagPr>
        <w:r w:rsidRPr="00212E18">
          <w:rPr>
            <w:rFonts w:ascii="Times New Roman" w:eastAsia="Calibri" w:hAnsi="Times New Roman"/>
            <w:sz w:val="24"/>
            <w:szCs w:val="24"/>
          </w:rPr>
          <w:t>18 555,93 km</w:t>
        </w:r>
      </w:smartTag>
      <w:r w:rsidRPr="00212E18">
        <w:rPr>
          <w:rFonts w:ascii="Times New Roman" w:eastAsia="Calibri" w:hAnsi="Times New Roman"/>
          <w:sz w:val="24"/>
          <w:szCs w:val="24"/>
        </w:rPr>
        <w:t xml:space="preserve">. Z tejto celkovej dĺžky je na lesných pozemkoch </w:t>
      </w:r>
      <w:smartTag w:uri="urn:schemas-microsoft-com:office:smarttags" w:element="metricconverter">
        <w:smartTagPr>
          <w:attr w:name="ProductID" w:val="˻"/>
        </w:smartTagPr>
        <w:r w:rsidRPr="00212E18">
          <w:rPr>
            <w:rFonts w:ascii="Times New Roman" w:eastAsia="Calibri" w:hAnsi="Times New Roman"/>
            <w:sz w:val="24"/>
            <w:szCs w:val="24"/>
          </w:rPr>
          <w:t>13 105,12 km</w:t>
        </w:r>
      </w:smartTag>
      <w:r w:rsidRPr="00212E18">
        <w:rPr>
          <w:rFonts w:ascii="Times New Roman" w:eastAsia="Calibri" w:hAnsi="Times New Roman"/>
          <w:sz w:val="24"/>
          <w:szCs w:val="24"/>
        </w:rPr>
        <w:t xml:space="preserve">, mimo lesných pozemkov </w:t>
      </w:r>
      <w:smartTag w:uri="urn:schemas-microsoft-com:office:smarttags" w:element="metricconverter">
        <w:smartTagPr>
          <w:attr w:name="ProductID" w:val="4ﾠ224,39 km"/>
        </w:smartTagPr>
        <w:r w:rsidRPr="00212E18">
          <w:rPr>
            <w:rFonts w:ascii="Times New Roman" w:eastAsia="Calibri" w:hAnsi="Times New Roman"/>
            <w:sz w:val="24"/>
            <w:szCs w:val="24"/>
          </w:rPr>
          <w:t>4 224,39 km</w:t>
        </w:r>
      </w:smartTag>
      <w:r w:rsidRPr="00212E18">
        <w:rPr>
          <w:rFonts w:ascii="Times New Roman" w:eastAsia="Calibri" w:hAnsi="Times New Roman"/>
          <w:sz w:val="24"/>
          <w:szCs w:val="24"/>
        </w:rPr>
        <w:t xml:space="preserve"> a v intraviláne obcí </w:t>
      </w:r>
      <w:smartTag w:uri="urn:schemas-microsoft-com:office:smarttags" w:element="metricconverter">
        <w:smartTagPr>
          <w:attr w:name="ProductID" w:val="ミ㹼ヸ쎨ꗜヘาᳫᇉ  Ɠ̌㺬ヸ佈ミ㹼ヸ쎨ꗜヘ０า Ƅ̈佴ミ쎨dำ￰า Ɓ̌㺬ヸ佈ミ㹼ヸ쎨ꗜヘ8ำ ź̈ำĀำ８า睐Dŷ̈vodnýchါ恈Ŭ̈佴ミ쎨 ﻼา°ำ ũ̌㺬ヸ佈ミ㹼ヸ쎨ꗜヘøำ Ţ̈ÔำƘำ@ำ剀Ϥş̈佴ミ쎨&amp;าňำ Ŕ̌㺬ヸ佈ミ㹼ヸ쎨ꗜヘƐำD. ō̈ŬำȰำĀำ䘀Ŋ̈佴ミ쎨'ɔำǠำ Ň̌㺬ヸ佈ミ㹼ヸ쎨ꗜヘȨำ ĸ̈ȄำˠำƘำ佈ミ㹼ヸĵ̈DVT厠Ϥİ̈佴ミ쎨*̄ำʐำ ĭ̌㺬ヸ佈ミ㹼ヸ쎨ꗜヘ˘ำāȈ Ħ̈ʴำΐำȰำ ǾȌģ̈)쎨Ğ̈佴ミ쎨,δำ̀ำ ě̌㺬ヸ佈ミ㹼ヸ쎨ꗜヘΈำy Č̈ͤำрำˠำǤȌĉ̈vPĄ̈佴ミ쎨-Ѥำϰำ ā̌㺬ヸ佈ミ㹼ヸ쎨ꗜヘиำph Ǻ̈ДำӰำΐำ〫鴰䌯Ƿ̈ 尀㄀ǲ̈佴ミ쎨.ԔำҠำ ǯ̌㺬ヸ佈ミ㹼ヸ쎨ꗜヘӨำㅾ䌮 Ǡ̈ӄำְำрำ⸀挀栀氀ǝ̈správe䑙䍏繕1　̀Ѐǚ̈佴ミ쎨5הำՠำ Ǘ̌㺬ヸ佈ミ㹼ヸ쎨ꗜヘ֨ำÀ ǈ̈քำٰำӰำǅ̈štátnych䎘඾řǂ̈佴ミ쎨&gt;ڔำؠำ ƿ̌㺬ヸ佈ミ㹼ヸ쎨ꗜヘ٨ำ ư̈لำܰำְำᳫᇉƭ̈organizáciíƪ̈佴ミ쎨Iݔำ۠ำ Ƨ̌㺬ヸ佈ミ㹼ヸ쎨ꗜヘܨำ Ƙ̈܄ำߠำٰำ翿ƕ̈,&quot;ųȈƐ̈佴ミ쎨Kࠄำސำ ƍ̌㺬ヸ佈ミ㹼ヸ쎨ꗜヘߘำ Ɔ̈޴ำ࢐ำܰำƃ̈jež̈佴ミ쎨Nࢴำࡀำ Ż̌㺬ヸ佈ミ㹼ヸ쎨ꗜヘ࢈ำ Ŭ̈ࡤำीำߠำmosrũ̈18ϙŤ̈佴ミ쎨P।ำࣰำ š̌㺬ヸ佈ミ㹼ヸ쎨ꗜヘसำĵȈ Ś̈औำৰำ࢐ำ ĲȌŗ̈ 쎨Œ̈佴ミ쎨Qਔำঠำ ŏ̌㺬ヸ佈ミ㹼ヸ쎨ꗜヘ২ำ ŀ̈ৄำઠำीำ쎨Ľ̈555ĸ̈佴ミ쎨Tૄำ੐ำ ĵ̌㺬ヸ佈ミ㹼ヸ쎨ꗜヘઘำDO Į̈ੴำ୐ำৰำcrosī̈,ows.Ħ̈佴ミ쎨U୴ำ଀ำ ģ̌㺬ヸ佈ミ㹼ヸ쎨ꗜヘୈำ3f Ĕ̈ତำఀำઠำđ̈93ǯȌČ̈佴ミ쎨Xతำரำ ĉ̌㺬ヸ佈ミ㹼ヸ쎨ꗜヘ௸ำꗜヘ Ă̈௔ำರำ୐ำ&quot; ǚȈǿ̈km಼Ǻ̈佴ミ쎨Z೔ำౠำ Ƿ̌㺬ヸ佈ミ㹼ヸ쎨ꗜヘನำē Ǩ̈಄ำൠำఀำ즬Вǥ̈.ows Ǡ̈佴ミ쎨\඄ำഐำ ǝ̌㺬ヸ佈ミ㹼ヸ쎨ꗜヘ൘ำ골Ϩ ǖ̈ഴำฐำರำD볋뜢Ǔ̈Z崄誈ᳫᇉǎ̈佴ミ쎨]ิำවำ ǋ̌㺬ヸ佈ミ㹼ヸ쎨ꗜヘจำ Ƽ̈෤ำເำൠำ崄誈ᳫᇉƹ̈ ƴ̈佴ミ쎨^໤ำ๰ำ Ʊ̌㺬ヸ佈ミ㹼ヸ쎨ꗜヘຸำto ƪ̈ດำ཰ำฐำ&#10;ƂȌƧ̈&#10;tejtoƢ̈佴ミ쎨dྔำ༠ำ Ɵ̌㺬ヸ佈ミ㹼ヸ쎨ꗜヘཨำ Ɛ̈ངำူำເำ您Ϥƍ̈celkovej_6595Ɗ̈佴ミ쎨mၔำ࿠ำ Ƈ̌㺬ヸ佈ミ㹼ヸ쎨ꗜヘဨำ㠠ϧ Ÿ̈ငำრำ཰ำ뫹ᇎ芌ꨀŵ̈&#10;dĺžkyŰ̈佴ミ쎨sᄄำ႐ำ ŭ̌㺬ヸ佈ミ㹼ヸ쎨ꗜヘიำ㹼ヸ Ŧ̈Ⴔำᆠำူำţ̈spravujú/infoŘ̈佴ミ쎨|ᇄำᅐำ ŕ̌㺬ヸ佈ミ㹼ヸ쎨ꗜヘᆘำ Ŏ̈ᅴำቐำრำ뮤rŋ̈&#10;tietoņ̈佴ミ쎨ቴำሀำ Ń̌㺬ヸ佈ミ㹼ヸ쎨ꗜヘቈำ Ĵ̈ሤำጐำᆠำı̈organizácieĮ̈佴ミ쎨ጴำዀำ ī̌㺬ヸ佈ミ㹼ヸ쎨ꗜヘገำ Ĝ̈ዤำᏀำቐำ뿼ㅢę̈naㅠĔ̈佴ミ쎨Ꮴำ፰ำ đ̌㺬ヸ佈ミ㹼ヸ쎨ꗜヘᎸำ俠⃐ Ċ̈᎔ำᒀำጐำ尀㄀ć̈lesných⺾露瘮漾ᑈǼ̈佴ミ쎨 ᒤำᐰำ ǹ̌㺬ヸ佈ミ㹼ヸ쎨ꗜヘᑸำ栀氀 ǲ̈ᑔำᕀำᏀำ1䰀̀Ѐǯ̈pozemkoch漀渀 䐀Ǥ̈佴ミ쎨£ᕤำᓰำ ǡ̌㺬ヸ佈ミ㹼ヸ쎨ꗜヘᔸำ၊伀 ǚ̈ᔔำᗰำᒀำ椀挀攀Ǘ̈13偁协繌ǒ̈佴ミ쎨¥ᘔำᖠำ Ǐ̌㺬ヸ佈ミ㹼ヸ쎨ꗜヘᗨำ\W ǀ̈ᗄำᚠำᕀำrsioƽ̈ et SƸ̈佴ミ쎨¦ᛄำᙐำ Ƶ̌㺬ヸ佈ミ㹼ヸ쎨ꗜヘᚘำ Ʈ̈ᙴำᝐำᗰำƫ̈105Ʀ̈佴ミ쎨©᝴ำᜀำ ƣ̌㺬ヸ佈ミ㹼ヸ쎨ꗜヘᝈำ܄ϥ Ɣ̈ᜤำ᠀ำᚠำڼϥﺈϤƑ̈,緈ㅠƌ̈佴ミ쎨ªᠤำឰำ Ɖ̌㺬ヸ佈ミ㹼ヸ쎨ꗜヘ៸ำ Ƃ̈។ำᢰำᝐำ솠඿㮿ſ̈12́ź̈佴ミ쎨­ᣔำᡠำ ŷ̌㺬ヸ佈ミ㹼ヸ쎨ꗜヘᢨำ Ũ̈ᢄำᥠำ᠀ำť̈kmŠ̈佴ミ쎨¯ᦄำᤐำ ŝ̌㺬ヸ佈ミ㹼ヸ쎨ꗜヘᥘำSu Ŗ̈ᤴำᨐำᢰำ佴ミ쎨œ̈,Ϥ你ϭŎ̈佴ミ쎨±ᨴำᧀำ ŋ̌㺬ヸ佈ミ㹼ヸ쎨ꗜヘᨈำ ļ̈᧤ำᫀำᥠำĹ̈mimoĴ̈佴ミ쎨¶᫤ำᩰำ ı̌㺬ヸ佈ミ㹼ヸ쎨ꗜヘ᪸ำ Ī̈᪔ำᮀำᨐำħ̈lesnýchĜ̈佴ミ쎨¾ᮤำᬰำ ę̌㺬ヸ佈ミ㹼ヸ쎨ꗜヘ᭸ำ Ē̈᭔ำ᱀ำᫀำ湡⁤敓瑴ď̈pozemkovcumenĄ̈佴ミ쎨Çᱤำᯰำ ā̌㺬ヸ佈ミ㹼ヸ쎨ꗜヘ᰸ำX Ǻ̈ᰔำᳰำᮀำ뻯Ƿ̈4licaǲ̈佴ミ쎨ÈᴔำᲠำ ǯ̌㺬ヸ佈ミ㹼ヸ쎨ꗜヘ᳨ำ$ Ǡ̈᳄ำᶠำ᱀ำ蕨ผǝ̈ ǘ̈佴ミ쎨É᷄ำᵐำ Ǖ̌㺬ヸ佈ミ㹼ヸ쎨ꗜヘᶘำ ǎ̈ᵴำṐำᳰำ8zN&amp;ǋ̈224{fǆ̈佴ミ쎨ÌṴำḀำ ǃ̌㺬ヸ佈ミ㹼ヸ쎨ꗜヘṈำ ƴ̈Ḥำἀำᶠำ᭐Ʊ̈,䮘덳뤛ᚒƬ̈佴ミ쎨ÍἤำẰำ Ʃ̌㺬ヸ佈ミ㹼ヸ쎨ꗜヘỸำ3A Ƣ̈ỔำᾰำṐำ88DAƟ̈39臩矧ƚ̈佴ミ쎨Ð῔ำὠำ Ɨ̌㺬ヸ佈ミ㹼ヸ쎨ꗜヘᾨำⶸϳ ƈ̈ᾄำ⁠ำἀำ莈ƅ̈km눴Ꝛƀ̈佴ミ쎨Ó₄ำ‐ำ Ž̌㺬ヸ佈ミ㹼ヸ쎨ꗜヘ⁘ำ໽ Ŷ̈‴ำℐำᾰำ〈Вų̈aŮ̈佴ミ쎨Ôℴำ⃀ำ ū̌㺬ヸ佈ミ㹼ヸ쎨ꗜヘ℈ำĿȈ Ŝ̈⃤ำ⇀ำ⁠ำĺĴȌř̈ Ŕ̈佴ミ쎨Õ⇤ำⅰำ ő̌㺬ヸ佈ミ㹼ヸ쎨ꗜヘ↸ำ Ŋ̈↔ำ≰ำℐำŇ̈vł̈佴ミ쎨Ö⊔ำ∠ำ Ŀ̌㺬ヸ佈ミ㹼ヸ쎨ꗜヘ≨ำ İ̈≄ำ⌠ำ⇀ำĭ̈ Ĩ̈佴ミ쎨×⍄ำ⋐ำ ĥ̌㺬ヸ佈ミ㹼ヸ쎨ꗜヘ⌘ำ Ğ̈⋴ำ⏠ำ≰ำě̈intraviláneĐ̈佴ミ쎨ã␄ำ⎐ำ č̌㺬ヸ佈ミ㹼ヸ쎨ꗜヘ⏘ำ Ć̈⎴ำ⒐ำ⌠ำă̈obcíǾ̈佴ミ쎨è⒴ำ⑀ำ ǻ̌㺬ヸ佈ミ㹼ヸ쎨ꗜヘ⒈ำ Ǭ̈⑤ำ╀ำ⏠ำǩ̈1Ǥ̈佴ミ쎨é╤ำ⓰ำ ǡ̌㺬ヸ佈ミ㹼ヸ쎨ꗜヘ┸ำ ǚ̈└ำ◰ำ⒐ำǗ̈ ǒ̈佴ミ쎨ê☔ำ■ำ Ǐ̌㺬ヸ佈ミ㹼ヸ쎨ꗜヘ◨ำ ǀ̈◄ำ⚠ำ╀ำƽ̈226Ƹ̈佴ミ쎨í⛄ำ♐ำ Ƶ̌㺬ヸ佈ミ㹼ヸ쎨ꗜヘ⚘ำ Ʈ̈♴ำ❐ำ◰ำƫ̈,Ʀ̈佴ミ쎨î❴ำ✀ำ ƣ̌㺬ヸ佈ミ㹼ヸ쎨ꗜヘ❈ำ Ɣ̈✤ำ⠀ำ⚠ำƑ̈42ƌ̈佴ミ쎨ñ⠤ำ➰ำ Ɖ̌㺬ヸ佈ミ㹼ヸ쎨ꗜヘ⟸ำ Ƃ̈⟔ำ⢰ำ❐ำſ̈kmź̈佴ミ쎨ó⣔ำ⡠ำ ŷ̌㺬ヸ佈ミ㹼ヸ쎨ꗜヘ⢨ำ Ũ̈⢄ำ⥠ำ⠀ำť̈.Š̈佴ミ쎨õ⦄ำ⤐ำ ŝ̌㺬ヸ佈ミ㹼ヸ쎨ꗜヘ⥘ำ Ŗ̈⤴ำ⨐ำ⢰ำœ̈LesyŎ̈佴ミ쎨ú⨴ำ⧀ำ ŋ̌㺬ヸ佈ミ㹼ヸ쎨ꗜヘ⨈ำ ļ̈⧤ำ⫀ำ⥠ำĹ̈SR耀Ĵ̈佴ミ쎨ü⫤ำ⩰ำ ı̌㺬ヸ佈ミ㹼ヸ쎨ꗜヘ⪸ำ Ī̈⪔ำ⭰ำ⨐ำħ̈,Ģ̈佴ミ쎨þ⮔ำ⬠ำ ğ̌㺬ヸ佈ミ㹼ヸ쎨ꗜヘ⭨ำ   Đ̈⭄ำⰠำ⫀ำ  @@č̈šP@@Ĉ̈佴ミ쎨ÿⱄำ⯐ำ ą̌㺬ヸ佈ミ㹼ヸ쎨ꗜヘⰘำ Ǿ̈⯴ำⳐำ⭰ำp°pǻ̈.@ pÐǶ̈佴ミ쎨Ā⳴ำⲀำ ǳ̌㺬ヸ佈ミ㹼ヸ쎨ꗜヘⳈำ@ Ǥ̈Ⲥำ⸰ำⰠำ@ǡ̈pǜ̈⵸ำ쎨āⶤำⴰำ Ǚ̌佈ミ㹼ヸ쎨ꗜヘ` ǒ̈㧸ำǏ̈.ໃǊ̈佴ミ쎨ă⹔ำⷠำ Ǉ̌㺬ヸ佈ミ㹼ヸ쎨ꗜヘ⸨ำÀÀ Ƹ̈⸄ำ⻰ำⳐำÀ0PPƵ̈spravujú0@Ʋ̈佴ミ쎨Č⼔ำ⺠ำ Ư̌㺬ヸ佈ミ㹼ヸ쎨ꗜヘ⻨ำ@p Ơ̈⻄ำ⾠ำ⸰ำpÀĀƝ̈DVT``Ƙ̈佴ミ쎨Đ⿄ำ⽐ำ ƕ̌㺬ヸ佈ミ㹼ヸ쎨ꗜヘ⾘ำP Ǝ̈⽴ำぐำ⻰ำ PpƋ̈vppp0Ɔ̈佴ミ쎨đぴำ　ำ ƃ̌㺬ヸ佈ミ㹼ヸ쎨ꗜヘえำp Ŵ̈〤ำ㄀ำ⾠ำ)ű̈ 䀀Ŭ̈佴ミ쎨Ēㄤำグำ ũ̌㺬ヸ佈ミ㹼ヸ쎨ꗜヘヸำÐ Ţ̈ピำ㇀ำぐำş̈celkovejPp°ÐŔ̈佴ミ쎨ě㇤ำㅰำ ő̌㺬ヸ佈ミ㹼ヸ쎨ꗜヘㆸำà Ŋ̈㆔ำ㉰ำ㄀ำàÀĀŇ̈&#10;dĺžkeł̈佴ミ쎨ġ㊔ำ㈠ำ Ŀ̌㺬ヸ佈ミ㹼ヸ쎨ꗜヘ㉨ำÀ İ̈㉄ำ㌠ำ㇀ำ@ ĭ̈16pĨ̈佴ミ쎨ģ㍄ำ㋐ำ ĥ̌㺬ヸ佈ミ㹼ヸ쎨ꗜヘ㌘ำㄐϦ Ğ̈㋴ำ㏐ำ㉰ำě̈ Ė̈佴ミ쎨Ĥ㏴ำ㎀ำ ē̌㺬ヸ佈ミ㹼ヸ쎨ꗜヘ㏈ำ鼘ϥ Ą̈㎤ำ㒀ำ㌠ำā̈812Ǽ̈佴ミ쎨ħ㒤ำ㐰ำ ǹ̌㺬ヸ佈ミ㹼ヸ쎨ꗜヘ㑸ำ ǲ̈㑔ำ㔰ำ㏐ำ&quot;ǊȌǯ̈,マǪ̈佴ミ쎨Ĩ㕔ำ㓠ำ ǧ̌㺬ヸ佈ミ㹼ヸ쎨ꗜヘ㔨ำ羰ㅠ ǘ̈㔄ำ㗠ำ㒀ำ蘔ㅠǕ̈03ㅠǐ̈佴ミ쎨ī㘄ำ㖐ำ Ǎ̌㺬ヸ佈ミ㹼ヸ쎨ꗜヘ㗘ำ怒Ϥ ǆ̈㖴ำ㚐ำ㔰ำ﹀Ϥ3ǃ̈kmϤ5ƾ̈佴ミ쎨ĭ㚴ำ㙀ำ ƻ̌㺬ヸ佈ミ㹼ヸ쎨ꗜヘ㚈ำ Ƭ̈㙤ำ㝀ำ㗠ำƩ̈.Ƥ̈佴ミ쎨į㝤ำ㛰ำ ơ̌㺬ヸ佈ミ㹼ヸ쎨ꗜヘ㜸ำ ƚ̈㜔ำ㟰ำ㚐ำÈƗ̈ŠL ƒ̈佴ミ쎨Ĳ㠔ำ㞠ำ Ə̌㺬ヸ佈ミ㹼ヸ쎨ꗜヘ㟨ำ뱸ϧ ƀ̈㟄ำ㢠ำ㝀ำﾘϯŽ̈&#10;TANAPŸ̈佴ミ쎨ķ㣄ำ㡐ำ ŵ̌㺬ヸ佈ミ㹼ヸ쎨ꗜヘ㢘ำ Ů̈㡴ำ粗㟰ำṻ&#10;Ŧ̈Value1jeţ̈.iláneŘ̈&#10;APjeŕ̌Ÿ ProductIDŒ̈ⴈำŸ4 224,39 kmŏ̈㥸ำŸ1 226,42 kmń̈&#10;TANAPŇ̈Key1ł̈Name.SmartTagᏕĿ̎ŸŸミ㹼ヸ쎨ꗜヘาᳫᇉ  Ɠ̌㺬ヸ佈ミ㹼ヸ쎨ꗜヘ０า Ƅ̈佴ミ쎨dำ￰า Ɓ̌㺬ヸ佈ミ㹼ヸ쎨ꗜヘ8ำ ź̈ำĀำ８า睐Dŷ̈vodnýchါ恈Ŭ̈佴ミ쎨 ﻼา°ำ ũ̌㺬ヸ佈ミ㹼ヸ쎨ꗜヘøำ Ţ̈ÔำƘำ@ำ剀Ϥş̈佴ミ쎨&amp;าňำ Ŕ̌㺬ヸ佈ミ㹼ヸ쎨ꗜヘƐำD. ō̈ŬำȰำĀำ䘀Ŋ̈佴ミ쎨'ɔำǠำ Ň̌㺬ヸ佈ミ㹼ヸ쎨ꗜヘȨำ ĸ̈ȄำˠำƘำ佈ミ㹼ヸĵ̈DVT厠Ϥİ̈佴ミ쎨*̄ำʐำ ĭ̌㺬ヸ佈ミ㹼ヸ쎨ꗜヘ˘ำāȈ Ħ̈ʴำΐำȰำ ǾȌģ̈)쎨Ğ̈佴ミ쎨,δำ̀ำ ě̌㺬ヸ佈ミ㹼ヸ쎨ꗜヘΈำy Č̈ͤำрำˠำǤȌĉ̈vPĄ̈佴ミ쎨-Ѥำϰำ ā̌㺬ヸ佈ミ㹼ヸ쎨ꗜヘиำph Ǻ̈ДำӰำΐำ〫鴰䌯Ƿ̈ 尀㄀ǲ̈佴ミ쎨.ԔำҠำ ǯ̌㺬ヸ佈ミ㹼ヸ쎨ꗜヘӨำㅾ䌮 Ǡ̈ӄำְำрำ⸀挀栀氀ǝ̈správe䑙䍏繕1　̀Ѐǚ̈佴ミ쎨5הำՠำ Ǘ̌㺬ヸ佈ミ㹼ヸ쎨ꗜヘ֨ำÀ ǈ̈քำٰำӰำǅ̈štátnych䎘඾řǂ̈佴ミ쎨&gt;ڔำؠำ ƿ̌㺬ヸ佈ミ㹼ヸ쎨ꗜヘ٨ำ ư̈لำܰำְำᳫᇉƭ̈organizáciíƪ̈佴ミ쎨Iݔำ۠ำ Ƨ̌㺬ヸ佈ミ㹼ヸ쎨ꗜヘܨำ Ƙ̈܄ำߠำٰำ翿ƕ̈,&quot;ųȈƐ̈佴ミ쎨Kࠄำސำ ƍ̌㺬ヸ佈ミ㹼ヸ쎨ꗜヘߘำ Ɔ̈޴ำ࢐ำܰำƃ̈jež̈佴ミ쎨Nࢴำࡀำ Ż̌㺬ヸ佈ミ㹼ヸ쎨ꗜヘ࢈ำ Ŭ̈ࡤำीำߠำmosrũ̈18ϙŤ̈佴ミ쎨P।ำࣰำ š̌㺬ヸ佈ミ㹼ヸ쎨ꗜヘसำĵȈ Ś̈औำৰำ࢐ำ ĲȌŗ̈ 쎨Œ̈佴ミ쎨Qਔำঠำ ŏ̌㺬ヸ佈ミ㹼ヸ쎨ꗜヘ২ำ ŀ̈ৄำઠำीำ쎨Ľ̈555ĸ̈佴ミ쎨Tૄำ੐ำ ĵ̌㺬ヸ佈ミ㹼ヸ쎨ꗜヘઘำDO Į̈ੴำ୐ำৰำcrosī̈,ows.Ħ̈佴ミ쎨U୴ำ଀ำ ģ̌㺬ヸ佈ミ㹼ヸ쎨ꗜヘୈำ3f Ĕ̈ତำఀำઠำđ̈93ǯȌČ̈佴ミ쎨Xతำரำ ĉ̌㺬ヸ佈ミ㹼ヸ쎨ꗜヘ௸ำꗜヘ Ă̈௔ำರำ୐ำ&quot; ǚȈǿ̈km಼Ǻ̈佴ミ쎨Z೔ำౠำ Ƿ̌㺬ヸ佈ミ㹼ヸ쎨ꗜヘನำē Ǩ̈಄ำൠำఀำ즬Вǥ̈.ows Ǡ̈佴ミ쎨\඄ำഐำ ǝ̌㺬ヸ佈ミ㹼ヸ쎨ꗜヘ൘ำ골Ϩ ǖ̈ഴำฐำರำD볋뜢Ǔ̈Z崄誈ᳫᇉǎ̈佴ミ쎨]ิำවำ ǋ̌㺬ヸ佈ミ㹼ヸ쎨ꗜヘจำ Ƽ̈෤ำເำൠำ崄誈ᳫᇉƹ̈ ƴ̈佴ミ쎨^໤ำ๰ำ Ʊ̌㺬ヸ佈ミ㹼ヸ쎨ꗜヘຸำto ƪ̈ດำ཰ำฐำ&#10;ƂȌƧ̈&#10;tejtoƢ̈佴ミ쎨dྔำ༠ำ Ɵ̌㺬ヸ佈ミ㹼ヸ쎨ꗜヘཨำ Ɛ̈ངำူำເำ您Ϥƍ̈celkovej_6595Ɗ̈佴ミ쎨mၔำ࿠ำ Ƈ̌㺬ヸ佈ミ㹼ヸ쎨ꗜヘဨำ㠠ϧ Ÿ̈ငำრำ཰ำ뫹ᇎ芌ꨀŵ̈&#10;dĺžkyŰ̈佴ミ쎨sᄄำ႐ำ ŭ̌㺬ヸ佈ミ㹼ヸ쎨ꗜヘიำ㹼ヸ Ŧ̈Ⴔำᆠำူำţ̈spravujú/infoŘ̈佴ミ쎨|ᇄำᅐำ ŕ̌㺬ヸ佈ミ㹼ヸ쎨ꗜヘᆘำ Ŏ̈ᅴำቐำრำ뮤rŋ̈&#10;tietoņ̈佴ミ쎨ቴำሀำ Ń̌㺬ヸ佈ミ㹼ヸ쎨ꗜヘቈำ Ĵ̈ሤำጐำᆠำı̈organizácieĮ̈佴ミ쎨ጴำዀำ ī̌㺬ヸ佈ミ㹼ヸ쎨ꗜヘገำ Ĝ̈ዤำᏀำቐำ뿼ㅢę̈naㅠĔ̈佴ミ쎨Ꮴำ፰ำ đ̌㺬ヸ佈ミ㹼ヸ쎨ꗜヘᎸำ俠⃐ Ċ̈᎔ำᒀำጐำ尀㄀ć̈lesných⺾露瘮漾ᑈǼ̈佴ミ쎨 ᒤำᐰำ ǹ̌㺬ヸ佈ミ㹼ヸ쎨ꗜヘᑸำ栀氀 ǲ̈ᑔำᕀำᏀำ1䰀̀Ѐǯ̈pozemkoch漀渀 䐀Ǥ̈佴ミ쎨£ᕤำᓰำ ǡ̌㺬ヸ佈ミ㹼ヸ쎨ꗜヘᔸำ၊伀 ǚ̈ᔔำᗰำᒀำ椀挀攀Ǘ̈13偁协繌ǒ̈佴ミ쎨¥ᘔำᖠำ Ǐ̌㺬ヸ佈ミ㹼ヸ쎨ꗜヘᗨำ\W ǀ̈ᗄำᚠำᕀำrsioƽ̈ et SƸ̈佴ミ쎨¦ᛄำᙐำ Ƶ̌㺬ヸ佈ミ㹼ヸ쎨ꗜヘᚘำ Ʈ̈ᙴำᝐำᗰำƫ̈105Ʀ̈佴ミ쎨©᝴ำᜀำ ƣ̌㺬ヸ佈ミ㹼ヸ쎨ꗜヘᝈำ܄ϥ Ɣ̈ᜤำ᠀ำᚠำڼϥﺈϤƑ̈,緈ㅠƌ̈佴ミ쎨ªᠤำឰำ Ɖ̌㺬ヸ佈ミ㹼ヸ쎨ꗜヘ៸ำ Ƃ̈។ำᢰำᝐำ솠඿㮿ſ̈12́ź̈佴ミ쎨­ᣔำᡠำ ŷ̌㺬ヸ佈ミ㹼ヸ쎨ꗜヘᢨำ Ũ̈ᢄำᥠำ᠀ำť̈kmŠ̈佴ミ쎨¯ᦄำᤐำ ŝ̌㺬ヸ佈ミ㹼ヸ쎨ꗜヘᥘำSu Ŗ̈ᤴำᨐำᢰำ佴ミ쎨œ̈,Ϥ你ϭŎ̈佴ミ쎨±ᨴำᧀำ ŋ̌㺬ヸ佈ミ㹼ヸ쎨ꗜヘᨈำ ļ̈᧤ำᫀำᥠำĹ̈mimoĴ̈佴ミ쎨¶᫤ำᩰำ ı̌㺬ヸ佈ミ㹼ヸ쎨ꗜヘ᪸ำ Ī̈᪔ำᮀำᨐำħ̈lesnýchĜ̈佴ミ쎨¾ᮤำᬰำ ę̌㺬ヸ佈ミ㹼ヸ쎨ꗜヘ᭸ำ Ē̈᭔ำ᱀ำᫀำ湡⁤敓瑴ď̈pozemkovcumenĄ̈佴ミ쎨Çᱤำᯰำ ā̌㺬ヸ佈ミ㹼ヸ쎨ꗜヘ᰸ำX Ǻ̈ᰔำᳰำᮀำ뻯Ƿ̈4licaǲ̈佴ミ쎨ÈᴔำᲠำ ǯ̌㺬ヸ佈ミ㹼ヸ쎨ꗜヘ᳨ำ$ Ǡ̈᳄ำᶠำ᱀ำ蕨ผǝ̈ ǘ̈佴ミ쎨É᷄ำᵐำ Ǖ̌㺬ヸ佈ミ㹼ヸ쎨ꗜヘᶘำ ǎ̈ᵴำṐำᳰำ8zN&amp;ǋ̈224{fǆ̈佴ミ쎨ÌṴำḀำ ǃ̌㺬ヸ佈ミ㹼ヸ쎨ꗜヘṈำ ƴ̈Ḥำἀำᶠำ᭐Ʊ̈,䮘덳뤛ᚒƬ̈佴ミ쎨ÍἤำẰำ Ʃ̌㺬ヸ佈ミ㹼ヸ쎨ꗜヘỸำ3A Ƣ̈ỔำᾰำṐำ88DAƟ̈39臩矧ƚ̈佴ミ쎨Ð῔ำὠำ Ɨ̌㺬ヸ佈ミ㹼ヸ쎨ꗜヘᾨำⶸϳ ƈ̈ᾄำ⁠ำἀำ莈ƅ̈km눴Ꝛƀ̈佴ミ쎨Ó₄ำ‐ำ Ž̌㺬ヸ佈ミ㹼ヸ쎨ꗜヘ⁘ำ໽ Ŷ̈‴ำℐำᾰำ〈Вų̈aŮ̈佴ミ쎨Ôℴำ⃀ำ ū̌㺬ヸ佈ミ㹼ヸ쎨ꗜヘ℈ำĿȈ Ŝ̈⃤ำ⇀ำ⁠ำĺĴȌř̈ Ŕ̈佴ミ쎨Õ⇤ำⅰำ ő̌㺬ヸ佈ミ㹼ヸ쎨ꗜヘ↸ำ Ŋ̈↔ำ≰ำℐำŇ̈vł̈佴ミ쎨Ö⊔ำ∠ำ Ŀ̌㺬ヸ佈ミ㹼ヸ쎨ꗜヘ≨ำ İ̈≄ำ⌠ำ⇀ำĭ̈ Ĩ̈佴ミ쎨×⍄ำ⋐ำ ĥ̌㺬ヸ佈ミ㹼ヸ쎨ꗜヘ⌘ำ Ğ̈⋴ำ⏠ำ≰ำě̈intraviláneĐ̈佴ミ쎨ã␄ำ⎐ำ č̌㺬ヸ佈ミ㹼ヸ쎨ꗜヘ⏘ำ Ć̈⎴ำ⒐ำ⌠ำă̈obcíǾ̈佴ミ쎨è⒴ำ⑀ำ ǻ̌㺬ヸ佈ミ㹼ヸ쎨ꗜヘ⒈ำ Ǭ̈⑤ำ╀ำ⏠ำǩ̈1Ǥ̈佴ミ쎨é╤ำ⓰ำ ǡ̌㺬ヸ佈ミ㹼ヸ쎨ꗜヘ┸ำ ǚ̈└ำ◰ำ⒐ำǗ̈ ǒ̈佴ミ쎨ê☔ำ■ำ Ǐ̌㺬ヸ佈ミ㹼ヸ쎨ꗜヘ◨ำ ǀ̈◄ำ⚠ำ╀ำƽ̈226Ƹ̈佴ミ쎨í⛄ำ♐ำ Ƶ̌㺬ヸ佈ミ㹼ヸ쎨ꗜヘ⚘ำ Ʈ̈♴ำ❐ำ◰ำƫ̈,Ʀ̈佴ミ쎨î❴ำ✀ำ ƣ̌㺬ヸ佈ミ㹼ヸ쎨ꗜヘ❈ำ Ɣ̈✤ำ⠀ำ⚠ำƑ̈42ƌ̈佴ミ쎨ñ⠤ำ➰ำ Ɖ̌㺬ヸ佈ミ㹼ヸ쎨ꗜヘ⟸ำ Ƃ̈⟔ำ⢰ำ❐ำſ̈kmź̈佴ミ쎨ó⣔ำ⡠ำ ŷ̌㺬ヸ佈ミ㹼ヸ쎨ꗜヘ⢨ำ Ũ̈⢄ำ⥠ำ⠀ำť̈.Š̈佴ミ쎨õ⦄ำ⤐ำ ŝ̌㺬ヸ佈ミ㹼ヸ쎨ꗜヘ⥘ำ Ŗ̈⤴ำ⨐ำ⢰ำœ̈LesyŎ̈佴ミ쎨ú⨴ำ⧀ำ ŋ̌㺬ヸ佈ミ㹼ヸ쎨ꗜヘ⨈ำ ļ̈⧤ำ⫀ำ⥠ำĹ̈SR耀Ĵ̈佴ミ쎨ü⫤ำ⩰ำ ı̌㺬ヸ佈ミ㹼ヸ쎨ꗜヘ⪸ำ Ī̈⪔ำ⭰ำ⨐ำħ̈,Ģ̈佴ミ쎨þ⮔ำ⬠ำ ğ̌㺬ヸ佈ミ㹼ヸ쎨ꗜヘ⭨ำ   Đ̈⭄ำⰠำ⫀ำ  @@č̈šP@@Ĉ̈佴ミ쎨ÿⱄำ⯐ำ ą̌㺬ヸ佈ミ㹼ヸ쎨ꗜヘⰘำ Ǿ̈⯴ำⳐำ⭰ำp°pǻ̈.@ pÐǶ̈佴ミ쎨Ā⳴ำⲀำ ǳ̌㺬ヸ佈ミ㹼ヸ쎨ꗜヘⳈำ@ Ǥ̈Ⲥำ⸰ำⰠำ@ǡ̈pǜ̈⵸ำ쎨āⶤำⴰำ Ǚ̌佈ミ㹼ヸ쎨ꗜヘ` ǒ̈㧸ำǏ̈.ໃǊ̈佴ミ쎨ă⹔ำⷠำ Ǉ̌㺬ヸ佈ミ㹼ヸ쎨ꗜヘ⸨ำÀÀ Ƹ̈⸄ำ⻰ำⳐำÀ0PPƵ̈spravujú0@Ʋ̈佴ミ쎨Č⼔ำ⺠ำ Ư̌㺬ヸ佈ミ㹼ヸ쎨ꗜヘ⻨ำ@p Ơ̈⻄ำ⾠ำ⸰ำpÀĀƝ̈DVT``Ƙ̈佴ミ쎨Đ⿄ำ⽐ำ ƕ̌㺬ヸ佈ミ㹼ヸ쎨ꗜヘ⾘ำP Ǝ̈⽴ำぐำ⻰ำ PpƋ̈vppp0Ɔ̈佴ミ쎨đぴำ　ำ ƃ̌㺬ヸ佈ミ㹼ヸ쎨ꗜヘえำp Ŵ̈〤ำ㄀ำ⾠ำ)ű̈ 䀀Ŭ̈佴ミ쎨Ēㄤำグำ ũ̌㺬ヸ佈ミ㹼ヸ쎨ꗜヘヸำÐ Ţ̈ピำ㇀ำぐำş̈celkovejPp°ÐŔ̈佴ミ쎨ě㇤ำㅰำ ő̌㺬ヸ佈ミ㹼ヸ쎨ꗜヘㆸำà Ŋ̈㆔ำ㉰ำ㄀ำàÀĀŇ̈&#10;dĺžkeł̈佴ミ쎨ġ㊔ำ㈠ำ Ŀ̌㺬ヸ佈ミ㹼ヸ쎨ꗜヘ㉨ำÀ İ̈㉄ำ㌠ำ㇀ำ@ ĭ̈16pĨ̈佴ミ쎨ģ㍄ำ㋐ำ ĥ̌㺬ヸ佈ミ㹼ヸ쎨ꗜヘ㌘ำㄐϦ Ğ̈㋴ำ㏐ำ㉰ำě̈ Ė̈佴ミ쎨Ĥ㏴ำ㎀ำ ē̌㺬ヸ佈ミ㹼ヸ쎨ꗜヘ㏈ำ鼘ϥ Ą̈㎤ำ㒀ำ㌠ำā̈812Ǽ̈佴ミ쎨ħ㒤ำ㐰ำ ǹ̌㺬ヸ佈ミ㹼ヸ쎨ꗜヘ㑸ำ ǲ̈㑔ำ㔰ำ㏐ำ&quot;ǊȌǯ̈,マǪ̈佴ミ쎨Ĩ㕔ำ㓠ำ ǧ̌㺬ヸ佈ミ㹼ヸ쎨ꗜヘ㔨ำ羰ㅠ ǘ̈㔄ำ㗠ำ㒀ำ蘔ㅠǕ̈03ㅠǐ̈佴ミ쎨ī㘄ำ㖐ำ Ǎ̌㺬ヸ佈ミ㹼ヸ쎨ꗜヘ㗘ำ怒Ϥ ǆ̈㖴ำ㚐ำ㔰ำ﹀Ϥ3ǃ̈kmϤ5ƾ̈佴ミ쎨ĭ㚴ำ㙀ำ ƻ̌㺬ヸ佈ミ㹼ヸ쎨ꗜヘ㚈ำ Ƭ̈㙤ำ㝀ำ㗠ำƩ̈.Ƥ̈佴ミ쎨į㝤ำ㛰ำ ơ̌㺬ヸ佈ミ㹼ヸ쎨ꗜヘ㜸ำ ƚ̈㜔ำ㟰ำ㚐ำÈƗ̈ŠL ƒ̈佴ミ쎨Ĳ㠔ำ㞠ำ Ə̌㺬ヸ佈ミ㹼ヸ쎨ꗜヘ㟨ำ뱸ϧ ƀ̈㟄ำ㢠ำ㝀ำﾘϯŽ̈&#10;TANAPŸ̈佴ミ쎨ķ㣄ำ㡐ำ ŵ̌㺬ヸ佈ミ㹼ヸ쎨ꗜヘ㢘ำ Ů̈㡴ำ粗㟰ำṻ&#10;Ŧ̈Value1jeţ̈.iláneŘ̈&#10;APjeŕ̌Ÿ ProductIDŒ̈ⴈำŸ4 224,39 kmŏ̈㥸ำŸ1 226,42 kmń̈&#10;TANAPŇ̈Key1ł̈Name.SmartTagᏕĿ̎ŸŸミ㹼ヸ쎨ꗜヘาᳫᇉ  Ɠ̌㺬ヸ佈ミ㹼ヸ쎨ꗜヘ０า Ƅ̈佴ミ쎨dำ￰า Ɓ̌㺬ヸ佈ミ㹼ヸ쎨ꗜヘ8ำ ź̈ำĀำ８า睐Dŷ̈vodnýchါ恈Ŭ̈佴ミ쎨 ﻼา°ำ ũ̌㺬ヸ佈ミ㹼ヸ쎨ꗜヘøำ Ţ̈ÔำƘำ@ำ剀Ϥş̈佴ミ쎨&amp;าňำ Ŕ̌㺬ヸ佈ミ㹼ヸ쎨ꗜヘƐำD. ō̈ŬำȰำĀำ䘀Ŋ̈佴ミ쎨'ɔำǠำ Ň̌㺬ヸ佈ミ㹼ヸ쎨ꗜヘȨำ ĸ̈ȄำˠำƘำ佈ミ㹼ヸĵ̈DVT厠Ϥİ̈佴ミ쎨*̄ำʐำ ĭ̌㺬ヸ佈ミ㹼ヸ쎨ꗜヘ˘ำāȈ Ħ̈ʴำΐำȰำ ǾȌģ̈)쎨Ğ̈佴ミ쎨,δำ̀ำ ě̌㺬ヸ佈ミ㹼ヸ쎨ꗜヘΈำy Č̈ͤำрำˠำǤȌĉ̈vPĄ̈佴ミ쎨-Ѥำϰำ ā̌㺬ヸ佈ミ㹼ヸ쎨ꗜヘиำph Ǻ̈ДำӰำΐำ〫鴰䌯Ƿ̈ 尀㄀ǲ̈佴ミ쎨.ԔำҠำ ǯ̌㺬ヸ佈ミ㹼ヸ쎨ꗜヘӨำㅾ䌮 Ǡ̈ӄำְำрำ⸀挀栀氀ǝ̈správe䑙䍏繕1　̀Ѐǚ̈佴ミ쎨5הำՠำ Ǘ̌㺬ヸ佈ミ㹼ヸ쎨ꗜヘ֨ำÀ ǈ̈քำٰำӰำǅ̈štátnych䎘඾řǂ̈佴ミ쎨&gt;ڔำؠำ ƿ̌㺬ヸ佈ミ㹼ヸ쎨ꗜヘ٨ำ ư̈لำܰำְำᳫᇉƭ̈organizáciíƪ̈佴ミ쎨Iݔำ۠ำ Ƨ̌㺬ヸ佈ミ㹼ヸ쎨ꗜヘܨำ Ƙ̈܄ำߠำٰำ翿ƕ̈,&quot;ųȈƐ̈佴ミ쎨Kࠄำސำ ƍ̌㺬ヸ佈ミ㹼ヸ쎨ꗜヘߘำ Ɔ̈޴ำ࢐ำܰำƃ̈jež̈佴ミ쎨Nࢴำࡀำ Ż̌㺬ヸ佈ミ㹼ヸ쎨ꗜヘ࢈ำ Ŭ̈ࡤำीำߠำmosrũ̈18ϙŤ̈佴ミ쎨P।ำࣰำ š̌㺬ヸ佈ミ㹼ヸ쎨ꗜヘसำĵȈ Ś̈औำৰำ࢐ำ ĲȌŗ̈ 쎨Œ̈佴ミ쎨Qਔำঠำ ŏ̌㺬ヸ佈ミ㹼ヸ쎨ꗜヘ২ำ ŀ̈ৄำઠำीำ쎨Ľ̈555ĸ̈佴ミ쎨Tૄำ੐ำ ĵ̌㺬ヸ佈ミ㹼ヸ쎨ꗜヘઘำDO Į̈ੴำ୐ำৰำcrosī̈,ows.Ħ̈佴ミ쎨U୴ำ଀ำ ģ̌㺬ヸ佈ミ㹼ヸ쎨ꗜヘୈำ3f Ĕ̈ତำఀำઠำđ̈93ǯȌČ̈佴ミ쎨Xతำரำ ĉ̌㺬ヸ佈ミ㹼ヸ쎨ꗜヘ௸ำꗜヘ Ă̈௔ำರำ୐ำ&quot; ǚȈǿ̈km಼Ǻ̈佴ミ쎨Z೔ำౠำ Ƿ̌㺬ヸ佈ミ㹼ヸ쎨ꗜヘನำē Ǩ̈಄ำൠำఀำ즬Вǥ̈.ows Ǡ̈佴ミ쎨\඄ำഐำ ǝ̌㺬ヸ佈ミ㹼ヸ쎨ꗜヘ൘ำ골Ϩ ǖ̈ഴำฐำರำD볋뜢Ǔ̈Z崄誈ᳫᇉǎ̈佴ミ쎨]ิำවำ ǋ̌㺬ヸ佈ミ㹼ヸ쎨ꗜヘจำ Ƽ̈෤ำເำൠำ崄誈ᳫᇉƹ̈ ƴ̈佴ミ쎨^໤ำ๰ำ Ʊ̌㺬ヸ佈ミ㹼ヸ쎨ꗜヘຸำto ƪ̈ດำ཰ำฐำ&#10;ƂȌƧ̈&#10;tejtoƢ̈佴ミ쎨dྔำ༠ำ Ɵ̌㺬ヸ佈ミ㹼ヸ쎨ꗜヘཨำ Ɛ̈ངำူำເำ您Ϥƍ̈celkovej_6595Ɗ̈佴ミ쎨mၔำ࿠ำ Ƈ̌㺬ヸ佈ミ㹼ヸ쎨ꗜヘဨำ㠠ϧ Ÿ̈ငำრำ཰ำ뫹ᇎ芌ꨀŵ̈&#10;dĺžkyŰ̈佴ミ쎨sᄄำ႐ำ ŭ̌㺬ヸ佈ミ㹼ヸ쎨ꗜヘიำ㹼ヸ Ŧ̈Ⴔำᆠำူำţ̈spravujú/infoŘ̈佴ミ쎨|ᇄำᅐำ ŕ̌㺬ヸ佈ミ㹼ヸ쎨ꗜヘᆘำ Ŏ̈ᅴำቐำრำ뮤rŋ̈&#10;tietoņ̈佴ミ쎨ቴำሀำ Ń̌㺬ヸ佈ミ㹼ヸ쎨ꗜヘቈำ Ĵ̈ሤำጐำᆠำı̈organizácieĮ̈佴ミ쎨ጴำዀำ ī̌㺬ヸ佈ミ㹼ヸ쎨ꗜヘገำ Ĝ̈ዤำᏀำቐำ뿼ㅢę̈naㅠĔ̈佴ミ쎨Ꮴำ፰ำ đ̌㺬ヸ佈ミ㹼ヸ쎨ꗜヘᎸำ俠⃐ Ċ̈᎔ำᒀำጐำ尀㄀ć̈lesných⺾露瘮漾ᑈǼ̈佴ミ쎨 ᒤำᐰำ ǹ̌㺬ヸ佈ミ㹼ヸ쎨ꗜヘᑸำ栀氀 ǲ̈ᑔำᕀำᏀำ1䰀̀Ѐǯ̈pozemkoch漀渀 䐀Ǥ̈佴ミ쎨£ᕤำᓰำ ǡ̌㺬ヸ佈ミ㹼ヸ쎨ꗜヘᔸำ၊伀 ǚ̈ᔔำᗰำᒀำ椀挀攀Ǘ̈13偁协繌ǒ̈佴ミ쎨¥ᘔำᖠำ Ǐ̌㺬ヸ佈ミ㹼ヸ쎨ꗜヘᗨำ\W ǀ̈ᗄำᚠำᕀำrsioƽ̈ et SƸ̈佴ミ쎨¦ᛄำᙐำ Ƶ̌㺬ヸ佈ミ㹼ヸ쎨ꗜヘᚘำ Ʈ̈ᙴำᝐำᗰำƫ̈105Ʀ̈佴ミ쎨©᝴ำᜀำ ƣ̌㺬ヸ佈ミ㹼ヸ쎨ꗜヘᝈำ܄ϥ Ɣ̈ᜤำ᠀ำᚠำڼϥﺈϤƑ̈,緈ㅠƌ̈佴ミ쎨ªᠤำឰำ Ɖ̌㺬ヸ佈ミ㹼ヸ쎨ꗜヘ៸ำ Ƃ̈។ำᢰำᝐำ솠඿㮿ſ̈12́ź̈佴ミ쎨­ᣔำᡠำ ŷ̌㺬ヸ佈ミ㹼ヸ쎨ꗜヘᢨำ Ũ̈ᢄำᥠำ᠀ำť̈kmŠ̈佴ミ쎨¯ᦄำᤐำ ŝ̌㺬ヸ佈ミ㹼ヸ쎨ꗜヘᥘำSu Ŗ̈ᤴำᨐำᢰำ佴ミ쎨œ̈,Ϥ你ϭŎ̈佴ミ쎨±ᨴำᧀำ ŋ̌㺬ヸ佈ミ㹼ヸ쎨ꗜヘᨈำ ļ̈᧤ำᫀำᥠำĹ̈mimoĴ̈佴ミ쎨¶᫤ำᩰำ ı̌㺬ヸ佈ミ㹼ヸ쎨ꗜヘ᪸ำ Ī̈᪔ำᮀำᨐำħ̈lesnýchĜ̈佴ミ쎨¾ᮤำᬰำ ę̌㺬ヸ佈ミ㹼ヸ쎨ꗜヘ᭸ำ Ē̈᭔ำ᱀ำᫀำ湡⁤敓瑴ď̈pozemkovcumenĄ̈佴ミ쎨Çᱤำᯰำ ā̌㺬ヸ佈ミ㹼ヸ쎨ꗜヘ᰸ำX Ǻ̈ᰔำᳰำᮀำ뻯Ƿ̈4licaǲ̈佴ミ쎨ÈᴔำᲠำ ǯ̌㺬ヸ佈ミ㹼ヸ쎨ꗜヘ᳨ำ$ Ǡ̈᳄ำᶠำ᱀ำ蕨ผǝ̈ ǘ̈佴ミ쎨É᷄ำᵐำ Ǖ̌㺬ヸ佈ミ㹼ヸ쎨ꗜヘᶘำ ǎ̈ᵴำṐำᳰำ8zN&amp;ǋ̈224{fǆ̈佴ミ쎨ÌṴำḀำ ǃ̌㺬ヸ佈ミ㹼ヸ쎨ꗜヘṈำ ƴ̈Ḥำἀำᶠำ᭐Ʊ̈,䮘덳뤛ᚒƬ̈佴ミ쎨ÍἤำẰำ Ʃ̌㺬ヸ佈ミ㹼ヸ쎨ꗜヘỸำ3A Ƣ̈ỔำᾰำṐำ88DAƟ̈39臩矧ƚ̈佴ミ쎨Ð῔ำὠำ Ɨ̌㺬ヸ佈ミ㹼ヸ쎨ꗜヘᾨำⶸϳ ƈ̈ᾄำ⁠ำἀำ莈ƅ̈km눴Ꝛƀ̈佴ミ쎨Ó₄ำ‐ำ Ž̌㺬ヸ佈ミ㹼ヸ쎨ꗜヘ⁘ำ໽ Ŷ̈‴ำℐำᾰำ〈Вų̈aŮ̈佴ミ쎨Ôℴำ⃀ำ ū̌㺬ヸ佈ミ㹼ヸ쎨ꗜヘ℈ำĿȈ Ŝ̈⃤ำ⇀ำ⁠ำĺĴȌř̈ Ŕ̈佴ミ쎨Õ⇤ำⅰำ ő̌㺬ヸ佈ミ㹼ヸ쎨ꗜヘ↸ำ Ŋ̈↔ำ≰ำℐำŇ̈vł̈佴ミ쎨Ö⊔ำ∠ำ Ŀ̌㺬ヸ佈ミ㹼ヸ쎨ꗜヘ≨ำ İ̈≄ำ⌠ำ⇀ำĭ̈ Ĩ̈佴ミ쎨×⍄ำ⋐ำ ĥ̌㺬ヸ佈ミ㹼ヸ쎨ꗜヘ⌘ำ Ğ̈⋴ำ⏠ำ≰ำě̈intraviláneĐ̈佴ミ쎨ã␄ำ⎐ำ č̌㺬ヸ佈ミ㹼ヸ쎨ꗜヘ⏘ำ Ć̈⎴ำ⒐ำ⌠ำă̈obcíǾ̈佴ミ쎨è⒴ำ⑀ำ ǻ̌㺬ヸ佈ミ㹼ヸ쎨ꗜヘ⒈ำ Ǭ̈⑤ำ╀ำ⏠ำǩ̈1Ǥ̈佴ミ쎨é╤ำ⓰ำ ǡ̌㺬ヸ佈ミ㹼ヸ쎨ꗜヘ┸ำ ǚ̈└ำ◰ำ⒐ำǗ̈ ǒ̈佴ミ쎨ê☔ำ■ำ Ǐ̌㺬ヸ佈ミ㹼ヸ쎨ꗜヘ◨ำ ǀ̈◄ำ⚠ำ╀ำƽ̈226Ƹ̈佴ミ쎨í⛄ำ♐ำ Ƶ̌㺬ヸ佈ミ㹼ヸ쎨ꗜヘ⚘ำ Ʈ̈♴ำ❐ำ◰ำƫ̈,Ʀ̈佴ミ쎨î❴ำ✀ำ ƣ̌㺬ヸ佈ミ㹼ヸ쎨ꗜヘ❈ำ Ɣ̈✤ำ⠀ำ⚠ำƑ̈42ƌ̈佴ミ쎨ñ⠤ำ➰ำ Ɖ̌㺬ヸ佈ミ㹼ヸ쎨ꗜヘ⟸ำ Ƃ̈⟔ำ⢰"/>
        </w:smartTagPr>
        <w:r w:rsidRPr="00212E18">
          <w:rPr>
            <w:rFonts w:ascii="Times New Roman" w:eastAsia="Calibri" w:hAnsi="Times New Roman"/>
            <w:sz w:val="24"/>
            <w:szCs w:val="24"/>
          </w:rPr>
          <w:t>1 226,42 km</w:t>
        </w:r>
      </w:smartTag>
      <w:r w:rsidRPr="00212E18">
        <w:rPr>
          <w:rFonts w:ascii="Times New Roman" w:eastAsia="Calibri" w:hAnsi="Times New Roman"/>
          <w:sz w:val="24"/>
          <w:szCs w:val="24"/>
        </w:rPr>
        <w:t xml:space="preserve">. Celková dĺžka riečnej siete v Slovenskej republike je súčasnosti </w:t>
      </w:r>
      <w:smartTag w:uri="urn:schemas-microsoft-com:office:smarttags" w:element="metricconverter">
        <w:smartTagPr>
          <w:attr w:name="ProductID" w:val="61ﾠ147 km"/>
        </w:smartTagPr>
        <w:r w:rsidRPr="00212E18">
          <w:rPr>
            <w:rFonts w:ascii="Times New Roman" w:eastAsia="Calibri" w:hAnsi="Times New Roman"/>
            <w:sz w:val="24"/>
            <w:szCs w:val="24"/>
          </w:rPr>
          <w:t>61 147 km</w:t>
        </w:r>
      </w:smartTag>
      <w:r w:rsidRPr="00212E18">
        <w:rPr>
          <w:rFonts w:ascii="Times New Roman" w:eastAsia="Calibri" w:hAnsi="Times New Roman"/>
          <w:sz w:val="24"/>
          <w:szCs w:val="24"/>
        </w:rPr>
        <w:t>.</w:t>
      </w:r>
    </w:p>
    <w:p w:rsidR="00212E18" w:rsidRPr="00212E18" w:rsidRDefault="00212E18" w:rsidP="00212E18">
      <w:pPr>
        <w:spacing w:after="0" w:line="240" w:lineRule="auto"/>
        <w:jc w:val="both"/>
        <w:rPr>
          <w:rFonts w:ascii="Times New Roman" w:eastAsia="Calibri" w:hAnsi="Times New Roman"/>
          <w:sz w:val="24"/>
          <w:szCs w:val="24"/>
        </w:rPr>
      </w:pPr>
    </w:p>
    <w:p w:rsidR="00212E18" w:rsidRDefault="00212E18" w:rsidP="00212E18">
      <w:pPr>
        <w:spacing w:after="0" w:line="240" w:lineRule="auto"/>
        <w:jc w:val="both"/>
        <w:rPr>
          <w:rFonts w:ascii="Times New Roman" w:eastAsia="Calibri" w:hAnsi="Times New Roman"/>
          <w:sz w:val="24"/>
          <w:szCs w:val="24"/>
        </w:rPr>
      </w:pPr>
      <w:r w:rsidRPr="00212E18">
        <w:rPr>
          <w:rFonts w:ascii="Times New Roman" w:eastAsia="Calibri" w:hAnsi="Times New Roman"/>
          <w:sz w:val="24"/>
          <w:szCs w:val="24"/>
        </w:rPr>
        <w:t xml:space="preserve">Lesy Slovenskej republiky, š.p. spravujú </w:t>
      </w:r>
      <w:r w:rsidR="00CF1F09">
        <w:rPr>
          <w:rFonts w:ascii="Times New Roman" w:eastAsia="Calibri" w:hAnsi="Times New Roman"/>
          <w:sz w:val="24"/>
          <w:szCs w:val="24"/>
        </w:rPr>
        <w:t>drobné vodné toky</w:t>
      </w:r>
      <w:r w:rsidRPr="00212E18">
        <w:rPr>
          <w:rFonts w:ascii="Times New Roman" w:eastAsia="Calibri" w:hAnsi="Times New Roman"/>
          <w:sz w:val="24"/>
          <w:szCs w:val="24"/>
        </w:rPr>
        <w:t xml:space="preserve"> v celkovej dĺžke </w:t>
      </w:r>
      <w:smartTag w:uri="urn:schemas-microsoft-com:office:smarttags" w:element="metricconverter">
        <w:smartTagPr>
          <w:attr w:name="ProductID" w:val="16ﾠ812,03 km"/>
        </w:smartTagPr>
        <w:r w:rsidRPr="00212E18">
          <w:rPr>
            <w:rFonts w:ascii="Times New Roman" w:eastAsia="Calibri" w:hAnsi="Times New Roman"/>
            <w:sz w:val="24"/>
            <w:szCs w:val="24"/>
          </w:rPr>
          <w:t>16 812,03 km</w:t>
        </w:r>
      </w:smartTag>
      <w:r w:rsidRPr="00212E18">
        <w:rPr>
          <w:rFonts w:ascii="Times New Roman" w:eastAsia="Calibri" w:hAnsi="Times New Roman"/>
          <w:sz w:val="24"/>
          <w:szCs w:val="24"/>
        </w:rPr>
        <w:t xml:space="preserve">, (z toho na lesných pozemkoch </w:t>
      </w:r>
      <w:smartTag w:uri="urn:schemas-microsoft-com:office:smarttags" w:element="metricconverter">
        <w:smartTagPr>
          <w:attr w:name="ProductID" w:val="11ﾠ642,93 km"/>
        </w:smartTagPr>
        <w:r w:rsidRPr="00212E18">
          <w:rPr>
            <w:rFonts w:ascii="Times New Roman" w:eastAsia="Calibri" w:hAnsi="Times New Roman"/>
            <w:sz w:val="24"/>
            <w:szCs w:val="24"/>
          </w:rPr>
          <w:t>11 642,93 km</w:t>
        </w:r>
      </w:smartTag>
      <w:r w:rsidRPr="00212E18">
        <w:rPr>
          <w:rFonts w:ascii="Times New Roman" w:eastAsia="Calibri" w:hAnsi="Times New Roman"/>
          <w:sz w:val="24"/>
          <w:szCs w:val="24"/>
        </w:rPr>
        <w:t xml:space="preserve">, mimo lesných pozemkov </w:t>
      </w:r>
      <w:smartTag w:uri="urn:schemas-microsoft-com:office:smarttags" w:element="metricconverter">
        <w:smartTagPr>
          <w:attr w:name="ProductID" w:val="3ﾠ976,78 km"/>
        </w:smartTagPr>
        <w:r w:rsidRPr="00212E18">
          <w:rPr>
            <w:rFonts w:ascii="Times New Roman" w:eastAsia="Calibri" w:hAnsi="Times New Roman"/>
            <w:sz w:val="24"/>
            <w:szCs w:val="24"/>
          </w:rPr>
          <w:t>3 976,78 km</w:t>
        </w:r>
        <w:r w:rsidR="007B5BCA">
          <w:rPr>
            <w:rFonts w:ascii="Times New Roman" w:eastAsia="Calibri" w:hAnsi="Times New Roman"/>
            <w:sz w:val="24"/>
            <w:szCs w:val="24"/>
          </w:rPr>
          <w:t xml:space="preserve"> </w:t>
        </w:r>
      </w:smartTag>
      <w:r w:rsidRPr="00212E18">
        <w:rPr>
          <w:rFonts w:ascii="Times New Roman" w:eastAsia="Calibri" w:hAnsi="Times New Roman"/>
          <w:sz w:val="24"/>
          <w:szCs w:val="24"/>
        </w:rPr>
        <w:lastRenderedPageBreak/>
        <w:t xml:space="preserve">a v intraviláne obcí </w:t>
      </w:r>
      <w:smartTag w:uri="urn:schemas-microsoft-com:office:smarttags" w:element="metricconverter">
        <w:smartTagPr>
          <w:attr w:name="ProductID" w:val="1ﾠ192,32 km"/>
        </w:smartTagPr>
        <w:r w:rsidRPr="00212E18">
          <w:rPr>
            <w:rFonts w:ascii="Times New Roman" w:eastAsia="Calibri" w:hAnsi="Times New Roman"/>
            <w:sz w:val="24"/>
            <w:szCs w:val="24"/>
          </w:rPr>
          <w:t>1 192,32 km</w:t>
        </w:r>
      </w:smartTag>
      <w:r w:rsidRPr="00212E18">
        <w:rPr>
          <w:rFonts w:ascii="Times New Roman" w:eastAsia="Calibri" w:hAnsi="Times New Roman"/>
          <w:sz w:val="24"/>
          <w:szCs w:val="24"/>
        </w:rPr>
        <w:t>), Štátne Le</w:t>
      </w:r>
      <w:r w:rsidR="00CF1F09">
        <w:rPr>
          <w:rFonts w:ascii="Times New Roman" w:eastAsia="Calibri" w:hAnsi="Times New Roman"/>
          <w:sz w:val="24"/>
          <w:szCs w:val="24"/>
        </w:rPr>
        <w:t xml:space="preserve">sy Tatranského národného parku </w:t>
      </w:r>
      <w:r w:rsidRPr="00212E18">
        <w:rPr>
          <w:rFonts w:ascii="Times New Roman" w:eastAsia="Calibri" w:hAnsi="Times New Roman"/>
          <w:sz w:val="24"/>
          <w:szCs w:val="24"/>
        </w:rPr>
        <w:t xml:space="preserve">spravujú </w:t>
      </w:r>
      <w:r w:rsidR="00CF1F09">
        <w:rPr>
          <w:rFonts w:ascii="Times New Roman" w:eastAsia="Calibri" w:hAnsi="Times New Roman"/>
          <w:sz w:val="24"/>
          <w:szCs w:val="24"/>
        </w:rPr>
        <w:t>drobné vodné toky</w:t>
      </w:r>
      <w:r w:rsidRPr="00212E18">
        <w:rPr>
          <w:rFonts w:ascii="Times New Roman" w:eastAsia="Calibri" w:hAnsi="Times New Roman"/>
          <w:sz w:val="24"/>
          <w:szCs w:val="24"/>
        </w:rPr>
        <w:t xml:space="preserve"> v celkovej dĺžke </w:t>
      </w:r>
      <w:smartTag w:uri="urn:schemas-microsoft-com:office:smarttags" w:element="metricconverter">
        <w:smartTagPr>
          <w:attr w:name="ProductID" w:val="1ﾠ343,5 km"/>
        </w:smartTagPr>
        <w:r w:rsidRPr="00212E18">
          <w:rPr>
            <w:rFonts w:ascii="Times New Roman" w:eastAsia="Calibri" w:hAnsi="Times New Roman"/>
            <w:sz w:val="24"/>
            <w:szCs w:val="24"/>
          </w:rPr>
          <w:t>1 343,5 km</w:t>
        </w:r>
      </w:smartTag>
      <w:r w:rsidRPr="00212E18">
        <w:rPr>
          <w:rFonts w:ascii="Times New Roman" w:eastAsia="Calibri" w:hAnsi="Times New Roman"/>
          <w:sz w:val="24"/>
          <w:szCs w:val="24"/>
        </w:rPr>
        <w:t xml:space="preserve"> (z toho na lesných pozemkoch </w:t>
      </w:r>
      <w:smartTag w:uri="urn:schemas-microsoft-com:office:smarttags" w:element="metricconverter">
        <w:smartTagPr>
          <w:attr w:name="ProductID" w:val="1ﾠ163,79 km"/>
        </w:smartTagPr>
        <w:r w:rsidRPr="00212E18">
          <w:rPr>
            <w:rFonts w:ascii="Times New Roman" w:eastAsia="Calibri" w:hAnsi="Times New Roman"/>
            <w:sz w:val="24"/>
            <w:szCs w:val="24"/>
          </w:rPr>
          <w:t>1 163,79 km</w:t>
        </w:r>
      </w:smartTag>
      <w:r w:rsidRPr="00212E18">
        <w:rPr>
          <w:rFonts w:ascii="Times New Roman" w:eastAsia="Calibri" w:hAnsi="Times New Roman"/>
          <w:sz w:val="24"/>
          <w:szCs w:val="24"/>
        </w:rPr>
        <w:t xml:space="preserve">, mimo lesných pozemkov 151,21 a v intraviláne obcí </w:t>
      </w:r>
      <w:smartTag w:uri="urn:schemas-microsoft-com:office:smarttags" w:element="metricconverter">
        <w:smartTagPr>
          <w:attr w:name="ProductID" w:val="28,5 km"/>
        </w:smartTagPr>
        <w:r w:rsidRPr="00212E18">
          <w:rPr>
            <w:rFonts w:ascii="Times New Roman" w:eastAsia="Calibri" w:hAnsi="Times New Roman"/>
            <w:sz w:val="24"/>
            <w:szCs w:val="24"/>
          </w:rPr>
          <w:t>28,5 km</w:t>
        </w:r>
      </w:smartTag>
      <w:r w:rsidRPr="00212E18">
        <w:rPr>
          <w:rFonts w:ascii="Times New Roman" w:eastAsia="Calibri" w:hAnsi="Times New Roman"/>
          <w:sz w:val="24"/>
          <w:szCs w:val="24"/>
        </w:rPr>
        <w:t>) a </w:t>
      </w:r>
      <w:proofErr w:type="spellStart"/>
      <w:r w:rsidRPr="00212E18">
        <w:rPr>
          <w:rFonts w:ascii="Times New Roman" w:eastAsia="Calibri" w:hAnsi="Times New Roman"/>
          <w:sz w:val="24"/>
          <w:szCs w:val="24"/>
        </w:rPr>
        <w:t>Lesopoľnohospodársky</w:t>
      </w:r>
      <w:proofErr w:type="spellEnd"/>
      <w:r w:rsidRPr="00212E18">
        <w:rPr>
          <w:rFonts w:ascii="Times New Roman" w:eastAsia="Calibri" w:hAnsi="Times New Roman"/>
          <w:sz w:val="24"/>
          <w:szCs w:val="24"/>
        </w:rPr>
        <w:t xml:space="preserve"> majetok Ulič, š.p. spravuje </w:t>
      </w:r>
      <w:r w:rsidR="00CF1F09">
        <w:rPr>
          <w:rFonts w:ascii="Times New Roman" w:eastAsia="Calibri" w:hAnsi="Times New Roman"/>
          <w:sz w:val="24"/>
          <w:szCs w:val="24"/>
        </w:rPr>
        <w:t>drobné vodné toky</w:t>
      </w:r>
      <w:r w:rsidRPr="00212E18">
        <w:rPr>
          <w:rFonts w:ascii="Times New Roman" w:eastAsia="Calibri" w:hAnsi="Times New Roman"/>
          <w:sz w:val="24"/>
          <w:szCs w:val="24"/>
        </w:rPr>
        <w:t xml:space="preserve"> v celkovej dĺžke </w:t>
      </w:r>
      <w:smartTag w:uri="urn:schemas-microsoft-com:office:smarttags" w:element="metricconverter">
        <w:smartTagPr>
          <w:attr w:name="ProductID" w:val="400,4 km"/>
        </w:smartTagPr>
        <w:r w:rsidRPr="00212E18">
          <w:rPr>
            <w:rFonts w:ascii="Times New Roman" w:eastAsia="Calibri" w:hAnsi="Times New Roman"/>
            <w:sz w:val="24"/>
            <w:szCs w:val="24"/>
          </w:rPr>
          <w:t>400,4 km</w:t>
        </w:r>
      </w:smartTag>
      <w:r w:rsidRPr="00212E18">
        <w:rPr>
          <w:rFonts w:ascii="Times New Roman" w:eastAsia="Calibri" w:hAnsi="Times New Roman"/>
          <w:sz w:val="24"/>
          <w:szCs w:val="24"/>
        </w:rPr>
        <w:t xml:space="preserve"> (z toho na lesných pozemkoch </w:t>
      </w:r>
      <w:smartTag w:uri="urn:schemas-microsoft-com:office:smarttags" w:element="metricconverter">
        <w:smartTagPr>
          <w:attr w:name="ProductID" w:val="298,4 km"/>
        </w:smartTagPr>
        <w:r w:rsidRPr="00212E18">
          <w:rPr>
            <w:rFonts w:ascii="Times New Roman" w:eastAsia="Calibri" w:hAnsi="Times New Roman"/>
            <w:sz w:val="24"/>
            <w:szCs w:val="24"/>
          </w:rPr>
          <w:t>298,4 km</w:t>
        </w:r>
      </w:smartTag>
      <w:r w:rsidRPr="00212E18">
        <w:rPr>
          <w:rFonts w:ascii="Times New Roman" w:eastAsia="Calibri" w:hAnsi="Times New Roman"/>
          <w:sz w:val="24"/>
          <w:szCs w:val="24"/>
        </w:rPr>
        <w:t xml:space="preserve">, mimo lesných pozemkov </w:t>
      </w:r>
      <w:smartTag w:uri="urn:schemas-microsoft-com:office:smarttags" w:element="metricconverter">
        <w:smartTagPr>
          <w:attr w:name="ProductID" w:val="96,4 km"/>
        </w:smartTagPr>
        <w:r w:rsidRPr="00212E18">
          <w:rPr>
            <w:rFonts w:ascii="Times New Roman" w:eastAsia="Calibri" w:hAnsi="Times New Roman"/>
            <w:sz w:val="24"/>
            <w:szCs w:val="24"/>
          </w:rPr>
          <w:t>96,4 km</w:t>
        </w:r>
      </w:smartTag>
      <w:r w:rsidRPr="00212E18">
        <w:rPr>
          <w:rFonts w:ascii="Times New Roman" w:eastAsia="Calibri" w:hAnsi="Times New Roman"/>
          <w:sz w:val="24"/>
          <w:szCs w:val="24"/>
        </w:rPr>
        <w:t xml:space="preserve"> a v intraviláne obcí </w:t>
      </w:r>
      <w:smartTag w:uri="urn:schemas-microsoft-com:office:smarttags" w:element="metricconverter">
        <w:smartTagPr>
          <w:attr w:name="ProductID" w:val="5,6 km"/>
        </w:smartTagPr>
        <w:r w:rsidRPr="00212E18">
          <w:rPr>
            <w:rFonts w:ascii="Times New Roman" w:eastAsia="Calibri" w:hAnsi="Times New Roman"/>
            <w:sz w:val="24"/>
            <w:szCs w:val="24"/>
          </w:rPr>
          <w:t>5,6 km</w:t>
        </w:r>
      </w:smartTag>
      <w:r w:rsidRPr="00212E18">
        <w:rPr>
          <w:rFonts w:ascii="Times New Roman" w:eastAsia="Calibri" w:hAnsi="Times New Roman"/>
          <w:sz w:val="24"/>
          <w:szCs w:val="24"/>
        </w:rPr>
        <w:t>).</w:t>
      </w:r>
    </w:p>
    <w:p w:rsidR="00CF1F09" w:rsidRDefault="00CF1F09" w:rsidP="00212E18">
      <w:pPr>
        <w:spacing w:after="0" w:line="240" w:lineRule="auto"/>
        <w:jc w:val="both"/>
        <w:rPr>
          <w:rFonts w:ascii="Times New Roman" w:eastAsia="Calibri" w:hAnsi="Times New Roman"/>
          <w:sz w:val="24"/>
          <w:szCs w:val="24"/>
        </w:rPr>
      </w:pPr>
    </w:p>
    <w:p w:rsidR="000E029B" w:rsidRDefault="000E029B" w:rsidP="000E029B">
      <w:pPr>
        <w:spacing w:after="0" w:line="240" w:lineRule="auto"/>
        <w:jc w:val="both"/>
        <w:rPr>
          <w:rFonts w:ascii="Times New Roman" w:eastAsia="Calibri" w:hAnsi="Times New Roman"/>
          <w:sz w:val="24"/>
          <w:szCs w:val="24"/>
        </w:rPr>
      </w:pPr>
      <w:r w:rsidRPr="000E029B">
        <w:rPr>
          <w:rFonts w:ascii="Times New Roman" w:eastAsia="Calibri" w:hAnsi="Times New Roman"/>
          <w:sz w:val="24"/>
          <w:szCs w:val="24"/>
        </w:rPr>
        <w:t>Protipovodňové opatrenia v zriaďovacej pôsobnosti Ministerstva pôdohospodárstva a rozvoja vidieka Slovenskej republiky</w:t>
      </w:r>
      <w:r w:rsidR="00357C25">
        <w:rPr>
          <w:rFonts w:ascii="Times New Roman" w:eastAsia="Calibri" w:hAnsi="Times New Roman"/>
          <w:sz w:val="24"/>
          <w:szCs w:val="24"/>
        </w:rPr>
        <w:t xml:space="preserve"> </w:t>
      </w:r>
      <w:r w:rsidRPr="000E029B">
        <w:rPr>
          <w:rFonts w:ascii="Times New Roman" w:eastAsia="Calibri" w:hAnsi="Times New Roman"/>
          <w:sz w:val="24"/>
          <w:szCs w:val="24"/>
        </w:rPr>
        <w:t xml:space="preserve">sa </w:t>
      </w:r>
      <w:r>
        <w:rPr>
          <w:rFonts w:ascii="Times New Roman" w:eastAsia="Calibri" w:hAnsi="Times New Roman"/>
          <w:sz w:val="24"/>
          <w:szCs w:val="24"/>
        </w:rPr>
        <w:t xml:space="preserve">v súčasnosti </w:t>
      </w:r>
      <w:r w:rsidRPr="000E029B">
        <w:rPr>
          <w:rFonts w:ascii="Times New Roman" w:eastAsia="Calibri" w:hAnsi="Times New Roman"/>
          <w:sz w:val="24"/>
          <w:szCs w:val="24"/>
        </w:rPr>
        <w:t xml:space="preserve">zameriavajú na </w:t>
      </w:r>
      <w:r>
        <w:rPr>
          <w:rFonts w:ascii="Times New Roman" w:eastAsia="Calibri" w:hAnsi="Times New Roman"/>
          <w:sz w:val="24"/>
          <w:szCs w:val="24"/>
        </w:rPr>
        <w:t xml:space="preserve">nápravné opatrenia,                   t.j. </w:t>
      </w:r>
      <w:r w:rsidRPr="000E029B">
        <w:rPr>
          <w:rFonts w:ascii="Times New Roman" w:eastAsia="Calibri" w:hAnsi="Times New Roman"/>
          <w:sz w:val="24"/>
          <w:szCs w:val="24"/>
        </w:rPr>
        <w:t xml:space="preserve"> odstránenie problémov vyplývajúcich zo zanedbanej, resp. nedofinancovanej starostlivosti o vodné stavby, tok a povodie.</w:t>
      </w:r>
    </w:p>
    <w:p w:rsidR="000E029B" w:rsidRDefault="000E029B" w:rsidP="000E029B">
      <w:pPr>
        <w:spacing w:after="0" w:line="240" w:lineRule="auto"/>
        <w:jc w:val="both"/>
        <w:rPr>
          <w:rFonts w:ascii="Times New Roman" w:eastAsia="Calibri" w:hAnsi="Times New Roman"/>
          <w:sz w:val="24"/>
          <w:szCs w:val="24"/>
        </w:rPr>
      </w:pPr>
    </w:p>
    <w:p w:rsidR="000E029B" w:rsidRPr="000E029B" w:rsidRDefault="000E029B" w:rsidP="000E029B">
      <w:pPr>
        <w:spacing w:after="0" w:line="240" w:lineRule="auto"/>
        <w:jc w:val="both"/>
        <w:rPr>
          <w:rFonts w:ascii="Times New Roman" w:eastAsia="Calibri" w:hAnsi="Times New Roman"/>
          <w:sz w:val="24"/>
          <w:szCs w:val="24"/>
        </w:rPr>
      </w:pPr>
      <w:r>
        <w:rPr>
          <w:rFonts w:ascii="Times New Roman" w:eastAsia="Times New Roman" w:hAnsi="Times New Roman"/>
          <w:sz w:val="24"/>
          <w:szCs w:val="24"/>
        </w:rPr>
        <w:t>Vzhľadom na obrovský rozsah povodňových škôd, ktoré priemerne počas uplynulého             15-ročného obdobia dosahovali až 78 mil. EUR, je zrejmé, že výlučne nápravné opatrenia v budúcnosti nebudú postačovať a</w:t>
      </w:r>
      <w:r w:rsidRPr="00D21133">
        <w:rPr>
          <w:rFonts w:ascii="Times New Roman" w:eastAsia="Times New Roman" w:hAnsi="Times New Roman"/>
          <w:sz w:val="24"/>
          <w:szCs w:val="24"/>
        </w:rPr>
        <w:t xml:space="preserve"> bude potrebné pristúpiť k systémovým opatreniam a zásahom na zlepšenie odtokových a splaveninových pomerov.</w:t>
      </w:r>
    </w:p>
    <w:p w:rsidR="00C86B29" w:rsidRDefault="00C86B29" w:rsidP="00212E18">
      <w:pPr>
        <w:spacing w:after="0" w:line="240" w:lineRule="auto"/>
        <w:jc w:val="both"/>
        <w:rPr>
          <w:rFonts w:ascii="Times New Roman" w:eastAsia="Calibri" w:hAnsi="Times New Roman"/>
          <w:sz w:val="24"/>
          <w:szCs w:val="24"/>
        </w:rPr>
      </w:pPr>
    </w:p>
    <w:p w:rsidR="00C86B29" w:rsidRDefault="000E029B" w:rsidP="00212E18">
      <w:pPr>
        <w:spacing w:after="0" w:line="240" w:lineRule="auto"/>
        <w:jc w:val="both"/>
        <w:rPr>
          <w:rFonts w:ascii="Times New Roman" w:eastAsia="Calibri" w:hAnsi="Times New Roman"/>
          <w:sz w:val="24"/>
          <w:szCs w:val="24"/>
        </w:rPr>
      </w:pPr>
      <w:r>
        <w:rPr>
          <w:rFonts w:ascii="Times New Roman" w:eastAsia="Calibri" w:hAnsi="Times New Roman"/>
          <w:sz w:val="24"/>
          <w:szCs w:val="24"/>
        </w:rPr>
        <w:t>Máme za to, že v rámci zabezpečenia</w:t>
      </w:r>
      <w:r w:rsidRPr="00E74FA5">
        <w:rPr>
          <w:rFonts w:ascii="Times New Roman" w:eastAsia="Calibri" w:hAnsi="Times New Roman"/>
          <w:sz w:val="24"/>
          <w:szCs w:val="24"/>
        </w:rPr>
        <w:t xml:space="preserve"> ochrany lesných pozemkov, priľahlých poľn</w:t>
      </w:r>
      <w:r>
        <w:rPr>
          <w:rFonts w:ascii="Times New Roman" w:eastAsia="Calibri" w:hAnsi="Times New Roman"/>
          <w:sz w:val="24"/>
          <w:szCs w:val="24"/>
        </w:rPr>
        <w:t xml:space="preserve">ohospodárskych pozemkov a intravilánov obcí pred povodňami, </w:t>
      </w:r>
      <w:r w:rsidRPr="00D21133">
        <w:rPr>
          <w:rFonts w:ascii="Times New Roman" w:eastAsia="Times New Roman" w:hAnsi="Times New Roman"/>
          <w:sz w:val="24"/>
          <w:szCs w:val="24"/>
        </w:rPr>
        <w:t>sa potreba komplexného súboru organizačných, biologických a technických opatrení na predchádzanie vzniku a tlmenia erózie, ustálenie prietokového profilu, ú</w:t>
      </w:r>
      <w:r>
        <w:rPr>
          <w:rFonts w:ascii="Times New Roman" w:eastAsia="Times New Roman" w:hAnsi="Times New Roman"/>
          <w:sz w:val="24"/>
          <w:szCs w:val="24"/>
        </w:rPr>
        <w:t>pravu splaveninového režimu bude</w:t>
      </w:r>
      <w:r w:rsidRPr="00D21133">
        <w:rPr>
          <w:rFonts w:ascii="Times New Roman" w:eastAsia="Times New Roman" w:hAnsi="Times New Roman"/>
          <w:sz w:val="24"/>
          <w:szCs w:val="24"/>
        </w:rPr>
        <w:t xml:space="preserve"> týkať vodných tokov, kde opakovane dochádza k problémom s prevádzaním veľkých vôd v povodí.</w:t>
      </w:r>
    </w:p>
    <w:p w:rsidR="000E029B" w:rsidRDefault="000E029B" w:rsidP="00212E18">
      <w:pPr>
        <w:spacing w:after="0" w:line="240" w:lineRule="auto"/>
        <w:jc w:val="both"/>
        <w:rPr>
          <w:rFonts w:ascii="Times New Roman" w:eastAsia="Calibri" w:hAnsi="Times New Roman"/>
          <w:sz w:val="24"/>
          <w:szCs w:val="24"/>
        </w:rPr>
      </w:pPr>
    </w:p>
    <w:p w:rsidR="00BE691E" w:rsidRDefault="00CF1F09" w:rsidP="00BE691E">
      <w:pPr>
        <w:spacing w:after="0" w:line="240" w:lineRule="auto"/>
        <w:jc w:val="both"/>
        <w:rPr>
          <w:rFonts w:ascii="Times New Roman" w:eastAsia="Calibri" w:hAnsi="Times New Roman"/>
          <w:sz w:val="24"/>
          <w:szCs w:val="24"/>
        </w:rPr>
      </w:pPr>
      <w:r w:rsidRPr="00CF1F09">
        <w:rPr>
          <w:rFonts w:ascii="Times New Roman" w:eastAsia="Calibri" w:hAnsi="Times New Roman"/>
          <w:sz w:val="24"/>
          <w:szCs w:val="24"/>
        </w:rPr>
        <w:t>Celkové náklady na opravy a investície spolu, predstavujú sumu vo výške 37 477,14 tis. EUR, z toho na stavbách nachádzajúcich sa na lesných pozemk</w:t>
      </w:r>
      <w:r w:rsidR="002073B4">
        <w:rPr>
          <w:rFonts w:ascii="Times New Roman" w:eastAsia="Calibri" w:hAnsi="Times New Roman"/>
          <w:sz w:val="24"/>
          <w:szCs w:val="24"/>
        </w:rPr>
        <w:t>och vo výške 7 160,71 tis. EUR,</w:t>
      </w:r>
      <w:r w:rsidR="00357C25">
        <w:rPr>
          <w:rFonts w:ascii="Times New Roman" w:eastAsia="Calibri" w:hAnsi="Times New Roman"/>
          <w:sz w:val="24"/>
          <w:szCs w:val="24"/>
        </w:rPr>
        <w:t xml:space="preserve"> </w:t>
      </w:r>
      <w:r w:rsidRPr="00CF1F09">
        <w:rPr>
          <w:rFonts w:ascii="Times New Roman" w:eastAsia="Calibri" w:hAnsi="Times New Roman"/>
          <w:sz w:val="24"/>
          <w:szCs w:val="24"/>
        </w:rPr>
        <w:t>t.j. podiel z celkových nákladov je 19 %, mimo lesných pozemkov vo výške 2 940,53 tis. EUR, t.j. podiel z celkových nákladov je 8 % a v intraviláne obcí 27 375,90 tis. EUR, t.j. podiel z celkových nákladov je až 73%.</w:t>
      </w:r>
    </w:p>
    <w:p w:rsidR="00977E33" w:rsidRDefault="00977E33" w:rsidP="00BE691E">
      <w:pPr>
        <w:spacing w:after="0" w:line="240" w:lineRule="auto"/>
        <w:jc w:val="both"/>
        <w:rPr>
          <w:rFonts w:ascii="Times New Roman" w:eastAsia="Calibri" w:hAnsi="Times New Roman"/>
          <w:sz w:val="24"/>
          <w:szCs w:val="24"/>
        </w:rPr>
      </w:pPr>
    </w:p>
    <w:p w:rsidR="006E735B" w:rsidRDefault="00E67412"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Systémové zabezpečenie </w:t>
      </w:r>
      <w:r w:rsidRPr="00E74FA5">
        <w:rPr>
          <w:rFonts w:ascii="Times New Roman" w:eastAsia="Calibri" w:hAnsi="Times New Roman"/>
          <w:sz w:val="24"/>
          <w:szCs w:val="24"/>
        </w:rPr>
        <w:t>ochrany lesných pozemkov, priľahlých poľn</w:t>
      </w:r>
      <w:r>
        <w:rPr>
          <w:rFonts w:ascii="Times New Roman" w:eastAsia="Calibri" w:hAnsi="Times New Roman"/>
          <w:sz w:val="24"/>
          <w:szCs w:val="24"/>
        </w:rPr>
        <w:t>ohospodárskych pozemkov a intra</w:t>
      </w:r>
      <w:r w:rsidRPr="00E74FA5">
        <w:rPr>
          <w:rFonts w:ascii="Times New Roman" w:eastAsia="Calibri" w:hAnsi="Times New Roman"/>
          <w:sz w:val="24"/>
          <w:szCs w:val="24"/>
        </w:rPr>
        <w:t>vilánov obcí pred povodňami, zlepšenie zadržiavania vody v krajine, zmierňovanie dopadov klimatickej zmeny, podporovanie a zachovanie biologickej diverzity</w:t>
      </w:r>
      <w:r w:rsidR="00357C25">
        <w:rPr>
          <w:rFonts w:ascii="Times New Roman" w:eastAsia="Calibri" w:hAnsi="Times New Roman"/>
          <w:sz w:val="24"/>
          <w:szCs w:val="24"/>
        </w:rPr>
        <w:t xml:space="preserve"> na roky 2014 – 2017</w:t>
      </w:r>
      <w:r>
        <w:rPr>
          <w:rFonts w:ascii="Times New Roman" w:eastAsia="Calibri" w:hAnsi="Times New Roman"/>
          <w:sz w:val="24"/>
          <w:szCs w:val="24"/>
        </w:rPr>
        <w:t xml:space="preserve"> si takto vyžaduje investičné náklady vo výške 40 000 </w:t>
      </w:r>
      <w:proofErr w:type="spellStart"/>
      <w:r>
        <w:rPr>
          <w:rFonts w:ascii="Times New Roman" w:eastAsia="Calibri" w:hAnsi="Times New Roman"/>
          <w:sz w:val="24"/>
          <w:szCs w:val="24"/>
        </w:rPr>
        <w:t>000</w:t>
      </w:r>
      <w:proofErr w:type="spellEnd"/>
      <w:r>
        <w:rPr>
          <w:rFonts w:ascii="Times New Roman" w:eastAsia="Calibri" w:hAnsi="Times New Roman"/>
          <w:sz w:val="24"/>
          <w:szCs w:val="24"/>
        </w:rPr>
        <w:t xml:space="preserve"> EUR, pričom </w:t>
      </w:r>
      <w:r w:rsidR="006E735B">
        <w:rPr>
          <w:rFonts w:ascii="Times New Roman" w:eastAsia="Calibri" w:hAnsi="Times New Roman"/>
          <w:sz w:val="24"/>
          <w:szCs w:val="24"/>
        </w:rPr>
        <w:t xml:space="preserve">preinvestovaním uvedených finančných prostriedkov sa zabezpečí: </w:t>
      </w:r>
    </w:p>
    <w:p w:rsidR="006E735B" w:rsidRDefault="006E735B" w:rsidP="00BE691E">
      <w:pPr>
        <w:spacing w:after="0" w:line="240" w:lineRule="auto"/>
        <w:jc w:val="both"/>
        <w:rPr>
          <w:rFonts w:ascii="Times New Roman" w:eastAsia="Calibri" w:hAnsi="Times New Roman"/>
          <w:sz w:val="24"/>
          <w:szCs w:val="24"/>
        </w:rPr>
      </w:pPr>
    </w:p>
    <w:p w:rsidR="00E67412" w:rsidRDefault="006E735B" w:rsidP="000D68DC">
      <w:pPr>
        <w:pStyle w:val="Odsekzoznamu"/>
        <w:numPr>
          <w:ilvl w:val="0"/>
          <w:numId w:val="9"/>
        </w:numPr>
        <w:spacing w:after="0" w:line="240" w:lineRule="auto"/>
        <w:jc w:val="both"/>
        <w:rPr>
          <w:rFonts w:ascii="Times New Roman" w:eastAsia="Calibri" w:hAnsi="Times New Roman"/>
          <w:sz w:val="24"/>
          <w:szCs w:val="24"/>
        </w:rPr>
      </w:pPr>
      <w:r>
        <w:rPr>
          <w:rFonts w:ascii="Times New Roman" w:eastAsia="Calibri" w:hAnsi="Times New Roman"/>
          <w:sz w:val="24"/>
          <w:szCs w:val="24"/>
        </w:rPr>
        <w:t>úprava a zlepšenie odtokových pomerov drobných vodných tokov; a</w:t>
      </w:r>
    </w:p>
    <w:p w:rsidR="006E735B" w:rsidRDefault="006E735B" w:rsidP="000D68DC">
      <w:pPr>
        <w:pStyle w:val="Odsekzoznamu"/>
        <w:numPr>
          <w:ilvl w:val="0"/>
          <w:numId w:val="9"/>
        </w:numPr>
        <w:spacing w:after="0" w:line="240" w:lineRule="auto"/>
        <w:jc w:val="both"/>
        <w:rPr>
          <w:rFonts w:ascii="Times New Roman" w:eastAsia="Calibri" w:hAnsi="Times New Roman"/>
          <w:sz w:val="24"/>
          <w:szCs w:val="24"/>
        </w:rPr>
      </w:pPr>
      <w:r>
        <w:rPr>
          <w:rFonts w:ascii="Times New Roman" w:eastAsia="Calibri" w:hAnsi="Times New Roman"/>
          <w:sz w:val="24"/>
          <w:szCs w:val="24"/>
        </w:rPr>
        <w:t>budovanie, obnova a rekonštrukcia vodných stavieb, brehových porastov a ostatné činnosti zahrádzania bystrín.</w:t>
      </w:r>
    </w:p>
    <w:p w:rsidR="00BE691E" w:rsidRPr="00E74FA5" w:rsidRDefault="00BE691E" w:rsidP="00BE691E">
      <w:pPr>
        <w:spacing w:after="0" w:line="240" w:lineRule="auto"/>
        <w:jc w:val="both"/>
        <w:rPr>
          <w:rFonts w:ascii="Times New Roman" w:eastAsia="Calibri" w:hAnsi="Times New Roman"/>
          <w:b/>
          <w:sz w:val="24"/>
          <w:szCs w:val="24"/>
        </w:rPr>
      </w:pPr>
    </w:p>
    <w:p w:rsidR="00BE691E" w:rsidRPr="00E015A4" w:rsidRDefault="00BE691E" w:rsidP="000D68DC">
      <w:pPr>
        <w:pStyle w:val="Nadpis3"/>
        <w:numPr>
          <w:ilvl w:val="2"/>
          <w:numId w:val="8"/>
        </w:numPr>
        <w:rPr>
          <w:rFonts w:eastAsia="Calibri"/>
          <w:szCs w:val="24"/>
        </w:rPr>
      </w:pPr>
      <w:bookmarkStart w:id="48" w:name="_Toc359550669"/>
      <w:r w:rsidRPr="00E015A4">
        <w:rPr>
          <w:rFonts w:eastAsia="Calibri"/>
          <w:szCs w:val="24"/>
        </w:rPr>
        <w:t>Podpora ochrany a trvalého využívania genetických zdrojov lesných drevín</w:t>
      </w:r>
      <w:bookmarkEnd w:id="48"/>
    </w:p>
    <w:p w:rsidR="00BE691E" w:rsidRDefault="00BE691E" w:rsidP="00BE691E">
      <w:pPr>
        <w:spacing w:after="0" w:line="240" w:lineRule="auto"/>
        <w:jc w:val="both"/>
        <w:rPr>
          <w:rFonts w:ascii="Times New Roman" w:eastAsia="Calibri" w:hAnsi="Times New Roman"/>
          <w:sz w:val="24"/>
          <w:szCs w:val="24"/>
        </w:rPr>
      </w:pPr>
    </w:p>
    <w:p w:rsidR="0076385A" w:rsidRPr="0076385A" w:rsidRDefault="0076385A" w:rsidP="0076385A">
      <w:pPr>
        <w:spacing w:after="0" w:line="240" w:lineRule="auto"/>
        <w:jc w:val="both"/>
        <w:rPr>
          <w:rFonts w:ascii="Times New Roman" w:eastAsia="Calibri" w:hAnsi="Times New Roman"/>
          <w:sz w:val="24"/>
          <w:szCs w:val="24"/>
        </w:rPr>
      </w:pPr>
      <w:r w:rsidRPr="0076385A">
        <w:rPr>
          <w:rFonts w:ascii="Times New Roman" w:eastAsia="Calibri" w:hAnsi="Times New Roman"/>
          <w:sz w:val="24"/>
          <w:szCs w:val="24"/>
        </w:rPr>
        <w:t>Cieľom podpory ochrany genofondu lesných drevín je zabezpečenie dostatočného množstva geneticky vhodného lesného reprodukčného materiálu slúžiaceho na obnovu lesných porastov, pričom podpora sa má zamerať najmä na škodlivými činiteľmi poškodené oblasti s prevládajúcim zastúpením smreka, ako ja na ostatné dreviny, u ktorých je v súčasnosti nedostatok genetických zdrojov vhodných na zabezpečenie lesného reprodukčného materiálu.</w:t>
      </w:r>
    </w:p>
    <w:p w:rsidR="0076385A" w:rsidRDefault="0076385A" w:rsidP="0076385A">
      <w:pPr>
        <w:spacing w:after="0" w:line="240" w:lineRule="auto"/>
        <w:jc w:val="both"/>
        <w:rPr>
          <w:rFonts w:ascii="Times New Roman" w:eastAsia="Calibri" w:hAnsi="Times New Roman"/>
          <w:sz w:val="24"/>
          <w:szCs w:val="24"/>
        </w:rPr>
      </w:pPr>
    </w:p>
    <w:p w:rsidR="0076385A" w:rsidRPr="0076385A" w:rsidRDefault="0076385A" w:rsidP="0076385A">
      <w:pPr>
        <w:spacing w:after="0" w:line="240" w:lineRule="auto"/>
        <w:jc w:val="both"/>
        <w:rPr>
          <w:rFonts w:ascii="Times New Roman" w:eastAsia="Calibri" w:hAnsi="Times New Roman"/>
          <w:sz w:val="24"/>
          <w:szCs w:val="24"/>
        </w:rPr>
      </w:pPr>
      <w:r w:rsidRPr="0076385A">
        <w:rPr>
          <w:rFonts w:ascii="Times New Roman" w:eastAsia="Calibri" w:hAnsi="Times New Roman"/>
          <w:sz w:val="24"/>
          <w:szCs w:val="24"/>
        </w:rPr>
        <w:t xml:space="preserve">Lesy na Slovensku s prevládajúcim zastúpením smreka sú v súčasnosti silne poškodené pôsobením škodlivých činiteľov, čo má za následok nepriaznivý vývoj v zastúpení smreka, ako jednej z hlavných hospodárskych drevín, v drevinovej skladbe lesov na Slovensku. </w:t>
      </w:r>
      <w:r w:rsidRPr="0076385A">
        <w:rPr>
          <w:rFonts w:ascii="Times New Roman" w:eastAsia="Calibri" w:hAnsi="Times New Roman"/>
          <w:sz w:val="24"/>
          <w:szCs w:val="24"/>
        </w:rPr>
        <w:lastRenderedPageBreak/>
        <w:t xml:space="preserve">Rýchle odumieranie smrekových porastov spôsobuje nedostatok prirodzených genetických zdrojov tejto dreviny. </w:t>
      </w:r>
    </w:p>
    <w:p w:rsidR="0076385A" w:rsidRDefault="0076385A" w:rsidP="0076385A">
      <w:pPr>
        <w:spacing w:after="0" w:line="240" w:lineRule="auto"/>
        <w:jc w:val="both"/>
        <w:rPr>
          <w:rFonts w:ascii="Times New Roman" w:eastAsia="Calibri" w:hAnsi="Times New Roman"/>
          <w:sz w:val="24"/>
          <w:szCs w:val="24"/>
        </w:rPr>
      </w:pPr>
    </w:p>
    <w:p w:rsidR="00A821BE" w:rsidRDefault="00A821BE" w:rsidP="00A821BE">
      <w:pPr>
        <w:spacing w:after="0" w:line="240" w:lineRule="auto"/>
        <w:jc w:val="both"/>
        <w:rPr>
          <w:rFonts w:ascii="Times New Roman" w:eastAsia="Calibri" w:hAnsi="Times New Roman"/>
          <w:sz w:val="24"/>
          <w:szCs w:val="24"/>
        </w:rPr>
      </w:pPr>
      <w:r w:rsidRPr="00A821BE">
        <w:rPr>
          <w:rFonts w:ascii="Times New Roman" w:eastAsia="Calibri" w:hAnsi="Times New Roman"/>
          <w:sz w:val="24"/>
          <w:szCs w:val="24"/>
        </w:rPr>
        <w:t xml:space="preserve">Na umelú obnovu lesa a zalesňovanie možno použiť len </w:t>
      </w:r>
      <w:r>
        <w:rPr>
          <w:rFonts w:ascii="Times New Roman" w:eastAsia="Calibri" w:hAnsi="Times New Roman"/>
          <w:sz w:val="24"/>
          <w:szCs w:val="24"/>
        </w:rPr>
        <w:t>lesný reprodukčný materiál</w:t>
      </w:r>
      <w:r w:rsidRPr="00A821BE">
        <w:rPr>
          <w:rFonts w:ascii="Times New Roman" w:eastAsia="Calibri" w:hAnsi="Times New Roman"/>
          <w:sz w:val="24"/>
          <w:szCs w:val="24"/>
        </w:rPr>
        <w:t xml:space="preserve">, ktorý pochádza alebo bol dopestovaný z uznaných zdrojov lesného reprodukčného materiálu. Uznať možno lesný porast, výberový strom, semenný sad, klon, zmes klonov alebo </w:t>
      </w:r>
      <w:proofErr w:type="spellStart"/>
      <w:r w:rsidRPr="00A821BE">
        <w:rPr>
          <w:rFonts w:ascii="Times New Roman" w:eastAsia="Calibri" w:hAnsi="Times New Roman"/>
          <w:sz w:val="24"/>
          <w:szCs w:val="24"/>
        </w:rPr>
        <w:t>multiklonálnu</w:t>
      </w:r>
      <w:proofErr w:type="spellEnd"/>
      <w:r w:rsidRPr="00A821BE">
        <w:rPr>
          <w:rFonts w:ascii="Times New Roman" w:eastAsia="Calibri" w:hAnsi="Times New Roman"/>
          <w:sz w:val="24"/>
          <w:szCs w:val="24"/>
        </w:rPr>
        <w:t xml:space="preserve"> varietu a semenný zdroj (stromy alebo porasty lesných drevín mimo lesných pozemkov). </w:t>
      </w:r>
    </w:p>
    <w:p w:rsidR="00A821BE" w:rsidRPr="00A821BE" w:rsidRDefault="00A821BE" w:rsidP="00A821BE">
      <w:pPr>
        <w:spacing w:after="0" w:line="240" w:lineRule="auto"/>
        <w:jc w:val="both"/>
        <w:rPr>
          <w:rFonts w:ascii="Times New Roman" w:eastAsia="Calibri" w:hAnsi="Times New Roman"/>
          <w:sz w:val="24"/>
          <w:szCs w:val="24"/>
        </w:rPr>
      </w:pPr>
    </w:p>
    <w:p w:rsidR="00A821BE" w:rsidRPr="00A821BE" w:rsidRDefault="00A821BE" w:rsidP="00A821BE">
      <w:pPr>
        <w:spacing w:after="0" w:line="240" w:lineRule="auto"/>
        <w:jc w:val="both"/>
        <w:rPr>
          <w:rFonts w:ascii="Times New Roman" w:eastAsia="Calibri" w:hAnsi="Times New Roman"/>
          <w:sz w:val="24"/>
          <w:szCs w:val="24"/>
        </w:rPr>
      </w:pPr>
      <w:r w:rsidRPr="00A821BE">
        <w:rPr>
          <w:rFonts w:ascii="Times New Roman" w:eastAsia="Calibri" w:hAnsi="Times New Roman"/>
          <w:sz w:val="24"/>
          <w:szCs w:val="24"/>
        </w:rPr>
        <w:t xml:space="preserve">Najrozšírenejším zdrojom </w:t>
      </w:r>
      <w:r>
        <w:rPr>
          <w:rFonts w:ascii="Times New Roman" w:eastAsia="Calibri" w:hAnsi="Times New Roman"/>
          <w:sz w:val="24"/>
          <w:szCs w:val="24"/>
        </w:rPr>
        <w:t>lesného reprodukčného materiálu</w:t>
      </w:r>
      <w:r w:rsidRPr="00A821BE">
        <w:rPr>
          <w:rFonts w:ascii="Times New Roman" w:eastAsia="Calibri" w:hAnsi="Times New Roman"/>
          <w:sz w:val="24"/>
          <w:szCs w:val="24"/>
        </w:rPr>
        <w:t xml:space="preserve"> na Slovensku sú uznané porasty na výmere 67 364 ha. Počet výberových stromov má v ostatných rokoch mierne stúpajúcu tendenciu hlavne pri drevinách smrek obyčajný (342 ks) a smrekovec opadavý (951 ks).</w:t>
      </w:r>
    </w:p>
    <w:p w:rsidR="00A821BE" w:rsidRDefault="00A821BE" w:rsidP="00A821BE">
      <w:pPr>
        <w:spacing w:after="0" w:line="240" w:lineRule="auto"/>
        <w:jc w:val="both"/>
        <w:rPr>
          <w:rFonts w:ascii="Times New Roman" w:eastAsia="Calibri" w:hAnsi="Times New Roman"/>
          <w:sz w:val="24"/>
          <w:szCs w:val="24"/>
        </w:rPr>
      </w:pPr>
    </w:p>
    <w:p w:rsidR="00A821BE" w:rsidRPr="00A821BE" w:rsidRDefault="00A821BE" w:rsidP="00A821BE">
      <w:pPr>
        <w:spacing w:after="0" w:line="240" w:lineRule="auto"/>
        <w:jc w:val="both"/>
        <w:rPr>
          <w:rFonts w:ascii="Times New Roman" w:eastAsia="Calibri" w:hAnsi="Times New Roman"/>
          <w:sz w:val="24"/>
          <w:szCs w:val="24"/>
        </w:rPr>
      </w:pPr>
      <w:r w:rsidRPr="00A821BE">
        <w:rPr>
          <w:rFonts w:ascii="Times New Roman" w:eastAsia="Calibri" w:hAnsi="Times New Roman"/>
          <w:sz w:val="24"/>
          <w:szCs w:val="24"/>
        </w:rPr>
        <w:t>Na zachovanie genetických zdrojov lesných drevín v mieste ich pôvodu bolo k 31.12.2011 na území Slovenskej republiky zriadených 129 génových základní s celkovou výmerou 25 567 ha a 129 semenných porastov s výmerou 669 ha.</w:t>
      </w:r>
    </w:p>
    <w:p w:rsidR="00A821BE" w:rsidRDefault="00A821BE" w:rsidP="0076385A">
      <w:pPr>
        <w:spacing w:after="0" w:line="240" w:lineRule="auto"/>
        <w:jc w:val="both"/>
        <w:rPr>
          <w:rFonts w:ascii="Times New Roman" w:eastAsia="Calibri" w:hAnsi="Times New Roman"/>
          <w:sz w:val="24"/>
          <w:szCs w:val="24"/>
        </w:rPr>
      </w:pPr>
    </w:p>
    <w:p w:rsidR="0076385A" w:rsidRPr="0076385A" w:rsidRDefault="00A821BE" w:rsidP="0076385A">
      <w:pPr>
        <w:spacing w:after="0" w:line="240" w:lineRule="auto"/>
        <w:jc w:val="both"/>
        <w:rPr>
          <w:rFonts w:ascii="Times New Roman" w:eastAsia="Calibri" w:hAnsi="Times New Roman"/>
          <w:sz w:val="24"/>
          <w:szCs w:val="24"/>
        </w:rPr>
      </w:pPr>
      <w:r>
        <w:rPr>
          <w:rFonts w:ascii="Times New Roman" w:eastAsia="Calibri" w:hAnsi="Times New Roman"/>
          <w:sz w:val="24"/>
          <w:szCs w:val="24"/>
        </w:rPr>
        <w:t>Z hľadiska</w:t>
      </w:r>
      <w:r w:rsidR="0076385A" w:rsidRPr="0076385A">
        <w:rPr>
          <w:rFonts w:ascii="Times New Roman" w:eastAsia="Calibri" w:hAnsi="Times New Roman"/>
          <w:sz w:val="24"/>
          <w:szCs w:val="24"/>
        </w:rPr>
        <w:t xml:space="preserve"> včasného zabezpečenia p</w:t>
      </w:r>
      <w:r>
        <w:rPr>
          <w:rFonts w:ascii="Times New Roman" w:eastAsia="Calibri" w:hAnsi="Times New Roman"/>
          <w:sz w:val="24"/>
          <w:szCs w:val="24"/>
        </w:rPr>
        <w:t xml:space="preserve">lnenia všetkých funkcii lesa a partikulárne </w:t>
      </w:r>
      <w:r w:rsidR="0076385A" w:rsidRPr="0076385A">
        <w:rPr>
          <w:rFonts w:ascii="Times New Roman" w:eastAsia="Calibri" w:hAnsi="Times New Roman"/>
          <w:sz w:val="24"/>
          <w:szCs w:val="24"/>
        </w:rPr>
        <w:t xml:space="preserve">zabezpečenia dostatku vhodných genetických zdrojov lesných drevín </w:t>
      </w:r>
      <w:r>
        <w:rPr>
          <w:rFonts w:ascii="Times New Roman" w:eastAsia="Calibri" w:hAnsi="Times New Roman"/>
          <w:sz w:val="24"/>
          <w:szCs w:val="24"/>
        </w:rPr>
        <w:t>s</w:t>
      </w:r>
      <w:r w:rsidR="0076385A" w:rsidRPr="0076385A">
        <w:rPr>
          <w:rFonts w:ascii="Times New Roman" w:eastAsia="Calibri" w:hAnsi="Times New Roman"/>
          <w:sz w:val="24"/>
          <w:szCs w:val="24"/>
        </w:rPr>
        <w:t xml:space="preserve"> priamy</w:t>
      </w:r>
      <w:r>
        <w:rPr>
          <w:rFonts w:ascii="Times New Roman" w:eastAsia="Calibri" w:hAnsi="Times New Roman"/>
          <w:sz w:val="24"/>
          <w:szCs w:val="24"/>
        </w:rPr>
        <w:t>m</w:t>
      </w:r>
      <w:r w:rsidR="0076385A" w:rsidRPr="0076385A">
        <w:rPr>
          <w:rFonts w:ascii="Times New Roman" w:eastAsia="Calibri" w:hAnsi="Times New Roman"/>
          <w:sz w:val="24"/>
          <w:szCs w:val="24"/>
        </w:rPr>
        <w:t xml:space="preserve"> vplyv</w:t>
      </w:r>
      <w:r>
        <w:rPr>
          <w:rFonts w:ascii="Times New Roman" w:eastAsia="Calibri" w:hAnsi="Times New Roman"/>
          <w:sz w:val="24"/>
          <w:szCs w:val="24"/>
        </w:rPr>
        <w:t>om na produkciu dreva</w:t>
      </w:r>
      <w:r w:rsidR="0076385A" w:rsidRPr="0076385A">
        <w:rPr>
          <w:rFonts w:ascii="Times New Roman" w:eastAsia="Calibri" w:hAnsi="Times New Roman"/>
          <w:sz w:val="24"/>
          <w:szCs w:val="24"/>
        </w:rPr>
        <w:t xml:space="preserve"> ako suroviny pre drevospracujúci priemysel,</w:t>
      </w:r>
      <w:r>
        <w:rPr>
          <w:rFonts w:ascii="Times New Roman" w:eastAsia="Calibri" w:hAnsi="Times New Roman"/>
          <w:sz w:val="24"/>
          <w:szCs w:val="24"/>
        </w:rPr>
        <w:t xml:space="preserve"> je potrebné existujúci genofond zachovať a </w:t>
      </w:r>
      <w:r w:rsidR="00D960DE">
        <w:rPr>
          <w:rFonts w:ascii="Times New Roman" w:eastAsia="Calibri" w:hAnsi="Times New Roman"/>
          <w:sz w:val="24"/>
          <w:szCs w:val="24"/>
        </w:rPr>
        <w:t>vhodne</w:t>
      </w:r>
      <w:r>
        <w:rPr>
          <w:rFonts w:ascii="Times New Roman" w:eastAsia="Calibri" w:hAnsi="Times New Roman"/>
          <w:sz w:val="24"/>
          <w:szCs w:val="24"/>
        </w:rPr>
        <w:t xml:space="preserve"> rozšíriť</w:t>
      </w:r>
      <w:r w:rsidR="0076385A" w:rsidRPr="0076385A">
        <w:rPr>
          <w:rFonts w:ascii="Times New Roman" w:eastAsia="Calibri" w:hAnsi="Times New Roman"/>
          <w:sz w:val="24"/>
          <w:szCs w:val="24"/>
        </w:rPr>
        <w:t>.</w:t>
      </w:r>
      <w:r w:rsidR="00920151">
        <w:rPr>
          <w:rFonts w:ascii="Times New Roman" w:eastAsia="Calibri" w:hAnsi="Times New Roman"/>
          <w:sz w:val="24"/>
          <w:szCs w:val="24"/>
        </w:rPr>
        <w:t xml:space="preserve"> Plnenie tejto prioritnej úlohy si vyža</w:t>
      </w:r>
      <w:r w:rsidR="001D72C3">
        <w:rPr>
          <w:rFonts w:ascii="Times New Roman" w:eastAsia="Calibri" w:hAnsi="Times New Roman"/>
          <w:sz w:val="24"/>
          <w:szCs w:val="24"/>
        </w:rPr>
        <w:t>duje preinvestovať v rokoch 2014 – 2017</w:t>
      </w:r>
      <w:r w:rsidR="00920151">
        <w:rPr>
          <w:rFonts w:ascii="Times New Roman" w:eastAsia="Calibri" w:hAnsi="Times New Roman"/>
          <w:sz w:val="24"/>
          <w:szCs w:val="24"/>
        </w:rPr>
        <w:t xml:space="preserve"> kumulatívne 400 000 EUR.</w:t>
      </w:r>
    </w:p>
    <w:p w:rsidR="00BE691E" w:rsidRPr="00E74FA5" w:rsidRDefault="00BE691E" w:rsidP="00BE691E">
      <w:pPr>
        <w:spacing w:after="0" w:line="240" w:lineRule="auto"/>
        <w:jc w:val="both"/>
        <w:rPr>
          <w:rFonts w:ascii="Times New Roman" w:eastAsia="Calibri" w:hAnsi="Times New Roman"/>
          <w:sz w:val="24"/>
          <w:szCs w:val="24"/>
        </w:rPr>
      </w:pPr>
    </w:p>
    <w:p w:rsidR="00BE691E" w:rsidRPr="00E015A4" w:rsidRDefault="00BE691E" w:rsidP="000D68DC">
      <w:pPr>
        <w:pStyle w:val="Nadpis3"/>
        <w:numPr>
          <w:ilvl w:val="2"/>
          <w:numId w:val="8"/>
        </w:numPr>
        <w:rPr>
          <w:rFonts w:eastAsia="Calibri"/>
          <w:szCs w:val="24"/>
        </w:rPr>
      </w:pPr>
      <w:bookmarkStart w:id="49" w:name="_Toc359550670"/>
      <w:r w:rsidRPr="00E015A4">
        <w:rPr>
          <w:rFonts w:eastAsia="Calibri"/>
          <w:szCs w:val="24"/>
        </w:rPr>
        <w:t>Obnova funkcií lesov na plochách postihnutých kalamitou a zvýšenie stability lesných porastov</w:t>
      </w:r>
      <w:bookmarkEnd w:id="49"/>
    </w:p>
    <w:p w:rsidR="00BE691E" w:rsidRDefault="00BE691E" w:rsidP="00BE691E">
      <w:pPr>
        <w:spacing w:after="0" w:line="240" w:lineRule="auto"/>
        <w:jc w:val="both"/>
        <w:rPr>
          <w:rFonts w:ascii="Times New Roman" w:eastAsia="Calibri" w:hAnsi="Times New Roman"/>
          <w:sz w:val="24"/>
          <w:szCs w:val="24"/>
        </w:rPr>
      </w:pPr>
    </w:p>
    <w:p w:rsidR="00D03236" w:rsidRDefault="00FD596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Neuspokojivý zdravotný stav lesov vyplývajúci z </w:t>
      </w:r>
      <w:r w:rsidRPr="00E40104">
        <w:rPr>
          <w:rFonts w:ascii="Times New Roman" w:eastAsia="Calibri" w:hAnsi="Times New Roman"/>
          <w:sz w:val="24"/>
          <w:szCs w:val="24"/>
        </w:rPr>
        <w:t>vysoký</w:t>
      </w:r>
      <w:r>
        <w:rPr>
          <w:rFonts w:ascii="Times New Roman" w:eastAsia="Calibri" w:hAnsi="Times New Roman"/>
          <w:sz w:val="24"/>
          <w:szCs w:val="24"/>
        </w:rPr>
        <w:t xml:space="preserve">ch imisných záťaží a následného zníženia </w:t>
      </w:r>
      <w:proofErr w:type="spellStart"/>
      <w:r>
        <w:rPr>
          <w:rFonts w:ascii="Times New Roman" w:eastAsia="Calibri" w:hAnsi="Times New Roman"/>
          <w:sz w:val="24"/>
          <w:szCs w:val="24"/>
        </w:rPr>
        <w:t>odolnostného</w:t>
      </w:r>
      <w:proofErr w:type="spellEnd"/>
      <w:r w:rsidR="002A7940">
        <w:rPr>
          <w:rFonts w:ascii="Times New Roman" w:eastAsia="Calibri" w:hAnsi="Times New Roman"/>
          <w:sz w:val="24"/>
          <w:szCs w:val="24"/>
        </w:rPr>
        <w:t xml:space="preserve"> </w:t>
      </w:r>
      <w:r w:rsidRPr="00E40104">
        <w:rPr>
          <w:rFonts w:ascii="Times New Roman" w:eastAsia="Calibri" w:hAnsi="Times New Roman"/>
          <w:sz w:val="24"/>
          <w:szCs w:val="24"/>
        </w:rPr>
        <w:t>pot</w:t>
      </w:r>
      <w:r>
        <w:rPr>
          <w:rFonts w:ascii="Times New Roman" w:eastAsia="Calibri" w:hAnsi="Times New Roman"/>
          <w:sz w:val="24"/>
          <w:szCs w:val="24"/>
        </w:rPr>
        <w:t>enciálu lesa a nedostatočnej miery obnovy jeho základných funkcií má za následok vysoký rozsah náhodných ťažieb, ktoré následne hlavnou príčinou sústavného prekračovania plánovaného rozsahu ťažieb, kt</w:t>
      </w:r>
      <w:r w:rsidR="00D03236">
        <w:rPr>
          <w:rFonts w:ascii="Times New Roman" w:eastAsia="Calibri" w:hAnsi="Times New Roman"/>
          <w:sz w:val="24"/>
          <w:szCs w:val="24"/>
        </w:rPr>
        <w:t>oré takto znižujú budúci ťažobn</w:t>
      </w:r>
      <w:r>
        <w:rPr>
          <w:rFonts w:ascii="Times New Roman" w:eastAsia="Calibri" w:hAnsi="Times New Roman"/>
          <w:sz w:val="24"/>
          <w:szCs w:val="24"/>
        </w:rPr>
        <w:t xml:space="preserve">ý potenciál lesov na území Slovenskej republiky. </w:t>
      </w:r>
    </w:p>
    <w:p w:rsidR="00D03236" w:rsidRDefault="00D03236" w:rsidP="00BE691E">
      <w:pPr>
        <w:spacing w:after="0" w:line="240" w:lineRule="auto"/>
        <w:jc w:val="both"/>
        <w:rPr>
          <w:rFonts w:ascii="Times New Roman" w:eastAsia="Calibri" w:hAnsi="Times New Roman"/>
          <w:sz w:val="24"/>
          <w:szCs w:val="24"/>
        </w:rPr>
      </w:pPr>
    </w:p>
    <w:p w:rsidR="00FD596E" w:rsidRDefault="00FD596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Celkový rozsah obnovy a umelá </w:t>
      </w:r>
      <w:r w:rsidRPr="00E40104">
        <w:rPr>
          <w:rFonts w:ascii="Times New Roman" w:eastAsia="Calibri" w:hAnsi="Times New Roman"/>
          <w:sz w:val="24"/>
          <w:szCs w:val="24"/>
        </w:rPr>
        <w:t xml:space="preserve">obnova </w:t>
      </w:r>
      <w:r>
        <w:rPr>
          <w:rFonts w:ascii="Times New Roman" w:eastAsia="Calibri" w:hAnsi="Times New Roman"/>
          <w:sz w:val="24"/>
          <w:szCs w:val="24"/>
        </w:rPr>
        <w:t>lesných p</w:t>
      </w:r>
      <w:r w:rsidR="00D03236">
        <w:rPr>
          <w:rFonts w:ascii="Times New Roman" w:eastAsia="Calibri" w:hAnsi="Times New Roman"/>
          <w:sz w:val="24"/>
          <w:szCs w:val="24"/>
        </w:rPr>
        <w:t>orastov má klesajúcu tendenciu, avšak v</w:t>
      </w:r>
      <w:r>
        <w:rPr>
          <w:rFonts w:ascii="Times New Roman" w:eastAsia="Calibri" w:hAnsi="Times New Roman"/>
          <w:sz w:val="24"/>
          <w:szCs w:val="24"/>
        </w:rPr>
        <w:t xml:space="preserve"> dôsledku </w:t>
      </w:r>
      <w:r w:rsidRPr="00E40104">
        <w:rPr>
          <w:rFonts w:ascii="Times New Roman" w:eastAsia="Calibri" w:hAnsi="Times New Roman"/>
          <w:sz w:val="24"/>
          <w:szCs w:val="24"/>
        </w:rPr>
        <w:t>uplatňov</w:t>
      </w:r>
      <w:r>
        <w:rPr>
          <w:rFonts w:ascii="Times New Roman" w:eastAsia="Calibri" w:hAnsi="Times New Roman"/>
          <w:sz w:val="24"/>
          <w:szCs w:val="24"/>
        </w:rPr>
        <w:t>ania podrastového hospodárskeho spôsobu však stúpa podiel prirodzenej obnovy</w:t>
      </w:r>
      <w:r w:rsidR="00D03236">
        <w:rPr>
          <w:rFonts w:ascii="Times New Roman" w:eastAsia="Calibri" w:hAnsi="Times New Roman"/>
          <w:sz w:val="24"/>
          <w:szCs w:val="24"/>
        </w:rPr>
        <w:t xml:space="preserve">, ktorá aspoň čiastočne eliminuje negatívne dosahy nedostatočnej umelej obnovy. Nedostatočný stupeň prirodzenej obnovy lesa je potrebné doplniť umelou obnovou, ktorá spočíva jednak v zabezpečení dostatočného objemu mladého lesného porastu a jednak vo zvýšení stability lesných porastov. </w:t>
      </w:r>
    </w:p>
    <w:p w:rsidR="00FD596E" w:rsidRDefault="00FD596E" w:rsidP="00BE691E">
      <w:pPr>
        <w:spacing w:after="0" w:line="240" w:lineRule="auto"/>
        <w:jc w:val="both"/>
        <w:rPr>
          <w:rFonts w:ascii="Times New Roman" w:eastAsia="Calibri" w:hAnsi="Times New Roman"/>
          <w:sz w:val="24"/>
          <w:szCs w:val="24"/>
        </w:rPr>
      </w:pPr>
    </w:p>
    <w:p w:rsidR="00D03236" w:rsidRDefault="00D03236"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Cieľom tohto opatrenia je takto jednak zvýšiť objem zabezpečeného mladého lesného porastu, ktorého zvýšenie garantuje zachovanie</w:t>
      </w:r>
      <w:r w:rsidRPr="00F74D6C">
        <w:rPr>
          <w:rFonts w:ascii="Times New Roman" w:eastAsia="Calibri" w:hAnsi="Times New Roman"/>
          <w:sz w:val="24"/>
          <w:szCs w:val="24"/>
        </w:rPr>
        <w:t xml:space="preserve"> plošnej výmery a zdravotn</w:t>
      </w:r>
      <w:r>
        <w:rPr>
          <w:rFonts w:ascii="Times New Roman" w:eastAsia="Calibri" w:hAnsi="Times New Roman"/>
          <w:sz w:val="24"/>
          <w:szCs w:val="24"/>
        </w:rPr>
        <w:t xml:space="preserve">ého stavu lesov na Slovensku a zabezpečenie </w:t>
      </w:r>
      <w:proofErr w:type="spellStart"/>
      <w:r w:rsidRPr="00F74D6C">
        <w:rPr>
          <w:rFonts w:ascii="Times New Roman" w:eastAsia="Calibri" w:hAnsi="Times New Roman"/>
          <w:sz w:val="24"/>
          <w:szCs w:val="24"/>
        </w:rPr>
        <w:t>mimoprodukčných</w:t>
      </w:r>
      <w:proofErr w:type="spellEnd"/>
      <w:r w:rsidRPr="00F74D6C">
        <w:rPr>
          <w:rFonts w:ascii="Times New Roman" w:eastAsia="Calibri" w:hAnsi="Times New Roman"/>
          <w:sz w:val="24"/>
          <w:szCs w:val="24"/>
        </w:rPr>
        <w:t xml:space="preserve"> funkcií lesa</w:t>
      </w:r>
      <w:r>
        <w:rPr>
          <w:rFonts w:ascii="Times New Roman" w:eastAsia="Calibri" w:hAnsi="Times New Roman"/>
          <w:sz w:val="24"/>
          <w:szCs w:val="24"/>
        </w:rPr>
        <w:t xml:space="preserve">, t.j. ekologických a spoločenských a zvýšiť stabilitu </w:t>
      </w:r>
      <w:r w:rsidRPr="00FD596E">
        <w:rPr>
          <w:rFonts w:ascii="Times New Roman" w:eastAsia="Calibri" w:hAnsi="Times New Roman"/>
          <w:sz w:val="24"/>
          <w:szCs w:val="24"/>
        </w:rPr>
        <w:t>porastov</w:t>
      </w:r>
      <w:r>
        <w:rPr>
          <w:rFonts w:ascii="Times New Roman" w:eastAsia="Calibri" w:hAnsi="Times New Roman"/>
          <w:sz w:val="24"/>
          <w:szCs w:val="24"/>
        </w:rPr>
        <w:t xml:space="preserve">, čím sa zabezpečí dostatočný objem </w:t>
      </w:r>
      <w:r w:rsidRPr="00FD596E">
        <w:rPr>
          <w:rFonts w:ascii="Times New Roman" w:eastAsia="Calibri" w:hAnsi="Times New Roman"/>
          <w:sz w:val="24"/>
          <w:szCs w:val="24"/>
        </w:rPr>
        <w:t>v</w:t>
      </w:r>
      <w:r>
        <w:rPr>
          <w:rFonts w:ascii="Times New Roman" w:eastAsia="Calibri" w:hAnsi="Times New Roman"/>
          <w:sz w:val="24"/>
          <w:szCs w:val="24"/>
        </w:rPr>
        <w:t>ýchovy mladých lesných porastov</w:t>
      </w:r>
      <w:r w:rsidRPr="00FD596E">
        <w:rPr>
          <w:rFonts w:ascii="Times New Roman" w:eastAsia="Calibri" w:hAnsi="Times New Roman"/>
          <w:sz w:val="24"/>
          <w:szCs w:val="24"/>
        </w:rPr>
        <w:t xml:space="preserve"> do 50 rokov ich fyzického veku</w:t>
      </w:r>
      <w:r>
        <w:rPr>
          <w:rFonts w:ascii="Times New Roman" w:eastAsia="Calibri" w:hAnsi="Times New Roman"/>
          <w:sz w:val="24"/>
          <w:szCs w:val="24"/>
        </w:rPr>
        <w:t>.</w:t>
      </w:r>
    </w:p>
    <w:p w:rsidR="00D03236" w:rsidRDefault="00D03236" w:rsidP="00BE691E">
      <w:pPr>
        <w:spacing w:after="0" w:line="240" w:lineRule="auto"/>
        <w:jc w:val="both"/>
        <w:rPr>
          <w:rFonts w:ascii="Times New Roman" w:eastAsia="Calibri" w:hAnsi="Times New Roman"/>
          <w:sz w:val="24"/>
          <w:szCs w:val="24"/>
        </w:rPr>
      </w:pPr>
    </w:p>
    <w:p w:rsidR="00FD596E" w:rsidRDefault="00D03236" w:rsidP="00FD596E">
      <w:pPr>
        <w:spacing w:after="0" w:line="240" w:lineRule="auto"/>
        <w:jc w:val="both"/>
        <w:rPr>
          <w:rFonts w:ascii="Times New Roman" w:eastAsia="Calibri" w:hAnsi="Times New Roman"/>
          <w:sz w:val="24"/>
          <w:szCs w:val="24"/>
        </w:rPr>
      </w:pPr>
      <w:r>
        <w:rPr>
          <w:rFonts w:ascii="Times New Roman" w:eastAsia="Calibri" w:hAnsi="Times New Roman"/>
          <w:sz w:val="24"/>
          <w:szCs w:val="24"/>
        </w:rPr>
        <w:t>Súčasná nízka stabilita lesných porastov je spôsobená</w:t>
      </w:r>
      <w:r w:rsidR="00FD596E" w:rsidRPr="00FD596E">
        <w:rPr>
          <w:rFonts w:ascii="Times New Roman" w:eastAsia="Calibri" w:hAnsi="Times New Roman"/>
          <w:sz w:val="24"/>
          <w:szCs w:val="24"/>
        </w:rPr>
        <w:t xml:space="preserve"> zlým drevinovým zložením, vysokým počtom jedincov na jednotke plochy a s tým súvisiacim zlým </w:t>
      </w:r>
      <w:proofErr w:type="spellStart"/>
      <w:r w:rsidR="00FD596E" w:rsidRPr="00FD596E">
        <w:rPr>
          <w:rFonts w:ascii="Times New Roman" w:eastAsia="Calibri" w:hAnsi="Times New Roman"/>
          <w:sz w:val="24"/>
          <w:szCs w:val="24"/>
        </w:rPr>
        <w:t>štíhlostným</w:t>
      </w:r>
      <w:proofErr w:type="spellEnd"/>
      <w:r w:rsidR="00FD596E" w:rsidRPr="00FD596E">
        <w:rPr>
          <w:rFonts w:ascii="Times New Roman" w:eastAsia="Calibri" w:hAnsi="Times New Roman"/>
          <w:sz w:val="24"/>
          <w:szCs w:val="24"/>
        </w:rPr>
        <w:t xml:space="preserve"> koeficientom, čo zvyšuje náchylnosť mladých lesných porastov na poškodenie snehom, námrazou a vetrom.</w:t>
      </w:r>
    </w:p>
    <w:p w:rsidR="00FD596E" w:rsidRPr="00FD596E" w:rsidRDefault="00FD596E" w:rsidP="00FD596E">
      <w:pPr>
        <w:spacing w:after="0" w:line="240" w:lineRule="auto"/>
        <w:jc w:val="both"/>
        <w:rPr>
          <w:rFonts w:ascii="Times New Roman" w:eastAsia="Calibri" w:hAnsi="Times New Roman"/>
          <w:sz w:val="24"/>
          <w:szCs w:val="24"/>
        </w:rPr>
      </w:pPr>
    </w:p>
    <w:p w:rsidR="00D03236" w:rsidRDefault="00FD596E" w:rsidP="00FD596E">
      <w:pPr>
        <w:spacing w:after="0" w:line="240" w:lineRule="auto"/>
        <w:jc w:val="both"/>
        <w:rPr>
          <w:rFonts w:ascii="Times New Roman" w:eastAsia="Calibri" w:hAnsi="Times New Roman"/>
          <w:sz w:val="24"/>
          <w:szCs w:val="24"/>
        </w:rPr>
      </w:pPr>
      <w:r w:rsidRPr="00FD596E">
        <w:rPr>
          <w:rFonts w:ascii="Times New Roman" w:eastAsia="Calibri" w:hAnsi="Times New Roman"/>
          <w:sz w:val="24"/>
          <w:szCs w:val="24"/>
        </w:rPr>
        <w:lastRenderedPageBreak/>
        <w:t xml:space="preserve">Na zabezpečenie </w:t>
      </w:r>
      <w:r w:rsidR="00D03236">
        <w:rPr>
          <w:rFonts w:ascii="Times New Roman" w:eastAsia="Calibri" w:hAnsi="Times New Roman"/>
          <w:sz w:val="24"/>
          <w:szCs w:val="24"/>
        </w:rPr>
        <w:t>dostatočného objemu mladého lesného porastu</w:t>
      </w:r>
      <w:r w:rsidR="002A7940">
        <w:rPr>
          <w:rFonts w:ascii="Times New Roman" w:eastAsia="Calibri" w:hAnsi="Times New Roman"/>
          <w:sz w:val="24"/>
          <w:szCs w:val="24"/>
        </w:rPr>
        <w:t xml:space="preserve"> </w:t>
      </w:r>
      <w:r w:rsidR="00D03236">
        <w:rPr>
          <w:rFonts w:ascii="Times New Roman" w:eastAsia="Calibri" w:hAnsi="Times New Roman"/>
          <w:sz w:val="24"/>
          <w:szCs w:val="24"/>
        </w:rPr>
        <w:t xml:space="preserve">a </w:t>
      </w:r>
      <w:r w:rsidRPr="00FD596E">
        <w:rPr>
          <w:rFonts w:ascii="Times New Roman" w:eastAsia="Calibri" w:hAnsi="Times New Roman"/>
          <w:sz w:val="24"/>
          <w:szCs w:val="24"/>
        </w:rPr>
        <w:t>zvýšenia stability a hygieny lesných porastov navrhujeme</w:t>
      </w:r>
      <w:r w:rsidR="007B5BCA">
        <w:rPr>
          <w:rFonts w:ascii="Times New Roman" w:eastAsia="Calibri" w:hAnsi="Times New Roman"/>
          <w:sz w:val="24"/>
          <w:szCs w:val="24"/>
        </w:rPr>
        <w:t>:</w:t>
      </w:r>
    </w:p>
    <w:p w:rsidR="00D03236" w:rsidRDefault="00D03236" w:rsidP="000D68DC">
      <w:pPr>
        <w:pStyle w:val="Odsekzoznamu"/>
        <w:numPr>
          <w:ilvl w:val="0"/>
          <w:numId w:val="11"/>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zabezpečiť rozsah obnovy lesa </w:t>
      </w:r>
      <w:r w:rsidR="00337953">
        <w:rPr>
          <w:rFonts w:ascii="Times New Roman" w:eastAsia="Calibri" w:hAnsi="Times New Roman"/>
          <w:sz w:val="24"/>
          <w:szCs w:val="24"/>
        </w:rPr>
        <w:t xml:space="preserve">vo výmere 120 000 ha </w:t>
      </w:r>
      <w:r>
        <w:rPr>
          <w:rFonts w:ascii="Times New Roman" w:eastAsia="Calibri" w:hAnsi="Times New Roman"/>
          <w:sz w:val="24"/>
          <w:szCs w:val="24"/>
        </w:rPr>
        <w:t xml:space="preserve">primeraným objemom zabezpečeného mladého lesného porastu; a </w:t>
      </w:r>
    </w:p>
    <w:p w:rsidR="00FD596E" w:rsidRPr="00D03236" w:rsidRDefault="00FD596E" w:rsidP="000D68DC">
      <w:pPr>
        <w:pStyle w:val="Odsekzoznamu"/>
        <w:numPr>
          <w:ilvl w:val="0"/>
          <w:numId w:val="11"/>
        </w:numPr>
        <w:spacing w:after="0" w:line="240" w:lineRule="auto"/>
        <w:jc w:val="both"/>
        <w:rPr>
          <w:rFonts w:ascii="Times New Roman" w:eastAsia="Calibri" w:hAnsi="Times New Roman"/>
          <w:sz w:val="24"/>
          <w:szCs w:val="24"/>
        </w:rPr>
      </w:pPr>
      <w:r w:rsidRPr="00D03236">
        <w:rPr>
          <w:rFonts w:ascii="Times New Roman" w:eastAsia="Calibri" w:hAnsi="Times New Roman"/>
          <w:sz w:val="24"/>
          <w:szCs w:val="24"/>
        </w:rPr>
        <w:t>podporiť u obhospodarovateľov lesa činnosti spojené s výchovnými zásahmi realizovanými v</w:t>
      </w:r>
      <w:r w:rsidR="00D03236" w:rsidRPr="00D03236">
        <w:rPr>
          <w:rFonts w:ascii="Times New Roman" w:eastAsia="Calibri" w:hAnsi="Times New Roman"/>
          <w:sz w:val="24"/>
          <w:szCs w:val="24"/>
        </w:rPr>
        <w:t xml:space="preserve"> lesných porastoch do 50 rokov, t.j. </w:t>
      </w:r>
      <w:proofErr w:type="spellStart"/>
      <w:r w:rsidR="00D03236" w:rsidRPr="00D03236">
        <w:rPr>
          <w:rFonts w:ascii="Times New Roman" w:eastAsia="Calibri" w:hAnsi="Times New Roman"/>
          <w:sz w:val="24"/>
          <w:szCs w:val="24"/>
        </w:rPr>
        <w:t>prečistky</w:t>
      </w:r>
      <w:proofErr w:type="spellEnd"/>
      <w:r w:rsidR="00D03236" w:rsidRPr="00D03236">
        <w:rPr>
          <w:rFonts w:ascii="Times New Roman" w:eastAsia="Calibri" w:hAnsi="Times New Roman"/>
          <w:sz w:val="24"/>
          <w:szCs w:val="24"/>
        </w:rPr>
        <w:t xml:space="preserve"> a</w:t>
      </w:r>
      <w:r w:rsidR="00337953">
        <w:rPr>
          <w:rFonts w:ascii="Times New Roman" w:eastAsia="Calibri" w:hAnsi="Times New Roman"/>
          <w:sz w:val="24"/>
          <w:szCs w:val="24"/>
        </w:rPr>
        <w:t> </w:t>
      </w:r>
      <w:r w:rsidR="00D03236" w:rsidRPr="00D03236">
        <w:rPr>
          <w:rFonts w:ascii="Times New Roman" w:eastAsia="Calibri" w:hAnsi="Times New Roman"/>
          <w:sz w:val="24"/>
          <w:szCs w:val="24"/>
        </w:rPr>
        <w:t>prebierky</w:t>
      </w:r>
      <w:r w:rsidR="00337953">
        <w:rPr>
          <w:rFonts w:ascii="Times New Roman" w:eastAsia="Calibri" w:hAnsi="Times New Roman"/>
          <w:sz w:val="24"/>
          <w:szCs w:val="24"/>
        </w:rPr>
        <w:t xml:space="preserve"> na rozlohe 100 000 ha lesa</w:t>
      </w:r>
      <w:r w:rsidRPr="00D03236">
        <w:rPr>
          <w:rFonts w:ascii="Times New Roman" w:eastAsia="Calibri" w:hAnsi="Times New Roman"/>
          <w:sz w:val="24"/>
          <w:szCs w:val="24"/>
        </w:rPr>
        <w:t>.</w:t>
      </w:r>
    </w:p>
    <w:p w:rsidR="00BE691E" w:rsidRDefault="00BE691E" w:rsidP="00BE691E">
      <w:pPr>
        <w:spacing w:after="0" w:line="240" w:lineRule="auto"/>
        <w:jc w:val="both"/>
        <w:rPr>
          <w:rFonts w:ascii="Times New Roman" w:eastAsia="Calibri" w:hAnsi="Times New Roman"/>
          <w:sz w:val="24"/>
          <w:szCs w:val="24"/>
        </w:rPr>
      </w:pPr>
    </w:p>
    <w:p w:rsidR="00337953" w:rsidRDefault="00D03236"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Na tie</w:t>
      </w:r>
      <w:r w:rsidR="00337953">
        <w:rPr>
          <w:rFonts w:ascii="Times New Roman" w:eastAsia="Calibri" w:hAnsi="Times New Roman"/>
          <w:sz w:val="24"/>
          <w:szCs w:val="24"/>
        </w:rPr>
        <w:t>to činnosti je potrebný kumulovaný objem fina</w:t>
      </w:r>
      <w:r w:rsidR="001D72C3">
        <w:rPr>
          <w:rFonts w:ascii="Times New Roman" w:eastAsia="Calibri" w:hAnsi="Times New Roman"/>
          <w:sz w:val="24"/>
          <w:szCs w:val="24"/>
        </w:rPr>
        <w:t>nčných prostriedkov na roky              2014</w:t>
      </w:r>
      <w:r w:rsidR="00337953">
        <w:rPr>
          <w:rFonts w:ascii="Times New Roman" w:eastAsia="Calibri" w:hAnsi="Times New Roman"/>
          <w:sz w:val="24"/>
          <w:szCs w:val="24"/>
        </w:rPr>
        <w:t xml:space="preserve"> – 201</w:t>
      </w:r>
      <w:r w:rsidR="001D72C3">
        <w:rPr>
          <w:rFonts w:ascii="Times New Roman" w:eastAsia="Calibri" w:hAnsi="Times New Roman"/>
          <w:sz w:val="24"/>
          <w:szCs w:val="24"/>
        </w:rPr>
        <w:t>7</w:t>
      </w:r>
      <w:r w:rsidR="00337953">
        <w:rPr>
          <w:rFonts w:ascii="Times New Roman" w:eastAsia="Calibri" w:hAnsi="Times New Roman"/>
          <w:sz w:val="24"/>
          <w:szCs w:val="24"/>
        </w:rPr>
        <w:t xml:space="preserve"> vo výške 14 000 </w:t>
      </w:r>
      <w:proofErr w:type="spellStart"/>
      <w:r w:rsidR="00337953">
        <w:rPr>
          <w:rFonts w:ascii="Times New Roman" w:eastAsia="Calibri" w:hAnsi="Times New Roman"/>
          <w:sz w:val="24"/>
          <w:szCs w:val="24"/>
        </w:rPr>
        <w:t>000</w:t>
      </w:r>
      <w:proofErr w:type="spellEnd"/>
      <w:r w:rsidR="00337953">
        <w:rPr>
          <w:rFonts w:ascii="Times New Roman" w:eastAsia="Calibri" w:hAnsi="Times New Roman"/>
          <w:sz w:val="24"/>
          <w:szCs w:val="24"/>
        </w:rPr>
        <w:t xml:space="preserve"> EUR.</w:t>
      </w:r>
    </w:p>
    <w:p w:rsidR="00850910" w:rsidRDefault="00850910" w:rsidP="00BE691E">
      <w:pPr>
        <w:spacing w:after="0" w:line="240" w:lineRule="auto"/>
        <w:jc w:val="both"/>
        <w:rPr>
          <w:rFonts w:ascii="Times New Roman" w:eastAsia="Calibri" w:hAnsi="Times New Roman"/>
          <w:sz w:val="24"/>
          <w:szCs w:val="24"/>
        </w:rPr>
      </w:pPr>
    </w:p>
    <w:p w:rsidR="003F06B5" w:rsidRDefault="003F06B5" w:rsidP="00BE691E">
      <w:pPr>
        <w:spacing w:after="0" w:line="240" w:lineRule="auto"/>
        <w:jc w:val="both"/>
        <w:rPr>
          <w:rFonts w:ascii="Times New Roman" w:eastAsia="Calibri" w:hAnsi="Times New Roman"/>
          <w:sz w:val="24"/>
          <w:szCs w:val="24"/>
        </w:rPr>
      </w:pPr>
    </w:p>
    <w:p w:rsidR="00BE691E" w:rsidRPr="00E015A4" w:rsidRDefault="00BE691E" w:rsidP="000D68DC">
      <w:pPr>
        <w:pStyle w:val="Nadpis2"/>
        <w:numPr>
          <w:ilvl w:val="1"/>
          <w:numId w:val="8"/>
        </w:numPr>
        <w:rPr>
          <w:rFonts w:cs="Times New Roman"/>
          <w:szCs w:val="24"/>
        </w:rPr>
      </w:pPr>
      <w:bookmarkStart w:id="50" w:name="_Toc359550671"/>
      <w:r w:rsidRPr="00E015A4">
        <w:rPr>
          <w:rFonts w:cs="Times New Roman"/>
          <w:szCs w:val="24"/>
        </w:rPr>
        <w:t>Sociálny aspekt trvalo udržateľného obhospodarovania lesov</w:t>
      </w:r>
      <w:bookmarkEnd w:id="50"/>
    </w:p>
    <w:p w:rsidR="00BE691E" w:rsidRPr="00424726" w:rsidRDefault="00BE691E"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Sociálny aspekt trvalo udržateľného obhospodarovania lesov obsahuje napĺňanie ambície p</w:t>
      </w:r>
      <w:r w:rsidRPr="00231700">
        <w:rPr>
          <w:rFonts w:ascii="Times New Roman" w:eastAsia="Calibri" w:hAnsi="Times New Roman"/>
          <w:sz w:val="24"/>
          <w:szCs w:val="24"/>
        </w:rPr>
        <w:t>rispieť ku kvalite života zachovaním a zlepšovaním sociá</w:t>
      </w:r>
      <w:r>
        <w:rPr>
          <w:rFonts w:ascii="Times New Roman" w:eastAsia="Calibri" w:hAnsi="Times New Roman"/>
          <w:sz w:val="24"/>
          <w:szCs w:val="24"/>
        </w:rPr>
        <w:t xml:space="preserve">lnych </w:t>
      </w:r>
      <w:r w:rsidRPr="00231700">
        <w:rPr>
          <w:rFonts w:ascii="Times New Roman" w:eastAsia="Calibri" w:hAnsi="Times New Roman"/>
          <w:sz w:val="24"/>
          <w:szCs w:val="24"/>
        </w:rPr>
        <w:t>a kultúrnych dimenzií lesov a</w:t>
      </w:r>
      <w:r>
        <w:rPr>
          <w:rFonts w:ascii="Times New Roman" w:eastAsia="Calibri" w:hAnsi="Times New Roman"/>
          <w:sz w:val="24"/>
          <w:szCs w:val="24"/>
        </w:rPr>
        <w:t> </w:t>
      </w:r>
      <w:r w:rsidRPr="00231700">
        <w:rPr>
          <w:rFonts w:ascii="Times New Roman" w:eastAsia="Calibri" w:hAnsi="Times New Roman"/>
          <w:sz w:val="24"/>
          <w:szCs w:val="24"/>
        </w:rPr>
        <w:t>lesníctva</w:t>
      </w:r>
      <w:r>
        <w:rPr>
          <w:rFonts w:ascii="Times New Roman" w:eastAsia="Calibri" w:hAnsi="Times New Roman"/>
          <w:sz w:val="24"/>
          <w:szCs w:val="24"/>
        </w:rPr>
        <w:t>.</w:t>
      </w:r>
    </w:p>
    <w:p w:rsidR="00BE691E" w:rsidRDefault="00BE691E"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Napĺňanie vyššie uvedených ambícií v rámci sociálneho aspektu trvalo udržateľného obhospodarovania lesov má obrovský význam v tom, že l</w:t>
      </w:r>
      <w:r w:rsidRPr="00231700">
        <w:rPr>
          <w:rFonts w:ascii="Times New Roman" w:eastAsia="Calibri" w:hAnsi="Times New Roman"/>
          <w:sz w:val="24"/>
          <w:szCs w:val="24"/>
        </w:rPr>
        <w:t>esy poskytujú tovary a služby, ktoré sú prospešné pre obč</w:t>
      </w:r>
      <w:r>
        <w:rPr>
          <w:rFonts w:ascii="Times New Roman" w:eastAsia="Calibri" w:hAnsi="Times New Roman"/>
          <w:sz w:val="24"/>
          <w:szCs w:val="24"/>
        </w:rPr>
        <w:t xml:space="preserve">anov, ich </w:t>
      </w:r>
      <w:r w:rsidRPr="00231700">
        <w:rPr>
          <w:rFonts w:ascii="Times New Roman" w:eastAsia="Calibri" w:hAnsi="Times New Roman"/>
          <w:sz w:val="24"/>
          <w:szCs w:val="24"/>
        </w:rPr>
        <w:t>zdravie a kvalitu života, vrátane prírodný</w:t>
      </w:r>
      <w:r>
        <w:rPr>
          <w:rFonts w:ascii="Times New Roman" w:eastAsia="Calibri" w:hAnsi="Times New Roman"/>
          <w:sz w:val="24"/>
          <w:szCs w:val="24"/>
        </w:rPr>
        <w:t xml:space="preserve">ch krás a rekreácie v mestských </w:t>
      </w:r>
      <w:r w:rsidRPr="00231700">
        <w:rPr>
          <w:rFonts w:ascii="Times New Roman" w:eastAsia="Calibri" w:hAnsi="Times New Roman"/>
          <w:sz w:val="24"/>
          <w:szCs w:val="24"/>
        </w:rPr>
        <w:t>a vidieckych oblastiach, za</w:t>
      </w:r>
      <w:r>
        <w:rPr>
          <w:rFonts w:ascii="Times New Roman" w:eastAsia="Calibri" w:hAnsi="Times New Roman"/>
          <w:sz w:val="24"/>
          <w:szCs w:val="24"/>
        </w:rPr>
        <w:t xml:space="preserve">mestnanie a pracovné príjmy pre </w:t>
      </w:r>
      <w:r w:rsidRPr="00231700">
        <w:rPr>
          <w:rFonts w:ascii="Times New Roman" w:eastAsia="Calibri" w:hAnsi="Times New Roman"/>
          <w:sz w:val="24"/>
          <w:szCs w:val="24"/>
        </w:rPr>
        <w:t>milióny ľudí, ochranu pôdy a vody a ochran</w:t>
      </w:r>
      <w:r>
        <w:rPr>
          <w:rFonts w:ascii="Times New Roman" w:eastAsia="Calibri" w:hAnsi="Times New Roman"/>
          <w:sz w:val="24"/>
          <w:szCs w:val="24"/>
        </w:rPr>
        <w:t xml:space="preserve">u pred eróziou, </w:t>
      </w:r>
      <w:proofErr w:type="spellStart"/>
      <w:r>
        <w:rPr>
          <w:rFonts w:ascii="Times New Roman" w:eastAsia="Calibri" w:hAnsi="Times New Roman"/>
          <w:sz w:val="24"/>
          <w:szCs w:val="24"/>
        </w:rPr>
        <w:t>dezertifikáciou</w:t>
      </w:r>
      <w:r w:rsidRPr="00231700">
        <w:rPr>
          <w:rFonts w:ascii="Times New Roman" w:eastAsia="Calibri" w:hAnsi="Times New Roman"/>
          <w:sz w:val="24"/>
          <w:szCs w:val="24"/>
        </w:rPr>
        <w:t>a</w:t>
      </w:r>
      <w:proofErr w:type="spellEnd"/>
      <w:r w:rsidRPr="00231700">
        <w:rPr>
          <w:rFonts w:ascii="Times New Roman" w:eastAsia="Calibri" w:hAnsi="Times New Roman"/>
          <w:sz w:val="24"/>
          <w:szCs w:val="24"/>
        </w:rPr>
        <w:t xml:space="preserve"> prírodným nebezpečenstvám.</w:t>
      </w:r>
    </w:p>
    <w:p w:rsidR="00BE691E" w:rsidRDefault="00BE691E" w:rsidP="00BE691E">
      <w:pPr>
        <w:spacing w:after="0" w:line="240" w:lineRule="auto"/>
        <w:jc w:val="both"/>
        <w:rPr>
          <w:rFonts w:ascii="Times New Roman" w:eastAsia="Calibri" w:hAnsi="Times New Roman"/>
          <w:sz w:val="24"/>
          <w:szCs w:val="24"/>
        </w:rPr>
      </w:pPr>
    </w:p>
    <w:p w:rsidR="00BE691E" w:rsidRDefault="00BE691E" w:rsidP="00BE691E">
      <w:pPr>
        <w:spacing w:after="0" w:line="240" w:lineRule="auto"/>
        <w:jc w:val="both"/>
        <w:rPr>
          <w:rFonts w:ascii="Times New Roman" w:eastAsia="Calibri" w:hAnsi="Times New Roman"/>
          <w:sz w:val="24"/>
          <w:szCs w:val="24"/>
        </w:rPr>
      </w:pPr>
      <w:r>
        <w:rPr>
          <w:rFonts w:ascii="Times New Roman" w:eastAsia="Calibri" w:hAnsi="Times New Roman"/>
          <w:sz w:val="24"/>
          <w:szCs w:val="24"/>
        </w:rPr>
        <w:t>V rámci dôsledného napĺňania ambície p</w:t>
      </w:r>
      <w:r w:rsidRPr="00231700">
        <w:rPr>
          <w:rFonts w:ascii="Times New Roman" w:eastAsia="Calibri" w:hAnsi="Times New Roman"/>
          <w:sz w:val="24"/>
          <w:szCs w:val="24"/>
        </w:rPr>
        <w:t>rispieť ku kvalite života zachovaním a zlepšovaním sociá</w:t>
      </w:r>
      <w:r>
        <w:rPr>
          <w:rFonts w:ascii="Times New Roman" w:eastAsia="Calibri" w:hAnsi="Times New Roman"/>
          <w:sz w:val="24"/>
          <w:szCs w:val="24"/>
        </w:rPr>
        <w:t xml:space="preserve">lnych </w:t>
      </w:r>
      <w:r w:rsidRPr="00231700">
        <w:rPr>
          <w:rFonts w:ascii="Times New Roman" w:eastAsia="Calibri" w:hAnsi="Times New Roman"/>
          <w:sz w:val="24"/>
          <w:szCs w:val="24"/>
        </w:rPr>
        <w:t>a kultúrnych dimenzií lesov a</w:t>
      </w:r>
      <w:r>
        <w:rPr>
          <w:rFonts w:ascii="Times New Roman" w:eastAsia="Calibri" w:hAnsi="Times New Roman"/>
          <w:sz w:val="24"/>
          <w:szCs w:val="24"/>
        </w:rPr>
        <w:t> </w:t>
      </w:r>
      <w:r w:rsidRPr="00231700">
        <w:rPr>
          <w:rFonts w:ascii="Times New Roman" w:eastAsia="Calibri" w:hAnsi="Times New Roman"/>
          <w:sz w:val="24"/>
          <w:szCs w:val="24"/>
        </w:rPr>
        <w:t>lesníctva</w:t>
      </w:r>
      <w:r>
        <w:rPr>
          <w:rFonts w:ascii="Times New Roman" w:eastAsia="Calibri" w:hAnsi="Times New Roman"/>
          <w:sz w:val="24"/>
          <w:szCs w:val="24"/>
        </w:rPr>
        <w:t xml:space="preserve"> boli takto zade</w:t>
      </w:r>
      <w:r w:rsidR="007B5BCA">
        <w:rPr>
          <w:rFonts w:ascii="Times New Roman" w:eastAsia="Calibri" w:hAnsi="Times New Roman"/>
          <w:sz w:val="24"/>
          <w:szCs w:val="24"/>
        </w:rPr>
        <w:t>finované tieto prioritné úlohy:</w:t>
      </w:r>
    </w:p>
    <w:p w:rsidR="00BE691E" w:rsidRDefault="00BE691E" w:rsidP="000D68DC">
      <w:pPr>
        <w:pStyle w:val="Odsekzoznamu"/>
        <w:numPr>
          <w:ilvl w:val="0"/>
          <w:numId w:val="9"/>
        </w:numPr>
        <w:spacing w:after="0" w:line="240" w:lineRule="auto"/>
        <w:jc w:val="both"/>
        <w:rPr>
          <w:rFonts w:ascii="Times New Roman" w:eastAsia="Calibri" w:hAnsi="Times New Roman"/>
          <w:sz w:val="24"/>
          <w:szCs w:val="24"/>
        </w:rPr>
      </w:pPr>
      <w:r w:rsidRPr="001050EF">
        <w:rPr>
          <w:rFonts w:ascii="Times New Roman" w:eastAsia="Calibri" w:hAnsi="Times New Roman"/>
          <w:sz w:val="24"/>
          <w:szCs w:val="24"/>
        </w:rPr>
        <w:t xml:space="preserve">Práca s verejnosťou a lesná pedagogika </w:t>
      </w:r>
    </w:p>
    <w:p w:rsidR="00BE691E" w:rsidRPr="001050EF" w:rsidRDefault="00BE691E" w:rsidP="00BE691E">
      <w:pPr>
        <w:pStyle w:val="Odsekzoznamu"/>
        <w:spacing w:after="0" w:line="240" w:lineRule="auto"/>
        <w:jc w:val="both"/>
        <w:rPr>
          <w:rFonts w:ascii="Times New Roman" w:eastAsia="Calibri" w:hAnsi="Times New Roman"/>
          <w:sz w:val="24"/>
          <w:szCs w:val="24"/>
        </w:rPr>
      </w:pPr>
      <w:r w:rsidRPr="001050EF">
        <w:rPr>
          <w:rFonts w:ascii="Times New Roman" w:eastAsia="Calibri" w:hAnsi="Times New Roman"/>
          <w:sz w:val="24"/>
          <w:szCs w:val="24"/>
        </w:rPr>
        <w:t>(</w:t>
      </w:r>
      <w:r>
        <w:rPr>
          <w:rFonts w:ascii="Times New Roman" w:eastAsia="Calibri" w:hAnsi="Times New Roman"/>
          <w:sz w:val="24"/>
          <w:szCs w:val="24"/>
        </w:rPr>
        <w:t>vypracovanie a realizácia komplexnej stratégie, vrátane vytvorenia zodpovedajúcich inštitucionálnych podmienok na zabezpečenie systematickej komunikácie s verejnosťou s cieľom zvýšenia spoločenskej akceptácie a povedomia o prínosoch a </w:t>
      </w:r>
      <w:proofErr w:type="spellStart"/>
      <w:r>
        <w:rPr>
          <w:rFonts w:ascii="Times New Roman" w:eastAsia="Calibri" w:hAnsi="Times New Roman"/>
          <w:sz w:val="24"/>
          <w:szCs w:val="24"/>
        </w:rPr>
        <w:t>benefitoch</w:t>
      </w:r>
      <w:proofErr w:type="spellEnd"/>
      <w:r>
        <w:rPr>
          <w:rFonts w:ascii="Times New Roman" w:eastAsia="Calibri" w:hAnsi="Times New Roman"/>
          <w:sz w:val="24"/>
          <w:szCs w:val="24"/>
        </w:rPr>
        <w:t xml:space="preserve"> trvalo udržateľného hospodárenia v lesoch</w:t>
      </w:r>
      <w:r w:rsidRPr="001050EF">
        <w:rPr>
          <w:rFonts w:ascii="Times New Roman" w:eastAsia="Calibri" w:hAnsi="Times New Roman"/>
          <w:sz w:val="24"/>
          <w:szCs w:val="24"/>
        </w:rPr>
        <w:t>)</w:t>
      </w:r>
    </w:p>
    <w:p w:rsidR="00BE691E" w:rsidRDefault="00BE691E" w:rsidP="000D68DC">
      <w:pPr>
        <w:pStyle w:val="Odsekzoznamu"/>
        <w:numPr>
          <w:ilvl w:val="0"/>
          <w:numId w:val="9"/>
        </w:numPr>
        <w:spacing w:after="0" w:line="240" w:lineRule="auto"/>
        <w:jc w:val="both"/>
        <w:rPr>
          <w:rFonts w:ascii="Times New Roman" w:eastAsia="Calibri" w:hAnsi="Times New Roman"/>
          <w:sz w:val="24"/>
          <w:szCs w:val="24"/>
        </w:rPr>
      </w:pPr>
      <w:r>
        <w:rPr>
          <w:rFonts w:ascii="Times New Roman" w:eastAsia="Calibri" w:hAnsi="Times New Roman"/>
          <w:sz w:val="24"/>
          <w:szCs w:val="24"/>
        </w:rPr>
        <w:t>Podpora existujúcich kultúrnych a historických pamiatok spojených s lesným hospodárstvom a poľovníctvom</w:t>
      </w:r>
    </w:p>
    <w:p w:rsidR="00BE691E" w:rsidRPr="004969EF" w:rsidRDefault="00BE691E" w:rsidP="00BE691E">
      <w:pPr>
        <w:pStyle w:val="Odsekzoznamu"/>
        <w:spacing w:after="0" w:line="240" w:lineRule="auto"/>
        <w:jc w:val="both"/>
        <w:rPr>
          <w:rFonts w:ascii="Times New Roman" w:eastAsia="Calibri" w:hAnsi="Times New Roman"/>
          <w:sz w:val="24"/>
          <w:szCs w:val="24"/>
        </w:rPr>
      </w:pPr>
      <w:r>
        <w:rPr>
          <w:rFonts w:ascii="Times New Roman" w:eastAsia="Calibri" w:hAnsi="Times New Roman"/>
          <w:sz w:val="24"/>
          <w:szCs w:val="24"/>
        </w:rPr>
        <w:t>(podpora a zveľaďovanie národných kultúrnych a historických pamiatok spojených s lesným hospodárstvom a poľovníctvom)</w:t>
      </w:r>
    </w:p>
    <w:p w:rsidR="00BE691E" w:rsidRDefault="00BE691E" w:rsidP="00BE691E">
      <w:pPr>
        <w:spacing w:after="0" w:line="240" w:lineRule="auto"/>
        <w:jc w:val="both"/>
        <w:rPr>
          <w:rFonts w:ascii="Times New Roman" w:eastAsia="Calibri" w:hAnsi="Times New Roman"/>
          <w:sz w:val="24"/>
          <w:szCs w:val="24"/>
        </w:rPr>
      </w:pPr>
    </w:p>
    <w:p w:rsidR="00BE691E" w:rsidRPr="00E015A4" w:rsidRDefault="00BE691E" w:rsidP="000D68DC">
      <w:pPr>
        <w:pStyle w:val="Nadpis3"/>
        <w:numPr>
          <w:ilvl w:val="2"/>
          <w:numId w:val="8"/>
        </w:numPr>
        <w:rPr>
          <w:rFonts w:eastAsia="Calibri"/>
          <w:szCs w:val="24"/>
        </w:rPr>
      </w:pPr>
      <w:bookmarkStart w:id="51" w:name="_Toc359550672"/>
      <w:r w:rsidRPr="00E015A4">
        <w:rPr>
          <w:rFonts w:eastAsia="Calibri"/>
          <w:szCs w:val="24"/>
        </w:rPr>
        <w:t>Práca s verejnosťou a lesná pedagogika</w:t>
      </w:r>
      <w:bookmarkEnd w:id="51"/>
    </w:p>
    <w:p w:rsidR="00BE691E" w:rsidRDefault="00BE691E" w:rsidP="00BE691E">
      <w:pPr>
        <w:spacing w:after="0" w:line="240" w:lineRule="auto"/>
        <w:jc w:val="both"/>
        <w:rPr>
          <w:rFonts w:ascii="Times New Roman" w:eastAsia="Calibri" w:hAnsi="Times New Roman"/>
          <w:b/>
          <w:sz w:val="24"/>
          <w:szCs w:val="24"/>
        </w:rPr>
      </w:pPr>
    </w:p>
    <w:p w:rsidR="00277636" w:rsidRPr="00277636" w:rsidRDefault="00277636" w:rsidP="00277636">
      <w:pPr>
        <w:spacing w:after="0" w:line="240" w:lineRule="auto"/>
        <w:jc w:val="both"/>
        <w:rPr>
          <w:rFonts w:ascii="Times New Roman" w:eastAsia="Calibri" w:hAnsi="Times New Roman"/>
          <w:sz w:val="24"/>
          <w:szCs w:val="24"/>
        </w:rPr>
      </w:pPr>
      <w:r w:rsidRPr="00277636">
        <w:rPr>
          <w:rFonts w:ascii="Times New Roman" w:eastAsia="Calibri" w:hAnsi="Times New Roman"/>
          <w:sz w:val="24"/>
          <w:szCs w:val="24"/>
        </w:rPr>
        <w:t>Les je pre verejnos</w:t>
      </w:r>
      <w:r w:rsidRPr="00277636">
        <w:rPr>
          <w:rFonts w:ascii="Times New Roman" w:eastAsia="Calibri" w:hAnsi="Times New Roman" w:hint="eastAsia"/>
          <w:sz w:val="24"/>
          <w:szCs w:val="24"/>
        </w:rPr>
        <w:t>ť</w:t>
      </w:r>
      <w:r w:rsidRPr="00277636">
        <w:rPr>
          <w:rFonts w:ascii="Times New Roman" w:eastAsia="Calibri" w:hAnsi="Times New Roman"/>
          <w:sz w:val="24"/>
          <w:szCs w:val="24"/>
        </w:rPr>
        <w:t xml:space="preserve"> atrakt</w:t>
      </w:r>
      <w:r w:rsidRPr="00277636">
        <w:rPr>
          <w:rFonts w:ascii="Times New Roman" w:eastAsia="Calibri" w:hAnsi="Times New Roman" w:hint="eastAsia"/>
          <w:sz w:val="24"/>
          <w:szCs w:val="24"/>
        </w:rPr>
        <w:t>í</w:t>
      </w:r>
      <w:r w:rsidRPr="00277636">
        <w:rPr>
          <w:rFonts w:ascii="Times New Roman" w:eastAsia="Calibri" w:hAnsi="Times New Roman"/>
          <w:sz w:val="24"/>
          <w:szCs w:val="24"/>
        </w:rPr>
        <w:t>vnym a v</w:t>
      </w:r>
      <w:r w:rsidRPr="00277636">
        <w:rPr>
          <w:rFonts w:ascii="Times New Roman" w:eastAsia="Calibri" w:hAnsi="Times New Roman" w:hint="eastAsia"/>
          <w:sz w:val="24"/>
          <w:szCs w:val="24"/>
        </w:rPr>
        <w:t>ý</w:t>
      </w:r>
      <w:r w:rsidRPr="00277636">
        <w:rPr>
          <w:rFonts w:ascii="Times New Roman" w:eastAsia="Calibri" w:hAnsi="Times New Roman"/>
          <w:sz w:val="24"/>
          <w:szCs w:val="24"/>
        </w:rPr>
        <w:t>nimo</w:t>
      </w:r>
      <w:r w:rsidRPr="00277636">
        <w:rPr>
          <w:rFonts w:ascii="Times New Roman" w:eastAsia="Calibri" w:hAnsi="Times New Roman" w:hint="eastAsia"/>
          <w:sz w:val="24"/>
          <w:szCs w:val="24"/>
        </w:rPr>
        <w:t>č</w:t>
      </w:r>
      <w:r w:rsidRPr="00277636">
        <w:rPr>
          <w:rFonts w:ascii="Times New Roman" w:eastAsia="Calibri" w:hAnsi="Times New Roman"/>
          <w:sz w:val="24"/>
          <w:szCs w:val="24"/>
        </w:rPr>
        <w:t>n</w:t>
      </w:r>
      <w:r w:rsidRPr="00277636">
        <w:rPr>
          <w:rFonts w:ascii="Times New Roman" w:eastAsia="Calibri" w:hAnsi="Times New Roman" w:hint="eastAsia"/>
          <w:sz w:val="24"/>
          <w:szCs w:val="24"/>
        </w:rPr>
        <w:t>ý</w:t>
      </w:r>
      <w:r w:rsidRPr="00277636">
        <w:rPr>
          <w:rFonts w:ascii="Times New Roman" w:eastAsia="Calibri" w:hAnsi="Times New Roman"/>
          <w:sz w:val="24"/>
          <w:szCs w:val="24"/>
        </w:rPr>
        <w:t>m prostred</w:t>
      </w:r>
      <w:r w:rsidRPr="00277636">
        <w:rPr>
          <w:rFonts w:ascii="Times New Roman" w:eastAsia="Calibri" w:hAnsi="Times New Roman" w:hint="eastAsia"/>
          <w:sz w:val="24"/>
          <w:szCs w:val="24"/>
        </w:rPr>
        <w:t>í</w:t>
      </w:r>
      <w:r w:rsidRPr="00277636">
        <w:rPr>
          <w:rFonts w:ascii="Times New Roman" w:eastAsia="Calibri" w:hAnsi="Times New Roman"/>
          <w:sz w:val="24"/>
          <w:szCs w:val="24"/>
        </w:rPr>
        <w:t>m, ktor</w:t>
      </w:r>
      <w:r w:rsidRPr="00277636">
        <w:rPr>
          <w:rFonts w:ascii="Times New Roman" w:eastAsia="Calibri" w:hAnsi="Times New Roman" w:hint="eastAsia"/>
          <w:sz w:val="24"/>
          <w:szCs w:val="24"/>
        </w:rPr>
        <w:t>é</w:t>
      </w:r>
      <w:r w:rsidR="003748EC">
        <w:rPr>
          <w:rFonts w:ascii="Times New Roman" w:eastAsia="Calibri" w:hAnsi="Times New Roman"/>
          <w:sz w:val="24"/>
          <w:szCs w:val="24"/>
        </w:rPr>
        <w:t xml:space="preserve"> </w:t>
      </w:r>
      <w:r w:rsidRPr="00277636">
        <w:rPr>
          <w:rFonts w:ascii="Times New Roman" w:eastAsia="Calibri" w:hAnsi="Times New Roman"/>
          <w:sz w:val="24"/>
          <w:szCs w:val="24"/>
        </w:rPr>
        <w:t>je z</w:t>
      </w:r>
      <w:r w:rsidRPr="00277636">
        <w:rPr>
          <w:rFonts w:ascii="Times New Roman" w:eastAsia="Calibri" w:hAnsi="Times New Roman" w:hint="eastAsia"/>
          <w:sz w:val="24"/>
          <w:szCs w:val="24"/>
        </w:rPr>
        <w:t>á</w:t>
      </w:r>
      <w:r w:rsidRPr="00277636">
        <w:rPr>
          <w:rFonts w:ascii="Times New Roman" w:eastAsia="Calibri" w:hAnsi="Times New Roman"/>
          <w:sz w:val="24"/>
          <w:szCs w:val="24"/>
        </w:rPr>
        <w:t>rove</w:t>
      </w:r>
      <w:r w:rsidRPr="00277636">
        <w:rPr>
          <w:rFonts w:ascii="Times New Roman" w:eastAsia="Calibri" w:hAnsi="Times New Roman" w:hint="eastAsia"/>
          <w:sz w:val="24"/>
          <w:szCs w:val="24"/>
        </w:rPr>
        <w:t>ň</w:t>
      </w:r>
      <w:r>
        <w:rPr>
          <w:rFonts w:ascii="Times New Roman" w:eastAsia="Calibri" w:hAnsi="Times New Roman"/>
          <w:sz w:val="24"/>
          <w:szCs w:val="24"/>
        </w:rPr>
        <w:t xml:space="preserve"> zdrojom </w:t>
      </w:r>
      <w:r w:rsidRPr="00277636">
        <w:rPr>
          <w:rFonts w:ascii="Times New Roman" w:eastAsia="Calibri" w:hAnsi="Times New Roman"/>
          <w:sz w:val="24"/>
          <w:szCs w:val="24"/>
        </w:rPr>
        <w:t>poznania a prostriedkom v</w:t>
      </w:r>
      <w:r w:rsidRPr="00277636">
        <w:rPr>
          <w:rFonts w:ascii="Times New Roman" w:eastAsia="Calibri" w:hAnsi="Times New Roman" w:hint="eastAsia"/>
          <w:sz w:val="24"/>
          <w:szCs w:val="24"/>
        </w:rPr>
        <w:t>ý</w:t>
      </w:r>
      <w:r>
        <w:rPr>
          <w:rFonts w:ascii="Times New Roman" w:eastAsia="Calibri" w:hAnsi="Times New Roman"/>
          <w:sz w:val="24"/>
          <w:szCs w:val="24"/>
        </w:rPr>
        <w:t xml:space="preserve">chovy. Dopyt po </w:t>
      </w:r>
      <w:r w:rsidRPr="00277636">
        <w:rPr>
          <w:rFonts w:ascii="Times New Roman" w:eastAsia="Calibri" w:hAnsi="Times New Roman"/>
          <w:sz w:val="24"/>
          <w:szCs w:val="24"/>
        </w:rPr>
        <w:t>relax</w:t>
      </w:r>
      <w:r w:rsidRPr="00277636">
        <w:rPr>
          <w:rFonts w:ascii="Times New Roman" w:eastAsia="Calibri" w:hAnsi="Times New Roman" w:hint="eastAsia"/>
          <w:sz w:val="24"/>
          <w:szCs w:val="24"/>
        </w:rPr>
        <w:t>á</w:t>
      </w:r>
      <w:r w:rsidRPr="00277636">
        <w:rPr>
          <w:rFonts w:ascii="Times New Roman" w:eastAsia="Calibri" w:hAnsi="Times New Roman"/>
          <w:sz w:val="24"/>
          <w:szCs w:val="24"/>
        </w:rPr>
        <w:t>cii v pr</w:t>
      </w:r>
      <w:r w:rsidRPr="00277636">
        <w:rPr>
          <w:rFonts w:ascii="Times New Roman" w:eastAsia="Calibri" w:hAnsi="Times New Roman" w:hint="eastAsia"/>
          <w:sz w:val="24"/>
          <w:szCs w:val="24"/>
        </w:rPr>
        <w:t>í</w:t>
      </w:r>
      <w:r w:rsidRPr="00277636">
        <w:rPr>
          <w:rFonts w:ascii="Times New Roman" w:eastAsia="Calibri" w:hAnsi="Times New Roman"/>
          <w:sz w:val="24"/>
          <w:szCs w:val="24"/>
        </w:rPr>
        <w:t>rode sa zvy</w:t>
      </w:r>
      <w:r w:rsidRPr="00277636">
        <w:rPr>
          <w:rFonts w:ascii="Times New Roman" w:eastAsia="Calibri" w:hAnsi="Times New Roman" w:hint="eastAsia"/>
          <w:sz w:val="24"/>
          <w:szCs w:val="24"/>
        </w:rPr>
        <w:t>š</w:t>
      </w:r>
      <w:r w:rsidRPr="00277636">
        <w:rPr>
          <w:rFonts w:ascii="Times New Roman" w:eastAsia="Calibri" w:hAnsi="Times New Roman"/>
          <w:sz w:val="24"/>
          <w:szCs w:val="24"/>
        </w:rPr>
        <w:t>uje. Jedn</w:t>
      </w:r>
      <w:r w:rsidRPr="00277636">
        <w:rPr>
          <w:rFonts w:ascii="Times New Roman" w:eastAsia="Calibri" w:hAnsi="Times New Roman" w:hint="eastAsia"/>
          <w:sz w:val="24"/>
          <w:szCs w:val="24"/>
        </w:rPr>
        <w:t>ý</w:t>
      </w:r>
      <w:r>
        <w:rPr>
          <w:rFonts w:ascii="Times New Roman" w:eastAsia="Calibri" w:hAnsi="Times New Roman"/>
          <w:sz w:val="24"/>
          <w:szCs w:val="24"/>
        </w:rPr>
        <w:t xml:space="preserve">m z </w:t>
      </w:r>
      <w:r w:rsidRPr="00277636">
        <w:rPr>
          <w:rFonts w:ascii="Times New Roman" w:eastAsia="Calibri" w:hAnsi="Times New Roman"/>
          <w:sz w:val="24"/>
          <w:szCs w:val="24"/>
        </w:rPr>
        <w:t>n</w:t>
      </w:r>
      <w:r w:rsidRPr="00277636">
        <w:rPr>
          <w:rFonts w:ascii="Times New Roman" w:eastAsia="Calibri" w:hAnsi="Times New Roman" w:hint="eastAsia"/>
          <w:sz w:val="24"/>
          <w:szCs w:val="24"/>
        </w:rPr>
        <w:t>á</w:t>
      </w:r>
      <w:r w:rsidRPr="00277636">
        <w:rPr>
          <w:rFonts w:ascii="Times New Roman" w:eastAsia="Calibri" w:hAnsi="Times New Roman"/>
          <w:sz w:val="24"/>
          <w:szCs w:val="24"/>
        </w:rPr>
        <w:t>strojov pr</w:t>
      </w:r>
      <w:r w:rsidRPr="00277636">
        <w:rPr>
          <w:rFonts w:ascii="Times New Roman" w:eastAsia="Calibri" w:hAnsi="Times New Roman" w:hint="eastAsia"/>
          <w:sz w:val="24"/>
          <w:szCs w:val="24"/>
        </w:rPr>
        <w:t>á</w:t>
      </w:r>
      <w:r w:rsidRPr="00277636">
        <w:rPr>
          <w:rFonts w:ascii="Times New Roman" w:eastAsia="Calibri" w:hAnsi="Times New Roman"/>
          <w:sz w:val="24"/>
          <w:szCs w:val="24"/>
        </w:rPr>
        <w:t>ce s</w:t>
      </w:r>
      <w:r>
        <w:rPr>
          <w:rFonts w:ascii="Times New Roman" w:eastAsia="Calibri" w:hAnsi="Times New Roman"/>
          <w:sz w:val="24"/>
          <w:szCs w:val="24"/>
        </w:rPr>
        <w:t> </w:t>
      </w:r>
      <w:r w:rsidRPr="00277636">
        <w:rPr>
          <w:rFonts w:ascii="Times New Roman" w:eastAsia="Calibri" w:hAnsi="Times New Roman"/>
          <w:sz w:val="24"/>
          <w:szCs w:val="24"/>
        </w:rPr>
        <w:t>verejnos</w:t>
      </w:r>
      <w:r w:rsidRPr="00277636">
        <w:rPr>
          <w:rFonts w:ascii="Times New Roman" w:eastAsia="Calibri" w:hAnsi="Times New Roman" w:hint="eastAsia"/>
          <w:sz w:val="24"/>
          <w:szCs w:val="24"/>
        </w:rPr>
        <w:t>ť</w:t>
      </w:r>
      <w:r>
        <w:rPr>
          <w:rFonts w:ascii="Times New Roman" w:eastAsia="Calibri" w:hAnsi="Times New Roman"/>
          <w:sz w:val="24"/>
          <w:szCs w:val="24"/>
        </w:rPr>
        <w:t xml:space="preserve">ou </w:t>
      </w:r>
      <w:r w:rsidRPr="00277636">
        <w:rPr>
          <w:rFonts w:ascii="Times New Roman" w:eastAsia="Calibri" w:hAnsi="Times New Roman"/>
          <w:sz w:val="24"/>
          <w:szCs w:val="24"/>
        </w:rPr>
        <w:t>je lesn</w:t>
      </w:r>
      <w:r w:rsidRPr="00277636">
        <w:rPr>
          <w:rFonts w:ascii="Times New Roman" w:eastAsia="Calibri" w:hAnsi="Times New Roman" w:hint="eastAsia"/>
          <w:sz w:val="24"/>
          <w:szCs w:val="24"/>
        </w:rPr>
        <w:t>á</w:t>
      </w:r>
      <w:r>
        <w:rPr>
          <w:rFonts w:ascii="Times New Roman" w:eastAsia="Calibri" w:hAnsi="Times New Roman"/>
          <w:sz w:val="24"/>
          <w:szCs w:val="24"/>
        </w:rPr>
        <w:t xml:space="preserve"> pedagogika, ktorej </w:t>
      </w:r>
      <w:r w:rsidRPr="00277636">
        <w:rPr>
          <w:rFonts w:ascii="Times New Roman" w:eastAsia="Calibri" w:hAnsi="Times New Roman"/>
          <w:sz w:val="24"/>
          <w:szCs w:val="24"/>
        </w:rPr>
        <w:t>cie</w:t>
      </w:r>
      <w:r w:rsidRPr="00277636">
        <w:rPr>
          <w:rFonts w:ascii="Times New Roman" w:eastAsia="Calibri" w:hAnsi="Times New Roman" w:hint="eastAsia"/>
          <w:sz w:val="24"/>
          <w:szCs w:val="24"/>
        </w:rPr>
        <w:t>ľ</w:t>
      </w:r>
      <w:r w:rsidRPr="00277636">
        <w:rPr>
          <w:rFonts w:ascii="Times New Roman" w:eastAsia="Calibri" w:hAnsi="Times New Roman"/>
          <w:sz w:val="24"/>
          <w:szCs w:val="24"/>
        </w:rPr>
        <w:t>om je zlep</w:t>
      </w:r>
      <w:r w:rsidRPr="00277636">
        <w:rPr>
          <w:rFonts w:ascii="Times New Roman" w:eastAsia="Calibri" w:hAnsi="Times New Roman" w:hint="eastAsia"/>
          <w:sz w:val="24"/>
          <w:szCs w:val="24"/>
        </w:rPr>
        <w:t>š</w:t>
      </w:r>
      <w:r w:rsidRPr="00277636">
        <w:rPr>
          <w:rFonts w:ascii="Times New Roman" w:eastAsia="Calibri" w:hAnsi="Times New Roman"/>
          <w:sz w:val="24"/>
          <w:szCs w:val="24"/>
        </w:rPr>
        <w:t>enie vz</w:t>
      </w:r>
      <w:r w:rsidRPr="00277636">
        <w:rPr>
          <w:rFonts w:ascii="Times New Roman" w:eastAsia="Calibri" w:hAnsi="Times New Roman" w:hint="eastAsia"/>
          <w:sz w:val="24"/>
          <w:szCs w:val="24"/>
        </w:rPr>
        <w:t>ť</w:t>
      </w:r>
      <w:r>
        <w:rPr>
          <w:rFonts w:ascii="Times New Roman" w:eastAsia="Calibri" w:hAnsi="Times New Roman"/>
          <w:sz w:val="24"/>
          <w:szCs w:val="24"/>
        </w:rPr>
        <w:t xml:space="preserve">ahu verejnosti </w:t>
      </w:r>
      <w:r w:rsidRPr="00277636">
        <w:rPr>
          <w:rFonts w:ascii="Times New Roman" w:eastAsia="Calibri" w:hAnsi="Times New Roman"/>
          <w:sz w:val="24"/>
          <w:szCs w:val="24"/>
        </w:rPr>
        <w:t>k lesn</w:t>
      </w:r>
      <w:r w:rsidRPr="00277636">
        <w:rPr>
          <w:rFonts w:ascii="Times New Roman" w:eastAsia="Calibri" w:hAnsi="Times New Roman" w:hint="eastAsia"/>
          <w:sz w:val="24"/>
          <w:szCs w:val="24"/>
        </w:rPr>
        <w:t>í</w:t>
      </w:r>
      <w:r w:rsidRPr="00277636">
        <w:rPr>
          <w:rFonts w:ascii="Times New Roman" w:eastAsia="Calibri" w:hAnsi="Times New Roman"/>
          <w:sz w:val="24"/>
          <w:szCs w:val="24"/>
        </w:rPr>
        <w:t>ctvu, pris</w:t>
      </w:r>
      <w:r>
        <w:rPr>
          <w:rFonts w:ascii="Times New Roman" w:eastAsia="Calibri" w:hAnsi="Times New Roman"/>
          <w:sz w:val="24"/>
          <w:szCs w:val="24"/>
        </w:rPr>
        <w:t xml:space="preserve">penie k objasneniu </w:t>
      </w:r>
      <w:r w:rsidRPr="00277636">
        <w:rPr>
          <w:rFonts w:ascii="Times New Roman" w:eastAsia="Calibri" w:hAnsi="Times New Roman"/>
          <w:sz w:val="24"/>
          <w:szCs w:val="24"/>
        </w:rPr>
        <w:t>v</w:t>
      </w:r>
      <w:r w:rsidRPr="00277636">
        <w:rPr>
          <w:rFonts w:ascii="Times New Roman" w:eastAsia="Calibri" w:hAnsi="Times New Roman" w:hint="eastAsia"/>
          <w:sz w:val="24"/>
          <w:szCs w:val="24"/>
        </w:rPr>
        <w:t>ý</w:t>
      </w:r>
      <w:r w:rsidRPr="00277636">
        <w:rPr>
          <w:rFonts w:ascii="Times New Roman" w:eastAsia="Calibri" w:hAnsi="Times New Roman"/>
          <w:sz w:val="24"/>
          <w:szCs w:val="24"/>
        </w:rPr>
        <w:t>znamu trvalo udr</w:t>
      </w:r>
      <w:r w:rsidRPr="00277636">
        <w:rPr>
          <w:rFonts w:ascii="Times New Roman" w:eastAsia="Calibri" w:hAnsi="Times New Roman" w:hint="eastAsia"/>
          <w:sz w:val="24"/>
          <w:szCs w:val="24"/>
        </w:rPr>
        <w:t>ž</w:t>
      </w:r>
      <w:r w:rsidRPr="00277636">
        <w:rPr>
          <w:rFonts w:ascii="Times New Roman" w:eastAsia="Calibri" w:hAnsi="Times New Roman"/>
          <w:sz w:val="24"/>
          <w:szCs w:val="24"/>
        </w:rPr>
        <w:t>ate</w:t>
      </w:r>
      <w:r w:rsidRPr="00277636">
        <w:rPr>
          <w:rFonts w:ascii="Times New Roman" w:eastAsia="Calibri" w:hAnsi="Times New Roman" w:hint="eastAsia"/>
          <w:sz w:val="24"/>
          <w:szCs w:val="24"/>
        </w:rPr>
        <w:t>ľ</w:t>
      </w:r>
      <w:r w:rsidRPr="00277636">
        <w:rPr>
          <w:rFonts w:ascii="Times New Roman" w:eastAsia="Calibri" w:hAnsi="Times New Roman"/>
          <w:sz w:val="24"/>
          <w:szCs w:val="24"/>
        </w:rPr>
        <w:t>n</w:t>
      </w:r>
      <w:r w:rsidRPr="00277636">
        <w:rPr>
          <w:rFonts w:ascii="Times New Roman" w:eastAsia="Calibri" w:hAnsi="Times New Roman" w:hint="eastAsia"/>
          <w:sz w:val="24"/>
          <w:szCs w:val="24"/>
        </w:rPr>
        <w:t>é</w:t>
      </w:r>
      <w:r>
        <w:rPr>
          <w:rFonts w:ascii="Times New Roman" w:eastAsia="Calibri" w:hAnsi="Times New Roman"/>
          <w:sz w:val="24"/>
          <w:szCs w:val="24"/>
        </w:rPr>
        <w:t xml:space="preserve">ho </w:t>
      </w:r>
      <w:r w:rsidRPr="00277636">
        <w:rPr>
          <w:rFonts w:ascii="Times New Roman" w:eastAsia="Calibri" w:hAnsi="Times New Roman"/>
          <w:sz w:val="24"/>
          <w:szCs w:val="24"/>
        </w:rPr>
        <w:t>hospod</w:t>
      </w:r>
      <w:r w:rsidRPr="00277636">
        <w:rPr>
          <w:rFonts w:ascii="Times New Roman" w:eastAsia="Calibri" w:hAnsi="Times New Roman" w:hint="eastAsia"/>
          <w:sz w:val="24"/>
          <w:szCs w:val="24"/>
        </w:rPr>
        <w:t>á</w:t>
      </w:r>
      <w:r w:rsidRPr="00277636">
        <w:rPr>
          <w:rFonts w:ascii="Times New Roman" w:eastAsia="Calibri" w:hAnsi="Times New Roman"/>
          <w:sz w:val="24"/>
          <w:szCs w:val="24"/>
        </w:rPr>
        <w:t>renia v lesoch a</w:t>
      </w:r>
      <w:r>
        <w:rPr>
          <w:rFonts w:ascii="Times New Roman" w:eastAsia="Calibri" w:hAnsi="Times New Roman"/>
          <w:sz w:val="24"/>
          <w:szCs w:val="24"/>
        </w:rPr>
        <w:t> </w:t>
      </w:r>
      <w:r w:rsidRPr="00277636">
        <w:rPr>
          <w:rFonts w:ascii="Times New Roman" w:eastAsia="Calibri" w:hAnsi="Times New Roman"/>
          <w:sz w:val="24"/>
          <w:szCs w:val="24"/>
        </w:rPr>
        <w:t>citliv</w:t>
      </w:r>
      <w:r w:rsidRPr="00277636">
        <w:rPr>
          <w:rFonts w:ascii="Times New Roman" w:eastAsia="Calibri" w:hAnsi="Times New Roman" w:hint="eastAsia"/>
          <w:sz w:val="24"/>
          <w:szCs w:val="24"/>
        </w:rPr>
        <w:t>é</w:t>
      </w:r>
      <w:r>
        <w:rPr>
          <w:rFonts w:ascii="Times New Roman" w:eastAsia="Calibri" w:hAnsi="Times New Roman"/>
          <w:sz w:val="24"/>
          <w:szCs w:val="24"/>
        </w:rPr>
        <w:t xml:space="preserve">mu </w:t>
      </w:r>
      <w:r w:rsidRPr="00277636">
        <w:rPr>
          <w:rFonts w:ascii="Times New Roman" w:eastAsia="Calibri" w:hAnsi="Times New Roman"/>
          <w:sz w:val="24"/>
          <w:szCs w:val="24"/>
        </w:rPr>
        <w:t>zaobch</w:t>
      </w:r>
      <w:r w:rsidRPr="00277636">
        <w:rPr>
          <w:rFonts w:ascii="Times New Roman" w:eastAsia="Calibri" w:hAnsi="Times New Roman" w:hint="eastAsia"/>
          <w:sz w:val="24"/>
          <w:szCs w:val="24"/>
        </w:rPr>
        <w:t>á</w:t>
      </w:r>
      <w:r w:rsidRPr="00277636">
        <w:rPr>
          <w:rFonts w:ascii="Times New Roman" w:eastAsia="Calibri" w:hAnsi="Times New Roman"/>
          <w:sz w:val="24"/>
          <w:szCs w:val="24"/>
        </w:rPr>
        <w:t>dzaniu s pr</w:t>
      </w:r>
      <w:r w:rsidRPr="00277636">
        <w:rPr>
          <w:rFonts w:ascii="Times New Roman" w:eastAsia="Calibri" w:hAnsi="Times New Roman" w:hint="eastAsia"/>
          <w:sz w:val="24"/>
          <w:szCs w:val="24"/>
        </w:rPr>
        <w:t>í</w:t>
      </w:r>
      <w:r w:rsidRPr="00277636">
        <w:rPr>
          <w:rFonts w:ascii="Times New Roman" w:eastAsia="Calibri" w:hAnsi="Times New Roman"/>
          <w:sz w:val="24"/>
          <w:szCs w:val="24"/>
        </w:rPr>
        <w:t>rodou. Zah</w:t>
      </w:r>
      <w:r w:rsidRPr="00277636">
        <w:rPr>
          <w:rFonts w:ascii="Times New Roman" w:eastAsia="Calibri" w:hAnsi="Times New Roman" w:hint="eastAsia"/>
          <w:sz w:val="24"/>
          <w:szCs w:val="24"/>
        </w:rPr>
        <w:t>ŕň</w:t>
      </w:r>
      <w:r>
        <w:rPr>
          <w:rFonts w:ascii="Times New Roman" w:eastAsia="Calibri" w:hAnsi="Times New Roman"/>
          <w:sz w:val="24"/>
          <w:szCs w:val="24"/>
        </w:rPr>
        <w:t xml:space="preserve">a </w:t>
      </w:r>
      <w:r w:rsidRPr="00277636">
        <w:rPr>
          <w:rFonts w:ascii="Times New Roman" w:eastAsia="Calibri" w:hAnsi="Times New Roman"/>
          <w:sz w:val="24"/>
          <w:szCs w:val="24"/>
        </w:rPr>
        <w:t>r</w:t>
      </w:r>
      <w:r w:rsidRPr="00277636">
        <w:rPr>
          <w:rFonts w:ascii="Times New Roman" w:eastAsia="Calibri" w:hAnsi="Times New Roman" w:hint="eastAsia"/>
          <w:sz w:val="24"/>
          <w:szCs w:val="24"/>
        </w:rPr>
        <w:t>ô</w:t>
      </w:r>
      <w:r w:rsidRPr="00277636">
        <w:rPr>
          <w:rFonts w:ascii="Times New Roman" w:eastAsia="Calibri" w:hAnsi="Times New Roman"/>
          <w:sz w:val="24"/>
          <w:szCs w:val="24"/>
        </w:rPr>
        <w:t>zne aktivity na formovanie pozit</w:t>
      </w:r>
      <w:r w:rsidRPr="00277636">
        <w:rPr>
          <w:rFonts w:ascii="Times New Roman" w:eastAsia="Calibri" w:hAnsi="Times New Roman" w:hint="eastAsia"/>
          <w:sz w:val="24"/>
          <w:szCs w:val="24"/>
        </w:rPr>
        <w:t>í</w:t>
      </w:r>
      <w:r>
        <w:rPr>
          <w:rFonts w:ascii="Times New Roman" w:eastAsia="Calibri" w:hAnsi="Times New Roman"/>
          <w:sz w:val="24"/>
          <w:szCs w:val="24"/>
        </w:rPr>
        <w:t xml:space="preserve">vnych </w:t>
      </w:r>
      <w:r w:rsidRPr="00277636">
        <w:rPr>
          <w:rFonts w:ascii="Times New Roman" w:eastAsia="Calibri" w:hAnsi="Times New Roman"/>
          <w:sz w:val="24"/>
          <w:szCs w:val="24"/>
        </w:rPr>
        <w:t>postojov v</w:t>
      </w:r>
      <w:r w:rsidRPr="00277636">
        <w:rPr>
          <w:rFonts w:ascii="Times New Roman" w:eastAsia="Calibri" w:hAnsi="Times New Roman" w:hint="eastAsia"/>
          <w:sz w:val="24"/>
          <w:szCs w:val="24"/>
        </w:rPr>
        <w:t>š</w:t>
      </w:r>
      <w:r w:rsidRPr="00277636">
        <w:rPr>
          <w:rFonts w:ascii="Times New Roman" w:eastAsia="Calibri" w:hAnsi="Times New Roman"/>
          <w:sz w:val="24"/>
          <w:szCs w:val="24"/>
        </w:rPr>
        <w:t>etk</w:t>
      </w:r>
      <w:r w:rsidRPr="00277636">
        <w:rPr>
          <w:rFonts w:ascii="Times New Roman" w:eastAsia="Calibri" w:hAnsi="Times New Roman" w:hint="eastAsia"/>
          <w:sz w:val="24"/>
          <w:szCs w:val="24"/>
        </w:rPr>
        <w:t>ý</w:t>
      </w:r>
      <w:r w:rsidRPr="00277636">
        <w:rPr>
          <w:rFonts w:ascii="Times New Roman" w:eastAsia="Calibri" w:hAnsi="Times New Roman"/>
          <w:sz w:val="24"/>
          <w:szCs w:val="24"/>
        </w:rPr>
        <w:t>ch skup</w:t>
      </w:r>
      <w:r w:rsidRPr="00277636">
        <w:rPr>
          <w:rFonts w:ascii="Times New Roman" w:eastAsia="Calibri" w:hAnsi="Times New Roman" w:hint="eastAsia"/>
          <w:sz w:val="24"/>
          <w:szCs w:val="24"/>
        </w:rPr>
        <w:t>í</w:t>
      </w:r>
      <w:r>
        <w:rPr>
          <w:rFonts w:ascii="Times New Roman" w:eastAsia="Calibri" w:hAnsi="Times New Roman"/>
          <w:sz w:val="24"/>
          <w:szCs w:val="24"/>
        </w:rPr>
        <w:t xml:space="preserve">n </w:t>
      </w:r>
      <w:r w:rsidRPr="00277636">
        <w:rPr>
          <w:rFonts w:ascii="Times New Roman" w:eastAsia="Calibri" w:hAnsi="Times New Roman"/>
          <w:sz w:val="24"/>
          <w:szCs w:val="24"/>
        </w:rPr>
        <w:t>obyvate</w:t>
      </w:r>
      <w:r w:rsidRPr="00277636">
        <w:rPr>
          <w:rFonts w:ascii="Times New Roman" w:eastAsia="Calibri" w:hAnsi="Times New Roman" w:hint="eastAsia"/>
          <w:sz w:val="24"/>
          <w:szCs w:val="24"/>
        </w:rPr>
        <w:t>ľ</w:t>
      </w:r>
      <w:r w:rsidRPr="00277636">
        <w:rPr>
          <w:rFonts w:ascii="Times New Roman" w:eastAsia="Calibri" w:hAnsi="Times New Roman"/>
          <w:sz w:val="24"/>
          <w:szCs w:val="24"/>
        </w:rPr>
        <w:t>stva, ale najm</w:t>
      </w:r>
      <w:r w:rsidRPr="00277636">
        <w:rPr>
          <w:rFonts w:ascii="Times New Roman" w:eastAsia="Calibri" w:hAnsi="Times New Roman" w:hint="eastAsia"/>
          <w:sz w:val="24"/>
          <w:szCs w:val="24"/>
        </w:rPr>
        <w:t>ä</w:t>
      </w:r>
      <w:r w:rsidRPr="00277636">
        <w:rPr>
          <w:rFonts w:ascii="Times New Roman" w:eastAsia="Calibri" w:hAnsi="Times New Roman"/>
          <w:sz w:val="24"/>
          <w:szCs w:val="24"/>
        </w:rPr>
        <w:t xml:space="preserve"> det</w:t>
      </w:r>
      <w:r w:rsidRPr="00277636">
        <w:rPr>
          <w:rFonts w:ascii="Times New Roman" w:eastAsia="Calibri" w:hAnsi="Times New Roman" w:hint="eastAsia"/>
          <w:sz w:val="24"/>
          <w:szCs w:val="24"/>
        </w:rPr>
        <w:t>í</w:t>
      </w:r>
      <w:r w:rsidRPr="00277636">
        <w:rPr>
          <w:rFonts w:ascii="Times New Roman" w:eastAsia="Calibri" w:hAnsi="Times New Roman"/>
          <w:sz w:val="24"/>
          <w:szCs w:val="24"/>
        </w:rPr>
        <w:t xml:space="preserve"> a</w:t>
      </w:r>
      <w:r>
        <w:rPr>
          <w:rFonts w:ascii="Times New Roman" w:eastAsia="Calibri" w:hAnsi="Times New Roman"/>
          <w:sz w:val="24"/>
          <w:szCs w:val="24"/>
        </w:rPr>
        <w:t> </w:t>
      </w:r>
      <w:r w:rsidRPr="00277636">
        <w:rPr>
          <w:rFonts w:ascii="Times New Roman" w:eastAsia="Calibri" w:hAnsi="Times New Roman"/>
          <w:sz w:val="24"/>
          <w:szCs w:val="24"/>
        </w:rPr>
        <w:t>ml</w:t>
      </w:r>
      <w:r w:rsidRPr="00277636">
        <w:rPr>
          <w:rFonts w:ascii="Times New Roman" w:eastAsia="Calibri" w:hAnsi="Times New Roman" w:hint="eastAsia"/>
          <w:sz w:val="24"/>
          <w:szCs w:val="24"/>
        </w:rPr>
        <w:t>á</w:t>
      </w:r>
      <w:r w:rsidRPr="00277636">
        <w:rPr>
          <w:rFonts w:ascii="Times New Roman" w:eastAsia="Calibri" w:hAnsi="Times New Roman"/>
          <w:sz w:val="24"/>
          <w:szCs w:val="24"/>
        </w:rPr>
        <w:t>de</w:t>
      </w:r>
      <w:r w:rsidRPr="00277636">
        <w:rPr>
          <w:rFonts w:ascii="Times New Roman" w:eastAsia="Calibri" w:hAnsi="Times New Roman" w:hint="eastAsia"/>
          <w:sz w:val="24"/>
          <w:szCs w:val="24"/>
        </w:rPr>
        <w:t>ž</w:t>
      </w:r>
      <w:r>
        <w:rPr>
          <w:rFonts w:ascii="Times New Roman" w:eastAsia="Calibri" w:hAnsi="Times New Roman"/>
          <w:sz w:val="24"/>
          <w:szCs w:val="24"/>
        </w:rPr>
        <w:t xml:space="preserve">e </w:t>
      </w:r>
      <w:r w:rsidRPr="00277636">
        <w:rPr>
          <w:rFonts w:ascii="Times New Roman" w:eastAsia="Calibri" w:hAnsi="Times New Roman"/>
          <w:sz w:val="24"/>
          <w:szCs w:val="24"/>
        </w:rPr>
        <w:t>k lesu a lesn</w:t>
      </w:r>
      <w:r w:rsidRPr="00277636">
        <w:rPr>
          <w:rFonts w:ascii="Times New Roman" w:eastAsia="Calibri" w:hAnsi="Times New Roman" w:hint="eastAsia"/>
          <w:sz w:val="24"/>
          <w:szCs w:val="24"/>
        </w:rPr>
        <w:t>í</w:t>
      </w:r>
      <w:r w:rsidRPr="00277636">
        <w:rPr>
          <w:rFonts w:ascii="Times New Roman" w:eastAsia="Calibri" w:hAnsi="Times New Roman"/>
          <w:sz w:val="24"/>
          <w:szCs w:val="24"/>
        </w:rPr>
        <w:t>ctvu.</w:t>
      </w:r>
    </w:p>
    <w:p w:rsidR="00277636" w:rsidRDefault="00277636" w:rsidP="00277636">
      <w:pPr>
        <w:spacing w:after="0" w:line="240" w:lineRule="auto"/>
        <w:jc w:val="both"/>
        <w:rPr>
          <w:rFonts w:ascii="Times New Roman" w:eastAsia="Calibri" w:hAnsi="Times New Roman"/>
          <w:sz w:val="24"/>
          <w:szCs w:val="24"/>
        </w:rPr>
      </w:pPr>
    </w:p>
    <w:p w:rsidR="00277636" w:rsidRPr="00277636" w:rsidRDefault="00277636" w:rsidP="00277636">
      <w:pPr>
        <w:spacing w:after="0" w:line="240" w:lineRule="auto"/>
        <w:jc w:val="both"/>
        <w:rPr>
          <w:rFonts w:ascii="Times New Roman" w:eastAsia="Calibri" w:hAnsi="Times New Roman"/>
          <w:sz w:val="24"/>
          <w:szCs w:val="24"/>
        </w:rPr>
      </w:pPr>
      <w:r w:rsidRPr="00277636">
        <w:rPr>
          <w:rFonts w:ascii="Times New Roman" w:eastAsia="Calibri" w:hAnsi="Times New Roman"/>
          <w:sz w:val="24"/>
          <w:szCs w:val="24"/>
        </w:rPr>
        <w:t>Pozit</w:t>
      </w:r>
      <w:r w:rsidRPr="00277636">
        <w:rPr>
          <w:rFonts w:ascii="Times New Roman" w:eastAsia="Calibri" w:hAnsi="Times New Roman" w:hint="eastAsia"/>
          <w:sz w:val="24"/>
          <w:szCs w:val="24"/>
        </w:rPr>
        <w:t>í</w:t>
      </w:r>
      <w:r w:rsidRPr="00277636">
        <w:rPr>
          <w:rFonts w:ascii="Times New Roman" w:eastAsia="Calibri" w:hAnsi="Times New Roman"/>
          <w:sz w:val="24"/>
          <w:szCs w:val="24"/>
        </w:rPr>
        <w:t>vny vz</w:t>
      </w:r>
      <w:r w:rsidRPr="00277636">
        <w:rPr>
          <w:rFonts w:ascii="Times New Roman" w:eastAsia="Calibri" w:hAnsi="Times New Roman" w:hint="eastAsia"/>
          <w:sz w:val="24"/>
          <w:szCs w:val="24"/>
        </w:rPr>
        <w:t>ť</w:t>
      </w:r>
      <w:r w:rsidRPr="00277636">
        <w:rPr>
          <w:rFonts w:ascii="Times New Roman" w:eastAsia="Calibri" w:hAnsi="Times New Roman"/>
          <w:sz w:val="24"/>
          <w:szCs w:val="24"/>
        </w:rPr>
        <w:t>ah obyvate</w:t>
      </w:r>
      <w:r w:rsidRPr="00277636">
        <w:rPr>
          <w:rFonts w:ascii="Times New Roman" w:eastAsia="Calibri" w:hAnsi="Times New Roman" w:hint="eastAsia"/>
          <w:sz w:val="24"/>
          <w:szCs w:val="24"/>
        </w:rPr>
        <w:t>ľ</w:t>
      </w:r>
      <w:r w:rsidRPr="00277636">
        <w:rPr>
          <w:rFonts w:ascii="Times New Roman" w:eastAsia="Calibri" w:hAnsi="Times New Roman"/>
          <w:sz w:val="24"/>
          <w:szCs w:val="24"/>
        </w:rPr>
        <w:t>stva k lesu, lesn</w:t>
      </w:r>
      <w:r w:rsidRPr="00277636">
        <w:rPr>
          <w:rFonts w:ascii="Times New Roman" w:eastAsia="Calibri" w:hAnsi="Times New Roman" w:hint="eastAsia"/>
          <w:sz w:val="24"/>
          <w:szCs w:val="24"/>
        </w:rPr>
        <w:t>é</w:t>
      </w:r>
      <w:r w:rsidRPr="00277636">
        <w:rPr>
          <w:rFonts w:ascii="Times New Roman" w:eastAsia="Calibri" w:hAnsi="Times New Roman"/>
          <w:sz w:val="24"/>
          <w:szCs w:val="24"/>
        </w:rPr>
        <w:t>mu hospod</w:t>
      </w:r>
      <w:r w:rsidRPr="00277636">
        <w:rPr>
          <w:rFonts w:ascii="Times New Roman" w:eastAsia="Calibri" w:hAnsi="Times New Roman" w:hint="eastAsia"/>
          <w:sz w:val="24"/>
          <w:szCs w:val="24"/>
        </w:rPr>
        <w:t>á</w:t>
      </w:r>
      <w:r>
        <w:rPr>
          <w:rFonts w:ascii="Times New Roman" w:eastAsia="Calibri" w:hAnsi="Times New Roman"/>
          <w:sz w:val="24"/>
          <w:szCs w:val="24"/>
        </w:rPr>
        <w:t xml:space="preserve">rstvu </w:t>
      </w:r>
      <w:r w:rsidRPr="00277636">
        <w:rPr>
          <w:rFonts w:ascii="Times New Roman" w:eastAsia="Calibri" w:hAnsi="Times New Roman"/>
          <w:sz w:val="24"/>
          <w:szCs w:val="24"/>
        </w:rPr>
        <w:t>a lesn</w:t>
      </w:r>
      <w:r w:rsidRPr="00277636">
        <w:rPr>
          <w:rFonts w:ascii="Times New Roman" w:eastAsia="Calibri" w:hAnsi="Times New Roman" w:hint="eastAsia"/>
          <w:sz w:val="24"/>
          <w:szCs w:val="24"/>
        </w:rPr>
        <w:t>í</w:t>
      </w:r>
      <w:r w:rsidRPr="00277636">
        <w:rPr>
          <w:rFonts w:ascii="Times New Roman" w:eastAsia="Calibri" w:hAnsi="Times New Roman"/>
          <w:sz w:val="24"/>
          <w:szCs w:val="24"/>
        </w:rPr>
        <w:t>kom pom</w:t>
      </w:r>
      <w:r w:rsidRPr="00277636">
        <w:rPr>
          <w:rFonts w:ascii="Times New Roman" w:eastAsia="Calibri" w:hAnsi="Times New Roman" w:hint="eastAsia"/>
          <w:sz w:val="24"/>
          <w:szCs w:val="24"/>
        </w:rPr>
        <w:t>á</w:t>
      </w:r>
      <w:r w:rsidRPr="00277636">
        <w:rPr>
          <w:rFonts w:ascii="Times New Roman" w:eastAsia="Calibri" w:hAnsi="Times New Roman"/>
          <w:sz w:val="24"/>
          <w:szCs w:val="24"/>
        </w:rPr>
        <w:t>ha budova</w:t>
      </w:r>
      <w:r w:rsidRPr="00277636">
        <w:rPr>
          <w:rFonts w:ascii="Times New Roman" w:eastAsia="Calibri" w:hAnsi="Times New Roman" w:hint="eastAsia"/>
          <w:sz w:val="24"/>
          <w:szCs w:val="24"/>
        </w:rPr>
        <w:t>ť</w:t>
      </w:r>
      <w:r w:rsidRPr="00277636">
        <w:rPr>
          <w:rFonts w:ascii="Times New Roman" w:eastAsia="Calibri" w:hAnsi="Times New Roman"/>
          <w:sz w:val="24"/>
          <w:szCs w:val="24"/>
        </w:rPr>
        <w:t xml:space="preserve"> tie</w:t>
      </w:r>
      <w:r w:rsidRPr="00277636">
        <w:rPr>
          <w:rFonts w:ascii="Times New Roman" w:eastAsia="Calibri" w:hAnsi="Times New Roman" w:hint="eastAsia"/>
          <w:sz w:val="24"/>
          <w:szCs w:val="24"/>
        </w:rPr>
        <w:t>ž</w:t>
      </w:r>
      <w:r w:rsidRPr="00277636">
        <w:rPr>
          <w:rFonts w:ascii="Times New Roman" w:eastAsia="Calibri" w:hAnsi="Times New Roman"/>
          <w:sz w:val="24"/>
          <w:szCs w:val="24"/>
        </w:rPr>
        <w:t xml:space="preserve"> systematick</w:t>
      </w:r>
      <w:r w:rsidRPr="00277636">
        <w:rPr>
          <w:rFonts w:ascii="Times New Roman" w:eastAsia="Calibri" w:hAnsi="Times New Roman" w:hint="eastAsia"/>
          <w:sz w:val="24"/>
          <w:szCs w:val="24"/>
        </w:rPr>
        <w:t>á</w:t>
      </w:r>
      <w:r w:rsidRPr="00277636">
        <w:rPr>
          <w:rFonts w:ascii="Times New Roman" w:eastAsia="Calibri" w:hAnsi="Times New Roman"/>
          <w:sz w:val="24"/>
          <w:szCs w:val="24"/>
        </w:rPr>
        <w:t xml:space="preserve"> pr</w:t>
      </w:r>
      <w:r w:rsidRPr="00277636">
        <w:rPr>
          <w:rFonts w:ascii="Times New Roman" w:eastAsia="Calibri" w:hAnsi="Times New Roman" w:hint="eastAsia"/>
          <w:sz w:val="24"/>
          <w:szCs w:val="24"/>
        </w:rPr>
        <w:t>á</w:t>
      </w:r>
      <w:r w:rsidRPr="00277636">
        <w:rPr>
          <w:rFonts w:ascii="Times New Roman" w:eastAsia="Calibri" w:hAnsi="Times New Roman"/>
          <w:sz w:val="24"/>
          <w:szCs w:val="24"/>
        </w:rPr>
        <w:t>ca s</w:t>
      </w:r>
      <w:r>
        <w:rPr>
          <w:rFonts w:ascii="Times New Roman" w:eastAsia="Calibri" w:hAnsi="Times New Roman"/>
          <w:sz w:val="24"/>
          <w:szCs w:val="24"/>
        </w:rPr>
        <w:t> </w:t>
      </w:r>
      <w:r w:rsidRPr="00277636">
        <w:rPr>
          <w:rFonts w:ascii="Times New Roman" w:eastAsia="Calibri" w:hAnsi="Times New Roman"/>
          <w:sz w:val="24"/>
          <w:szCs w:val="24"/>
        </w:rPr>
        <w:t>verejnos</w:t>
      </w:r>
      <w:r w:rsidRPr="00277636">
        <w:rPr>
          <w:rFonts w:ascii="Times New Roman" w:eastAsia="Calibri" w:hAnsi="Times New Roman" w:hint="eastAsia"/>
          <w:sz w:val="24"/>
          <w:szCs w:val="24"/>
        </w:rPr>
        <w:t>ť</w:t>
      </w:r>
      <w:r>
        <w:rPr>
          <w:rFonts w:ascii="Times New Roman" w:eastAsia="Calibri" w:hAnsi="Times New Roman"/>
          <w:sz w:val="24"/>
          <w:szCs w:val="24"/>
        </w:rPr>
        <w:t xml:space="preserve">ou </w:t>
      </w:r>
      <w:r w:rsidRPr="00277636">
        <w:rPr>
          <w:rFonts w:ascii="Times New Roman" w:eastAsia="Calibri" w:hAnsi="Times New Roman"/>
          <w:sz w:val="24"/>
          <w:szCs w:val="24"/>
        </w:rPr>
        <w:t>prostredn</w:t>
      </w:r>
      <w:r w:rsidRPr="00277636">
        <w:rPr>
          <w:rFonts w:ascii="Times New Roman" w:eastAsia="Calibri" w:hAnsi="Times New Roman" w:hint="eastAsia"/>
          <w:sz w:val="24"/>
          <w:szCs w:val="24"/>
        </w:rPr>
        <w:t>í</w:t>
      </w:r>
      <w:r w:rsidRPr="00277636">
        <w:rPr>
          <w:rFonts w:ascii="Times New Roman" w:eastAsia="Calibri" w:hAnsi="Times New Roman"/>
          <w:sz w:val="24"/>
          <w:szCs w:val="24"/>
        </w:rPr>
        <w:t>ctvom m</w:t>
      </w:r>
      <w:r w:rsidRPr="00277636">
        <w:rPr>
          <w:rFonts w:ascii="Times New Roman" w:eastAsia="Calibri" w:hAnsi="Times New Roman" w:hint="eastAsia"/>
          <w:sz w:val="24"/>
          <w:szCs w:val="24"/>
        </w:rPr>
        <w:t>é</w:t>
      </w:r>
      <w:r w:rsidRPr="00277636">
        <w:rPr>
          <w:rFonts w:ascii="Times New Roman" w:eastAsia="Calibri" w:hAnsi="Times New Roman"/>
          <w:sz w:val="24"/>
          <w:szCs w:val="24"/>
        </w:rPr>
        <w:t>di</w:t>
      </w:r>
      <w:r w:rsidRPr="00277636">
        <w:rPr>
          <w:rFonts w:ascii="Times New Roman" w:eastAsia="Calibri" w:hAnsi="Times New Roman" w:hint="eastAsia"/>
          <w:sz w:val="24"/>
          <w:szCs w:val="24"/>
        </w:rPr>
        <w:t>í</w:t>
      </w:r>
      <w:r w:rsidRPr="00277636">
        <w:rPr>
          <w:rFonts w:ascii="Times New Roman" w:eastAsia="Calibri" w:hAnsi="Times New Roman"/>
          <w:sz w:val="24"/>
          <w:szCs w:val="24"/>
        </w:rPr>
        <w:t>, propaga</w:t>
      </w:r>
      <w:r w:rsidRPr="00277636">
        <w:rPr>
          <w:rFonts w:ascii="Times New Roman" w:eastAsia="Calibri" w:hAnsi="Times New Roman" w:hint="eastAsia"/>
          <w:sz w:val="24"/>
          <w:szCs w:val="24"/>
        </w:rPr>
        <w:t>č</w:t>
      </w:r>
      <w:r w:rsidRPr="00277636">
        <w:rPr>
          <w:rFonts w:ascii="Times New Roman" w:eastAsia="Calibri" w:hAnsi="Times New Roman"/>
          <w:sz w:val="24"/>
          <w:szCs w:val="24"/>
        </w:rPr>
        <w:t>no-n</w:t>
      </w:r>
      <w:r w:rsidRPr="00277636">
        <w:rPr>
          <w:rFonts w:ascii="Times New Roman" w:eastAsia="Calibri" w:hAnsi="Times New Roman" w:hint="eastAsia"/>
          <w:sz w:val="24"/>
          <w:szCs w:val="24"/>
        </w:rPr>
        <w:t>á</w:t>
      </w:r>
      <w:r w:rsidRPr="00277636">
        <w:rPr>
          <w:rFonts w:ascii="Times New Roman" w:eastAsia="Calibri" w:hAnsi="Times New Roman"/>
          <w:sz w:val="24"/>
          <w:szCs w:val="24"/>
        </w:rPr>
        <w:t>u</w:t>
      </w:r>
      <w:r w:rsidRPr="00277636">
        <w:rPr>
          <w:rFonts w:ascii="Times New Roman" w:eastAsia="Calibri" w:hAnsi="Times New Roman" w:hint="eastAsia"/>
          <w:sz w:val="24"/>
          <w:szCs w:val="24"/>
        </w:rPr>
        <w:t>č</w:t>
      </w:r>
      <w:r w:rsidRPr="00277636">
        <w:rPr>
          <w:rFonts w:ascii="Times New Roman" w:eastAsia="Calibri" w:hAnsi="Times New Roman"/>
          <w:sz w:val="24"/>
          <w:szCs w:val="24"/>
        </w:rPr>
        <w:t>n</w:t>
      </w:r>
      <w:r w:rsidRPr="00277636">
        <w:rPr>
          <w:rFonts w:ascii="Times New Roman" w:eastAsia="Calibri" w:hAnsi="Times New Roman" w:hint="eastAsia"/>
          <w:sz w:val="24"/>
          <w:szCs w:val="24"/>
        </w:rPr>
        <w:t>ý</w:t>
      </w:r>
      <w:r w:rsidRPr="00277636">
        <w:rPr>
          <w:rFonts w:ascii="Times New Roman" w:eastAsia="Calibri" w:hAnsi="Times New Roman"/>
          <w:sz w:val="24"/>
          <w:szCs w:val="24"/>
        </w:rPr>
        <w:t>ch materi</w:t>
      </w:r>
      <w:r w:rsidRPr="00277636">
        <w:rPr>
          <w:rFonts w:ascii="Times New Roman" w:eastAsia="Calibri" w:hAnsi="Times New Roman" w:hint="eastAsia"/>
          <w:sz w:val="24"/>
          <w:szCs w:val="24"/>
        </w:rPr>
        <w:t>á</w:t>
      </w:r>
      <w:r w:rsidRPr="00277636">
        <w:rPr>
          <w:rFonts w:ascii="Times New Roman" w:eastAsia="Calibri" w:hAnsi="Times New Roman"/>
          <w:sz w:val="24"/>
          <w:szCs w:val="24"/>
        </w:rPr>
        <w:t xml:space="preserve">lov </w:t>
      </w:r>
      <w:r w:rsidRPr="00277636">
        <w:rPr>
          <w:rFonts w:ascii="Times New Roman" w:eastAsia="Calibri" w:hAnsi="Times New Roman"/>
          <w:sz w:val="24"/>
          <w:szCs w:val="24"/>
        </w:rPr>
        <w:lastRenderedPageBreak/>
        <w:t>a</w:t>
      </w:r>
      <w:r>
        <w:rPr>
          <w:rFonts w:ascii="Times New Roman" w:eastAsia="Calibri" w:hAnsi="Times New Roman"/>
          <w:sz w:val="24"/>
          <w:szCs w:val="24"/>
        </w:rPr>
        <w:t> </w:t>
      </w:r>
      <w:r w:rsidRPr="00277636">
        <w:rPr>
          <w:rFonts w:ascii="Times New Roman" w:eastAsia="Calibri" w:hAnsi="Times New Roman"/>
          <w:sz w:val="24"/>
          <w:szCs w:val="24"/>
        </w:rPr>
        <w:t>r</w:t>
      </w:r>
      <w:r w:rsidRPr="00277636">
        <w:rPr>
          <w:rFonts w:ascii="Times New Roman" w:eastAsia="Calibri" w:hAnsi="Times New Roman" w:hint="eastAsia"/>
          <w:sz w:val="24"/>
          <w:szCs w:val="24"/>
        </w:rPr>
        <w:t>ô</w:t>
      </w:r>
      <w:r>
        <w:rPr>
          <w:rFonts w:ascii="Times New Roman" w:eastAsia="Calibri" w:hAnsi="Times New Roman"/>
          <w:sz w:val="24"/>
          <w:szCs w:val="24"/>
        </w:rPr>
        <w:t xml:space="preserve">znych </w:t>
      </w:r>
      <w:r w:rsidRPr="00277636">
        <w:rPr>
          <w:rFonts w:ascii="Times New Roman" w:eastAsia="Calibri" w:hAnsi="Times New Roman"/>
          <w:sz w:val="24"/>
          <w:szCs w:val="24"/>
        </w:rPr>
        <w:t>podujat</w:t>
      </w:r>
      <w:r w:rsidRPr="00277636">
        <w:rPr>
          <w:rFonts w:ascii="Times New Roman" w:eastAsia="Calibri" w:hAnsi="Times New Roman" w:hint="eastAsia"/>
          <w:sz w:val="24"/>
          <w:szCs w:val="24"/>
        </w:rPr>
        <w:t>í</w:t>
      </w:r>
      <w:r w:rsidRPr="00277636">
        <w:rPr>
          <w:rFonts w:ascii="Times New Roman" w:eastAsia="Calibri" w:hAnsi="Times New Roman"/>
          <w:sz w:val="24"/>
          <w:szCs w:val="24"/>
        </w:rPr>
        <w:t xml:space="preserve">. Svoju </w:t>
      </w:r>
      <w:r w:rsidRPr="00277636">
        <w:rPr>
          <w:rFonts w:ascii="Times New Roman" w:eastAsia="Calibri" w:hAnsi="Times New Roman" w:hint="eastAsia"/>
          <w:sz w:val="24"/>
          <w:szCs w:val="24"/>
        </w:rPr>
        <w:t>ú</w:t>
      </w:r>
      <w:r w:rsidRPr="00277636">
        <w:rPr>
          <w:rFonts w:ascii="Times New Roman" w:eastAsia="Calibri" w:hAnsi="Times New Roman"/>
          <w:sz w:val="24"/>
          <w:szCs w:val="24"/>
        </w:rPr>
        <w:t>lohu tu zohr</w:t>
      </w:r>
      <w:r w:rsidRPr="00277636">
        <w:rPr>
          <w:rFonts w:ascii="Times New Roman" w:eastAsia="Calibri" w:hAnsi="Times New Roman" w:hint="eastAsia"/>
          <w:sz w:val="24"/>
          <w:szCs w:val="24"/>
        </w:rPr>
        <w:t>á</w:t>
      </w:r>
      <w:r w:rsidRPr="00277636">
        <w:rPr>
          <w:rFonts w:ascii="Times New Roman" w:eastAsia="Calibri" w:hAnsi="Times New Roman"/>
          <w:sz w:val="24"/>
          <w:szCs w:val="24"/>
        </w:rPr>
        <w:t>vaj</w:t>
      </w:r>
      <w:r w:rsidRPr="00277636">
        <w:rPr>
          <w:rFonts w:ascii="Times New Roman" w:eastAsia="Calibri" w:hAnsi="Times New Roman" w:hint="eastAsia"/>
          <w:sz w:val="24"/>
          <w:szCs w:val="24"/>
        </w:rPr>
        <w:t>ú</w:t>
      </w:r>
      <w:r w:rsidRPr="00277636">
        <w:rPr>
          <w:rFonts w:ascii="Times New Roman" w:eastAsia="Calibri" w:hAnsi="Times New Roman"/>
          <w:sz w:val="24"/>
          <w:szCs w:val="24"/>
        </w:rPr>
        <w:t xml:space="preserve"> i niektor</w:t>
      </w:r>
      <w:r w:rsidRPr="00277636">
        <w:rPr>
          <w:rFonts w:ascii="Times New Roman" w:eastAsia="Calibri" w:hAnsi="Times New Roman" w:hint="eastAsia"/>
          <w:sz w:val="24"/>
          <w:szCs w:val="24"/>
        </w:rPr>
        <w:t>é</w:t>
      </w:r>
      <w:r w:rsidRPr="00277636">
        <w:rPr>
          <w:rFonts w:ascii="Times New Roman" w:eastAsia="Calibri" w:hAnsi="Times New Roman"/>
          <w:sz w:val="24"/>
          <w:szCs w:val="24"/>
        </w:rPr>
        <w:t xml:space="preserve"> mimovl</w:t>
      </w:r>
      <w:r w:rsidRPr="00277636">
        <w:rPr>
          <w:rFonts w:ascii="Times New Roman" w:eastAsia="Calibri" w:hAnsi="Times New Roman" w:hint="eastAsia"/>
          <w:sz w:val="24"/>
          <w:szCs w:val="24"/>
        </w:rPr>
        <w:t>á</w:t>
      </w:r>
      <w:r w:rsidRPr="00277636">
        <w:rPr>
          <w:rFonts w:ascii="Times New Roman" w:eastAsia="Calibri" w:hAnsi="Times New Roman"/>
          <w:sz w:val="24"/>
          <w:szCs w:val="24"/>
        </w:rPr>
        <w:t>dn</w:t>
      </w:r>
      <w:r>
        <w:rPr>
          <w:rFonts w:ascii="Times New Roman" w:eastAsia="Calibri" w:hAnsi="Times New Roman"/>
          <w:sz w:val="24"/>
          <w:szCs w:val="24"/>
        </w:rPr>
        <w:t xml:space="preserve">e </w:t>
      </w:r>
      <w:r w:rsidRPr="00277636">
        <w:rPr>
          <w:rFonts w:ascii="Times New Roman" w:eastAsia="Calibri" w:hAnsi="Times New Roman"/>
          <w:sz w:val="24"/>
          <w:szCs w:val="24"/>
        </w:rPr>
        <w:t>organiz</w:t>
      </w:r>
      <w:r w:rsidRPr="00277636">
        <w:rPr>
          <w:rFonts w:ascii="Times New Roman" w:eastAsia="Calibri" w:hAnsi="Times New Roman" w:hint="eastAsia"/>
          <w:sz w:val="24"/>
          <w:szCs w:val="24"/>
        </w:rPr>
        <w:t>á</w:t>
      </w:r>
      <w:r w:rsidRPr="00277636">
        <w:rPr>
          <w:rFonts w:ascii="Times New Roman" w:eastAsia="Calibri" w:hAnsi="Times New Roman"/>
          <w:sz w:val="24"/>
          <w:szCs w:val="24"/>
        </w:rPr>
        <w:t>cie a zdru</w:t>
      </w:r>
      <w:r w:rsidRPr="00277636">
        <w:rPr>
          <w:rFonts w:ascii="Times New Roman" w:eastAsia="Calibri" w:hAnsi="Times New Roman" w:hint="eastAsia"/>
          <w:sz w:val="24"/>
          <w:szCs w:val="24"/>
        </w:rPr>
        <w:t>ž</w:t>
      </w:r>
      <w:r w:rsidRPr="00277636">
        <w:rPr>
          <w:rFonts w:ascii="Times New Roman" w:eastAsia="Calibri" w:hAnsi="Times New Roman"/>
          <w:sz w:val="24"/>
          <w:szCs w:val="24"/>
        </w:rPr>
        <w:t>enia. Niektor</w:t>
      </w:r>
      <w:r w:rsidRPr="00277636">
        <w:rPr>
          <w:rFonts w:ascii="Times New Roman" w:eastAsia="Calibri" w:hAnsi="Times New Roman" w:hint="eastAsia"/>
          <w:sz w:val="24"/>
          <w:szCs w:val="24"/>
        </w:rPr>
        <w:t>é</w:t>
      </w:r>
      <w:r w:rsidRPr="00277636">
        <w:rPr>
          <w:rFonts w:ascii="Times New Roman" w:eastAsia="Calibri" w:hAnsi="Times New Roman"/>
          <w:sz w:val="24"/>
          <w:szCs w:val="24"/>
        </w:rPr>
        <w:t xml:space="preserve"> ovplyv</w:t>
      </w:r>
      <w:r w:rsidRPr="00277636">
        <w:rPr>
          <w:rFonts w:ascii="Times New Roman" w:eastAsia="Calibri" w:hAnsi="Times New Roman" w:hint="eastAsia"/>
          <w:sz w:val="24"/>
          <w:szCs w:val="24"/>
        </w:rPr>
        <w:t>ň</w:t>
      </w:r>
      <w:r w:rsidRPr="00277636">
        <w:rPr>
          <w:rFonts w:ascii="Times New Roman" w:eastAsia="Calibri" w:hAnsi="Times New Roman"/>
          <w:sz w:val="24"/>
          <w:szCs w:val="24"/>
        </w:rPr>
        <w:t>uj</w:t>
      </w:r>
      <w:r w:rsidRPr="00277636">
        <w:rPr>
          <w:rFonts w:ascii="Times New Roman" w:eastAsia="Calibri" w:hAnsi="Times New Roman" w:hint="eastAsia"/>
          <w:sz w:val="24"/>
          <w:szCs w:val="24"/>
        </w:rPr>
        <w:t>ú</w:t>
      </w:r>
      <w:r w:rsidRPr="00277636">
        <w:rPr>
          <w:rFonts w:ascii="Times New Roman" w:eastAsia="Calibri" w:hAnsi="Times New Roman"/>
          <w:sz w:val="24"/>
          <w:szCs w:val="24"/>
        </w:rPr>
        <w:t xml:space="preserve"> verejnos</w:t>
      </w:r>
      <w:r w:rsidRPr="00277636">
        <w:rPr>
          <w:rFonts w:ascii="Times New Roman" w:eastAsia="Calibri" w:hAnsi="Times New Roman" w:hint="eastAsia"/>
          <w:sz w:val="24"/>
          <w:szCs w:val="24"/>
        </w:rPr>
        <w:t>ť</w:t>
      </w:r>
      <w:r w:rsidRPr="00277636">
        <w:rPr>
          <w:rFonts w:ascii="Times New Roman" w:eastAsia="Calibri" w:hAnsi="Times New Roman"/>
          <w:sz w:val="24"/>
          <w:szCs w:val="24"/>
        </w:rPr>
        <w:t xml:space="preserve"> ve</w:t>
      </w:r>
      <w:r w:rsidRPr="00277636">
        <w:rPr>
          <w:rFonts w:ascii="Times New Roman" w:eastAsia="Calibri" w:hAnsi="Times New Roman" w:hint="eastAsia"/>
          <w:sz w:val="24"/>
          <w:szCs w:val="24"/>
        </w:rPr>
        <w:t>ľ</w:t>
      </w:r>
      <w:r w:rsidRPr="00277636">
        <w:rPr>
          <w:rFonts w:ascii="Times New Roman" w:eastAsia="Calibri" w:hAnsi="Times New Roman"/>
          <w:sz w:val="24"/>
          <w:szCs w:val="24"/>
        </w:rPr>
        <w:t>mi pozit</w:t>
      </w:r>
      <w:r w:rsidRPr="00277636">
        <w:rPr>
          <w:rFonts w:ascii="Times New Roman" w:eastAsia="Calibri" w:hAnsi="Times New Roman" w:hint="eastAsia"/>
          <w:sz w:val="24"/>
          <w:szCs w:val="24"/>
        </w:rPr>
        <w:t>í</w:t>
      </w:r>
      <w:r>
        <w:rPr>
          <w:rFonts w:ascii="Times New Roman" w:eastAsia="Calibri" w:hAnsi="Times New Roman"/>
          <w:sz w:val="24"/>
          <w:szCs w:val="24"/>
        </w:rPr>
        <w:t xml:space="preserve">vne, </w:t>
      </w:r>
      <w:r w:rsidRPr="00277636">
        <w:rPr>
          <w:rFonts w:ascii="Times New Roman" w:eastAsia="Calibri" w:hAnsi="Times New Roman"/>
          <w:sz w:val="24"/>
          <w:szCs w:val="24"/>
        </w:rPr>
        <w:t>vr</w:t>
      </w:r>
      <w:r w:rsidRPr="00277636">
        <w:rPr>
          <w:rFonts w:ascii="Times New Roman" w:eastAsia="Calibri" w:hAnsi="Times New Roman" w:hint="eastAsia"/>
          <w:sz w:val="24"/>
          <w:szCs w:val="24"/>
        </w:rPr>
        <w:t>á</w:t>
      </w:r>
      <w:r w:rsidRPr="00277636">
        <w:rPr>
          <w:rFonts w:ascii="Times New Roman" w:eastAsia="Calibri" w:hAnsi="Times New Roman"/>
          <w:sz w:val="24"/>
          <w:szCs w:val="24"/>
        </w:rPr>
        <w:t>tane pr</w:t>
      </w:r>
      <w:r w:rsidRPr="00277636">
        <w:rPr>
          <w:rFonts w:ascii="Times New Roman" w:eastAsia="Calibri" w:hAnsi="Times New Roman" w:hint="eastAsia"/>
          <w:sz w:val="24"/>
          <w:szCs w:val="24"/>
        </w:rPr>
        <w:t>á</w:t>
      </w:r>
      <w:r w:rsidRPr="00277636">
        <w:rPr>
          <w:rFonts w:ascii="Times New Roman" w:eastAsia="Calibri" w:hAnsi="Times New Roman"/>
          <w:sz w:val="24"/>
          <w:szCs w:val="24"/>
        </w:rPr>
        <w:t>ce s ml</w:t>
      </w:r>
      <w:r w:rsidRPr="00277636">
        <w:rPr>
          <w:rFonts w:ascii="Times New Roman" w:eastAsia="Calibri" w:hAnsi="Times New Roman" w:hint="eastAsia"/>
          <w:sz w:val="24"/>
          <w:szCs w:val="24"/>
        </w:rPr>
        <w:t>á</w:t>
      </w:r>
      <w:r w:rsidRPr="00277636">
        <w:rPr>
          <w:rFonts w:ascii="Times New Roman" w:eastAsia="Calibri" w:hAnsi="Times New Roman"/>
          <w:sz w:val="24"/>
          <w:szCs w:val="24"/>
        </w:rPr>
        <w:t>de</w:t>
      </w:r>
      <w:r w:rsidRPr="00277636">
        <w:rPr>
          <w:rFonts w:ascii="Times New Roman" w:eastAsia="Calibri" w:hAnsi="Times New Roman" w:hint="eastAsia"/>
          <w:sz w:val="24"/>
          <w:szCs w:val="24"/>
        </w:rPr>
        <w:t>ž</w:t>
      </w:r>
      <w:r w:rsidRPr="00277636">
        <w:rPr>
          <w:rFonts w:ascii="Times New Roman" w:eastAsia="Calibri" w:hAnsi="Times New Roman"/>
          <w:sz w:val="24"/>
          <w:szCs w:val="24"/>
        </w:rPr>
        <w:t>ou, in</w:t>
      </w:r>
      <w:r w:rsidRPr="00277636">
        <w:rPr>
          <w:rFonts w:ascii="Times New Roman" w:eastAsia="Calibri" w:hAnsi="Times New Roman" w:hint="eastAsia"/>
          <w:sz w:val="24"/>
          <w:szCs w:val="24"/>
        </w:rPr>
        <w:t>é</w:t>
      </w:r>
      <w:r w:rsidRPr="00277636">
        <w:rPr>
          <w:rFonts w:ascii="Times New Roman" w:eastAsia="Calibri" w:hAnsi="Times New Roman"/>
          <w:sz w:val="24"/>
          <w:szCs w:val="24"/>
        </w:rPr>
        <w:t>, ktor</w:t>
      </w:r>
      <w:r w:rsidRPr="00277636">
        <w:rPr>
          <w:rFonts w:ascii="Times New Roman" w:eastAsia="Calibri" w:hAnsi="Times New Roman" w:hint="eastAsia"/>
          <w:sz w:val="24"/>
          <w:szCs w:val="24"/>
        </w:rPr>
        <w:t>é</w:t>
      </w:r>
      <w:r w:rsidR="002A7940">
        <w:rPr>
          <w:rFonts w:ascii="Times New Roman" w:eastAsia="Calibri" w:hAnsi="Times New Roman"/>
          <w:sz w:val="24"/>
          <w:szCs w:val="24"/>
        </w:rPr>
        <w:t xml:space="preserve"> </w:t>
      </w:r>
      <w:r w:rsidRPr="00277636">
        <w:rPr>
          <w:rFonts w:ascii="Times New Roman" w:eastAsia="Calibri" w:hAnsi="Times New Roman" w:hint="eastAsia"/>
          <w:sz w:val="24"/>
          <w:szCs w:val="24"/>
        </w:rPr>
        <w:t>č</w:t>
      </w:r>
      <w:r w:rsidRPr="00277636">
        <w:rPr>
          <w:rFonts w:ascii="Times New Roman" w:eastAsia="Calibri" w:hAnsi="Times New Roman"/>
          <w:sz w:val="24"/>
          <w:szCs w:val="24"/>
        </w:rPr>
        <w:t>asto z</w:t>
      </w:r>
      <w:r w:rsidRPr="00277636">
        <w:rPr>
          <w:rFonts w:ascii="Times New Roman" w:eastAsia="Calibri" w:hAnsi="Times New Roman" w:hint="eastAsia"/>
          <w:sz w:val="24"/>
          <w:szCs w:val="24"/>
        </w:rPr>
        <w:t>í</w:t>
      </w:r>
      <w:r w:rsidRPr="00277636">
        <w:rPr>
          <w:rFonts w:ascii="Times New Roman" w:eastAsia="Calibri" w:hAnsi="Times New Roman"/>
          <w:sz w:val="24"/>
          <w:szCs w:val="24"/>
        </w:rPr>
        <w:t>skavaj</w:t>
      </w:r>
      <w:r w:rsidRPr="00277636">
        <w:rPr>
          <w:rFonts w:ascii="Times New Roman" w:eastAsia="Calibri" w:hAnsi="Times New Roman" w:hint="eastAsia"/>
          <w:sz w:val="24"/>
          <w:szCs w:val="24"/>
        </w:rPr>
        <w:t>ú</w:t>
      </w:r>
      <w:r>
        <w:rPr>
          <w:rFonts w:ascii="Times New Roman" w:eastAsia="Calibri" w:hAnsi="Times New Roman"/>
          <w:sz w:val="24"/>
          <w:szCs w:val="24"/>
        </w:rPr>
        <w:t xml:space="preserve"> celkom </w:t>
      </w:r>
      <w:r w:rsidRPr="00277636">
        <w:rPr>
          <w:rFonts w:ascii="Times New Roman" w:eastAsia="Calibri" w:hAnsi="Times New Roman" w:hint="eastAsia"/>
          <w:sz w:val="24"/>
          <w:szCs w:val="24"/>
        </w:rPr>
        <w:t>ľ</w:t>
      </w:r>
      <w:r w:rsidRPr="00277636">
        <w:rPr>
          <w:rFonts w:ascii="Times New Roman" w:eastAsia="Calibri" w:hAnsi="Times New Roman"/>
          <w:sz w:val="24"/>
          <w:szCs w:val="24"/>
        </w:rPr>
        <w:t>ahk</w:t>
      </w:r>
      <w:r w:rsidRPr="00277636">
        <w:rPr>
          <w:rFonts w:ascii="Times New Roman" w:eastAsia="Calibri" w:hAnsi="Times New Roman" w:hint="eastAsia"/>
          <w:sz w:val="24"/>
          <w:szCs w:val="24"/>
        </w:rPr>
        <w:t>ý</w:t>
      </w:r>
      <w:r w:rsidRPr="00277636">
        <w:rPr>
          <w:rFonts w:ascii="Times New Roman" w:eastAsia="Calibri" w:hAnsi="Times New Roman"/>
          <w:sz w:val="24"/>
          <w:szCs w:val="24"/>
        </w:rPr>
        <w:t xml:space="preserve"> pr</w:t>
      </w:r>
      <w:r w:rsidRPr="00277636">
        <w:rPr>
          <w:rFonts w:ascii="Times New Roman" w:eastAsia="Calibri" w:hAnsi="Times New Roman" w:hint="eastAsia"/>
          <w:sz w:val="24"/>
          <w:szCs w:val="24"/>
        </w:rPr>
        <w:t>í</w:t>
      </w:r>
      <w:r w:rsidRPr="00277636">
        <w:rPr>
          <w:rFonts w:ascii="Times New Roman" w:eastAsia="Calibri" w:hAnsi="Times New Roman"/>
          <w:sz w:val="24"/>
          <w:szCs w:val="24"/>
        </w:rPr>
        <w:t>stup k informa</w:t>
      </w:r>
      <w:r w:rsidRPr="00277636">
        <w:rPr>
          <w:rFonts w:ascii="Times New Roman" w:eastAsia="Calibri" w:hAnsi="Times New Roman" w:hint="eastAsia"/>
          <w:sz w:val="24"/>
          <w:szCs w:val="24"/>
        </w:rPr>
        <w:t>č</w:t>
      </w:r>
      <w:r w:rsidRPr="00277636">
        <w:rPr>
          <w:rFonts w:ascii="Times New Roman" w:eastAsia="Calibri" w:hAnsi="Times New Roman"/>
          <w:sz w:val="24"/>
          <w:szCs w:val="24"/>
        </w:rPr>
        <w:t>n</w:t>
      </w:r>
      <w:r w:rsidRPr="00277636">
        <w:rPr>
          <w:rFonts w:ascii="Times New Roman" w:eastAsia="Calibri" w:hAnsi="Times New Roman" w:hint="eastAsia"/>
          <w:sz w:val="24"/>
          <w:szCs w:val="24"/>
        </w:rPr>
        <w:t>ý</w:t>
      </w:r>
      <w:r w:rsidRPr="00277636">
        <w:rPr>
          <w:rFonts w:ascii="Times New Roman" w:eastAsia="Calibri" w:hAnsi="Times New Roman"/>
          <w:sz w:val="24"/>
          <w:szCs w:val="24"/>
        </w:rPr>
        <w:t>m prostriedkom, skres</w:t>
      </w:r>
      <w:r w:rsidRPr="00277636">
        <w:rPr>
          <w:rFonts w:ascii="Times New Roman" w:eastAsia="Calibri" w:hAnsi="Times New Roman" w:hint="eastAsia"/>
          <w:sz w:val="24"/>
          <w:szCs w:val="24"/>
        </w:rPr>
        <w:t>ľ</w:t>
      </w:r>
      <w:r w:rsidRPr="00277636">
        <w:rPr>
          <w:rFonts w:ascii="Times New Roman" w:eastAsia="Calibri" w:hAnsi="Times New Roman"/>
          <w:sz w:val="24"/>
          <w:szCs w:val="24"/>
        </w:rPr>
        <w:t>ovan</w:t>
      </w:r>
      <w:r w:rsidRPr="00277636">
        <w:rPr>
          <w:rFonts w:ascii="Times New Roman" w:eastAsia="Calibri" w:hAnsi="Times New Roman" w:hint="eastAsia"/>
          <w:sz w:val="24"/>
          <w:szCs w:val="24"/>
        </w:rPr>
        <w:t>í</w:t>
      </w:r>
      <w:r w:rsidRPr="00277636">
        <w:rPr>
          <w:rFonts w:ascii="Times New Roman" w:eastAsia="Calibri" w:hAnsi="Times New Roman"/>
          <w:sz w:val="24"/>
          <w:szCs w:val="24"/>
        </w:rPr>
        <w:t xml:space="preserve">m, </w:t>
      </w:r>
      <w:r w:rsidRPr="00277636">
        <w:rPr>
          <w:rFonts w:ascii="Times New Roman" w:eastAsia="Calibri" w:hAnsi="Times New Roman" w:hint="eastAsia"/>
          <w:sz w:val="24"/>
          <w:szCs w:val="24"/>
        </w:rPr>
        <w:t>č</w:t>
      </w:r>
      <w:r w:rsidRPr="00277636">
        <w:rPr>
          <w:rFonts w:ascii="Times New Roman" w:eastAsia="Calibri" w:hAnsi="Times New Roman"/>
          <w:sz w:val="24"/>
          <w:szCs w:val="24"/>
        </w:rPr>
        <w:t>i</w:t>
      </w:r>
      <w:r w:rsidR="002A7940">
        <w:rPr>
          <w:rFonts w:ascii="Times New Roman" w:eastAsia="Calibri" w:hAnsi="Times New Roman"/>
          <w:sz w:val="24"/>
          <w:szCs w:val="24"/>
        </w:rPr>
        <w:t xml:space="preserve"> </w:t>
      </w:r>
      <w:r w:rsidRPr="00277636">
        <w:rPr>
          <w:rFonts w:ascii="Times New Roman" w:eastAsia="Calibri" w:hAnsi="Times New Roman"/>
          <w:sz w:val="24"/>
          <w:szCs w:val="24"/>
        </w:rPr>
        <w:t>zaml</w:t>
      </w:r>
      <w:r w:rsidRPr="00277636">
        <w:rPr>
          <w:rFonts w:ascii="Times New Roman" w:eastAsia="Calibri" w:hAnsi="Times New Roman" w:hint="eastAsia"/>
          <w:sz w:val="24"/>
          <w:szCs w:val="24"/>
        </w:rPr>
        <w:t>č</w:t>
      </w:r>
      <w:r w:rsidRPr="00277636">
        <w:rPr>
          <w:rFonts w:ascii="Times New Roman" w:eastAsia="Calibri" w:hAnsi="Times New Roman"/>
          <w:sz w:val="24"/>
          <w:szCs w:val="24"/>
        </w:rPr>
        <w:t>ovan</w:t>
      </w:r>
      <w:r w:rsidRPr="00277636">
        <w:rPr>
          <w:rFonts w:ascii="Times New Roman" w:eastAsia="Calibri" w:hAnsi="Times New Roman" w:hint="eastAsia"/>
          <w:sz w:val="24"/>
          <w:szCs w:val="24"/>
        </w:rPr>
        <w:t>í</w:t>
      </w:r>
      <w:r w:rsidRPr="00277636">
        <w:rPr>
          <w:rFonts w:ascii="Times New Roman" w:eastAsia="Calibri" w:hAnsi="Times New Roman"/>
          <w:sz w:val="24"/>
          <w:szCs w:val="24"/>
        </w:rPr>
        <w:t>m niektor</w:t>
      </w:r>
      <w:r w:rsidRPr="00277636">
        <w:rPr>
          <w:rFonts w:ascii="Times New Roman" w:eastAsia="Calibri" w:hAnsi="Times New Roman" w:hint="eastAsia"/>
          <w:sz w:val="24"/>
          <w:szCs w:val="24"/>
        </w:rPr>
        <w:t>ý</w:t>
      </w:r>
      <w:r w:rsidRPr="00277636">
        <w:rPr>
          <w:rFonts w:ascii="Times New Roman" w:eastAsia="Calibri" w:hAnsi="Times New Roman"/>
          <w:sz w:val="24"/>
          <w:szCs w:val="24"/>
        </w:rPr>
        <w:t>ch objekt</w:t>
      </w:r>
      <w:r w:rsidRPr="00277636">
        <w:rPr>
          <w:rFonts w:ascii="Times New Roman" w:eastAsia="Calibri" w:hAnsi="Times New Roman" w:hint="eastAsia"/>
          <w:sz w:val="24"/>
          <w:szCs w:val="24"/>
        </w:rPr>
        <w:t>í</w:t>
      </w:r>
      <w:r w:rsidRPr="00277636">
        <w:rPr>
          <w:rFonts w:ascii="Times New Roman" w:eastAsia="Calibri" w:hAnsi="Times New Roman"/>
          <w:sz w:val="24"/>
          <w:szCs w:val="24"/>
        </w:rPr>
        <w:t>vnych skuto</w:t>
      </w:r>
      <w:r w:rsidRPr="00277636">
        <w:rPr>
          <w:rFonts w:ascii="Times New Roman" w:eastAsia="Calibri" w:hAnsi="Times New Roman" w:hint="eastAsia"/>
          <w:sz w:val="24"/>
          <w:szCs w:val="24"/>
        </w:rPr>
        <w:t>č</w:t>
      </w:r>
      <w:r w:rsidRPr="00277636">
        <w:rPr>
          <w:rFonts w:ascii="Times New Roman" w:eastAsia="Calibri" w:hAnsi="Times New Roman"/>
          <w:sz w:val="24"/>
          <w:szCs w:val="24"/>
        </w:rPr>
        <w:t>nost</w:t>
      </w:r>
      <w:r w:rsidRPr="00277636">
        <w:rPr>
          <w:rFonts w:ascii="Times New Roman" w:eastAsia="Calibri" w:hAnsi="Times New Roman" w:hint="eastAsia"/>
          <w:sz w:val="24"/>
          <w:szCs w:val="24"/>
        </w:rPr>
        <w:t>í</w:t>
      </w:r>
      <w:r w:rsidRPr="00277636">
        <w:rPr>
          <w:rFonts w:ascii="Times New Roman" w:eastAsia="Calibri" w:hAnsi="Times New Roman"/>
          <w:sz w:val="24"/>
          <w:szCs w:val="24"/>
        </w:rPr>
        <w:t xml:space="preserve"> vytv</w:t>
      </w:r>
      <w:r w:rsidRPr="00277636">
        <w:rPr>
          <w:rFonts w:ascii="Times New Roman" w:eastAsia="Calibri" w:hAnsi="Times New Roman" w:hint="eastAsia"/>
          <w:sz w:val="24"/>
          <w:szCs w:val="24"/>
        </w:rPr>
        <w:t>á</w:t>
      </w:r>
      <w:r w:rsidRPr="00277636">
        <w:rPr>
          <w:rFonts w:ascii="Times New Roman" w:eastAsia="Calibri" w:hAnsi="Times New Roman"/>
          <w:sz w:val="24"/>
          <w:szCs w:val="24"/>
        </w:rPr>
        <w:t>raj</w:t>
      </w:r>
      <w:r w:rsidRPr="00277636">
        <w:rPr>
          <w:rFonts w:ascii="Times New Roman" w:eastAsia="Calibri" w:hAnsi="Times New Roman" w:hint="eastAsia"/>
          <w:sz w:val="24"/>
          <w:szCs w:val="24"/>
        </w:rPr>
        <w:t>ú</w:t>
      </w:r>
      <w:r w:rsidRPr="00277636">
        <w:rPr>
          <w:rFonts w:ascii="Times New Roman" w:eastAsia="Calibri" w:hAnsi="Times New Roman"/>
          <w:sz w:val="24"/>
          <w:szCs w:val="24"/>
        </w:rPr>
        <w:t xml:space="preserve"> nepravdiv</w:t>
      </w:r>
      <w:r w:rsidRPr="00277636">
        <w:rPr>
          <w:rFonts w:ascii="Times New Roman" w:eastAsia="Calibri" w:hAnsi="Times New Roman" w:hint="eastAsia"/>
          <w:sz w:val="24"/>
          <w:szCs w:val="24"/>
        </w:rPr>
        <w:t>ý</w:t>
      </w:r>
      <w:r w:rsidR="002A7940">
        <w:rPr>
          <w:rFonts w:ascii="Times New Roman" w:eastAsia="Calibri" w:hAnsi="Times New Roman"/>
          <w:sz w:val="24"/>
          <w:szCs w:val="24"/>
        </w:rPr>
        <w:t xml:space="preserve"> </w:t>
      </w:r>
      <w:r w:rsidRPr="00277636">
        <w:rPr>
          <w:rFonts w:ascii="Times New Roman" w:eastAsia="Calibri" w:hAnsi="Times New Roman"/>
          <w:sz w:val="24"/>
          <w:szCs w:val="24"/>
        </w:rPr>
        <w:t>obraz o lesn</w:t>
      </w:r>
      <w:r w:rsidRPr="00277636">
        <w:rPr>
          <w:rFonts w:ascii="Times New Roman" w:eastAsia="Calibri" w:hAnsi="Times New Roman" w:hint="eastAsia"/>
          <w:sz w:val="24"/>
          <w:szCs w:val="24"/>
        </w:rPr>
        <w:t>í</w:t>
      </w:r>
      <w:r w:rsidRPr="00277636">
        <w:rPr>
          <w:rFonts w:ascii="Times New Roman" w:eastAsia="Calibri" w:hAnsi="Times New Roman"/>
          <w:sz w:val="24"/>
          <w:szCs w:val="24"/>
        </w:rPr>
        <w:t>ctve a lesnom prostred</w:t>
      </w:r>
      <w:r w:rsidRPr="00277636">
        <w:rPr>
          <w:rFonts w:ascii="Times New Roman" w:eastAsia="Calibri" w:hAnsi="Times New Roman" w:hint="eastAsia"/>
          <w:sz w:val="24"/>
          <w:szCs w:val="24"/>
        </w:rPr>
        <w:t>í</w:t>
      </w:r>
      <w:r w:rsidRPr="00277636">
        <w:rPr>
          <w:rFonts w:ascii="Times New Roman" w:eastAsia="Calibri" w:hAnsi="Times New Roman"/>
          <w:sz w:val="24"/>
          <w:szCs w:val="24"/>
        </w:rPr>
        <w:t>. D</w:t>
      </w:r>
      <w:r w:rsidRPr="00277636">
        <w:rPr>
          <w:rFonts w:ascii="Times New Roman" w:eastAsia="Calibri" w:hAnsi="Times New Roman" w:hint="eastAsia"/>
          <w:sz w:val="24"/>
          <w:szCs w:val="24"/>
        </w:rPr>
        <w:t>ô</w:t>
      </w:r>
      <w:r w:rsidRPr="00277636">
        <w:rPr>
          <w:rFonts w:ascii="Times New Roman" w:eastAsia="Calibri" w:hAnsi="Times New Roman"/>
          <w:sz w:val="24"/>
          <w:szCs w:val="24"/>
        </w:rPr>
        <w:t>le</w:t>
      </w:r>
      <w:r w:rsidRPr="00277636">
        <w:rPr>
          <w:rFonts w:ascii="Times New Roman" w:eastAsia="Calibri" w:hAnsi="Times New Roman" w:hint="eastAsia"/>
          <w:sz w:val="24"/>
          <w:szCs w:val="24"/>
        </w:rPr>
        <w:t>ž</w:t>
      </w:r>
      <w:r w:rsidRPr="00277636">
        <w:rPr>
          <w:rFonts w:ascii="Times New Roman" w:eastAsia="Calibri" w:hAnsi="Times New Roman"/>
          <w:sz w:val="24"/>
          <w:szCs w:val="24"/>
        </w:rPr>
        <w:t>it</w:t>
      </w:r>
      <w:r w:rsidRPr="00277636">
        <w:rPr>
          <w:rFonts w:ascii="Times New Roman" w:eastAsia="Calibri" w:hAnsi="Times New Roman" w:hint="eastAsia"/>
          <w:sz w:val="24"/>
          <w:szCs w:val="24"/>
        </w:rPr>
        <w:t>á</w:t>
      </w:r>
      <w:r w:rsidRPr="00277636">
        <w:rPr>
          <w:rFonts w:ascii="Times New Roman" w:eastAsia="Calibri" w:hAnsi="Times New Roman"/>
          <w:sz w:val="24"/>
          <w:szCs w:val="24"/>
        </w:rPr>
        <w:t xml:space="preserve"> je i skuto</w:t>
      </w:r>
      <w:r w:rsidRPr="00277636">
        <w:rPr>
          <w:rFonts w:ascii="Times New Roman" w:eastAsia="Calibri" w:hAnsi="Times New Roman" w:hint="eastAsia"/>
          <w:sz w:val="24"/>
          <w:szCs w:val="24"/>
        </w:rPr>
        <w:t>č</w:t>
      </w:r>
      <w:r w:rsidRPr="00277636">
        <w:rPr>
          <w:rFonts w:ascii="Times New Roman" w:eastAsia="Calibri" w:hAnsi="Times New Roman"/>
          <w:sz w:val="24"/>
          <w:szCs w:val="24"/>
        </w:rPr>
        <w:t>nos</w:t>
      </w:r>
      <w:r w:rsidRPr="00277636">
        <w:rPr>
          <w:rFonts w:ascii="Times New Roman" w:eastAsia="Calibri" w:hAnsi="Times New Roman" w:hint="eastAsia"/>
          <w:sz w:val="24"/>
          <w:szCs w:val="24"/>
        </w:rPr>
        <w:t>ť</w:t>
      </w:r>
      <w:r>
        <w:rPr>
          <w:rFonts w:ascii="Times New Roman" w:eastAsia="Calibri" w:hAnsi="Times New Roman"/>
          <w:sz w:val="24"/>
          <w:szCs w:val="24"/>
        </w:rPr>
        <w:t xml:space="preserve">, </w:t>
      </w:r>
      <w:r w:rsidRPr="00277636">
        <w:rPr>
          <w:rFonts w:ascii="Times New Roman" w:eastAsia="Calibri" w:hAnsi="Times New Roman" w:hint="eastAsia"/>
          <w:sz w:val="24"/>
          <w:szCs w:val="24"/>
        </w:rPr>
        <w:t>ž</w:t>
      </w:r>
      <w:r w:rsidRPr="00277636">
        <w:rPr>
          <w:rFonts w:ascii="Times New Roman" w:eastAsia="Calibri" w:hAnsi="Times New Roman"/>
          <w:sz w:val="24"/>
          <w:szCs w:val="24"/>
        </w:rPr>
        <w:t>e pre v</w:t>
      </w:r>
      <w:r w:rsidRPr="00277636">
        <w:rPr>
          <w:rFonts w:ascii="Times New Roman" w:eastAsia="Calibri" w:hAnsi="Times New Roman" w:hint="eastAsia"/>
          <w:sz w:val="24"/>
          <w:szCs w:val="24"/>
        </w:rPr>
        <w:t>äčš</w:t>
      </w:r>
      <w:r w:rsidRPr="00277636">
        <w:rPr>
          <w:rFonts w:ascii="Times New Roman" w:eastAsia="Calibri" w:hAnsi="Times New Roman"/>
          <w:sz w:val="24"/>
          <w:szCs w:val="24"/>
        </w:rPr>
        <w:t>inu spolo</w:t>
      </w:r>
      <w:r w:rsidRPr="00277636">
        <w:rPr>
          <w:rFonts w:ascii="Times New Roman" w:eastAsia="Calibri" w:hAnsi="Times New Roman" w:hint="eastAsia"/>
          <w:sz w:val="24"/>
          <w:szCs w:val="24"/>
        </w:rPr>
        <w:t>č</w:t>
      </w:r>
      <w:r w:rsidRPr="00277636">
        <w:rPr>
          <w:rFonts w:ascii="Times New Roman" w:eastAsia="Calibri" w:hAnsi="Times New Roman"/>
          <w:sz w:val="24"/>
          <w:szCs w:val="24"/>
        </w:rPr>
        <w:t>nosti je les iba miestom pre relax</w:t>
      </w:r>
      <w:r w:rsidRPr="00277636">
        <w:rPr>
          <w:rFonts w:ascii="Times New Roman" w:eastAsia="Calibri" w:hAnsi="Times New Roman" w:hint="eastAsia"/>
          <w:sz w:val="24"/>
          <w:szCs w:val="24"/>
        </w:rPr>
        <w:t>á</w:t>
      </w:r>
      <w:r>
        <w:rPr>
          <w:rFonts w:ascii="Times New Roman" w:eastAsia="Calibri" w:hAnsi="Times New Roman"/>
          <w:sz w:val="24"/>
          <w:szCs w:val="24"/>
        </w:rPr>
        <w:t xml:space="preserve">ciu </w:t>
      </w:r>
      <w:r w:rsidRPr="00277636">
        <w:rPr>
          <w:rFonts w:ascii="Times New Roman" w:eastAsia="Calibri" w:hAnsi="Times New Roman"/>
          <w:sz w:val="24"/>
          <w:szCs w:val="24"/>
        </w:rPr>
        <w:t>a iba pre mal</w:t>
      </w:r>
      <w:r w:rsidRPr="00277636">
        <w:rPr>
          <w:rFonts w:ascii="Times New Roman" w:eastAsia="Calibri" w:hAnsi="Times New Roman" w:hint="eastAsia"/>
          <w:sz w:val="24"/>
          <w:szCs w:val="24"/>
        </w:rPr>
        <w:t>ú</w:t>
      </w:r>
      <w:r w:rsidR="002A7940">
        <w:rPr>
          <w:rFonts w:ascii="Times New Roman" w:eastAsia="Calibri" w:hAnsi="Times New Roman"/>
          <w:sz w:val="24"/>
          <w:szCs w:val="24"/>
        </w:rPr>
        <w:t xml:space="preserve"> </w:t>
      </w:r>
      <w:r w:rsidRPr="00277636">
        <w:rPr>
          <w:rFonts w:ascii="Times New Roman" w:eastAsia="Calibri" w:hAnsi="Times New Roman" w:hint="eastAsia"/>
          <w:sz w:val="24"/>
          <w:szCs w:val="24"/>
        </w:rPr>
        <w:t>č</w:t>
      </w:r>
      <w:r w:rsidRPr="00277636">
        <w:rPr>
          <w:rFonts w:ascii="Times New Roman" w:eastAsia="Calibri" w:hAnsi="Times New Roman"/>
          <w:sz w:val="24"/>
          <w:szCs w:val="24"/>
        </w:rPr>
        <w:t>as</w:t>
      </w:r>
      <w:r w:rsidRPr="00277636">
        <w:rPr>
          <w:rFonts w:ascii="Times New Roman" w:eastAsia="Calibri" w:hAnsi="Times New Roman" w:hint="eastAsia"/>
          <w:sz w:val="24"/>
          <w:szCs w:val="24"/>
        </w:rPr>
        <w:t>ť</w:t>
      </w:r>
      <w:r w:rsidRPr="00277636">
        <w:rPr>
          <w:rFonts w:ascii="Times New Roman" w:eastAsia="Calibri" w:hAnsi="Times New Roman"/>
          <w:sz w:val="24"/>
          <w:szCs w:val="24"/>
        </w:rPr>
        <w:t xml:space="preserve"> spolo</w:t>
      </w:r>
      <w:r w:rsidRPr="00277636">
        <w:rPr>
          <w:rFonts w:ascii="Times New Roman" w:eastAsia="Calibri" w:hAnsi="Times New Roman" w:hint="eastAsia"/>
          <w:sz w:val="24"/>
          <w:szCs w:val="24"/>
        </w:rPr>
        <w:t>č</w:t>
      </w:r>
      <w:r w:rsidRPr="00277636">
        <w:rPr>
          <w:rFonts w:ascii="Times New Roman" w:eastAsia="Calibri" w:hAnsi="Times New Roman"/>
          <w:sz w:val="24"/>
          <w:szCs w:val="24"/>
        </w:rPr>
        <w:t>nosti je i prostriedkom ob</w:t>
      </w:r>
      <w:r w:rsidRPr="00277636">
        <w:rPr>
          <w:rFonts w:ascii="Times New Roman" w:eastAsia="Calibri" w:hAnsi="Times New Roman" w:hint="eastAsia"/>
          <w:sz w:val="24"/>
          <w:szCs w:val="24"/>
        </w:rPr>
        <w:t>ž</w:t>
      </w:r>
      <w:r w:rsidRPr="00277636">
        <w:rPr>
          <w:rFonts w:ascii="Times New Roman" w:eastAsia="Calibri" w:hAnsi="Times New Roman"/>
          <w:sz w:val="24"/>
          <w:szCs w:val="24"/>
        </w:rPr>
        <w:t>ivy.</w:t>
      </w:r>
    </w:p>
    <w:p w:rsidR="00277636" w:rsidRDefault="00277636" w:rsidP="00277636">
      <w:pPr>
        <w:spacing w:after="0" w:line="240" w:lineRule="auto"/>
        <w:jc w:val="both"/>
        <w:rPr>
          <w:rFonts w:ascii="Times New Roman" w:eastAsia="Calibri" w:hAnsi="Times New Roman"/>
          <w:sz w:val="24"/>
          <w:szCs w:val="24"/>
        </w:rPr>
      </w:pPr>
    </w:p>
    <w:p w:rsidR="00850910" w:rsidRDefault="00277636" w:rsidP="00850910">
      <w:pPr>
        <w:spacing w:after="0" w:line="240" w:lineRule="auto"/>
        <w:jc w:val="both"/>
        <w:rPr>
          <w:rFonts w:ascii="Times New Roman" w:hAnsi="Times New Roman" w:cs="Times New Roman"/>
          <w:sz w:val="24"/>
          <w:szCs w:val="24"/>
        </w:rPr>
      </w:pPr>
      <w:r w:rsidRPr="00277636">
        <w:rPr>
          <w:rFonts w:ascii="Times New Roman" w:eastAsia="Calibri" w:hAnsi="Times New Roman"/>
          <w:sz w:val="24"/>
          <w:szCs w:val="24"/>
        </w:rPr>
        <w:t>Pr</w:t>
      </w:r>
      <w:r w:rsidRPr="00277636">
        <w:rPr>
          <w:rFonts w:ascii="Times New Roman" w:eastAsia="Calibri" w:hAnsi="Times New Roman" w:hint="eastAsia"/>
          <w:sz w:val="24"/>
          <w:szCs w:val="24"/>
        </w:rPr>
        <w:t>á</w:t>
      </w:r>
      <w:r w:rsidRPr="00277636">
        <w:rPr>
          <w:rFonts w:ascii="Times New Roman" w:eastAsia="Calibri" w:hAnsi="Times New Roman"/>
          <w:sz w:val="24"/>
          <w:szCs w:val="24"/>
        </w:rPr>
        <w:t>ca s verejnos</w:t>
      </w:r>
      <w:r w:rsidRPr="00277636">
        <w:rPr>
          <w:rFonts w:ascii="Times New Roman" w:eastAsia="Calibri" w:hAnsi="Times New Roman" w:hint="eastAsia"/>
          <w:sz w:val="24"/>
          <w:szCs w:val="24"/>
        </w:rPr>
        <w:t>ť</w:t>
      </w:r>
      <w:r w:rsidRPr="00277636">
        <w:rPr>
          <w:rFonts w:ascii="Times New Roman" w:eastAsia="Calibri" w:hAnsi="Times New Roman"/>
          <w:sz w:val="24"/>
          <w:szCs w:val="24"/>
        </w:rPr>
        <w:t xml:space="preserve">ou je </w:t>
      </w:r>
      <w:r w:rsidRPr="00277636">
        <w:rPr>
          <w:rFonts w:ascii="Times New Roman" w:eastAsia="Calibri" w:hAnsi="Times New Roman" w:hint="eastAsia"/>
          <w:sz w:val="24"/>
          <w:szCs w:val="24"/>
        </w:rPr>
        <w:t>ú</w:t>
      </w:r>
      <w:r w:rsidRPr="00277636">
        <w:rPr>
          <w:rFonts w:ascii="Times New Roman" w:eastAsia="Calibri" w:hAnsi="Times New Roman"/>
          <w:sz w:val="24"/>
          <w:szCs w:val="24"/>
        </w:rPr>
        <w:t xml:space="preserve">lohou </w:t>
      </w:r>
      <w:r>
        <w:rPr>
          <w:rFonts w:ascii="Times New Roman" w:eastAsia="Calibri" w:hAnsi="Times New Roman"/>
          <w:sz w:val="24"/>
          <w:szCs w:val="24"/>
        </w:rPr>
        <w:t xml:space="preserve">pre ministerstvo, ministerstvom </w:t>
      </w:r>
      <w:r w:rsidRPr="00277636">
        <w:rPr>
          <w:rFonts w:ascii="Times New Roman" w:eastAsia="Calibri" w:hAnsi="Times New Roman"/>
          <w:sz w:val="24"/>
          <w:szCs w:val="24"/>
        </w:rPr>
        <w:t>zriaden</w:t>
      </w:r>
      <w:r w:rsidRPr="00277636">
        <w:rPr>
          <w:rFonts w:ascii="Times New Roman" w:eastAsia="Calibri" w:hAnsi="Times New Roman" w:hint="eastAsia"/>
          <w:sz w:val="24"/>
          <w:szCs w:val="24"/>
        </w:rPr>
        <w:t>é</w:t>
      </w:r>
      <w:r w:rsidRPr="00277636">
        <w:rPr>
          <w:rFonts w:ascii="Times New Roman" w:eastAsia="Calibri" w:hAnsi="Times New Roman"/>
          <w:sz w:val="24"/>
          <w:szCs w:val="24"/>
        </w:rPr>
        <w:t xml:space="preserve"> organiz</w:t>
      </w:r>
      <w:r w:rsidRPr="00277636">
        <w:rPr>
          <w:rFonts w:ascii="Times New Roman" w:eastAsia="Calibri" w:hAnsi="Times New Roman" w:hint="eastAsia"/>
          <w:sz w:val="24"/>
          <w:szCs w:val="24"/>
        </w:rPr>
        <w:t>á</w:t>
      </w:r>
      <w:r w:rsidRPr="00277636">
        <w:rPr>
          <w:rFonts w:ascii="Times New Roman" w:eastAsia="Calibri" w:hAnsi="Times New Roman"/>
          <w:sz w:val="24"/>
          <w:szCs w:val="24"/>
        </w:rPr>
        <w:t>cie, lesn</w:t>
      </w:r>
      <w:r w:rsidRPr="00277636">
        <w:rPr>
          <w:rFonts w:ascii="Times New Roman" w:eastAsia="Calibri" w:hAnsi="Times New Roman" w:hint="eastAsia"/>
          <w:sz w:val="24"/>
          <w:szCs w:val="24"/>
        </w:rPr>
        <w:t>í</w:t>
      </w:r>
      <w:r w:rsidRPr="00277636">
        <w:rPr>
          <w:rFonts w:ascii="Times New Roman" w:eastAsia="Calibri" w:hAnsi="Times New Roman"/>
          <w:sz w:val="24"/>
          <w:szCs w:val="24"/>
        </w:rPr>
        <w:t>cku komoru a in</w:t>
      </w:r>
      <w:r w:rsidRPr="00277636">
        <w:rPr>
          <w:rFonts w:ascii="Times New Roman" w:eastAsia="Calibri" w:hAnsi="Times New Roman" w:hint="eastAsia"/>
          <w:sz w:val="24"/>
          <w:szCs w:val="24"/>
        </w:rPr>
        <w:t>é</w:t>
      </w:r>
      <w:r w:rsidRPr="00277636">
        <w:rPr>
          <w:rFonts w:ascii="Times New Roman" w:eastAsia="Calibri" w:hAnsi="Times New Roman"/>
          <w:sz w:val="24"/>
          <w:szCs w:val="24"/>
        </w:rPr>
        <w:t xml:space="preserve"> profesijn</w:t>
      </w:r>
      <w:r w:rsidRPr="00277636">
        <w:rPr>
          <w:rFonts w:ascii="Times New Roman" w:eastAsia="Calibri" w:hAnsi="Times New Roman" w:hint="eastAsia"/>
          <w:sz w:val="24"/>
          <w:szCs w:val="24"/>
        </w:rPr>
        <w:t>é</w:t>
      </w:r>
      <w:r w:rsidRPr="00277636">
        <w:rPr>
          <w:rFonts w:ascii="Times New Roman" w:eastAsia="Calibri" w:hAnsi="Times New Roman"/>
          <w:sz w:val="24"/>
          <w:szCs w:val="24"/>
        </w:rPr>
        <w:t xml:space="preserve"> zdru</w:t>
      </w:r>
      <w:r w:rsidRPr="00277636">
        <w:rPr>
          <w:rFonts w:ascii="Times New Roman" w:eastAsia="Calibri" w:hAnsi="Times New Roman" w:hint="eastAsia"/>
          <w:sz w:val="24"/>
          <w:szCs w:val="24"/>
        </w:rPr>
        <w:t>ž</w:t>
      </w:r>
      <w:r>
        <w:rPr>
          <w:rFonts w:ascii="Times New Roman" w:eastAsia="Calibri" w:hAnsi="Times New Roman"/>
          <w:sz w:val="24"/>
          <w:szCs w:val="24"/>
        </w:rPr>
        <w:t xml:space="preserve">enia, </w:t>
      </w:r>
      <w:r w:rsidRPr="00277636">
        <w:rPr>
          <w:rFonts w:ascii="Times New Roman" w:eastAsia="Calibri" w:hAnsi="Times New Roman"/>
          <w:sz w:val="24"/>
          <w:szCs w:val="24"/>
        </w:rPr>
        <w:t>vlastn</w:t>
      </w:r>
      <w:r w:rsidRPr="00277636">
        <w:rPr>
          <w:rFonts w:ascii="Times New Roman" w:eastAsia="Calibri" w:hAnsi="Times New Roman" w:hint="eastAsia"/>
          <w:sz w:val="24"/>
          <w:szCs w:val="24"/>
        </w:rPr>
        <w:t>í</w:t>
      </w:r>
      <w:r w:rsidRPr="00277636">
        <w:rPr>
          <w:rFonts w:ascii="Times New Roman" w:eastAsia="Calibri" w:hAnsi="Times New Roman"/>
          <w:sz w:val="24"/>
          <w:szCs w:val="24"/>
        </w:rPr>
        <w:t>kov lesa a ich zdru</w:t>
      </w:r>
      <w:r w:rsidRPr="00277636">
        <w:rPr>
          <w:rFonts w:ascii="Times New Roman" w:eastAsia="Calibri" w:hAnsi="Times New Roman" w:hint="eastAsia"/>
          <w:sz w:val="24"/>
          <w:szCs w:val="24"/>
        </w:rPr>
        <w:t>ž</w:t>
      </w:r>
      <w:r w:rsidRPr="00277636">
        <w:rPr>
          <w:rFonts w:ascii="Times New Roman" w:eastAsia="Calibri" w:hAnsi="Times New Roman"/>
          <w:sz w:val="24"/>
          <w:szCs w:val="24"/>
        </w:rPr>
        <w:t>enia. Verejnos</w:t>
      </w:r>
      <w:r w:rsidRPr="00277636">
        <w:rPr>
          <w:rFonts w:ascii="Times New Roman" w:eastAsia="Calibri" w:hAnsi="Times New Roman" w:hint="eastAsia"/>
          <w:sz w:val="24"/>
          <w:szCs w:val="24"/>
        </w:rPr>
        <w:t>ť</w:t>
      </w:r>
      <w:r w:rsidRPr="00277636">
        <w:rPr>
          <w:rFonts w:ascii="Times New Roman" w:eastAsia="Calibri" w:hAnsi="Times New Roman"/>
          <w:sz w:val="24"/>
          <w:szCs w:val="24"/>
        </w:rPr>
        <w:t xml:space="preserve"> pritom o</w:t>
      </w:r>
      <w:r w:rsidRPr="00277636">
        <w:rPr>
          <w:rFonts w:ascii="Times New Roman" w:eastAsia="Calibri" w:hAnsi="Times New Roman" w:hint="eastAsia"/>
          <w:sz w:val="24"/>
          <w:szCs w:val="24"/>
        </w:rPr>
        <w:t>č</w:t>
      </w:r>
      <w:r w:rsidRPr="00277636">
        <w:rPr>
          <w:rFonts w:ascii="Times New Roman" w:eastAsia="Calibri" w:hAnsi="Times New Roman"/>
          <w:sz w:val="24"/>
          <w:szCs w:val="24"/>
        </w:rPr>
        <w:t>ak</w:t>
      </w:r>
      <w:r w:rsidRPr="00277636">
        <w:rPr>
          <w:rFonts w:ascii="Times New Roman" w:eastAsia="Calibri" w:hAnsi="Times New Roman" w:hint="eastAsia"/>
          <w:sz w:val="24"/>
          <w:szCs w:val="24"/>
        </w:rPr>
        <w:t>á</w:t>
      </w:r>
      <w:r w:rsidRPr="00277636">
        <w:rPr>
          <w:rFonts w:ascii="Times New Roman" w:eastAsia="Calibri" w:hAnsi="Times New Roman"/>
          <w:sz w:val="24"/>
          <w:szCs w:val="24"/>
        </w:rPr>
        <w:t>va profesion</w:t>
      </w:r>
      <w:r w:rsidRPr="00277636">
        <w:rPr>
          <w:rFonts w:ascii="Times New Roman" w:eastAsia="Calibri" w:hAnsi="Times New Roman" w:hint="eastAsia"/>
          <w:sz w:val="24"/>
          <w:szCs w:val="24"/>
        </w:rPr>
        <w:t>á</w:t>
      </w:r>
      <w:r>
        <w:rPr>
          <w:rFonts w:ascii="Times New Roman" w:eastAsia="Calibri" w:hAnsi="Times New Roman"/>
          <w:sz w:val="24"/>
          <w:szCs w:val="24"/>
        </w:rPr>
        <w:t xml:space="preserve">lne </w:t>
      </w:r>
      <w:r w:rsidRPr="00277636">
        <w:rPr>
          <w:rFonts w:ascii="Times New Roman" w:eastAsia="Calibri" w:hAnsi="Times New Roman"/>
          <w:sz w:val="24"/>
          <w:szCs w:val="24"/>
        </w:rPr>
        <w:t>inform</w:t>
      </w:r>
      <w:r w:rsidRPr="00277636">
        <w:rPr>
          <w:rFonts w:ascii="Times New Roman" w:eastAsia="Calibri" w:hAnsi="Times New Roman" w:hint="eastAsia"/>
          <w:sz w:val="24"/>
          <w:szCs w:val="24"/>
        </w:rPr>
        <w:t>á</w:t>
      </w:r>
      <w:r w:rsidRPr="00277636">
        <w:rPr>
          <w:rFonts w:ascii="Times New Roman" w:eastAsia="Calibri" w:hAnsi="Times New Roman"/>
          <w:sz w:val="24"/>
          <w:szCs w:val="24"/>
        </w:rPr>
        <w:t>cie.</w:t>
      </w:r>
      <w:r w:rsidR="002A7940">
        <w:rPr>
          <w:rFonts w:ascii="Times New Roman" w:eastAsia="Calibri" w:hAnsi="Times New Roman"/>
          <w:sz w:val="24"/>
          <w:szCs w:val="24"/>
        </w:rPr>
        <w:t xml:space="preserve"> </w:t>
      </w:r>
      <w:r w:rsidRPr="00277636">
        <w:rPr>
          <w:rFonts w:ascii="Times New Roman" w:eastAsia="Calibri" w:hAnsi="Times New Roman"/>
          <w:sz w:val="24"/>
          <w:szCs w:val="24"/>
        </w:rPr>
        <w:t>Pri presadzovan</w:t>
      </w:r>
      <w:r w:rsidRPr="00277636">
        <w:rPr>
          <w:rFonts w:ascii="Times New Roman" w:eastAsia="Calibri" w:hAnsi="Times New Roman" w:hint="eastAsia"/>
          <w:sz w:val="24"/>
          <w:szCs w:val="24"/>
        </w:rPr>
        <w:t>í</w:t>
      </w:r>
      <w:r w:rsidRPr="00277636">
        <w:rPr>
          <w:rFonts w:ascii="Times New Roman" w:eastAsia="Calibri" w:hAnsi="Times New Roman"/>
          <w:sz w:val="24"/>
          <w:szCs w:val="24"/>
        </w:rPr>
        <w:t xml:space="preserve"> opr</w:t>
      </w:r>
      <w:r w:rsidRPr="00277636">
        <w:rPr>
          <w:rFonts w:ascii="Times New Roman" w:eastAsia="Calibri" w:hAnsi="Times New Roman" w:hint="eastAsia"/>
          <w:sz w:val="24"/>
          <w:szCs w:val="24"/>
        </w:rPr>
        <w:t>á</w:t>
      </w:r>
      <w:r w:rsidRPr="00277636">
        <w:rPr>
          <w:rFonts w:ascii="Times New Roman" w:eastAsia="Calibri" w:hAnsi="Times New Roman"/>
          <w:sz w:val="24"/>
          <w:szCs w:val="24"/>
        </w:rPr>
        <w:t>vnen</w:t>
      </w:r>
      <w:r w:rsidRPr="00277636">
        <w:rPr>
          <w:rFonts w:ascii="Times New Roman" w:eastAsia="Calibri" w:hAnsi="Times New Roman" w:hint="eastAsia"/>
          <w:sz w:val="24"/>
          <w:szCs w:val="24"/>
        </w:rPr>
        <w:t>ý</w:t>
      </w:r>
      <w:r>
        <w:rPr>
          <w:rFonts w:ascii="Times New Roman" w:eastAsia="Calibri" w:hAnsi="Times New Roman"/>
          <w:sz w:val="24"/>
          <w:szCs w:val="24"/>
        </w:rPr>
        <w:t xml:space="preserve">ch </w:t>
      </w:r>
      <w:r w:rsidRPr="00277636">
        <w:rPr>
          <w:rFonts w:ascii="Times New Roman" w:eastAsia="Calibri" w:hAnsi="Times New Roman"/>
          <w:sz w:val="24"/>
          <w:szCs w:val="24"/>
        </w:rPr>
        <w:t>z</w:t>
      </w:r>
      <w:r w:rsidRPr="00277636">
        <w:rPr>
          <w:rFonts w:ascii="Times New Roman" w:eastAsia="Calibri" w:hAnsi="Times New Roman" w:hint="eastAsia"/>
          <w:sz w:val="24"/>
          <w:szCs w:val="24"/>
        </w:rPr>
        <w:t>á</w:t>
      </w:r>
      <w:r w:rsidRPr="00277636">
        <w:rPr>
          <w:rFonts w:ascii="Times New Roman" w:eastAsia="Calibri" w:hAnsi="Times New Roman"/>
          <w:sz w:val="24"/>
          <w:szCs w:val="24"/>
        </w:rPr>
        <w:t>ujmov lesn</w:t>
      </w:r>
      <w:r w:rsidRPr="00277636">
        <w:rPr>
          <w:rFonts w:ascii="Times New Roman" w:eastAsia="Calibri" w:hAnsi="Times New Roman" w:hint="eastAsia"/>
          <w:sz w:val="24"/>
          <w:szCs w:val="24"/>
        </w:rPr>
        <w:t>í</w:t>
      </w:r>
      <w:r w:rsidRPr="00277636">
        <w:rPr>
          <w:rFonts w:ascii="Times New Roman" w:eastAsia="Calibri" w:hAnsi="Times New Roman"/>
          <w:sz w:val="24"/>
          <w:szCs w:val="24"/>
        </w:rPr>
        <w:t>ctva v d</w:t>
      </w:r>
      <w:r w:rsidRPr="00277636">
        <w:rPr>
          <w:rFonts w:ascii="Times New Roman" w:eastAsia="Calibri" w:hAnsi="Times New Roman" w:hint="eastAsia"/>
          <w:sz w:val="24"/>
          <w:szCs w:val="24"/>
        </w:rPr>
        <w:t>ô</w:t>
      </w:r>
      <w:r w:rsidRPr="00277636">
        <w:rPr>
          <w:rFonts w:ascii="Times New Roman" w:eastAsia="Calibri" w:hAnsi="Times New Roman"/>
          <w:sz w:val="24"/>
          <w:szCs w:val="24"/>
        </w:rPr>
        <w:t>le</w:t>
      </w:r>
      <w:r w:rsidRPr="00277636">
        <w:rPr>
          <w:rFonts w:ascii="Times New Roman" w:eastAsia="Calibri" w:hAnsi="Times New Roman" w:hint="eastAsia"/>
          <w:sz w:val="24"/>
          <w:szCs w:val="24"/>
        </w:rPr>
        <w:t>ž</w:t>
      </w:r>
      <w:r w:rsidRPr="00277636">
        <w:rPr>
          <w:rFonts w:ascii="Times New Roman" w:eastAsia="Calibri" w:hAnsi="Times New Roman"/>
          <w:sz w:val="24"/>
          <w:szCs w:val="24"/>
        </w:rPr>
        <w:t>it</w:t>
      </w:r>
      <w:r w:rsidRPr="00277636">
        <w:rPr>
          <w:rFonts w:ascii="Times New Roman" w:eastAsia="Calibri" w:hAnsi="Times New Roman" w:hint="eastAsia"/>
          <w:sz w:val="24"/>
          <w:szCs w:val="24"/>
        </w:rPr>
        <w:t>ý</w:t>
      </w:r>
      <w:r w:rsidRPr="00277636">
        <w:rPr>
          <w:rFonts w:ascii="Times New Roman" w:eastAsia="Calibri" w:hAnsi="Times New Roman"/>
          <w:sz w:val="24"/>
          <w:szCs w:val="24"/>
        </w:rPr>
        <w:t>ch verejn</w:t>
      </w:r>
      <w:r w:rsidRPr="00277636">
        <w:rPr>
          <w:rFonts w:ascii="Times New Roman" w:eastAsia="Calibri" w:hAnsi="Times New Roman" w:hint="eastAsia"/>
          <w:sz w:val="24"/>
          <w:szCs w:val="24"/>
        </w:rPr>
        <w:t>ý</w:t>
      </w:r>
      <w:r w:rsidRPr="00277636">
        <w:rPr>
          <w:rFonts w:ascii="Times New Roman" w:eastAsia="Calibri" w:hAnsi="Times New Roman"/>
          <w:sz w:val="24"/>
          <w:szCs w:val="24"/>
        </w:rPr>
        <w:t>ch rozhodnutiach treba vyu</w:t>
      </w:r>
      <w:r w:rsidRPr="00277636">
        <w:rPr>
          <w:rFonts w:ascii="Times New Roman" w:eastAsia="Calibri" w:hAnsi="Times New Roman" w:hint="eastAsia"/>
          <w:sz w:val="24"/>
          <w:szCs w:val="24"/>
        </w:rPr>
        <w:t>ží</w:t>
      </w:r>
      <w:r w:rsidRPr="00277636">
        <w:rPr>
          <w:rFonts w:ascii="Times New Roman" w:eastAsia="Calibri" w:hAnsi="Times New Roman"/>
          <w:sz w:val="24"/>
          <w:szCs w:val="24"/>
        </w:rPr>
        <w:t>va</w:t>
      </w:r>
      <w:r w:rsidRPr="00277636">
        <w:rPr>
          <w:rFonts w:ascii="Times New Roman" w:eastAsia="Calibri" w:hAnsi="Times New Roman" w:hint="eastAsia"/>
          <w:sz w:val="24"/>
          <w:szCs w:val="24"/>
        </w:rPr>
        <w:t>ť</w:t>
      </w:r>
      <w:r w:rsidR="002A7940">
        <w:rPr>
          <w:rFonts w:ascii="Times New Roman" w:eastAsia="Calibri" w:hAnsi="Times New Roman"/>
          <w:sz w:val="24"/>
          <w:szCs w:val="24"/>
        </w:rPr>
        <w:t xml:space="preserve"> </w:t>
      </w:r>
      <w:r w:rsidRPr="00277636">
        <w:rPr>
          <w:rFonts w:ascii="Times New Roman" w:eastAsia="Calibri" w:hAnsi="Times New Roman"/>
          <w:sz w:val="24"/>
          <w:szCs w:val="24"/>
        </w:rPr>
        <w:t>vz</w:t>
      </w:r>
      <w:r w:rsidRPr="00277636">
        <w:rPr>
          <w:rFonts w:ascii="Times New Roman" w:eastAsia="Calibri" w:hAnsi="Times New Roman" w:hint="eastAsia"/>
          <w:sz w:val="24"/>
          <w:szCs w:val="24"/>
        </w:rPr>
        <w:t>á</w:t>
      </w:r>
      <w:r w:rsidRPr="00277636">
        <w:rPr>
          <w:rFonts w:ascii="Times New Roman" w:eastAsia="Calibri" w:hAnsi="Times New Roman"/>
          <w:sz w:val="24"/>
          <w:szCs w:val="24"/>
        </w:rPr>
        <w:t>jomn</w:t>
      </w:r>
      <w:r w:rsidRPr="00277636">
        <w:rPr>
          <w:rFonts w:ascii="Times New Roman" w:eastAsia="Calibri" w:hAnsi="Times New Roman" w:hint="eastAsia"/>
          <w:sz w:val="24"/>
          <w:szCs w:val="24"/>
        </w:rPr>
        <w:t>ú</w:t>
      </w:r>
      <w:r w:rsidRPr="00277636">
        <w:rPr>
          <w:rFonts w:ascii="Times New Roman" w:eastAsia="Calibri" w:hAnsi="Times New Roman"/>
          <w:sz w:val="24"/>
          <w:szCs w:val="24"/>
        </w:rPr>
        <w:t xml:space="preserve"> spolupr</w:t>
      </w:r>
      <w:r w:rsidRPr="00277636">
        <w:rPr>
          <w:rFonts w:ascii="Times New Roman" w:eastAsia="Calibri" w:hAnsi="Times New Roman" w:hint="eastAsia"/>
          <w:sz w:val="24"/>
          <w:szCs w:val="24"/>
        </w:rPr>
        <w:t>á</w:t>
      </w:r>
      <w:r w:rsidRPr="00277636">
        <w:rPr>
          <w:rFonts w:ascii="Times New Roman" w:eastAsia="Calibri" w:hAnsi="Times New Roman"/>
          <w:sz w:val="24"/>
          <w:szCs w:val="24"/>
        </w:rPr>
        <w:t>cu dominantn</w:t>
      </w:r>
      <w:r w:rsidRPr="00277636">
        <w:rPr>
          <w:rFonts w:ascii="Times New Roman" w:eastAsia="Calibri" w:hAnsi="Times New Roman" w:hint="eastAsia"/>
          <w:sz w:val="24"/>
          <w:szCs w:val="24"/>
        </w:rPr>
        <w:t>ý</w:t>
      </w:r>
      <w:r w:rsidRPr="00277636">
        <w:rPr>
          <w:rFonts w:ascii="Times New Roman" w:eastAsia="Calibri" w:hAnsi="Times New Roman"/>
          <w:sz w:val="24"/>
          <w:szCs w:val="24"/>
        </w:rPr>
        <w:t>ch lesn</w:t>
      </w:r>
      <w:r w:rsidRPr="00277636">
        <w:rPr>
          <w:rFonts w:ascii="Times New Roman" w:eastAsia="Calibri" w:hAnsi="Times New Roman" w:hint="eastAsia"/>
          <w:sz w:val="24"/>
          <w:szCs w:val="24"/>
        </w:rPr>
        <w:t>í</w:t>
      </w:r>
      <w:r>
        <w:rPr>
          <w:rFonts w:ascii="Times New Roman" w:eastAsia="Calibri" w:hAnsi="Times New Roman"/>
          <w:sz w:val="24"/>
          <w:szCs w:val="24"/>
        </w:rPr>
        <w:t xml:space="preserve">ckych subjektov </w:t>
      </w:r>
      <w:r w:rsidRPr="00277636">
        <w:rPr>
          <w:rFonts w:ascii="Times New Roman" w:eastAsia="Calibri" w:hAnsi="Times New Roman"/>
          <w:sz w:val="24"/>
          <w:szCs w:val="24"/>
        </w:rPr>
        <w:t>a spolo</w:t>
      </w:r>
      <w:r w:rsidRPr="00277636">
        <w:rPr>
          <w:rFonts w:ascii="Times New Roman" w:eastAsia="Calibri" w:hAnsi="Times New Roman" w:hint="eastAsia"/>
          <w:sz w:val="24"/>
          <w:szCs w:val="24"/>
        </w:rPr>
        <w:t>č</w:t>
      </w:r>
      <w:r w:rsidRPr="00277636">
        <w:rPr>
          <w:rFonts w:ascii="Times New Roman" w:eastAsia="Calibri" w:hAnsi="Times New Roman"/>
          <w:sz w:val="24"/>
          <w:szCs w:val="24"/>
        </w:rPr>
        <w:t>n</w:t>
      </w:r>
      <w:r w:rsidRPr="00277636">
        <w:rPr>
          <w:rFonts w:ascii="Times New Roman" w:eastAsia="Calibri" w:hAnsi="Times New Roman" w:hint="eastAsia"/>
          <w:sz w:val="24"/>
          <w:szCs w:val="24"/>
        </w:rPr>
        <w:t>ú</w:t>
      </w:r>
      <w:r w:rsidRPr="00277636">
        <w:rPr>
          <w:rFonts w:ascii="Times New Roman" w:eastAsia="Calibri" w:hAnsi="Times New Roman"/>
          <w:sz w:val="24"/>
          <w:szCs w:val="24"/>
        </w:rPr>
        <w:t xml:space="preserve"> strat</w:t>
      </w:r>
      <w:r w:rsidRPr="00277636">
        <w:rPr>
          <w:rFonts w:ascii="Times New Roman" w:eastAsia="Calibri" w:hAnsi="Times New Roman" w:hint="eastAsia"/>
          <w:sz w:val="24"/>
          <w:szCs w:val="24"/>
        </w:rPr>
        <w:t>é</w:t>
      </w:r>
      <w:r w:rsidRPr="00277636">
        <w:rPr>
          <w:rFonts w:ascii="Times New Roman" w:eastAsia="Calibri" w:hAnsi="Times New Roman"/>
          <w:sz w:val="24"/>
          <w:szCs w:val="24"/>
        </w:rPr>
        <w:t>giu pr</w:t>
      </w:r>
      <w:r w:rsidRPr="00277636">
        <w:rPr>
          <w:rFonts w:ascii="Times New Roman" w:eastAsia="Calibri" w:hAnsi="Times New Roman" w:hint="eastAsia"/>
          <w:sz w:val="24"/>
          <w:szCs w:val="24"/>
        </w:rPr>
        <w:t>á</w:t>
      </w:r>
      <w:r w:rsidRPr="00277636">
        <w:rPr>
          <w:rFonts w:ascii="Times New Roman" w:eastAsia="Calibri" w:hAnsi="Times New Roman"/>
          <w:sz w:val="24"/>
          <w:szCs w:val="24"/>
        </w:rPr>
        <w:t>ce s verejnos</w:t>
      </w:r>
      <w:r w:rsidRPr="00277636">
        <w:rPr>
          <w:rFonts w:ascii="Times New Roman" w:eastAsia="Calibri" w:hAnsi="Times New Roman" w:hint="eastAsia"/>
          <w:sz w:val="24"/>
          <w:szCs w:val="24"/>
        </w:rPr>
        <w:t>ť</w:t>
      </w:r>
      <w:r w:rsidRPr="00277636">
        <w:rPr>
          <w:rFonts w:ascii="Times New Roman" w:eastAsia="Calibri" w:hAnsi="Times New Roman"/>
          <w:sz w:val="24"/>
          <w:szCs w:val="24"/>
        </w:rPr>
        <w:t>ou.</w:t>
      </w:r>
      <w:r w:rsidR="002A7940">
        <w:rPr>
          <w:rFonts w:ascii="Times New Roman" w:eastAsia="Calibri" w:hAnsi="Times New Roman"/>
          <w:sz w:val="24"/>
          <w:szCs w:val="24"/>
        </w:rPr>
        <w:t xml:space="preserve"> </w:t>
      </w:r>
      <w:r>
        <w:rPr>
          <w:rFonts w:ascii="Times New Roman" w:hAnsi="Times New Roman" w:cs="Times New Roman"/>
          <w:sz w:val="24"/>
          <w:szCs w:val="24"/>
        </w:rPr>
        <w:t>V tomto ohľade vystupuje do popredia potreba vypracovania</w:t>
      </w:r>
      <w:r w:rsidRPr="00BB6C2E">
        <w:rPr>
          <w:rFonts w:ascii="Times New Roman" w:hAnsi="Times New Roman" w:cs="Times New Roman"/>
          <w:sz w:val="24"/>
          <w:szCs w:val="24"/>
        </w:rPr>
        <w:t xml:space="preserve"> a realizácia komplexnej stratégie</w:t>
      </w:r>
      <w:r>
        <w:rPr>
          <w:rFonts w:ascii="Times New Roman" w:hAnsi="Times New Roman" w:cs="Times New Roman"/>
          <w:sz w:val="24"/>
          <w:szCs w:val="24"/>
        </w:rPr>
        <w:t>,</w:t>
      </w:r>
      <w:r w:rsidRPr="00BB6C2E">
        <w:rPr>
          <w:rFonts w:ascii="Times New Roman" w:hAnsi="Times New Roman" w:cs="Times New Roman"/>
          <w:sz w:val="24"/>
          <w:szCs w:val="24"/>
        </w:rPr>
        <w:t xml:space="preserve"> vrátane vytvorenia zodpovedajúcich inštitucionálnych podmienok na zabezpečenie systematickej komunikácie s</w:t>
      </w:r>
      <w:r>
        <w:rPr>
          <w:rFonts w:ascii="Times New Roman" w:hAnsi="Times New Roman" w:cs="Times New Roman"/>
          <w:sz w:val="24"/>
          <w:szCs w:val="24"/>
        </w:rPr>
        <w:t> </w:t>
      </w:r>
      <w:r w:rsidRPr="00BB6C2E">
        <w:rPr>
          <w:rFonts w:ascii="Times New Roman" w:hAnsi="Times New Roman" w:cs="Times New Roman"/>
          <w:sz w:val="24"/>
          <w:szCs w:val="24"/>
        </w:rPr>
        <w:t>verejnosťou</w:t>
      </w:r>
      <w:r>
        <w:rPr>
          <w:rFonts w:ascii="Times New Roman" w:hAnsi="Times New Roman" w:cs="Times New Roman"/>
          <w:sz w:val="24"/>
          <w:szCs w:val="24"/>
        </w:rPr>
        <w:t>,</w:t>
      </w:r>
      <w:r w:rsidRPr="00BB6C2E">
        <w:rPr>
          <w:rFonts w:ascii="Times New Roman" w:hAnsi="Times New Roman" w:cs="Times New Roman"/>
          <w:sz w:val="24"/>
          <w:szCs w:val="24"/>
        </w:rPr>
        <w:t xml:space="preserve"> s cieľom zvýšenia spoločenskej akceptácie a povedomia o prínosoch a </w:t>
      </w:r>
      <w:proofErr w:type="spellStart"/>
      <w:r w:rsidRPr="00BB6C2E">
        <w:rPr>
          <w:rFonts w:ascii="Times New Roman" w:hAnsi="Times New Roman" w:cs="Times New Roman"/>
          <w:sz w:val="24"/>
          <w:szCs w:val="24"/>
        </w:rPr>
        <w:t>benefitoch</w:t>
      </w:r>
      <w:proofErr w:type="spellEnd"/>
      <w:r w:rsidRPr="00BB6C2E">
        <w:rPr>
          <w:rFonts w:ascii="Times New Roman" w:hAnsi="Times New Roman" w:cs="Times New Roman"/>
          <w:sz w:val="24"/>
          <w:szCs w:val="24"/>
        </w:rPr>
        <w:t xml:space="preserve"> trvalo udržateľného hospodárenia v lesoch.  Zlepšenie koordinácie a spolupráce medzi lesníckymi a nelesníckymi mienkotvornými organizáciami</w:t>
      </w:r>
      <w:r>
        <w:rPr>
          <w:rFonts w:ascii="Times New Roman" w:hAnsi="Times New Roman" w:cs="Times New Roman"/>
          <w:sz w:val="24"/>
          <w:szCs w:val="24"/>
        </w:rPr>
        <w:t>,</w:t>
      </w:r>
      <w:r w:rsidRPr="00BB6C2E">
        <w:rPr>
          <w:rFonts w:ascii="Times New Roman" w:hAnsi="Times New Roman" w:cs="Times New Roman"/>
          <w:sz w:val="24"/>
          <w:szCs w:val="24"/>
        </w:rPr>
        <w:t xml:space="preserve"> zameranej</w:t>
      </w:r>
      <w:r>
        <w:rPr>
          <w:rFonts w:ascii="Times New Roman" w:hAnsi="Times New Roman" w:cs="Times New Roman"/>
          <w:sz w:val="24"/>
          <w:szCs w:val="24"/>
        </w:rPr>
        <w:t xml:space="preserve"> na zmenu postojov verejnosti a </w:t>
      </w:r>
      <w:r w:rsidRPr="00BB6C2E">
        <w:rPr>
          <w:rFonts w:ascii="Times New Roman" w:hAnsi="Times New Roman" w:cs="Times New Roman"/>
          <w:sz w:val="24"/>
          <w:szCs w:val="24"/>
        </w:rPr>
        <w:t xml:space="preserve">dosiahnutie pozitívneho vnímania a vzťahu obyvateľstva k lesu, lesnému hospodárstvu a lesníkom.  Podpora výchovy mladej generácie pri budovaní správneho hodnotového rebríčka, formovaní vlastných názorov  a zodpovednom </w:t>
      </w:r>
      <w:r>
        <w:rPr>
          <w:rFonts w:ascii="Times New Roman" w:hAnsi="Times New Roman" w:cs="Times New Roman"/>
          <w:sz w:val="24"/>
          <w:szCs w:val="24"/>
        </w:rPr>
        <w:t>využívaní prírodných zdrojov na </w:t>
      </w:r>
      <w:r w:rsidRPr="00BB6C2E">
        <w:rPr>
          <w:rFonts w:ascii="Times New Roman" w:hAnsi="Times New Roman" w:cs="Times New Roman"/>
          <w:sz w:val="24"/>
          <w:szCs w:val="24"/>
        </w:rPr>
        <w:t xml:space="preserve">princípoch trvalo udržateľného rozvoja. </w:t>
      </w:r>
    </w:p>
    <w:p w:rsidR="00850910" w:rsidRDefault="00850910" w:rsidP="00850910">
      <w:pPr>
        <w:spacing w:after="0" w:line="240" w:lineRule="auto"/>
        <w:jc w:val="both"/>
        <w:rPr>
          <w:rFonts w:ascii="Times New Roman" w:hAnsi="Times New Roman" w:cs="Times New Roman"/>
          <w:sz w:val="24"/>
          <w:szCs w:val="24"/>
        </w:rPr>
      </w:pPr>
    </w:p>
    <w:p w:rsidR="00277636" w:rsidRPr="007B5BCA" w:rsidRDefault="00277636" w:rsidP="007B5BCA">
      <w:pPr>
        <w:spacing w:after="0" w:line="240" w:lineRule="auto"/>
        <w:jc w:val="both"/>
        <w:rPr>
          <w:rFonts w:ascii="Times New Roman" w:eastAsia="Calibri" w:hAnsi="Times New Roman"/>
          <w:sz w:val="24"/>
          <w:szCs w:val="24"/>
        </w:rPr>
      </w:pPr>
      <w:r w:rsidRPr="00BB6C2E">
        <w:rPr>
          <w:rFonts w:ascii="Times New Roman" w:hAnsi="Times New Roman" w:cs="Times New Roman"/>
          <w:sz w:val="24"/>
          <w:szCs w:val="24"/>
        </w:rPr>
        <w:t>Zvyšovanie povedomia verejnosti o význame lesov pri riešení celospoločenských problémov. </w:t>
      </w:r>
      <w:r>
        <w:rPr>
          <w:rFonts w:ascii="Times New Roman" w:hAnsi="Times New Roman" w:cs="Times New Roman"/>
          <w:sz w:val="24"/>
          <w:szCs w:val="24"/>
        </w:rPr>
        <w:t>Zabezpečenie tejto prioritnej úlohy</w:t>
      </w:r>
      <w:r w:rsidR="001D72C3">
        <w:rPr>
          <w:rFonts w:ascii="Times New Roman" w:hAnsi="Times New Roman" w:cs="Times New Roman"/>
          <w:sz w:val="24"/>
          <w:szCs w:val="24"/>
        </w:rPr>
        <w:t xml:space="preserve"> si bude vyžadovať v rokoch 201</w:t>
      </w:r>
      <w:r w:rsidR="00357C25">
        <w:rPr>
          <w:rFonts w:ascii="Times New Roman" w:hAnsi="Times New Roman" w:cs="Times New Roman"/>
          <w:sz w:val="24"/>
          <w:szCs w:val="24"/>
        </w:rPr>
        <w:t>4 – 2020  kumulatívne 42</w:t>
      </w:r>
      <w:r>
        <w:rPr>
          <w:rFonts w:ascii="Times New Roman" w:hAnsi="Times New Roman" w:cs="Times New Roman"/>
          <w:sz w:val="24"/>
          <w:szCs w:val="24"/>
        </w:rPr>
        <w:t>0 000 EUR, pričom tieto finančné prostriedky zabezpečia realizáciu nasledovných činností:</w:t>
      </w:r>
    </w:p>
    <w:p w:rsidR="00277636" w:rsidRPr="00277636" w:rsidRDefault="00277636" w:rsidP="000D68DC">
      <w:pPr>
        <w:pStyle w:val="Odsekzoznamu"/>
        <w:numPr>
          <w:ilvl w:val="0"/>
          <w:numId w:val="9"/>
        </w:numPr>
        <w:spacing w:after="0" w:line="240" w:lineRule="auto"/>
        <w:jc w:val="both"/>
        <w:rPr>
          <w:rFonts w:ascii="Times New Roman" w:eastAsia="Calibri" w:hAnsi="Times New Roman"/>
          <w:sz w:val="24"/>
          <w:szCs w:val="24"/>
        </w:rPr>
      </w:pPr>
      <w:r w:rsidRPr="00277636">
        <w:rPr>
          <w:rFonts w:ascii="Times New Roman" w:eastAsia="Calibri" w:hAnsi="Times New Roman"/>
          <w:sz w:val="24"/>
          <w:szCs w:val="24"/>
        </w:rPr>
        <w:t>zabezpečenie tréningových programov, zameraných na podporu mediálnej komunikácie zamestnancov lesníckych inštitúcií s verejnosťou, tréning komunikačných zručností pre vedúcich zamestnancov lesníckych organi</w:t>
      </w:r>
      <w:r>
        <w:rPr>
          <w:rFonts w:ascii="Times New Roman" w:eastAsia="Calibri" w:hAnsi="Times New Roman"/>
          <w:sz w:val="24"/>
          <w:szCs w:val="24"/>
        </w:rPr>
        <w:t>zácií;</w:t>
      </w:r>
    </w:p>
    <w:p w:rsidR="00277636" w:rsidRPr="00277636" w:rsidRDefault="00277636" w:rsidP="000D68DC">
      <w:pPr>
        <w:pStyle w:val="Odsekzoznamu"/>
        <w:numPr>
          <w:ilvl w:val="0"/>
          <w:numId w:val="9"/>
        </w:numPr>
        <w:spacing w:after="0" w:line="240" w:lineRule="auto"/>
        <w:jc w:val="both"/>
        <w:rPr>
          <w:rFonts w:ascii="Times New Roman" w:eastAsia="Calibri" w:hAnsi="Times New Roman"/>
          <w:sz w:val="24"/>
          <w:szCs w:val="24"/>
        </w:rPr>
      </w:pPr>
      <w:r w:rsidRPr="00277636">
        <w:rPr>
          <w:rFonts w:ascii="Times New Roman" w:eastAsia="Calibri" w:hAnsi="Times New Roman"/>
          <w:sz w:val="24"/>
          <w:szCs w:val="24"/>
        </w:rPr>
        <w:t>príprava odborných textových podkladov tlač</w:t>
      </w:r>
      <w:r>
        <w:rPr>
          <w:rFonts w:ascii="Times New Roman" w:eastAsia="Calibri" w:hAnsi="Times New Roman"/>
          <w:sz w:val="24"/>
          <w:szCs w:val="24"/>
        </w:rPr>
        <w:t>ových a propagačných materiálov;</w:t>
      </w:r>
    </w:p>
    <w:p w:rsidR="00277636" w:rsidRPr="00277636" w:rsidRDefault="00277636" w:rsidP="000D68DC">
      <w:pPr>
        <w:pStyle w:val="Odsekzoznamu"/>
        <w:numPr>
          <w:ilvl w:val="0"/>
          <w:numId w:val="9"/>
        </w:numPr>
        <w:spacing w:after="0" w:line="240" w:lineRule="auto"/>
        <w:jc w:val="both"/>
        <w:rPr>
          <w:rFonts w:ascii="Times New Roman" w:eastAsia="Calibri" w:hAnsi="Times New Roman"/>
          <w:sz w:val="24"/>
          <w:szCs w:val="24"/>
        </w:rPr>
      </w:pPr>
      <w:r w:rsidRPr="00277636">
        <w:rPr>
          <w:rFonts w:ascii="Times New Roman" w:eastAsia="Calibri" w:hAnsi="Times New Roman"/>
          <w:sz w:val="24"/>
          <w:szCs w:val="24"/>
        </w:rPr>
        <w:t>poradenská, konzultačná a vzdelávacia činnosť pre lesných pedagógov - kontinuálne vzdelávanie lesných pedagógov</w:t>
      </w:r>
      <w:r>
        <w:rPr>
          <w:rFonts w:ascii="Times New Roman" w:eastAsia="Calibri" w:hAnsi="Times New Roman"/>
          <w:sz w:val="24"/>
          <w:szCs w:val="24"/>
        </w:rPr>
        <w:t>;</w:t>
      </w:r>
    </w:p>
    <w:p w:rsidR="00277636" w:rsidRPr="00277636" w:rsidRDefault="00277636" w:rsidP="000D68DC">
      <w:pPr>
        <w:pStyle w:val="Odsekzoznamu"/>
        <w:numPr>
          <w:ilvl w:val="0"/>
          <w:numId w:val="9"/>
        </w:numPr>
        <w:spacing w:after="0" w:line="240" w:lineRule="auto"/>
        <w:jc w:val="both"/>
        <w:rPr>
          <w:rFonts w:ascii="Times New Roman" w:eastAsia="Calibri" w:hAnsi="Times New Roman"/>
          <w:sz w:val="24"/>
          <w:szCs w:val="24"/>
        </w:rPr>
      </w:pPr>
      <w:r w:rsidRPr="00277636">
        <w:rPr>
          <w:rFonts w:ascii="Times New Roman" w:eastAsia="Calibri" w:hAnsi="Times New Roman"/>
          <w:sz w:val="24"/>
          <w:szCs w:val="24"/>
        </w:rPr>
        <w:t>evidencia certifikovaných lesných pedagógov, vedenie štatistiky o činnosti v oblasti práce s</w:t>
      </w:r>
      <w:r>
        <w:rPr>
          <w:rFonts w:ascii="Times New Roman" w:eastAsia="Calibri" w:hAnsi="Times New Roman"/>
          <w:sz w:val="24"/>
          <w:szCs w:val="24"/>
        </w:rPr>
        <w:t> </w:t>
      </w:r>
      <w:r w:rsidRPr="00277636">
        <w:rPr>
          <w:rFonts w:ascii="Times New Roman" w:eastAsia="Calibri" w:hAnsi="Times New Roman"/>
          <w:sz w:val="24"/>
          <w:szCs w:val="24"/>
        </w:rPr>
        <w:t>verejnosťou</w:t>
      </w:r>
      <w:r>
        <w:rPr>
          <w:rFonts w:ascii="Times New Roman" w:eastAsia="Calibri" w:hAnsi="Times New Roman"/>
          <w:sz w:val="24"/>
          <w:szCs w:val="24"/>
        </w:rPr>
        <w:t>;</w:t>
      </w:r>
    </w:p>
    <w:p w:rsidR="00277636" w:rsidRPr="00277636" w:rsidRDefault="00277636" w:rsidP="000D68DC">
      <w:pPr>
        <w:pStyle w:val="Odsekzoznamu"/>
        <w:numPr>
          <w:ilvl w:val="0"/>
          <w:numId w:val="9"/>
        </w:numPr>
        <w:spacing w:after="0" w:line="240" w:lineRule="auto"/>
        <w:jc w:val="both"/>
        <w:rPr>
          <w:rFonts w:ascii="Times New Roman" w:eastAsia="Calibri" w:hAnsi="Times New Roman"/>
          <w:sz w:val="24"/>
          <w:szCs w:val="24"/>
        </w:rPr>
      </w:pPr>
      <w:r w:rsidRPr="00277636">
        <w:rPr>
          <w:rFonts w:ascii="Times New Roman" w:eastAsia="Calibri" w:hAnsi="Times New Roman"/>
          <w:sz w:val="24"/>
          <w:szCs w:val="24"/>
        </w:rPr>
        <w:t xml:space="preserve">vydávanie pravidelného štvrťročného </w:t>
      </w:r>
      <w:proofErr w:type="spellStart"/>
      <w:r w:rsidRPr="00277636">
        <w:rPr>
          <w:rFonts w:ascii="Times New Roman" w:eastAsia="Calibri" w:hAnsi="Times New Roman"/>
          <w:sz w:val="24"/>
          <w:szCs w:val="24"/>
        </w:rPr>
        <w:t>newslettra</w:t>
      </w:r>
      <w:proofErr w:type="spellEnd"/>
      <w:r w:rsidRPr="00277636">
        <w:rPr>
          <w:rFonts w:ascii="Times New Roman" w:eastAsia="Calibri" w:hAnsi="Times New Roman"/>
          <w:sz w:val="24"/>
          <w:szCs w:val="24"/>
        </w:rPr>
        <w:t xml:space="preserve"> o lesnej pedagogike</w:t>
      </w:r>
      <w:r>
        <w:rPr>
          <w:rFonts w:ascii="Times New Roman" w:eastAsia="Calibri" w:hAnsi="Times New Roman"/>
          <w:sz w:val="24"/>
          <w:szCs w:val="24"/>
        </w:rPr>
        <w:t>;</w:t>
      </w:r>
    </w:p>
    <w:p w:rsidR="00277636" w:rsidRPr="00277636" w:rsidRDefault="00277636" w:rsidP="000D68DC">
      <w:pPr>
        <w:pStyle w:val="Odsekzoznamu"/>
        <w:numPr>
          <w:ilvl w:val="0"/>
          <w:numId w:val="9"/>
        </w:numPr>
        <w:spacing w:after="0" w:line="240" w:lineRule="auto"/>
        <w:jc w:val="both"/>
        <w:rPr>
          <w:rFonts w:ascii="Times New Roman" w:eastAsia="Calibri" w:hAnsi="Times New Roman"/>
          <w:sz w:val="24"/>
          <w:szCs w:val="24"/>
        </w:rPr>
      </w:pPr>
      <w:r w:rsidRPr="00277636">
        <w:rPr>
          <w:rFonts w:ascii="Times New Roman" w:eastAsia="Calibri" w:hAnsi="Times New Roman"/>
          <w:sz w:val="24"/>
          <w:szCs w:val="24"/>
        </w:rPr>
        <w:t xml:space="preserve">zabezpečovanie vzorových lesných vychádzok a </w:t>
      </w:r>
      <w:proofErr w:type="spellStart"/>
      <w:r w:rsidRPr="00277636">
        <w:rPr>
          <w:rFonts w:ascii="Times New Roman" w:eastAsia="Calibri" w:hAnsi="Times New Roman"/>
          <w:sz w:val="24"/>
          <w:szCs w:val="24"/>
        </w:rPr>
        <w:t>voľnočasových</w:t>
      </w:r>
      <w:proofErr w:type="spellEnd"/>
      <w:r w:rsidRPr="00277636">
        <w:rPr>
          <w:rFonts w:ascii="Times New Roman" w:eastAsia="Calibri" w:hAnsi="Times New Roman"/>
          <w:sz w:val="24"/>
          <w:szCs w:val="24"/>
        </w:rPr>
        <w:t xml:space="preserve"> aktivít v jednotlivých regiónoch Slovenska</w:t>
      </w:r>
      <w:r>
        <w:rPr>
          <w:rFonts w:ascii="Times New Roman" w:eastAsia="Calibri" w:hAnsi="Times New Roman"/>
          <w:sz w:val="24"/>
          <w:szCs w:val="24"/>
        </w:rPr>
        <w:t>;</w:t>
      </w:r>
    </w:p>
    <w:p w:rsidR="00277636" w:rsidRPr="00277636" w:rsidRDefault="00277636" w:rsidP="000D68DC">
      <w:pPr>
        <w:pStyle w:val="Odsekzoznamu"/>
        <w:numPr>
          <w:ilvl w:val="0"/>
          <w:numId w:val="9"/>
        </w:numPr>
        <w:spacing w:after="0" w:line="240" w:lineRule="auto"/>
        <w:jc w:val="both"/>
        <w:rPr>
          <w:rFonts w:ascii="Times New Roman" w:eastAsia="Calibri" w:hAnsi="Times New Roman"/>
          <w:sz w:val="24"/>
          <w:szCs w:val="24"/>
        </w:rPr>
      </w:pPr>
      <w:r w:rsidRPr="00277636">
        <w:rPr>
          <w:rFonts w:ascii="Times New Roman" w:eastAsia="Calibri" w:hAnsi="Times New Roman"/>
          <w:sz w:val="24"/>
          <w:szCs w:val="24"/>
        </w:rPr>
        <w:t>propagačná, osvetová činnosť o lesnej pedagogike</w:t>
      </w:r>
      <w:r>
        <w:rPr>
          <w:rFonts w:ascii="Times New Roman" w:eastAsia="Calibri" w:hAnsi="Times New Roman"/>
          <w:sz w:val="24"/>
          <w:szCs w:val="24"/>
        </w:rPr>
        <w:t>;</w:t>
      </w:r>
    </w:p>
    <w:p w:rsidR="00277636" w:rsidRPr="00277636" w:rsidRDefault="00277636" w:rsidP="000D68DC">
      <w:pPr>
        <w:pStyle w:val="Odsekzoznamu"/>
        <w:numPr>
          <w:ilvl w:val="0"/>
          <w:numId w:val="9"/>
        </w:numPr>
        <w:spacing w:after="0" w:line="240" w:lineRule="auto"/>
        <w:jc w:val="both"/>
        <w:rPr>
          <w:rFonts w:ascii="Times New Roman" w:eastAsia="Calibri" w:hAnsi="Times New Roman"/>
          <w:sz w:val="24"/>
          <w:szCs w:val="24"/>
        </w:rPr>
      </w:pPr>
      <w:r w:rsidRPr="00277636">
        <w:rPr>
          <w:rFonts w:ascii="Times New Roman" w:eastAsia="Calibri" w:hAnsi="Times New Roman"/>
          <w:sz w:val="24"/>
          <w:szCs w:val="24"/>
        </w:rPr>
        <w:t>spolupráca s organizáciami v sústave škôl a školských zariadení a ďalšími štátnymi a neštátnymi organizáciami v rezorte pôdohospodárstva a životného prostredia.</w:t>
      </w:r>
    </w:p>
    <w:p w:rsidR="00B85667" w:rsidRPr="001050EF" w:rsidRDefault="00B85667" w:rsidP="00BE691E">
      <w:pPr>
        <w:spacing w:after="0" w:line="240" w:lineRule="auto"/>
        <w:jc w:val="both"/>
        <w:rPr>
          <w:rFonts w:ascii="Times New Roman" w:eastAsia="Calibri" w:hAnsi="Times New Roman"/>
          <w:b/>
          <w:sz w:val="24"/>
          <w:szCs w:val="24"/>
        </w:rPr>
      </w:pPr>
    </w:p>
    <w:p w:rsidR="00BE691E" w:rsidRPr="00E015A4" w:rsidRDefault="00BE691E" w:rsidP="000D68DC">
      <w:pPr>
        <w:pStyle w:val="Nadpis3"/>
        <w:numPr>
          <w:ilvl w:val="2"/>
          <w:numId w:val="8"/>
        </w:numPr>
        <w:rPr>
          <w:rFonts w:eastAsia="Calibri"/>
          <w:szCs w:val="24"/>
        </w:rPr>
      </w:pPr>
      <w:bookmarkStart w:id="52" w:name="_Toc359550673"/>
      <w:r w:rsidRPr="00E015A4">
        <w:rPr>
          <w:rFonts w:eastAsia="Calibri"/>
          <w:szCs w:val="24"/>
        </w:rPr>
        <w:t>Podpora existujúcich kultúrnych a historických pamiatok spojených s lesným hospodárstvom a poľovníctvom</w:t>
      </w:r>
      <w:bookmarkEnd w:id="52"/>
    </w:p>
    <w:p w:rsidR="00B85667" w:rsidRDefault="00B85667" w:rsidP="007B5BCA">
      <w:pPr>
        <w:pStyle w:val="default0"/>
        <w:shd w:val="clear" w:color="auto" w:fill="FFFFFF"/>
        <w:spacing w:before="0" w:beforeAutospacing="0" w:after="0" w:afterAutospacing="0"/>
        <w:jc w:val="both"/>
        <w:rPr>
          <w:rFonts w:ascii="Times New Roman" w:hAnsi="Times New Roman" w:cstheme="minorBidi"/>
          <w:sz w:val="24"/>
          <w:szCs w:val="24"/>
          <w:lang w:eastAsia="sk-SK"/>
        </w:rPr>
      </w:pPr>
    </w:p>
    <w:p w:rsidR="00E76A23" w:rsidRPr="00D12FB9" w:rsidRDefault="00E76A23" w:rsidP="00D12FB9">
      <w:pPr>
        <w:pStyle w:val="default0"/>
        <w:shd w:val="clear" w:color="auto" w:fill="FFFFFF"/>
        <w:spacing w:before="8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Podpora</w:t>
      </w:r>
      <w:r w:rsidRPr="00E76A23">
        <w:rPr>
          <w:rFonts w:ascii="Times New Roman" w:hAnsi="Times New Roman" w:cs="Times New Roman"/>
          <w:sz w:val="24"/>
          <w:szCs w:val="24"/>
        </w:rPr>
        <w:t xml:space="preserve"> a zveľaďovanie národných kultúrnych a historických pamiatok, spojených s lesným hospodárstvom a poľovníctvom, ich zachovanie a obnova,  ochrana ich rôznorodosti a vý</w:t>
      </w:r>
      <w:r>
        <w:rPr>
          <w:rFonts w:ascii="Times New Roman" w:hAnsi="Times New Roman" w:cs="Times New Roman"/>
          <w:sz w:val="24"/>
          <w:szCs w:val="24"/>
        </w:rPr>
        <w:t>nimočnosti pre budúce generácie je úzko prepojená s realizáciou prioritnej úlohy „</w:t>
      </w:r>
      <w:r w:rsidRPr="00E76A23">
        <w:rPr>
          <w:rFonts w:ascii="Times New Roman" w:hAnsi="Times New Roman" w:cs="Times New Roman"/>
          <w:sz w:val="24"/>
          <w:szCs w:val="24"/>
        </w:rPr>
        <w:t>Podpora diverzifikačnej činnosti drobných obhospodarovateľov lesa</w:t>
      </w:r>
      <w:r>
        <w:rPr>
          <w:rFonts w:ascii="Times New Roman" w:hAnsi="Times New Roman" w:cs="Times New Roman"/>
          <w:sz w:val="24"/>
          <w:szCs w:val="24"/>
        </w:rPr>
        <w:t xml:space="preserve">“. </w:t>
      </w:r>
      <w:r>
        <w:rPr>
          <w:rFonts w:ascii="Times New Roman" w:hAnsi="Times New Roman"/>
          <w:sz w:val="24"/>
          <w:szCs w:val="24"/>
        </w:rPr>
        <w:t xml:space="preserve">Celkové náklady na </w:t>
      </w:r>
      <w:r>
        <w:rPr>
          <w:rFonts w:ascii="Times New Roman" w:hAnsi="Times New Roman"/>
          <w:sz w:val="24"/>
          <w:szCs w:val="24"/>
        </w:rPr>
        <w:lastRenderedPageBreak/>
        <w:t xml:space="preserve">realizáciou tejto prioritnej úlohy sa predpokladajú v objeme </w:t>
      </w:r>
      <w:r w:rsidR="00B51797">
        <w:rPr>
          <w:rFonts w:ascii="Times New Roman" w:hAnsi="Times New Roman"/>
          <w:sz w:val="24"/>
          <w:szCs w:val="24"/>
        </w:rPr>
        <w:t> 5</w:t>
      </w:r>
      <w:r>
        <w:rPr>
          <w:rFonts w:ascii="Times New Roman" w:hAnsi="Times New Roman"/>
          <w:sz w:val="24"/>
          <w:szCs w:val="24"/>
        </w:rPr>
        <w:t xml:space="preserve">00 000 EUR, pričom by malo dôjsť k rekonštrukcii existujúcich </w:t>
      </w:r>
      <w:r w:rsidR="00B16AD0">
        <w:rPr>
          <w:rFonts w:ascii="Times New Roman" w:hAnsi="Times New Roman"/>
          <w:sz w:val="24"/>
          <w:szCs w:val="24"/>
        </w:rPr>
        <w:t>kultúrnych a historických pamiatok spojených s lesníctvom</w:t>
      </w:r>
      <w:r>
        <w:rPr>
          <w:rFonts w:ascii="Times New Roman" w:hAnsi="Times New Roman"/>
          <w:sz w:val="24"/>
          <w:szCs w:val="24"/>
        </w:rPr>
        <w:t xml:space="preserve">. </w:t>
      </w:r>
    </w:p>
    <w:p w:rsidR="00E76A23" w:rsidRDefault="00E76A23" w:rsidP="00E76A23">
      <w:pPr>
        <w:spacing w:after="0" w:line="240" w:lineRule="auto"/>
        <w:jc w:val="both"/>
        <w:rPr>
          <w:rFonts w:ascii="Times New Roman" w:eastAsia="Calibri" w:hAnsi="Times New Roman"/>
          <w:sz w:val="24"/>
          <w:szCs w:val="24"/>
        </w:rPr>
      </w:pPr>
    </w:p>
    <w:p w:rsidR="00B16AD0" w:rsidRPr="00B16AD0" w:rsidRDefault="00E76A23" w:rsidP="00B16AD0">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Z hľadiska geografickej </w:t>
      </w:r>
      <w:proofErr w:type="spellStart"/>
      <w:r>
        <w:rPr>
          <w:rFonts w:ascii="Times New Roman" w:eastAsia="Calibri" w:hAnsi="Times New Roman"/>
          <w:sz w:val="24"/>
          <w:szCs w:val="24"/>
        </w:rPr>
        <w:t>prioritizácie</w:t>
      </w:r>
      <w:proofErr w:type="spellEnd"/>
      <w:r>
        <w:rPr>
          <w:rFonts w:ascii="Times New Roman" w:eastAsia="Calibri" w:hAnsi="Times New Roman"/>
          <w:sz w:val="24"/>
          <w:szCs w:val="24"/>
        </w:rPr>
        <w:t xml:space="preserve"> je potrebné sústrediť sa na </w:t>
      </w:r>
      <w:r w:rsidR="00B16AD0">
        <w:rPr>
          <w:rFonts w:ascii="Times New Roman" w:eastAsia="Calibri" w:hAnsi="Times New Roman"/>
          <w:sz w:val="24"/>
          <w:szCs w:val="24"/>
        </w:rPr>
        <w:t xml:space="preserve">podporu kultúrnych a historických pamiatok </w:t>
      </w:r>
      <w:r>
        <w:rPr>
          <w:rFonts w:ascii="Times New Roman" w:eastAsia="Calibri" w:hAnsi="Times New Roman"/>
          <w:sz w:val="24"/>
          <w:szCs w:val="24"/>
        </w:rPr>
        <w:t xml:space="preserve">hlavne </w:t>
      </w:r>
      <w:r w:rsidR="00B16AD0">
        <w:rPr>
          <w:rFonts w:ascii="Times New Roman" w:eastAsia="Calibri" w:hAnsi="Times New Roman"/>
          <w:sz w:val="24"/>
          <w:szCs w:val="24"/>
        </w:rPr>
        <w:t>v oblastiach v okolí významných</w:t>
      </w:r>
      <w:r>
        <w:rPr>
          <w:rFonts w:ascii="Times New Roman" w:eastAsia="Calibri" w:hAnsi="Times New Roman"/>
          <w:sz w:val="24"/>
          <w:szCs w:val="24"/>
        </w:rPr>
        <w:t xml:space="preserve"> lesníckych miest. Špecifikovaný objem finančných prostriedkov na naplnenie tejto prioritnej úlohy zabezpečí</w:t>
      </w:r>
      <w:r w:rsidR="00B16AD0">
        <w:rPr>
          <w:rFonts w:ascii="Times New Roman" w:eastAsia="Calibri" w:hAnsi="Times New Roman"/>
          <w:sz w:val="24"/>
          <w:szCs w:val="24"/>
        </w:rPr>
        <w:t xml:space="preserve"> predovšetkým:</w:t>
      </w:r>
    </w:p>
    <w:p w:rsidR="00B16AD0" w:rsidRPr="00850910" w:rsidRDefault="00B16AD0" w:rsidP="000D68DC">
      <w:pPr>
        <w:pStyle w:val="Odsekzoznamu"/>
        <w:numPr>
          <w:ilvl w:val="0"/>
          <w:numId w:val="9"/>
        </w:numPr>
        <w:spacing w:after="0" w:line="240" w:lineRule="auto"/>
        <w:jc w:val="both"/>
        <w:rPr>
          <w:rFonts w:ascii="Times New Roman" w:eastAsia="Calibri" w:hAnsi="Times New Roman"/>
          <w:sz w:val="24"/>
          <w:szCs w:val="24"/>
        </w:rPr>
      </w:pPr>
      <w:r w:rsidRPr="00B16AD0">
        <w:rPr>
          <w:rFonts w:ascii="Times New Roman" w:eastAsia="Calibri" w:hAnsi="Times New Roman"/>
          <w:sz w:val="24"/>
          <w:szCs w:val="24"/>
        </w:rPr>
        <w:t>opravy múzejných exponátov</w:t>
      </w:r>
      <w:r w:rsidR="00850910">
        <w:rPr>
          <w:rFonts w:ascii="Times New Roman" w:eastAsia="Calibri" w:hAnsi="Times New Roman"/>
          <w:sz w:val="24"/>
          <w:szCs w:val="24"/>
        </w:rPr>
        <w:t xml:space="preserve"> a </w:t>
      </w:r>
      <w:r w:rsidRPr="00850910">
        <w:rPr>
          <w:rFonts w:ascii="Times New Roman" w:eastAsia="Calibri" w:hAnsi="Times New Roman"/>
          <w:sz w:val="24"/>
          <w:szCs w:val="24"/>
        </w:rPr>
        <w:t>nákup nových múzejných exponátov,</w:t>
      </w:r>
    </w:p>
    <w:p w:rsidR="009166C7" w:rsidRDefault="00B16AD0" w:rsidP="000D68DC">
      <w:pPr>
        <w:pStyle w:val="Odsekzoznamu"/>
        <w:numPr>
          <w:ilvl w:val="0"/>
          <w:numId w:val="9"/>
        </w:numPr>
        <w:spacing w:after="0" w:line="240" w:lineRule="auto"/>
        <w:jc w:val="both"/>
        <w:rPr>
          <w:rFonts w:ascii="Times New Roman" w:eastAsia="Calibri" w:hAnsi="Times New Roman"/>
          <w:sz w:val="24"/>
          <w:szCs w:val="24"/>
        </w:rPr>
      </w:pPr>
      <w:r w:rsidRPr="00B16AD0">
        <w:rPr>
          <w:rFonts w:ascii="Times New Roman" w:eastAsia="Calibri" w:hAnsi="Times New Roman"/>
          <w:sz w:val="24"/>
          <w:szCs w:val="24"/>
        </w:rPr>
        <w:t>vybavenie dielní,</w:t>
      </w:r>
      <w:r w:rsidR="002A7940">
        <w:rPr>
          <w:rFonts w:ascii="Times New Roman" w:eastAsia="Calibri" w:hAnsi="Times New Roman"/>
          <w:sz w:val="24"/>
          <w:szCs w:val="24"/>
        </w:rPr>
        <w:t xml:space="preserve"> </w:t>
      </w:r>
      <w:r w:rsidRPr="00850910">
        <w:rPr>
          <w:rFonts w:ascii="Times New Roman" w:eastAsia="Calibri" w:hAnsi="Times New Roman"/>
          <w:sz w:val="24"/>
          <w:szCs w:val="24"/>
        </w:rPr>
        <w:t>opravy technických pamiatok a podobne.</w:t>
      </w:r>
    </w:p>
    <w:p w:rsidR="003F06B5" w:rsidRDefault="003F06B5" w:rsidP="003F06B5">
      <w:pPr>
        <w:spacing w:after="0" w:line="240" w:lineRule="auto"/>
        <w:jc w:val="both"/>
        <w:rPr>
          <w:rFonts w:ascii="Times New Roman" w:eastAsia="Calibri" w:hAnsi="Times New Roman"/>
          <w:sz w:val="24"/>
          <w:szCs w:val="24"/>
        </w:rPr>
      </w:pPr>
    </w:p>
    <w:p w:rsidR="003F06B5" w:rsidRDefault="003F06B5" w:rsidP="003F06B5">
      <w:pPr>
        <w:spacing w:after="0" w:line="240" w:lineRule="auto"/>
        <w:jc w:val="both"/>
        <w:rPr>
          <w:rFonts w:ascii="Times New Roman" w:eastAsia="Calibri" w:hAnsi="Times New Roman"/>
          <w:sz w:val="24"/>
          <w:szCs w:val="24"/>
        </w:rPr>
      </w:pPr>
    </w:p>
    <w:p w:rsidR="003F06B5" w:rsidRPr="00352722" w:rsidRDefault="003F06B5" w:rsidP="000D68DC">
      <w:pPr>
        <w:pStyle w:val="Nadpis2"/>
        <w:numPr>
          <w:ilvl w:val="1"/>
          <w:numId w:val="8"/>
        </w:numPr>
      </w:pPr>
      <w:bookmarkStart w:id="53" w:name="_Toc359550674"/>
      <w:r>
        <w:t>Identifikované scenáre vývoja z hľadiska zabezpečenia trvalo udržateľného obhospodarovania lesov</w:t>
      </w:r>
      <w:bookmarkEnd w:id="53"/>
    </w:p>
    <w:p w:rsidR="003F06B5" w:rsidRDefault="003F06B5" w:rsidP="003F06B5">
      <w:pPr>
        <w:spacing w:after="0" w:line="240" w:lineRule="auto"/>
        <w:jc w:val="both"/>
        <w:rPr>
          <w:rFonts w:ascii="Times New Roman" w:hAnsi="Times New Roman" w:cs="Times New Roman"/>
          <w:sz w:val="24"/>
          <w:szCs w:val="24"/>
        </w:rPr>
      </w:pPr>
    </w:p>
    <w:p w:rsidR="003F06B5" w:rsidRDefault="003F06B5" w:rsidP="003F0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základe vykonaných analýz ekonomického, ekologického a sociálneho aspektu trvalo udržateľného obhospodarovania lesov boli identifikované tieto prioritné úlohy.</w:t>
      </w:r>
    </w:p>
    <w:p w:rsidR="003F06B5" w:rsidRDefault="003F06B5" w:rsidP="003F06B5">
      <w:pPr>
        <w:tabs>
          <w:tab w:val="left" w:pos="993"/>
        </w:tabs>
        <w:spacing w:after="0" w:line="240" w:lineRule="auto"/>
        <w:ind w:left="993" w:hanging="993"/>
        <w:jc w:val="both"/>
        <w:rPr>
          <w:rFonts w:ascii="Times New Roman" w:hAnsi="Times New Roman" w:cs="Times New Roman"/>
          <w:sz w:val="20"/>
          <w:szCs w:val="20"/>
        </w:rPr>
      </w:pPr>
    </w:p>
    <w:p w:rsidR="003F06B5" w:rsidRPr="009B2487" w:rsidRDefault="00C970F8" w:rsidP="003F06B5">
      <w:pPr>
        <w:tabs>
          <w:tab w:val="left"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t>Tab. č. 47</w:t>
      </w:r>
      <w:r w:rsidR="003F06B5" w:rsidRPr="00A855A4">
        <w:rPr>
          <w:rFonts w:ascii="Times New Roman" w:hAnsi="Times New Roman" w:cs="Times New Roman"/>
          <w:sz w:val="20"/>
          <w:szCs w:val="20"/>
        </w:rPr>
        <w:t xml:space="preserve">: </w:t>
      </w:r>
      <w:r w:rsidR="003F06B5">
        <w:rPr>
          <w:rFonts w:ascii="Times New Roman" w:hAnsi="Times New Roman" w:cs="Times New Roman"/>
          <w:sz w:val="20"/>
          <w:szCs w:val="20"/>
        </w:rPr>
        <w:tab/>
      </w:r>
      <w:r w:rsidR="003057C1">
        <w:rPr>
          <w:rFonts w:ascii="Times New Roman" w:hAnsi="Times New Roman" w:cs="Times New Roman"/>
          <w:sz w:val="20"/>
          <w:szCs w:val="20"/>
        </w:rPr>
        <w:t>Identifikované prioritné úlohy z hľadiska zabezpečenia trvalo udržateľného obhospodarovania lesov</w:t>
      </w:r>
    </w:p>
    <w:tbl>
      <w:tblPr>
        <w:tblW w:w="9600" w:type="dxa"/>
        <w:tblInd w:w="55" w:type="dxa"/>
        <w:tblCellMar>
          <w:left w:w="70" w:type="dxa"/>
          <w:right w:w="70" w:type="dxa"/>
        </w:tblCellMar>
        <w:tblLook w:val="04A0" w:firstRow="1" w:lastRow="0" w:firstColumn="1" w:lastColumn="0" w:noHBand="0" w:noVBand="1"/>
      </w:tblPr>
      <w:tblGrid>
        <w:gridCol w:w="2740"/>
        <w:gridCol w:w="6860"/>
      </w:tblGrid>
      <w:tr w:rsidR="003F06B5" w:rsidRPr="009B2487" w:rsidTr="00FF06E1">
        <w:trPr>
          <w:trHeight w:val="379"/>
        </w:trPr>
        <w:tc>
          <w:tcPr>
            <w:tcW w:w="2740" w:type="dxa"/>
            <w:tcBorders>
              <w:top w:val="single" w:sz="4" w:space="0" w:color="auto"/>
              <w:left w:val="nil"/>
              <w:right w:val="single" w:sz="4" w:space="0" w:color="auto"/>
            </w:tcBorders>
            <w:shd w:val="clear" w:color="000000" w:fill="F2F2F2"/>
            <w:noWrap/>
          </w:tcPr>
          <w:p w:rsidR="003F06B5" w:rsidRDefault="003F06B5" w:rsidP="00FF06E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Ekonomický aspekt</w:t>
            </w:r>
          </w:p>
        </w:tc>
        <w:tc>
          <w:tcPr>
            <w:tcW w:w="6860" w:type="dxa"/>
            <w:tcBorders>
              <w:top w:val="single" w:sz="4" w:space="0" w:color="auto"/>
              <w:left w:val="nil"/>
              <w:bottom w:val="single" w:sz="4" w:space="0" w:color="auto"/>
              <w:right w:val="nil"/>
            </w:tcBorders>
            <w:shd w:val="clear" w:color="000000" w:fill="F2F2F2"/>
          </w:tcPr>
          <w:p w:rsidR="003F06B5" w:rsidRDefault="00B85667" w:rsidP="00FF06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zabezpečiť obstaranie nových mechanizmov na približovanie a odvoz vyťaženého dreva s vyššími výkonnostnými parametrami, s priaznivejším vplyvom na životné prostredie</w:t>
            </w:r>
          </w:p>
        </w:tc>
      </w:tr>
      <w:tr w:rsidR="003F06B5" w:rsidRPr="009B2487" w:rsidTr="003057C1">
        <w:trPr>
          <w:trHeight w:val="553"/>
        </w:trPr>
        <w:tc>
          <w:tcPr>
            <w:tcW w:w="2740" w:type="dxa"/>
            <w:tcBorders>
              <w:left w:val="nil"/>
              <w:right w:val="single" w:sz="4" w:space="0" w:color="auto"/>
            </w:tcBorders>
            <w:shd w:val="clear" w:color="000000" w:fill="F2F2F2"/>
            <w:noWrap/>
            <w:hideMark/>
          </w:tcPr>
          <w:p w:rsidR="003F06B5" w:rsidRPr="00DB49CD" w:rsidRDefault="003F06B5" w:rsidP="00FF06E1">
            <w:pPr>
              <w:spacing w:after="0" w:line="240" w:lineRule="auto"/>
              <w:rPr>
                <w:rFonts w:ascii="Times New Roman" w:eastAsia="Times New Roman" w:hAnsi="Times New Roman" w:cs="Times New Roman"/>
                <w:b/>
                <w:bCs/>
                <w:color w:val="000000"/>
                <w:sz w:val="24"/>
                <w:szCs w:val="24"/>
              </w:rPr>
            </w:pPr>
          </w:p>
        </w:tc>
        <w:tc>
          <w:tcPr>
            <w:tcW w:w="6860" w:type="dxa"/>
            <w:tcBorders>
              <w:top w:val="single" w:sz="4" w:space="0" w:color="auto"/>
              <w:left w:val="single" w:sz="4" w:space="0" w:color="auto"/>
              <w:bottom w:val="single" w:sz="4" w:space="0" w:color="auto"/>
              <w:right w:val="nil"/>
            </w:tcBorders>
            <w:shd w:val="clear" w:color="000000" w:fill="F2F2F2"/>
            <w:hideMark/>
          </w:tcPr>
          <w:p w:rsidR="003F06B5" w:rsidRPr="00DB49CD" w:rsidRDefault="00B85667" w:rsidP="00FF06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podporiť pestovanie energetických porastov v strednodobom horizonte na výmere 7 500 ha</w:t>
            </w:r>
          </w:p>
        </w:tc>
      </w:tr>
      <w:tr w:rsidR="003F06B5" w:rsidRPr="009B2487" w:rsidTr="003057C1">
        <w:trPr>
          <w:trHeight w:val="561"/>
        </w:trPr>
        <w:tc>
          <w:tcPr>
            <w:tcW w:w="2740" w:type="dxa"/>
            <w:tcBorders>
              <w:left w:val="nil"/>
              <w:bottom w:val="single" w:sz="4" w:space="0" w:color="auto"/>
              <w:right w:val="single" w:sz="4" w:space="0" w:color="auto"/>
            </w:tcBorders>
            <w:shd w:val="clear" w:color="auto" w:fill="F2F2F2" w:themeFill="background1" w:themeFillShade="F2"/>
            <w:noWrap/>
            <w:hideMark/>
          </w:tcPr>
          <w:p w:rsidR="003F06B5" w:rsidRPr="00DB49CD" w:rsidRDefault="003F06B5" w:rsidP="00FF06E1">
            <w:pPr>
              <w:spacing w:after="0" w:line="240" w:lineRule="auto"/>
              <w:rPr>
                <w:rFonts w:ascii="Times New Roman" w:eastAsia="Times New Roman" w:hAnsi="Times New Roman" w:cs="Times New Roman"/>
                <w:b/>
                <w:bCs/>
                <w:color w:val="000000"/>
                <w:sz w:val="24"/>
                <w:szCs w:val="24"/>
              </w:rPr>
            </w:pPr>
          </w:p>
        </w:tc>
        <w:tc>
          <w:tcPr>
            <w:tcW w:w="6860" w:type="dxa"/>
            <w:tcBorders>
              <w:top w:val="single" w:sz="4" w:space="0" w:color="auto"/>
              <w:left w:val="nil"/>
              <w:bottom w:val="single" w:sz="4" w:space="0" w:color="auto"/>
              <w:right w:val="nil"/>
            </w:tcBorders>
            <w:shd w:val="clear" w:color="auto" w:fill="F2F2F2" w:themeFill="background1" w:themeFillShade="F2"/>
            <w:hideMark/>
          </w:tcPr>
          <w:p w:rsidR="003F06B5" w:rsidRPr="00DB49CD" w:rsidRDefault="00B85667" w:rsidP="00B856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podporiť urýchlené </w:t>
            </w:r>
            <w:proofErr w:type="spellStart"/>
            <w:r>
              <w:rPr>
                <w:rFonts w:ascii="Times New Roman" w:eastAsia="Times New Roman" w:hAnsi="Times New Roman" w:cs="Times New Roman"/>
                <w:color w:val="000000"/>
                <w:sz w:val="24"/>
                <w:szCs w:val="24"/>
              </w:rPr>
              <w:t>vysporiadanie</w:t>
            </w:r>
            <w:proofErr w:type="spellEnd"/>
            <w:r>
              <w:rPr>
                <w:rFonts w:ascii="Times New Roman" w:eastAsia="Times New Roman" w:hAnsi="Times New Roman" w:cs="Times New Roman"/>
                <w:color w:val="000000"/>
                <w:sz w:val="24"/>
                <w:szCs w:val="24"/>
              </w:rPr>
              <w:t xml:space="preserve"> vlastníckych a užívateľských práv k lesným pozemkom a majetku vo výmere 207 643 ha </w:t>
            </w:r>
          </w:p>
        </w:tc>
      </w:tr>
      <w:tr w:rsidR="003F06B5" w:rsidRPr="009B2487" w:rsidTr="003D76CD">
        <w:trPr>
          <w:trHeight w:val="1122"/>
        </w:trPr>
        <w:tc>
          <w:tcPr>
            <w:tcW w:w="2740" w:type="dxa"/>
            <w:tcBorders>
              <w:top w:val="single" w:sz="4" w:space="0" w:color="auto"/>
              <w:left w:val="nil"/>
              <w:right w:val="single" w:sz="4" w:space="0" w:color="auto"/>
            </w:tcBorders>
            <w:shd w:val="clear" w:color="auto" w:fill="auto"/>
            <w:noWrap/>
            <w:hideMark/>
          </w:tcPr>
          <w:p w:rsidR="003F06B5" w:rsidRPr="00DB49CD" w:rsidRDefault="00B85667" w:rsidP="00FF06E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Ekologický aspekt</w:t>
            </w:r>
          </w:p>
        </w:tc>
        <w:tc>
          <w:tcPr>
            <w:tcW w:w="6860" w:type="dxa"/>
            <w:tcBorders>
              <w:top w:val="single" w:sz="4" w:space="0" w:color="auto"/>
              <w:left w:val="single" w:sz="4" w:space="0" w:color="auto"/>
              <w:bottom w:val="single" w:sz="4" w:space="0" w:color="auto"/>
              <w:right w:val="nil"/>
            </w:tcBorders>
            <w:shd w:val="clear" w:color="auto" w:fill="auto"/>
            <w:hideMark/>
          </w:tcPr>
          <w:p w:rsidR="003F06B5" w:rsidRPr="00DB49CD" w:rsidRDefault="00FF06E1" w:rsidP="00FF06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t>
            </w:r>
            <w:r w:rsidR="00B85667">
              <w:rPr>
                <w:rFonts w:ascii="Times New Roman" w:eastAsia="Times New Roman" w:hAnsi="Times New Roman" w:cs="Times New Roman"/>
                <w:color w:val="000000"/>
                <w:sz w:val="24"/>
                <w:szCs w:val="24"/>
              </w:rPr>
              <w:t>abezpečiť systémové zabezpečenie ochrany lesných pozemkov, priľahlých poľnohospodárskych pozemkov a intravilánov obcí pred povod</w:t>
            </w:r>
            <w:r>
              <w:rPr>
                <w:rFonts w:ascii="Times New Roman" w:eastAsia="Times New Roman" w:hAnsi="Times New Roman" w:cs="Times New Roman"/>
                <w:color w:val="000000"/>
                <w:sz w:val="24"/>
                <w:szCs w:val="24"/>
              </w:rPr>
              <w:t>ňami na celej dĺžke drobných vodných tokov v správe štátnych organizácií lesného hospodárstva, t.j. v celkovej dĺžke 18 555,93 km</w:t>
            </w:r>
          </w:p>
        </w:tc>
      </w:tr>
      <w:tr w:rsidR="003F06B5" w:rsidRPr="009B2487" w:rsidTr="003057C1">
        <w:trPr>
          <w:trHeight w:val="841"/>
        </w:trPr>
        <w:tc>
          <w:tcPr>
            <w:tcW w:w="2740" w:type="dxa"/>
            <w:tcBorders>
              <w:left w:val="nil"/>
              <w:bottom w:val="nil"/>
              <w:right w:val="single" w:sz="4" w:space="0" w:color="auto"/>
            </w:tcBorders>
            <w:shd w:val="clear" w:color="auto" w:fill="auto"/>
            <w:noWrap/>
            <w:hideMark/>
          </w:tcPr>
          <w:p w:rsidR="003F06B5" w:rsidRPr="00DB49CD" w:rsidRDefault="003F06B5" w:rsidP="00FF06E1">
            <w:pPr>
              <w:spacing w:after="0" w:line="240" w:lineRule="auto"/>
              <w:rPr>
                <w:rFonts w:ascii="Times New Roman" w:eastAsia="Times New Roman" w:hAnsi="Times New Roman" w:cs="Times New Roman"/>
                <w:b/>
                <w:bCs/>
                <w:color w:val="000000"/>
                <w:sz w:val="24"/>
                <w:szCs w:val="24"/>
              </w:rPr>
            </w:pPr>
          </w:p>
        </w:tc>
        <w:tc>
          <w:tcPr>
            <w:tcW w:w="6860" w:type="dxa"/>
            <w:tcBorders>
              <w:top w:val="single" w:sz="4" w:space="0" w:color="auto"/>
              <w:left w:val="nil"/>
              <w:bottom w:val="single" w:sz="4" w:space="0" w:color="auto"/>
              <w:right w:val="nil"/>
            </w:tcBorders>
            <w:shd w:val="clear" w:color="auto" w:fill="auto"/>
            <w:hideMark/>
          </w:tcPr>
          <w:p w:rsidR="003F06B5" w:rsidRPr="00373B3E" w:rsidRDefault="003057C1" w:rsidP="00FF0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zabezpečiť dostatok vhodných genetických zdrojov lesných drevín s priamym vplyvom na produkciu dreva ako suroviny pre drevospracujúci priemysel</w:t>
            </w:r>
          </w:p>
        </w:tc>
      </w:tr>
      <w:tr w:rsidR="003F06B5" w:rsidRPr="009B2487" w:rsidTr="003057C1">
        <w:trPr>
          <w:trHeight w:val="839"/>
        </w:trPr>
        <w:tc>
          <w:tcPr>
            <w:tcW w:w="2740" w:type="dxa"/>
            <w:tcBorders>
              <w:top w:val="nil"/>
              <w:left w:val="nil"/>
              <w:bottom w:val="single" w:sz="4" w:space="0" w:color="auto"/>
              <w:right w:val="single" w:sz="4" w:space="0" w:color="auto"/>
            </w:tcBorders>
            <w:shd w:val="clear" w:color="auto" w:fill="auto"/>
            <w:noWrap/>
          </w:tcPr>
          <w:p w:rsidR="003F06B5" w:rsidRDefault="003F06B5" w:rsidP="00FF06E1">
            <w:pPr>
              <w:spacing w:after="0" w:line="240" w:lineRule="auto"/>
              <w:rPr>
                <w:rFonts w:ascii="Times New Roman" w:eastAsia="Times New Roman" w:hAnsi="Times New Roman" w:cs="Times New Roman"/>
                <w:b/>
                <w:bCs/>
                <w:color w:val="000000"/>
                <w:sz w:val="24"/>
                <w:szCs w:val="24"/>
              </w:rPr>
            </w:pPr>
          </w:p>
        </w:tc>
        <w:tc>
          <w:tcPr>
            <w:tcW w:w="6860" w:type="dxa"/>
            <w:tcBorders>
              <w:top w:val="single" w:sz="4" w:space="0" w:color="auto"/>
              <w:left w:val="nil"/>
              <w:bottom w:val="single" w:sz="4" w:space="0" w:color="auto"/>
              <w:right w:val="nil"/>
            </w:tcBorders>
            <w:shd w:val="clear" w:color="auto" w:fill="auto"/>
          </w:tcPr>
          <w:p w:rsidR="003F06B5" w:rsidRPr="00DB49CD" w:rsidRDefault="003057C1" w:rsidP="00FF06E1">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zabezpečiť rozsah obnovy lesa vo výmere 120 000 ha primeraným objemom mladého lesného porastu a realizovať </w:t>
            </w:r>
            <w:proofErr w:type="spellStart"/>
            <w:r>
              <w:rPr>
                <w:rFonts w:ascii="Times New Roman" w:hAnsi="Times New Roman" w:cs="Times New Roman"/>
                <w:sz w:val="24"/>
                <w:szCs w:val="24"/>
              </w:rPr>
              <w:t>prečistky</w:t>
            </w:r>
            <w:proofErr w:type="spellEnd"/>
            <w:r>
              <w:rPr>
                <w:rFonts w:ascii="Times New Roman" w:hAnsi="Times New Roman" w:cs="Times New Roman"/>
                <w:sz w:val="24"/>
                <w:szCs w:val="24"/>
              </w:rPr>
              <w:t xml:space="preserve"> a prebierky na rozlohe 100 000 ha lesa</w:t>
            </w:r>
          </w:p>
        </w:tc>
      </w:tr>
      <w:tr w:rsidR="003F06B5" w:rsidRPr="009B2487" w:rsidTr="003057C1">
        <w:trPr>
          <w:trHeight w:val="553"/>
        </w:trPr>
        <w:tc>
          <w:tcPr>
            <w:tcW w:w="2740" w:type="dxa"/>
            <w:tcBorders>
              <w:top w:val="single" w:sz="4" w:space="0" w:color="auto"/>
              <w:left w:val="nil"/>
              <w:bottom w:val="nil"/>
              <w:right w:val="single" w:sz="4" w:space="0" w:color="auto"/>
            </w:tcBorders>
            <w:shd w:val="clear" w:color="auto" w:fill="F2F2F2" w:themeFill="background1" w:themeFillShade="F2"/>
            <w:noWrap/>
          </w:tcPr>
          <w:p w:rsidR="003F06B5" w:rsidRDefault="003057C1" w:rsidP="00FF06E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Sociálny aspekt</w:t>
            </w:r>
          </w:p>
        </w:tc>
        <w:tc>
          <w:tcPr>
            <w:tcW w:w="6860" w:type="dxa"/>
            <w:tcBorders>
              <w:top w:val="single" w:sz="4" w:space="0" w:color="auto"/>
              <w:left w:val="nil"/>
              <w:bottom w:val="single" w:sz="4" w:space="0" w:color="auto"/>
              <w:right w:val="nil"/>
            </w:tcBorders>
            <w:shd w:val="clear" w:color="auto" w:fill="F2F2F2" w:themeFill="background1" w:themeFillShade="F2"/>
          </w:tcPr>
          <w:p w:rsidR="003F06B5" w:rsidRDefault="003057C1" w:rsidP="00FF06E1">
            <w:pPr>
              <w:spacing w:after="0" w:line="240" w:lineRule="auto"/>
              <w:rPr>
                <w:rFonts w:ascii="Times New Roman" w:hAnsi="Times New Roman" w:cs="Times New Roman"/>
                <w:sz w:val="24"/>
                <w:szCs w:val="24"/>
              </w:rPr>
            </w:pPr>
            <w:r>
              <w:rPr>
                <w:rFonts w:ascii="Times New Roman" w:hAnsi="Times New Roman" w:cs="Times New Roman"/>
                <w:sz w:val="24"/>
                <w:szCs w:val="24"/>
              </w:rPr>
              <w:t>zvýšiť povedomie verejnosti o význame lesov pri riešení celospoločenských problémov</w:t>
            </w:r>
          </w:p>
        </w:tc>
      </w:tr>
      <w:tr w:rsidR="003F06B5" w:rsidRPr="009B2487" w:rsidTr="003057C1">
        <w:trPr>
          <w:trHeight w:val="561"/>
        </w:trPr>
        <w:tc>
          <w:tcPr>
            <w:tcW w:w="2740" w:type="dxa"/>
            <w:tcBorders>
              <w:top w:val="nil"/>
              <w:left w:val="nil"/>
              <w:bottom w:val="single" w:sz="4" w:space="0" w:color="auto"/>
              <w:right w:val="single" w:sz="4" w:space="0" w:color="auto"/>
            </w:tcBorders>
            <w:shd w:val="clear" w:color="auto" w:fill="F2F2F2" w:themeFill="background1" w:themeFillShade="F2"/>
            <w:noWrap/>
          </w:tcPr>
          <w:p w:rsidR="003F06B5" w:rsidRDefault="003F06B5" w:rsidP="00FF06E1">
            <w:pPr>
              <w:spacing w:after="0" w:line="240" w:lineRule="auto"/>
              <w:rPr>
                <w:rFonts w:ascii="Times New Roman" w:eastAsia="Times New Roman" w:hAnsi="Times New Roman" w:cs="Times New Roman"/>
                <w:b/>
                <w:bCs/>
                <w:color w:val="000000"/>
                <w:sz w:val="24"/>
                <w:szCs w:val="24"/>
              </w:rPr>
            </w:pPr>
          </w:p>
        </w:tc>
        <w:tc>
          <w:tcPr>
            <w:tcW w:w="6860" w:type="dxa"/>
            <w:tcBorders>
              <w:top w:val="single" w:sz="4" w:space="0" w:color="auto"/>
              <w:left w:val="nil"/>
              <w:bottom w:val="single" w:sz="4" w:space="0" w:color="auto"/>
              <w:right w:val="nil"/>
            </w:tcBorders>
            <w:shd w:val="clear" w:color="auto" w:fill="F2F2F2" w:themeFill="background1" w:themeFillShade="F2"/>
          </w:tcPr>
          <w:p w:rsidR="003F06B5" w:rsidRDefault="003057C1" w:rsidP="00FF06E1">
            <w:pPr>
              <w:spacing w:after="0" w:line="240" w:lineRule="auto"/>
              <w:rPr>
                <w:rFonts w:ascii="Times New Roman" w:hAnsi="Times New Roman" w:cs="Times New Roman"/>
                <w:sz w:val="24"/>
                <w:szCs w:val="24"/>
              </w:rPr>
            </w:pPr>
            <w:r>
              <w:rPr>
                <w:rFonts w:ascii="Times New Roman" w:eastAsia="Calibri" w:hAnsi="Times New Roman"/>
                <w:sz w:val="24"/>
                <w:szCs w:val="24"/>
              </w:rPr>
              <w:t>zabezpečiť obnovu kultúrnych a historických pamiatok hlavne v oblastiach v okolí významných lesníckych miest</w:t>
            </w:r>
          </w:p>
        </w:tc>
      </w:tr>
    </w:tbl>
    <w:p w:rsidR="003F06B5" w:rsidRDefault="003F06B5" w:rsidP="003F06B5">
      <w:pPr>
        <w:spacing w:after="0" w:line="240" w:lineRule="auto"/>
        <w:jc w:val="both"/>
        <w:rPr>
          <w:rFonts w:ascii="Times New Roman" w:eastAsia="Calibri" w:hAnsi="Times New Roman"/>
          <w:sz w:val="24"/>
          <w:szCs w:val="24"/>
        </w:rPr>
      </w:pPr>
    </w:p>
    <w:p w:rsidR="007B5BCA" w:rsidRDefault="007B5BCA" w:rsidP="003F06B5">
      <w:pPr>
        <w:spacing w:after="0" w:line="240" w:lineRule="auto"/>
        <w:jc w:val="both"/>
        <w:rPr>
          <w:rFonts w:ascii="Times New Roman" w:eastAsia="Calibri" w:hAnsi="Times New Roman"/>
          <w:sz w:val="24"/>
          <w:szCs w:val="24"/>
        </w:rPr>
      </w:pPr>
    </w:p>
    <w:p w:rsidR="007B5BCA" w:rsidRDefault="007B5BCA" w:rsidP="003F06B5">
      <w:pPr>
        <w:spacing w:after="0" w:line="240" w:lineRule="auto"/>
        <w:jc w:val="both"/>
        <w:rPr>
          <w:rFonts w:ascii="Times New Roman" w:eastAsia="Calibri" w:hAnsi="Times New Roman"/>
          <w:sz w:val="24"/>
          <w:szCs w:val="24"/>
        </w:rPr>
      </w:pPr>
    </w:p>
    <w:p w:rsidR="007B5BCA" w:rsidRPr="003F06B5" w:rsidRDefault="007B5BCA" w:rsidP="003F06B5">
      <w:pPr>
        <w:spacing w:after="0" w:line="240" w:lineRule="auto"/>
        <w:jc w:val="both"/>
        <w:rPr>
          <w:rFonts w:ascii="Times New Roman" w:eastAsia="Calibri" w:hAnsi="Times New Roman"/>
          <w:sz w:val="24"/>
          <w:szCs w:val="24"/>
        </w:rPr>
      </w:pPr>
    </w:p>
    <w:p w:rsidR="00485221" w:rsidRPr="001A0A7E" w:rsidRDefault="00485221" w:rsidP="000D68DC">
      <w:pPr>
        <w:pStyle w:val="Nadpis1"/>
        <w:numPr>
          <w:ilvl w:val="0"/>
          <w:numId w:val="8"/>
        </w:numPr>
        <w:rPr>
          <w:rFonts w:cs="Times New Roman"/>
        </w:rPr>
      </w:pPr>
      <w:bookmarkStart w:id="54" w:name="_Toc359550675"/>
      <w:r w:rsidRPr="001A0A7E">
        <w:rPr>
          <w:rFonts w:cs="Times New Roman"/>
        </w:rPr>
        <w:lastRenderedPageBreak/>
        <w:t>Rozvoj vidieka a zlepšovanie životných podmienok a zamestnanosti vidieckeho obyvateľstva, predovšetkým prostredníctvom podpory sektorov, ktoré sú poten</w:t>
      </w:r>
      <w:r w:rsidR="00D56BB8" w:rsidRPr="001A0A7E">
        <w:rPr>
          <w:rFonts w:cs="Times New Roman"/>
        </w:rPr>
        <w:t>ciálnymi zdrojmi zamestnanosti</w:t>
      </w:r>
      <w:bookmarkEnd w:id="54"/>
    </w:p>
    <w:p w:rsidR="00485221" w:rsidRDefault="00485221" w:rsidP="00485221">
      <w:pPr>
        <w:pBdr>
          <w:bottom w:val="single" w:sz="4" w:space="1" w:color="auto"/>
        </w:pBdr>
        <w:spacing w:after="0" w:line="240" w:lineRule="auto"/>
        <w:ind w:left="1418" w:hanging="1418"/>
        <w:jc w:val="both"/>
        <w:rPr>
          <w:rFonts w:ascii="Times New Roman" w:hAnsi="Times New Roman" w:cs="Times New Roman"/>
          <w:b/>
          <w:sz w:val="28"/>
          <w:szCs w:val="28"/>
        </w:rPr>
      </w:pPr>
    </w:p>
    <w:p w:rsidR="00440A22" w:rsidRDefault="00440A22" w:rsidP="00440A22">
      <w:pPr>
        <w:spacing w:after="0" w:line="240" w:lineRule="auto"/>
        <w:jc w:val="both"/>
        <w:rPr>
          <w:rFonts w:ascii="Times New Roman" w:eastAsia="Calibri" w:hAnsi="Times New Roman"/>
          <w:sz w:val="24"/>
          <w:szCs w:val="24"/>
        </w:rPr>
      </w:pPr>
    </w:p>
    <w:p w:rsidR="00440A22" w:rsidRPr="00C814AB" w:rsidRDefault="00440A22" w:rsidP="00440A22">
      <w:pPr>
        <w:spacing w:after="0" w:line="240" w:lineRule="auto"/>
        <w:jc w:val="both"/>
        <w:rPr>
          <w:rFonts w:ascii="Times New Roman" w:hAnsi="Times New Roman"/>
          <w:sz w:val="24"/>
          <w:szCs w:val="24"/>
        </w:rPr>
      </w:pPr>
      <w:r w:rsidRPr="00C814AB">
        <w:rPr>
          <w:rFonts w:ascii="Times New Roman" w:eastAsia="Calibri" w:hAnsi="Times New Roman"/>
          <w:sz w:val="24"/>
          <w:szCs w:val="24"/>
        </w:rPr>
        <w:t xml:space="preserve">Charakteristickým rysom slovenskej sídelnej štruktúry je vysoká prevaha sídiel do 5 000 obyvateľov a z celkového počtu sídiel najpočetnejšiu skupinu tvoria malé obce do 500 obyvateľov. </w:t>
      </w:r>
      <w:r w:rsidRPr="00C814AB">
        <w:rPr>
          <w:rFonts w:ascii="Times New Roman" w:hAnsi="Times New Roman"/>
          <w:sz w:val="24"/>
          <w:szCs w:val="24"/>
        </w:rPr>
        <w:t>Na Slovensku žije 5, 42 mil. obyvateľov v 2 891 obciach – základných územných jednotkách, z ktorých bolo 138 zo štatútom mesta. Vidieckych obcí je spolu 2 535 (88,5%). Na úrovni krajov (podľa metodiky OECD) žije 11,5% obyvateľov v mestských, 25,2% v prevažne vidieckych a 63,5% obyvateľov v prechodných vidieckych regiónoch. Vo vidiec</w:t>
      </w:r>
      <w:r>
        <w:rPr>
          <w:rFonts w:ascii="Times New Roman" w:hAnsi="Times New Roman"/>
          <w:sz w:val="24"/>
          <w:szCs w:val="24"/>
        </w:rPr>
        <w:t>kych obciach dochádza k odchodu</w:t>
      </w:r>
      <w:r w:rsidRPr="00C814AB">
        <w:rPr>
          <w:rFonts w:ascii="Times New Roman" w:hAnsi="Times New Roman"/>
          <w:sz w:val="24"/>
          <w:szCs w:val="24"/>
        </w:rPr>
        <w:t xml:space="preserve"> mladého obyvateľstva za prácou, starnutiu populácie, chátraniu dedinského bytového fondu, a pod. Slovenský vidiek je charakteristický i vysokým zastúpením etnických minorít a vekovo staršou generáciou, ktorá zakladá vyššie nároky na zdravotnícku starostlivosť. Tieto sociálne skupiny sa v porovnaní s mestskou populáciou správajú odlišne a ich sociálna inklúzia je </w:t>
      </w:r>
      <w:proofErr w:type="spellStart"/>
      <w:r w:rsidRPr="00C814AB">
        <w:rPr>
          <w:rFonts w:ascii="Times New Roman" w:hAnsi="Times New Roman"/>
          <w:sz w:val="24"/>
          <w:szCs w:val="24"/>
        </w:rPr>
        <w:t>obtiažnejšia</w:t>
      </w:r>
      <w:proofErr w:type="spellEnd"/>
      <w:r w:rsidRPr="00C814AB">
        <w:rPr>
          <w:rFonts w:ascii="Times New Roman" w:hAnsi="Times New Roman"/>
          <w:sz w:val="24"/>
          <w:szCs w:val="24"/>
        </w:rPr>
        <w:t xml:space="preserve">.  </w:t>
      </w:r>
    </w:p>
    <w:p w:rsidR="00440A22" w:rsidRDefault="00440A22" w:rsidP="00440A22">
      <w:pPr>
        <w:spacing w:after="0" w:line="240" w:lineRule="auto"/>
        <w:jc w:val="both"/>
        <w:rPr>
          <w:rFonts w:ascii="Times New Roman" w:hAnsi="Times New Roman" w:cs="Times New Roman"/>
          <w:sz w:val="24"/>
          <w:szCs w:val="24"/>
        </w:rPr>
      </w:pPr>
    </w:p>
    <w:p w:rsidR="00440A22" w:rsidRPr="00440A22" w:rsidRDefault="00440A22" w:rsidP="00440A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Príčiny tohto vývoja je potrebné hľadať v životných podmienkach na vidieku, ktoré</w:t>
      </w:r>
      <w:r w:rsidRPr="00B85028">
        <w:rPr>
          <w:rFonts w:ascii="Times New Roman" w:hAnsi="Times New Roman" w:cs="Times New Roman"/>
          <w:sz w:val="24"/>
          <w:szCs w:val="24"/>
        </w:rPr>
        <w:t xml:space="preserve"> sa v čase transformácie</w:t>
      </w:r>
      <w:r>
        <w:rPr>
          <w:rFonts w:ascii="Times New Roman" w:hAnsi="Times New Roman" w:cs="Times New Roman"/>
          <w:sz w:val="24"/>
          <w:szCs w:val="24"/>
        </w:rPr>
        <w:t xml:space="preserve"> výrazne zmenili. Mnohé negatíva, ktoré priniesli zníženie dôchodkov podnikov a domácností na vidieku sa pod vplyvom finančnej, dlhovej a súčasnej krízy spotreby prehlbujú. </w:t>
      </w:r>
      <w:r w:rsidRPr="00C814AB">
        <w:rPr>
          <w:rFonts w:ascii="Times New Roman" w:hAnsi="Times New Roman"/>
          <w:sz w:val="24"/>
          <w:szCs w:val="24"/>
        </w:rPr>
        <w:t>Vidiek má oproti urbanizovaným priestorom výrazne horšie pracovné uplatnenie a mzda zamestnanca na vidieku  dosahuje približne dve tretiny mzdy zamestnanca v mestských sídlach a tieto rozdiely sa rok od roka zvyšujú.  Výraznejšie, ako v mestských regiónoch sa na vidieku sa dlhodobo zvyšuje i podiel obyvateľstva v </w:t>
      </w:r>
      <w:proofErr w:type="spellStart"/>
      <w:r w:rsidRPr="00C814AB">
        <w:rPr>
          <w:rFonts w:ascii="Times New Roman" w:hAnsi="Times New Roman"/>
          <w:sz w:val="24"/>
          <w:szCs w:val="24"/>
        </w:rPr>
        <w:t>po</w:t>
      </w:r>
      <w:r>
        <w:rPr>
          <w:rFonts w:ascii="Times New Roman" w:hAnsi="Times New Roman"/>
          <w:sz w:val="24"/>
          <w:szCs w:val="24"/>
        </w:rPr>
        <w:t>st</w:t>
      </w:r>
      <w:r w:rsidRPr="00C814AB">
        <w:rPr>
          <w:rFonts w:ascii="Times New Roman" w:hAnsi="Times New Roman"/>
          <w:sz w:val="24"/>
          <w:szCs w:val="24"/>
        </w:rPr>
        <w:t>produktívnom</w:t>
      </w:r>
      <w:proofErr w:type="spellEnd"/>
      <w:r w:rsidRPr="00C814AB">
        <w:rPr>
          <w:rFonts w:ascii="Times New Roman" w:hAnsi="Times New Roman"/>
          <w:sz w:val="24"/>
          <w:szCs w:val="24"/>
        </w:rPr>
        <w:t xml:space="preserve"> veku a naopak sa znižuje zastúpenie predproduktívneho obyvateľstva čo je spojené predovšetkým s výraznou redukciou prirodzených prírastkov (</w:t>
      </w:r>
      <w:r w:rsidRPr="00C814AB">
        <w:rPr>
          <w:rFonts w:ascii="Times New Roman" w:eastAsia="Calibri" w:hAnsi="Times New Roman"/>
          <w:sz w:val="24"/>
          <w:szCs w:val="24"/>
        </w:rPr>
        <w:t>trend narastania neproduktívnej zložky obyvateľstva na úkor produktívnej).</w:t>
      </w:r>
    </w:p>
    <w:p w:rsidR="003F06B5" w:rsidRDefault="003F06B5" w:rsidP="00440A22">
      <w:pPr>
        <w:spacing w:after="0" w:line="240" w:lineRule="auto"/>
        <w:jc w:val="both"/>
        <w:rPr>
          <w:rFonts w:ascii="Times New Roman" w:eastAsia="Calibri" w:hAnsi="Times New Roman"/>
          <w:sz w:val="24"/>
          <w:szCs w:val="24"/>
        </w:rPr>
      </w:pPr>
    </w:p>
    <w:p w:rsidR="00440A22" w:rsidRDefault="00440A22" w:rsidP="00440A22">
      <w:pPr>
        <w:spacing w:after="0" w:line="240" w:lineRule="auto"/>
        <w:jc w:val="both"/>
        <w:rPr>
          <w:rFonts w:ascii="Times New Roman" w:eastAsia="Calibri" w:hAnsi="Times New Roman"/>
          <w:sz w:val="24"/>
          <w:szCs w:val="24"/>
        </w:rPr>
      </w:pPr>
      <w:r w:rsidRPr="00C814AB">
        <w:rPr>
          <w:rFonts w:ascii="Times New Roman" w:eastAsia="Calibri" w:hAnsi="Times New Roman"/>
          <w:sz w:val="24"/>
          <w:szCs w:val="24"/>
        </w:rPr>
        <w:t>Vo vidieckych regiónoch je nižšia úroveň kval</w:t>
      </w:r>
      <w:r>
        <w:rPr>
          <w:rFonts w:ascii="Times New Roman" w:eastAsia="Calibri" w:hAnsi="Times New Roman"/>
          <w:sz w:val="24"/>
          <w:szCs w:val="24"/>
        </w:rPr>
        <w:t>ifikácie vidieckych pracovníkov</w:t>
      </w:r>
      <w:r w:rsidRPr="00C814AB">
        <w:rPr>
          <w:rFonts w:ascii="Times New Roman" w:eastAsia="Calibri" w:hAnsi="Times New Roman"/>
          <w:sz w:val="24"/>
          <w:szCs w:val="24"/>
        </w:rPr>
        <w:t xml:space="preserve"> výrazným limitom v podpore podnikania, čo komplikuje naštartovanie rozvojových trendov na vidieku a vytvára značne odlišné východiskové podmienky i rozvojové predpoklady. </w:t>
      </w:r>
      <w:r w:rsidRPr="00D56BB8">
        <w:rPr>
          <w:rFonts w:ascii="Times New Roman" w:eastAsia="Calibri" w:hAnsi="Times New Roman"/>
          <w:sz w:val="24"/>
          <w:szCs w:val="24"/>
        </w:rPr>
        <w:t xml:space="preserve">Najmä periférne regióny východného a stredného Slovenska sú charakteristické nedostatočnou ekonomickou infraštruktúrou s vysokým podielom nezamestnaného poľnohospodárskeho obyvateľstva. Tieto osoby vzhľadom k svojim štrukturálnym charakteristikám sa z hľadiska reintegrácie do trhu práce stávajú značne problémovou sociálnou skupinou. Miera nezamestnanosti vo vidieckych regiónoch je niekoľkonásobne vyššia ako nezamestnanosť v mestských regiónoch. </w:t>
      </w:r>
    </w:p>
    <w:p w:rsidR="00440A22" w:rsidRPr="00D56BB8" w:rsidRDefault="00440A22" w:rsidP="00440A22">
      <w:pPr>
        <w:spacing w:after="0" w:line="240" w:lineRule="auto"/>
        <w:jc w:val="both"/>
        <w:rPr>
          <w:rFonts w:ascii="Times New Roman" w:eastAsia="Calibri" w:hAnsi="Times New Roman"/>
          <w:sz w:val="24"/>
          <w:szCs w:val="24"/>
        </w:rPr>
      </w:pPr>
    </w:p>
    <w:p w:rsidR="00440A22" w:rsidRDefault="00440A22" w:rsidP="00440A22">
      <w:pPr>
        <w:spacing w:after="0" w:line="240" w:lineRule="auto"/>
        <w:jc w:val="both"/>
        <w:rPr>
          <w:rFonts w:ascii="Times New Roman" w:eastAsia="Calibri" w:hAnsi="Times New Roman"/>
          <w:sz w:val="24"/>
          <w:szCs w:val="24"/>
        </w:rPr>
      </w:pPr>
      <w:r>
        <w:rPr>
          <w:rFonts w:ascii="Times New Roman" w:eastAsia="Calibri" w:hAnsi="Times New Roman"/>
          <w:sz w:val="24"/>
          <w:szCs w:val="24"/>
        </w:rPr>
        <w:t>Pôdohospodárska</w:t>
      </w:r>
      <w:r w:rsidRPr="00D56BB8">
        <w:rPr>
          <w:rFonts w:ascii="Times New Roman" w:eastAsia="Calibri" w:hAnsi="Times New Roman"/>
          <w:sz w:val="24"/>
          <w:szCs w:val="24"/>
        </w:rPr>
        <w:t xml:space="preserve"> populácia bola trhovou ekonomikou vytlačená na okraj trhu práce. Dochádza tu k výraznej sociálnej diferenciácii s kultúrou závislosti na sociálnych príjmoch.</w:t>
      </w:r>
      <w:r>
        <w:rPr>
          <w:rFonts w:ascii="Times New Roman" w:eastAsia="Calibri" w:hAnsi="Times New Roman"/>
          <w:sz w:val="24"/>
          <w:szCs w:val="24"/>
        </w:rPr>
        <w:t xml:space="preserve"> Stabilizovanie a postupné zväčšovanie ekonomického potenciálu vidieka, v rámci ktorého budú jednotlivé hospodárske činnosti schopné vytvárať dôchodky v smere rastu zamestnanosti a následne aj príjmovej úrovne vidieckeho obyvateľstva, si vyžaduje zabezpečenie ďalšieho rozvoja poľnohospodárskych a lesníckych činností, ktoré sú z národohospodárskeho pohľadu prínosom pre ekonomiku ako takú. Navyše, osobitný zreteľ je potrebné brať aj na oblasti poľnohospodárstva a lesníctva, ktoré nie sú z pohľadu produkčných schopností určujúce, ale vo väzbe na ďalšie činnosti budú aktivovať vnútroregionálny dopyt po špecifických tovaroch a službách.</w:t>
      </w:r>
    </w:p>
    <w:p w:rsidR="006F22C6" w:rsidRDefault="006F22C6" w:rsidP="00364020">
      <w:pPr>
        <w:spacing w:after="0" w:line="240" w:lineRule="auto"/>
        <w:jc w:val="both"/>
        <w:rPr>
          <w:rFonts w:ascii="Times New Roman" w:hAnsi="Times New Roman" w:cs="Times New Roman"/>
          <w:sz w:val="24"/>
          <w:szCs w:val="24"/>
        </w:rPr>
      </w:pPr>
    </w:p>
    <w:p w:rsidR="00364020" w:rsidRDefault="00A22FD7" w:rsidP="000D68DC">
      <w:pPr>
        <w:pStyle w:val="Nadpis2"/>
        <w:numPr>
          <w:ilvl w:val="1"/>
          <w:numId w:val="8"/>
        </w:numPr>
        <w:ind w:left="426" w:hanging="426"/>
        <w:rPr>
          <w:rFonts w:cs="Times New Roman"/>
          <w:szCs w:val="24"/>
        </w:rPr>
      </w:pPr>
      <w:bookmarkStart w:id="55" w:name="_Toc359550676"/>
      <w:r>
        <w:rPr>
          <w:rFonts w:cs="Times New Roman"/>
          <w:szCs w:val="24"/>
        </w:rPr>
        <w:lastRenderedPageBreak/>
        <w:t>Rozvoj zamestnanosti v p</w:t>
      </w:r>
      <w:r w:rsidR="0028430F">
        <w:rPr>
          <w:rFonts w:cs="Times New Roman"/>
          <w:szCs w:val="24"/>
        </w:rPr>
        <w:t>rodukčne významn</w:t>
      </w:r>
      <w:r>
        <w:rPr>
          <w:rFonts w:cs="Times New Roman"/>
          <w:szCs w:val="24"/>
        </w:rPr>
        <w:t>ých</w:t>
      </w:r>
      <w:r w:rsidR="0028430F">
        <w:rPr>
          <w:rFonts w:cs="Times New Roman"/>
          <w:szCs w:val="24"/>
        </w:rPr>
        <w:t xml:space="preserve"> oblasti</w:t>
      </w:r>
      <w:r>
        <w:rPr>
          <w:rFonts w:cs="Times New Roman"/>
          <w:szCs w:val="24"/>
        </w:rPr>
        <w:t>ach</w:t>
      </w:r>
      <w:r w:rsidR="005C3069">
        <w:rPr>
          <w:rFonts w:cs="Times New Roman"/>
          <w:szCs w:val="24"/>
        </w:rPr>
        <w:t xml:space="preserve"> </w:t>
      </w:r>
      <w:r w:rsidR="00440A22">
        <w:rPr>
          <w:rFonts w:cs="Times New Roman"/>
          <w:szCs w:val="24"/>
        </w:rPr>
        <w:t>pôdohospodárstva</w:t>
      </w:r>
      <w:bookmarkEnd w:id="55"/>
    </w:p>
    <w:p w:rsidR="00EE3295" w:rsidRDefault="00EE3295" w:rsidP="00756DAE">
      <w:pPr>
        <w:spacing w:after="0" w:line="240" w:lineRule="auto"/>
        <w:jc w:val="both"/>
      </w:pPr>
    </w:p>
    <w:p w:rsidR="00756DAE" w:rsidRDefault="00DD09F2" w:rsidP="00DD09F2">
      <w:pPr>
        <w:spacing w:after="0" w:line="240" w:lineRule="auto"/>
        <w:jc w:val="both"/>
        <w:rPr>
          <w:rFonts w:ascii="Times New Roman" w:hAnsi="Times New Roman" w:cs="Times New Roman"/>
          <w:sz w:val="24"/>
          <w:szCs w:val="24"/>
        </w:rPr>
      </w:pPr>
      <w:r w:rsidRPr="00DD09F2">
        <w:rPr>
          <w:rFonts w:ascii="Times New Roman" w:hAnsi="Times New Roman" w:cs="Times New Roman"/>
          <w:sz w:val="24"/>
          <w:szCs w:val="24"/>
        </w:rPr>
        <w:t>Strategickým cieľom pôdohospodárstva je vytváranie podmienok na jeho trvalo udržateľ</w:t>
      </w:r>
      <w:r>
        <w:rPr>
          <w:rFonts w:ascii="Times New Roman" w:hAnsi="Times New Roman" w:cs="Times New Roman"/>
          <w:sz w:val="24"/>
          <w:szCs w:val="24"/>
        </w:rPr>
        <w:t xml:space="preserve">ný </w:t>
      </w:r>
      <w:r w:rsidRPr="00DD09F2">
        <w:rPr>
          <w:rFonts w:ascii="Times New Roman" w:hAnsi="Times New Roman" w:cs="Times New Roman"/>
          <w:sz w:val="24"/>
          <w:szCs w:val="24"/>
        </w:rPr>
        <w:t>rozvoj. Ide o to, aby na Slovensku vzniklo výkonné, multifunkč</w:t>
      </w:r>
      <w:r>
        <w:rPr>
          <w:rFonts w:ascii="Times New Roman" w:hAnsi="Times New Roman" w:cs="Times New Roman"/>
          <w:sz w:val="24"/>
          <w:szCs w:val="24"/>
        </w:rPr>
        <w:t xml:space="preserve">né, environmentálne </w:t>
      </w:r>
      <w:r w:rsidRPr="00DD09F2">
        <w:rPr>
          <w:rFonts w:ascii="Times New Roman" w:hAnsi="Times New Roman" w:cs="Times New Roman"/>
          <w:sz w:val="24"/>
          <w:szCs w:val="24"/>
        </w:rPr>
        <w:t>orientované a v podmienkach Európskej únie a globaliz</w:t>
      </w:r>
      <w:r>
        <w:rPr>
          <w:rFonts w:ascii="Times New Roman" w:hAnsi="Times New Roman" w:cs="Times New Roman"/>
          <w:sz w:val="24"/>
          <w:szCs w:val="24"/>
        </w:rPr>
        <w:t xml:space="preserve">ácie svetového trhu konkurencie </w:t>
      </w:r>
      <w:r w:rsidRPr="00DD09F2">
        <w:rPr>
          <w:rFonts w:ascii="Times New Roman" w:hAnsi="Times New Roman" w:cs="Times New Roman"/>
          <w:sz w:val="24"/>
          <w:szCs w:val="24"/>
        </w:rPr>
        <w:t>schopné pôdohospodárstvo. Pôdohospodárstvo je okr</w:t>
      </w:r>
      <w:r>
        <w:rPr>
          <w:rFonts w:ascii="Times New Roman" w:hAnsi="Times New Roman" w:cs="Times New Roman"/>
          <w:sz w:val="24"/>
          <w:szCs w:val="24"/>
        </w:rPr>
        <w:t xml:space="preserve">em produkcie potravín významným </w:t>
      </w:r>
      <w:r w:rsidRPr="00DD09F2">
        <w:rPr>
          <w:rFonts w:ascii="Times New Roman" w:hAnsi="Times New Roman" w:cs="Times New Roman"/>
          <w:sz w:val="24"/>
          <w:szCs w:val="24"/>
        </w:rPr>
        <w:t>výrobcom priemyslových surovín, tvorcom a ochrancom ž</w:t>
      </w:r>
      <w:r>
        <w:rPr>
          <w:rFonts w:ascii="Times New Roman" w:hAnsi="Times New Roman" w:cs="Times New Roman"/>
          <w:sz w:val="24"/>
          <w:szCs w:val="24"/>
        </w:rPr>
        <w:t xml:space="preserve">ivotného prostredia a krajiny, </w:t>
      </w:r>
      <w:r w:rsidRPr="00DD09F2">
        <w:rPr>
          <w:rFonts w:ascii="Times New Roman" w:hAnsi="Times New Roman" w:cs="Times New Roman"/>
          <w:sz w:val="24"/>
          <w:szCs w:val="24"/>
        </w:rPr>
        <w:t>realizátorom ekonomických a</w:t>
      </w:r>
      <w:r w:rsidR="00630E06">
        <w:rPr>
          <w:rFonts w:ascii="Times New Roman" w:hAnsi="Times New Roman" w:cs="Times New Roman"/>
          <w:sz w:val="24"/>
          <w:szCs w:val="24"/>
        </w:rPr>
        <w:t>ktivít, zdrojom rozvoja,</w:t>
      </w:r>
      <w:r w:rsidRPr="00DD09F2">
        <w:rPr>
          <w:rFonts w:ascii="Times New Roman" w:hAnsi="Times New Roman" w:cs="Times New Roman"/>
          <w:sz w:val="24"/>
          <w:szCs w:val="24"/>
        </w:rPr>
        <w:t xml:space="preserve"> stabil</w:t>
      </w:r>
      <w:r>
        <w:rPr>
          <w:rFonts w:ascii="Times New Roman" w:hAnsi="Times New Roman" w:cs="Times New Roman"/>
          <w:sz w:val="24"/>
          <w:szCs w:val="24"/>
        </w:rPr>
        <w:t>izácie vidieka</w:t>
      </w:r>
      <w:r w:rsidR="00630E06">
        <w:rPr>
          <w:rFonts w:ascii="Times New Roman" w:hAnsi="Times New Roman" w:cs="Times New Roman"/>
          <w:sz w:val="24"/>
          <w:szCs w:val="24"/>
        </w:rPr>
        <w:t xml:space="preserve"> a významným zdrojom pre trvalo udržateľné zvyšovanie zamestnanosti</w:t>
      </w:r>
      <w:r>
        <w:rPr>
          <w:rFonts w:ascii="Times New Roman" w:hAnsi="Times New Roman" w:cs="Times New Roman"/>
          <w:sz w:val="24"/>
          <w:szCs w:val="24"/>
        </w:rPr>
        <w:t xml:space="preserve">. Prírodné zdroje </w:t>
      </w:r>
      <w:r w:rsidRPr="00DD09F2">
        <w:rPr>
          <w:rFonts w:ascii="Times New Roman" w:hAnsi="Times New Roman" w:cs="Times New Roman"/>
          <w:sz w:val="24"/>
          <w:szCs w:val="24"/>
        </w:rPr>
        <w:t>Slovenska umožňujú pôdohospodárskym odvetviam podieľať</w:t>
      </w:r>
      <w:r>
        <w:rPr>
          <w:rFonts w:ascii="Times New Roman" w:hAnsi="Times New Roman" w:cs="Times New Roman"/>
          <w:sz w:val="24"/>
          <w:szCs w:val="24"/>
        </w:rPr>
        <w:t xml:space="preserve"> sa svojou produkciou </w:t>
      </w:r>
      <w:r w:rsidRPr="00DD09F2">
        <w:rPr>
          <w:rFonts w:ascii="Times New Roman" w:hAnsi="Times New Roman" w:cs="Times New Roman"/>
          <w:sz w:val="24"/>
          <w:szCs w:val="24"/>
        </w:rPr>
        <w:t>a ekonomickými aktivitami</w:t>
      </w:r>
      <w:r w:rsidR="007B3C09">
        <w:rPr>
          <w:rFonts w:ascii="Times New Roman" w:hAnsi="Times New Roman" w:cs="Times New Roman"/>
          <w:sz w:val="24"/>
          <w:szCs w:val="24"/>
        </w:rPr>
        <w:t>,</w:t>
      </w:r>
      <w:r w:rsidR="002A7940">
        <w:rPr>
          <w:rFonts w:ascii="Times New Roman" w:hAnsi="Times New Roman" w:cs="Times New Roman"/>
          <w:sz w:val="24"/>
          <w:szCs w:val="24"/>
        </w:rPr>
        <w:t xml:space="preserve"> </w:t>
      </w:r>
      <w:r w:rsidR="007B3C09">
        <w:rPr>
          <w:rFonts w:ascii="Times New Roman" w:hAnsi="Times New Roman" w:cs="Times New Roman"/>
          <w:sz w:val="24"/>
          <w:szCs w:val="24"/>
        </w:rPr>
        <w:t xml:space="preserve">v porovnaní so súčasnosťou, </w:t>
      </w:r>
      <w:r w:rsidR="002A7003">
        <w:rPr>
          <w:rFonts w:ascii="Times New Roman" w:hAnsi="Times New Roman" w:cs="Times New Roman"/>
          <w:sz w:val="24"/>
          <w:szCs w:val="24"/>
        </w:rPr>
        <w:t>vo výrazne väčšej miere na domácom trhu</w:t>
      </w:r>
      <w:r w:rsidR="002A7940">
        <w:rPr>
          <w:rFonts w:ascii="Times New Roman" w:hAnsi="Times New Roman" w:cs="Times New Roman"/>
          <w:sz w:val="24"/>
          <w:szCs w:val="24"/>
        </w:rPr>
        <w:t xml:space="preserve"> </w:t>
      </w:r>
      <w:r w:rsidR="002A7003">
        <w:rPr>
          <w:rFonts w:ascii="Times New Roman" w:hAnsi="Times New Roman" w:cs="Times New Roman"/>
          <w:sz w:val="24"/>
          <w:szCs w:val="24"/>
        </w:rPr>
        <w:t>a</w:t>
      </w:r>
      <w:r w:rsidR="007B3C09">
        <w:rPr>
          <w:rFonts w:ascii="Times New Roman" w:hAnsi="Times New Roman" w:cs="Times New Roman"/>
          <w:sz w:val="24"/>
          <w:szCs w:val="24"/>
        </w:rPr>
        <w:t>,</w:t>
      </w:r>
      <w:r w:rsidR="002A7003">
        <w:rPr>
          <w:rFonts w:ascii="Times New Roman" w:hAnsi="Times New Roman" w:cs="Times New Roman"/>
          <w:sz w:val="24"/>
          <w:szCs w:val="24"/>
        </w:rPr>
        <w:t xml:space="preserve"> v rámci plnenia prioritných cieľov v oblasti pôdohospodárstva na úrovni EÚ, primeraným spôsobom </w:t>
      </w:r>
      <w:r w:rsidRPr="00DD09F2">
        <w:rPr>
          <w:rFonts w:ascii="Times New Roman" w:hAnsi="Times New Roman" w:cs="Times New Roman"/>
          <w:sz w:val="24"/>
          <w:szCs w:val="24"/>
        </w:rPr>
        <w:t>aj na zahraničnom obchode.</w:t>
      </w:r>
    </w:p>
    <w:p w:rsidR="002A7003" w:rsidRDefault="002A7003" w:rsidP="00DD09F2">
      <w:pPr>
        <w:spacing w:after="0" w:line="240" w:lineRule="auto"/>
        <w:jc w:val="both"/>
        <w:rPr>
          <w:rFonts w:ascii="Times New Roman" w:hAnsi="Times New Roman" w:cs="Times New Roman"/>
          <w:sz w:val="24"/>
          <w:szCs w:val="24"/>
        </w:rPr>
      </w:pPr>
    </w:p>
    <w:p w:rsidR="0000496B" w:rsidRPr="007B3C09" w:rsidRDefault="002A7003" w:rsidP="007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Vzhľadom na to, že pôdohospodárstvo Slovenskej republiky svojou veľkosťou a štruktúrou nie je schopné byť kvantitatívnym a sortimentným lídrom v rámci spoločného európskeho hospodárskeho priestoru, bolo potrebné identifikovať tie oblasti slovenského pôdohospodárstva, ktoré majú potenciál byť nositeľmi kvantitatívnych a kvalitatívnych parametrov </w:t>
      </w:r>
      <w:r w:rsidR="0000496B">
        <w:rPr>
          <w:rFonts w:ascii="Times New Roman" w:hAnsi="Times New Roman" w:cs="Times New Roman"/>
          <w:sz w:val="24"/>
          <w:szCs w:val="24"/>
        </w:rPr>
        <w:t xml:space="preserve">dosahujúcich európsku úroveň. Vnímajúc uvedené </w:t>
      </w:r>
      <w:r w:rsidR="007B3C09">
        <w:rPr>
          <w:rFonts w:ascii="Times New Roman" w:hAnsi="Times New Roman" w:cs="Times New Roman"/>
          <w:sz w:val="24"/>
          <w:szCs w:val="24"/>
        </w:rPr>
        <w:t>boli identifikované</w:t>
      </w:r>
      <w:r w:rsidR="0000496B">
        <w:rPr>
          <w:rFonts w:ascii="Times New Roman" w:hAnsi="Times New Roman" w:cs="Times New Roman"/>
          <w:sz w:val="24"/>
          <w:szCs w:val="24"/>
        </w:rPr>
        <w:t xml:space="preserve"> a </w:t>
      </w:r>
      <w:r w:rsidR="007B3C09">
        <w:rPr>
          <w:rFonts w:ascii="Times New Roman" w:hAnsi="Times New Roman" w:cs="Times New Roman"/>
          <w:sz w:val="24"/>
          <w:szCs w:val="24"/>
        </w:rPr>
        <w:t>rozpracované</w:t>
      </w:r>
      <w:r w:rsidR="0000496B">
        <w:rPr>
          <w:rFonts w:ascii="Times New Roman" w:hAnsi="Times New Roman" w:cs="Times New Roman"/>
          <w:sz w:val="24"/>
          <w:szCs w:val="24"/>
        </w:rPr>
        <w:t xml:space="preserve"> nosné komodity poľnohospodárskej výroby a produkčne významné činnosti lesného hospodárstva,</w:t>
      </w:r>
      <w:r w:rsidR="002A7940">
        <w:rPr>
          <w:rFonts w:ascii="Times New Roman" w:hAnsi="Times New Roman" w:cs="Times New Roman"/>
          <w:sz w:val="24"/>
          <w:szCs w:val="24"/>
        </w:rPr>
        <w:t xml:space="preserve"> </w:t>
      </w:r>
      <w:r w:rsidR="0000496B">
        <w:rPr>
          <w:rFonts w:ascii="Times New Roman" w:hAnsi="Times New Roman" w:cs="Times New Roman"/>
          <w:sz w:val="24"/>
          <w:szCs w:val="24"/>
        </w:rPr>
        <w:t xml:space="preserve">podporou ktorých je možné </w:t>
      </w:r>
      <w:r w:rsidR="007B3C09">
        <w:rPr>
          <w:rFonts w:ascii="Times New Roman" w:hAnsi="Times New Roman" w:cs="Times New Roman"/>
          <w:sz w:val="24"/>
          <w:szCs w:val="24"/>
        </w:rPr>
        <w:t>prispieť k naplneniu</w:t>
      </w:r>
      <w:r w:rsidR="0000496B">
        <w:rPr>
          <w:rFonts w:ascii="Times New Roman" w:hAnsi="Times New Roman" w:cs="Times New Roman"/>
          <w:sz w:val="24"/>
          <w:szCs w:val="24"/>
        </w:rPr>
        <w:t xml:space="preserve"> strategick</w:t>
      </w:r>
      <w:r w:rsidR="007B3C09">
        <w:rPr>
          <w:rFonts w:ascii="Times New Roman" w:hAnsi="Times New Roman" w:cs="Times New Roman"/>
          <w:sz w:val="24"/>
          <w:szCs w:val="24"/>
        </w:rPr>
        <w:t>ých</w:t>
      </w:r>
      <w:r w:rsidR="0000496B">
        <w:rPr>
          <w:rFonts w:ascii="Times New Roman" w:hAnsi="Times New Roman" w:cs="Times New Roman"/>
          <w:sz w:val="24"/>
          <w:szCs w:val="24"/>
        </w:rPr>
        <w:t xml:space="preserve"> záuj</w:t>
      </w:r>
      <w:r w:rsidR="007B3C09">
        <w:rPr>
          <w:rFonts w:ascii="Times New Roman" w:hAnsi="Times New Roman" w:cs="Times New Roman"/>
          <w:sz w:val="24"/>
          <w:szCs w:val="24"/>
        </w:rPr>
        <w:t>mov</w:t>
      </w:r>
      <w:r w:rsidR="0000496B">
        <w:rPr>
          <w:rFonts w:ascii="Times New Roman" w:hAnsi="Times New Roman" w:cs="Times New Roman"/>
          <w:sz w:val="24"/>
          <w:szCs w:val="24"/>
        </w:rPr>
        <w:t xml:space="preserve"> EÚ, a</w:t>
      </w:r>
      <w:r w:rsidR="002A7940">
        <w:rPr>
          <w:rFonts w:ascii="Times New Roman" w:hAnsi="Times New Roman" w:cs="Times New Roman"/>
          <w:sz w:val="24"/>
          <w:szCs w:val="24"/>
        </w:rPr>
        <w:t> </w:t>
      </w:r>
      <w:r w:rsidR="0000496B">
        <w:rPr>
          <w:rFonts w:ascii="Times New Roman" w:hAnsi="Times New Roman" w:cs="Times New Roman"/>
          <w:sz w:val="24"/>
          <w:szCs w:val="24"/>
        </w:rPr>
        <w:t>to</w:t>
      </w:r>
      <w:r w:rsidR="002A7940">
        <w:rPr>
          <w:rFonts w:ascii="Times New Roman" w:hAnsi="Times New Roman" w:cs="Times New Roman"/>
          <w:sz w:val="24"/>
          <w:szCs w:val="24"/>
        </w:rPr>
        <w:t xml:space="preserve"> </w:t>
      </w:r>
      <w:r w:rsidR="0000496B" w:rsidRPr="007B3C09">
        <w:rPr>
          <w:rFonts w:ascii="Times New Roman" w:hAnsi="Times New Roman" w:cs="Times New Roman"/>
          <w:sz w:val="24"/>
          <w:szCs w:val="24"/>
        </w:rPr>
        <w:t>v oblasti poľnohospodárstva zaručiť dlhodobú potravinovú bezpečnosť európskych občanova</w:t>
      </w:r>
      <w:r w:rsidR="002A7940">
        <w:rPr>
          <w:rFonts w:ascii="Times New Roman" w:hAnsi="Times New Roman" w:cs="Times New Roman"/>
          <w:sz w:val="24"/>
          <w:szCs w:val="24"/>
        </w:rPr>
        <w:t xml:space="preserve"> </w:t>
      </w:r>
      <w:r w:rsidR="0000496B" w:rsidRPr="007B3C09">
        <w:rPr>
          <w:rFonts w:ascii="Times New Roman" w:hAnsi="Times New Roman" w:cs="Times New Roman"/>
          <w:sz w:val="24"/>
          <w:szCs w:val="24"/>
        </w:rPr>
        <w:t>v oblasti lesného hospodárstva zabezpečiť trvalo udržateľné obhospodarovanie lesov.</w:t>
      </w:r>
      <w:r w:rsidR="007B3C09">
        <w:rPr>
          <w:rFonts w:ascii="Times New Roman" w:hAnsi="Times New Roman" w:cs="Times New Roman"/>
          <w:sz w:val="24"/>
          <w:szCs w:val="24"/>
        </w:rPr>
        <w:t xml:space="preserve"> Zároveň, naplnením týchto strategických záujmov je možné splniť záväzok vlády Slovenskej republiky v oblasti zvyšovania </w:t>
      </w:r>
      <w:r w:rsidR="007B3C09" w:rsidRPr="007B3C09">
        <w:rPr>
          <w:rFonts w:ascii="Times New Roman" w:hAnsi="Times New Roman" w:cs="Times New Roman"/>
          <w:sz w:val="24"/>
          <w:szCs w:val="24"/>
        </w:rPr>
        <w:t>zamestnanosti vidieckeho obyvateľstva a zlepšovania jeho životných podmienok.</w:t>
      </w:r>
      <w:r w:rsidR="007B3C09" w:rsidRPr="001A0A7E">
        <w:rPr>
          <w:rFonts w:cs="Times New Roman"/>
        </w:rPr>
        <w:t> </w:t>
      </w:r>
    </w:p>
    <w:p w:rsidR="00EA5916" w:rsidRDefault="00EA5916" w:rsidP="00EA5916">
      <w:pPr>
        <w:spacing w:after="0" w:line="240" w:lineRule="auto"/>
        <w:jc w:val="both"/>
      </w:pPr>
    </w:p>
    <w:p w:rsidR="0028430F" w:rsidRDefault="00455066" w:rsidP="000D68DC">
      <w:pPr>
        <w:pStyle w:val="Nadpis3"/>
        <w:numPr>
          <w:ilvl w:val="2"/>
          <w:numId w:val="8"/>
        </w:numPr>
      </w:pPr>
      <w:bookmarkStart w:id="56" w:name="_Toc359550677"/>
      <w:r>
        <w:t>Rozvoj zamestnanosti v</w:t>
      </w:r>
      <w:r w:rsidR="00491CE1">
        <w:t xml:space="preserve"> hlavnej </w:t>
      </w:r>
      <w:r>
        <w:t>živočíšnej</w:t>
      </w:r>
      <w:r w:rsidR="0028430F">
        <w:t xml:space="preserve"> výrob</w:t>
      </w:r>
      <w:r>
        <w:t>e</w:t>
      </w:r>
      <w:bookmarkEnd w:id="56"/>
    </w:p>
    <w:p w:rsidR="0028430F" w:rsidRDefault="0028430F" w:rsidP="00EA5916">
      <w:pPr>
        <w:spacing w:after="0" w:line="240" w:lineRule="auto"/>
        <w:jc w:val="both"/>
        <w:rPr>
          <w:rFonts w:ascii="Times New Roman" w:hAnsi="Times New Roman" w:cs="Times New Roman"/>
          <w:sz w:val="24"/>
          <w:szCs w:val="24"/>
        </w:rPr>
      </w:pPr>
    </w:p>
    <w:p w:rsidR="005A7F2E" w:rsidRDefault="00455066" w:rsidP="00EA5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Rozvoj zamestnanosti v</w:t>
      </w:r>
      <w:r w:rsidR="00491CE1">
        <w:rPr>
          <w:rFonts w:ascii="Times New Roman" w:hAnsi="Times New Roman" w:cs="Times New Roman"/>
          <w:sz w:val="24"/>
          <w:szCs w:val="24"/>
        </w:rPr>
        <w:t xml:space="preserve"> hlavnej </w:t>
      </w:r>
      <w:r>
        <w:rPr>
          <w:rFonts w:ascii="Times New Roman" w:hAnsi="Times New Roman" w:cs="Times New Roman"/>
          <w:sz w:val="24"/>
          <w:szCs w:val="24"/>
        </w:rPr>
        <w:t xml:space="preserve">živočíšnej výrobe predpokladá dosiahnuť cielenú mieru produkčnej výkonnosti </w:t>
      </w:r>
      <w:r w:rsidR="00CB1C5A">
        <w:rPr>
          <w:rFonts w:ascii="Times New Roman" w:hAnsi="Times New Roman" w:cs="Times New Roman"/>
          <w:sz w:val="24"/>
          <w:szCs w:val="24"/>
        </w:rPr>
        <w:t xml:space="preserve">v nosných komoditách živočíšnej výroby </w:t>
      </w:r>
      <w:r>
        <w:rPr>
          <w:rFonts w:ascii="Times New Roman" w:hAnsi="Times New Roman" w:cs="Times New Roman"/>
          <w:sz w:val="24"/>
          <w:szCs w:val="24"/>
        </w:rPr>
        <w:t xml:space="preserve">na úrovni 80 % súčasnej spotreby obyvateľstva. </w:t>
      </w:r>
      <w:r w:rsidR="005A7F2E">
        <w:rPr>
          <w:rFonts w:ascii="Times New Roman" w:hAnsi="Times New Roman" w:cs="Times New Roman"/>
          <w:sz w:val="24"/>
          <w:szCs w:val="24"/>
        </w:rPr>
        <w:t xml:space="preserve">Na základe vykonaných analýz potravinovej vertikály v nosných komoditách živočíšnej výroby je zrejmé, že </w:t>
      </w:r>
      <w:r>
        <w:rPr>
          <w:rFonts w:ascii="Times New Roman" w:hAnsi="Times New Roman" w:cs="Times New Roman"/>
          <w:sz w:val="24"/>
          <w:szCs w:val="24"/>
        </w:rPr>
        <w:t>tento cieľ</w:t>
      </w:r>
      <w:r w:rsidR="005A7F2E">
        <w:rPr>
          <w:rFonts w:ascii="Times New Roman" w:hAnsi="Times New Roman" w:cs="Times New Roman"/>
          <w:sz w:val="24"/>
          <w:szCs w:val="24"/>
        </w:rPr>
        <w:t xml:space="preserve"> bude možné dosiahnuť kombináciou kvantitatívnych a kvalitatívnych opatrení, a to na všetkých stupňoch potravinovej vertikály</w:t>
      </w:r>
      <w:r>
        <w:rPr>
          <w:rFonts w:ascii="Times New Roman" w:hAnsi="Times New Roman" w:cs="Times New Roman"/>
          <w:sz w:val="24"/>
          <w:szCs w:val="24"/>
        </w:rPr>
        <w:t>. Priamy vplyv na zvýšenie zamestnanosti majú tieto opatrenia:</w:t>
      </w:r>
    </w:p>
    <w:p w:rsidR="00455066" w:rsidRDefault="00455066" w:rsidP="00EA5916">
      <w:pPr>
        <w:spacing w:after="0" w:line="240" w:lineRule="auto"/>
        <w:jc w:val="both"/>
        <w:rPr>
          <w:rFonts w:ascii="Times New Roman" w:hAnsi="Times New Roman" w:cs="Times New Roman"/>
          <w:sz w:val="24"/>
          <w:szCs w:val="24"/>
        </w:rPr>
      </w:pPr>
    </w:p>
    <w:p w:rsidR="005A7F2E" w:rsidRDefault="00E36EF3" w:rsidP="000D68DC">
      <w:pPr>
        <w:pStyle w:val="Odsekzoznamu"/>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zvýšenie objemu </w:t>
      </w:r>
      <w:r w:rsidR="008B0730">
        <w:rPr>
          <w:rFonts w:ascii="Times New Roman" w:hAnsi="Times New Roman" w:cs="Times New Roman"/>
          <w:sz w:val="24"/>
          <w:szCs w:val="24"/>
        </w:rPr>
        <w:t xml:space="preserve">domáceho </w:t>
      </w:r>
      <w:r>
        <w:rPr>
          <w:rFonts w:ascii="Times New Roman" w:hAnsi="Times New Roman" w:cs="Times New Roman"/>
          <w:sz w:val="24"/>
          <w:szCs w:val="24"/>
        </w:rPr>
        <w:t>spracovania hovädzieho a teľacieho mäsa v objeme    3 630 ton v jatočnej hmotnosti;</w:t>
      </w:r>
    </w:p>
    <w:p w:rsidR="00CE4A02" w:rsidRPr="002C6718" w:rsidRDefault="00CE4A02" w:rsidP="000D68DC">
      <w:pPr>
        <w:pStyle w:val="Odsekzoznamu"/>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zvýšenie počtu prasníc o 30 000 </w:t>
      </w:r>
      <w:r w:rsidR="002C6718">
        <w:rPr>
          <w:rFonts w:ascii="Times New Roman" w:hAnsi="Times New Roman" w:cs="Times New Roman"/>
          <w:sz w:val="24"/>
          <w:szCs w:val="24"/>
        </w:rPr>
        <w:t xml:space="preserve">ks a súčasné </w:t>
      </w:r>
      <w:r w:rsidRPr="002C6718">
        <w:rPr>
          <w:rFonts w:ascii="Times New Roman" w:hAnsi="Times New Roman" w:cs="Times New Roman"/>
          <w:sz w:val="24"/>
          <w:szCs w:val="24"/>
        </w:rPr>
        <w:t>zvýšenie miery reprodukčnej úžitkovosti prasníc na úroveň 20 – 21 odstavčiat na 1 prasnicu;</w:t>
      </w:r>
    </w:p>
    <w:p w:rsidR="00CE4A02" w:rsidRDefault="00CE4A02" w:rsidP="000D68DC">
      <w:pPr>
        <w:pStyle w:val="Odsekzoznamu"/>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zvýšenie objemu </w:t>
      </w:r>
      <w:r w:rsidR="008B0730">
        <w:rPr>
          <w:rFonts w:ascii="Times New Roman" w:hAnsi="Times New Roman" w:cs="Times New Roman"/>
          <w:sz w:val="24"/>
          <w:szCs w:val="24"/>
        </w:rPr>
        <w:t xml:space="preserve">domáceho </w:t>
      </w:r>
      <w:r>
        <w:rPr>
          <w:rFonts w:ascii="Times New Roman" w:hAnsi="Times New Roman" w:cs="Times New Roman"/>
          <w:sz w:val="24"/>
          <w:szCs w:val="24"/>
        </w:rPr>
        <w:t>spracovania bravčového mäsa v objeme 24 203 ton v jatočnej hmotnosti;</w:t>
      </w:r>
    </w:p>
    <w:p w:rsidR="00CE4A02" w:rsidRDefault="00CE4A02" w:rsidP="000D68DC">
      <w:pPr>
        <w:pStyle w:val="Odsekzoznamu"/>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zvýšenie početnosti hydiny o</w:t>
      </w:r>
      <w:r w:rsidR="00824F55">
        <w:rPr>
          <w:rFonts w:ascii="Times New Roman" w:hAnsi="Times New Roman" w:cs="Times New Roman"/>
          <w:sz w:val="24"/>
          <w:szCs w:val="24"/>
        </w:rPr>
        <w:t> 5 314 423</w:t>
      </w:r>
      <w:r>
        <w:rPr>
          <w:rFonts w:ascii="Times New Roman" w:hAnsi="Times New Roman" w:cs="Times New Roman"/>
          <w:sz w:val="24"/>
          <w:szCs w:val="24"/>
        </w:rPr>
        <w:t xml:space="preserve"> ks</w:t>
      </w:r>
      <w:r w:rsidR="00824F55">
        <w:rPr>
          <w:rFonts w:ascii="Times New Roman" w:hAnsi="Times New Roman" w:cs="Times New Roman"/>
          <w:sz w:val="24"/>
          <w:szCs w:val="24"/>
        </w:rPr>
        <w:t xml:space="preserve"> / 6 turnusov ročne, t.j. zvýšenie stavov v chove o 885 737 ks</w:t>
      </w:r>
      <w:r>
        <w:rPr>
          <w:rFonts w:ascii="Times New Roman" w:hAnsi="Times New Roman" w:cs="Times New Roman"/>
          <w:sz w:val="24"/>
          <w:szCs w:val="24"/>
        </w:rPr>
        <w:t>;</w:t>
      </w:r>
      <w:r w:rsidR="00455066">
        <w:rPr>
          <w:rFonts w:ascii="Times New Roman" w:hAnsi="Times New Roman" w:cs="Times New Roman"/>
          <w:sz w:val="24"/>
          <w:szCs w:val="24"/>
        </w:rPr>
        <w:t xml:space="preserve"> a</w:t>
      </w:r>
    </w:p>
    <w:p w:rsidR="00CE4A02" w:rsidRDefault="00CE4A02" w:rsidP="000D68DC">
      <w:pPr>
        <w:pStyle w:val="Odsekzoznamu"/>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zvýšenie objemu </w:t>
      </w:r>
      <w:r w:rsidR="008B0730">
        <w:rPr>
          <w:rFonts w:ascii="Times New Roman" w:hAnsi="Times New Roman" w:cs="Times New Roman"/>
          <w:sz w:val="24"/>
          <w:szCs w:val="24"/>
        </w:rPr>
        <w:t xml:space="preserve">domáceho </w:t>
      </w:r>
      <w:r>
        <w:rPr>
          <w:rFonts w:ascii="Times New Roman" w:hAnsi="Times New Roman" w:cs="Times New Roman"/>
          <w:sz w:val="24"/>
          <w:szCs w:val="24"/>
        </w:rPr>
        <w:t xml:space="preserve">spracovania hydinového mäsa v objeme </w:t>
      </w:r>
      <w:r w:rsidR="00824F55">
        <w:rPr>
          <w:rFonts w:ascii="Times New Roman" w:hAnsi="Times New Roman" w:cs="Times New Roman"/>
          <w:sz w:val="24"/>
          <w:szCs w:val="24"/>
        </w:rPr>
        <w:t>26 676</w:t>
      </w:r>
      <w:r>
        <w:rPr>
          <w:rFonts w:ascii="Times New Roman" w:hAnsi="Times New Roman" w:cs="Times New Roman"/>
          <w:sz w:val="24"/>
          <w:szCs w:val="24"/>
        </w:rPr>
        <w:t xml:space="preserve"> ton v jatočnej hmotnosti</w:t>
      </w:r>
      <w:r w:rsidR="00455066">
        <w:rPr>
          <w:rFonts w:ascii="Times New Roman" w:hAnsi="Times New Roman" w:cs="Times New Roman"/>
          <w:sz w:val="24"/>
          <w:szCs w:val="24"/>
        </w:rPr>
        <w:t>.</w:t>
      </w:r>
    </w:p>
    <w:p w:rsidR="00CE4A02" w:rsidRDefault="00CE4A02" w:rsidP="00CE4A02">
      <w:pPr>
        <w:spacing w:after="0" w:line="240" w:lineRule="auto"/>
        <w:jc w:val="both"/>
        <w:rPr>
          <w:rFonts w:ascii="Times New Roman" w:hAnsi="Times New Roman" w:cs="Times New Roman"/>
          <w:sz w:val="24"/>
          <w:szCs w:val="24"/>
        </w:rPr>
      </w:pPr>
    </w:p>
    <w:p w:rsidR="00B15371" w:rsidRDefault="00B15371" w:rsidP="00EA5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Zvýšením objemu domáceho spracovania hovädzieho a teľacieho mäsa v objeme 3 630 ton v jatočnej hmotnosti sa predpokladá navýšenie zamestnanosti v spracovaní prvovýrobnej </w:t>
      </w:r>
      <w:r>
        <w:rPr>
          <w:rFonts w:ascii="Times New Roman" w:hAnsi="Times New Roman" w:cs="Times New Roman"/>
          <w:sz w:val="24"/>
          <w:szCs w:val="24"/>
        </w:rPr>
        <w:lastRenderedPageBreak/>
        <w:t>produkcie jatočného hovädzieho dobytka celkovo o </w:t>
      </w:r>
      <w:r w:rsidR="004548E5">
        <w:rPr>
          <w:rFonts w:ascii="Times New Roman" w:hAnsi="Times New Roman" w:cs="Times New Roman"/>
          <w:sz w:val="24"/>
          <w:szCs w:val="24"/>
        </w:rPr>
        <w:t>180</w:t>
      </w:r>
      <w:r>
        <w:rPr>
          <w:rFonts w:ascii="Times New Roman" w:hAnsi="Times New Roman" w:cs="Times New Roman"/>
          <w:sz w:val="24"/>
          <w:szCs w:val="24"/>
        </w:rPr>
        <w:t xml:space="preserve"> osôb. Toto zvýšenie zamestnanosti predstavuje konečný efekt cieleného zvýšenia objemu domáceho spracovania hovädzie</w:t>
      </w:r>
      <w:r w:rsidR="005C3069">
        <w:rPr>
          <w:rFonts w:ascii="Times New Roman" w:hAnsi="Times New Roman" w:cs="Times New Roman"/>
          <w:sz w:val="24"/>
          <w:szCs w:val="24"/>
        </w:rPr>
        <w:t>ho a teľacieho mäsa do roku 2020</w:t>
      </w:r>
      <w:r>
        <w:rPr>
          <w:rFonts w:ascii="Times New Roman" w:hAnsi="Times New Roman" w:cs="Times New Roman"/>
          <w:sz w:val="24"/>
          <w:szCs w:val="24"/>
        </w:rPr>
        <w:t xml:space="preserve"> s postupným nástupom účinku od roku 2013 resp. 2014. Projektované zvýšenie zamestnanosti bolo vypočítané na základe expertne odhadnutého normatívu potreby pracovníkov spracovania prvovýrobnej produkcie jatočného hovädzieho dobytka v podmienkach technologicky vyspelej prevádzky a pohybuje sa na úrovni </w:t>
      </w:r>
      <w:r w:rsidR="004548E5">
        <w:rPr>
          <w:rFonts w:ascii="Times New Roman" w:hAnsi="Times New Roman" w:cs="Times New Roman"/>
          <w:sz w:val="24"/>
          <w:szCs w:val="24"/>
        </w:rPr>
        <w:t xml:space="preserve">                1 pracovníka</w:t>
      </w:r>
      <w:r>
        <w:rPr>
          <w:rFonts w:ascii="Times New Roman" w:hAnsi="Times New Roman" w:cs="Times New Roman"/>
          <w:sz w:val="24"/>
          <w:szCs w:val="24"/>
        </w:rPr>
        <w:t xml:space="preserve"> na spracovanie </w:t>
      </w:r>
      <w:r w:rsidR="004548E5">
        <w:rPr>
          <w:rFonts w:ascii="Times New Roman" w:hAnsi="Times New Roman" w:cs="Times New Roman"/>
          <w:sz w:val="24"/>
          <w:szCs w:val="24"/>
        </w:rPr>
        <w:t>20</w:t>
      </w:r>
      <w:r>
        <w:rPr>
          <w:rFonts w:ascii="Times New Roman" w:hAnsi="Times New Roman" w:cs="Times New Roman"/>
          <w:sz w:val="24"/>
          <w:szCs w:val="24"/>
        </w:rPr>
        <w:t xml:space="preserve"> ton hovädzieho a teľacieho mäsa</w:t>
      </w:r>
      <w:r w:rsidR="004548E5">
        <w:rPr>
          <w:rFonts w:ascii="Times New Roman" w:hAnsi="Times New Roman" w:cs="Times New Roman"/>
          <w:sz w:val="24"/>
          <w:szCs w:val="24"/>
        </w:rPr>
        <w:t xml:space="preserve"> za rok</w:t>
      </w:r>
      <w:r>
        <w:rPr>
          <w:rFonts w:ascii="Times New Roman" w:hAnsi="Times New Roman" w:cs="Times New Roman"/>
          <w:sz w:val="24"/>
          <w:szCs w:val="24"/>
        </w:rPr>
        <w:t>.</w:t>
      </w:r>
    </w:p>
    <w:p w:rsidR="00EA5916" w:rsidRPr="00EA5916" w:rsidRDefault="00EA5916" w:rsidP="00EA5916">
      <w:pPr>
        <w:spacing w:after="0" w:line="240" w:lineRule="auto"/>
        <w:jc w:val="both"/>
        <w:rPr>
          <w:rFonts w:ascii="Times New Roman" w:hAnsi="Times New Roman" w:cs="Times New Roman"/>
          <w:sz w:val="24"/>
          <w:szCs w:val="24"/>
        </w:rPr>
      </w:pPr>
    </w:p>
    <w:p w:rsidR="007B3471" w:rsidRDefault="00B34E99" w:rsidP="007B34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Zvýšenie </w:t>
      </w:r>
      <w:r w:rsidR="007B3471">
        <w:rPr>
          <w:rFonts w:ascii="Times New Roman" w:hAnsi="Times New Roman" w:cs="Times New Roman"/>
          <w:sz w:val="24"/>
          <w:szCs w:val="24"/>
        </w:rPr>
        <w:t>počtu prasníc o 30 000 ks za súčasného zvýšenia miery ich reprodukčnej úžitkovosti na úroveň 20 – 21 odstavčiat na prasnicu znamená nárast ročnej produkcie jatočných ošípaných o</w:t>
      </w:r>
      <w:r w:rsidR="003E07EB">
        <w:rPr>
          <w:rFonts w:ascii="Times New Roman" w:hAnsi="Times New Roman" w:cs="Times New Roman"/>
          <w:sz w:val="24"/>
          <w:szCs w:val="24"/>
        </w:rPr>
        <w:t> 845 500</w:t>
      </w:r>
      <w:r w:rsidR="007B3471">
        <w:rPr>
          <w:rFonts w:ascii="Times New Roman" w:hAnsi="Times New Roman" w:cs="Times New Roman"/>
          <w:sz w:val="24"/>
          <w:szCs w:val="24"/>
        </w:rPr>
        <w:t xml:space="preserve"> ks. Toto zvýšenie ročnej produkcie jatočných ošípaných si vyžiada nárast potre</w:t>
      </w:r>
      <w:r w:rsidR="00D652DF">
        <w:rPr>
          <w:rFonts w:ascii="Times New Roman" w:hAnsi="Times New Roman" w:cs="Times New Roman"/>
          <w:sz w:val="24"/>
          <w:szCs w:val="24"/>
        </w:rPr>
        <w:t>by pracovníkov v prvovýrobe o 63</w:t>
      </w:r>
      <w:r w:rsidR="007B3471">
        <w:rPr>
          <w:rFonts w:ascii="Times New Roman" w:hAnsi="Times New Roman" w:cs="Times New Roman"/>
          <w:sz w:val="24"/>
          <w:szCs w:val="24"/>
        </w:rPr>
        <w:t xml:space="preserve">0 osôb. </w:t>
      </w:r>
      <w:r w:rsidR="00B15371">
        <w:rPr>
          <w:rFonts w:ascii="Times New Roman" w:hAnsi="Times New Roman" w:cs="Times New Roman"/>
          <w:sz w:val="24"/>
          <w:szCs w:val="24"/>
        </w:rPr>
        <w:t>Toto zvýšenie zamestnanosti predstavuje konečný efekt cieleného zvýšenia p</w:t>
      </w:r>
      <w:r w:rsidR="005C3069">
        <w:rPr>
          <w:rFonts w:ascii="Times New Roman" w:hAnsi="Times New Roman" w:cs="Times New Roman"/>
          <w:sz w:val="24"/>
          <w:szCs w:val="24"/>
        </w:rPr>
        <w:t>očetnosti ošípaných do roku 2020</w:t>
      </w:r>
      <w:r w:rsidR="00B15371">
        <w:rPr>
          <w:rFonts w:ascii="Times New Roman" w:hAnsi="Times New Roman" w:cs="Times New Roman"/>
          <w:sz w:val="24"/>
          <w:szCs w:val="24"/>
        </w:rPr>
        <w:t xml:space="preserve"> s postupným nástupom účinku od roku 2013 resp. 2014. </w:t>
      </w:r>
      <w:r w:rsidR="007B3471">
        <w:rPr>
          <w:rFonts w:ascii="Times New Roman" w:hAnsi="Times New Roman" w:cs="Times New Roman"/>
          <w:sz w:val="24"/>
          <w:szCs w:val="24"/>
        </w:rPr>
        <w:t xml:space="preserve">Projektované zvýšenie zamestnanosti bolo vypočítané na základe expertne odhadnutého normatívu potreby pracovníkov prvovýroby v podmienkach technologicky vyspelej prevádzky a pohybuje sa na úrovni            1 pracovník na 100 ks </w:t>
      </w:r>
      <w:r w:rsidR="00B15371">
        <w:rPr>
          <w:rFonts w:ascii="Times New Roman" w:hAnsi="Times New Roman" w:cs="Times New Roman"/>
          <w:sz w:val="24"/>
          <w:szCs w:val="24"/>
        </w:rPr>
        <w:t>prasníc a 1 pracovník na produkciu odstavčiat na 100 ks prasníc</w:t>
      </w:r>
      <w:r w:rsidR="007B3471">
        <w:rPr>
          <w:rFonts w:ascii="Times New Roman" w:hAnsi="Times New Roman" w:cs="Times New Roman"/>
          <w:sz w:val="24"/>
          <w:szCs w:val="24"/>
        </w:rPr>
        <w:t xml:space="preserve">. </w:t>
      </w:r>
    </w:p>
    <w:p w:rsidR="00676FF5" w:rsidRDefault="00676FF5" w:rsidP="00EA5916">
      <w:pPr>
        <w:spacing w:after="0" w:line="240" w:lineRule="auto"/>
        <w:jc w:val="both"/>
        <w:rPr>
          <w:rFonts w:ascii="Times New Roman" w:hAnsi="Times New Roman" w:cs="Times New Roman"/>
          <w:sz w:val="24"/>
          <w:szCs w:val="24"/>
        </w:rPr>
      </w:pPr>
    </w:p>
    <w:p w:rsidR="00B15371" w:rsidRDefault="00B15371" w:rsidP="00EA5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Zvýšením objemu domáceho spracovania bravčového mäsa v objeme 24 203 ton v jatočnej hmotnosti sa predpokladá navýšenie zamestnanosti v spracovaní prvovýrobnej produkcie jatočných ošípaných celkovo o</w:t>
      </w:r>
      <w:r w:rsidR="008B08E2">
        <w:rPr>
          <w:rFonts w:ascii="Times New Roman" w:hAnsi="Times New Roman" w:cs="Times New Roman"/>
          <w:sz w:val="24"/>
          <w:szCs w:val="24"/>
        </w:rPr>
        <w:t> 1 210</w:t>
      </w:r>
      <w:r>
        <w:rPr>
          <w:rFonts w:ascii="Times New Roman" w:hAnsi="Times New Roman" w:cs="Times New Roman"/>
          <w:sz w:val="24"/>
          <w:szCs w:val="24"/>
        </w:rPr>
        <w:t xml:space="preserve"> osôb. Toto zvýšenie zamestnanosti predstavuje konečný efekt cieleného zvýšenia objemu domáceho spracova</w:t>
      </w:r>
      <w:r w:rsidR="005C3069">
        <w:rPr>
          <w:rFonts w:ascii="Times New Roman" w:hAnsi="Times New Roman" w:cs="Times New Roman"/>
          <w:sz w:val="24"/>
          <w:szCs w:val="24"/>
        </w:rPr>
        <w:t>nia bravčového mäsa do roku 2020</w:t>
      </w:r>
      <w:r>
        <w:rPr>
          <w:rFonts w:ascii="Times New Roman" w:hAnsi="Times New Roman" w:cs="Times New Roman"/>
          <w:sz w:val="24"/>
          <w:szCs w:val="24"/>
        </w:rPr>
        <w:t xml:space="preserve"> s postupným nástupom účinku od roku 2013 resp. 2014. Projektované zvýšenie zamestnanosti bolo vypočítané na základe expertne odhadnutého normatívu potreby pracovníkov spracovania prvovýrobnej produkcie jatočných ošípaných v podmienkach technologicky vyspelej prevádzky a pohybuje sa na úrovni </w:t>
      </w:r>
      <w:r w:rsidR="008B08E2">
        <w:rPr>
          <w:rFonts w:ascii="Times New Roman" w:hAnsi="Times New Roman" w:cs="Times New Roman"/>
          <w:sz w:val="24"/>
          <w:szCs w:val="24"/>
        </w:rPr>
        <w:t>1 pracovníka</w:t>
      </w:r>
      <w:r>
        <w:rPr>
          <w:rFonts w:ascii="Times New Roman" w:hAnsi="Times New Roman" w:cs="Times New Roman"/>
          <w:sz w:val="24"/>
          <w:szCs w:val="24"/>
        </w:rPr>
        <w:t xml:space="preserve"> na spracovanie </w:t>
      </w:r>
      <w:r w:rsidR="008B08E2">
        <w:rPr>
          <w:rFonts w:ascii="Times New Roman" w:hAnsi="Times New Roman" w:cs="Times New Roman"/>
          <w:sz w:val="24"/>
          <w:szCs w:val="24"/>
        </w:rPr>
        <w:t>20</w:t>
      </w:r>
      <w:r>
        <w:rPr>
          <w:rFonts w:ascii="Times New Roman" w:hAnsi="Times New Roman" w:cs="Times New Roman"/>
          <w:sz w:val="24"/>
          <w:szCs w:val="24"/>
        </w:rPr>
        <w:t xml:space="preserve"> ton bravčového mäsa.</w:t>
      </w:r>
    </w:p>
    <w:p w:rsidR="00B15371" w:rsidRDefault="00B15371" w:rsidP="00EA5916">
      <w:pPr>
        <w:spacing w:after="0" w:line="240" w:lineRule="auto"/>
        <w:jc w:val="both"/>
        <w:rPr>
          <w:rFonts w:ascii="Times New Roman" w:hAnsi="Times New Roman" w:cs="Times New Roman"/>
          <w:sz w:val="24"/>
          <w:szCs w:val="24"/>
        </w:rPr>
      </w:pPr>
    </w:p>
    <w:p w:rsidR="00676FF5" w:rsidRDefault="00824F55" w:rsidP="00EA5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Zvýšením početnosti hydiny o 5 314 423 ks / 6 turnusov ročne, t.j. zvýšením stavov v chove o 885 737 ks</w:t>
      </w:r>
      <w:r w:rsidR="00676FF5">
        <w:rPr>
          <w:rFonts w:ascii="Times New Roman" w:hAnsi="Times New Roman" w:cs="Times New Roman"/>
          <w:sz w:val="24"/>
          <w:szCs w:val="24"/>
        </w:rPr>
        <w:t xml:space="preserve"> sa predpokladá navýšenie zamestnanosti v živočíšnej prvovýrobe celkovo o </w:t>
      </w:r>
      <w:r>
        <w:rPr>
          <w:rFonts w:ascii="Times New Roman" w:hAnsi="Times New Roman" w:cs="Times New Roman"/>
          <w:sz w:val="24"/>
          <w:szCs w:val="24"/>
        </w:rPr>
        <w:t>50</w:t>
      </w:r>
      <w:r w:rsidR="00676FF5">
        <w:rPr>
          <w:rFonts w:ascii="Times New Roman" w:hAnsi="Times New Roman" w:cs="Times New Roman"/>
          <w:sz w:val="24"/>
          <w:szCs w:val="24"/>
        </w:rPr>
        <w:t xml:space="preserve"> osôb. Toto zvýšenie zamestnanosti predstavuje konečný efekt cieleného zvýšeni</w:t>
      </w:r>
      <w:r w:rsidR="005C3069">
        <w:rPr>
          <w:rFonts w:ascii="Times New Roman" w:hAnsi="Times New Roman" w:cs="Times New Roman"/>
          <w:sz w:val="24"/>
          <w:szCs w:val="24"/>
        </w:rPr>
        <w:t>a početnosti hydiny do roku 2020</w:t>
      </w:r>
      <w:r w:rsidR="00676FF5">
        <w:rPr>
          <w:rFonts w:ascii="Times New Roman" w:hAnsi="Times New Roman" w:cs="Times New Roman"/>
          <w:sz w:val="24"/>
          <w:szCs w:val="24"/>
        </w:rPr>
        <w:t xml:space="preserve"> s postupným nástupom účinku od roku 2013 resp. 2014. Projektované zvýšenie zamestnanosti bolo vypočítané na základe </w:t>
      </w:r>
      <w:r w:rsidR="00BF6E79">
        <w:rPr>
          <w:rFonts w:ascii="Times New Roman" w:hAnsi="Times New Roman" w:cs="Times New Roman"/>
          <w:sz w:val="24"/>
          <w:szCs w:val="24"/>
        </w:rPr>
        <w:t xml:space="preserve">expertne odhadnutého normatívu potreby pracovníkov hydinovej prvovýroby v podmienkach technologicky vyspelej prevádzky a pohybuje sa na úrovni 5,68 pracovníka na 100 000 ks hydiny. </w:t>
      </w:r>
    </w:p>
    <w:p w:rsidR="00BF6E79" w:rsidRDefault="00BF6E79" w:rsidP="00EA5916">
      <w:pPr>
        <w:spacing w:after="0" w:line="240" w:lineRule="auto"/>
        <w:jc w:val="both"/>
        <w:rPr>
          <w:rFonts w:ascii="Times New Roman" w:hAnsi="Times New Roman" w:cs="Times New Roman"/>
          <w:sz w:val="24"/>
          <w:szCs w:val="24"/>
        </w:rPr>
      </w:pPr>
    </w:p>
    <w:p w:rsidR="00BF6E79" w:rsidRPr="00EA5916" w:rsidRDefault="00B34E99" w:rsidP="00EA5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Zvýšením objemu domáceho spracovania hydinového mäsa v objeme </w:t>
      </w:r>
      <w:r w:rsidR="00824F55">
        <w:rPr>
          <w:rFonts w:ascii="Times New Roman" w:hAnsi="Times New Roman" w:cs="Times New Roman"/>
          <w:sz w:val="24"/>
          <w:szCs w:val="24"/>
        </w:rPr>
        <w:t>26 676</w:t>
      </w:r>
      <w:r>
        <w:rPr>
          <w:rFonts w:ascii="Times New Roman" w:hAnsi="Times New Roman" w:cs="Times New Roman"/>
          <w:sz w:val="24"/>
          <w:szCs w:val="24"/>
        </w:rPr>
        <w:t xml:space="preserve"> ton v jatočnej hmotnosti sa predpokladá navýšenie zamestnanosti v spracovaní hydinovej</w:t>
      </w:r>
      <w:r w:rsidR="004922F7">
        <w:rPr>
          <w:rFonts w:ascii="Times New Roman" w:hAnsi="Times New Roman" w:cs="Times New Roman"/>
          <w:sz w:val="24"/>
          <w:szCs w:val="24"/>
        </w:rPr>
        <w:t xml:space="preserve"> prvovýrobnej produkcie celkovo</w:t>
      </w:r>
      <w:r>
        <w:rPr>
          <w:rFonts w:ascii="Times New Roman" w:hAnsi="Times New Roman" w:cs="Times New Roman"/>
          <w:sz w:val="24"/>
          <w:szCs w:val="24"/>
        </w:rPr>
        <w:t xml:space="preserve"> o</w:t>
      </w:r>
      <w:r w:rsidR="00824F55">
        <w:rPr>
          <w:rFonts w:ascii="Times New Roman" w:hAnsi="Times New Roman" w:cs="Times New Roman"/>
          <w:sz w:val="24"/>
          <w:szCs w:val="24"/>
        </w:rPr>
        <w:t> 1 333</w:t>
      </w:r>
      <w:r>
        <w:rPr>
          <w:rFonts w:ascii="Times New Roman" w:hAnsi="Times New Roman" w:cs="Times New Roman"/>
          <w:sz w:val="24"/>
          <w:szCs w:val="24"/>
        </w:rPr>
        <w:t xml:space="preserve"> osôb. Toto zvýšenie zamestnanosti predstavuje konečný efekt cieleného zvýšenia objemu domáceho spracova</w:t>
      </w:r>
      <w:r w:rsidR="005C3069">
        <w:rPr>
          <w:rFonts w:ascii="Times New Roman" w:hAnsi="Times New Roman" w:cs="Times New Roman"/>
          <w:sz w:val="24"/>
          <w:szCs w:val="24"/>
        </w:rPr>
        <w:t>nia hydinového mäsa do roku 2020</w:t>
      </w:r>
      <w:r>
        <w:rPr>
          <w:rFonts w:ascii="Times New Roman" w:hAnsi="Times New Roman" w:cs="Times New Roman"/>
          <w:sz w:val="24"/>
          <w:szCs w:val="24"/>
        </w:rPr>
        <w:t xml:space="preserve"> s postupným nástupom účinku od roku 2013 resp. 2014. Projektované zvýšenie zamestnanosti bolo vypočítané na základe expertne odhadnutého normatívu potreby pracovníkov spracovania prvovýrobnej produkcie hydiny v podmienkach technologicky vyspelej prevádzky a pohybuje sa na úrovni 50 pracovníkov na spracovanie 1 000 ton</w:t>
      </w:r>
      <w:r w:rsidR="00B0542B">
        <w:rPr>
          <w:rFonts w:ascii="Times New Roman" w:hAnsi="Times New Roman" w:cs="Times New Roman"/>
          <w:sz w:val="24"/>
          <w:szCs w:val="24"/>
        </w:rPr>
        <w:t xml:space="preserve"> hydinového mäsa</w:t>
      </w:r>
      <w:r>
        <w:rPr>
          <w:rFonts w:ascii="Times New Roman" w:hAnsi="Times New Roman" w:cs="Times New Roman"/>
          <w:sz w:val="24"/>
          <w:szCs w:val="24"/>
        </w:rPr>
        <w:t>.</w:t>
      </w:r>
    </w:p>
    <w:p w:rsidR="00EA5916" w:rsidRDefault="00EA5916" w:rsidP="00EA5916">
      <w:pPr>
        <w:spacing w:after="0" w:line="240" w:lineRule="auto"/>
        <w:jc w:val="both"/>
        <w:rPr>
          <w:rFonts w:ascii="Times New Roman" w:hAnsi="Times New Roman" w:cs="Times New Roman"/>
          <w:sz w:val="24"/>
          <w:szCs w:val="24"/>
        </w:rPr>
      </w:pPr>
    </w:p>
    <w:p w:rsidR="00B15371" w:rsidRDefault="0058175F" w:rsidP="00EA5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Sumárne je možné konštatovať, že realizáciou navrhovaných kvantitatívnych a kvalitatívnych opatrení v oblasti hlavnej živočíšnej výroby s priamym vplyvom na rozvoj zamestnanosti sa predpokladá zvýšenie zamestnanosti o</w:t>
      </w:r>
      <w:r w:rsidR="00824F55">
        <w:rPr>
          <w:rFonts w:ascii="Times New Roman" w:hAnsi="Times New Roman" w:cs="Times New Roman"/>
          <w:sz w:val="24"/>
          <w:szCs w:val="24"/>
        </w:rPr>
        <w:t xml:space="preserve"> 3 </w:t>
      </w:r>
      <w:r w:rsidR="005C3069">
        <w:rPr>
          <w:rFonts w:ascii="Times New Roman" w:hAnsi="Times New Roman" w:cs="Times New Roman"/>
          <w:sz w:val="24"/>
          <w:szCs w:val="24"/>
        </w:rPr>
        <w:t>403</w:t>
      </w:r>
      <w:r>
        <w:rPr>
          <w:rFonts w:ascii="Times New Roman" w:hAnsi="Times New Roman" w:cs="Times New Roman"/>
          <w:sz w:val="24"/>
          <w:szCs w:val="24"/>
        </w:rPr>
        <w:t xml:space="preserve"> osôb, a to v tejto štruktúre:</w:t>
      </w:r>
    </w:p>
    <w:p w:rsidR="006646F3" w:rsidRPr="006646F3" w:rsidRDefault="00C970F8" w:rsidP="007B5BCA">
      <w:pPr>
        <w:tabs>
          <w:tab w:val="left"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lastRenderedPageBreak/>
        <w:t>Tab. č. 48</w:t>
      </w:r>
      <w:r w:rsidR="006646F3" w:rsidRPr="00A855A4">
        <w:rPr>
          <w:rFonts w:ascii="Times New Roman" w:hAnsi="Times New Roman" w:cs="Times New Roman"/>
          <w:sz w:val="20"/>
          <w:szCs w:val="20"/>
        </w:rPr>
        <w:t xml:space="preserve">: </w:t>
      </w:r>
      <w:r w:rsidR="006646F3">
        <w:rPr>
          <w:rFonts w:ascii="Times New Roman" w:hAnsi="Times New Roman" w:cs="Times New Roman"/>
          <w:sz w:val="20"/>
          <w:szCs w:val="20"/>
        </w:rPr>
        <w:tab/>
        <w:t>Vplyv kvantitatívnych a kvalitatívnych opatrení v oblasti hlavnej živočíšnej výroby na rozvoj zamestnanosti</w:t>
      </w:r>
    </w:p>
    <w:tbl>
      <w:tblPr>
        <w:tblW w:w="9087" w:type="dxa"/>
        <w:tblInd w:w="55" w:type="dxa"/>
        <w:tblCellMar>
          <w:left w:w="70" w:type="dxa"/>
          <w:right w:w="70" w:type="dxa"/>
        </w:tblCellMar>
        <w:tblLook w:val="04A0" w:firstRow="1" w:lastRow="0" w:firstColumn="1" w:lastColumn="0" w:noHBand="0" w:noVBand="1"/>
      </w:tblPr>
      <w:tblGrid>
        <w:gridCol w:w="5402"/>
        <w:gridCol w:w="3685"/>
      </w:tblGrid>
      <w:tr w:rsidR="0058175F" w:rsidRPr="0058175F" w:rsidTr="00847019">
        <w:trPr>
          <w:trHeight w:val="947"/>
        </w:trPr>
        <w:tc>
          <w:tcPr>
            <w:tcW w:w="5402" w:type="dxa"/>
            <w:tcBorders>
              <w:top w:val="nil"/>
              <w:left w:val="nil"/>
              <w:bottom w:val="single" w:sz="4" w:space="0" w:color="auto"/>
              <w:right w:val="single" w:sz="4" w:space="0" w:color="auto"/>
            </w:tcBorders>
            <w:shd w:val="clear" w:color="000000" w:fill="D9D9D9"/>
            <w:noWrap/>
            <w:hideMark/>
          </w:tcPr>
          <w:p w:rsidR="0058175F" w:rsidRPr="006646F3" w:rsidRDefault="0058175F" w:rsidP="0058175F">
            <w:pPr>
              <w:spacing w:after="0" w:line="240" w:lineRule="auto"/>
              <w:jc w:val="center"/>
              <w:rPr>
                <w:rFonts w:ascii="Times New Roman" w:eastAsia="Times New Roman" w:hAnsi="Times New Roman" w:cs="Times New Roman"/>
                <w:b/>
                <w:color w:val="000000"/>
                <w:sz w:val="20"/>
                <w:szCs w:val="20"/>
              </w:rPr>
            </w:pPr>
            <w:r w:rsidRPr="006646F3">
              <w:rPr>
                <w:rFonts w:ascii="Times New Roman" w:eastAsia="Times New Roman" w:hAnsi="Times New Roman" w:cs="Times New Roman"/>
                <w:b/>
                <w:color w:val="000000"/>
                <w:sz w:val="20"/>
                <w:szCs w:val="20"/>
              </w:rPr>
              <w:t>Opatrenie</w:t>
            </w:r>
          </w:p>
        </w:tc>
        <w:tc>
          <w:tcPr>
            <w:tcW w:w="3685" w:type="dxa"/>
            <w:tcBorders>
              <w:top w:val="nil"/>
              <w:left w:val="nil"/>
              <w:bottom w:val="single" w:sz="4" w:space="0" w:color="auto"/>
              <w:right w:val="nil"/>
            </w:tcBorders>
            <w:shd w:val="clear" w:color="000000" w:fill="D9D9D9"/>
            <w:hideMark/>
          </w:tcPr>
          <w:p w:rsidR="0058175F" w:rsidRPr="006646F3" w:rsidRDefault="0058175F" w:rsidP="0058175F">
            <w:pPr>
              <w:spacing w:after="0" w:line="240" w:lineRule="auto"/>
              <w:jc w:val="center"/>
              <w:rPr>
                <w:rFonts w:ascii="Times New Roman" w:eastAsia="Times New Roman" w:hAnsi="Times New Roman" w:cs="Times New Roman"/>
                <w:b/>
                <w:color w:val="000000"/>
                <w:sz w:val="20"/>
                <w:szCs w:val="20"/>
              </w:rPr>
            </w:pPr>
            <w:r w:rsidRPr="006646F3">
              <w:rPr>
                <w:rFonts w:ascii="Times New Roman" w:eastAsia="Times New Roman" w:hAnsi="Times New Roman" w:cs="Times New Roman"/>
                <w:b/>
                <w:color w:val="000000"/>
                <w:sz w:val="20"/>
                <w:szCs w:val="20"/>
              </w:rPr>
              <w:t>Vplyv na rozvoj zamestnanosti (predpokladané zvýšenie zamestnanosti v osobách)</w:t>
            </w:r>
          </w:p>
        </w:tc>
      </w:tr>
      <w:tr w:rsidR="0058175F" w:rsidRPr="0058175F" w:rsidTr="006646F3">
        <w:trPr>
          <w:trHeight w:val="630"/>
        </w:trPr>
        <w:tc>
          <w:tcPr>
            <w:tcW w:w="5402" w:type="dxa"/>
            <w:tcBorders>
              <w:top w:val="nil"/>
              <w:left w:val="nil"/>
              <w:bottom w:val="nil"/>
              <w:right w:val="single" w:sz="4" w:space="0" w:color="auto"/>
            </w:tcBorders>
            <w:shd w:val="clear" w:color="auto" w:fill="auto"/>
            <w:hideMark/>
          </w:tcPr>
          <w:p w:rsidR="0058175F" w:rsidRPr="0058175F" w:rsidRDefault="0058175F" w:rsidP="0058175F">
            <w:pPr>
              <w:spacing w:after="0" w:line="240" w:lineRule="auto"/>
              <w:rPr>
                <w:rFonts w:ascii="Times New Roman" w:eastAsia="Times New Roman" w:hAnsi="Times New Roman" w:cs="Times New Roman"/>
                <w:color w:val="000000"/>
                <w:sz w:val="20"/>
                <w:szCs w:val="20"/>
              </w:rPr>
            </w:pPr>
            <w:r w:rsidRPr="0058175F">
              <w:rPr>
                <w:rFonts w:ascii="Times New Roman" w:eastAsia="Times New Roman" w:hAnsi="Times New Roman" w:cs="Times New Roman"/>
                <w:color w:val="000000"/>
                <w:sz w:val="20"/>
                <w:szCs w:val="20"/>
              </w:rPr>
              <w:t>zvýšenie objemu domáceho spracovania hovädzieho a teľacieho mäsa v objeme 3 630 ton v jatočnej hmotnosti</w:t>
            </w:r>
          </w:p>
        </w:tc>
        <w:tc>
          <w:tcPr>
            <w:tcW w:w="3685" w:type="dxa"/>
            <w:tcBorders>
              <w:top w:val="nil"/>
              <w:left w:val="nil"/>
              <w:bottom w:val="nil"/>
              <w:right w:val="nil"/>
            </w:tcBorders>
            <w:shd w:val="clear" w:color="auto" w:fill="auto"/>
            <w:noWrap/>
            <w:vAlign w:val="center"/>
            <w:hideMark/>
          </w:tcPr>
          <w:p w:rsidR="0058175F" w:rsidRPr="0058175F" w:rsidRDefault="008B08E2" w:rsidP="005817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w:t>
            </w:r>
          </w:p>
        </w:tc>
      </w:tr>
      <w:tr w:rsidR="0058175F" w:rsidRPr="0058175F" w:rsidTr="006646F3">
        <w:trPr>
          <w:trHeight w:val="858"/>
        </w:trPr>
        <w:tc>
          <w:tcPr>
            <w:tcW w:w="5402" w:type="dxa"/>
            <w:tcBorders>
              <w:top w:val="nil"/>
              <w:left w:val="nil"/>
              <w:bottom w:val="nil"/>
              <w:right w:val="single" w:sz="4" w:space="0" w:color="auto"/>
            </w:tcBorders>
            <w:shd w:val="clear" w:color="auto" w:fill="F2F2F2" w:themeFill="background1" w:themeFillShade="F2"/>
            <w:hideMark/>
          </w:tcPr>
          <w:p w:rsidR="0058175F" w:rsidRPr="0058175F" w:rsidRDefault="0058175F" w:rsidP="0058175F">
            <w:pPr>
              <w:spacing w:after="0" w:line="240" w:lineRule="auto"/>
              <w:rPr>
                <w:rFonts w:ascii="Times New Roman" w:eastAsia="Times New Roman" w:hAnsi="Times New Roman" w:cs="Times New Roman"/>
                <w:color w:val="000000"/>
                <w:sz w:val="20"/>
                <w:szCs w:val="20"/>
              </w:rPr>
            </w:pPr>
            <w:r w:rsidRPr="0058175F">
              <w:rPr>
                <w:rFonts w:ascii="Times New Roman" w:eastAsia="Times New Roman" w:hAnsi="Times New Roman" w:cs="Times New Roman"/>
                <w:color w:val="000000"/>
                <w:sz w:val="20"/>
                <w:szCs w:val="20"/>
              </w:rPr>
              <w:t>zvýšenie počtu prasníc o 30 000 ks a súčasné zvýšenie miery reprodukčnej úžitkovosti prasníc na úroveň 20 – 21 odstavčiat na 1 prasnicu</w:t>
            </w:r>
          </w:p>
        </w:tc>
        <w:tc>
          <w:tcPr>
            <w:tcW w:w="3685" w:type="dxa"/>
            <w:tcBorders>
              <w:top w:val="nil"/>
              <w:left w:val="nil"/>
              <w:bottom w:val="nil"/>
              <w:right w:val="nil"/>
            </w:tcBorders>
            <w:shd w:val="clear" w:color="auto" w:fill="F2F2F2" w:themeFill="background1" w:themeFillShade="F2"/>
            <w:noWrap/>
            <w:vAlign w:val="center"/>
            <w:hideMark/>
          </w:tcPr>
          <w:p w:rsidR="0058175F" w:rsidRPr="0058175F" w:rsidRDefault="00D652DF" w:rsidP="005817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r w:rsidR="0058175F" w:rsidRPr="0058175F">
              <w:rPr>
                <w:rFonts w:ascii="Times New Roman" w:eastAsia="Times New Roman" w:hAnsi="Times New Roman" w:cs="Times New Roman"/>
                <w:color w:val="000000"/>
                <w:sz w:val="20"/>
                <w:szCs w:val="20"/>
              </w:rPr>
              <w:t>0</w:t>
            </w:r>
          </w:p>
        </w:tc>
      </w:tr>
      <w:tr w:rsidR="0058175F" w:rsidRPr="0058175F" w:rsidTr="006646F3">
        <w:trPr>
          <w:trHeight w:val="700"/>
        </w:trPr>
        <w:tc>
          <w:tcPr>
            <w:tcW w:w="5402" w:type="dxa"/>
            <w:tcBorders>
              <w:top w:val="nil"/>
              <w:left w:val="nil"/>
              <w:bottom w:val="nil"/>
              <w:right w:val="single" w:sz="4" w:space="0" w:color="auto"/>
            </w:tcBorders>
            <w:shd w:val="clear" w:color="auto" w:fill="auto"/>
            <w:hideMark/>
          </w:tcPr>
          <w:p w:rsidR="0058175F" w:rsidRPr="0058175F" w:rsidRDefault="0058175F" w:rsidP="0058175F">
            <w:pPr>
              <w:spacing w:after="0" w:line="240" w:lineRule="auto"/>
              <w:rPr>
                <w:rFonts w:ascii="Times New Roman" w:eastAsia="Times New Roman" w:hAnsi="Times New Roman" w:cs="Times New Roman"/>
                <w:color w:val="000000"/>
                <w:sz w:val="20"/>
                <w:szCs w:val="20"/>
              </w:rPr>
            </w:pPr>
            <w:r w:rsidRPr="0058175F">
              <w:rPr>
                <w:rFonts w:ascii="Times New Roman" w:eastAsia="Times New Roman" w:hAnsi="Times New Roman" w:cs="Times New Roman"/>
                <w:color w:val="000000"/>
                <w:sz w:val="20"/>
                <w:szCs w:val="20"/>
              </w:rPr>
              <w:t>zvýšenie objemu domáceho spracovania bravčového mäsa v objeme 24 203 ton v jatočnej hmotnosti</w:t>
            </w:r>
          </w:p>
        </w:tc>
        <w:tc>
          <w:tcPr>
            <w:tcW w:w="3685" w:type="dxa"/>
            <w:tcBorders>
              <w:top w:val="nil"/>
              <w:left w:val="nil"/>
              <w:bottom w:val="nil"/>
              <w:right w:val="nil"/>
            </w:tcBorders>
            <w:shd w:val="clear" w:color="auto" w:fill="auto"/>
            <w:noWrap/>
            <w:vAlign w:val="center"/>
            <w:hideMark/>
          </w:tcPr>
          <w:p w:rsidR="0058175F" w:rsidRPr="0058175F" w:rsidRDefault="008B08E2" w:rsidP="005817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1 210</w:t>
            </w:r>
          </w:p>
        </w:tc>
      </w:tr>
      <w:tr w:rsidR="0058175F" w:rsidRPr="0058175F" w:rsidTr="006646F3">
        <w:trPr>
          <w:trHeight w:val="429"/>
        </w:trPr>
        <w:tc>
          <w:tcPr>
            <w:tcW w:w="5402" w:type="dxa"/>
            <w:tcBorders>
              <w:top w:val="nil"/>
              <w:left w:val="nil"/>
              <w:bottom w:val="nil"/>
              <w:right w:val="single" w:sz="4" w:space="0" w:color="auto"/>
            </w:tcBorders>
            <w:shd w:val="clear" w:color="auto" w:fill="F2F2F2" w:themeFill="background1" w:themeFillShade="F2"/>
            <w:hideMark/>
          </w:tcPr>
          <w:p w:rsidR="0058175F" w:rsidRDefault="00824F55" w:rsidP="0058175F">
            <w:pPr>
              <w:spacing w:after="0" w:line="240" w:lineRule="auto"/>
              <w:rPr>
                <w:rFonts w:ascii="Times New Roman" w:eastAsia="Times New Roman" w:hAnsi="Times New Roman" w:cs="Times New Roman"/>
                <w:color w:val="000000"/>
                <w:sz w:val="20"/>
                <w:szCs w:val="20"/>
              </w:rPr>
            </w:pPr>
            <w:r w:rsidRPr="00824F55">
              <w:rPr>
                <w:rFonts w:ascii="Times New Roman" w:eastAsia="Times New Roman" w:hAnsi="Times New Roman" w:cs="Times New Roman"/>
                <w:color w:val="000000"/>
                <w:sz w:val="20"/>
                <w:szCs w:val="20"/>
              </w:rPr>
              <w:t>zvýšenie početnosti hydiny o 5 314 423 ks / 6 turnusov ročne, t.j. zvýšenie stavov v chove o 885 737 ks</w:t>
            </w:r>
          </w:p>
          <w:p w:rsidR="00824F55" w:rsidRPr="0058175F" w:rsidRDefault="00824F55" w:rsidP="0058175F">
            <w:pPr>
              <w:spacing w:after="0" w:line="240" w:lineRule="auto"/>
              <w:rPr>
                <w:rFonts w:ascii="Times New Roman" w:eastAsia="Times New Roman" w:hAnsi="Times New Roman" w:cs="Times New Roman"/>
                <w:color w:val="000000"/>
                <w:sz w:val="20"/>
                <w:szCs w:val="20"/>
              </w:rPr>
            </w:pPr>
          </w:p>
        </w:tc>
        <w:tc>
          <w:tcPr>
            <w:tcW w:w="3685" w:type="dxa"/>
            <w:tcBorders>
              <w:top w:val="nil"/>
              <w:left w:val="nil"/>
              <w:bottom w:val="nil"/>
              <w:right w:val="nil"/>
            </w:tcBorders>
            <w:shd w:val="clear" w:color="auto" w:fill="F2F2F2" w:themeFill="background1" w:themeFillShade="F2"/>
            <w:noWrap/>
            <w:vAlign w:val="center"/>
            <w:hideMark/>
          </w:tcPr>
          <w:p w:rsidR="0058175F" w:rsidRPr="0058175F" w:rsidRDefault="00824F55" w:rsidP="005817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r>
      <w:tr w:rsidR="0058175F" w:rsidRPr="0058175F" w:rsidTr="006646F3">
        <w:trPr>
          <w:trHeight w:val="765"/>
        </w:trPr>
        <w:tc>
          <w:tcPr>
            <w:tcW w:w="5402" w:type="dxa"/>
            <w:tcBorders>
              <w:top w:val="nil"/>
              <w:left w:val="nil"/>
              <w:bottom w:val="nil"/>
              <w:right w:val="single" w:sz="4" w:space="0" w:color="auto"/>
            </w:tcBorders>
            <w:shd w:val="clear" w:color="auto" w:fill="auto"/>
            <w:hideMark/>
          </w:tcPr>
          <w:p w:rsidR="0058175F" w:rsidRPr="0058175F" w:rsidRDefault="0058175F" w:rsidP="00A94E06">
            <w:pPr>
              <w:spacing w:after="0" w:line="240" w:lineRule="auto"/>
              <w:rPr>
                <w:rFonts w:ascii="Times New Roman" w:eastAsia="Times New Roman" w:hAnsi="Times New Roman" w:cs="Times New Roman"/>
                <w:color w:val="000000"/>
                <w:sz w:val="20"/>
                <w:szCs w:val="20"/>
              </w:rPr>
            </w:pPr>
            <w:r w:rsidRPr="0058175F">
              <w:rPr>
                <w:rFonts w:ascii="Times New Roman" w:eastAsia="Times New Roman" w:hAnsi="Times New Roman" w:cs="Times New Roman"/>
                <w:color w:val="000000"/>
                <w:sz w:val="20"/>
                <w:szCs w:val="20"/>
              </w:rPr>
              <w:t xml:space="preserve">zvýšenie objemu domáceho spracovania hydinového mäsa v objeme </w:t>
            </w:r>
            <w:r w:rsidR="00A94E06">
              <w:rPr>
                <w:rFonts w:ascii="Times New Roman" w:eastAsia="Times New Roman" w:hAnsi="Times New Roman" w:cs="Times New Roman"/>
                <w:color w:val="000000"/>
                <w:sz w:val="20"/>
                <w:szCs w:val="20"/>
              </w:rPr>
              <w:t>26</w:t>
            </w:r>
            <w:r w:rsidRPr="0058175F">
              <w:rPr>
                <w:rFonts w:ascii="Times New Roman" w:eastAsia="Times New Roman" w:hAnsi="Times New Roman" w:cs="Times New Roman"/>
                <w:color w:val="000000"/>
                <w:sz w:val="20"/>
                <w:szCs w:val="20"/>
              </w:rPr>
              <w:t xml:space="preserve"> </w:t>
            </w:r>
            <w:r w:rsidR="00A94E06">
              <w:rPr>
                <w:rFonts w:ascii="Times New Roman" w:eastAsia="Times New Roman" w:hAnsi="Times New Roman" w:cs="Times New Roman"/>
                <w:color w:val="000000"/>
                <w:sz w:val="20"/>
                <w:szCs w:val="20"/>
              </w:rPr>
              <w:t>676</w:t>
            </w:r>
            <w:r w:rsidRPr="0058175F">
              <w:rPr>
                <w:rFonts w:ascii="Times New Roman" w:eastAsia="Times New Roman" w:hAnsi="Times New Roman" w:cs="Times New Roman"/>
                <w:color w:val="000000"/>
                <w:sz w:val="20"/>
                <w:szCs w:val="20"/>
              </w:rPr>
              <w:t xml:space="preserve"> ton v jatočnej hmotnosti</w:t>
            </w:r>
          </w:p>
        </w:tc>
        <w:tc>
          <w:tcPr>
            <w:tcW w:w="3685" w:type="dxa"/>
            <w:tcBorders>
              <w:top w:val="nil"/>
              <w:left w:val="nil"/>
              <w:bottom w:val="nil"/>
              <w:right w:val="nil"/>
            </w:tcBorders>
            <w:shd w:val="clear" w:color="auto" w:fill="auto"/>
            <w:noWrap/>
            <w:vAlign w:val="center"/>
            <w:hideMark/>
          </w:tcPr>
          <w:p w:rsidR="0058175F" w:rsidRPr="0058175F" w:rsidRDefault="00824F55" w:rsidP="005817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1 333</w:t>
            </w:r>
          </w:p>
        </w:tc>
      </w:tr>
      <w:tr w:rsidR="0058175F" w:rsidRPr="0058175F" w:rsidTr="006646F3">
        <w:trPr>
          <w:trHeight w:val="255"/>
        </w:trPr>
        <w:tc>
          <w:tcPr>
            <w:tcW w:w="5402" w:type="dxa"/>
            <w:tcBorders>
              <w:top w:val="nil"/>
              <w:left w:val="nil"/>
              <w:bottom w:val="single" w:sz="4" w:space="0" w:color="auto"/>
              <w:right w:val="single" w:sz="4" w:space="0" w:color="auto"/>
            </w:tcBorders>
            <w:shd w:val="clear" w:color="auto" w:fill="F2F2F2" w:themeFill="background1" w:themeFillShade="F2"/>
            <w:hideMark/>
          </w:tcPr>
          <w:p w:rsidR="0058175F" w:rsidRPr="0058175F" w:rsidRDefault="0058175F" w:rsidP="0058175F">
            <w:pPr>
              <w:spacing w:after="0" w:line="240" w:lineRule="auto"/>
              <w:rPr>
                <w:rFonts w:ascii="Times New Roman" w:eastAsia="Times New Roman" w:hAnsi="Times New Roman" w:cs="Times New Roman"/>
                <w:b/>
                <w:bCs/>
                <w:color w:val="000000"/>
                <w:sz w:val="20"/>
                <w:szCs w:val="20"/>
              </w:rPr>
            </w:pPr>
            <w:r w:rsidRPr="0058175F">
              <w:rPr>
                <w:rFonts w:ascii="Times New Roman" w:eastAsia="Times New Roman" w:hAnsi="Times New Roman" w:cs="Times New Roman"/>
                <w:b/>
                <w:bCs/>
                <w:color w:val="000000"/>
                <w:sz w:val="20"/>
                <w:szCs w:val="20"/>
              </w:rPr>
              <w:t>SPOLU</w:t>
            </w:r>
          </w:p>
        </w:tc>
        <w:tc>
          <w:tcPr>
            <w:tcW w:w="3685" w:type="dxa"/>
            <w:tcBorders>
              <w:top w:val="nil"/>
              <w:left w:val="nil"/>
              <w:bottom w:val="single" w:sz="4" w:space="0" w:color="auto"/>
              <w:right w:val="nil"/>
            </w:tcBorders>
            <w:shd w:val="clear" w:color="auto" w:fill="F2F2F2" w:themeFill="background1" w:themeFillShade="F2"/>
            <w:noWrap/>
            <w:vAlign w:val="bottom"/>
            <w:hideMark/>
          </w:tcPr>
          <w:p w:rsidR="0058175F" w:rsidRPr="0058175F" w:rsidRDefault="00824F55" w:rsidP="0058175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3 </w:t>
            </w:r>
            <w:r w:rsidR="00D652DF">
              <w:rPr>
                <w:rFonts w:ascii="Times New Roman" w:eastAsia="Times New Roman" w:hAnsi="Times New Roman" w:cs="Times New Roman"/>
                <w:b/>
                <w:bCs/>
                <w:color w:val="000000"/>
                <w:sz w:val="20"/>
                <w:szCs w:val="20"/>
              </w:rPr>
              <w:t>403</w:t>
            </w:r>
          </w:p>
        </w:tc>
      </w:tr>
    </w:tbl>
    <w:p w:rsidR="006646F3" w:rsidRPr="00C431FF" w:rsidRDefault="006646F3" w:rsidP="006646F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MPRV SR</w:t>
      </w:r>
    </w:p>
    <w:p w:rsidR="000B27E1" w:rsidRPr="00EA5916" w:rsidRDefault="000B27E1" w:rsidP="00EA5916">
      <w:pPr>
        <w:spacing w:after="0" w:line="240" w:lineRule="auto"/>
        <w:jc w:val="both"/>
        <w:rPr>
          <w:rFonts w:ascii="Times New Roman" w:hAnsi="Times New Roman" w:cs="Times New Roman"/>
          <w:sz w:val="24"/>
          <w:szCs w:val="24"/>
        </w:rPr>
      </w:pPr>
    </w:p>
    <w:p w:rsidR="0028430F" w:rsidRDefault="0028430F" w:rsidP="000D68DC">
      <w:pPr>
        <w:pStyle w:val="Nadpis3"/>
        <w:numPr>
          <w:ilvl w:val="2"/>
          <w:numId w:val="8"/>
        </w:numPr>
      </w:pPr>
      <w:bookmarkStart w:id="57" w:name="_Toc359550678"/>
      <w:r>
        <w:t>R</w:t>
      </w:r>
      <w:r w:rsidR="002C6718">
        <w:t>ozvoj zamestnanosti v</w:t>
      </w:r>
      <w:r w:rsidR="00491CE1">
        <w:t xml:space="preserve"> hlavnej </w:t>
      </w:r>
      <w:r w:rsidR="002C6718">
        <w:t>rastlinnej</w:t>
      </w:r>
      <w:r>
        <w:t xml:space="preserve"> výrob</w:t>
      </w:r>
      <w:r w:rsidR="002C6718">
        <w:t>e</w:t>
      </w:r>
      <w:bookmarkEnd w:id="57"/>
    </w:p>
    <w:p w:rsidR="0028430F" w:rsidRPr="00075CD9" w:rsidRDefault="0028430F" w:rsidP="00075CD9">
      <w:pPr>
        <w:spacing w:after="0" w:line="240" w:lineRule="auto"/>
        <w:jc w:val="both"/>
        <w:rPr>
          <w:rFonts w:ascii="Times New Roman" w:hAnsi="Times New Roman" w:cs="Times New Roman"/>
          <w:sz w:val="24"/>
          <w:szCs w:val="24"/>
        </w:rPr>
      </w:pPr>
    </w:p>
    <w:p w:rsidR="00075CD9" w:rsidRDefault="00075CD9" w:rsidP="00075C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Rozvoj zamestnanosti v</w:t>
      </w:r>
      <w:r w:rsidR="00491CE1">
        <w:rPr>
          <w:rFonts w:ascii="Times New Roman" w:hAnsi="Times New Roman" w:cs="Times New Roman"/>
          <w:sz w:val="24"/>
          <w:szCs w:val="24"/>
        </w:rPr>
        <w:t xml:space="preserve"> hlavnej </w:t>
      </w:r>
      <w:r w:rsidR="00CB1C5A">
        <w:rPr>
          <w:rFonts w:ascii="Times New Roman" w:hAnsi="Times New Roman" w:cs="Times New Roman"/>
          <w:sz w:val="24"/>
          <w:szCs w:val="24"/>
        </w:rPr>
        <w:t>rastlinnej</w:t>
      </w:r>
      <w:r>
        <w:rPr>
          <w:rFonts w:ascii="Times New Roman" w:hAnsi="Times New Roman" w:cs="Times New Roman"/>
          <w:sz w:val="24"/>
          <w:szCs w:val="24"/>
        </w:rPr>
        <w:t xml:space="preserve"> výrobe predpokladá dosiahnuť cielenú mieru produkčnej výkonnosti </w:t>
      </w:r>
      <w:r w:rsidR="00CB1C5A">
        <w:rPr>
          <w:rFonts w:ascii="Times New Roman" w:hAnsi="Times New Roman" w:cs="Times New Roman"/>
          <w:sz w:val="24"/>
          <w:szCs w:val="24"/>
        </w:rPr>
        <w:t xml:space="preserve">v nosných komoditách rastlinnej výroby </w:t>
      </w:r>
      <w:r>
        <w:rPr>
          <w:rFonts w:ascii="Times New Roman" w:hAnsi="Times New Roman" w:cs="Times New Roman"/>
          <w:sz w:val="24"/>
          <w:szCs w:val="24"/>
        </w:rPr>
        <w:t xml:space="preserve">na úrovni 80 % súčasnej spotreby obyvateľstva. Na základe vykonaných analýz potravinovej vertikály v nosných komoditách </w:t>
      </w:r>
      <w:r w:rsidR="00CB1C5A">
        <w:rPr>
          <w:rFonts w:ascii="Times New Roman" w:hAnsi="Times New Roman" w:cs="Times New Roman"/>
          <w:sz w:val="24"/>
          <w:szCs w:val="24"/>
        </w:rPr>
        <w:t>rastlinnej</w:t>
      </w:r>
      <w:r>
        <w:rPr>
          <w:rFonts w:ascii="Times New Roman" w:hAnsi="Times New Roman" w:cs="Times New Roman"/>
          <w:sz w:val="24"/>
          <w:szCs w:val="24"/>
        </w:rPr>
        <w:t xml:space="preserve"> výroby je zrejmé, že tento cieľ bude možné dosiahnuť kombináciou kvantitatívnych a kvalitatívnych opatrení, a to na všetkých stupňoch potravinovej vertikály. Priamy vplyv na zvýšenie zame</w:t>
      </w:r>
      <w:r w:rsidR="007B5BCA">
        <w:rPr>
          <w:rFonts w:ascii="Times New Roman" w:hAnsi="Times New Roman" w:cs="Times New Roman"/>
          <w:sz w:val="24"/>
          <w:szCs w:val="24"/>
        </w:rPr>
        <w:t>stnanosti majú tieto opatrenia:</w:t>
      </w:r>
    </w:p>
    <w:p w:rsidR="007B5BCA" w:rsidRDefault="007B5BCA" w:rsidP="00075CD9">
      <w:pPr>
        <w:spacing w:after="0" w:line="240" w:lineRule="auto"/>
        <w:jc w:val="both"/>
        <w:rPr>
          <w:rFonts w:ascii="Times New Roman" w:hAnsi="Times New Roman" w:cs="Times New Roman"/>
          <w:sz w:val="24"/>
          <w:szCs w:val="24"/>
        </w:rPr>
      </w:pPr>
    </w:p>
    <w:p w:rsidR="00075CD9" w:rsidRDefault="00727CDE" w:rsidP="000D68DC">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zvýšenie </w:t>
      </w:r>
      <w:r w:rsidR="00824F55">
        <w:rPr>
          <w:rFonts w:ascii="Times New Roman" w:hAnsi="Times New Roman" w:cs="Times New Roman"/>
          <w:sz w:val="24"/>
          <w:szCs w:val="24"/>
        </w:rPr>
        <w:t>výroby</w:t>
      </w:r>
      <w:r>
        <w:rPr>
          <w:rFonts w:ascii="Times New Roman" w:hAnsi="Times New Roman" w:cs="Times New Roman"/>
          <w:sz w:val="24"/>
          <w:szCs w:val="24"/>
        </w:rPr>
        <w:t xml:space="preserve"> rastlinných jedlých tukov a olejov minimálne o </w:t>
      </w:r>
      <w:r w:rsidR="0039698D">
        <w:rPr>
          <w:rFonts w:ascii="Times New Roman" w:hAnsi="Times New Roman" w:cs="Times New Roman"/>
          <w:sz w:val="24"/>
          <w:szCs w:val="24"/>
        </w:rPr>
        <w:t>31</w:t>
      </w:r>
      <w:r>
        <w:rPr>
          <w:rFonts w:ascii="Times New Roman" w:hAnsi="Times New Roman" w:cs="Times New Roman"/>
          <w:sz w:val="24"/>
          <w:szCs w:val="24"/>
        </w:rPr>
        <w:t> </w:t>
      </w:r>
      <w:r w:rsidR="0039698D">
        <w:rPr>
          <w:rFonts w:ascii="Times New Roman" w:hAnsi="Times New Roman" w:cs="Times New Roman"/>
          <w:sz w:val="24"/>
          <w:szCs w:val="24"/>
        </w:rPr>
        <w:t>371</w:t>
      </w:r>
      <w:r>
        <w:rPr>
          <w:rFonts w:ascii="Times New Roman" w:hAnsi="Times New Roman" w:cs="Times New Roman"/>
          <w:sz w:val="24"/>
          <w:szCs w:val="24"/>
        </w:rPr>
        <w:t xml:space="preserve"> ton;</w:t>
      </w:r>
    </w:p>
    <w:p w:rsidR="00727CDE" w:rsidRDefault="00727CDE" w:rsidP="000D68DC">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zvýšenie zberových plôch zemiakov o 743 ha; </w:t>
      </w:r>
    </w:p>
    <w:p w:rsidR="00727CDE" w:rsidRDefault="00727CDE" w:rsidP="000D68DC">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zvýšenie zberových plôch veľkopestovateľov zeleniny o 3 000 ha;</w:t>
      </w:r>
    </w:p>
    <w:p w:rsidR="00727CDE" w:rsidRDefault="003F2874" w:rsidP="000D68DC">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revitalizácia ovocných sadov, čo zahŕňa likvidáciu starých ovocných sadov, výsadbu, rekonštrukciu a obnovu ovocných sadov</w:t>
      </w:r>
      <w:r w:rsidR="00824F55">
        <w:rPr>
          <w:rFonts w:ascii="Times New Roman" w:hAnsi="Times New Roman" w:cs="Times New Roman"/>
          <w:sz w:val="24"/>
          <w:szCs w:val="24"/>
        </w:rPr>
        <w:t xml:space="preserve"> cca v rozmedzí od 500 do 1000 ha ročne</w:t>
      </w:r>
      <w:r>
        <w:rPr>
          <w:rFonts w:ascii="Times New Roman" w:hAnsi="Times New Roman" w:cs="Times New Roman"/>
          <w:sz w:val="24"/>
          <w:szCs w:val="24"/>
        </w:rPr>
        <w:t>.</w:t>
      </w:r>
    </w:p>
    <w:p w:rsidR="003F2874" w:rsidRDefault="003F2874" w:rsidP="003F2874">
      <w:pPr>
        <w:spacing w:after="0" w:line="240" w:lineRule="auto"/>
        <w:jc w:val="both"/>
        <w:rPr>
          <w:rFonts w:ascii="Times New Roman" w:hAnsi="Times New Roman" w:cs="Times New Roman"/>
          <w:sz w:val="24"/>
          <w:szCs w:val="24"/>
        </w:rPr>
      </w:pPr>
    </w:p>
    <w:p w:rsidR="003F2874" w:rsidRDefault="004922F7" w:rsidP="003F28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Zvýšením produkcie rastlinných jedlých tukov a olejov v objeme </w:t>
      </w:r>
      <w:r w:rsidR="0039698D">
        <w:rPr>
          <w:rFonts w:ascii="Times New Roman" w:hAnsi="Times New Roman" w:cs="Times New Roman"/>
          <w:sz w:val="24"/>
          <w:szCs w:val="24"/>
        </w:rPr>
        <w:t>31</w:t>
      </w:r>
      <w:r>
        <w:rPr>
          <w:rFonts w:ascii="Times New Roman" w:hAnsi="Times New Roman" w:cs="Times New Roman"/>
          <w:sz w:val="24"/>
          <w:szCs w:val="24"/>
        </w:rPr>
        <w:t> </w:t>
      </w:r>
      <w:r w:rsidR="0039698D">
        <w:rPr>
          <w:rFonts w:ascii="Times New Roman" w:hAnsi="Times New Roman" w:cs="Times New Roman"/>
          <w:sz w:val="24"/>
          <w:szCs w:val="24"/>
        </w:rPr>
        <w:t>371</w:t>
      </w:r>
      <w:r>
        <w:rPr>
          <w:rFonts w:ascii="Times New Roman" w:hAnsi="Times New Roman" w:cs="Times New Roman"/>
          <w:sz w:val="24"/>
          <w:szCs w:val="24"/>
        </w:rPr>
        <w:t xml:space="preserve"> ton sa predpokladá zvýšenie zamestnanosti v spracovaní prvovýrobnej produkcie repky a slnečnice celkovo o      72 osôb. Toto zvýšenie zamestnanosti predstavuje konečný efekt cieleného zvýšenia objemu domáceho spracovania prvovýrobnej produkci</w:t>
      </w:r>
      <w:r w:rsidR="00BD1661">
        <w:rPr>
          <w:rFonts w:ascii="Times New Roman" w:hAnsi="Times New Roman" w:cs="Times New Roman"/>
          <w:sz w:val="24"/>
          <w:szCs w:val="24"/>
        </w:rPr>
        <w:t>e repky a slnečnice do roku 2020</w:t>
      </w:r>
      <w:r>
        <w:rPr>
          <w:rFonts w:ascii="Times New Roman" w:hAnsi="Times New Roman" w:cs="Times New Roman"/>
          <w:sz w:val="24"/>
          <w:szCs w:val="24"/>
        </w:rPr>
        <w:t xml:space="preserve"> s postupným nástupom účinku od roku 2013 resp. 2014. Projektované zvýšenie zamestnanosti bolo vypočítané na základe expertne odhadnutého normatívu potreby pracovníkov spracovania prvovýrobnej produkcie repky a slnečnice, ktorý vychádza z prepočtov súčasnej miery produktivity práce pri spracovaní prvovýrobnej produkcie repky a slnečnice s odhadom rastu produktivity práce zabezpečením technológie spracovania s parametrami európskej úrovne. Súčasná produktivita práce v produkcii rastlinných jedlých tukov a olejov sa pohybuje na úrovni cca 400 ton ročnej produkcie rastlinných jedlých tukov a olejov na zamestnanca. Vplyvom novej technológie predpokladáme rast produktivity práce </w:t>
      </w:r>
      <w:r w:rsidR="007F301D">
        <w:rPr>
          <w:rFonts w:ascii="Times New Roman" w:hAnsi="Times New Roman" w:cs="Times New Roman"/>
          <w:sz w:val="24"/>
          <w:szCs w:val="24"/>
        </w:rPr>
        <w:t>na úroveň 449 ton</w:t>
      </w:r>
      <w:r w:rsidR="002A7940">
        <w:rPr>
          <w:rFonts w:ascii="Times New Roman" w:hAnsi="Times New Roman" w:cs="Times New Roman"/>
          <w:sz w:val="24"/>
          <w:szCs w:val="24"/>
        </w:rPr>
        <w:t xml:space="preserve"> </w:t>
      </w:r>
      <w:r w:rsidR="007F301D">
        <w:rPr>
          <w:rFonts w:ascii="Times New Roman" w:hAnsi="Times New Roman" w:cs="Times New Roman"/>
          <w:sz w:val="24"/>
          <w:szCs w:val="24"/>
        </w:rPr>
        <w:t xml:space="preserve">ročnej produkcie rastlinných jedlých tukov a olejov na zamestnanca. </w:t>
      </w:r>
    </w:p>
    <w:p w:rsidR="007F301D" w:rsidRDefault="007F301D" w:rsidP="003F28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Zvýšením zberových plôch zemiakov o 743 ha sa predpokladá zvýšenie zamestnanosti v prvovýrobnej produkcii zemiakov celkovo o 52 osôb. Toto zvýšenie zamestnanosti predstavuje konečný efekt cieleného zvýšenia objemu prvovýrobnej</w:t>
      </w:r>
      <w:r w:rsidR="00BD1661">
        <w:rPr>
          <w:rFonts w:ascii="Times New Roman" w:hAnsi="Times New Roman" w:cs="Times New Roman"/>
          <w:sz w:val="24"/>
          <w:szCs w:val="24"/>
        </w:rPr>
        <w:t xml:space="preserve"> produkcie zemiakov do roku 2020</w:t>
      </w:r>
      <w:r>
        <w:rPr>
          <w:rFonts w:ascii="Times New Roman" w:hAnsi="Times New Roman" w:cs="Times New Roman"/>
          <w:sz w:val="24"/>
          <w:szCs w:val="24"/>
        </w:rPr>
        <w:t xml:space="preserve"> s postupným nástupom účinku od roku 2013 resp. 2014. Projektované zvýšenie zamestnanosti bolo vypočítané na základe expertne odhadnutého normatívu potreby pracovníkov na 1 ha zberovej plochy zemiakov vrátane pozberovej úpravy v podmienkach technologicky vyspelej prvovýrobnej produkcie a pohybuje sa na úrovni 0,07 pracovníka na  1 ha.</w:t>
      </w:r>
    </w:p>
    <w:p w:rsidR="007F301D" w:rsidRDefault="007F301D" w:rsidP="003F2874">
      <w:pPr>
        <w:spacing w:after="0" w:line="240" w:lineRule="auto"/>
        <w:jc w:val="both"/>
        <w:rPr>
          <w:rFonts w:ascii="Times New Roman" w:hAnsi="Times New Roman" w:cs="Times New Roman"/>
          <w:sz w:val="24"/>
          <w:szCs w:val="24"/>
        </w:rPr>
      </w:pPr>
    </w:p>
    <w:p w:rsidR="007F301D" w:rsidRPr="003F2874" w:rsidRDefault="007F301D" w:rsidP="003F28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Zvýšením </w:t>
      </w:r>
      <w:r w:rsidR="007239DD">
        <w:rPr>
          <w:rFonts w:ascii="Times New Roman" w:hAnsi="Times New Roman" w:cs="Times New Roman"/>
          <w:sz w:val="24"/>
          <w:szCs w:val="24"/>
        </w:rPr>
        <w:t xml:space="preserve">zberových plôch zeleniny </w:t>
      </w:r>
      <w:r w:rsidR="00F40B05">
        <w:rPr>
          <w:rFonts w:ascii="Times New Roman" w:hAnsi="Times New Roman" w:cs="Times New Roman"/>
          <w:sz w:val="24"/>
          <w:szCs w:val="24"/>
        </w:rPr>
        <w:t xml:space="preserve">na ornej pôde </w:t>
      </w:r>
      <w:r w:rsidR="007239DD">
        <w:rPr>
          <w:rFonts w:ascii="Times New Roman" w:hAnsi="Times New Roman" w:cs="Times New Roman"/>
          <w:sz w:val="24"/>
          <w:szCs w:val="24"/>
        </w:rPr>
        <w:t>o 3 000 ha sa predpokladá zvýšenie zamestnanosti v prvovýrobnej produkcii zeleniny celkovo o 6 900 osôb. Toto zvýšenie zamestnanosti predstavuje konečný efekt cieleného zvýšenia objemu prvovýrobnej</w:t>
      </w:r>
      <w:r w:rsidR="00BD1661">
        <w:rPr>
          <w:rFonts w:ascii="Times New Roman" w:hAnsi="Times New Roman" w:cs="Times New Roman"/>
          <w:sz w:val="24"/>
          <w:szCs w:val="24"/>
        </w:rPr>
        <w:t xml:space="preserve"> produkcie zeleniny do roku 2020</w:t>
      </w:r>
      <w:r w:rsidR="007239DD">
        <w:rPr>
          <w:rFonts w:ascii="Times New Roman" w:hAnsi="Times New Roman" w:cs="Times New Roman"/>
          <w:sz w:val="24"/>
          <w:szCs w:val="24"/>
        </w:rPr>
        <w:t xml:space="preserve"> s postupným nástupom účinku od roku 2013 resp. 2014. Projektované zvýšenie zamestnanosti bolo vypočítané na základe expertne odhadnutého normatívu potreby pracovníkov na 1 ha zberovej plochy zeleniny vrátane pozberovej úpravy v podmienkach technologicky vyspelej </w:t>
      </w:r>
      <w:r w:rsidR="00A90B6F">
        <w:rPr>
          <w:rFonts w:ascii="Times New Roman" w:hAnsi="Times New Roman" w:cs="Times New Roman"/>
          <w:sz w:val="24"/>
          <w:szCs w:val="24"/>
        </w:rPr>
        <w:t xml:space="preserve">integrovanej </w:t>
      </w:r>
      <w:r w:rsidR="007239DD">
        <w:rPr>
          <w:rFonts w:ascii="Times New Roman" w:hAnsi="Times New Roman" w:cs="Times New Roman"/>
          <w:sz w:val="24"/>
          <w:szCs w:val="24"/>
        </w:rPr>
        <w:t>prvovýrobnej produkcie a pohybuje sa na úrovni 2,3 pracovníka</w:t>
      </w:r>
      <w:r w:rsidR="00A90B6F">
        <w:rPr>
          <w:rFonts w:ascii="Times New Roman" w:hAnsi="Times New Roman" w:cs="Times New Roman"/>
          <w:sz w:val="24"/>
          <w:szCs w:val="24"/>
        </w:rPr>
        <w:t xml:space="preserve"> na</w:t>
      </w:r>
      <w:r w:rsidR="007239DD">
        <w:rPr>
          <w:rFonts w:ascii="Times New Roman" w:hAnsi="Times New Roman" w:cs="Times New Roman"/>
          <w:sz w:val="24"/>
          <w:szCs w:val="24"/>
        </w:rPr>
        <w:t xml:space="preserve"> 1 ha.</w:t>
      </w:r>
    </w:p>
    <w:p w:rsidR="00075CD9" w:rsidRDefault="00075CD9" w:rsidP="007239DD">
      <w:pPr>
        <w:spacing w:after="0" w:line="240" w:lineRule="auto"/>
        <w:jc w:val="both"/>
        <w:rPr>
          <w:rFonts w:ascii="Times New Roman" w:hAnsi="Times New Roman" w:cs="Times New Roman"/>
          <w:sz w:val="24"/>
          <w:szCs w:val="24"/>
        </w:rPr>
      </w:pPr>
    </w:p>
    <w:p w:rsidR="00A90B6F" w:rsidRDefault="007239DD" w:rsidP="00723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Revitalizáciou ovocných sadov sa predpokladá zvýšenie zamestnanosti </w:t>
      </w:r>
      <w:r w:rsidR="00A90B6F">
        <w:rPr>
          <w:rFonts w:ascii="Times New Roman" w:hAnsi="Times New Roman" w:cs="Times New Roman"/>
          <w:sz w:val="24"/>
          <w:szCs w:val="24"/>
        </w:rPr>
        <w:t>v prvovýrobnej produkcii ovocia mierneho pásma celkovo o</w:t>
      </w:r>
      <w:r w:rsidR="00392C1B">
        <w:rPr>
          <w:rFonts w:ascii="Times New Roman" w:hAnsi="Times New Roman" w:cs="Times New Roman"/>
          <w:sz w:val="24"/>
          <w:szCs w:val="24"/>
        </w:rPr>
        <w:t> 4 562</w:t>
      </w:r>
      <w:r w:rsidR="00A90B6F">
        <w:rPr>
          <w:rFonts w:ascii="Times New Roman" w:hAnsi="Times New Roman" w:cs="Times New Roman"/>
          <w:sz w:val="24"/>
          <w:szCs w:val="24"/>
        </w:rPr>
        <w:t xml:space="preserve"> osôb. Toto zvýšenie zamestnanosti predstavuje konečný efekt cieleného zvýšenia objemu prvovýrobnej produkcie ov</w:t>
      </w:r>
      <w:r w:rsidR="00BD1661">
        <w:rPr>
          <w:rFonts w:ascii="Times New Roman" w:hAnsi="Times New Roman" w:cs="Times New Roman"/>
          <w:sz w:val="24"/>
          <w:szCs w:val="24"/>
        </w:rPr>
        <w:t>ocia mierneho pásma do roku 2020</w:t>
      </w:r>
      <w:r w:rsidR="00A90B6F">
        <w:rPr>
          <w:rFonts w:ascii="Times New Roman" w:hAnsi="Times New Roman" w:cs="Times New Roman"/>
          <w:sz w:val="24"/>
          <w:szCs w:val="24"/>
        </w:rPr>
        <w:t xml:space="preserve"> s postupným nástupom účinku od roku 2013 resp. 2014. Projektované zvýšenie zamestnanosti bolo vypočítané na základe expertne odhadnutého normatívu potreby pracovníkov na 1 ha zberovej plochy </w:t>
      </w:r>
      <w:r w:rsidR="002A7639">
        <w:rPr>
          <w:rFonts w:ascii="Times New Roman" w:hAnsi="Times New Roman" w:cs="Times New Roman"/>
          <w:sz w:val="24"/>
          <w:szCs w:val="24"/>
        </w:rPr>
        <w:t>ovocia mierneho pásma</w:t>
      </w:r>
      <w:r w:rsidR="00A90B6F">
        <w:rPr>
          <w:rFonts w:ascii="Times New Roman" w:hAnsi="Times New Roman" w:cs="Times New Roman"/>
          <w:sz w:val="24"/>
          <w:szCs w:val="24"/>
        </w:rPr>
        <w:t xml:space="preserve"> vrátane pozberovej úpravy v podmienkach technologicky vyspelej integrovanej prvovýrobnej produkcie a pohybuje sa na úrovni </w:t>
      </w:r>
      <w:r w:rsidR="002A7639">
        <w:rPr>
          <w:rFonts w:ascii="Times New Roman" w:hAnsi="Times New Roman" w:cs="Times New Roman"/>
          <w:sz w:val="24"/>
          <w:szCs w:val="24"/>
        </w:rPr>
        <w:t>1</w:t>
      </w:r>
      <w:r w:rsidR="00A90B6F">
        <w:rPr>
          <w:rFonts w:ascii="Times New Roman" w:hAnsi="Times New Roman" w:cs="Times New Roman"/>
          <w:sz w:val="24"/>
          <w:szCs w:val="24"/>
        </w:rPr>
        <w:t xml:space="preserve"> pracovníka na 1 ha.</w:t>
      </w:r>
      <w:r w:rsidR="002A7639">
        <w:rPr>
          <w:rFonts w:ascii="Times New Roman" w:hAnsi="Times New Roman" w:cs="Times New Roman"/>
          <w:sz w:val="24"/>
          <w:szCs w:val="24"/>
        </w:rPr>
        <w:t xml:space="preserve"> Nakoľko projektovaný nárast zamestnanosti vyplýva z aplikácie vyspelej technológie pri </w:t>
      </w:r>
      <w:r w:rsidR="000319A3">
        <w:rPr>
          <w:rFonts w:ascii="Times New Roman" w:hAnsi="Times New Roman" w:cs="Times New Roman"/>
          <w:sz w:val="24"/>
          <w:szCs w:val="24"/>
        </w:rPr>
        <w:t xml:space="preserve">integrovanom </w:t>
      </w:r>
      <w:r w:rsidR="002A7639">
        <w:rPr>
          <w:rFonts w:ascii="Times New Roman" w:hAnsi="Times New Roman" w:cs="Times New Roman"/>
          <w:sz w:val="24"/>
          <w:szCs w:val="24"/>
        </w:rPr>
        <w:t>pestovaní ovocia mierneho pásma, ktorej konečný efekt sa neprejaví v definitívnom navýšení zberových plôch ale takmer výlučne v intenzifikácii produkcie, a to až na úroveň 12,27 t/ha, výpočet konečného vplyvu na zamestnanosť zohľadňoval prevažne dodatočný nárast potreby pracovníkov na pozberové úpravy ovocia mierneho pásma.</w:t>
      </w:r>
    </w:p>
    <w:p w:rsidR="00A90B6F" w:rsidRDefault="00A90B6F" w:rsidP="007239DD">
      <w:pPr>
        <w:spacing w:after="0" w:line="240" w:lineRule="auto"/>
        <w:jc w:val="both"/>
        <w:rPr>
          <w:rFonts w:ascii="Times New Roman" w:hAnsi="Times New Roman" w:cs="Times New Roman"/>
          <w:sz w:val="24"/>
          <w:szCs w:val="24"/>
        </w:rPr>
      </w:pPr>
    </w:p>
    <w:p w:rsidR="002A7639" w:rsidRDefault="002A7639" w:rsidP="002A7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Sumárne je možné konštatovať, že realizáciou navrhovaných kvantitatívnych a kvalitatívnych opatrení v oblasti hlavnej rastlinnej výroby s priamym vplyvom na rozvoj zamestnanosti sa predpokladá zvýšenie zamestnanosti o </w:t>
      </w:r>
      <w:r w:rsidR="00392C1B">
        <w:rPr>
          <w:rFonts w:ascii="Times New Roman" w:hAnsi="Times New Roman" w:cs="Times New Roman"/>
          <w:sz w:val="24"/>
          <w:szCs w:val="24"/>
        </w:rPr>
        <w:t>11 586</w:t>
      </w:r>
      <w:r>
        <w:rPr>
          <w:rFonts w:ascii="Times New Roman" w:hAnsi="Times New Roman" w:cs="Times New Roman"/>
          <w:sz w:val="24"/>
          <w:szCs w:val="24"/>
        </w:rPr>
        <w:t xml:space="preserve"> osôb, a to v tejto štruktúre:</w:t>
      </w:r>
    </w:p>
    <w:p w:rsidR="00685557" w:rsidRDefault="00685557" w:rsidP="002A7639">
      <w:pPr>
        <w:tabs>
          <w:tab w:val="left" w:pos="993"/>
        </w:tabs>
        <w:spacing w:after="0" w:line="240" w:lineRule="auto"/>
        <w:ind w:left="993" w:hanging="993"/>
        <w:jc w:val="both"/>
        <w:rPr>
          <w:rFonts w:ascii="Times New Roman" w:hAnsi="Times New Roman" w:cs="Times New Roman"/>
          <w:sz w:val="24"/>
          <w:szCs w:val="24"/>
        </w:rPr>
      </w:pPr>
    </w:p>
    <w:p w:rsidR="007B5BCA" w:rsidRDefault="007B5BCA" w:rsidP="002A7639">
      <w:pPr>
        <w:tabs>
          <w:tab w:val="left" w:pos="993"/>
        </w:tabs>
        <w:spacing w:after="0" w:line="240" w:lineRule="auto"/>
        <w:ind w:left="993" w:hanging="993"/>
        <w:jc w:val="both"/>
        <w:rPr>
          <w:rFonts w:ascii="Times New Roman" w:hAnsi="Times New Roman" w:cs="Times New Roman"/>
          <w:sz w:val="24"/>
          <w:szCs w:val="24"/>
        </w:rPr>
      </w:pPr>
    </w:p>
    <w:p w:rsidR="007B5BCA" w:rsidRDefault="007B5BCA" w:rsidP="002A7639">
      <w:pPr>
        <w:tabs>
          <w:tab w:val="left" w:pos="993"/>
        </w:tabs>
        <w:spacing w:after="0" w:line="240" w:lineRule="auto"/>
        <w:ind w:left="993" w:hanging="993"/>
        <w:jc w:val="both"/>
        <w:rPr>
          <w:rFonts w:ascii="Times New Roman" w:hAnsi="Times New Roman" w:cs="Times New Roman"/>
          <w:sz w:val="24"/>
          <w:szCs w:val="24"/>
        </w:rPr>
      </w:pPr>
    </w:p>
    <w:p w:rsidR="007B5BCA" w:rsidRDefault="007B5BCA" w:rsidP="002A7639">
      <w:pPr>
        <w:tabs>
          <w:tab w:val="left" w:pos="993"/>
        </w:tabs>
        <w:spacing w:after="0" w:line="240" w:lineRule="auto"/>
        <w:ind w:left="993" w:hanging="993"/>
        <w:jc w:val="both"/>
        <w:rPr>
          <w:rFonts w:ascii="Times New Roman" w:hAnsi="Times New Roman" w:cs="Times New Roman"/>
          <w:sz w:val="24"/>
          <w:szCs w:val="24"/>
        </w:rPr>
      </w:pPr>
    </w:p>
    <w:p w:rsidR="007B5BCA" w:rsidRDefault="007B5BCA" w:rsidP="002A7639">
      <w:pPr>
        <w:tabs>
          <w:tab w:val="left" w:pos="993"/>
        </w:tabs>
        <w:spacing w:after="0" w:line="240" w:lineRule="auto"/>
        <w:ind w:left="993" w:hanging="993"/>
        <w:jc w:val="both"/>
        <w:rPr>
          <w:rFonts w:ascii="Times New Roman" w:hAnsi="Times New Roman" w:cs="Times New Roman"/>
          <w:sz w:val="24"/>
          <w:szCs w:val="24"/>
        </w:rPr>
      </w:pPr>
    </w:p>
    <w:p w:rsidR="007B5BCA" w:rsidRDefault="007B5BCA" w:rsidP="002A7639">
      <w:pPr>
        <w:tabs>
          <w:tab w:val="left" w:pos="993"/>
        </w:tabs>
        <w:spacing w:after="0" w:line="240" w:lineRule="auto"/>
        <w:ind w:left="993" w:hanging="993"/>
        <w:jc w:val="both"/>
        <w:rPr>
          <w:rFonts w:ascii="Times New Roman" w:hAnsi="Times New Roman" w:cs="Times New Roman"/>
          <w:sz w:val="24"/>
          <w:szCs w:val="24"/>
        </w:rPr>
      </w:pPr>
    </w:p>
    <w:p w:rsidR="007B5BCA" w:rsidRDefault="007B5BCA" w:rsidP="002A7639">
      <w:pPr>
        <w:tabs>
          <w:tab w:val="left" w:pos="993"/>
        </w:tabs>
        <w:spacing w:after="0" w:line="240" w:lineRule="auto"/>
        <w:ind w:left="993" w:hanging="993"/>
        <w:jc w:val="both"/>
        <w:rPr>
          <w:rFonts w:ascii="Times New Roman" w:hAnsi="Times New Roman" w:cs="Times New Roman"/>
          <w:sz w:val="24"/>
          <w:szCs w:val="24"/>
        </w:rPr>
      </w:pPr>
    </w:p>
    <w:p w:rsidR="007B5BCA" w:rsidRDefault="007B5BCA" w:rsidP="002A7639">
      <w:pPr>
        <w:tabs>
          <w:tab w:val="left" w:pos="993"/>
        </w:tabs>
        <w:spacing w:after="0" w:line="240" w:lineRule="auto"/>
        <w:ind w:left="993" w:hanging="993"/>
        <w:jc w:val="both"/>
        <w:rPr>
          <w:rFonts w:ascii="Times New Roman" w:hAnsi="Times New Roman" w:cs="Times New Roman"/>
          <w:sz w:val="24"/>
          <w:szCs w:val="24"/>
        </w:rPr>
      </w:pPr>
    </w:p>
    <w:p w:rsidR="007B5BCA" w:rsidRDefault="007B5BCA" w:rsidP="002A7639">
      <w:pPr>
        <w:tabs>
          <w:tab w:val="left" w:pos="993"/>
        </w:tabs>
        <w:spacing w:after="0" w:line="240" w:lineRule="auto"/>
        <w:ind w:left="993" w:hanging="993"/>
        <w:jc w:val="both"/>
        <w:rPr>
          <w:rFonts w:ascii="Times New Roman" w:hAnsi="Times New Roman" w:cs="Times New Roman"/>
          <w:sz w:val="24"/>
          <w:szCs w:val="24"/>
        </w:rPr>
      </w:pPr>
    </w:p>
    <w:p w:rsidR="007B5BCA" w:rsidRDefault="007B5BCA" w:rsidP="002A7639">
      <w:pPr>
        <w:tabs>
          <w:tab w:val="left" w:pos="993"/>
        </w:tabs>
        <w:spacing w:after="0" w:line="240" w:lineRule="auto"/>
        <w:ind w:left="993" w:hanging="993"/>
        <w:jc w:val="both"/>
        <w:rPr>
          <w:rFonts w:ascii="Times New Roman" w:hAnsi="Times New Roman" w:cs="Times New Roman"/>
          <w:sz w:val="24"/>
          <w:szCs w:val="24"/>
        </w:rPr>
      </w:pPr>
    </w:p>
    <w:p w:rsidR="007B5BCA" w:rsidRDefault="007B5BCA" w:rsidP="002A7639">
      <w:pPr>
        <w:tabs>
          <w:tab w:val="left" w:pos="993"/>
        </w:tabs>
        <w:spacing w:after="0" w:line="240" w:lineRule="auto"/>
        <w:ind w:left="993" w:hanging="993"/>
        <w:jc w:val="both"/>
        <w:rPr>
          <w:rFonts w:ascii="Times New Roman" w:hAnsi="Times New Roman" w:cs="Times New Roman"/>
          <w:sz w:val="24"/>
          <w:szCs w:val="24"/>
        </w:rPr>
      </w:pPr>
    </w:p>
    <w:p w:rsidR="007B5BCA" w:rsidRDefault="007B5BCA" w:rsidP="002A7639">
      <w:pPr>
        <w:tabs>
          <w:tab w:val="left" w:pos="993"/>
        </w:tabs>
        <w:spacing w:after="0" w:line="240" w:lineRule="auto"/>
        <w:ind w:left="993" w:hanging="993"/>
        <w:jc w:val="both"/>
        <w:rPr>
          <w:rFonts w:ascii="Times New Roman" w:hAnsi="Times New Roman" w:cs="Times New Roman"/>
          <w:sz w:val="24"/>
          <w:szCs w:val="24"/>
        </w:rPr>
      </w:pPr>
    </w:p>
    <w:p w:rsidR="007B5BCA" w:rsidRDefault="007B5BCA" w:rsidP="002A7639">
      <w:pPr>
        <w:tabs>
          <w:tab w:val="left" w:pos="993"/>
        </w:tabs>
        <w:spacing w:after="0" w:line="240" w:lineRule="auto"/>
        <w:ind w:left="993" w:hanging="993"/>
        <w:jc w:val="both"/>
        <w:rPr>
          <w:rFonts w:ascii="Times New Roman" w:hAnsi="Times New Roman" w:cs="Times New Roman"/>
          <w:sz w:val="24"/>
          <w:szCs w:val="24"/>
        </w:rPr>
      </w:pPr>
    </w:p>
    <w:p w:rsidR="007B5BCA" w:rsidRDefault="007B5BCA" w:rsidP="002A7639">
      <w:pPr>
        <w:tabs>
          <w:tab w:val="left" w:pos="993"/>
        </w:tabs>
        <w:spacing w:after="0" w:line="240" w:lineRule="auto"/>
        <w:ind w:left="993" w:hanging="993"/>
        <w:jc w:val="both"/>
        <w:rPr>
          <w:rFonts w:ascii="Times New Roman" w:hAnsi="Times New Roman" w:cs="Times New Roman"/>
          <w:sz w:val="24"/>
          <w:szCs w:val="24"/>
        </w:rPr>
      </w:pPr>
    </w:p>
    <w:p w:rsidR="002A7639" w:rsidRPr="006646F3" w:rsidRDefault="00C970F8" w:rsidP="007B5BCA">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Tab. č. 49</w:t>
      </w:r>
      <w:r w:rsidR="002A7639" w:rsidRPr="00A855A4">
        <w:rPr>
          <w:rFonts w:ascii="Times New Roman" w:hAnsi="Times New Roman" w:cs="Times New Roman"/>
          <w:sz w:val="20"/>
          <w:szCs w:val="20"/>
        </w:rPr>
        <w:t xml:space="preserve">: </w:t>
      </w:r>
      <w:r w:rsidR="002A7639">
        <w:rPr>
          <w:rFonts w:ascii="Times New Roman" w:hAnsi="Times New Roman" w:cs="Times New Roman"/>
          <w:sz w:val="20"/>
          <w:szCs w:val="20"/>
        </w:rPr>
        <w:tab/>
        <w:t>Vplyv kvantitatívnych a kvalitatívnych opatrení v oblasti hlavnej rastlinnej výroby na rozvoj zamestnanosti</w:t>
      </w:r>
    </w:p>
    <w:tbl>
      <w:tblPr>
        <w:tblW w:w="9087" w:type="dxa"/>
        <w:tblInd w:w="55" w:type="dxa"/>
        <w:tblCellMar>
          <w:left w:w="70" w:type="dxa"/>
          <w:right w:w="70" w:type="dxa"/>
        </w:tblCellMar>
        <w:tblLook w:val="04A0" w:firstRow="1" w:lastRow="0" w:firstColumn="1" w:lastColumn="0" w:noHBand="0" w:noVBand="1"/>
      </w:tblPr>
      <w:tblGrid>
        <w:gridCol w:w="5402"/>
        <w:gridCol w:w="3685"/>
      </w:tblGrid>
      <w:tr w:rsidR="002A7639" w:rsidRPr="0058175F" w:rsidTr="00847019">
        <w:trPr>
          <w:trHeight w:val="981"/>
        </w:trPr>
        <w:tc>
          <w:tcPr>
            <w:tcW w:w="5402" w:type="dxa"/>
            <w:tcBorders>
              <w:top w:val="nil"/>
              <w:left w:val="nil"/>
              <w:bottom w:val="single" w:sz="4" w:space="0" w:color="auto"/>
              <w:right w:val="single" w:sz="4" w:space="0" w:color="auto"/>
            </w:tcBorders>
            <w:shd w:val="clear" w:color="000000" w:fill="D9D9D9"/>
            <w:noWrap/>
            <w:hideMark/>
          </w:tcPr>
          <w:p w:rsidR="002A7639" w:rsidRPr="006646F3" w:rsidRDefault="002A7639" w:rsidP="004F588B">
            <w:pPr>
              <w:spacing w:after="0" w:line="240" w:lineRule="auto"/>
              <w:jc w:val="center"/>
              <w:rPr>
                <w:rFonts w:ascii="Times New Roman" w:eastAsia="Times New Roman" w:hAnsi="Times New Roman" w:cs="Times New Roman"/>
                <w:b/>
                <w:color w:val="000000"/>
                <w:sz w:val="20"/>
                <w:szCs w:val="20"/>
              </w:rPr>
            </w:pPr>
            <w:r w:rsidRPr="006646F3">
              <w:rPr>
                <w:rFonts w:ascii="Times New Roman" w:eastAsia="Times New Roman" w:hAnsi="Times New Roman" w:cs="Times New Roman"/>
                <w:b/>
                <w:color w:val="000000"/>
                <w:sz w:val="20"/>
                <w:szCs w:val="20"/>
              </w:rPr>
              <w:t>Opatrenie</w:t>
            </w:r>
          </w:p>
        </w:tc>
        <w:tc>
          <w:tcPr>
            <w:tcW w:w="3685" w:type="dxa"/>
            <w:tcBorders>
              <w:top w:val="nil"/>
              <w:left w:val="nil"/>
              <w:bottom w:val="single" w:sz="4" w:space="0" w:color="auto"/>
              <w:right w:val="nil"/>
            </w:tcBorders>
            <w:shd w:val="clear" w:color="000000" w:fill="D9D9D9"/>
            <w:hideMark/>
          </w:tcPr>
          <w:p w:rsidR="002A7639" w:rsidRPr="006646F3" w:rsidRDefault="002A7639" w:rsidP="004F588B">
            <w:pPr>
              <w:spacing w:after="0" w:line="240" w:lineRule="auto"/>
              <w:jc w:val="center"/>
              <w:rPr>
                <w:rFonts w:ascii="Times New Roman" w:eastAsia="Times New Roman" w:hAnsi="Times New Roman" w:cs="Times New Roman"/>
                <w:b/>
                <w:color w:val="000000"/>
                <w:sz w:val="20"/>
                <w:szCs w:val="20"/>
              </w:rPr>
            </w:pPr>
            <w:r w:rsidRPr="006646F3">
              <w:rPr>
                <w:rFonts w:ascii="Times New Roman" w:eastAsia="Times New Roman" w:hAnsi="Times New Roman" w:cs="Times New Roman"/>
                <w:b/>
                <w:color w:val="000000"/>
                <w:sz w:val="20"/>
                <w:szCs w:val="20"/>
              </w:rPr>
              <w:t>Vplyv na rozvoj zamestnanosti (predpokladané zvýšenie zamestnanosti v osobách)</w:t>
            </w:r>
          </w:p>
        </w:tc>
      </w:tr>
      <w:tr w:rsidR="002A7639" w:rsidRPr="0058175F" w:rsidTr="004F588B">
        <w:trPr>
          <w:trHeight w:val="630"/>
        </w:trPr>
        <w:tc>
          <w:tcPr>
            <w:tcW w:w="5402" w:type="dxa"/>
            <w:tcBorders>
              <w:top w:val="nil"/>
              <w:left w:val="nil"/>
              <w:bottom w:val="nil"/>
              <w:right w:val="single" w:sz="4" w:space="0" w:color="auto"/>
            </w:tcBorders>
            <w:shd w:val="clear" w:color="auto" w:fill="auto"/>
            <w:hideMark/>
          </w:tcPr>
          <w:p w:rsidR="002A7639" w:rsidRPr="0058175F" w:rsidRDefault="002A7639" w:rsidP="0039698D">
            <w:pPr>
              <w:spacing w:after="0" w:line="240" w:lineRule="auto"/>
              <w:rPr>
                <w:rFonts w:ascii="Times New Roman" w:eastAsia="Times New Roman" w:hAnsi="Times New Roman" w:cs="Times New Roman"/>
                <w:color w:val="000000"/>
                <w:sz w:val="20"/>
                <w:szCs w:val="20"/>
              </w:rPr>
            </w:pPr>
            <w:r w:rsidRPr="002A7639">
              <w:rPr>
                <w:rFonts w:ascii="Times New Roman" w:eastAsia="Times New Roman" w:hAnsi="Times New Roman" w:cs="Times New Roman"/>
                <w:color w:val="000000"/>
                <w:sz w:val="20"/>
                <w:szCs w:val="20"/>
              </w:rPr>
              <w:t>zvýšenie produkcie rastlinných jedlých tukov a olejov minimálne o </w:t>
            </w:r>
            <w:r w:rsidR="0039698D">
              <w:rPr>
                <w:rFonts w:ascii="Times New Roman" w:eastAsia="Times New Roman" w:hAnsi="Times New Roman" w:cs="Times New Roman"/>
                <w:color w:val="000000"/>
                <w:sz w:val="20"/>
                <w:szCs w:val="20"/>
              </w:rPr>
              <w:t>31</w:t>
            </w:r>
            <w:r w:rsidRPr="002A7639">
              <w:rPr>
                <w:rFonts w:ascii="Times New Roman" w:eastAsia="Times New Roman" w:hAnsi="Times New Roman" w:cs="Times New Roman"/>
                <w:color w:val="000000"/>
                <w:sz w:val="20"/>
                <w:szCs w:val="20"/>
              </w:rPr>
              <w:t> </w:t>
            </w:r>
            <w:r w:rsidR="0039698D">
              <w:rPr>
                <w:rFonts w:ascii="Times New Roman" w:eastAsia="Times New Roman" w:hAnsi="Times New Roman" w:cs="Times New Roman"/>
                <w:color w:val="000000"/>
                <w:sz w:val="20"/>
                <w:szCs w:val="20"/>
              </w:rPr>
              <w:t>371</w:t>
            </w:r>
            <w:r w:rsidRPr="002A7639">
              <w:rPr>
                <w:rFonts w:ascii="Times New Roman" w:eastAsia="Times New Roman" w:hAnsi="Times New Roman" w:cs="Times New Roman"/>
                <w:color w:val="000000"/>
                <w:sz w:val="20"/>
                <w:szCs w:val="20"/>
              </w:rPr>
              <w:t xml:space="preserve"> ton</w:t>
            </w:r>
          </w:p>
        </w:tc>
        <w:tc>
          <w:tcPr>
            <w:tcW w:w="3685" w:type="dxa"/>
            <w:tcBorders>
              <w:top w:val="nil"/>
              <w:left w:val="nil"/>
              <w:bottom w:val="nil"/>
              <w:right w:val="nil"/>
            </w:tcBorders>
            <w:shd w:val="clear" w:color="auto" w:fill="auto"/>
            <w:noWrap/>
            <w:vAlign w:val="center"/>
            <w:hideMark/>
          </w:tcPr>
          <w:p w:rsidR="002A7639" w:rsidRPr="0058175F" w:rsidRDefault="002A7639" w:rsidP="004F588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r>
      <w:tr w:rsidR="002A7639" w:rsidRPr="0058175F" w:rsidTr="002A7639">
        <w:trPr>
          <w:trHeight w:val="433"/>
        </w:trPr>
        <w:tc>
          <w:tcPr>
            <w:tcW w:w="5402" w:type="dxa"/>
            <w:tcBorders>
              <w:top w:val="nil"/>
              <w:left w:val="nil"/>
              <w:bottom w:val="nil"/>
              <w:right w:val="single" w:sz="4" w:space="0" w:color="auto"/>
            </w:tcBorders>
            <w:shd w:val="clear" w:color="auto" w:fill="F2F2F2" w:themeFill="background1" w:themeFillShade="F2"/>
            <w:hideMark/>
          </w:tcPr>
          <w:p w:rsidR="002A7639" w:rsidRPr="0058175F" w:rsidRDefault="002A7639" w:rsidP="004F588B">
            <w:pPr>
              <w:spacing w:after="0" w:line="240" w:lineRule="auto"/>
              <w:rPr>
                <w:rFonts w:ascii="Times New Roman" w:eastAsia="Times New Roman" w:hAnsi="Times New Roman" w:cs="Times New Roman"/>
                <w:color w:val="000000"/>
                <w:sz w:val="20"/>
                <w:szCs w:val="20"/>
              </w:rPr>
            </w:pPr>
            <w:r w:rsidRPr="002A7639">
              <w:rPr>
                <w:rFonts w:ascii="Times New Roman" w:eastAsia="Times New Roman" w:hAnsi="Times New Roman" w:cs="Times New Roman"/>
                <w:color w:val="000000"/>
                <w:sz w:val="20"/>
                <w:szCs w:val="20"/>
              </w:rPr>
              <w:t>zvýšenie zberových plôch zemiakov o 743 ha</w:t>
            </w:r>
          </w:p>
        </w:tc>
        <w:tc>
          <w:tcPr>
            <w:tcW w:w="3685" w:type="dxa"/>
            <w:tcBorders>
              <w:top w:val="nil"/>
              <w:left w:val="nil"/>
              <w:bottom w:val="nil"/>
              <w:right w:val="nil"/>
            </w:tcBorders>
            <w:shd w:val="clear" w:color="auto" w:fill="F2F2F2" w:themeFill="background1" w:themeFillShade="F2"/>
            <w:noWrap/>
            <w:vAlign w:val="center"/>
            <w:hideMark/>
          </w:tcPr>
          <w:p w:rsidR="002A7639" w:rsidRPr="0058175F" w:rsidRDefault="002A7639" w:rsidP="004F588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r>
      <w:tr w:rsidR="002A7639" w:rsidRPr="0058175F" w:rsidTr="002A7639">
        <w:trPr>
          <w:trHeight w:val="426"/>
        </w:trPr>
        <w:tc>
          <w:tcPr>
            <w:tcW w:w="5402" w:type="dxa"/>
            <w:tcBorders>
              <w:top w:val="nil"/>
              <w:left w:val="nil"/>
              <w:bottom w:val="nil"/>
              <w:right w:val="single" w:sz="4" w:space="0" w:color="auto"/>
            </w:tcBorders>
            <w:shd w:val="clear" w:color="auto" w:fill="auto"/>
            <w:hideMark/>
          </w:tcPr>
          <w:p w:rsidR="002A7639" w:rsidRPr="0058175F" w:rsidRDefault="002A7639" w:rsidP="00EB3B6F">
            <w:pPr>
              <w:spacing w:after="0" w:line="240" w:lineRule="auto"/>
              <w:rPr>
                <w:rFonts w:ascii="Times New Roman" w:eastAsia="Times New Roman" w:hAnsi="Times New Roman" w:cs="Times New Roman"/>
                <w:color w:val="000000"/>
                <w:sz w:val="20"/>
                <w:szCs w:val="20"/>
              </w:rPr>
            </w:pPr>
            <w:r w:rsidRPr="002A7639">
              <w:rPr>
                <w:rFonts w:ascii="Times New Roman" w:eastAsia="Times New Roman" w:hAnsi="Times New Roman" w:cs="Times New Roman"/>
                <w:color w:val="000000"/>
                <w:sz w:val="20"/>
                <w:szCs w:val="20"/>
              </w:rPr>
              <w:t xml:space="preserve">zvýšenie zberových plôch zeleniny </w:t>
            </w:r>
            <w:r w:rsidR="00EB3B6F">
              <w:rPr>
                <w:rFonts w:ascii="Times New Roman" w:eastAsia="Times New Roman" w:hAnsi="Times New Roman" w:cs="Times New Roman"/>
                <w:color w:val="000000"/>
                <w:sz w:val="20"/>
                <w:szCs w:val="20"/>
              </w:rPr>
              <w:t xml:space="preserve">na ornej pôde </w:t>
            </w:r>
            <w:r w:rsidRPr="002A7639">
              <w:rPr>
                <w:rFonts w:ascii="Times New Roman" w:eastAsia="Times New Roman" w:hAnsi="Times New Roman" w:cs="Times New Roman"/>
                <w:color w:val="000000"/>
                <w:sz w:val="20"/>
                <w:szCs w:val="20"/>
              </w:rPr>
              <w:t>o 3 000 ha</w:t>
            </w:r>
          </w:p>
        </w:tc>
        <w:tc>
          <w:tcPr>
            <w:tcW w:w="3685" w:type="dxa"/>
            <w:tcBorders>
              <w:top w:val="nil"/>
              <w:left w:val="nil"/>
              <w:bottom w:val="nil"/>
              <w:right w:val="nil"/>
            </w:tcBorders>
            <w:shd w:val="clear" w:color="auto" w:fill="auto"/>
            <w:noWrap/>
            <w:vAlign w:val="center"/>
            <w:hideMark/>
          </w:tcPr>
          <w:p w:rsidR="002A7639" w:rsidRPr="0058175F" w:rsidRDefault="002A7639" w:rsidP="004F588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6 900</w:t>
            </w:r>
          </w:p>
        </w:tc>
      </w:tr>
      <w:tr w:rsidR="002A7639" w:rsidRPr="0058175F" w:rsidTr="002A7639">
        <w:trPr>
          <w:trHeight w:val="843"/>
        </w:trPr>
        <w:tc>
          <w:tcPr>
            <w:tcW w:w="5402" w:type="dxa"/>
            <w:tcBorders>
              <w:top w:val="nil"/>
              <w:left w:val="nil"/>
              <w:bottom w:val="nil"/>
              <w:right w:val="single" w:sz="4" w:space="0" w:color="auto"/>
            </w:tcBorders>
            <w:shd w:val="clear" w:color="auto" w:fill="F2F2F2" w:themeFill="background1" w:themeFillShade="F2"/>
            <w:hideMark/>
          </w:tcPr>
          <w:p w:rsidR="002A7639" w:rsidRPr="0058175F" w:rsidRDefault="002A7639" w:rsidP="004F588B">
            <w:pPr>
              <w:spacing w:after="0" w:line="240" w:lineRule="auto"/>
              <w:rPr>
                <w:rFonts w:ascii="Times New Roman" w:eastAsia="Times New Roman" w:hAnsi="Times New Roman" w:cs="Times New Roman"/>
                <w:color w:val="000000"/>
                <w:sz w:val="20"/>
                <w:szCs w:val="20"/>
              </w:rPr>
            </w:pPr>
            <w:r w:rsidRPr="002A7639">
              <w:rPr>
                <w:rFonts w:ascii="Times New Roman" w:eastAsia="Times New Roman" w:hAnsi="Times New Roman" w:cs="Times New Roman"/>
                <w:color w:val="000000"/>
                <w:sz w:val="20"/>
                <w:szCs w:val="20"/>
              </w:rPr>
              <w:t>revitalizácia ovocných sadov, čo zahŕňa likvidáciu starých ovocných sadov, výsadbu, rekonštrukciu a obnovu ovocných sadov</w:t>
            </w:r>
          </w:p>
        </w:tc>
        <w:tc>
          <w:tcPr>
            <w:tcW w:w="3685" w:type="dxa"/>
            <w:tcBorders>
              <w:top w:val="nil"/>
              <w:left w:val="nil"/>
              <w:bottom w:val="nil"/>
              <w:right w:val="nil"/>
            </w:tcBorders>
            <w:shd w:val="clear" w:color="auto" w:fill="F2F2F2" w:themeFill="background1" w:themeFillShade="F2"/>
            <w:noWrap/>
            <w:vAlign w:val="center"/>
            <w:hideMark/>
          </w:tcPr>
          <w:p w:rsidR="002A7639" w:rsidRPr="0058175F" w:rsidRDefault="00392C1B" w:rsidP="004F588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2A7639">
              <w:rPr>
                <w:rFonts w:ascii="Times New Roman" w:eastAsia="Times New Roman" w:hAnsi="Times New Roman" w:cs="Times New Roman"/>
                <w:color w:val="000000"/>
                <w:sz w:val="20"/>
                <w:szCs w:val="20"/>
              </w:rPr>
              <w:t xml:space="preserve"> 5</w:t>
            </w:r>
            <w:r>
              <w:rPr>
                <w:rFonts w:ascii="Times New Roman" w:eastAsia="Times New Roman" w:hAnsi="Times New Roman" w:cs="Times New Roman"/>
                <w:color w:val="000000"/>
                <w:sz w:val="20"/>
                <w:szCs w:val="20"/>
              </w:rPr>
              <w:t>62</w:t>
            </w:r>
          </w:p>
        </w:tc>
      </w:tr>
      <w:tr w:rsidR="002A7639" w:rsidRPr="0058175F" w:rsidTr="002A7639">
        <w:trPr>
          <w:trHeight w:val="255"/>
        </w:trPr>
        <w:tc>
          <w:tcPr>
            <w:tcW w:w="5402" w:type="dxa"/>
            <w:tcBorders>
              <w:top w:val="nil"/>
              <w:left w:val="nil"/>
              <w:bottom w:val="single" w:sz="4" w:space="0" w:color="auto"/>
              <w:right w:val="single" w:sz="4" w:space="0" w:color="auto"/>
            </w:tcBorders>
            <w:shd w:val="clear" w:color="auto" w:fill="auto"/>
            <w:hideMark/>
          </w:tcPr>
          <w:p w:rsidR="002A7639" w:rsidRPr="0058175F" w:rsidRDefault="002A7639" w:rsidP="004F588B">
            <w:pPr>
              <w:spacing w:after="0" w:line="240" w:lineRule="auto"/>
              <w:rPr>
                <w:rFonts w:ascii="Times New Roman" w:eastAsia="Times New Roman" w:hAnsi="Times New Roman" w:cs="Times New Roman"/>
                <w:b/>
                <w:bCs/>
                <w:color w:val="000000"/>
                <w:sz w:val="20"/>
                <w:szCs w:val="20"/>
              </w:rPr>
            </w:pPr>
            <w:r w:rsidRPr="0058175F">
              <w:rPr>
                <w:rFonts w:ascii="Times New Roman" w:eastAsia="Times New Roman" w:hAnsi="Times New Roman" w:cs="Times New Roman"/>
                <w:b/>
                <w:bCs/>
                <w:color w:val="000000"/>
                <w:sz w:val="20"/>
                <w:szCs w:val="20"/>
              </w:rPr>
              <w:t>SPOLU</w:t>
            </w:r>
          </w:p>
        </w:tc>
        <w:tc>
          <w:tcPr>
            <w:tcW w:w="3685" w:type="dxa"/>
            <w:tcBorders>
              <w:top w:val="nil"/>
              <w:left w:val="nil"/>
              <w:bottom w:val="single" w:sz="4" w:space="0" w:color="auto"/>
              <w:right w:val="nil"/>
            </w:tcBorders>
            <w:shd w:val="clear" w:color="auto" w:fill="auto"/>
            <w:noWrap/>
            <w:vAlign w:val="bottom"/>
            <w:hideMark/>
          </w:tcPr>
          <w:p w:rsidR="002A7639" w:rsidRPr="0058175F" w:rsidRDefault="00392C1B" w:rsidP="00392C1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11 586</w:t>
            </w:r>
          </w:p>
        </w:tc>
      </w:tr>
    </w:tbl>
    <w:p w:rsidR="002A7639" w:rsidRPr="00C431FF" w:rsidRDefault="002A7639" w:rsidP="002A763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MPRV SR</w:t>
      </w:r>
    </w:p>
    <w:p w:rsidR="00075CD9" w:rsidRPr="007239DD" w:rsidRDefault="00075CD9" w:rsidP="007239DD">
      <w:pPr>
        <w:spacing w:after="0" w:line="240" w:lineRule="auto"/>
        <w:jc w:val="both"/>
        <w:rPr>
          <w:rFonts w:ascii="Times New Roman" w:hAnsi="Times New Roman" w:cs="Times New Roman"/>
          <w:sz w:val="24"/>
          <w:szCs w:val="24"/>
        </w:rPr>
      </w:pPr>
    </w:p>
    <w:p w:rsidR="0028430F" w:rsidRDefault="002C6718" w:rsidP="000D68DC">
      <w:pPr>
        <w:pStyle w:val="Nadpis3"/>
        <w:numPr>
          <w:ilvl w:val="2"/>
          <w:numId w:val="8"/>
        </w:numPr>
      </w:pPr>
      <w:bookmarkStart w:id="58" w:name="_Toc359550679"/>
      <w:r>
        <w:t xml:space="preserve">Rozvoj zamestnanosti </w:t>
      </w:r>
      <w:r w:rsidR="00491CE1">
        <w:t xml:space="preserve">pri zabezpečení  hlavných </w:t>
      </w:r>
      <w:r>
        <w:t>l</w:t>
      </w:r>
      <w:r w:rsidR="0028430F">
        <w:t>esníc</w:t>
      </w:r>
      <w:r w:rsidR="00491CE1">
        <w:t>kych činností</w:t>
      </w:r>
      <w:bookmarkEnd w:id="58"/>
    </w:p>
    <w:p w:rsidR="0028430F" w:rsidRPr="005D0D0F" w:rsidRDefault="0028430F" w:rsidP="005D0D0F">
      <w:pPr>
        <w:spacing w:after="0" w:line="240" w:lineRule="auto"/>
        <w:jc w:val="both"/>
        <w:rPr>
          <w:rFonts w:ascii="Times New Roman" w:hAnsi="Times New Roman" w:cs="Times New Roman"/>
          <w:sz w:val="24"/>
          <w:szCs w:val="24"/>
        </w:rPr>
      </w:pPr>
    </w:p>
    <w:p w:rsidR="00E21DF9" w:rsidRDefault="00E21DF9" w:rsidP="00E21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Identifikované prioritné úlohy v rámci ekonomického, ekologického a sociálneho aspektu trvalo udržateľného obhospodarovania lesov </w:t>
      </w:r>
      <w:r w:rsidRPr="00E21DF9">
        <w:rPr>
          <w:rFonts w:ascii="Times New Roman" w:hAnsi="Times New Roman" w:cs="Times New Roman"/>
          <w:sz w:val="24"/>
          <w:szCs w:val="24"/>
        </w:rPr>
        <w:t>zd</w:t>
      </w:r>
      <w:r w:rsidRPr="00E21DF9">
        <w:rPr>
          <w:rFonts w:ascii="Times New Roman" w:hAnsi="Times New Roman" w:cs="Times New Roman" w:hint="eastAsia"/>
          <w:sz w:val="24"/>
          <w:szCs w:val="24"/>
        </w:rPr>
        <w:t>ô</w:t>
      </w:r>
      <w:r w:rsidRPr="00E21DF9">
        <w:rPr>
          <w:rFonts w:ascii="Times New Roman" w:hAnsi="Times New Roman" w:cs="Times New Roman"/>
          <w:sz w:val="24"/>
          <w:szCs w:val="24"/>
        </w:rPr>
        <w:t>raz</w:t>
      </w:r>
      <w:r w:rsidRPr="00E21DF9">
        <w:rPr>
          <w:rFonts w:ascii="Times New Roman" w:hAnsi="Times New Roman" w:cs="Times New Roman" w:hint="eastAsia"/>
          <w:sz w:val="24"/>
          <w:szCs w:val="24"/>
        </w:rPr>
        <w:t>ň</w:t>
      </w:r>
      <w:r>
        <w:rPr>
          <w:rFonts w:ascii="Times New Roman" w:hAnsi="Times New Roman" w:cs="Times New Roman"/>
          <w:sz w:val="24"/>
          <w:szCs w:val="24"/>
        </w:rPr>
        <w:t>ujú</w:t>
      </w:r>
      <w:r w:rsidRPr="00E21DF9">
        <w:rPr>
          <w:rFonts w:ascii="Times New Roman" w:hAnsi="Times New Roman" w:cs="Times New Roman"/>
          <w:sz w:val="24"/>
          <w:szCs w:val="24"/>
        </w:rPr>
        <w:t xml:space="preserve"> v</w:t>
      </w:r>
      <w:r w:rsidRPr="00E21DF9">
        <w:rPr>
          <w:rFonts w:ascii="Times New Roman" w:hAnsi="Times New Roman" w:cs="Times New Roman" w:hint="eastAsia"/>
          <w:sz w:val="24"/>
          <w:szCs w:val="24"/>
        </w:rPr>
        <w:t>ý</w:t>
      </w:r>
      <w:r w:rsidRPr="00E21DF9">
        <w:rPr>
          <w:rFonts w:ascii="Times New Roman" w:hAnsi="Times New Roman" w:cs="Times New Roman"/>
          <w:sz w:val="24"/>
          <w:szCs w:val="24"/>
        </w:rPr>
        <w:t>znam multifunk</w:t>
      </w:r>
      <w:r w:rsidRPr="00E21DF9">
        <w:rPr>
          <w:rFonts w:ascii="Times New Roman" w:hAnsi="Times New Roman" w:cs="Times New Roman" w:hint="eastAsia"/>
          <w:sz w:val="24"/>
          <w:szCs w:val="24"/>
        </w:rPr>
        <w:t>č</w:t>
      </w:r>
      <w:r w:rsidRPr="00E21DF9">
        <w:rPr>
          <w:rFonts w:ascii="Times New Roman" w:hAnsi="Times New Roman" w:cs="Times New Roman"/>
          <w:sz w:val="24"/>
          <w:szCs w:val="24"/>
        </w:rPr>
        <w:t xml:space="preserve">nej </w:t>
      </w:r>
      <w:r w:rsidRPr="00E21DF9">
        <w:rPr>
          <w:rFonts w:ascii="Times New Roman" w:hAnsi="Times New Roman" w:cs="Times New Roman" w:hint="eastAsia"/>
          <w:sz w:val="24"/>
          <w:szCs w:val="24"/>
        </w:rPr>
        <w:t>ú</w:t>
      </w:r>
      <w:r>
        <w:rPr>
          <w:rFonts w:ascii="Times New Roman" w:hAnsi="Times New Roman" w:cs="Times New Roman"/>
          <w:sz w:val="24"/>
          <w:szCs w:val="24"/>
        </w:rPr>
        <w:t xml:space="preserve">lohy lesov a legitimizujú navrhovaný systém </w:t>
      </w:r>
      <w:r w:rsidRPr="00E21DF9">
        <w:rPr>
          <w:rFonts w:ascii="Times New Roman" w:hAnsi="Times New Roman" w:cs="Times New Roman"/>
          <w:sz w:val="24"/>
          <w:szCs w:val="24"/>
        </w:rPr>
        <w:t>podpory ich trvalo udr</w:t>
      </w:r>
      <w:r w:rsidRPr="00E21DF9">
        <w:rPr>
          <w:rFonts w:ascii="Times New Roman" w:hAnsi="Times New Roman" w:cs="Times New Roman" w:hint="eastAsia"/>
          <w:sz w:val="24"/>
          <w:szCs w:val="24"/>
        </w:rPr>
        <w:t>ž</w:t>
      </w:r>
      <w:r w:rsidRPr="00E21DF9">
        <w:rPr>
          <w:rFonts w:ascii="Times New Roman" w:hAnsi="Times New Roman" w:cs="Times New Roman"/>
          <w:sz w:val="24"/>
          <w:szCs w:val="24"/>
        </w:rPr>
        <w:t>ate</w:t>
      </w:r>
      <w:r w:rsidRPr="00E21DF9">
        <w:rPr>
          <w:rFonts w:ascii="Times New Roman" w:hAnsi="Times New Roman" w:cs="Times New Roman" w:hint="eastAsia"/>
          <w:sz w:val="24"/>
          <w:szCs w:val="24"/>
        </w:rPr>
        <w:t>ľ</w:t>
      </w:r>
      <w:r w:rsidRPr="00E21DF9">
        <w:rPr>
          <w:rFonts w:ascii="Times New Roman" w:hAnsi="Times New Roman" w:cs="Times New Roman"/>
          <w:sz w:val="24"/>
          <w:szCs w:val="24"/>
        </w:rPr>
        <w:t>n</w:t>
      </w:r>
      <w:r w:rsidRPr="00E21DF9">
        <w:rPr>
          <w:rFonts w:ascii="Times New Roman" w:hAnsi="Times New Roman" w:cs="Times New Roman" w:hint="eastAsia"/>
          <w:sz w:val="24"/>
          <w:szCs w:val="24"/>
        </w:rPr>
        <w:t>é</w:t>
      </w:r>
      <w:r>
        <w:rPr>
          <w:rFonts w:ascii="Times New Roman" w:hAnsi="Times New Roman" w:cs="Times New Roman"/>
          <w:sz w:val="24"/>
          <w:szCs w:val="24"/>
        </w:rPr>
        <w:t xml:space="preserve">ho </w:t>
      </w:r>
      <w:r w:rsidRPr="00E21DF9">
        <w:rPr>
          <w:rFonts w:ascii="Times New Roman" w:hAnsi="Times New Roman" w:cs="Times New Roman"/>
          <w:sz w:val="24"/>
          <w:szCs w:val="24"/>
        </w:rPr>
        <w:t>obhospodarovania pre rozvoj spolo</w:t>
      </w:r>
      <w:r w:rsidRPr="00E21DF9">
        <w:rPr>
          <w:rFonts w:ascii="Times New Roman" w:hAnsi="Times New Roman" w:cs="Times New Roman" w:hint="eastAsia"/>
          <w:sz w:val="24"/>
          <w:szCs w:val="24"/>
        </w:rPr>
        <w:t>č</w:t>
      </w:r>
      <w:r>
        <w:rPr>
          <w:rFonts w:ascii="Times New Roman" w:hAnsi="Times New Roman" w:cs="Times New Roman"/>
          <w:sz w:val="24"/>
          <w:szCs w:val="24"/>
        </w:rPr>
        <w:t>nosti. Z</w:t>
      </w:r>
      <w:r w:rsidRPr="00E21DF9">
        <w:rPr>
          <w:rFonts w:ascii="Times New Roman" w:hAnsi="Times New Roman" w:cs="Times New Roman"/>
          <w:sz w:val="24"/>
          <w:szCs w:val="24"/>
        </w:rPr>
        <w:t>d</w:t>
      </w:r>
      <w:r w:rsidRPr="00E21DF9">
        <w:rPr>
          <w:rFonts w:ascii="Times New Roman" w:hAnsi="Times New Roman" w:cs="Times New Roman" w:hint="eastAsia"/>
          <w:sz w:val="24"/>
          <w:szCs w:val="24"/>
        </w:rPr>
        <w:t>ô</w:t>
      </w:r>
      <w:r w:rsidRPr="00E21DF9">
        <w:rPr>
          <w:rFonts w:ascii="Times New Roman" w:hAnsi="Times New Roman" w:cs="Times New Roman"/>
          <w:sz w:val="24"/>
          <w:szCs w:val="24"/>
        </w:rPr>
        <w:t>raz</w:t>
      </w:r>
      <w:r w:rsidRPr="00E21DF9">
        <w:rPr>
          <w:rFonts w:ascii="Times New Roman" w:hAnsi="Times New Roman" w:cs="Times New Roman" w:hint="eastAsia"/>
          <w:sz w:val="24"/>
          <w:szCs w:val="24"/>
        </w:rPr>
        <w:t>ň</w:t>
      </w:r>
      <w:r w:rsidR="00955E83">
        <w:rPr>
          <w:rFonts w:ascii="Times New Roman" w:hAnsi="Times New Roman" w:cs="Times New Roman"/>
          <w:sz w:val="24"/>
          <w:szCs w:val="24"/>
        </w:rPr>
        <w:t>ujú</w:t>
      </w:r>
      <w:r w:rsidR="00EB3B6F">
        <w:rPr>
          <w:rFonts w:ascii="Times New Roman" w:hAnsi="Times New Roman" w:cs="Times New Roman"/>
          <w:sz w:val="24"/>
          <w:szCs w:val="24"/>
        </w:rPr>
        <w:t xml:space="preserve"> </w:t>
      </w:r>
      <w:r>
        <w:rPr>
          <w:rFonts w:ascii="Times New Roman" w:hAnsi="Times New Roman" w:cs="Times New Roman"/>
          <w:sz w:val="24"/>
          <w:szCs w:val="24"/>
        </w:rPr>
        <w:t xml:space="preserve">taktiež </w:t>
      </w:r>
      <w:r w:rsidRPr="00E21DF9">
        <w:rPr>
          <w:rFonts w:ascii="Times New Roman" w:hAnsi="Times New Roman" w:cs="Times New Roman"/>
          <w:sz w:val="24"/>
          <w:szCs w:val="24"/>
        </w:rPr>
        <w:t>potrebu zlep</w:t>
      </w:r>
      <w:r w:rsidRPr="00E21DF9">
        <w:rPr>
          <w:rFonts w:ascii="Times New Roman" w:hAnsi="Times New Roman" w:cs="Times New Roman" w:hint="eastAsia"/>
          <w:sz w:val="24"/>
          <w:szCs w:val="24"/>
        </w:rPr>
        <w:t>š</w:t>
      </w:r>
      <w:r w:rsidRPr="00E21DF9">
        <w:rPr>
          <w:rFonts w:ascii="Times New Roman" w:hAnsi="Times New Roman" w:cs="Times New Roman"/>
          <w:sz w:val="24"/>
          <w:szCs w:val="24"/>
        </w:rPr>
        <w:t>i</w:t>
      </w:r>
      <w:r w:rsidRPr="00E21DF9">
        <w:rPr>
          <w:rFonts w:ascii="Times New Roman" w:hAnsi="Times New Roman" w:cs="Times New Roman" w:hint="eastAsia"/>
          <w:sz w:val="24"/>
          <w:szCs w:val="24"/>
        </w:rPr>
        <w:t>ť</w:t>
      </w:r>
      <w:r w:rsidRPr="00E21DF9">
        <w:rPr>
          <w:rFonts w:ascii="Times New Roman" w:hAnsi="Times New Roman" w:cs="Times New Roman"/>
          <w:sz w:val="24"/>
          <w:szCs w:val="24"/>
        </w:rPr>
        <w:t xml:space="preserve"> koordin</w:t>
      </w:r>
      <w:r w:rsidRPr="00E21DF9">
        <w:rPr>
          <w:rFonts w:ascii="Times New Roman" w:hAnsi="Times New Roman" w:cs="Times New Roman" w:hint="eastAsia"/>
          <w:sz w:val="24"/>
          <w:szCs w:val="24"/>
        </w:rPr>
        <w:t>á</w:t>
      </w:r>
      <w:r>
        <w:rPr>
          <w:rFonts w:ascii="Times New Roman" w:hAnsi="Times New Roman" w:cs="Times New Roman"/>
          <w:sz w:val="24"/>
          <w:szCs w:val="24"/>
        </w:rPr>
        <w:t xml:space="preserve">ciu, </w:t>
      </w:r>
      <w:r w:rsidRPr="00E21DF9">
        <w:rPr>
          <w:rFonts w:ascii="Times New Roman" w:hAnsi="Times New Roman" w:cs="Times New Roman"/>
          <w:sz w:val="24"/>
          <w:szCs w:val="24"/>
        </w:rPr>
        <w:t>komunik</w:t>
      </w:r>
      <w:r w:rsidRPr="00E21DF9">
        <w:rPr>
          <w:rFonts w:ascii="Times New Roman" w:hAnsi="Times New Roman" w:cs="Times New Roman" w:hint="eastAsia"/>
          <w:sz w:val="24"/>
          <w:szCs w:val="24"/>
        </w:rPr>
        <w:t>á</w:t>
      </w:r>
      <w:r w:rsidRPr="00E21DF9">
        <w:rPr>
          <w:rFonts w:ascii="Times New Roman" w:hAnsi="Times New Roman" w:cs="Times New Roman"/>
          <w:sz w:val="24"/>
          <w:szCs w:val="24"/>
        </w:rPr>
        <w:t>ciu a kooper</w:t>
      </w:r>
      <w:r w:rsidRPr="00E21DF9">
        <w:rPr>
          <w:rFonts w:ascii="Times New Roman" w:hAnsi="Times New Roman" w:cs="Times New Roman" w:hint="eastAsia"/>
          <w:sz w:val="24"/>
          <w:szCs w:val="24"/>
        </w:rPr>
        <w:t>á</w:t>
      </w:r>
      <w:r>
        <w:rPr>
          <w:rFonts w:ascii="Times New Roman" w:hAnsi="Times New Roman" w:cs="Times New Roman"/>
          <w:sz w:val="24"/>
          <w:szCs w:val="24"/>
        </w:rPr>
        <w:t xml:space="preserve">ciu vo </w:t>
      </w:r>
      <w:r w:rsidRPr="00E21DF9">
        <w:rPr>
          <w:rFonts w:ascii="Times New Roman" w:hAnsi="Times New Roman" w:cs="Times New Roman"/>
          <w:sz w:val="24"/>
          <w:szCs w:val="24"/>
        </w:rPr>
        <w:t>v</w:t>
      </w:r>
      <w:r w:rsidRPr="00E21DF9">
        <w:rPr>
          <w:rFonts w:ascii="Times New Roman" w:hAnsi="Times New Roman" w:cs="Times New Roman" w:hint="eastAsia"/>
          <w:sz w:val="24"/>
          <w:szCs w:val="24"/>
        </w:rPr>
        <w:t>š</w:t>
      </w:r>
      <w:r w:rsidRPr="00E21DF9">
        <w:rPr>
          <w:rFonts w:ascii="Times New Roman" w:hAnsi="Times New Roman" w:cs="Times New Roman"/>
          <w:sz w:val="24"/>
          <w:szCs w:val="24"/>
        </w:rPr>
        <w:t>etk</w:t>
      </w:r>
      <w:r w:rsidRPr="00E21DF9">
        <w:rPr>
          <w:rFonts w:ascii="Times New Roman" w:hAnsi="Times New Roman" w:cs="Times New Roman" w:hint="eastAsia"/>
          <w:sz w:val="24"/>
          <w:szCs w:val="24"/>
        </w:rPr>
        <w:t>ý</w:t>
      </w:r>
      <w:r w:rsidRPr="00E21DF9">
        <w:rPr>
          <w:rFonts w:ascii="Times New Roman" w:hAnsi="Times New Roman" w:cs="Times New Roman"/>
          <w:sz w:val="24"/>
          <w:szCs w:val="24"/>
        </w:rPr>
        <w:t>ch oblastiach a politik</w:t>
      </w:r>
      <w:r w:rsidRPr="00E21DF9">
        <w:rPr>
          <w:rFonts w:ascii="Times New Roman" w:hAnsi="Times New Roman" w:cs="Times New Roman" w:hint="eastAsia"/>
          <w:sz w:val="24"/>
          <w:szCs w:val="24"/>
        </w:rPr>
        <w:t>á</w:t>
      </w:r>
      <w:r w:rsidRPr="00E21DF9">
        <w:rPr>
          <w:rFonts w:ascii="Times New Roman" w:hAnsi="Times New Roman" w:cs="Times New Roman"/>
          <w:sz w:val="24"/>
          <w:szCs w:val="24"/>
        </w:rPr>
        <w:t>ch s</w:t>
      </w:r>
      <w:r w:rsidRPr="00E21DF9">
        <w:rPr>
          <w:rFonts w:ascii="Times New Roman" w:hAnsi="Times New Roman" w:cs="Times New Roman" w:hint="eastAsia"/>
          <w:sz w:val="24"/>
          <w:szCs w:val="24"/>
        </w:rPr>
        <w:t>ú</w:t>
      </w:r>
      <w:r>
        <w:rPr>
          <w:rFonts w:ascii="Times New Roman" w:hAnsi="Times New Roman" w:cs="Times New Roman"/>
          <w:sz w:val="24"/>
          <w:szCs w:val="24"/>
        </w:rPr>
        <w:t xml:space="preserve">visiacich </w:t>
      </w:r>
      <w:r w:rsidRPr="00E21DF9">
        <w:rPr>
          <w:rFonts w:ascii="Times New Roman" w:hAnsi="Times New Roman" w:cs="Times New Roman"/>
          <w:sz w:val="24"/>
          <w:szCs w:val="24"/>
        </w:rPr>
        <w:t>s lesn</w:t>
      </w:r>
      <w:r w:rsidRPr="00E21DF9">
        <w:rPr>
          <w:rFonts w:ascii="Times New Roman" w:hAnsi="Times New Roman" w:cs="Times New Roman" w:hint="eastAsia"/>
          <w:sz w:val="24"/>
          <w:szCs w:val="24"/>
        </w:rPr>
        <w:t>í</w:t>
      </w:r>
      <w:r w:rsidRPr="00E21DF9">
        <w:rPr>
          <w:rFonts w:ascii="Times New Roman" w:hAnsi="Times New Roman" w:cs="Times New Roman"/>
          <w:sz w:val="24"/>
          <w:szCs w:val="24"/>
        </w:rPr>
        <w:t>ckym sektorom.</w:t>
      </w:r>
    </w:p>
    <w:p w:rsidR="00E21DF9" w:rsidRPr="00E21DF9" w:rsidRDefault="00E21DF9" w:rsidP="00E21DF9">
      <w:pPr>
        <w:spacing w:after="0" w:line="240" w:lineRule="auto"/>
        <w:jc w:val="both"/>
        <w:rPr>
          <w:rFonts w:ascii="Times New Roman" w:hAnsi="Times New Roman" w:cs="Times New Roman"/>
          <w:sz w:val="24"/>
          <w:szCs w:val="24"/>
        </w:rPr>
      </w:pPr>
    </w:p>
    <w:p w:rsidR="00955E83" w:rsidRDefault="00E21DF9" w:rsidP="005D0D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Postupné napĺňanie obsahu prioritných úloh považujeme za </w:t>
      </w:r>
      <w:r w:rsidRPr="00E21DF9">
        <w:rPr>
          <w:rFonts w:ascii="Times New Roman" w:hAnsi="Times New Roman" w:cs="Times New Roman"/>
          <w:sz w:val="24"/>
          <w:szCs w:val="24"/>
        </w:rPr>
        <w:t>d</w:t>
      </w:r>
      <w:r w:rsidRPr="00E21DF9">
        <w:rPr>
          <w:rFonts w:ascii="Times New Roman" w:hAnsi="Times New Roman" w:cs="Times New Roman" w:hint="eastAsia"/>
          <w:sz w:val="24"/>
          <w:szCs w:val="24"/>
        </w:rPr>
        <w:t>ô</w:t>
      </w:r>
      <w:r w:rsidRPr="00E21DF9">
        <w:rPr>
          <w:rFonts w:ascii="Times New Roman" w:hAnsi="Times New Roman" w:cs="Times New Roman"/>
          <w:sz w:val="24"/>
          <w:szCs w:val="24"/>
        </w:rPr>
        <w:t>le</w:t>
      </w:r>
      <w:r w:rsidRPr="00E21DF9">
        <w:rPr>
          <w:rFonts w:ascii="Times New Roman" w:hAnsi="Times New Roman" w:cs="Times New Roman" w:hint="eastAsia"/>
          <w:sz w:val="24"/>
          <w:szCs w:val="24"/>
        </w:rPr>
        <w:t>ž</w:t>
      </w:r>
      <w:r w:rsidRPr="00E21DF9">
        <w:rPr>
          <w:rFonts w:ascii="Times New Roman" w:hAnsi="Times New Roman" w:cs="Times New Roman"/>
          <w:sz w:val="24"/>
          <w:szCs w:val="24"/>
        </w:rPr>
        <w:t>it</w:t>
      </w:r>
      <w:r w:rsidRPr="00E21DF9">
        <w:rPr>
          <w:rFonts w:ascii="Times New Roman" w:hAnsi="Times New Roman" w:cs="Times New Roman" w:hint="eastAsia"/>
          <w:sz w:val="24"/>
          <w:szCs w:val="24"/>
        </w:rPr>
        <w:t>ý</w:t>
      </w:r>
      <w:r w:rsidRPr="00E21DF9">
        <w:rPr>
          <w:rFonts w:ascii="Times New Roman" w:hAnsi="Times New Roman" w:cs="Times New Roman"/>
          <w:sz w:val="24"/>
          <w:szCs w:val="24"/>
        </w:rPr>
        <w:t xml:space="preserve"> n</w:t>
      </w:r>
      <w:r w:rsidRPr="00E21DF9">
        <w:rPr>
          <w:rFonts w:ascii="Times New Roman" w:hAnsi="Times New Roman" w:cs="Times New Roman" w:hint="eastAsia"/>
          <w:sz w:val="24"/>
          <w:szCs w:val="24"/>
        </w:rPr>
        <w:t>á</w:t>
      </w:r>
      <w:r>
        <w:rPr>
          <w:rFonts w:ascii="Times New Roman" w:hAnsi="Times New Roman" w:cs="Times New Roman"/>
          <w:sz w:val="24"/>
          <w:szCs w:val="24"/>
        </w:rPr>
        <w:t xml:space="preserve">stroj na dosiahnutie trvalo </w:t>
      </w:r>
      <w:r w:rsidRPr="00E21DF9">
        <w:rPr>
          <w:rFonts w:ascii="Times New Roman" w:hAnsi="Times New Roman" w:cs="Times New Roman"/>
          <w:sz w:val="24"/>
          <w:szCs w:val="24"/>
        </w:rPr>
        <w:t>udr</w:t>
      </w:r>
      <w:r w:rsidRPr="00E21DF9">
        <w:rPr>
          <w:rFonts w:ascii="Times New Roman" w:hAnsi="Times New Roman" w:cs="Times New Roman" w:hint="eastAsia"/>
          <w:sz w:val="24"/>
          <w:szCs w:val="24"/>
        </w:rPr>
        <w:t>ž</w:t>
      </w:r>
      <w:r w:rsidRPr="00E21DF9">
        <w:rPr>
          <w:rFonts w:ascii="Times New Roman" w:hAnsi="Times New Roman" w:cs="Times New Roman"/>
          <w:sz w:val="24"/>
          <w:szCs w:val="24"/>
        </w:rPr>
        <w:t>ate</w:t>
      </w:r>
      <w:r w:rsidRPr="00E21DF9">
        <w:rPr>
          <w:rFonts w:ascii="Times New Roman" w:hAnsi="Times New Roman" w:cs="Times New Roman" w:hint="eastAsia"/>
          <w:sz w:val="24"/>
          <w:szCs w:val="24"/>
        </w:rPr>
        <w:t>ľ</w:t>
      </w:r>
      <w:r w:rsidRPr="00E21DF9">
        <w:rPr>
          <w:rFonts w:ascii="Times New Roman" w:hAnsi="Times New Roman" w:cs="Times New Roman"/>
          <w:sz w:val="24"/>
          <w:szCs w:val="24"/>
        </w:rPr>
        <w:t>n</w:t>
      </w:r>
      <w:r w:rsidRPr="00E21DF9">
        <w:rPr>
          <w:rFonts w:ascii="Times New Roman" w:hAnsi="Times New Roman" w:cs="Times New Roman" w:hint="eastAsia"/>
          <w:sz w:val="24"/>
          <w:szCs w:val="24"/>
        </w:rPr>
        <w:t>é</w:t>
      </w:r>
      <w:r>
        <w:rPr>
          <w:rFonts w:ascii="Times New Roman" w:hAnsi="Times New Roman" w:cs="Times New Roman"/>
          <w:sz w:val="24"/>
          <w:szCs w:val="24"/>
        </w:rPr>
        <w:t xml:space="preserve">ho obhospodarovania lesov </w:t>
      </w:r>
      <w:r w:rsidRPr="00E21DF9">
        <w:rPr>
          <w:rFonts w:ascii="Times New Roman" w:hAnsi="Times New Roman" w:cs="Times New Roman"/>
          <w:sz w:val="24"/>
          <w:szCs w:val="24"/>
        </w:rPr>
        <w:t>sp</w:t>
      </w:r>
      <w:r w:rsidRPr="00E21DF9">
        <w:rPr>
          <w:rFonts w:ascii="Times New Roman" w:hAnsi="Times New Roman" w:cs="Times New Roman" w:hint="eastAsia"/>
          <w:sz w:val="24"/>
          <w:szCs w:val="24"/>
        </w:rPr>
        <w:t>ô</w:t>
      </w:r>
      <w:r w:rsidRPr="00E21DF9">
        <w:rPr>
          <w:rFonts w:ascii="Times New Roman" w:hAnsi="Times New Roman" w:cs="Times New Roman"/>
          <w:sz w:val="24"/>
          <w:szCs w:val="24"/>
        </w:rPr>
        <w:t>sobom, ktor</w:t>
      </w:r>
      <w:r w:rsidRPr="00E21DF9">
        <w:rPr>
          <w:rFonts w:ascii="Times New Roman" w:hAnsi="Times New Roman" w:cs="Times New Roman" w:hint="eastAsia"/>
          <w:sz w:val="24"/>
          <w:szCs w:val="24"/>
        </w:rPr>
        <w:t>ý</w:t>
      </w:r>
      <w:r w:rsidRPr="00E21DF9">
        <w:rPr>
          <w:rFonts w:ascii="Times New Roman" w:hAnsi="Times New Roman" w:cs="Times New Roman"/>
          <w:sz w:val="24"/>
          <w:szCs w:val="24"/>
        </w:rPr>
        <w:t xml:space="preserve"> re</w:t>
      </w:r>
      <w:r w:rsidRPr="00E21DF9">
        <w:rPr>
          <w:rFonts w:ascii="Times New Roman" w:hAnsi="Times New Roman" w:cs="Times New Roman" w:hint="eastAsia"/>
          <w:sz w:val="24"/>
          <w:szCs w:val="24"/>
        </w:rPr>
        <w:t>š</w:t>
      </w:r>
      <w:r w:rsidRPr="00E21DF9">
        <w:rPr>
          <w:rFonts w:ascii="Times New Roman" w:hAnsi="Times New Roman" w:cs="Times New Roman"/>
          <w:sz w:val="24"/>
          <w:szCs w:val="24"/>
        </w:rPr>
        <w:t>pektuje n</w:t>
      </w:r>
      <w:r w:rsidRPr="00E21DF9">
        <w:rPr>
          <w:rFonts w:ascii="Times New Roman" w:hAnsi="Times New Roman" w:cs="Times New Roman" w:hint="eastAsia"/>
          <w:sz w:val="24"/>
          <w:szCs w:val="24"/>
        </w:rPr>
        <w:t>á</w:t>
      </w:r>
      <w:r w:rsidRPr="00E21DF9">
        <w:rPr>
          <w:rFonts w:ascii="Times New Roman" w:hAnsi="Times New Roman" w:cs="Times New Roman"/>
          <w:sz w:val="24"/>
          <w:szCs w:val="24"/>
        </w:rPr>
        <w:t>rodn</w:t>
      </w:r>
      <w:r w:rsidRPr="00E21DF9">
        <w:rPr>
          <w:rFonts w:ascii="Times New Roman" w:hAnsi="Times New Roman" w:cs="Times New Roman" w:hint="eastAsia"/>
          <w:sz w:val="24"/>
          <w:szCs w:val="24"/>
        </w:rPr>
        <w:t>ú</w:t>
      </w:r>
      <w:r w:rsidR="00EB3B6F">
        <w:rPr>
          <w:rFonts w:ascii="Times New Roman" w:hAnsi="Times New Roman" w:cs="Times New Roman"/>
          <w:sz w:val="24"/>
          <w:szCs w:val="24"/>
        </w:rPr>
        <w:t xml:space="preserve"> </w:t>
      </w:r>
      <w:r w:rsidRPr="00E21DF9">
        <w:rPr>
          <w:rFonts w:ascii="Times New Roman" w:hAnsi="Times New Roman" w:cs="Times New Roman"/>
          <w:sz w:val="24"/>
          <w:szCs w:val="24"/>
        </w:rPr>
        <w:t>suverenitu a je v s</w:t>
      </w:r>
      <w:r w:rsidRPr="00E21DF9">
        <w:rPr>
          <w:rFonts w:ascii="Times New Roman" w:hAnsi="Times New Roman" w:cs="Times New Roman" w:hint="eastAsia"/>
          <w:sz w:val="24"/>
          <w:szCs w:val="24"/>
        </w:rPr>
        <w:t>ú</w:t>
      </w:r>
      <w:r w:rsidRPr="00E21DF9">
        <w:rPr>
          <w:rFonts w:ascii="Times New Roman" w:hAnsi="Times New Roman" w:cs="Times New Roman"/>
          <w:sz w:val="24"/>
          <w:szCs w:val="24"/>
        </w:rPr>
        <w:t xml:space="preserve">lade so </w:t>
      </w:r>
      <w:r w:rsidRPr="00E21DF9">
        <w:rPr>
          <w:rFonts w:ascii="Times New Roman" w:hAnsi="Times New Roman" w:cs="Times New Roman" w:hint="eastAsia"/>
          <w:sz w:val="24"/>
          <w:szCs w:val="24"/>
        </w:rPr>
        <w:t>š</w:t>
      </w:r>
      <w:r w:rsidRPr="00E21DF9">
        <w:rPr>
          <w:rFonts w:ascii="Times New Roman" w:hAnsi="Times New Roman" w:cs="Times New Roman"/>
          <w:sz w:val="24"/>
          <w:szCs w:val="24"/>
        </w:rPr>
        <w:t>pecifick</w:t>
      </w:r>
      <w:r w:rsidRPr="00E21DF9">
        <w:rPr>
          <w:rFonts w:ascii="Times New Roman" w:hAnsi="Times New Roman" w:cs="Times New Roman" w:hint="eastAsia"/>
          <w:sz w:val="24"/>
          <w:szCs w:val="24"/>
        </w:rPr>
        <w:t>ý</w:t>
      </w:r>
      <w:r>
        <w:rPr>
          <w:rFonts w:ascii="Times New Roman" w:hAnsi="Times New Roman" w:cs="Times New Roman"/>
          <w:sz w:val="24"/>
          <w:szCs w:val="24"/>
        </w:rPr>
        <w:t xml:space="preserve">mi </w:t>
      </w:r>
      <w:r w:rsidRPr="00E21DF9">
        <w:rPr>
          <w:rFonts w:ascii="Times New Roman" w:hAnsi="Times New Roman" w:cs="Times New Roman"/>
          <w:sz w:val="24"/>
          <w:szCs w:val="24"/>
        </w:rPr>
        <w:t>n</w:t>
      </w:r>
      <w:r w:rsidRPr="00E21DF9">
        <w:rPr>
          <w:rFonts w:ascii="Times New Roman" w:hAnsi="Times New Roman" w:cs="Times New Roman" w:hint="eastAsia"/>
          <w:sz w:val="24"/>
          <w:szCs w:val="24"/>
        </w:rPr>
        <w:t>á</w:t>
      </w:r>
      <w:r w:rsidRPr="00E21DF9">
        <w:rPr>
          <w:rFonts w:ascii="Times New Roman" w:hAnsi="Times New Roman" w:cs="Times New Roman"/>
          <w:sz w:val="24"/>
          <w:szCs w:val="24"/>
        </w:rPr>
        <w:t>rodn</w:t>
      </w:r>
      <w:r w:rsidRPr="00E21DF9">
        <w:rPr>
          <w:rFonts w:ascii="Times New Roman" w:hAnsi="Times New Roman" w:cs="Times New Roman" w:hint="eastAsia"/>
          <w:sz w:val="24"/>
          <w:szCs w:val="24"/>
        </w:rPr>
        <w:t>ý</w:t>
      </w:r>
      <w:r w:rsidRPr="00E21DF9">
        <w:rPr>
          <w:rFonts w:ascii="Times New Roman" w:hAnsi="Times New Roman" w:cs="Times New Roman"/>
          <w:sz w:val="24"/>
          <w:szCs w:val="24"/>
        </w:rPr>
        <w:t>mi podmienkami.</w:t>
      </w:r>
    </w:p>
    <w:p w:rsidR="00955E83" w:rsidRDefault="00955E83" w:rsidP="005D0D0F">
      <w:pPr>
        <w:spacing w:after="0" w:line="240" w:lineRule="auto"/>
        <w:jc w:val="both"/>
        <w:rPr>
          <w:rFonts w:ascii="Times New Roman" w:hAnsi="Times New Roman" w:cs="Times New Roman"/>
          <w:sz w:val="24"/>
          <w:szCs w:val="24"/>
        </w:rPr>
      </w:pPr>
    </w:p>
    <w:p w:rsidR="005D0D0F" w:rsidRDefault="00E21DF9" w:rsidP="005D0D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Navyše, realizáciou identifikovaných prioritných úloh sa napĺňa </w:t>
      </w:r>
      <w:r w:rsidR="002839A7">
        <w:rPr>
          <w:rFonts w:ascii="Times New Roman" w:hAnsi="Times New Roman" w:cs="Times New Roman"/>
          <w:sz w:val="24"/>
          <w:szCs w:val="24"/>
        </w:rPr>
        <w:t xml:space="preserve">priorita programového vyhlásenia vlády Slovenskej republiky v oblasti zvyšovania zamestnanosti </w:t>
      </w:r>
      <w:r w:rsidR="002839A7" w:rsidRPr="002839A7">
        <w:rPr>
          <w:rFonts w:ascii="Times New Roman" w:hAnsi="Times New Roman" w:cs="Times New Roman"/>
          <w:sz w:val="24"/>
          <w:szCs w:val="24"/>
        </w:rPr>
        <w:t>prostredníctvom podpory sektorov, ktoré sú potenciálnymi zdrojmi zamestnanosti</w:t>
      </w:r>
      <w:r w:rsidR="002839A7">
        <w:rPr>
          <w:rFonts w:ascii="Times New Roman" w:hAnsi="Times New Roman" w:cs="Times New Roman"/>
          <w:sz w:val="24"/>
          <w:szCs w:val="24"/>
        </w:rPr>
        <w:t>. Priamy vplyv na zvýšenie zamestnanosti majú tieto prioritné úlohy:</w:t>
      </w:r>
    </w:p>
    <w:p w:rsidR="002839A7" w:rsidRDefault="002839A7" w:rsidP="005D0D0F">
      <w:pPr>
        <w:spacing w:after="0" w:line="240" w:lineRule="auto"/>
        <w:jc w:val="both"/>
        <w:rPr>
          <w:rFonts w:ascii="Times New Roman" w:hAnsi="Times New Roman" w:cs="Times New Roman"/>
          <w:sz w:val="24"/>
          <w:szCs w:val="24"/>
        </w:rPr>
      </w:pPr>
    </w:p>
    <w:p w:rsidR="00FF3EAE" w:rsidRDefault="00FF3EAE" w:rsidP="000D68DC">
      <w:pPr>
        <w:pStyle w:val="Odsekzoznamu"/>
        <w:numPr>
          <w:ilvl w:val="0"/>
          <w:numId w:val="15"/>
        </w:numPr>
        <w:spacing w:after="0" w:line="240" w:lineRule="auto"/>
        <w:jc w:val="both"/>
        <w:rPr>
          <w:rFonts w:ascii="Times New Roman" w:eastAsia="Calibri" w:hAnsi="Times New Roman"/>
          <w:sz w:val="24"/>
          <w:szCs w:val="24"/>
        </w:rPr>
      </w:pPr>
      <w:r>
        <w:rPr>
          <w:rFonts w:ascii="Times New Roman" w:eastAsia="Calibri" w:hAnsi="Times New Roman"/>
          <w:sz w:val="24"/>
          <w:szCs w:val="24"/>
        </w:rPr>
        <w:t>zabezpečenie starostlivosti o drobné vodné toky v pôsobnosti MPRV SR;</w:t>
      </w:r>
    </w:p>
    <w:p w:rsidR="00FF3EAE" w:rsidRPr="001F691B" w:rsidRDefault="00FF3EAE" w:rsidP="000D68DC">
      <w:pPr>
        <w:pStyle w:val="Odsekzoznamu"/>
        <w:numPr>
          <w:ilvl w:val="0"/>
          <w:numId w:val="15"/>
        </w:numPr>
        <w:spacing w:after="0" w:line="240" w:lineRule="auto"/>
        <w:ind w:left="714" w:hanging="357"/>
        <w:rPr>
          <w:rFonts w:ascii="Times New Roman" w:hAnsi="Times New Roman" w:cs="Times New Roman"/>
          <w:sz w:val="24"/>
          <w:szCs w:val="24"/>
        </w:rPr>
      </w:pPr>
      <w:r>
        <w:rPr>
          <w:rFonts w:ascii="Times New Roman" w:eastAsia="Calibri" w:hAnsi="Times New Roman"/>
          <w:sz w:val="24"/>
          <w:szCs w:val="24"/>
        </w:rPr>
        <w:t>o</w:t>
      </w:r>
      <w:r w:rsidRPr="00FF3EAE">
        <w:rPr>
          <w:rFonts w:ascii="Times New Roman" w:eastAsia="Calibri" w:hAnsi="Times New Roman"/>
          <w:sz w:val="24"/>
          <w:szCs w:val="24"/>
        </w:rPr>
        <w:t xml:space="preserve">bnova funkcií lesov na plochách postihnutých kalamitou a zvýšenie stability lesných </w:t>
      </w:r>
      <w:r w:rsidRPr="001F691B">
        <w:rPr>
          <w:rFonts w:ascii="Times New Roman" w:hAnsi="Times New Roman" w:cs="Times New Roman"/>
          <w:sz w:val="24"/>
          <w:szCs w:val="24"/>
        </w:rPr>
        <w:t>porastov;</w:t>
      </w:r>
    </w:p>
    <w:p w:rsidR="00FF3EAE" w:rsidRPr="001F691B" w:rsidRDefault="00FF3EAE" w:rsidP="001F691B">
      <w:pPr>
        <w:spacing w:after="0" w:line="240" w:lineRule="auto"/>
        <w:jc w:val="both"/>
        <w:rPr>
          <w:rFonts w:ascii="Times New Roman" w:hAnsi="Times New Roman" w:cs="Times New Roman"/>
          <w:sz w:val="24"/>
          <w:szCs w:val="24"/>
        </w:rPr>
      </w:pPr>
    </w:p>
    <w:p w:rsidR="002839A7" w:rsidRDefault="001F691B" w:rsidP="005D0D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Zabezpečením starostlivosti o drobné vodné toky v pôsobnosti MPRV SR</w:t>
      </w:r>
      <w:r w:rsidR="00D95A66">
        <w:rPr>
          <w:rFonts w:ascii="Times New Roman" w:hAnsi="Times New Roman" w:cs="Times New Roman"/>
          <w:sz w:val="24"/>
          <w:szCs w:val="24"/>
        </w:rPr>
        <w:t>,</w:t>
      </w:r>
      <w:r w:rsidR="001D72C3">
        <w:rPr>
          <w:rFonts w:ascii="Times New Roman" w:hAnsi="Times New Roman" w:cs="Times New Roman"/>
          <w:sz w:val="24"/>
          <w:szCs w:val="24"/>
        </w:rPr>
        <w:t xml:space="preserve"> </w:t>
      </w:r>
      <w:r w:rsidR="00D95A66">
        <w:rPr>
          <w:rFonts w:ascii="Times New Roman" w:hAnsi="Times New Roman" w:cs="Times New Roman"/>
          <w:sz w:val="24"/>
          <w:szCs w:val="24"/>
        </w:rPr>
        <w:t xml:space="preserve">v zmysle vykonania úprav a zlepšení odtokových pomerov drobných vodných tokov a budovania, obnovy a rekonštrukcie vodných stavieb, brehových porastov a ostatných činností zahrádzania bystrín, predpokladáme zvýšenie zamestnanosti celkovo o 1 800 osôb. Špecifikované činnosti v oblasti zlepšenia odtokových pomerov drobných vodných tokov a zahrádzania bystrín predpokladáme vykonať na </w:t>
      </w:r>
      <w:r w:rsidR="00667895">
        <w:rPr>
          <w:rFonts w:ascii="Times New Roman" w:hAnsi="Times New Roman" w:cs="Times New Roman"/>
          <w:sz w:val="24"/>
          <w:szCs w:val="24"/>
        </w:rPr>
        <w:t>celej</w:t>
      </w:r>
      <w:r w:rsidR="00D95A66">
        <w:rPr>
          <w:rFonts w:ascii="Times New Roman" w:hAnsi="Times New Roman" w:cs="Times New Roman"/>
          <w:sz w:val="24"/>
          <w:szCs w:val="24"/>
        </w:rPr>
        <w:t xml:space="preserve"> dĺžke drobných vodných tokov </w:t>
      </w:r>
      <w:r w:rsidR="00667895">
        <w:rPr>
          <w:rFonts w:ascii="Times New Roman" w:hAnsi="Times New Roman" w:cs="Times New Roman"/>
          <w:sz w:val="24"/>
          <w:szCs w:val="24"/>
        </w:rPr>
        <w:t>v správe štátnych organizácií v zriaďovateľskej pôsobnosti Ministerstva pôdohospodárstva a rozvoja vidieka SR,               t.j. 18 555,93 km. Projektované zvýšenie zamestnanosti bolo vypočítané na základe expertne odhadnutej celkovej potreby pracovníkov na úkony spojené so systémovým zabezpečením starostlivosti o drobné vodné toky a predstavuje</w:t>
      </w:r>
      <w:r w:rsidR="00357C25">
        <w:rPr>
          <w:rFonts w:ascii="Times New Roman" w:hAnsi="Times New Roman" w:cs="Times New Roman"/>
          <w:sz w:val="24"/>
          <w:szCs w:val="24"/>
        </w:rPr>
        <w:t xml:space="preserve"> jeho konečný efekt do roku 2017</w:t>
      </w:r>
      <w:r w:rsidR="00667895">
        <w:rPr>
          <w:rFonts w:ascii="Times New Roman" w:hAnsi="Times New Roman" w:cs="Times New Roman"/>
          <w:sz w:val="24"/>
          <w:szCs w:val="24"/>
        </w:rPr>
        <w:t xml:space="preserve"> s postupným nás</w:t>
      </w:r>
      <w:r w:rsidR="00357C25">
        <w:rPr>
          <w:rFonts w:ascii="Times New Roman" w:hAnsi="Times New Roman" w:cs="Times New Roman"/>
          <w:sz w:val="24"/>
          <w:szCs w:val="24"/>
        </w:rPr>
        <w:t xml:space="preserve">tupom účinku od roku </w:t>
      </w:r>
      <w:r w:rsidR="00667895">
        <w:rPr>
          <w:rFonts w:ascii="Times New Roman" w:hAnsi="Times New Roman" w:cs="Times New Roman"/>
          <w:sz w:val="24"/>
          <w:szCs w:val="24"/>
        </w:rPr>
        <w:t>2014.</w:t>
      </w:r>
    </w:p>
    <w:p w:rsidR="001F691B" w:rsidRDefault="001F691B" w:rsidP="005D0D0F">
      <w:pPr>
        <w:spacing w:after="0" w:line="240" w:lineRule="auto"/>
        <w:jc w:val="both"/>
        <w:rPr>
          <w:rFonts w:ascii="Times New Roman" w:hAnsi="Times New Roman" w:cs="Times New Roman"/>
          <w:sz w:val="24"/>
          <w:szCs w:val="24"/>
        </w:rPr>
      </w:pPr>
    </w:p>
    <w:p w:rsidR="001F691B" w:rsidRDefault="001F691B" w:rsidP="005D0D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Podporou obnovy funkcií lesov na plochách postihnutých kalamitou a podporou zvýšenia stability lesných porastov predpokladáme zvýšenie zamestnanosti v lesníctve celkovo o          1 885 osôb.</w:t>
      </w:r>
      <w:r w:rsidR="00BD5728">
        <w:rPr>
          <w:rFonts w:ascii="Times New Roman" w:hAnsi="Times New Roman" w:cs="Times New Roman"/>
          <w:sz w:val="24"/>
          <w:szCs w:val="24"/>
        </w:rPr>
        <w:t xml:space="preserve"> Plánované zvýšenie zamestnanosti vychádza z prepočtov percentuálnej miery umelého zmladenia. Výmera holiny, po odpočítaní rozsahu náhodných ťažieb, predstavuje      4 672 ha, pričom uvažujeme s prirodzeným zmladením na úrovni 39,5 %. Umelé zmladenie je potom nutné vykonať na 60,5 % výmery holiny, t.j. na výmere 2 826,56 ha. Účinná obnova lesov postihnutých kalamitou predpokladá intenzitu zmladenia na úrovni 6 000 sadeníc na      1 ha, čo znamená celkovú sadbu na úrovni 19 962 tis. sadeníc. Intenzita umelého zmladenia, v prepočtoch na produktivitu práce, predstavuje 150 sadeníc na 1 deň a 1 pracovníka, pričom výkon prác je možné naprojektovať na 45 jarných a 15 jesenných dní do roka. </w:t>
      </w:r>
      <w:r w:rsidR="00046936">
        <w:rPr>
          <w:rFonts w:ascii="Times New Roman" w:hAnsi="Times New Roman" w:cs="Times New Roman"/>
          <w:sz w:val="24"/>
          <w:szCs w:val="24"/>
        </w:rPr>
        <w:t>Projektované zvýšenie zamestnanosti predstavuje konečný efekt cieleného zvýšenia obnovy funkcií lesov na plochách postihnutých kalamitou a zvýšenia stabili</w:t>
      </w:r>
      <w:r w:rsidR="00357C25">
        <w:rPr>
          <w:rFonts w:ascii="Times New Roman" w:hAnsi="Times New Roman" w:cs="Times New Roman"/>
          <w:sz w:val="24"/>
          <w:szCs w:val="24"/>
        </w:rPr>
        <w:t>ty lesných porastov do roku 2017</w:t>
      </w:r>
      <w:r w:rsidR="00046936">
        <w:rPr>
          <w:rFonts w:ascii="Times New Roman" w:hAnsi="Times New Roman" w:cs="Times New Roman"/>
          <w:sz w:val="24"/>
          <w:szCs w:val="24"/>
        </w:rPr>
        <w:t xml:space="preserve"> s postupným nástupom účinku od roku 2014.</w:t>
      </w:r>
    </w:p>
    <w:p w:rsidR="00BD5728" w:rsidRDefault="00BD5728" w:rsidP="005D0D0F">
      <w:pPr>
        <w:spacing w:after="0" w:line="240" w:lineRule="auto"/>
        <w:jc w:val="both"/>
        <w:rPr>
          <w:rFonts w:ascii="Times New Roman" w:hAnsi="Times New Roman" w:cs="Times New Roman"/>
          <w:sz w:val="24"/>
          <w:szCs w:val="24"/>
        </w:rPr>
      </w:pPr>
    </w:p>
    <w:p w:rsidR="004651FE" w:rsidRDefault="004651FE" w:rsidP="00465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Sumárne je možné konštatovať, že realizáciou navrhovaných prioritných úloh pri zabezpečení hlavných lesníckych činností s priamym vplyvom na rozvoj zamestnanosti sa predpokladá zvýšenie zamestnanosti o</w:t>
      </w:r>
      <w:r w:rsidR="00D95A66">
        <w:rPr>
          <w:rFonts w:ascii="Times New Roman" w:hAnsi="Times New Roman" w:cs="Times New Roman"/>
          <w:sz w:val="24"/>
          <w:szCs w:val="24"/>
        </w:rPr>
        <w:t> 3 685</w:t>
      </w:r>
      <w:r>
        <w:rPr>
          <w:rFonts w:ascii="Times New Roman" w:hAnsi="Times New Roman" w:cs="Times New Roman"/>
          <w:sz w:val="24"/>
          <w:szCs w:val="24"/>
        </w:rPr>
        <w:t xml:space="preserve"> osôb, a to v tejto štruktúre:</w:t>
      </w:r>
    </w:p>
    <w:p w:rsidR="004651FE" w:rsidRDefault="004651FE" w:rsidP="004651FE">
      <w:pPr>
        <w:spacing w:after="0" w:line="240" w:lineRule="auto"/>
        <w:jc w:val="both"/>
        <w:rPr>
          <w:rFonts w:ascii="Times New Roman" w:hAnsi="Times New Roman" w:cs="Times New Roman"/>
          <w:sz w:val="24"/>
          <w:szCs w:val="24"/>
        </w:rPr>
      </w:pPr>
    </w:p>
    <w:p w:rsidR="004651FE" w:rsidRPr="006646F3" w:rsidRDefault="00C970F8" w:rsidP="004651FE">
      <w:pPr>
        <w:tabs>
          <w:tab w:val="left"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t>Tab. č. 50</w:t>
      </w:r>
      <w:r w:rsidR="004651FE" w:rsidRPr="00A855A4">
        <w:rPr>
          <w:rFonts w:ascii="Times New Roman" w:hAnsi="Times New Roman" w:cs="Times New Roman"/>
          <w:sz w:val="20"/>
          <w:szCs w:val="20"/>
        </w:rPr>
        <w:t xml:space="preserve">: </w:t>
      </w:r>
      <w:r w:rsidR="004651FE">
        <w:rPr>
          <w:rFonts w:ascii="Times New Roman" w:hAnsi="Times New Roman" w:cs="Times New Roman"/>
          <w:sz w:val="20"/>
          <w:szCs w:val="20"/>
        </w:rPr>
        <w:tab/>
        <w:t>Vplyv realizácie prioritných úloh pri zabezpečení hlavných lesníckych činností na rozvoj zamestnanosti</w:t>
      </w:r>
      <w:r w:rsidR="00260FDC">
        <w:rPr>
          <w:rFonts w:ascii="Times New Roman" w:hAnsi="Times New Roman" w:cs="Times New Roman"/>
          <w:sz w:val="20"/>
          <w:szCs w:val="20"/>
        </w:rPr>
        <w:t xml:space="preserve"> </w:t>
      </w:r>
    </w:p>
    <w:tbl>
      <w:tblPr>
        <w:tblW w:w="9087" w:type="dxa"/>
        <w:tblInd w:w="55" w:type="dxa"/>
        <w:tblCellMar>
          <w:left w:w="70" w:type="dxa"/>
          <w:right w:w="70" w:type="dxa"/>
        </w:tblCellMar>
        <w:tblLook w:val="04A0" w:firstRow="1" w:lastRow="0" w:firstColumn="1" w:lastColumn="0" w:noHBand="0" w:noVBand="1"/>
      </w:tblPr>
      <w:tblGrid>
        <w:gridCol w:w="5402"/>
        <w:gridCol w:w="3685"/>
      </w:tblGrid>
      <w:tr w:rsidR="004651FE" w:rsidRPr="0058175F" w:rsidTr="00847019">
        <w:trPr>
          <w:trHeight w:val="985"/>
        </w:trPr>
        <w:tc>
          <w:tcPr>
            <w:tcW w:w="5402" w:type="dxa"/>
            <w:tcBorders>
              <w:top w:val="nil"/>
              <w:left w:val="nil"/>
              <w:bottom w:val="single" w:sz="4" w:space="0" w:color="auto"/>
              <w:right w:val="single" w:sz="4" w:space="0" w:color="auto"/>
            </w:tcBorders>
            <w:shd w:val="clear" w:color="000000" w:fill="D9D9D9"/>
            <w:noWrap/>
            <w:hideMark/>
          </w:tcPr>
          <w:p w:rsidR="004651FE" w:rsidRPr="006646F3" w:rsidRDefault="004651FE" w:rsidP="004F588B">
            <w:pPr>
              <w:spacing w:after="0" w:line="240" w:lineRule="auto"/>
              <w:jc w:val="center"/>
              <w:rPr>
                <w:rFonts w:ascii="Times New Roman" w:eastAsia="Times New Roman" w:hAnsi="Times New Roman" w:cs="Times New Roman"/>
                <w:b/>
                <w:color w:val="000000"/>
                <w:sz w:val="20"/>
                <w:szCs w:val="20"/>
              </w:rPr>
            </w:pPr>
            <w:r w:rsidRPr="006646F3">
              <w:rPr>
                <w:rFonts w:ascii="Times New Roman" w:eastAsia="Times New Roman" w:hAnsi="Times New Roman" w:cs="Times New Roman"/>
                <w:b/>
                <w:color w:val="000000"/>
                <w:sz w:val="20"/>
                <w:szCs w:val="20"/>
              </w:rPr>
              <w:t>Opatrenie</w:t>
            </w:r>
          </w:p>
        </w:tc>
        <w:tc>
          <w:tcPr>
            <w:tcW w:w="3685" w:type="dxa"/>
            <w:tcBorders>
              <w:top w:val="nil"/>
              <w:left w:val="nil"/>
              <w:bottom w:val="single" w:sz="4" w:space="0" w:color="auto"/>
              <w:right w:val="nil"/>
            </w:tcBorders>
            <w:shd w:val="clear" w:color="000000" w:fill="D9D9D9"/>
            <w:hideMark/>
          </w:tcPr>
          <w:p w:rsidR="004651FE" w:rsidRPr="006646F3" w:rsidRDefault="004651FE" w:rsidP="004F588B">
            <w:pPr>
              <w:spacing w:after="0" w:line="240" w:lineRule="auto"/>
              <w:jc w:val="center"/>
              <w:rPr>
                <w:rFonts w:ascii="Times New Roman" w:eastAsia="Times New Roman" w:hAnsi="Times New Roman" w:cs="Times New Roman"/>
                <w:b/>
                <w:color w:val="000000"/>
                <w:sz w:val="20"/>
                <w:szCs w:val="20"/>
              </w:rPr>
            </w:pPr>
            <w:r w:rsidRPr="006646F3">
              <w:rPr>
                <w:rFonts w:ascii="Times New Roman" w:eastAsia="Times New Roman" w:hAnsi="Times New Roman" w:cs="Times New Roman"/>
                <w:b/>
                <w:color w:val="000000"/>
                <w:sz w:val="20"/>
                <w:szCs w:val="20"/>
              </w:rPr>
              <w:t>Vplyv na rozvoj zamestnanosti (predpokladané zvýšenie zamestnanosti v osobách)</w:t>
            </w:r>
          </w:p>
        </w:tc>
      </w:tr>
      <w:tr w:rsidR="004651FE" w:rsidRPr="0058175F" w:rsidTr="004F588B">
        <w:trPr>
          <w:trHeight w:val="630"/>
        </w:trPr>
        <w:tc>
          <w:tcPr>
            <w:tcW w:w="5402" w:type="dxa"/>
            <w:tcBorders>
              <w:top w:val="nil"/>
              <w:left w:val="nil"/>
              <w:bottom w:val="nil"/>
              <w:right w:val="single" w:sz="4" w:space="0" w:color="auto"/>
            </w:tcBorders>
            <w:shd w:val="clear" w:color="auto" w:fill="auto"/>
            <w:hideMark/>
          </w:tcPr>
          <w:p w:rsidR="004651FE" w:rsidRPr="0058175F" w:rsidRDefault="004651FE" w:rsidP="004F588B">
            <w:pPr>
              <w:spacing w:after="0" w:line="240" w:lineRule="auto"/>
              <w:rPr>
                <w:rFonts w:ascii="Times New Roman" w:eastAsia="Times New Roman" w:hAnsi="Times New Roman" w:cs="Times New Roman"/>
                <w:color w:val="000000"/>
                <w:sz w:val="20"/>
                <w:szCs w:val="20"/>
              </w:rPr>
            </w:pPr>
            <w:r w:rsidRPr="004651FE">
              <w:rPr>
                <w:rFonts w:ascii="Times New Roman" w:eastAsia="Times New Roman" w:hAnsi="Times New Roman" w:cs="Times New Roman"/>
                <w:color w:val="000000"/>
                <w:sz w:val="20"/>
                <w:szCs w:val="20"/>
              </w:rPr>
              <w:t>zabezpečenie starostlivosti o drobné vodné toky v pôsobnosti MPRV SR</w:t>
            </w:r>
          </w:p>
        </w:tc>
        <w:tc>
          <w:tcPr>
            <w:tcW w:w="3685" w:type="dxa"/>
            <w:tcBorders>
              <w:top w:val="nil"/>
              <w:left w:val="nil"/>
              <w:bottom w:val="nil"/>
              <w:right w:val="nil"/>
            </w:tcBorders>
            <w:shd w:val="clear" w:color="auto" w:fill="auto"/>
            <w:noWrap/>
            <w:vAlign w:val="center"/>
            <w:hideMark/>
          </w:tcPr>
          <w:p w:rsidR="004651FE" w:rsidRPr="0058175F" w:rsidRDefault="00D95A66" w:rsidP="004F588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1 800</w:t>
            </w:r>
          </w:p>
        </w:tc>
      </w:tr>
      <w:tr w:rsidR="004651FE" w:rsidRPr="0058175F" w:rsidTr="004651FE">
        <w:trPr>
          <w:trHeight w:val="640"/>
        </w:trPr>
        <w:tc>
          <w:tcPr>
            <w:tcW w:w="5402" w:type="dxa"/>
            <w:tcBorders>
              <w:top w:val="nil"/>
              <w:left w:val="nil"/>
              <w:bottom w:val="nil"/>
              <w:right w:val="single" w:sz="4" w:space="0" w:color="auto"/>
            </w:tcBorders>
            <w:shd w:val="clear" w:color="auto" w:fill="F2F2F2" w:themeFill="background1" w:themeFillShade="F2"/>
            <w:hideMark/>
          </w:tcPr>
          <w:p w:rsidR="004651FE" w:rsidRPr="0058175F" w:rsidRDefault="004651FE" w:rsidP="004F588B">
            <w:pPr>
              <w:spacing w:after="0" w:line="240" w:lineRule="auto"/>
              <w:rPr>
                <w:rFonts w:ascii="Times New Roman" w:eastAsia="Times New Roman" w:hAnsi="Times New Roman" w:cs="Times New Roman"/>
                <w:color w:val="000000"/>
                <w:sz w:val="20"/>
                <w:szCs w:val="20"/>
              </w:rPr>
            </w:pPr>
            <w:r w:rsidRPr="004651FE">
              <w:rPr>
                <w:rFonts w:ascii="Times New Roman" w:eastAsia="Times New Roman" w:hAnsi="Times New Roman" w:cs="Times New Roman"/>
                <w:color w:val="000000"/>
                <w:sz w:val="20"/>
                <w:szCs w:val="20"/>
              </w:rPr>
              <w:t>obnova funkcií lesov na plochách postihnutých kalamitou a zvýšenie stability lesných porastov</w:t>
            </w:r>
          </w:p>
        </w:tc>
        <w:tc>
          <w:tcPr>
            <w:tcW w:w="3685" w:type="dxa"/>
            <w:tcBorders>
              <w:top w:val="nil"/>
              <w:left w:val="nil"/>
              <w:bottom w:val="nil"/>
              <w:right w:val="nil"/>
            </w:tcBorders>
            <w:shd w:val="clear" w:color="auto" w:fill="F2F2F2" w:themeFill="background1" w:themeFillShade="F2"/>
            <w:noWrap/>
            <w:vAlign w:val="center"/>
            <w:hideMark/>
          </w:tcPr>
          <w:p w:rsidR="004651FE" w:rsidRPr="0058175F" w:rsidRDefault="004651FE" w:rsidP="004F588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1 885</w:t>
            </w:r>
          </w:p>
        </w:tc>
      </w:tr>
      <w:tr w:rsidR="004651FE" w:rsidRPr="0058175F" w:rsidTr="004F588B">
        <w:trPr>
          <w:trHeight w:val="255"/>
        </w:trPr>
        <w:tc>
          <w:tcPr>
            <w:tcW w:w="5402" w:type="dxa"/>
            <w:tcBorders>
              <w:top w:val="nil"/>
              <w:left w:val="nil"/>
              <w:bottom w:val="single" w:sz="4" w:space="0" w:color="auto"/>
              <w:right w:val="single" w:sz="4" w:space="0" w:color="auto"/>
            </w:tcBorders>
            <w:shd w:val="clear" w:color="auto" w:fill="auto"/>
            <w:hideMark/>
          </w:tcPr>
          <w:p w:rsidR="004651FE" w:rsidRPr="0058175F" w:rsidRDefault="004651FE" w:rsidP="004F588B">
            <w:pPr>
              <w:spacing w:after="0" w:line="240" w:lineRule="auto"/>
              <w:rPr>
                <w:rFonts w:ascii="Times New Roman" w:eastAsia="Times New Roman" w:hAnsi="Times New Roman" w:cs="Times New Roman"/>
                <w:b/>
                <w:bCs/>
                <w:color w:val="000000"/>
                <w:sz w:val="20"/>
                <w:szCs w:val="20"/>
              </w:rPr>
            </w:pPr>
            <w:r w:rsidRPr="0058175F">
              <w:rPr>
                <w:rFonts w:ascii="Times New Roman" w:eastAsia="Times New Roman" w:hAnsi="Times New Roman" w:cs="Times New Roman"/>
                <w:b/>
                <w:bCs/>
                <w:color w:val="000000"/>
                <w:sz w:val="20"/>
                <w:szCs w:val="20"/>
              </w:rPr>
              <w:t>SPOLU</w:t>
            </w:r>
          </w:p>
        </w:tc>
        <w:tc>
          <w:tcPr>
            <w:tcW w:w="3685" w:type="dxa"/>
            <w:tcBorders>
              <w:top w:val="nil"/>
              <w:left w:val="nil"/>
              <w:bottom w:val="single" w:sz="4" w:space="0" w:color="auto"/>
              <w:right w:val="nil"/>
            </w:tcBorders>
            <w:shd w:val="clear" w:color="auto" w:fill="auto"/>
            <w:noWrap/>
            <w:vAlign w:val="bottom"/>
            <w:hideMark/>
          </w:tcPr>
          <w:p w:rsidR="004651FE" w:rsidRPr="0058175F" w:rsidRDefault="00D95A66" w:rsidP="004F588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3 685</w:t>
            </w:r>
          </w:p>
        </w:tc>
      </w:tr>
    </w:tbl>
    <w:p w:rsidR="004651FE" w:rsidRPr="00C431FF" w:rsidRDefault="004651FE" w:rsidP="004651F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MPRV SR</w:t>
      </w:r>
    </w:p>
    <w:p w:rsidR="00BD5728" w:rsidRPr="005D0D0F" w:rsidRDefault="00BD5728" w:rsidP="005D0D0F">
      <w:pPr>
        <w:spacing w:after="0" w:line="240" w:lineRule="auto"/>
        <w:jc w:val="both"/>
        <w:rPr>
          <w:rFonts w:ascii="Times New Roman" w:hAnsi="Times New Roman" w:cs="Times New Roman"/>
          <w:sz w:val="24"/>
          <w:szCs w:val="24"/>
        </w:rPr>
      </w:pPr>
    </w:p>
    <w:p w:rsidR="0028430F" w:rsidRDefault="003D6938" w:rsidP="000D68DC">
      <w:pPr>
        <w:pStyle w:val="Nadpis3"/>
        <w:numPr>
          <w:ilvl w:val="2"/>
          <w:numId w:val="8"/>
        </w:numPr>
      </w:pPr>
      <w:bookmarkStart w:id="59" w:name="_Toc359550680"/>
      <w:r>
        <w:t>Identifikované scenáre vývoja vplyvov hlavných oblastí pôdohospodárstva na rozvoj zamestnanosti</w:t>
      </w:r>
      <w:bookmarkEnd w:id="59"/>
    </w:p>
    <w:p w:rsidR="003D6938" w:rsidRDefault="003D6938" w:rsidP="003D6938">
      <w:pPr>
        <w:spacing w:after="0" w:line="240" w:lineRule="auto"/>
        <w:jc w:val="both"/>
        <w:rPr>
          <w:rFonts w:ascii="Times New Roman" w:hAnsi="Times New Roman" w:cs="Times New Roman"/>
          <w:sz w:val="24"/>
          <w:szCs w:val="24"/>
        </w:rPr>
      </w:pPr>
    </w:p>
    <w:p w:rsidR="00847019" w:rsidRDefault="003D6938" w:rsidP="003D6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základe vykonaných analýz hlavných oblastí pôdohospodárstva boli identifikované základné opatrenia </w:t>
      </w:r>
      <w:r w:rsidR="00847019">
        <w:rPr>
          <w:rFonts w:ascii="Times New Roman" w:hAnsi="Times New Roman" w:cs="Times New Roman"/>
          <w:sz w:val="24"/>
          <w:szCs w:val="24"/>
        </w:rPr>
        <w:t xml:space="preserve">s priamym vplyvom </w:t>
      </w:r>
      <w:r>
        <w:rPr>
          <w:rFonts w:ascii="Times New Roman" w:hAnsi="Times New Roman" w:cs="Times New Roman"/>
          <w:sz w:val="24"/>
          <w:szCs w:val="24"/>
        </w:rPr>
        <w:t>na rozvoj zamestnanosti</w:t>
      </w:r>
      <w:r w:rsidR="00847019">
        <w:rPr>
          <w:rFonts w:ascii="Times New Roman" w:hAnsi="Times New Roman" w:cs="Times New Roman"/>
          <w:sz w:val="24"/>
          <w:szCs w:val="24"/>
        </w:rPr>
        <w:t xml:space="preserve">, a to v členení: </w:t>
      </w:r>
    </w:p>
    <w:p w:rsidR="00847019" w:rsidRDefault="00847019" w:rsidP="003D6938">
      <w:pPr>
        <w:spacing w:after="0" w:line="240" w:lineRule="auto"/>
        <w:jc w:val="both"/>
        <w:rPr>
          <w:rFonts w:ascii="Times New Roman" w:hAnsi="Times New Roman" w:cs="Times New Roman"/>
          <w:sz w:val="24"/>
          <w:szCs w:val="24"/>
        </w:rPr>
      </w:pPr>
    </w:p>
    <w:p w:rsidR="00847019" w:rsidRDefault="00847019" w:rsidP="000D68DC">
      <w:pPr>
        <w:pStyle w:val="Odsekzoznamu"/>
        <w:numPr>
          <w:ilvl w:val="0"/>
          <w:numId w:val="20"/>
        </w:numPr>
        <w:spacing w:after="0" w:line="240" w:lineRule="auto"/>
        <w:jc w:val="both"/>
        <w:rPr>
          <w:rFonts w:ascii="Times New Roman" w:hAnsi="Times New Roman" w:cs="Times New Roman"/>
          <w:sz w:val="24"/>
          <w:szCs w:val="24"/>
        </w:rPr>
      </w:pPr>
      <w:r w:rsidRPr="00847019">
        <w:rPr>
          <w:rFonts w:ascii="Times New Roman" w:hAnsi="Times New Roman" w:cs="Times New Roman"/>
          <w:sz w:val="24"/>
          <w:szCs w:val="24"/>
        </w:rPr>
        <w:t xml:space="preserve">hlavná živočíšna výroba, </w:t>
      </w:r>
    </w:p>
    <w:p w:rsidR="00847019" w:rsidRDefault="00847019" w:rsidP="000D68DC">
      <w:pPr>
        <w:pStyle w:val="Odsekzoznamu"/>
        <w:numPr>
          <w:ilvl w:val="0"/>
          <w:numId w:val="20"/>
        </w:numPr>
        <w:spacing w:after="0" w:line="240" w:lineRule="auto"/>
        <w:jc w:val="both"/>
        <w:rPr>
          <w:rFonts w:ascii="Times New Roman" w:hAnsi="Times New Roman" w:cs="Times New Roman"/>
          <w:sz w:val="24"/>
          <w:szCs w:val="24"/>
        </w:rPr>
      </w:pPr>
      <w:r w:rsidRPr="00847019">
        <w:rPr>
          <w:rFonts w:ascii="Times New Roman" w:hAnsi="Times New Roman" w:cs="Times New Roman"/>
          <w:sz w:val="24"/>
          <w:szCs w:val="24"/>
        </w:rPr>
        <w:t>hlavná rastlinná výroba  a </w:t>
      </w:r>
    </w:p>
    <w:p w:rsidR="003D6938" w:rsidRPr="00847019" w:rsidRDefault="00847019" w:rsidP="000D68DC">
      <w:pPr>
        <w:pStyle w:val="Odsekzoznamu"/>
        <w:numPr>
          <w:ilvl w:val="0"/>
          <w:numId w:val="20"/>
        </w:numPr>
        <w:spacing w:after="0" w:line="240" w:lineRule="auto"/>
        <w:jc w:val="both"/>
        <w:rPr>
          <w:rFonts w:ascii="Times New Roman" w:hAnsi="Times New Roman" w:cs="Times New Roman"/>
          <w:sz w:val="24"/>
          <w:szCs w:val="24"/>
        </w:rPr>
      </w:pPr>
      <w:r w:rsidRPr="00847019">
        <w:rPr>
          <w:rFonts w:ascii="Times New Roman" w:hAnsi="Times New Roman" w:cs="Times New Roman"/>
          <w:sz w:val="24"/>
          <w:szCs w:val="24"/>
        </w:rPr>
        <w:t>hlavné lesnícke činnosti</w:t>
      </w:r>
      <w:r w:rsidR="003D6938" w:rsidRPr="00847019">
        <w:rPr>
          <w:rFonts w:ascii="Times New Roman" w:hAnsi="Times New Roman" w:cs="Times New Roman"/>
          <w:sz w:val="24"/>
          <w:szCs w:val="24"/>
        </w:rPr>
        <w:t>.</w:t>
      </w:r>
    </w:p>
    <w:p w:rsidR="00847019" w:rsidRDefault="00847019" w:rsidP="003D6938">
      <w:pPr>
        <w:tabs>
          <w:tab w:val="left" w:pos="993"/>
        </w:tabs>
        <w:spacing w:after="0" w:line="240" w:lineRule="auto"/>
        <w:ind w:left="993" w:hanging="993"/>
        <w:jc w:val="both"/>
        <w:rPr>
          <w:rFonts w:ascii="Times New Roman" w:hAnsi="Times New Roman" w:cs="Times New Roman"/>
          <w:sz w:val="20"/>
          <w:szCs w:val="20"/>
        </w:rPr>
      </w:pPr>
    </w:p>
    <w:p w:rsidR="00685557" w:rsidRDefault="00685557" w:rsidP="003D6938">
      <w:pPr>
        <w:tabs>
          <w:tab w:val="left" w:pos="993"/>
        </w:tabs>
        <w:spacing w:after="0" w:line="240" w:lineRule="auto"/>
        <w:ind w:left="993" w:hanging="993"/>
        <w:jc w:val="both"/>
        <w:rPr>
          <w:rFonts w:ascii="Times New Roman" w:hAnsi="Times New Roman" w:cs="Times New Roman"/>
          <w:sz w:val="20"/>
          <w:szCs w:val="20"/>
        </w:rPr>
      </w:pPr>
    </w:p>
    <w:p w:rsidR="00685557" w:rsidRDefault="00685557" w:rsidP="003D6938">
      <w:pPr>
        <w:tabs>
          <w:tab w:val="left" w:pos="993"/>
        </w:tabs>
        <w:spacing w:after="0" w:line="240" w:lineRule="auto"/>
        <w:ind w:left="993" w:hanging="993"/>
        <w:jc w:val="both"/>
        <w:rPr>
          <w:rFonts w:ascii="Times New Roman" w:hAnsi="Times New Roman" w:cs="Times New Roman"/>
          <w:sz w:val="20"/>
          <w:szCs w:val="20"/>
        </w:rPr>
      </w:pPr>
    </w:p>
    <w:p w:rsidR="00685557" w:rsidRDefault="00685557" w:rsidP="003D6938">
      <w:pPr>
        <w:tabs>
          <w:tab w:val="left" w:pos="993"/>
        </w:tabs>
        <w:spacing w:after="0" w:line="240" w:lineRule="auto"/>
        <w:ind w:left="993" w:hanging="993"/>
        <w:jc w:val="both"/>
        <w:rPr>
          <w:rFonts w:ascii="Times New Roman" w:hAnsi="Times New Roman" w:cs="Times New Roman"/>
          <w:sz w:val="20"/>
          <w:szCs w:val="20"/>
        </w:rPr>
      </w:pPr>
    </w:p>
    <w:p w:rsidR="00685557" w:rsidRDefault="00685557" w:rsidP="003D6938">
      <w:pPr>
        <w:tabs>
          <w:tab w:val="left" w:pos="993"/>
        </w:tabs>
        <w:spacing w:after="0" w:line="240" w:lineRule="auto"/>
        <w:ind w:left="993" w:hanging="993"/>
        <w:jc w:val="both"/>
        <w:rPr>
          <w:rFonts w:ascii="Times New Roman" w:hAnsi="Times New Roman" w:cs="Times New Roman"/>
          <w:sz w:val="20"/>
          <w:szCs w:val="20"/>
        </w:rPr>
      </w:pPr>
    </w:p>
    <w:p w:rsidR="00685557" w:rsidRDefault="00685557" w:rsidP="003D6938">
      <w:pPr>
        <w:tabs>
          <w:tab w:val="left" w:pos="993"/>
        </w:tabs>
        <w:spacing w:after="0" w:line="240" w:lineRule="auto"/>
        <w:ind w:left="993" w:hanging="993"/>
        <w:jc w:val="both"/>
        <w:rPr>
          <w:rFonts w:ascii="Times New Roman" w:hAnsi="Times New Roman" w:cs="Times New Roman"/>
          <w:sz w:val="20"/>
          <w:szCs w:val="20"/>
        </w:rPr>
      </w:pPr>
    </w:p>
    <w:p w:rsidR="00685557" w:rsidRDefault="00685557" w:rsidP="003D6938">
      <w:pPr>
        <w:tabs>
          <w:tab w:val="left" w:pos="993"/>
        </w:tabs>
        <w:spacing w:after="0" w:line="240" w:lineRule="auto"/>
        <w:ind w:left="993" w:hanging="993"/>
        <w:jc w:val="both"/>
        <w:rPr>
          <w:rFonts w:ascii="Times New Roman" w:hAnsi="Times New Roman" w:cs="Times New Roman"/>
          <w:sz w:val="20"/>
          <w:szCs w:val="20"/>
        </w:rPr>
      </w:pPr>
    </w:p>
    <w:p w:rsidR="00685557" w:rsidRDefault="00685557" w:rsidP="003D6938">
      <w:pPr>
        <w:tabs>
          <w:tab w:val="left" w:pos="993"/>
        </w:tabs>
        <w:spacing w:after="0" w:line="240" w:lineRule="auto"/>
        <w:ind w:left="993" w:hanging="993"/>
        <w:jc w:val="both"/>
        <w:rPr>
          <w:rFonts w:ascii="Times New Roman" w:hAnsi="Times New Roman" w:cs="Times New Roman"/>
          <w:sz w:val="20"/>
          <w:szCs w:val="20"/>
        </w:rPr>
      </w:pPr>
    </w:p>
    <w:p w:rsidR="00685557" w:rsidRDefault="00685557" w:rsidP="003D6938">
      <w:pPr>
        <w:tabs>
          <w:tab w:val="left" w:pos="993"/>
        </w:tabs>
        <w:spacing w:after="0" w:line="240" w:lineRule="auto"/>
        <w:ind w:left="993" w:hanging="993"/>
        <w:jc w:val="both"/>
        <w:rPr>
          <w:rFonts w:ascii="Times New Roman" w:hAnsi="Times New Roman" w:cs="Times New Roman"/>
          <w:sz w:val="20"/>
          <w:szCs w:val="20"/>
        </w:rPr>
      </w:pPr>
    </w:p>
    <w:p w:rsidR="00685557" w:rsidRDefault="00685557" w:rsidP="003D6938">
      <w:pPr>
        <w:tabs>
          <w:tab w:val="left" w:pos="993"/>
        </w:tabs>
        <w:spacing w:after="0" w:line="240" w:lineRule="auto"/>
        <w:ind w:left="993" w:hanging="993"/>
        <w:jc w:val="both"/>
        <w:rPr>
          <w:rFonts w:ascii="Times New Roman" w:hAnsi="Times New Roman" w:cs="Times New Roman"/>
          <w:sz w:val="20"/>
          <w:szCs w:val="20"/>
        </w:rPr>
      </w:pPr>
    </w:p>
    <w:p w:rsidR="003D6938" w:rsidRPr="009B2487" w:rsidRDefault="00C970F8" w:rsidP="003D6938">
      <w:pPr>
        <w:tabs>
          <w:tab w:val="left"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lastRenderedPageBreak/>
        <w:t>Tab. č. 51</w:t>
      </w:r>
      <w:r w:rsidR="003D6938" w:rsidRPr="00A855A4">
        <w:rPr>
          <w:rFonts w:ascii="Times New Roman" w:hAnsi="Times New Roman" w:cs="Times New Roman"/>
          <w:sz w:val="20"/>
          <w:szCs w:val="20"/>
        </w:rPr>
        <w:t xml:space="preserve">: </w:t>
      </w:r>
      <w:r w:rsidR="003D6938">
        <w:rPr>
          <w:rFonts w:ascii="Times New Roman" w:hAnsi="Times New Roman" w:cs="Times New Roman"/>
          <w:sz w:val="20"/>
          <w:szCs w:val="20"/>
        </w:rPr>
        <w:tab/>
        <w:t xml:space="preserve">Identifikované základné opatrenia hlavných oblastí pôdohospodárstva </w:t>
      </w:r>
      <w:r w:rsidR="00847019">
        <w:rPr>
          <w:rFonts w:ascii="Times New Roman" w:hAnsi="Times New Roman" w:cs="Times New Roman"/>
          <w:sz w:val="20"/>
          <w:szCs w:val="20"/>
        </w:rPr>
        <w:t xml:space="preserve">s priamym vplyvom </w:t>
      </w:r>
      <w:r w:rsidR="003D6938">
        <w:rPr>
          <w:rFonts w:ascii="Times New Roman" w:hAnsi="Times New Roman" w:cs="Times New Roman"/>
          <w:sz w:val="20"/>
          <w:szCs w:val="20"/>
        </w:rPr>
        <w:t>na rozvoj zamestnanosti</w:t>
      </w:r>
    </w:p>
    <w:tbl>
      <w:tblPr>
        <w:tblW w:w="9087" w:type="dxa"/>
        <w:tblInd w:w="55" w:type="dxa"/>
        <w:tblCellMar>
          <w:left w:w="70" w:type="dxa"/>
          <w:right w:w="70" w:type="dxa"/>
        </w:tblCellMar>
        <w:tblLook w:val="04A0" w:firstRow="1" w:lastRow="0" w:firstColumn="1" w:lastColumn="0" w:noHBand="0" w:noVBand="1"/>
      </w:tblPr>
      <w:tblGrid>
        <w:gridCol w:w="1661"/>
        <w:gridCol w:w="4875"/>
        <w:gridCol w:w="2551"/>
      </w:tblGrid>
      <w:tr w:rsidR="003D6938" w:rsidRPr="003D6938" w:rsidTr="00847019">
        <w:trPr>
          <w:trHeight w:val="379"/>
        </w:trPr>
        <w:tc>
          <w:tcPr>
            <w:tcW w:w="1661" w:type="dxa"/>
            <w:tcBorders>
              <w:top w:val="single" w:sz="4" w:space="0" w:color="auto"/>
              <w:left w:val="nil"/>
              <w:right w:val="single" w:sz="4" w:space="0" w:color="auto"/>
            </w:tcBorders>
            <w:shd w:val="clear" w:color="auto" w:fill="D9D9D9" w:themeFill="background1" w:themeFillShade="D9"/>
            <w:noWrap/>
          </w:tcPr>
          <w:p w:rsidR="003D6938" w:rsidRPr="003D6938" w:rsidRDefault="003D6938" w:rsidP="00E1196B">
            <w:pPr>
              <w:spacing w:after="0" w:line="240" w:lineRule="auto"/>
              <w:rPr>
                <w:rFonts w:ascii="Times New Roman" w:eastAsia="Times New Roman" w:hAnsi="Times New Roman" w:cs="Times New Roman"/>
                <w:b/>
                <w:bCs/>
                <w:color w:val="000000"/>
                <w:sz w:val="20"/>
                <w:szCs w:val="20"/>
              </w:rPr>
            </w:pPr>
          </w:p>
        </w:tc>
        <w:tc>
          <w:tcPr>
            <w:tcW w:w="4875" w:type="dxa"/>
            <w:tcBorders>
              <w:top w:val="single" w:sz="4" w:space="0" w:color="auto"/>
              <w:left w:val="nil"/>
              <w:bottom w:val="single" w:sz="4" w:space="0" w:color="auto"/>
              <w:right w:val="single" w:sz="4" w:space="0" w:color="auto"/>
            </w:tcBorders>
            <w:shd w:val="clear" w:color="auto" w:fill="D9D9D9" w:themeFill="background1" w:themeFillShade="D9"/>
          </w:tcPr>
          <w:p w:rsidR="003D6938" w:rsidRPr="003D6938" w:rsidRDefault="003D6938" w:rsidP="003D6938">
            <w:pPr>
              <w:spacing w:after="0" w:line="240" w:lineRule="auto"/>
              <w:jc w:val="center"/>
              <w:rPr>
                <w:rFonts w:ascii="Times New Roman" w:hAnsi="Times New Roman" w:cs="Times New Roman"/>
                <w:b/>
                <w:sz w:val="20"/>
                <w:szCs w:val="20"/>
              </w:rPr>
            </w:pPr>
            <w:r w:rsidRPr="003D6938">
              <w:rPr>
                <w:rFonts w:ascii="Times New Roman" w:hAnsi="Times New Roman" w:cs="Times New Roman"/>
                <w:b/>
                <w:sz w:val="20"/>
                <w:szCs w:val="20"/>
              </w:rPr>
              <w:t>Opatrenie</w:t>
            </w:r>
          </w:p>
        </w:tc>
        <w:tc>
          <w:tcPr>
            <w:tcW w:w="2551" w:type="dxa"/>
            <w:tcBorders>
              <w:top w:val="single" w:sz="4" w:space="0" w:color="auto"/>
              <w:left w:val="single" w:sz="4" w:space="0" w:color="auto"/>
              <w:bottom w:val="single" w:sz="4" w:space="0" w:color="auto"/>
              <w:right w:val="nil"/>
            </w:tcBorders>
            <w:shd w:val="clear" w:color="auto" w:fill="D9D9D9" w:themeFill="background1" w:themeFillShade="D9"/>
          </w:tcPr>
          <w:p w:rsidR="003D6938" w:rsidRPr="003D6938" w:rsidRDefault="003D6938" w:rsidP="003D6938">
            <w:pPr>
              <w:spacing w:after="0" w:line="240" w:lineRule="auto"/>
              <w:jc w:val="center"/>
              <w:rPr>
                <w:rFonts w:ascii="Times New Roman" w:hAnsi="Times New Roman" w:cs="Times New Roman"/>
                <w:sz w:val="20"/>
                <w:szCs w:val="20"/>
              </w:rPr>
            </w:pPr>
            <w:r w:rsidRPr="003D6938">
              <w:rPr>
                <w:rFonts w:ascii="Times New Roman" w:eastAsia="Times New Roman" w:hAnsi="Times New Roman" w:cs="Times New Roman"/>
                <w:b/>
                <w:color w:val="000000"/>
                <w:sz w:val="20"/>
                <w:szCs w:val="20"/>
              </w:rPr>
              <w:t>Vplyv na rozvoj zamestnanosti (predpokladané zvýšenie zamestnanosti v osobách)</w:t>
            </w:r>
          </w:p>
        </w:tc>
      </w:tr>
      <w:tr w:rsidR="003D6938" w:rsidRPr="003D6938" w:rsidTr="00847019">
        <w:trPr>
          <w:trHeight w:val="544"/>
        </w:trPr>
        <w:tc>
          <w:tcPr>
            <w:tcW w:w="1661" w:type="dxa"/>
            <w:tcBorders>
              <w:top w:val="single" w:sz="4" w:space="0" w:color="auto"/>
              <w:left w:val="nil"/>
              <w:right w:val="single" w:sz="4" w:space="0" w:color="auto"/>
            </w:tcBorders>
            <w:shd w:val="clear" w:color="auto" w:fill="auto"/>
            <w:noWrap/>
          </w:tcPr>
          <w:p w:rsidR="003D6938" w:rsidRPr="003D6938" w:rsidRDefault="003D6938" w:rsidP="00E1196B">
            <w:pPr>
              <w:spacing w:after="0" w:line="240" w:lineRule="auto"/>
              <w:rPr>
                <w:rFonts w:ascii="Times New Roman" w:eastAsia="Times New Roman" w:hAnsi="Times New Roman" w:cs="Times New Roman"/>
                <w:b/>
                <w:bCs/>
                <w:color w:val="000000"/>
                <w:sz w:val="20"/>
                <w:szCs w:val="20"/>
              </w:rPr>
            </w:pPr>
            <w:r w:rsidRPr="003D6938">
              <w:rPr>
                <w:rFonts w:ascii="Times New Roman" w:eastAsia="Times New Roman" w:hAnsi="Times New Roman" w:cs="Times New Roman"/>
                <w:b/>
                <w:bCs/>
                <w:color w:val="000000"/>
                <w:sz w:val="20"/>
                <w:szCs w:val="20"/>
              </w:rPr>
              <w:t>Hlavná živočíšna výroba</w:t>
            </w:r>
          </w:p>
        </w:tc>
        <w:tc>
          <w:tcPr>
            <w:tcW w:w="4875" w:type="dxa"/>
            <w:tcBorders>
              <w:top w:val="single" w:sz="4" w:space="0" w:color="auto"/>
              <w:left w:val="nil"/>
              <w:bottom w:val="single" w:sz="4" w:space="0" w:color="auto"/>
              <w:right w:val="single" w:sz="4" w:space="0" w:color="auto"/>
            </w:tcBorders>
            <w:shd w:val="clear" w:color="auto" w:fill="auto"/>
          </w:tcPr>
          <w:p w:rsidR="003D6938" w:rsidRPr="0058175F" w:rsidRDefault="003D6938" w:rsidP="00E1196B">
            <w:pPr>
              <w:spacing w:after="0" w:line="240" w:lineRule="auto"/>
              <w:rPr>
                <w:rFonts w:ascii="Times New Roman" w:eastAsia="Times New Roman" w:hAnsi="Times New Roman" w:cs="Times New Roman"/>
                <w:color w:val="000000"/>
                <w:sz w:val="20"/>
                <w:szCs w:val="20"/>
              </w:rPr>
            </w:pPr>
            <w:r w:rsidRPr="0058175F">
              <w:rPr>
                <w:rFonts w:ascii="Times New Roman" w:eastAsia="Times New Roman" w:hAnsi="Times New Roman" w:cs="Times New Roman"/>
                <w:color w:val="000000"/>
                <w:sz w:val="20"/>
                <w:szCs w:val="20"/>
              </w:rPr>
              <w:t>zvýšenie objemu domáceho spracovania hovädzieho a teľacieho mäsa v objeme 3 630 ton v jatočnej hmotnosti</w:t>
            </w:r>
          </w:p>
        </w:tc>
        <w:tc>
          <w:tcPr>
            <w:tcW w:w="2551" w:type="dxa"/>
            <w:tcBorders>
              <w:top w:val="single" w:sz="4" w:space="0" w:color="auto"/>
              <w:left w:val="single" w:sz="4" w:space="0" w:color="auto"/>
              <w:bottom w:val="single" w:sz="4" w:space="0" w:color="auto"/>
              <w:right w:val="nil"/>
            </w:tcBorders>
            <w:shd w:val="clear" w:color="auto" w:fill="auto"/>
            <w:vAlign w:val="center"/>
          </w:tcPr>
          <w:p w:rsidR="003D6938" w:rsidRPr="0058175F" w:rsidRDefault="003D6938" w:rsidP="00E119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w:t>
            </w:r>
          </w:p>
        </w:tc>
      </w:tr>
      <w:tr w:rsidR="003D6938" w:rsidRPr="003D6938" w:rsidTr="00847019">
        <w:trPr>
          <w:trHeight w:val="553"/>
        </w:trPr>
        <w:tc>
          <w:tcPr>
            <w:tcW w:w="1661" w:type="dxa"/>
            <w:tcBorders>
              <w:left w:val="nil"/>
              <w:right w:val="single" w:sz="4" w:space="0" w:color="auto"/>
            </w:tcBorders>
            <w:shd w:val="clear" w:color="auto" w:fill="auto"/>
            <w:noWrap/>
            <w:hideMark/>
          </w:tcPr>
          <w:p w:rsidR="003D6938" w:rsidRPr="003D6938" w:rsidRDefault="003D6938" w:rsidP="00E1196B">
            <w:pPr>
              <w:spacing w:after="0" w:line="240" w:lineRule="auto"/>
              <w:rPr>
                <w:rFonts w:ascii="Times New Roman" w:eastAsia="Times New Roman" w:hAnsi="Times New Roman" w:cs="Times New Roman"/>
                <w:b/>
                <w:bCs/>
                <w:color w:val="000000"/>
                <w:sz w:val="20"/>
                <w:szCs w:val="20"/>
              </w:rPr>
            </w:pPr>
          </w:p>
        </w:tc>
        <w:tc>
          <w:tcPr>
            <w:tcW w:w="4875" w:type="dxa"/>
            <w:tcBorders>
              <w:top w:val="single" w:sz="4" w:space="0" w:color="auto"/>
              <w:left w:val="single" w:sz="4" w:space="0" w:color="auto"/>
              <w:bottom w:val="single" w:sz="4" w:space="0" w:color="auto"/>
              <w:right w:val="nil"/>
            </w:tcBorders>
            <w:shd w:val="clear" w:color="auto" w:fill="auto"/>
            <w:hideMark/>
          </w:tcPr>
          <w:p w:rsidR="003D6938" w:rsidRPr="0058175F" w:rsidRDefault="003D6938" w:rsidP="00E1196B">
            <w:pPr>
              <w:spacing w:after="0" w:line="240" w:lineRule="auto"/>
              <w:rPr>
                <w:rFonts w:ascii="Times New Roman" w:eastAsia="Times New Roman" w:hAnsi="Times New Roman" w:cs="Times New Roman"/>
                <w:color w:val="000000"/>
                <w:sz w:val="20"/>
                <w:szCs w:val="20"/>
              </w:rPr>
            </w:pPr>
            <w:r w:rsidRPr="0058175F">
              <w:rPr>
                <w:rFonts w:ascii="Times New Roman" w:eastAsia="Times New Roman" w:hAnsi="Times New Roman" w:cs="Times New Roman"/>
                <w:color w:val="000000"/>
                <w:sz w:val="20"/>
                <w:szCs w:val="20"/>
              </w:rPr>
              <w:t>zvýšenie počtu prasníc o 30 000 ks a súčasné zvýšenie miery reprodukčnej úžitkovosti prasníc na úroveň 20 – 21 odstavčiat na 1 prasnicu</w:t>
            </w:r>
          </w:p>
        </w:tc>
        <w:tc>
          <w:tcPr>
            <w:tcW w:w="2551" w:type="dxa"/>
            <w:tcBorders>
              <w:top w:val="single" w:sz="4" w:space="0" w:color="auto"/>
              <w:left w:val="single" w:sz="4" w:space="0" w:color="auto"/>
              <w:bottom w:val="single" w:sz="4" w:space="0" w:color="auto"/>
              <w:right w:val="nil"/>
            </w:tcBorders>
            <w:shd w:val="clear" w:color="auto" w:fill="auto"/>
            <w:vAlign w:val="center"/>
          </w:tcPr>
          <w:p w:rsidR="003D6938" w:rsidRPr="0058175F" w:rsidRDefault="00D652DF" w:rsidP="00E119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r w:rsidR="003D6938" w:rsidRPr="0058175F">
              <w:rPr>
                <w:rFonts w:ascii="Times New Roman" w:eastAsia="Times New Roman" w:hAnsi="Times New Roman" w:cs="Times New Roman"/>
                <w:color w:val="000000"/>
                <w:sz w:val="20"/>
                <w:szCs w:val="20"/>
              </w:rPr>
              <w:t>0</w:t>
            </w:r>
          </w:p>
        </w:tc>
      </w:tr>
      <w:tr w:rsidR="003D6938" w:rsidRPr="003D6938" w:rsidTr="00847019">
        <w:trPr>
          <w:trHeight w:val="561"/>
        </w:trPr>
        <w:tc>
          <w:tcPr>
            <w:tcW w:w="1661" w:type="dxa"/>
            <w:tcBorders>
              <w:left w:val="nil"/>
              <w:right w:val="single" w:sz="4" w:space="0" w:color="auto"/>
            </w:tcBorders>
            <w:shd w:val="clear" w:color="auto" w:fill="auto"/>
            <w:noWrap/>
            <w:hideMark/>
          </w:tcPr>
          <w:p w:rsidR="003D6938" w:rsidRPr="003D6938" w:rsidRDefault="003D6938" w:rsidP="00E1196B">
            <w:pPr>
              <w:spacing w:after="0" w:line="240" w:lineRule="auto"/>
              <w:rPr>
                <w:rFonts w:ascii="Times New Roman" w:eastAsia="Times New Roman" w:hAnsi="Times New Roman" w:cs="Times New Roman"/>
                <w:b/>
                <w:bCs/>
                <w:color w:val="000000"/>
                <w:sz w:val="20"/>
                <w:szCs w:val="20"/>
              </w:rPr>
            </w:pPr>
          </w:p>
        </w:tc>
        <w:tc>
          <w:tcPr>
            <w:tcW w:w="4875" w:type="dxa"/>
            <w:tcBorders>
              <w:top w:val="single" w:sz="4" w:space="0" w:color="auto"/>
              <w:left w:val="nil"/>
              <w:bottom w:val="single" w:sz="4" w:space="0" w:color="auto"/>
              <w:right w:val="single" w:sz="4" w:space="0" w:color="auto"/>
            </w:tcBorders>
            <w:shd w:val="clear" w:color="auto" w:fill="auto"/>
            <w:hideMark/>
          </w:tcPr>
          <w:p w:rsidR="003D6938" w:rsidRPr="0058175F" w:rsidRDefault="003D6938" w:rsidP="00E1196B">
            <w:pPr>
              <w:spacing w:after="0" w:line="240" w:lineRule="auto"/>
              <w:rPr>
                <w:rFonts w:ascii="Times New Roman" w:eastAsia="Times New Roman" w:hAnsi="Times New Roman" w:cs="Times New Roman"/>
                <w:color w:val="000000"/>
                <w:sz w:val="20"/>
                <w:szCs w:val="20"/>
              </w:rPr>
            </w:pPr>
            <w:r w:rsidRPr="0058175F">
              <w:rPr>
                <w:rFonts w:ascii="Times New Roman" w:eastAsia="Times New Roman" w:hAnsi="Times New Roman" w:cs="Times New Roman"/>
                <w:color w:val="000000"/>
                <w:sz w:val="20"/>
                <w:szCs w:val="20"/>
              </w:rPr>
              <w:t>zvýšenie objemu domáceho spracovania bravčového mäsa v objeme 24 203 ton v jatočnej hmotnosti</w:t>
            </w:r>
          </w:p>
        </w:tc>
        <w:tc>
          <w:tcPr>
            <w:tcW w:w="2551" w:type="dxa"/>
            <w:tcBorders>
              <w:top w:val="single" w:sz="4" w:space="0" w:color="auto"/>
              <w:left w:val="single" w:sz="4" w:space="0" w:color="auto"/>
              <w:bottom w:val="single" w:sz="4" w:space="0" w:color="auto"/>
              <w:right w:val="nil"/>
            </w:tcBorders>
            <w:shd w:val="clear" w:color="auto" w:fill="auto"/>
            <w:vAlign w:val="center"/>
          </w:tcPr>
          <w:p w:rsidR="003D6938" w:rsidRPr="0058175F" w:rsidRDefault="003D6938" w:rsidP="00E119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1 210</w:t>
            </w:r>
          </w:p>
        </w:tc>
      </w:tr>
      <w:tr w:rsidR="003D6938" w:rsidRPr="003D6938" w:rsidTr="00847019">
        <w:trPr>
          <w:trHeight w:val="405"/>
        </w:trPr>
        <w:tc>
          <w:tcPr>
            <w:tcW w:w="1661" w:type="dxa"/>
            <w:tcBorders>
              <w:left w:val="nil"/>
              <w:right w:val="single" w:sz="4" w:space="0" w:color="auto"/>
            </w:tcBorders>
            <w:shd w:val="clear" w:color="auto" w:fill="auto"/>
            <w:noWrap/>
            <w:hideMark/>
          </w:tcPr>
          <w:p w:rsidR="003D6938" w:rsidRPr="003D6938" w:rsidRDefault="003D6938" w:rsidP="00E1196B">
            <w:pPr>
              <w:spacing w:after="0" w:line="240" w:lineRule="auto"/>
              <w:rPr>
                <w:rFonts w:ascii="Times New Roman" w:eastAsia="Times New Roman" w:hAnsi="Times New Roman" w:cs="Times New Roman"/>
                <w:b/>
                <w:bCs/>
                <w:color w:val="000000"/>
                <w:sz w:val="20"/>
                <w:szCs w:val="20"/>
              </w:rPr>
            </w:pPr>
          </w:p>
        </w:tc>
        <w:tc>
          <w:tcPr>
            <w:tcW w:w="4875" w:type="dxa"/>
            <w:tcBorders>
              <w:top w:val="single" w:sz="4" w:space="0" w:color="auto"/>
              <w:left w:val="single" w:sz="4" w:space="0" w:color="auto"/>
              <w:bottom w:val="single" w:sz="4" w:space="0" w:color="auto"/>
              <w:right w:val="nil"/>
            </w:tcBorders>
            <w:shd w:val="clear" w:color="auto" w:fill="auto"/>
            <w:hideMark/>
          </w:tcPr>
          <w:p w:rsidR="003D6938" w:rsidRPr="0058175F" w:rsidRDefault="00685557" w:rsidP="00E1196B">
            <w:pPr>
              <w:spacing w:after="0" w:line="240" w:lineRule="auto"/>
              <w:rPr>
                <w:rFonts w:ascii="Times New Roman" w:eastAsia="Times New Roman" w:hAnsi="Times New Roman" w:cs="Times New Roman"/>
                <w:color w:val="000000"/>
                <w:sz w:val="20"/>
                <w:szCs w:val="20"/>
              </w:rPr>
            </w:pPr>
            <w:r w:rsidRPr="00685557">
              <w:rPr>
                <w:rFonts w:ascii="Times New Roman" w:eastAsia="Times New Roman" w:hAnsi="Times New Roman" w:cs="Times New Roman"/>
                <w:color w:val="000000"/>
                <w:sz w:val="20"/>
                <w:szCs w:val="20"/>
              </w:rPr>
              <w:t>zvýšenie početnosti hydiny o 5 314 423 ks / 6 turnusov ročne, t.j. zvýšenie stavov v chove o 885 737 ks</w:t>
            </w:r>
          </w:p>
        </w:tc>
        <w:tc>
          <w:tcPr>
            <w:tcW w:w="2551" w:type="dxa"/>
            <w:tcBorders>
              <w:top w:val="single" w:sz="4" w:space="0" w:color="auto"/>
              <w:left w:val="single" w:sz="4" w:space="0" w:color="auto"/>
              <w:bottom w:val="single" w:sz="4" w:space="0" w:color="auto"/>
              <w:right w:val="nil"/>
            </w:tcBorders>
            <w:shd w:val="clear" w:color="auto" w:fill="auto"/>
            <w:vAlign w:val="center"/>
          </w:tcPr>
          <w:p w:rsidR="003D6938" w:rsidRPr="0058175F" w:rsidRDefault="00685557" w:rsidP="00E119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r>
      <w:tr w:rsidR="003D6938" w:rsidRPr="003D6938" w:rsidTr="00847019">
        <w:trPr>
          <w:trHeight w:val="567"/>
        </w:trPr>
        <w:tc>
          <w:tcPr>
            <w:tcW w:w="1661" w:type="dxa"/>
            <w:tcBorders>
              <w:left w:val="nil"/>
              <w:bottom w:val="nil"/>
              <w:right w:val="single" w:sz="4" w:space="0" w:color="auto"/>
            </w:tcBorders>
            <w:shd w:val="clear" w:color="auto" w:fill="auto"/>
            <w:noWrap/>
            <w:hideMark/>
          </w:tcPr>
          <w:p w:rsidR="003D6938" w:rsidRPr="003D6938" w:rsidRDefault="003D6938" w:rsidP="00E1196B">
            <w:pPr>
              <w:spacing w:after="0" w:line="240" w:lineRule="auto"/>
              <w:rPr>
                <w:rFonts w:ascii="Times New Roman" w:eastAsia="Times New Roman" w:hAnsi="Times New Roman" w:cs="Times New Roman"/>
                <w:b/>
                <w:bCs/>
                <w:color w:val="000000"/>
                <w:sz w:val="20"/>
                <w:szCs w:val="20"/>
              </w:rPr>
            </w:pPr>
          </w:p>
        </w:tc>
        <w:tc>
          <w:tcPr>
            <w:tcW w:w="4875" w:type="dxa"/>
            <w:tcBorders>
              <w:top w:val="single" w:sz="4" w:space="0" w:color="auto"/>
              <w:left w:val="nil"/>
              <w:bottom w:val="single" w:sz="4" w:space="0" w:color="auto"/>
              <w:right w:val="single" w:sz="4" w:space="0" w:color="auto"/>
            </w:tcBorders>
            <w:shd w:val="clear" w:color="auto" w:fill="auto"/>
            <w:hideMark/>
          </w:tcPr>
          <w:p w:rsidR="003D6938" w:rsidRPr="0058175F" w:rsidRDefault="003D6938" w:rsidP="00685557">
            <w:pPr>
              <w:spacing w:after="0" w:line="240" w:lineRule="auto"/>
              <w:rPr>
                <w:rFonts w:ascii="Times New Roman" w:eastAsia="Times New Roman" w:hAnsi="Times New Roman" w:cs="Times New Roman"/>
                <w:color w:val="000000"/>
                <w:sz w:val="20"/>
                <w:szCs w:val="20"/>
              </w:rPr>
            </w:pPr>
            <w:r w:rsidRPr="0058175F">
              <w:rPr>
                <w:rFonts w:ascii="Times New Roman" w:eastAsia="Times New Roman" w:hAnsi="Times New Roman" w:cs="Times New Roman"/>
                <w:color w:val="000000"/>
                <w:sz w:val="20"/>
                <w:szCs w:val="20"/>
              </w:rPr>
              <w:t xml:space="preserve">zvýšenie objemu domáceho spracovania hydinového mäsa v objeme </w:t>
            </w:r>
            <w:r w:rsidR="00685557">
              <w:rPr>
                <w:rFonts w:ascii="Times New Roman" w:eastAsia="Times New Roman" w:hAnsi="Times New Roman" w:cs="Times New Roman"/>
                <w:color w:val="000000"/>
                <w:sz w:val="20"/>
                <w:szCs w:val="20"/>
              </w:rPr>
              <w:t>26 676</w:t>
            </w:r>
            <w:r w:rsidRPr="0058175F">
              <w:rPr>
                <w:rFonts w:ascii="Times New Roman" w:eastAsia="Times New Roman" w:hAnsi="Times New Roman" w:cs="Times New Roman"/>
                <w:color w:val="000000"/>
                <w:sz w:val="20"/>
                <w:szCs w:val="20"/>
              </w:rPr>
              <w:t xml:space="preserve"> ton v jatočnej hmotnosti</w:t>
            </w:r>
          </w:p>
        </w:tc>
        <w:tc>
          <w:tcPr>
            <w:tcW w:w="2551" w:type="dxa"/>
            <w:tcBorders>
              <w:top w:val="single" w:sz="4" w:space="0" w:color="auto"/>
              <w:left w:val="single" w:sz="4" w:space="0" w:color="auto"/>
              <w:bottom w:val="single" w:sz="4" w:space="0" w:color="auto"/>
              <w:right w:val="nil"/>
            </w:tcBorders>
            <w:shd w:val="clear" w:color="auto" w:fill="auto"/>
            <w:vAlign w:val="center"/>
          </w:tcPr>
          <w:p w:rsidR="003D6938" w:rsidRPr="0058175F" w:rsidRDefault="00685557" w:rsidP="00E119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1 333</w:t>
            </w:r>
          </w:p>
        </w:tc>
      </w:tr>
      <w:tr w:rsidR="00847019" w:rsidRPr="003D6938" w:rsidTr="00847019">
        <w:trPr>
          <w:trHeight w:val="553"/>
        </w:trPr>
        <w:tc>
          <w:tcPr>
            <w:tcW w:w="1661" w:type="dxa"/>
            <w:tcBorders>
              <w:top w:val="single" w:sz="4" w:space="0" w:color="auto"/>
              <w:left w:val="nil"/>
              <w:right w:val="single" w:sz="4" w:space="0" w:color="auto"/>
            </w:tcBorders>
            <w:shd w:val="clear" w:color="auto" w:fill="F2F2F2" w:themeFill="background1" w:themeFillShade="F2"/>
            <w:noWrap/>
          </w:tcPr>
          <w:p w:rsidR="00847019" w:rsidRPr="003D6938" w:rsidRDefault="00847019" w:rsidP="00E1196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Hlavná rastlinná výroba</w:t>
            </w:r>
          </w:p>
        </w:tc>
        <w:tc>
          <w:tcPr>
            <w:tcW w:w="4875" w:type="dxa"/>
            <w:tcBorders>
              <w:top w:val="single" w:sz="4" w:space="0" w:color="auto"/>
              <w:left w:val="nil"/>
              <w:bottom w:val="single" w:sz="4" w:space="0" w:color="auto"/>
              <w:right w:val="single" w:sz="4" w:space="0" w:color="auto"/>
            </w:tcBorders>
            <w:shd w:val="clear" w:color="auto" w:fill="F2F2F2" w:themeFill="background1" w:themeFillShade="F2"/>
          </w:tcPr>
          <w:p w:rsidR="00847019" w:rsidRPr="0058175F" w:rsidRDefault="00847019" w:rsidP="00E1196B">
            <w:pPr>
              <w:spacing w:after="0" w:line="240" w:lineRule="auto"/>
              <w:rPr>
                <w:rFonts w:ascii="Times New Roman" w:eastAsia="Times New Roman" w:hAnsi="Times New Roman" w:cs="Times New Roman"/>
                <w:color w:val="000000"/>
                <w:sz w:val="20"/>
                <w:szCs w:val="20"/>
              </w:rPr>
            </w:pPr>
            <w:r w:rsidRPr="002A7639">
              <w:rPr>
                <w:rFonts w:ascii="Times New Roman" w:eastAsia="Times New Roman" w:hAnsi="Times New Roman" w:cs="Times New Roman"/>
                <w:color w:val="000000"/>
                <w:sz w:val="20"/>
                <w:szCs w:val="20"/>
              </w:rPr>
              <w:t>zvýšenie produkcie rastlinných jedlých tukov a olejov minimálne o 32 242 ton</w:t>
            </w:r>
          </w:p>
        </w:tc>
        <w:tc>
          <w:tcPr>
            <w:tcW w:w="2551"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47019" w:rsidRPr="0058175F" w:rsidRDefault="00847019" w:rsidP="00E119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r>
      <w:tr w:rsidR="00847019" w:rsidRPr="003D6938" w:rsidTr="00847019">
        <w:trPr>
          <w:trHeight w:val="553"/>
        </w:trPr>
        <w:tc>
          <w:tcPr>
            <w:tcW w:w="1661" w:type="dxa"/>
            <w:tcBorders>
              <w:left w:val="nil"/>
              <w:right w:val="single" w:sz="4" w:space="0" w:color="auto"/>
            </w:tcBorders>
            <w:shd w:val="clear" w:color="auto" w:fill="F2F2F2" w:themeFill="background1" w:themeFillShade="F2"/>
            <w:noWrap/>
          </w:tcPr>
          <w:p w:rsidR="00847019" w:rsidRDefault="00847019" w:rsidP="00E1196B">
            <w:pPr>
              <w:spacing w:after="0" w:line="240" w:lineRule="auto"/>
              <w:rPr>
                <w:rFonts w:ascii="Times New Roman" w:eastAsia="Times New Roman" w:hAnsi="Times New Roman" w:cs="Times New Roman"/>
                <w:b/>
                <w:bCs/>
                <w:color w:val="000000"/>
                <w:sz w:val="20"/>
                <w:szCs w:val="20"/>
              </w:rPr>
            </w:pPr>
          </w:p>
        </w:tc>
        <w:tc>
          <w:tcPr>
            <w:tcW w:w="4875" w:type="dxa"/>
            <w:tcBorders>
              <w:top w:val="single" w:sz="4" w:space="0" w:color="auto"/>
              <w:left w:val="nil"/>
              <w:bottom w:val="single" w:sz="4" w:space="0" w:color="auto"/>
              <w:right w:val="single" w:sz="4" w:space="0" w:color="auto"/>
            </w:tcBorders>
            <w:shd w:val="clear" w:color="auto" w:fill="F2F2F2" w:themeFill="background1" w:themeFillShade="F2"/>
          </w:tcPr>
          <w:p w:rsidR="00847019" w:rsidRPr="0058175F" w:rsidRDefault="00847019" w:rsidP="00E1196B">
            <w:pPr>
              <w:spacing w:after="0" w:line="240" w:lineRule="auto"/>
              <w:rPr>
                <w:rFonts w:ascii="Times New Roman" w:eastAsia="Times New Roman" w:hAnsi="Times New Roman" w:cs="Times New Roman"/>
                <w:color w:val="000000"/>
                <w:sz w:val="20"/>
                <w:szCs w:val="20"/>
              </w:rPr>
            </w:pPr>
            <w:r w:rsidRPr="002A7639">
              <w:rPr>
                <w:rFonts w:ascii="Times New Roman" w:eastAsia="Times New Roman" w:hAnsi="Times New Roman" w:cs="Times New Roman"/>
                <w:color w:val="000000"/>
                <w:sz w:val="20"/>
                <w:szCs w:val="20"/>
              </w:rPr>
              <w:t>zvýšenie zberových plôch zemiakov o 743 ha</w:t>
            </w:r>
          </w:p>
        </w:tc>
        <w:tc>
          <w:tcPr>
            <w:tcW w:w="2551"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47019" w:rsidRPr="0058175F" w:rsidRDefault="00847019" w:rsidP="00E119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r>
      <w:tr w:rsidR="00847019" w:rsidRPr="003D6938" w:rsidTr="00847019">
        <w:trPr>
          <w:trHeight w:val="553"/>
        </w:trPr>
        <w:tc>
          <w:tcPr>
            <w:tcW w:w="1661" w:type="dxa"/>
            <w:tcBorders>
              <w:left w:val="nil"/>
              <w:right w:val="single" w:sz="4" w:space="0" w:color="auto"/>
            </w:tcBorders>
            <w:shd w:val="clear" w:color="auto" w:fill="F2F2F2" w:themeFill="background1" w:themeFillShade="F2"/>
            <w:noWrap/>
          </w:tcPr>
          <w:p w:rsidR="00847019" w:rsidRDefault="00847019" w:rsidP="00E1196B">
            <w:pPr>
              <w:spacing w:after="0" w:line="240" w:lineRule="auto"/>
              <w:rPr>
                <w:rFonts w:ascii="Times New Roman" w:eastAsia="Times New Roman" w:hAnsi="Times New Roman" w:cs="Times New Roman"/>
                <w:b/>
                <w:bCs/>
                <w:color w:val="000000"/>
                <w:sz w:val="20"/>
                <w:szCs w:val="20"/>
              </w:rPr>
            </w:pPr>
          </w:p>
        </w:tc>
        <w:tc>
          <w:tcPr>
            <w:tcW w:w="4875" w:type="dxa"/>
            <w:tcBorders>
              <w:top w:val="single" w:sz="4" w:space="0" w:color="auto"/>
              <w:left w:val="nil"/>
              <w:bottom w:val="single" w:sz="4" w:space="0" w:color="auto"/>
              <w:right w:val="single" w:sz="4" w:space="0" w:color="auto"/>
            </w:tcBorders>
            <w:shd w:val="clear" w:color="auto" w:fill="F2F2F2" w:themeFill="background1" w:themeFillShade="F2"/>
          </w:tcPr>
          <w:p w:rsidR="00847019" w:rsidRPr="0058175F" w:rsidRDefault="00847019" w:rsidP="00C37B4A">
            <w:pPr>
              <w:spacing w:after="0" w:line="240" w:lineRule="auto"/>
              <w:rPr>
                <w:rFonts w:ascii="Times New Roman" w:eastAsia="Times New Roman" w:hAnsi="Times New Roman" w:cs="Times New Roman"/>
                <w:color w:val="000000"/>
                <w:sz w:val="20"/>
                <w:szCs w:val="20"/>
              </w:rPr>
            </w:pPr>
            <w:r w:rsidRPr="002A7639">
              <w:rPr>
                <w:rFonts w:ascii="Times New Roman" w:eastAsia="Times New Roman" w:hAnsi="Times New Roman" w:cs="Times New Roman"/>
                <w:color w:val="000000"/>
                <w:sz w:val="20"/>
                <w:szCs w:val="20"/>
              </w:rPr>
              <w:t xml:space="preserve">zvýšenie zberových plôch zeleniny </w:t>
            </w:r>
            <w:r w:rsidR="00C37B4A">
              <w:rPr>
                <w:rFonts w:ascii="Times New Roman" w:eastAsia="Times New Roman" w:hAnsi="Times New Roman" w:cs="Times New Roman"/>
                <w:color w:val="000000"/>
                <w:sz w:val="20"/>
                <w:szCs w:val="20"/>
              </w:rPr>
              <w:t xml:space="preserve">na ornej pôde </w:t>
            </w:r>
            <w:r w:rsidRPr="002A7639">
              <w:rPr>
                <w:rFonts w:ascii="Times New Roman" w:eastAsia="Times New Roman" w:hAnsi="Times New Roman" w:cs="Times New Roman"/>
                <w:color w:val="000000"/>
                <w:sz w:val="20"/>
                <w:szCs w:val="20"/>
              </w:rPr>
              <w:t>o 3 000 ha</w:t>
            </w:r>
          </w:p>
        </w:tc>
        <w:tc>
          <w:tcPr>
            <w:tcW w:w="2551"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47019" w:rsidRPr="0058175F" w:rsidRDefault="00847019" w:rsidP="00E119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6 900</w:t>
            </w:r>
          </w:p>
        </w:tc>
      </w:tr>
      <w:tr w:rsidR="00847019" w:rsidRPr="003D6938" w:rsidTr="00847019">
        <w:trPr>
          <w:trHeight w:val="553"/>
        </w:trPr>
        <w:tc>
          <w:tcPr>
            <w:tcW w:w="1661" w:type="dxa"/>
            <w:tcBorders>
              <w:left w:val="nil"/>
              <w:bottom w:val="single" w:sz="4" w:space="0" w:color="auto"/>
              <w:right w:val="single" w:sz="4" w:space="0" w:color="auto"/>
            </w:tcBorders>
            <w:shd w:val="clear" w:color="auto" w:fill="F2F2F2" w:themeFill="background1" w:themeFillShade="F2"/>
            <w:noWrap/>
          </w:tcPr>
          <w:p w:rsidR="00847019" w:rsidRDefault="00847019" w:rsidP="00E1196B">
            <w:pPr>
              <w:spacing w:after="0" w:line="240" w:lineRule="auto"/>
              <w:rPr>
                <w:rFonts w:ascii="Times New Roman" w:eastAsia="Times New Roman" w:hAnsi="Times New Roman" w:cs="Times New Roman"/>
                <w:b/>
                <w:bCs/>
                <w:color w:val="000000"/>
                <w:sz w:val="20"/>
                <w:szCs w:val="20"/>
              </w:rPr>
            </w:pPr>
          </w:p>
        </w:tc>
        <w:tc>
          <w:tcPr>
            <w:tcW w:w="4875" w:type="dxa"/>
            <w:tcBorders>
              <w:top w:val="single" w:sz="4" w:space="0" w:color="auto"/>
              <w:left w:val="nil"/>
              <w:bottom w:val="single" w:sz="4" w:space="0" w:color="auto"/>
              <w:right w:val="single" w:sz="4" w:space="0" w:color="auto"/>
            </w:tcBorders>
            <w:shd w:val="clear" w:color="auto" w:fill="F2F2F2" w:themeFill="background1" w:themeFillShade="F2"/>
          </w:tcPr>
          <w:p w:rsidR="00847019" w:rsidRPr="0058175F" w:rsidRDefault="00847019" w:rsidP="00E1196B">
            <w:pPr>
              <w:spacing w:after="0" w:line="240" w:lineRule="auto"/>
              <w:rPr>
                <w:rFonts w:ascii="Times New Roman" w:eastAsia="Times New Roman" w:hAnsi="Times New Roman" w:cs="Times New Roman"/>
                <w:color w:val="000000"/>
                <w:sz w:val="20"/>
                <w:szCs w:val="20"/>
              </w:rPr>
            </w:pPr>
            <w:r w:rsidRPr="002A7639">
              <w:rPr>
                <w:rFonts w:ascii="Times New Roman" w:eastAsia="Times New Roman" w:hAnsi="Times New Roman" w:cs="Times New Roman"/>
                <w:color w:val="000000"/>
                <w:sz w:val="20"/>
                <w:szCs w:val="20"/>
              </w:rPr>
              <w:t>revitalizácia ovocných sadov, čo zahŕňa likvidáciu starých ovocných sadov, výsadbu, rekonštrukciu a obnovu ovocných sadov</w:t>
            </w:r>
          </w:p>
        </w:tc>
        <w:tc>
          <w:tcPr>
            <w:tcW w:w="2551"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47019" w:rsidRPr="0058175F" w:rsidRDefault="00392C1B" w:rsidP="00E119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847019">
              <w:rPr>
                <w:rFonts w:ascii="Times New Roman" w:eastAsia="Times New Roman" w:hAnsi="Times New Roman" w:cs="Times New Roman"/>
                <w:color w:val="000000"/>
                <w:sz w:val="20"/>
                <w:szCs w:val="20"/>
              </w:rPr>
              <w:t xml:space="preserve"> 5</w:t>
            </w:r>
            <w:r>
              <w:rPr>
                <w:rFonts w:ascii="Times New Roman" w:eastAsia="Times New Roman" w:hAnsi="Times New Roman" w:cs="Times New Roman"/>
                <w:color w:val="000000"/>
                <w:sz w:val="20"/>
                <w:szCs w:val="20"/>
              </w:rPr>
              <w:t>62</w:t>
            </w:r>
          </w:p>
        </w:tc>
      </w:tr>
      <w:tr w:rsidR="00847019" w:rsidRPr="003D6938" w:rsidTr="00847019">
        <w:trPr>
          <w:trHeight w:val="553"/>
        </w:trPr>
        <w:tc>
          <w:tcPr>
            <w:tcW w:w="1661" w:type="dxa"/>
            <w:tcBorders>
              <w:top w:val="single" w:sz="4" w:space="0" w:color="auto"/>
              <w:left w:val="nil"/>
              <w:right w:val="single" w:sz="4" w:space="0" w:color="auto"/>
            </w:tcBorders>
            <w:shd w:val="clear" w:color="auto" w:fill="auto"/>
            <w:noWrap/>
          </w:tcPr>
          <w:p w:rsidR="00847019" w:rsidRDefault="00847019" w:rsidP="00E1196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Hlavné lesnícke činnosti</w:t>
            </w:r>
          </w:p>
        </w:tc>
        <w:tc>
          <w:tcPr>
            <w:tcW w:w="4875" w:type="dxa"/>
            <w:tcBorders>
              <w:top w:val="single" w:sz="4" w:space="0" w:color="auto"/>
              <w:left w:val="nil"/>
              <w:bottom w:val="single" w:sz="4" w:space="0" w:color="auto"/>
              <w:right w:val="single" w:sz="4" w:space="0" w:color="auto"/>
            </w:tcBorders>
            <w:shd w:val="clear" w:color="auto" w:fill="auto"/>
          </w:tcPr>
          <w:p w:rsidR="00847019" w:rsidRPr="0058175F" w:rsidRDefault="00847019" w:rsidP="00E1196B">
            <w:pPr>
              <w:spacing w:after="0" w:line="240" w:lineRule="auto"/>
              <w:rPr>
                <w:rFonts w:ascii="Times New Roman" w:eastAsia="Times New Roman" w:hAnsi="Times New Roman" w:cs="Times New Roman"/>
                <w:color w:val="000000"/>
                <w:sz w:val="20"/>
                <w:szCs w:val="20"/>
              </w:rPr>
            </w:pPr>
            <w:r w:rsidRPr="004651FE">
              <w:rPr>
                <w:rFonts w:ascii="Times New Roman" w:eastAsia="Times New Roman" w:hAnsi="Times New Roman" w:cs="Times New Roman"/>
                <w:color w:val="000000"/>
                <w:sz w:val="20"/>
                <w:szCs w:val="20"/>
              </w:rPr>
              <w:t>zabezpečenie starostlivosti o drobné vodné toky v pôsobnosti MPRV SR</w:t>
            </w:r>
          </w:p>
        </w:tc>
        <w:tc>
          <w:tcPr>
            <w:tcW w:w="2551" w:type="dxa"/>
            <w:tcBorders>
              <w:top w:val="single" w:sz="4" w:space="0" w:color="auto"/>
              <w:left w:val="single" w:sz="4" w:space="0" w:color="auto"/>
              <w:bottom w:val="single" w:sz="4" w:space="0" w:color="auto"/>
              <w:right w:val="nil"/>
            </w:tcBorders>
            <w:shd w:val="clear" w:color="auto" w:fill="auto"/>
            <w:vAlign w:val="center"/>
          </w:tcPr>
          <w:p w:rsidR="00847019" w:rsidRPr="0058175F" w:rsidRDefault="00847019" w:rsidP="00E119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1 800</w:t>
            </w:r>
          </w:p>
        </w:tc>
      </w:tr>
      <w:tr w:rsidR="00847019" w:rsidRPr="003D6938" w:rsidTr="00847019">
        <w:trPr>
          <w:trHeight w:val="553"/>
        </w:trPr>
        <w:tc>
          <w:tcPr>
            <w:tcW w:w="1661" w:type="dxa"/>
            <w:tcBorders>
              <w:left w:val="nil"/>
              <w:bottom w:val="single" w:sz="18" w:space="0" w:color="auto"/>
              <w:right w:val="single" w:sz="4" w:space="0" w:color="auto"/>
            </w:tcBorders>
            <w:shd w:val="clear" w:color="auto" w:fill="auto"/>
            <w:noWrap/>
          </w:tcPr>
          <w:p w:rsidR="00847019" w:rsidRDefault="00847019" w:rsidP="00E1196B">
            <w:pPr>
              <w:spacing w:after="0" w:line="240" w:lineRule="auto"/>
              <w:rPr>
                <w:rFonts w:ascii="Times New Roman" w:eastAsia="Times New Roman" w:hAnsi="Times New Roman" w:cs="Times New Roman"/>
                <w:b/>
                <w:bCs/>
                <w:color w:val="000000"/>
                <w:sz w:val="20"/>
                <w:szCs w:val="20"/>
              </w:rPr>
            </w:pPr>
          </w:p>
        </w:tc>
        <w:tc>
          <w:tcPr>
            <w:tcW w:w="4875" w:type="dxa"/>
            <w:tcBorders>
              <w:top w:val="single" w:sz="4" w:space="0" w:color="auto"/>
              <w:left w:val="nil"/>
              <w:bottom w:val="single" w:sz="18" w:space="0" w:color="auto"/>
              <w:right w:val="single" w:sz="4" w:space="0" w:color="auto"/>
            </w:tcBorders>
            <w:shd w:val="clear" w:color="auto" w:fill="auto"/>
          </w:tcPr>
          <w:p w:rsidR="00847019" w:rsidRPr="0058175F" w:rsidRDefault="00847019" w:rsidP="00E1196B">
            <w:pPr>
              <w:spacing w:after="0" w:line="240" w:lineRule="auto"/>
              <w:rPr>
                <w:rFonts w:ascii="Times New Roman" w:eastAsia="Times New Roman" w:hAnsi="Times New Roman" w:cs="Times New Roman"/>
                <w:color w:val="000000"/>
                <w:sz w:val="20"/>
                <w:szCs w:val="20"/>
              </w:rPr>
            </w:pPr>
            <w:r w:rsidRPr="004651FE">
              <w:rPr>
                <w:rFonts w:ascii="Times New Roman" w:eastAsia="Times New Roman" w:hAnsi="Times New Roman" w:cs="Times New Roman"/>
                <w:color w:val="000000"/>
                <w:sz w:val="20"/>
                <w:szCs w:val="20"/>
              </w:rPr>
              <w:t>obnova funkcií lesov na plochách postihnutých kalamitou a zvýšenie stability lesných porastov</w:t>
            </w:r>
          </w:p>
        </w:tc>
        <w:tc>
          <w:tcPr>
            <w:tcW w:w="2551" w:type="dxa"/>
            <w:tcBorders>
              <w:top w:val="single" w:sz="4" w:space="0" w:color="auto"/>
              <w:left w:val="single" w:sz="4" w:space="0" w:color="auto"/>
              <w:bottom w:val="single" w:sz="18" w:space="0" w:color="auto"/>
              <w:right w:val="nil"/>
            </w:tcBorders>
            <w:shd w:val="clear" w:color="auto" w:fill="auto"/>
            <w:vAlign w:val="center"/>
          </w:tcPr>
          <w:p w:rsidR="00847019" w:rsidRPr="0058175F" w:rsidRDefault="00847019" w:rsidP="00E119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1 885</w:t>
            </w:r>
          </w:p>
        </w:tc>
      </w:tr>
      <w:tr w:rsidR="00847019" w:rsidRPr="003D6938" w:rsidTr="00847019">
        <w:trPr>
          <w:trHeight w:val="553"/>
        </w:trPr>
        <w:tc>
          <w:tcPr>
            <w:tcW w:w="1661" w:type="dxa"/>
            <w:tcBorders>
              <w:top w:val="single" w:sz="18" w:space="0" w:color="auto"/>
              <w:left w:val="nil"/>
              <w:bottom w:val="single" w:sz="4" w:space="0" w:color="auto"/>
              <w:right w:val="single" w:sz="4" w:space="0" w:color="auto"/>
            </w:tcBorders>
            <w:shd w:val="clear" w:color="auto" w:fill="auto"/>
            <w:noWrap/>
          </w:tcPr>
          <w:p w:rsidR="00847019" w:rsidRDefault="00847019" w:rsidP="00847019">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Celkový vplyv na zvýšenie zamestnanosti </w:t>
            </w:r>
          </w:p>
        </w:tc>
        <w:tc>
          <w:tcPr>
            <w:tcW w:w="4875" w:type="dxa"/>
            <w:tcBorders>
              <w:top w:val="single" w:sz="18" w:space="0" w:color="auto"/>
              <w:left w:val="nil"/>
              <w:bottom w:val="single" w:sz="4" w:space="0" w:color="auto"/>
              <w:right w:val="single" w:sz="4" w:space="0" w:color="auto"/>
            </w:tcBorders>
            <w:shd w:val="clear" w:color="auto" w:fill="auto"/>
          </w:tcPr>
          <w:p w:rsidR="00847019" w:rsidRPr="004651FE" w:rsidRDefault="002F2162" w:rsidP="00E1196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14:anchorId="7E14DE1D" wp14:editId="0199F1A1">
                      <wp:simplePos x="0" y="0"/>
                      <wp:positionH relativeFrom="column">
                        <wp:posOffset>-41910</wp:posOffset>
                      </wp:positionH>
                      <wp:positionV relativeFrom="paragraph">
                        <wp:posOffset>-1270</wp:posOffset>
                      </wp:positionV>
                      <wp:extent cx="3093720" cy="439420"/>
                      <wp:effectExtent l="0" t="0" r="11430" b="36830"/>
                      <wp:wrapNone/>
                      <wp:docPr id="288" name="Rovná spojnica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93720" cy="43942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ovná spojnica 28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pt" to="240.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4Q7AEAACMEAAAOAAAAZHJzL2Uyb0RvYy54bWysU8Fu2zAMvQ/oPwi6N3aSYmuNOD20aC/F&#10;FrTb7qosxVolUZBU2/mcfct+bJScON3aAcOwiyCKj498JLW6HIwmnfBBga3pfFZSIiyHRtltTb98&#10;vjk9pyREZhumwYqa7kSgl+uTd6veVWIBLehGeIIkNlS9q2kbo6uKIvBWGBZm4IRFpwRvWETTb4vG&#10;sx7ZjS4WZfm+6ME3zgMXIeDr9eik68wvpeDxk5RBRKJrirXFfPp8PqazWK9YtfXMtYrvy2D/UIVh&#10;ymLSieqaRUaevXpFZRT3EEDGGQdTgJSKi6wB1czL39Q8tMyJrAWbE9zUpvD/aPnHbuOJamq6OMdR&#10;WWZwSPfQ2R/fSXDwzSrOSHJho3oXKsRf2Y1PUvlgH9wd8KeAvuIXZzKCG2GD9IZIrdxX3I/cI1RN&#10;hjyC3TQCMUTC8XFZXiw/LHBSHH1ny4szvCd6ViWelNb5EG8FGJIuNdXKphaxinV3IY7QAyQ9a5vO&#10;AFo1N0rrbKTlElfak47hWsRhvk/xAoUJU2SWNSrJmuJOi5H1XkhsG1Y8asoLe+Rsng6c2iIyhUjM&#10;PgWVueQ/Bu2xKUzkJf7bwAmdM4KNU6BRFvxbWY/y5Yg/qB61JtmP0Ow2/jBl3MQ8kP2vSav+0s7h&#10;x7+9/gkAAP//AwBQSwMEFAAGAAgAAAAhAGWLwd/dAAAABwEAAA8AAABkcnMvZG93bnJldi54bWxM&#10;jsFqwzAQRO+F/oPYQm+JFLeY1LEcSiGh9BY3UHqTLdkysVbGUhynX9/tqTkNwwwzL9/OrmeTGUPn&#10;UcJqKYAZrL3usJVw/Nwt1sBCVKhV79FIuJoA2+L+LleZ9hc8mKmMLaMRDJmSYGMcMs5DbY1TYekH&#10;g5Q1fnQqkh1brkd1oXHX80SIlDvVIT1YNZg3a+pTeXYSdlVz/f7Zf70nzT6xp4+n42EqhZSPD/Pr&#10;Blg0c/wvwx8+oUNBTJU/ow6sl7BIU2qSJsAofl4L8pWE9EUAL3J+y1/8AgAA//8DAFBLAQItABQA&#10;BgAIAAAAIQC2gziS/gAAAOEBAAATAAAAAAAAAAAAAAAAAAAAAABbQ29udGVudF9UeXBlc10ueG1s&#10;UEsBAi0AFAAGAAgAAAAhADj9If/WAAAAlAEAAAsAAAAAAAAAAAAAAAAALwEAAF9yZWxzLy5yZWxz&#10;UEsBAi0AFAAGAAgAAAAhAE1F3hDsAQAAIwQAAA4AAAAAAAAAAAAAAAAALgIAAGRycy9lMm9Eb2Mu&#10;eG1sUEsBAi0AFAAGAAgAAAAhAGWLwd/dAAAABwEAAA8AAAAAAAAAAAAAAAAARgQAAGRycy9kb3du&#10;cmV2LnhtbFBLBQYAAAAABAAEAPMAAABQBQAAAAA=&#10;" strokecolor="black [3213]">
                      <o:lock v:ext="edit" shapetype="f"/>
                    </v:line>
                  </w:pict>
                </mc:Fallback>
              </mc:AlternateContent>
            </w:r>
          </w:p>
        </w:tc>
        <w:tc>
          <w:tcPr>
            <w:tcW w:w="2551" w:type="dxa"/>
            <w:tcBorders>
              <w:top w:val="single" w:sz="18" w:space="0" w:color="auto"/>
              <w:left w:val="single" w:sz="4" w:space="0" w:color="auto"/>
              <w:bottom w:val="single" w:sz="4" w:space="0" w:color="auto"/>
              <w:right w:val="nil"/>
            </w:tcBorders>
            <w:shd w:val="clear" w:color="auto" w:fill="auto"/>
            <w:vAlign w:val="center"/>
          </w:tcPr>
          <w:p w:rsidR="00847019" w:rsidRPr="00847019" w:rsidRDefault="00392C1B" w:rsidP="0068555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18</w:t>
            </w:r>
            <w:r w:rsidR="00847019" w:rsidRPr="00847019">
              <w:rPr>
                <w:rFonts w:ascii="Times New Roman" w:eastAsia="Times New Roman" w:hAnsi="Times New Roman" w:cs="Times New Roman"/>
                <w:b/>
                <w:color w:val="000000"/>
                <w:sz w:val="20"/>
                <w:szCs w:val="20"/>
              </w:rPr>
              <w:t xml:space="preserve"> </w:t>
            </w:r>
            <w:r w:rsidR="00D652DF">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74</w:t>
            </w:r>
          </w:p>
        </w:tc>
      </w:tr>
    </w:tbl>
    <w:p w:rsidR="003D6938" w:rsidRDefault="003D6938" w:rsidP="003D6938">
      <w:pPr>
        <w:spacing w:after="0" w:line="240" w:lineRule="auto"/>
        <w:jc w:val="both"/>
        <w:rPr>
          <w:rFonts w:ascii="Times New Roman" w:hAnsi="Times New Roman" w:cs="Times New Roman"/>
          <w:sz w:val="24"/>
          <w:szCs w:val="24"/>
        </w:rPr>
      </w:pPr>
    </w:p>
    <w:p w:rsidR="003D6938" w:rsidRPr="003D6938" w:rsidRDefault="003D6938" w:rsidP="003D6938">
      <w:pPr>
        <w:spacing w:after="0" w:line="240" w:lineRule="auto"/>
        <w:jc w:val="both"/>
        <w:rPr>
          <w:rFonts w:ascii="Times New Roman" w:hAnsi="Times New Roman" w:cs="Times New Roman"/>
          <w:sz w:val="24"/>
          <w:szCs w:val="24"/>
        </w:rPr>
      </w:pPr>
    </w:p>
    <w:p w:rsidR="0028430F" w:rsidRDefault="007249D2" w:rsidP="000D68DC">
      <w:pPr>
        <w:pStyle w:val="Nadpis2"/>
        <w:numPr>
          <w:ilvl w:val="1"/>
          <w:numId w:val="8"/>
        </w:numPr>
      </w:pPr>
      <w:bookmarkStart w:id="60" w:name="_Toc359550681"/>
      <w:r>
        <w:t xml:space="preserve">Rozvoj </w:t>
      </w:r>
      <w:r w:rsidR="00DD0BB5">
        <w:t>vidieka</w:t>
      </w:r>
      <w:r>
        <w:t xml:space="preserve"> v o</w:t>
      </w:r>
      <w:r w:rsidR="0028430F">
        <w:t>blasti</w:t>
      </w:r>
      <w:r>
        <w:t>ach</w:t>
      </w:r>
      <w:r w:rsidR="0028430F">
        <w:t xml:space="preserve"> pôdohospodárstva, ktoré aktivujú vnútroregionálny dopyt po špecifických tovaroch a službách</w:t>
      </w:r>
      <w:bookmarkEnd w:id="60"/>
    </w:p>
    <w:p w:rsidR="0028430F" w:rsidRPr="00F27A4D" w:rsidRDefault="0028430F" w:rsidP="00F27A4D">
      <w:pPr>
        <w:spacing w:after="0" w:line="240" w:lineRule="auto"/>
        <w:jc w:val="both"/>
        <w:rPr>
          <w:rFonts w:ascii="Times New Roman" w:hAnsi="Times New Roman" w:cs="Times New Roman"/>
          <w:sz w:val="24"/>
          <w:szCs w:val="24"/>
        </w:rPr>
      </w:pPr>
    </w:p>
    <w:p w:rsidR="001728E6" w:rsidRDefault="00201985" w:rsidP="00F27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pohľadu rozvoja zamestnanosti v pôdohospodárstve je dôležité uvažovať nielen s produkčne nosnými činnosťami v jednotlivých oblastiach pôdohospodárstva ale aj s činnosťami,</w:t>
      </w:r>
      <w:r w:rsidRPr="00201985">
        <w:rPr>
          <w:rFonts w:ascii="Times New Roman" w:hAnsi="Times New Roman" w:cs="Times New Roman"/>
          <w:sz w:val="24"/>
          <w:szCs w:val="24"/>
        </w:rPr>
        <w:t xml:space="preserve"> ktoré </w:t>
      </w:r>
      <w:r>
        <w:rPr>
          <w:rFonts w:ascii="Times New Roman" w:hAnsi="Times New Roman" w:cs="Times New Roman"/>
          <w:sz w:val="24"/>
          <w:szCs w:val="24"/>
        </w:rPr>
        <w:t xml:space="preserve">síce </w:t>
      </w:r>
      <w:r w:rsidRPr="00201985">
        <w:rPr>
          <w:rFonts w:ascii="Times New Roman" w:hAnsi="Times New Roman" w:cs="Times New Roman"/>
          <w:sz w:val="24"/>
          <w:szCs w:val="24"/>
        </w:rPr>
        <w:t>nie sú z pohľadu produkčných schopností určujúce ale vo väzbe na ďalšie činnosti budú aktivovať vnútroregionálny dopyt po špecifických tovaroch a</w:t>
      </w:r>
      <w:r>
        <w:rPr>
          <w:rFonts w:ascii="Times New Roman" w:hAnsi="Times New Roman" w:cs="Times New Roman"/>
          <w:sz w:val="24"/>
          <w:szCs w:val="24"/>
        </w:rPr>
        <w:t> </w:t>
      </w:r>
      <w:r w:rsidRPr="00201985">
        <w:rPr>
          <w:rFonts w:ascii="Times New Roman" w:hAnsi="Times New Roman" w:cs="Times New Roman"/>
          <w:sz w:val="24"/>
          <w:szCs w:val="24"/>
        </w:rPr>
        <w:t>službách</w:t>
      </w:r>
      <w:r>
        <w:rPr>
          <w:rFonts w:ascii="Times New Roman" w:hAnsi="Times New Roman" w:cs="Times New Roman"/>
          <w:sz w:val="24"/>
          <w:szCs w:val="24"/>
        </w:rPr>
        <w:t xml:space="preserve">. </w:t>
      </w:r>
    </w:p>
    <w:p w:rsidR="001728E6" w:rsidRDefault="001728E6" w:rsidP="00F27A4D">
      <w:pPr>
        <w:spacing w:after="0" w:line="240" w:lineRule="auto"/>
        <w:jc w:val="both"/>
        <w:rPr>
          <w:rFonts w:ascii="Times New Roman" w:hAnsi="Times New Roman" w:cs="Times New Roman"/>
          <w:sz w:val="24"/>
          <w:szCs w:val="24"/>
        </w:rPr>
      </w:pPr>
    </w:p>
    <w:p w:rsidR="00F26357" w:rsidRDefault="00201985" w:rsidP="00F27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Takéto tovary a služby v sebe nesú vysokú pridanú hodnotu a svojou podstatou aktivizujú spotrebiteľa, ktorý má záujem o tovary a služby špecializovanej rastlinnej a živočíšnej výroby a využívať efekty plynúce zo špecializovaných lesníckych činností. Primárny efekt rozvoja týchto špecializovaných činností sa takto neprejaví v smere prudkého zvýšenia prvovýrobnej produkcie alebo spracovania, ale vo zvýšených príjmoch z cestovného ruchu a vo zvýšenej spotrebe </w:t>
      </w:r>
      <w:r w:rsidR="001728E6">
        <w:rPr>
          <w:rFonts w:ascii="Times New Roman" w:hAnsi="Times New Roman" w:cs="Times New Roman"/>
          <w:sz w:val="24"/>
          <w:szCs w:val="24"/>
        </w:rPr>
        <w:t xml:space="preserve">špecializovaných produktov rastlinnej a živočíšnej výroby. </w:t>
      </w:r>
    </w:p>
    <w:p w:rsidR="00E70B36" w:rsidRPr="00F27A4D" w:rsidRDefault="00E70B36" w:rsidP="00F27A4D">
      <w:pPr>
        <w:spacing w:after="0" w:line="240" w:lineRule="auto"/>
        <w:jc w:val="both"/>
        <w:rPr>
          <w:rFonts w:ascii="Times New Roman" w:hAnsi="Times New Roman" w:cs="Times New Roman"/>
          <w:sz w:val="24"/>
          <w:szCs w:val="24"/>
        </w:rPr>
      </w:pPr>
    </w:p>
    <w:p w:rsidR="0028430F" w:rsidRDefault="007249D2" w:rsidP="000D68DC">
      <w:pPr>
        <w:pStyle w:val="Nadpis3"/>
        <w:numPr>
          <w:ilvl w:val="2"/>
          <w:numId w:val="8"/>
        </w:numPr>
      </w:pPr>
      <w:bookmarkStart w:id="61" w:name="_Toc359550682"/>
      <w:r>
        <w:lastRenderedPageBreak/>
        <w:t xml:space="preserve">Rozvoj </w:t>
      </w:r>
      <w:r w:rsidR="003F7254">
        <w:t>vidieka</w:t>
      </w:r>
      <w:r>
        <w:t xml:space="preserve"> v špecializovanej živočíšnej</w:t>
      </w:r>
      <w:r w:rsidR="0028430F">
        <w:t xml:space="preserve"> výrob</w:t>
      </w:r>
      <w:r>
        <w:t>e</w:t>
      </w:r>
      <w:bookmarkEnd w:id="61"/>
    </w:p>
    <w:p w:rsidR="0028430F" w:rsidRDefault="0028430F" w:rsidP="001728E6">
      <w:pPr>
        <w:spacing w:after="0" w:line="240" w:lineRule="auto"/>
        <w:jc w:val="both"/>
        <w:rPr>
          <w:rFonts w:ascii="Times New Roman" w:hAnsi="Times New Roman" w:cs="Times New Roman"/>
          <w:sz w:val="24"/>
          <w:szCs w:val="24"/>
        </w:rPr>
      </w:pPr>
    </w:p>
    <w:p w:rsidR="001728E6" w:rsidRDefault="0067591E" w:rsidP="00172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Špecializovaná živočíšna výroba </w:t>
      </w:r>
      <w:r w:rsidR="00F26357">
        <w:rPr>
          <w:rFonts w:ascii="Times New Roman" w:hAnsi="Times New Roman" w:cs="Times New Roman"/>
          <w:sz w:val="24"/>
          <w:szCs w:val="24"/>
        </w:rPr>
        <w:t xml:space="preserve">a jej rozvoj v sebe nesie dva hlavné pozitívne dosahy, a to v prvom rade vysokú pridanú hodnotu a nezanedbateľný </w:t>
      </w:r>
      <w:r w:rsidR="00DD0BB5">
        <w:rPr>
          <w:rFonts w:ascii="Times New Roman" w:hAnsi="Times New Roman" w:cs="Times New Roman"/>
          <w:sz w:val="24"/>
          <w:szCs w:val="24"/>
        </w:rPr>
        <w:t xml:space="preserve">sekundárny </w:t>
      </w:r>
      <w:r w:rsidR="00F26357">
        <w:rPr>
          <w:rFonts w:ascii="Times New Roman" w:hAnsi="Times New Roman" w:cs="Times New Roman"/>
          <w:sz w:val="24"/>
          <w:szCs w:val="24"/>
        </w:rPr>
        <w:t>prínos v raste zamestnanosti. Súčasne jej rozvoj umožní vo väčšej miere uspokojiť špecifický domáci dopyt najmä po produktoch zdravej výživy a </w:t>
      </w:r>
      <w:proofErr w:type="spellStart"/>
      <w:r w:rsidR="00F26357">
        <w:rPr>
          <w:rFonts w:ascii="Times New Roman" w:hAnsi="Times New Roman" w:cs="Times New Roman"/>
          <w:sz w:val="24"/>
          <w:szCs w:val="24"/>
        </w:rPr>
        <w:t>maloprodukčných</w:t>
      </w:r>
      <w:proofErr w:type="spellEnd"/>
      <w:r w:rsidR="00F26357">
        <w:rPr>
          <w:rFonts w:ascii="Times New Roman" w:hAnsi="Times New Roman" w:cs="Times New Roman"/>
          <w:sz w:val="24"/>
          <w:szCs w:val="24"/>
        </w:rPr>
        <w:t xml:space="preserve"> produktoch. Ako prioritné z hľadiska rozvoja špecializovanej živočíšnej výroby boli identifikované nasledovné komodity:</w:t>
      </w:r>
    </w:p>
    <w:p w:rsidR="0067591E" w:rsidRDefault="0067591E" w:rsidP="001728E6">
      <w:pPr>
        <w:spacing w:after="0" w:line="240" w:lineRule="auto"/>
        <w:jc w:val="both"/>
        <w:rPr>
          <w:rFonts w:ascii="Times New Roman" w:hAnsi="Times New Roman" w:cs="Times New Roman"/>
          <w:sz w:val="24"/>
          <w:szCs w:val="24"/>
        </w:rPr>
      </w:pPr>
    </w:p>
    <w:p w:rsidR="001728E6" w:rsidRPr="00F26357" w:rsidRDefault="00F26357" w:rsidP="000D68DC">
      <w:pPr>
        <w:pStyle w:val="Odsekzoznamu"/>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1728E6" w:rsidRPr="00F26357">
        <w:rPr>
          <w:rFonts w:ascii="Times New Roman" w:hAnsi="Times New Roman" w:cs="Times New Roman"/>
          <w:sz w:val="24"/>
          <w:szCs w:val="24"/>
        </w:rPr>
        <w:t>včie mlieko a výrobky z</w:t>
      </w:r>
      <w:r>
        <w:rPr>
          <w:rFonts w:ascii="Times New Roman" w:hAnsi="Times New Roman" w:cs="Times New Roman"/>
          <w:sz w:val="24"/>
          <w:szCs w:val="24"/>
        </w:rPr>
        <w:t> </w:t>
      </w:r>
      <w:r w:rsidR="001728E6" w:rsidRPr="00F26357">
        <w:rPr>
          <w:rFonts w:ascii="Times New Roman" w:hAnsi="Times New Roman" w:cs="Times New Roman"/>
          <w:sz w:val="24"/>
          <w:szCs w:val="24"/>
        </w:rPr>
        <w:t>neho</w:t>
      </w:r>
      <w:r>
        <w:rPr>
          <w:rFonts w:ascii="Times New Roman" w:hAnsi="Times New Roman" w:cs="Times New Roman"/>
          <w:sz w:val="24"/>
          <w:szCs w:val="24"/>
        </w:rPr>
        <w:t>;</w:t>
      </w:r>
    </w:p>
    <w:p w:rsidR="00F26357" w:rsidRPr="00F26357" w:rsidRDefault="00F26357" w:rsidP="000D68DC">
      <w:pPr>
        <w:pStyle w:val="Odsekzoznamu"/>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1728E6" w:rsidRPr="00F26357">
        <w:rPr>
          <w:rFonts w:ascii="Times New Roman" w:hAnsi="Times New Roman" w:cs="Times New Roman"/>
          <w:sz w:val="24"/>
          <w:szCs w:val="24"/>
        </w:rPr>
        <w:t>ozie</w:t>
      </w:r>
      <w:r w:rsidRPr="00F26357">
        <w:rPr>
          <w:rFonts w:ascii="Times New Roman" w:hAnsi="Times New Roman" w:cs="Times New Roman"/>
          <w:sz w:val="24"/>
          <w:szCs w:val="24"/>
        </w:rPr>
        <w:t xml:space="preserve"> mlieko</w:t>
      </w:r>
      <w:r>
        <w:rPr>
          <w:rFonts w:ascii="Times New Roman" w:hAnsi="Times New Roman" w:cs="Times New Roman"/>
          <w:sz w:val="24"/>
          <w:szCs w:val="24"/>
        </w:rPr>
        <w:t>;</w:t>
      </w:r>
      <w:r w:rsidR="004D005A">
        <w:rPr>
          <w:rFonts w:ascii="Times New Roman" w:hAnsi="Times New Roman" w:cs="Times New Roman"/>
          <w:sz w:val="24"/>
          <w:szCs w:val="24"/>
        </w:rPr>
        <w:t xml:space="preserve"> </w:t>
      </w:r>
    </w:p>
    <w:p w:rsidR="004D005A" w:rsidRPr="004D005A" w:rsidRDefault="004D005A" w:rsidP="004D005A">
      <w:pPr>
        <w:pStyle w:val="Odsekzoznamu"/>
        <w:numPr>
          <w:ilvl w:val="0"/>
          <w:numId w:val="17"/>
        </w:numPr>
        <w:rPr>
          <w:rFonts w:ascii="Times New Roman" w:hAnsi="Times New Roman" w:cs="Times New Roman"/>
          <w:sz w:val="24"/>
          <w:szCs w:val="24"/>
        </w:rPr>
      </w:pPr>
      <w:r>
        <w:rPr>
          <w:rFonts w:ascii="Times New Roman" w:hAnsi="Times New Roman" w:cs="Times New Roman"/>
          <w:sz w:val="24"/>
          <w:szCs w:val="24"/>
        </w:rPr>
        <w:t>chov králikov a produkty z nich; a</w:t>
      </w:r>
    </w:p>
    <w:p w:rsidR="00F26357" w:rsidRDefault="00BF15D3" w:rsidP="000D68DC">
      <w:pPr>
        <w:pStyle w:val="Odsekzoznamu"/>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produkty </w:t>
      </w:r>
      <w:proofErr w:type="spellStart"/>
      <w:r>
        <w:rPr>
          <w:rFonts w:ascii="Times New Roman" w:hAnsi="Times New Roman" w:cs="Times New Roman"/>
          <w:sz w:val="24"/>
          <w:szCs w:val="24"/>
        </w:rPr>
        <w:t>akvakultúry</w:t>
      </w:r>
      <w:proofErr w:type="spellEnd"/>
      <w:r w:rsidR="004D005A">
        <w:rPr>
          <w:rFonts w:ascii="Times New Roman" w:hAnsi="Times New Roman" w:cs="Times New Roman"/>
          <w:sz w:val="24"/>
          <w:szCs w:val="24"/>
        </w:rPr>
        <w:t>.</w:t>
      </w:r>
    </w:p>
    <w:p w:rsidR="004D005A" w:rsidRPr="004D005A" w:rsidRDefault="004D005A" w:rsidP="004D005A">
      <w:pPr>
        <w:spacing w:after="0" w:line="240" w:lineRule="auto"/>
        <w:jc w:val="both"/>
        <w:rPr>
          <w:rFonts w:ascii="Times New Roman" w:hAnsi="Times New Roman" w:cs="Times New Roman"/>
          <w:sz w:val="24"/>
          <w:szCs w:val="24"/>
        </w:rPr>
      </w:pPr>
    </w:p>
    <w:p w:rsidR="00903645" w:rsidRDefault="00903645" w:rsidP="000D68DC">
      <w:pPr>
        <w:pStyle w:val="Nadpis3"/>
        <w:numPr>
          <w:ilvl w:val="3"/>
          <w:numId w:val="8"/>
        </w:numPr>
        <w:rPr>
          <w:rFonts w:cs="Times New Roman"/>
          <w:szCs w:val="24"/>
        </w:rPr>
      </w:pPr>
      <w:bookmarkStart w:id="62" w:name="_Toc359550683"/>
      <w:r>
        <w:rPr>
          <w:rFonts w:cs="Times New Roman"/>
          <w:b w:val="0"/>
          <w:szCs w:val="24"/>
          <w:u w:val="single"/>
        </w:rPr>
        <w:t>Ovčie mlieko a výrobky z neho</w:t>
      </w:r>
      <w:bookmarkEnd w:id="62"/>
    </w:p>
    <w:p w:rsidR="00903645" w:rsidRDefault="00903645" w:rsidP="001728E6">
      <w:pPr>
        <w:spacing w:after="0" w:line="240" w:lineRule="auto"/>
        <w:jc w:val="both"/>
        <w:rPr>
          <w:rFonts w:ascii="Times New Roman" w:hAnsi="Times New Roman" w:cs="Times New Roman"/>
          <w:sz w:val="24"/>
          <w:szCs w:val="24"/>
        </w:rPr>
      </w:pPr>
    </w:p>
    <w:p w:rsidR="001728E6" w:rsidRDefault="0031388F" w:rsidP="00172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Produkcia ovčieho mlieka je v súčasnosti na úrovni 10 </w:t>
      </w:r>
      <w:r w:rsidR="00501E9B">
        <w:rPr>
          <w:rFonts w:ascii="Times New Roman" w:hAnsi="Times New Roman" w:cs="Times New Roman"/>
          <w:sz w:val="24"/>
          <w:szCs w:val="24"/>
        </w:rPr>
        <w:t>293</w:t>
      </w:r>
      <w:r>
        <w:rPr>
          <w:rFonts w:ascii="Times New Roman" w:hAnsi="Times New Roman" w:cs="Times New Roman"/>
          <w:sz w:val="24"/>
          <w:szCs w:val="24"/>
        </w:rPr>
        <w:t xml:space="preserve"> tis. kg</w:t>
      </w:r>
      <w:r w:rsidR="00501E9B">
        <w:rPr>
          <w:rFonts w:ascii="Times New Roman" w:hAnsi="Times New Roman" w:cs="Times New Roman"/>
          <w:sz w:val="24"/>
          <w:szCs w:val="24"/>
        </w:rPr>
        <w:t>, z čoho produkcia organizácií v registri fariem predstavuje</w:t>
      </w:r>
      <w:r w:rsidR="00EB3B6F">
        <w:rPr>
          <w:rFonts w:ascii="Times New Roman" w:hAnsi="Times New Roman" w:cs="Times New Roman"/>
          <w:sz w:val="24"/>
          <w:szCs w:val="24"/>
        </w:rPr>
        <w:t xml:space="preserve"> </w:t>
      </w:r>
      <w:r w:rsidR="00501E9B">
        <w:rPr>
          <w:rFonts w:ascii="Times New Roman" w:hAnsi="Times New Roman" w:cs="Times New Roman"/>
          <w:sz w:val="24"/>
          <w:szCs w:val="24"/>
        </w:rPr>
        <w:t xml:space="preserve">cca 90 %. Zvyšok produkcie v objeme 1 000 tis. kg predstavuje produkciu drobnochovateľov. </w:t>
      </w:r>
    </w:p>
    <w:p w:rsidR="00501E9B" w:rsidRDefault="00501E9B" w:rsidP="001728E6">
      <w:pPr>
        <w:spacing w:after="0" w:line="240" w:lineRule="auto"/>
        <w:jc w:val="both"/>
        <w:rPr>
          <w:rFonts w:ascii="Times New Roman" w:hAnsi="Times New Roman" w:cs="Times New Roman"/>
          <w:sz w:val="24"/>
          <w:szCs w:val="24"/>
        </w:rPr>
      </w:pPr>
    </w:p>
    <w:p w:rsidR="00D51273" w:rsidRPr="00D51273" w:rsidRDefault="00C970F8" w:rsidP="001728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63</w:t>
      </w:r>
      <w:r w:rsidR="00D51273" w:rsidRPr="00155936">
        <w:rPr>
          <w:rFonts w:ascii="Times New Roman" w:hAnsi="Times New Roman" w:cs="Times New Roman"/>
          <w:sz w:val="20"/>
          <w:szCs w:val="20"/>
        </w:rPr>
        <w:t>:</w:t>
      </w:r>
      <w:r w:rsidR="00D51273">
        <w:rPr>
          <w:rFonts w:ascii="Times New Roman" w:hAnsi="Times New Roman" w:cs="Times New Roman"/>
          <w:sz w:val="20"/>
          <w:szCs w:val="20"/>
        </w:rPr>
        <w:t>Vývoj produkcie a predaja ovčieho mlieka</w:t>
      </w:r>
    </w:p>
    <w:p w:rsidR="00501E9B" w:rsidRDefault="00D51273" w:rsidP="001728E6">
      <w:pPr>
        <w:spacing w:after="0" w:line="240" w:lineRule="auto"/>
        <w:jc w:val="both"/>
        <w:rPr>
          <w:rFonts w:ascii="Times New Roman" w:hAnsi="Times New Roman" w:cs="Times New Roman"/>
          <w:sz w:val="24"/>
          <w:szCs w:val="24"/>
        </w:rPr>
      </w:pPr>
      <w:r w:rsidRPr="00D51273">
        <w:rPr>
          <w:rFonts w:ascii="Times New Roman" w:hAnsi="Times New Roman" w:cs="Times New Roman"/>
          <w:noProof/>
          <w:sz w:val="24"/>
          <w:szCs w:val="24"/>
        </w:rPr>
        <w:drawing>
          <wp:inline distT="0" distB="0" distL="0" distR="0" wp14:anchorId="09D760F8" wp14:editId="26AFB568">
            <wp:extent cx="5464454" cy="1997050"/>
            <wp:effectExtent l="0" t="0" r="0" b="3810"/>
            <wp:docPr id="6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D51273" w:rsidRPr="00C431FF" w:rsidRDefault="00D51273" w:rsidP="00D5127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D51273" w:rsidRDefault="00D51273" w:rsidP="001728E6">
      <w:pPr>
        <w:spacing w:after="0" w:line="240" w:lineRule="auto"/>
        <w:jc w:val="both"/>
        <w:rPr>
          <w:rFonts w:ascii="Times New Roman" w:hAnsi="Times New Roman" w:cs="Times New Roman"/>
          <w:sz w:val="24"/>
          <w:szCs w:val="24"/>
        </w:rPr>
      </w:pPr>
    </w:p>
    <w:p w:rsidR="001728E6" w:rsidRDefault="00D51273" w:rsidP="00172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Celková produkcia ovčieho mlieka je stabilná, rovnako ako objem jeho predaja, čo je primárnym dôsledkom relatívne stabilnej spotreby ovčieho mlieka na obyvateľa.</w:t>
      </w:r>
    </w:p>
    <w:p w:rsidR="00E70B36" w:rsidRDefault="00E70B36" w:rsidP="001728E6">
      <w:pPr>
        <w:spacing w:after="0" w:line="240" w:lineRule="auto"/>
        <w:jc w:val="both"/>
        <w:rPr>
          <w:rFonts w:ascii="Times New Roman" w:hAnsi="Times New Roman" w:cs="Times New Roman"/>
          <w:sz w:val="24"/>
          <w:szCs w:val="24"/>
        </w:rPr>
      </w:pPr>
    </w:p>
    <w:p w:rsidR="00B87C5C" w:rsidRPr="00B87C5C" w:rsidRDefault="00C970F8" w:rsidP="001728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64</w:t>
      </w:r>
      <w:r w:rsidR="00B87C5C" w:rsidRPr="00155936">
        <w:rPr>
          <w:rFonts w:ascii="Times New Roman" w:hAnsi="Times New Roman" w:cs="Times New Roman"/>
          <w:sz w:val="20"/>
          <w:szCs w:val="20"/>
        </w:rPr>
        <w:t>:</w:t>
      </w:r>
      <w:r w:rsidR="00B87C5C">
        <w:rPr>
          <w:rFonts w:ascii="Times New Roman" w:hAnsi="Times New Roman" w:cs="Times New Roman"/>
          <w:sz w:val="20"/>
          <w:szCs w:val="20"/>
        </w:rPr>
        <w:t>Vývoj spotreby ovčieho mlieka na obyvateľa v kg za rok</w:t>
      </w:r>
    </w:p>
    <w:p w:rsidR="00D51273" w:rsidRPr="001728E6" w:rsidRDefault="00B87C5C" w:rsidP="001728E6">
      <w:pPr>
        <w:spacing w:after="0" w:line="240" w:lineRule="auto"/>
        <w:jc w:val="both"/>
        <w:rPr>
          <w:rFonts w:ascii="Times New Roman" w:hAnsi="Times New Roman" w:cs="Times New Roman"/>
          <w:sz w:val="24"/>
          <w:szCs w:val="24"/>
        </w:rPr>
      </w:pPr>
      <w:r w:rsidRPr="00B87C5C">
        <w:rPr>
          <w:rFonts w:ascii="Times New Roman" w:hAnsi="Times New Roman" w:cs="Times New Roman"/>
          <w:noProof/>
          <w:sz w:val="24"/>
          <w:szCs w:val="24"/>
        </w:rPr>
        <w:drawing>
          <wp:inline distT="0" distB="0" distL="0" distR="0" wp14:anchorId="3DCF154F" wp14:editId="4C715493">
            <wp:extent cx="5694218" cy="1537855"/>
            <wp:effectExtent l="0" t="0" r="0" b="0"/>
            <wp:docPr id="62"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B87C5C" w:rsidRPr="00C431FF" w:rsidRDefault="00B87C5C" w:rsidP="00B87C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1728E6" w:rsidRDefault="00B87C5C" w:rsidP="00172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Špecifický charakter tohto produktu dokumentuje aj fakt, že dopyt po ovčom mlieku nie je senzitívn</w:t>
      </w:r>
      <w:r w:rsidR="002910E9">
        <w:rPr>
          <w:rFonts w:ascii="Times New Roman" w:hAnsi="Times New Roman" w:cs="Times New Roman"/>
          <w:sz w:val="24"/>
          <w:szCs w:val="24"/>
        </w:rPr>
        <w:t xml:space="preserve">y na cenu. Cena 1 litra ovčieho mlieka stúpla v strednodobom horizonte </w:t>
      </w:r>
      <w:r w:rsidR="00456FC2">
        <w:rPr>
          <w:rFonts w:ascii="Times New Roman" w:hAnsi="Times New Roman" w:cs="Times New Roman"/>
          <w:sz w:val="24"/>
          <w:szCs w:val="24"/>
        </w:rPr>
        <w:t>20,8 %, zatiaľ čo jeho spotreba na obyvateľa zostala na úrovni roku 2002, t.j. 1,6 kg (l) na obyvateľa za rok.</w:t>
      </w:r>
    </w:p>
    <w:p w:rsidR="00456FC2" w:rsidRDefault="00456FC2" w:rsidP="001728E6">
      <w:pPr>
        <w:spacing w:after="0" w:line="240" w:lineRule="auto"/>
        <w:jc w:val="both"/>
        <w:rPr>
          <w:rFonts w:ascii="Times New Roman" w:hAnsi="Times New Roman" w:cs="Times New Roman"/>
          <w:sz w:val="24"/>
          <w:szCs w:val="24"/>
        </w:rPr>
      </w:pPr>
    </w:p>
    <w:p w:rsidR="00456FC2" w:rsidRPr="00456FC2" w:rsidRDefault="00C970F8" w:rsidP="001728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65</w:t>
      </w:r>
      <w:r w:rsidR="00456FC2" w:rsidRPr="00155936">
        <w:rPr>
          <w:rFonts w:ascii="Times New Roman" w:hAnsi="Times New Roman" w:cs="Times New Roman"/>
          <w:sz w:val="20"/>
          <w:szCs w:val="20"/>
        </w:rPr>
        <w:t>:</w:t>
      </w:r>
      <w:r w:rsidR="00456FC2">
        <w:rPr>
          <w:rFonts w:ascii="Times New Roman" w:hAnsi="Times New Roman" w:cs="Times New Roman"/>
          <w:sz w:val="20"/>
          <w:szCs w:val="20"/>
        </w:rPr>
        <w:t>Vývoj priemernej ceny ovčieho mlieka v EUR/l (kg)</w:t>
      </w:r>
    </w:p>
    <w:p w:rsidR="00456FC2" w:rsidRDefault="00456FC2" w:rsidP="001728E6">
      <w:pPr>
        <w:spacing w:after="0" w:line="240" w:lineRule="auto"/>
        <w:jc w:val="both"/>
        <w:rPr>
          <w:rFonts w:ascii="Times New Roman" w:hAnsi="Times New Roman" w:cs="Times New Roman"/>
          <w:sz w:val="24"/>
          <w:szCs w:val="24"/>
        </w:rPr>
      </w:pPr>
      <w:r w:rsidRPr="00456FC2">
        <w:rPr>
          <w:rFonts w:ascii="Times New Roman" w:hAnsi="Times New Roman" w:cs="Times New Roman"/>
          <w:noProof/>
          <w:sz w:val="24"/>
          <w:szCs w:val="24"/>
        </w:rPr>
        <w:drawing>
          <wp:inline distT="0" distB="0" distL="0" distR="0" wp14:anchorId="32C6579B" wp14:editId="7E1BA4BB">
            <wp:extent cx="5735781" cy="1852551"/>
            <wp:effectExtent l="0" t="0" r="0" b="0"/>
            <wp:docPr id="63"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56FC2" w:rsidRPr="00C431FF" w:rsidRDefault="00456FC2" w:rsidP="00456FC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456FC2" w:rsidRDefault="00456FC2" w:rsidP="001728E6">
      <w:pPr>
        <w:spacing w:after="0" w:line="240" w:lineRule="auto"/>
        <w:jc w:val="both"/>
        <w:rPr>
          <w:rFonts w:ascii="Times New Roman" w:hAnsi="Times New Roman" w:cs="Times New Roman"/>
          <w:sz w:val="24"/>
          <w:szCs w:val="24"/>
        </w:rPr>
      </w:pPr>
    </w:p>
    <w:p w:rsidR="00AF124A" w:rsidRDefault="00AF124A" w:rsidP="00172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základe vyššie uvedeného je možné konštatovať, že trh s ovčím mliekom je v rovnováhe, keďže takmer celá produkcia sa na trhu zrealizuje a cena </w:t>
      </w:r>
      <w:r w:rsidR="00F839C5">
        <w:rPr>
          <w:rFonts w:ascii="Times New Roman" w:hAnsi="Times New Roman" w:cs="Times New Roman"/>
          <w:sz w:val="24"/>
          <w:szCs w:val="24"/>
        </w:rPr>
        <w:t>nie je na</w:t>
      </w:r>
      <w:r>
        <w:rPr>
          <w:rFonts w:ascii="Times New Roman" w:hAnsi="Times New Roman" w:cs="Times New Roman"/>
          <w:sz w:val="24"/>
          <w:szCs w:val="24"/>
        </w:rPr>
        <w:t xml:space="preserve"> úrov</w:t>
      </w:r>
      <w:r w:rsidR="00F839C5">
        <w:rPr>
          <w:rFonts w:ascii="Times New Roman" w:hAnsi="Times New Roman" w:cs="Times New Roman"/>
          <w:sz w:val="24"/>
          <w:szCs w:val="24"/>
        </w:rPr>
        <w:t>ni</w:t>
      </w:r>
      <w:r>
        <w:rPr>
          <w:rFonts w:ascii="Times New Roman" w:hAnsi="Times New Roman" w:cs="Times New Roman"/>
          <w:sz w:val="24"/>
          <w:szCs w:val="24"/>
        </w:rPr>
        <w:t xml:space="preserve">, pri ktorej by sa dosiahol dopyt vykazujúci cenovú elasticitu. </w:t>
      </w:r>
    </w:p>
    <w:p w:rsidR="00F839C5" w:rsidRDefault="00F839C5" w:rsidP="001728E6">
      <w:pPr>
        <w:spacing w:after="0" w:line="240" w:lineRule="auto"/>
        <w:jc w:val="both"/>
        <w:rPr>
          <w:rFonts w:ascii="Times New Roman" w:hAnsi="Times New Roman" w:cs="Times New Roman"/>
          <w:sz w:val="24"/>
          <w:szCs w:val="24"/>
        </w:rPr>
      </w:pPr>
    </w:p>
    <w:p w:rsidR="00462984" w:rsidRDefault="002316F9" w:rsidP="00172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Stabilita počtov oviec a ich mliekovej úžitkovosti vytvára pozitívne predpoklady pre rast významu ovčiarstva v sektore agroturistiky. Dôležitými marketingovými a obchodnými artiklami pri podpore agroturistiky prostredníctvom rastu významu ovčiarstva sú výrobky z ovčieho </w:t>
      </w:r>
      <w:r w:rsidR="00685557">
        <w:rPr>
          <w:rFonts w:ascii="Times New Roman" w:hAnsi="Times New Roman" w:cs="Times New Roman"/>
          <w:sz w:val="24"/>
          <w:szCs w:val="24"/>
        </w:rPr>
        <w:t>mlieka</w:t>
      </w:r>
      <w:r>
        <w:rPr>
          <w:rFonts w:ascii="Times New Roman" w:hAnsi="Times New Roman" w:cs="Times New Roman"/>
          <w:sz w:val="24"/>
          <w:szCs w:val="24"/>
        </w:rPr>
        <w:t xml:space="preserve">, ktoré patria medzi značky </w:t>
      </w:r>
      <w:r w:rsidR="00462984" w:rsidRPr="00462984">
        <w:rPr>
          <w:rFonts w:ascii="Times New Roman" w:hAnsi="Times New Roman" w:cs="Times New Roman"/>
          <w:sz w:val="24"/>
          <w:szCs w:val="24"/>
        </w:rPr>
        <w:t>tradičných slovenských ovčiarskych produktov</w:t>
      </w:r>
      <w:r w:rsidR="00462984">
        <w:rPr>
          <w:rFonts w:ascii="Times New Roman" w:hAnsi="Times New Roman" w:cs="Times New Roman"/>
          <w:sz w:val="24"/>
          <w:szCs w:val="24"/>
        </w:rPr>
        <w:t>,</w:t>
      </w:r>
      <w:r w:rsidR="009A08B2">
        <w:rPr>
          <w:rFonts w:ascii="Times New Roman" w:hAnsi="Times New Roman" w:cs="Times New Roman"/>
          <w:sz w:val="24"/>
          <w:szCs w:val="24"/>
        </w:rPr>
        <w:t xml:space="preserve"> </w:t>
      </w:r>
      <w:r w:rsidR="00462984">
        <w:rPr>
          <w:rFonts w:ascii="Times New Roman" w:hAnsi="Times New Roman" w:cs="Times New Roman"/>
          <w:sz w:val="24"/>
          <w:szCs w:val="24"/>
        </w:rPr>
        <w:t xml:space="preserve">t.j. </w:t>
      </w:r>
      <w:r w:rsidR="00462984" w:rsidRPr="00462984">
        <w:rPr>
          <w:rFonts w:ascii="Times New Roman" w:hAnsi="Times New Roman" w:cs="Times New Roman"/>
          <w:sz w:val="24"/>
          <w:szCs w:val="24"/>
        </w:rPr>
        <w:t>bryndza</w:t>
      </w:r>
      <w:r w:rsidR="00462984">
        <w:rPr>
          <w:rFonts w:ascii="Times New Roman" w:hAnsi="Times New Roman" w:cs="Times New Roman"/>
          <w:sz w:val="24"/>
          <w:szCs w:val="24"/>
        </w:rPr>
        <w:t xml:space="preserve"> a ostatné ovčie syry. </w:t>
      </w:r>
      <w:r w:rsidR="009A08B2">
        <w:rPr>
          <w:rFonts w:ascii="Times New Roman" w:hAnsi="Times New Roman" w:cs="Times New Roman"/>
          <w:sz w:val="24"/>
          <w:szCs w:val="24"/>
        </w:rPr>
        <w:t>V tejto súvislosti je podstatné zastabilizovať domácu výrobu ovčieho mlieka a výrobkov z neho prostredníctvom odstránenia legislatívne náročných podmienok domáceho oficiálneho predaja.</w:t>
      </w:r>
    </w:p>
    <w:p w:rsidR="00462984" w:rsidRDefault="00462984" w:rsidP="001728E6">
      <w:pPr>
        <w:spacing w:after="0" w:line="240" w:lineRule="auto"/>
        <w:jc w:val="both"/>
        <w:rPr>
          <w:rFonts w:ascii="Times New Roman" w:hAnsi="Times New Roman" w:cs="Times New Roman"/>
          <w:sz w:val="24"/>
          <w:szCs w:val="24"/>
        </w:rPr>
      </w:pPr>
    </w:p>
    <w:p w:rsidR="00462984" w:rsidRDefault="00462984" w:rsidP="004629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súčasnosti však zaznamenávame v zahraničnom obchode s ovčími syrmi zápornú obchodnú aj platobnú bilanciu. V</w:t>
      </w:r>
      <w:r w:rsidRPr="00462984">
        <w:rPr>
          <w:rFonts w:ascii="Times New Roman" w:hAnsi="Times New Roman" w:cs="Times New Roman"/>
          <w:sz w:val="24"/>
          <w:szCs w:val="24"/>
        </w:rPr>
        <w:t xml:space="preserve"> roku 2011 na Slovensko doviezlo 87,3 ton ovčích syrov v celkovej hodnote 321,0 tis. EUR</w:t>
      </w:r>
      <w:r>
        <w:rPr>
          <w:rFonts w:ascii="Times New Roman" w:hAnsi="Times New Roman" w:cs="Times New Roman"/>
          <w:sz w:val="24"/>
          <w:szCs w:val="24"/>
        </w:rPr>
        <w:t>,</w:t>
      </w:r>
      <w:r w:rsidRPr="00462984">
        <w:rPr>
          <w:rFonts w:ascii="Times New Roman" w:hAnsi="Times New Roman" w:cs="Times New Roman"/>
          <w:sz w:val="24"/>
          <w:szCs w:val="24"/>
        </w:rPr>
        <w:t xml:space="preserve"> hlavne z Českej republiky. V rovnakom období sa z územia SR vyviezlo 50,8 ton ovčích syrov hlavne do Poľska a Českej republiky, v celkovej hodnote 194,2 tis. EUR.</w:t>
      </w:r>
    </w:p>
    <w:p w:rsidR="00E70B36" w:rsidRDefault="00E70B36" w:rsidP="001728E6">
      <w:pPr>
        <w:spacing w:after="0" w:line="240" w:lineRule="auto"/>
        <w:jc w:val="both"/>
        <w:rPr>
          <w:rFonts w:ascii="Times New Roman" w:hAnsi="Times New Roman" w:cs="Times New Roman"/>
          <w:sz w:val="24"/>
          <w:szCs w:val="24"/>
        </w:rPr>
      </w:pPr>
    </w:p>
    <w:p w:rsidR="00D02EDB" w:rsidRDefault="00462984" w:rsidP="00172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Hlavnou príčinou tejto zápornej bilancie je skutočnosť, že s</w:t>
      </w:r>
      <w:r w:rsidR="002316F9" w:rsidRPr="00462984">
        <w:rPr>
          <w:rFonts w:ascii="Times New Roman" w:hAnsi="Times New Roman" w:cs="Times New Roman"/>
          <w:sz w:val="24"/>
          <w:szCs w:val="24"/>
        </w:rPr>
        <w:t xml:space="preserve">a </w:t>
      </w:r>
      <w:r>
        <w:rPr>
          <w:rFonts w:ascii="Times New Roman" w:hAnsi="Times New Roman" w:cs="Times New Roman"/>
          <w:sz w:val="24"/>
          <w:szCs w:val="24"/>
        </w:rPr>
        <w:t xml:space="preserve">na </w:t>
      </w:r>
      <w:r w:rsidR="002316F9" w:rsidRPr="00462984">
        <w:rPr>
          <w:rFonts w:ascii="Times New Roman" w:hAnsi="Times New Roman" w:cs="Times New Roman"/>
          <w:sz w:val="24"/>
          <w:szCs w:val="24"/>
        </w:rPr>
        <w:t xml:space="preserve">Slovensku začali predávať výrobky </w:t>
      </w:r>
      <w:r w:rsidR="0090187B">
        <w:rPr>
          <w:rFonts w:ascii="Times New Roman" w:hAnsi="Times New Roman" w:cs="Times New Roman"/>
          <w:sz w:val="24"/>
          <w:szCs w:val="24"/>
        </w:rPr>
        <w:t xml:space="preserve">predovšetkým </w:t>
      </w:r>
      <w:r w:rsidR="002316F9" w:rsidRPr="00462984">
        <w:rPr>
          <w:rFonts w:ascii="Times New Roman" w:hAnsi="Times New Roman" w:cs="Times New Roman"/>
          <w:sz w:val="24"/>
          <w:szCs w:val="24"/>
        </w:rPr>
        <w:t>z Poľska, Česka i Maďarska označené ako bryndza. Sú však vyrábané často iba s min</w:t>
      </w:r>
      <w:r>
        <w:rPr>
          <w:rFonts w:ascii="Times New Roman" w:hAnsi="Times New Roman" w:cs="Times New Roman"/>
          <w:sz w:val="24"/>
          <w:szCs w:val="24"/>
        </w:rPr>
        <w:t>imálnym podielom ovčieho mlieka</w:t>
      </w:r>
      <w:r w:rsidR="002316F9" w:rsidRPr="00462984">
        <w:rPr>
          <w:rFonts w:ascii="Times New Roman" w:hAnsi="Times New Roman" w:cs="Times New Roman"/>
          <w:sz w:val="24"/>
          <w:szCs w:val="24"/>
        </w:rPr>
        <w:t xml:space="preserve">. </w:t>
      </w:r>
      <w:r w:rsidR="002316F9" w:rsidRPr="00987124">
        <w:rPr>
          <w:rFonts w:ascii="Times New Roman" w:hAnsi="Times New Roman" w:cs="Times New Roman"/>
          <w:sz w:val="24"/>
          <w:szCs w:val="24"/>
        </w:rPr>
        <w:t xml:space="preserve">V súčasnosti </w:t>
      </w:r>
      <w:r w:rsidRPr="00987124">
        <w:rPr>
          <w:rFonts w:ascii="Times New Roman" w:hAnsi="Times New Roman" w:cs="Times New Roman"/>
          <w:sz w:val="24"/>
          <w:szCs w:val="24"/>
        </w:rPr>
        <w:t>sa pracuje</w:t>
      </w:r>
      <w:r w:rsidR="002316F9" w:rsidRPr="00987124">
        <w:rPr>
          <w:rFonts w:ascii="Times New Roman" w:hAnsi="Times New Roman" w:cs="Times New Roman"/>
          <w:sz w:val="24"/>
          <w:szCs w:val="24"/>
        </w:rPr>
        <w:t xml:space="preserve"> na </w:t>
      </w:r>
      <w:r w:rsidR="004E47F4" w:rsidRPr="004E47F4">
        <w:rPr>
          <w:rFonts w:ascii="Times New Roman" w:hAnsi="Times New Roman" w:cs="Times New Roman"/>
          <w:sz w:val="24"/>
          <w:szCs w:val="24"/>
          <w:highlight w:val="yellow"/>
        </w:rPr>
        <w:t>presnejších</w:t>
      </w:r>
      <w:r w:rsidR="004E47F4">
        <w:rPr>
          <w:rFonts w:ascii="Times New Roman" w:hAnsi="Times New Roman" w:cs="Times New Roman"/>
          <w:sz w:val="24"/>
          <w:szCs w:val="24"/>
        </w:rPr>
        <w:t xml:space="preserve"> </w:t>
      </w:r>
      <w:r w:rsidR="002316F9" w:rsidRPr="00987124">
        <w:rPr>
          <w:rFonts w:ascii="Times New Roman" w:hAnsi="Times New Roman" w:cs="Times New Roman"/>
          <w:sz w:val="24"/>
          <w:szCs w:val="24"/>
        </w:rPr>
        <w:t xml:space="preserve">laboratórnych postupoch, ktorými </w:t>
      </w:r>
      <w:r w:rsidRPr="00987124">
        <w:rPr>
          <w:rFonts w:ascii="Times New Roman" w:hAnsi="Times New Roman" w:cs="Times New Roman"/>
          <w:sz w:val="24"/>
          <w:szCs w:val="24"/>
        </w:rPr>
        <w:t>bude možné</w:t>
      </w:r>
      <w:r w:rsidR="002316F9" w:rsidRPr="00987124">
        <w:rPr>
          <w:rFonts w:ascii="Times New Roman" w:hAnsi="Times New Roman" w:cs="Times New Roman"/>
          <w:sz w:val="24"/>
          <w:szCs w:val="24"/>
        </w:rPr>
        <w:t xml:space="preserve"> </w:t>
      </w:r>
      <w:r w:rsidR="004E47F4" w:rsidRPr="004E47F4">
        <w:rPr>
          <w:rFonts w:ascii="Times New Roman" w:hAnsi="Times New Roman" w:cs="Times New Roman"/>
          <w:sz w:val="24"/>
          <w:szCs w:val="24"/>
          <w:highlight w:val="yellow"/>
        </w:rPr>
        <w:t>lepšie</w:t>
      </w:r>
      <w:r w:rsidR="004E47F4">
        <w:rPr>
          <w:rFonts w:ascii="Times New Roman" w:hAnsi="Times New Roman" w:cs="Times New Roman"/>
          <w:sz w:val="24"/>
          <w:szCs w:val="24"/>
        </w:rPr>
        <w:t xml:space="preserve"> </w:t>
      </w:r>
      <w:r w:rsidR="002316F9" w:rsidRPr="00987124">
        <w:rPr>
          <w:rFonts w:ascii="Times New Roman" w:hAnsi="Times New Roman" w:cs="Times New Roman"/>
          <w:sz w:val="24"/>
          <w:szCs w:val="24"/>
        </w:rPr>
        <w:t xml:space="preserve">identifikovať v bryndzi jednotlivé druhy syrov. Tieto metódy budú po skončení skúšok akreditované a potom </w:t>
      </w:r>
      <w:r w:rsidR="00E70B36" w:rsidRPr="00987124">
        <w:rPr>
          <w:rFonts w:ascii="Times New Roman" w:hAnsi="Times New Roman" w:cs="Times New Roman"/>
          <w:sz w:val="24"/>
          <w:szCs w:val="24"/>
        </w:rPr>
        <w:t>sa uvedú</w:t>
      </w:r>
      <w:r w:rsidR="002316F9" w:rsidRPr="00987124">
        <w:rPr>
          <w:rFonts w:ascii="Times New Roman" w:hAnsi="Times New Roman" w:cs="Times New Roman"/>
          <w:sz w:val="24"/>
          <w:szCs w:val="24"/>
        </w:rPr>
        <w:t xml:space="preserve"> do praxe</w:t>
      </w:r>
      <w:r w:rsidR="00E70B36" w:rsidRPr="00987124">
        <w:rPr>
          <w:rFonts w:ascii="Times New Roman" w:hAnsi="Times New Roman" w:cs="Times New Roman"/>
          <w:sz w:val="24"/>
          <w:szCs w:val="24"/>
        </w:rPr>
        <w:t>.</w:t>
      </w:r>
      <w:r w:rsidR="004E47F4">
        <w:rPr>
          <w:rFonts w:ascii="Times New Roman" w:hAnsi="Times New Roman" w:cs="Times New Roman"/>
          <w:sz w:val="24"/>
          <w:szCs w:val="24"/>
        </w:rPr>
        <w:t xml:space="preserve"> </w:t>
      </w:r>
    </w:p>
    <w:p w:rsidR="00D02EDB" w:rsidRDefault="00D02EDB" w:rsidP="001728E6">
      <w:pPr>
        <w:spacing w:after="0" w:line="240" w:lineRule="auto"/>
        <w:jc w:val="both"/>
        <w:rPr>
          <w:rFonts w:ascii="Times New Roman" w:hAnsi="Times New Roman" w:cs="Times New Roman"/>
          <w:sz w:val="24"/>
          <w:szCs w:val="24"/>
        </w:rPr>
      </w:pPr>
    </w:p>
    <w:p w:rsidR="002316F9" w:rsidRDefault="0090187B" w:rsidP="00D02EDB">
      <w:pPr>
        <w:pBdr>
          <w:top w:val="single" w:sz="4" w:space="1" w:color="auto"/>
          <w:bottom w:val="single" w:sz="4" w:space="1" w:color="auto"/>
        </w:pBdr>
        <w:spacing w:after="0" w:line="240" w:lineRule="auto"/>
        <w:jc w:val="both"/>
        <w:rPr>
          <w:rFonts w:ascii="Times New Roman" w:hAnsi="Times New Roman" w:cs="Times New Roman"/>
          <w:sz w:val="24"/>
          <w:szCs w:val="24"/>
        </w:rPr>
      </w:pPr>
      <w:r w:rsidRPr="00987124">
        <w:rPr>
          <w:rFonts w:ascii="Times New Roman" w:hAnsi="Times New Roman" w:cs="Times New Roman"/>
          <w:sz w:val="24"/>
          <w:szCs w:val="24"/>
        </w:rPr>
        <w:t>V</w:t>
      </w:r>
      <w:r>
        <w:rPr>
          <w:rFonts w:ascii="Times New Roman" w:hAnsi="Times New Roman" w:cs="Times New Roman"/>
          <w:sz w:val="24"/>
          <w:szCs w:val="24"/>
        </w:rPr>
        <w:t xml:space="preserve"> záujme ochrany vidieka je takto potrebné chrániť </w:t>
      </w:r>
      <w:r w:rsidR="00987124">
        <w:rPr>
          <w:rFonts w:ascii="Times New Roman" w:hAnsi="Times New Roman" w:cs="Times New Roman"/>
          <w:sz w:val="24"/>
          <w:szCs w:val="24"/>
        </w:rPr>
        <w:t xml:space="preserve">a podporovať </w:t>
      </w:r>
      <w:r>
        <w:rPr>
          <w:rFonts w:ascii="Times New Roman" w:hAnsi="Times New Roman" w:cs="Times New Roman"/>
          <w:sz w:val="24"/>
          <w:szCs w:val="24"/>
        </w:rPr>
        <w:t>tradičnú slovenskú bryndz</w:t>
      </w:r>
      <w:r w:rsidR="009A08B2">
        <w:rPr>
          <w:rFonts w:ascii="Times New Roman" w:hAnsi="Times New Roman" w:cs="Times New Roman"/>
          <w:sz w:val="24"/>
          <w:szCs w:val="24"/>
        </w:rPr>
        <w:t xml:space="preserve">u, ako aj bryndzu </w:t>
      </w:r>
      <w:r w:rsidR="00987124">
        <w:rPr>
          <w:rFonts w:ascii="Times New Roman" w:hAnsi="Times New Roman" w:cs="Times New Roman"/>
          <w:sz w:val="24"/>
          <w:szCs w:val="24"/>
        </w:rPr>
        <w:t>s podielom ovče</w:t>
      </w:r>
      <w:r w:rsidR="009A08B2">
        <w:rPr>
          <w:rFonts w:ascii="Times New Roman" w:hAnsi="Times New Roman" w:cs="Times New Roman"/>
          <w:sz w:val="24"/>
          <w:szCs w:val="24"/>
        </w:rPr>
        <w:t>j hrudky najmenej vo výške 50 %, ako aj zastabilizovať domácu výrobu ovčieho mlieka a výrobkov z neho prostredníctvom odstránenia legislatívne náročných podmienok domáceho oficiálneho predaja.</w:t>
      </w:r>
    </w:p>
    <w:p w:rsidR="002316F9" w:rsidRDefault="002316F9" w:rsidP="001728E6">
      <w:pPr>
        <w:spacing w:after="0" w:line="240" w:lineRule="auto"/>
        <w:jc w:val="both"/>
        <w:rPr>
          <w:rFonts w:ascii="Times New Roman" w:hAnsi="Times New Roman" w:cs="Times New Roman"/>
          <w:sz w:val="24"/>
          <w:szCs w:val="24"/>
        </w:rPr>
      </w:pPr>
    </w:p>
    <w:p w:rsidR="009A08B2" w:rsidRPr="001728E6" w:rsidRDefault="009A08B2" w:rsidP="001728E6">
      <w:pPr>
        <w:spacing w:after="0" w:line="240" w:lineRule="auto"/>
        <w:jc w:val="both"/>
        <w:rPr>
          <w:rFonts w:ascii="Times New Roman" w:hAnsi="Times New Roman" w:cs="Times New Roman"/>
          <w:sz w:val="24"/>
          <w:szCs w:val="24"/>
        </w:rPr>
      </w:pPr>
    </w:p>
    <w:p w:rsidR="00E70B36" w:rsidRDefault="006A34BD" w:rsidP="000D68DC">
      <w:pPr>
        <w:pStyle w:val="Nadpis3"/>
        <w:numPr>
          <w:ilvl w:val="3"/>
          <w:numId w:val="8"/>
        </w:numPr>
        <w:rPr>
          <w:rFonts w:cs="Times New Roman"/>
          <w:b w:val="0"/>
          <w:szCs w:val="24"/>
          <w:u w:val="single"/>
        </w:rPr>
      </w:pPr>
      <w:bookmarkStart w:id="63" w:name="_Toc359550684"/>
      <w:r>
        <w:rPr>
          <w:rFonts w:cs="Times New Roman"/>
          <w:b w:val="0"/>
          <w:szCs w:val="24"/>
          <w:u w:val="single"/>
        </w:rPr>
        <w:lastRenderedPageBreak/>
        <w:t>Kozie mlieko</w:t>
      </w:r>
      <w:bookmarkEnd w:id="63"/>
    </w:p>
    <w:p w:rsidR="006A34BD" w:rsidRDefault="006A34BD" w:rsidP="006A34BD">
      <w:pPr>
        <w:spacing w:after="0" w:line="240" w:lineRule="auto"/>
        <w:jc w:val="both"/>
        <w:rPr>
          <w:rFonts w:ascii="Times New Roman" w:hAnsi="Times New Roman" w:cs="Times New Roman"/>
          <w:sz w:val="24"/>
          <w:szCs w:val="24"/>
        </w:rPr>
      </w:pPr>
    </w:p>
    <w:p w:rsidR="006A34BD" w:rsidRDefault="006A34BD" w:rsidP="006A3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Produkcia kozieho mlieka sa odhaduje na základe výsledkov kontroly mliekovej úžitkovosti vo veľkochovoch, aj keď sa prevažná väčšina kozieho mlieka spotrebúva v rámci samozásobenia. Odhadovaná produkcia kozieho mlieka </w:t>
      </w:r>
      <w:r w:rsidR="00231617">
        <w:rPr>
          <w:rFonts w:ascii="Times New Roman" w:hAnsi="Times New Roman" w:cs="Times New Roman"/>
          <w:sz w:val="24"/>
          <w:szCs w:val="24"/>
        </w:rPr>
        <w:t>je takto v súčasnosti v objeme     10 136 tis. l.</w:t>
      </w:r>
    </w:p>
    <w:p w:rsidR="00C970F8" w:rsidRDefault="00C970F8" w:rsidP="006A34BD">
      <w:pPr>
        <w:spacing w:after="0" w:line="240" w:lineRule="auto"/>
        <w:jc w:val="both"/>
        <w:rPr>
          <w:rFonts w:ascii="Times New Roman" w:hAnsi="Times New Roman" w:cs="Times New Roman"/>
          <w:sz w:val="20"/>
          <w:szCs w:val="20"/>
        </w:rPr>
      </w:pPr>
    </w:p>
    <w:p w:rsidR="00E82823" w:rsidRPr="00E82823" w:rsidRDefault="00E82823" w:rsidP="006A34B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6</w:t>
      </w:r>
      <w:r w:rsidR="00C970F8">
        <w:rPr>
          <w:rFonts w:ascii="Times New Roman" w:hAnsi="Times New Roman" w:cs="Times New Roman"/>
          <w:sz w:val="20"/>
          <w:szCs w:val="20"/>
        </w:rPr>
        <w:t>6</w:t>
      </w:r>
      <w:r w:rsidRPr="00155936">
        <w:rPr>
          <w:rFonts w:ascii="Times New Roman" w:hAnsi="Times New Roman" w:cs="Times New Roman"/>
          <w:sz w:val="20"/>
          <w:szCs w:val="20"/>
        </w:rPr>
        <w:t>:</w:t>
      </w:r>
      <w:r>
        <w:rPr>
          <w:rFonts w:ascii="Times New Roman" w:hAnsi="Times New Roman" w:cs="Times New Roman"/>
          <w:sz w:val="20"/>
          <w:szCs w:val="20"/>
        </w:rPr>
        <w:t>Vývoj produkcie kozieho mlieka</w:t>
      </w:r>
      <w:r w:rsidR="00D02EDB">
        <w:rPr>
          <w:rFonts w:ascii="Times New Roman" w:hAnsi="Times New Roman" w:cs="Times New Roman"/>
          <w:sz w:val="20"/>
          <w:szCs w:val="20"/>
        </w:rPr>
        <w:t xml:space="preserve"> v tis. l</w:t>
      </w:r>
    </w:p>
    <w:p w:rsidR="00231617" w:rsidRPr="006A34BD" w:rsidRDefault="00231617" w:rsidP="006A34BD">
      <w:pPr>
        <w:spacing w:after="0" w:line="240" w:lineRule="auto"/>
        <w:jc w:val="both"/>
        <w:rPr>
          <w:rFonts w:ascii="Times New Roman" w:hAnsi="Times New Roman" w:cs="Times New Roman"/>
          <w:sz w:val="24"/>
          <w:szCs w:val="24"/>
        </w:rPr>
      </w:pPr>
      <w:r w:rsidRPr="00231617">
        <w:rPr>
          <w:rFonts w:ascii="Times New Roman" w:hAnsi="Times New Roman" w:cs="Times New Roman"/>
          <w:noProof/>
          <w:sz w:val="24"/>
          <w:szCs w:val="24"/>
        </w:rPr>
        <w:drawing>
          <wp:inline distT="0" distB="0" distL="0" distR="0" wp14:anchorId="058B8875" wp14:editId="54FEA0FB">
            <wp:extent cx="5786323" cy="1975104"/>
            <wp:effectExtent l="0" t="0" r="0" b="0"/>
            <wp:docPr id="64"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E82823" w:rsidRPr="00C431FF" w:rsidRDefault="00E82823" w:rsidP="00E8282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6A34BD" w:rsidRDefault="006A34BD" w:rsidP="006A34BD">
      <w:pPr>
        <w:spacing w:after="0" w:line="240" w:lineRule="auto"/>
        <w:jc w:val="both"/>
        <w:rPr>
          <w:rFonts w:ascii="Times New Roman" w:hAnsi="Times New Roman" w:cs="Times New Roman"/>
          <w:sz w:val="24"/>
          <w:szCs w:val="24"/>
        </w:rPr>
      </w:pPr>
    </w:p>
    <w:p w:rsidR="00E70B36" w:rsidRDefault="00E82823" w:rsidP="00172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Oproti referenčnému roku 2002 došlo k rastu celkovej produkcie kozieho mlieka a to o cca   11 %. Zvýšenie produkcie bolo dosiahnuté predovšetkým rastom mliekovej úžitkovosti, nakoľko samotný počet kôz klesol o</w:t>
      </w:r>
      <w:r w:rsidR="00470885">
        <w:rPr>
          <w:rFonts w:ascii="Times New Roman" w:hAnsi="Times New Roman" w:cs="Times New Roman"/>
          <w:sz w:val="24"/>
          <w:szCs w:val="24"/>
        </w:rPr>
        <w:t xml:space="preserve"> 15% a produkcia mlieka </w:t>
      </w:r>
      <w:r w:rsidR="00994222">
        <w:rPr>
          <w:rFonts w:ascii="Times New Roman" w:hAnsi="Times New Roman" w:cs="Times New Roman"/>
          <w:sz w:val="24"/>
          <w:szCs w:val="24"/>
        </w:rPr>
        <w:t xml:space="preserve">na 1 kozu </w:t>
      </w:r>
      <w:r w:rsidR="00470885">
        <w:rPr>
          <w:rFonts w:ascii="Times New Roman" w:hAnsi="Times New Roman" w:cs="Times New Roman"/>
          <w:sz w:val="24"/>
          <w:szCs w:val="24"/>
        </w:rPr>
        <w:t>vzrástla o 31 %.</w:t>
      </w:r>
    </w:p>
    <w:p w:rsidR="00470885" w:rsidRDefault="00470885" w:rsidP="001728E6">
      <w:pPr>
        <w:spacing w:after="0" w:line="240" w:lineRule="auto"/>
        <w:jc w:val="both"/>
        <w:rPr>
          <w:rFonts w:ascii="Times New Roman" w:hAnsi="Times New Roman" w:cs="Times New Roman"/>
          <w:sz w:val="24"/>
          <w:szCs w:val="24"/>
        </w:rPr>
      </w:pPr>
    </w:p>
    <w:p w:rsidR="00470885" w:rsidRPr="00470885" w:rsidRDefault="00470885" w:rsidP="001728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6</w:t>
      </w:r>
      <w:r w:rsidR="00C970F8">
        <w:rPr>
          <w:rFonts w:ascii="Times New Roman" w:hAnsi="Times New Roman" w:cs="Times New Roman"/>
          <w:sz w:val="20"/>
          <w:szCs w:val="20"/>
        </w:rPr>
        <w:t>7</w:t>
      </w:r>
      <w:r w:rsidRPr="00155936">
        <w:rPr>
          <w:rFonts w:ascii="Times New Roman" w:hAnsi="Times New Roman" w:cs="Times New Roman"/>
          <w:sz w:val="20"/>
          <w:szCs w:val="20"/>
        </w:rPr>
        <w:t>:</w:t>
      </w:r>
      <w:r>
        <w:rPr>
          <w:rFonts w:ascii="Times New Roman" w:hAnsi="Times New Roman" w:cs="Times New Roman"/>
          <w:sz w:val="20"/>
          <w:szCs w:val="20"/>
        </w:rPr>
        <w:t>Vývoj počtu kôz a intenzifikácie produkcie kozieho mlieka</w:t>
      </w:r>
    </w:p>
    <w:p w:rsidR="00E82823" w:rsidRDefault="00E82823" w:rsidP="001728E6">
      <w:pPr>
        <w:spacing w:after="0" w:line="240" w:lineRule="auto"/>
        <w:jc w:val="both"/>
        <w:rPr>
          <w:rFonts w:ascii="Times New Roman" w:hAnsi="Times New Roman" w:cs="Times New Roman"/>
          <w:sz w:val="24"/>
          <w:szCs w:val="24"/>
        </w:rPr>
      </w:pPr>
      <w:r w:rsidRPr="00E82823">
        <w:rPr>
          <w:rFonts w:ascii="Times New Roman" w:hAnsi="Times New Roman" w:cs="Times New Roman"/>
          <w:noProof/>
          <w:sz w:val="24"/>
          <w:szCs w:val="24"/>
        </w:rPr>
        <w:drawing>
          <wp:inline distT="0" distB="0" distL="0" distR="0" wp14:anchorId="4772AB07" wp14:editId="15181053">
            <wp:extent cx="5742432" cy="2296973"/>
            <wp:effectExtent l="0" t="0" r="0" b="8255"/>
            <wp:docPr id="65"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70885" w:rsidRPr="00C431FF" w:rsidRDefault="00470885" w:rsidP="0047088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D02EDB" w:rsidRDefault="00D02EDB" w:rsidP="001728E6">
      <w:pPr>
        <w:spacing w:after="0" w:line="240" w:lineRule="auto"/>
        <w:jc w:val="both"/>
        <w:rPr>
          <w:rFonts w:ascii="Times New Roman" w:hAnsi="Times New Roman" w:cs="Times New Roman"/>
          <w:sz w:val="24"/>
          <w:szCs w:val="24"/>
        </w:rPr>
      </w:pPr>
    </w:p>
    <w:p w:rsidR="00E70B36" w:rsidRDefault="00994222" w:rsidP="00172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Celková produkcia kozieho mlieka je zastabilizovaná relatívne stálym objemom domáceho dopytu</w:t>
      </w:r>
      <w:r w:rsidR="007350BA">
        <w:rPr>
          <w:rFonts w:ascii="Times New Roman" w:hAnsi="Times New Roman" w:cs="Times New Roman"/>
          <w:sz w:val="24"/>
          <w:szCs w:val="24"/>
        </w:rPr>
        <w:t xml:space="preserve">, ktorý umožňuje zrealizovať celú produkciu kozieho mlieka na Slovensku. </w:t>
      </w:r>
    </w:p>
    <w:p w:rsidR="009371DB" w:rsidRDefault="009371DB" w:rsidP="001728E6">
      <w:pPr>
        <w:spacing w:after="0" w:line="240" w:lineRule="auto"/>
        <w:jc w:val="both"/>
        <w:rPr>
          <w:rFonts w:ascii="Times New Roman" w:hAnsi="Times New Roman" w:cs="Times New Roman"/>
          <w:sz w:val="24"/>
          <w:szCs w:val="24"/>
        </w:rPr>
      </w:pPr>
    </w:p>
    <w:p w:rsidR="009371DB" w:rsidRPr="009371DB" w:rsidRDefault="009371DB" w:rsidP="009371DB">
      <w:pPr>
        <w:pBdr>
          <w:top w:val="single" w:sz="4" w:space="1" w:color="auto"/>
          <w:bottom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V záujme ďalej rozvíjať a podporovať intenzívny chov kôz je potrebné podporovať</w:t>
      </w:r>
      <w:r w:rsidRPr="009371DB">
        <w:rPr>
          <w:rFonts w:ascii="Times New Roman" w:hAnsi="Times New Roman" w:cs="Times New Roman"/>
          <w:sz w:val="24"/>
          <w:szCs w:val="24"/>
        </w:rPr>
        <w:t xml:space="preserve"> </w:t>
      </w:r>
      <w:proofErr w:type="spellStart"/>
      <w:r w:rsidRPr="009371DB">
        <w:rPr>
          <w:rFonts w:ascii="Times New Roman" w:hAnsi="Times New Roman" w:cs="Times New Roman"/>
          <w:sz w:val="24"/>
          <w:szCs w:val="24"/>
        </w:rPr>
        <w:t>nízkonákladové</w:t>
      </w:r>
      <w:proofErr w:type="spellEnd"/>
      <w:r w:rsidRPr="009371DB">
        <w:rPr>
          <w:rFonts w:ascii="Times New Roman" w:hAnsi="Times New Roman" w:cs="Times New Roman"/>
          <w:sz w:val="24"/>
          <w:szCs w:val="24"/>
        </w:rPr>
        <w:t xml:space="preserve"> produkčné systémy v chove </w:t>
      </w:r>
      <w:r>
        <w:rPr>
          <w:rFonts w:ascii="Times New Roman" w:hAnsi="Times New Roman" w:cs="Times New Roman"/>
          <w:sz w:val="24"/>
          <w:szCs w:val="24"/>
        </w:rPr>
        <w:t>kôz, t.j. rozvoj rodinných fariem s cieľom udržať súčasnú úroveň</w:t>
      </w:r>
      <w:r w:rsidR="009A08B2">
        <w:rPr>
          <w:rFonts w:ascii="Times New Roman" w:hAnsi="Times New Roman" w:cs="Times New Roman"/>
          <w:sz w:val="24"/>
          <w:szCs w:val="24"/>
        </w:rPr>
        <w:t xml:space="preserve"> zamestnanosti. Nástrojom zastabilizovania domácej výroby kozieho mlieka a výrobkov z neho je odstránenie legislatívne náročných podmienok domáceho oficiálneho predaja.</w:t>
      </w:r>
    </w:p>
    <w:p w:rsidR="00D02EDB" w:rsidRDefault="00D02EDB" w:rsidP="001728E6">
      <w:pPr>
        <w:spacing w:after="0" w:line="240" w:lineRule="auto"/>
        <w:jc w:val="both"/>
        <w:rPr>
          <w:rFonts w:ascii="Times New Roman" w:hAnsi="Times New Roman" w:cs="Times New Roman"/>
          <w:sz w:val="24"/>
          <w:szCs w:val="24"/>
        </w:rPr>
      </w:pPr>
    </w:p>
    <w:p w:rsidR="005D27E5" w:rsidRPr="005D27E5" w:rsidRDefault="00DD0D81" w:rsidP="000D68DC">
      <w:pPr>
        <w:pStyle w:val="Nadpis3"/>
        <w:numPr>
          <w:ilvl w:val="3"/>
          <w:numId w:val="8"/>
        </w:numPr>
        <w:rPr>
          <w:rFonts w:cs="Times New Roman"/>
          <w:b w:val="0"/>
          <w:szCs w:val="24"/>
          <w:u w:val="single"/>
        </w:rPr>
      </w:pPr>
      <w:bookmarkStart w:id="64" w:name="_Toc359550685"/>
      <w:r>
        <w:rPr>
          <w:rFonts w:cs="Times New Roman"/>
          <w:b w:val="0"/>
          <w:szCs w:val="24"/>
          <w:u w:val="single"/>
        </w:rPr>
        <w:t>Chov</w:t>
      </w:r>
      <w:r w:rsidR="005D27E5" w:rsidRPr="005D27E5">
        <w:rPr>
          <w:rFonts w:cs="Times New Roman"/>
          <w:b w:val="0"/>
          <w:szCs w:val="24"/>
          <w:u w:val="single"/>
        </w:rPr>
        <w:t xml:space="preserve"> králikov</w:t>
      </w:r>
      <w:r>
        <w:rPr>
          <w:rFonts w:cs="Times New Roman"/>
          <w:b w:val="0"/>
          <w:szCs w:val="24"/>
          <w:u w:val="single"/>
        </w:rPr>
        <w:t xml:space="preserve"> a produkty z nich</w:t>
      </w:r>
      <w:bookmarkEnd w:id="64"/>
    </w:p>
    <w:p w:rsidR="005D27E5" w:rsidRDefault="005D27E5" w:rsidP="005D27E5">
      <w:pPr>
        <w:pStyle w:val="Nadpis3"/>
        <w:rPr>
          <w:rFonts w:cs="Times New Roman"/>
          <w:szCs w:val="24"/>
        </w:rPr>
      </w:pPr>
    </w:p>
    <w:p w:rsidR="00DD0D81" w:rsidRDefault="005D27E5" w:rsidP="00DD0D81">
      <w:pPr>
        <w:spacing w:after="0" w:line="240" w:lineRule="auto"/>
        <w:jc w:val="both"/>
        <w:rPr>
          <w:rFonts w:ascii="Times New Roman" w:hAnsi="Times New Roman" w:cs="Times New Roman"/>
          <w:sz w:val="24"/>
          <w:szCs w:val="24"/>
        </w:rPr>
      </w:pPr>
      <w:r w:rsidRPr="00DD0D81">
        <w:rPr>
          <w:rFonts w:ascii="Times New Roman" w:hAnsi="Times New Roman" w:cs="Times New Roman"/>
          <w:sz w:val="24"/>
          <w:szCs w:val="24"/>
        </w:rPr>
        <w:t xml:space="preserve">Úžitkový chov králikov má na Slovensku dlhoročnú tradíciu, ktorá siaha do začiatku 20. storočia. Drobnochovateľská forma tejto oblasti živočíšnej výroby bola v 90.-tych rokoch 20. storočia doplnená intenzívnymi chovmi, ktoré na prelome storočí </w:t>
      </w:r>
      <w:r w:rsidR="00DD0D81" w:rsidRPr="00DD0D81">
        <w:rPr>
          <w:rFonts w:ascii="Times New Roman" w:hAnsi="Times New Roman" w:cs="Times New Roman"/>
          <w:sz w:val="24"/>
          <w:szCs w:val="24"/>
        </w:rPr>
        <w:t xml:space="preserve">produkovali 350 tis. králičích brojlerov ročne. </w:t>
      </w:r>
    </w:p>
    <w:p w:rsidR="00DD0D81" w:rsidRDefault="00DD0D81" w:rsidP="00DD0D81">
      <w:pPr>
        <w:spacing w:after="0" w:line="240" w:lineRule="auto"/>
        <w:jc w:val="both"/>
        <w:rPr>
          <w:rFonts w:ascii="Times New Roman" w:hAnsi="Times New Roman" w:cs="Times New Roman"/>
          <w:sz w:val="24"/>
          <w:szCs w:val="24"/>
        </w:rPr>
      </w:pPr>
    </w:p>
    <w:p w:rsidR="00DD0D81" w:rsidRDefault="00DD0D81" w:rsidP="00DD0D81">
      <w:pPr>
        <w:spacing w:after="0" w:line="240" w:lineRule="auto"/>
        <w:jc w:val="both"/>
        <w:rPr>
          <w:rFonts w:ascii="Times New Roman" w:hAnsi="Times New Roman" w:cs="Times New Roman"/>
          <w:sz w:val="24"/>
          <w:szCs w:val="24"/>
        </w:rPr>
      </w:pPr>
      <w:r w:rsidRPr="00DD0D81">
        <w:rPr>
          <w:rFonts w:ascii="Times New Roman" w:hAnsi="Times New Roman" w:cs="Times New Roman"/>
          <w:sz w:val="24"/>
          <w:szCs w:val="24"/>
        </w:rPr>
        <w:t>V súčasnosti je väčšina produkcie mäsových králikov na Slovensku zabezpečovaná drobnochovateľským spôsobom. Priemerný stav základného stáda je okolo 400 tis. ks zvierat. Početnosť základnej populácie je stabilná a z genetického hľadiska je tvorená čistokrvnými zvieratami (obrovité, stredné, malé a </w:t>
      </w:r>
      <w:proofErr w:type="spellStart"/>
      <w:r>
        <w:rPr>
          <w:rFonts w:ascii="Times New Roman" w:hAnsi="Times New Roman" w:cs="Times New Roman"/>
          <w:sz w:val="24"/>
          <w:szCs w:val="24"/>
        </w:rPr>
        <w:t>zákrslé</w:t>
      </w:r>
      <w:proofErr w:type="spellEnd"/>
      <w:r w:rsidRPr="00DD0D81">
        <w:rPr>
          <w:rFonts w:ascii="Times New Roman" w:hAnsi="Times New Roman" w:cs="Times New Roman"/>
          <w:sz w:val="24"/>
          <w:szCs w:val="24"/>
        </w:rPr>
        <w:t xml:space="preserve"> plemená) a </w:t>
      </w:r>
      <w:proofErr w:type="spellStart"/>
      <w:r w:rsidRPr="00DD0D81">
        <w:rPr>
          <w:rFonts w:ascii="Times New Roman" w:hAnsi="Times New Roman" w:cs="Times New Roman"/>
          <w:sz w:val="24"/>
          <w:szCs w:val="24"/>
        </w:rPr>
        <w:t>medziplemennými</w:t>
      </w:r>
      <w:proofErr w:type="spellEnd"/>
      <w:r w:rsidRPr="00DD0D81">
        <w:rPr>
          <w:rFonts w:ascii="Times New Roman" w:hAnsi="Times New Roman" w:cs="Times New Roman"/>
          <w:sz w:val="24"/>
          <w:szCs w:val="24"/>
        </w:rPr>
        <w:t xml:space="preserve"> krížencami strednej živej hmotnosti. Celková produkcia jatočných králikov z týchto zdrojov predstavuje asi 4 800 tis. ks, čo pri priemernej jatočnej výťažnosti 45 % tvorí ročnú spotrebu 1,3 kg mäsa na obyvateľa. Priemerná predajná cena od prvo</w:t>
      </w:r>
      <w:r>
        <w:rPr>
          <w:rFonts w:ascii="Times New Roman" w:hAnsi="Times New Roman" w:cs="Times New Roman"/>
          <w:sz w:val="24"/>
          <w:szCs w:val="24"/>
        </w:rPr>
        <w:t>výrobcu (predaj z dvora)  je 5 EUR</w:t>
      </w:r>
      <w:r w:rsidRPr="00DD0D81">
        <w:rPr>
          <w:rFonts w:ascii="Times New Roman" w:hAnsi="Times New Roman" w:cs="Times New Roman"/>
          <w:sz w:val="24"/>
          <w:szCs w:val="24"/>
        </w:rPr>
        <w:t xml:space="preserve">/kg mäsa, väčšina spotreby sa však zabezpečuje v rodinách chovateľov. Distribúcia cez obchodnú sieť je minimálna. </w:t>
      </w:r>
    </w:p>
    <w:p w:rsidR="00DD0D81" w:rsidRPr="00DD0D81" w:rsidRDefault="00DD0D81" w:rsidP="00DD0D81">
      <w:pPr>
        <w:spacing w:after="0" w:line="240" w:lineRule="auto"/>
        <w:jc w:val="both"/>
        <w:rPr>
          <w:rFonts w:ascii="Times New Roman" w:hAnsi="Times New Roman" w:cs="Times New Roman"/>
          <w:sz w:val="24"/>
          <w:szCs w:val="24"/>
        </w:rPr>
      </w:pPr>
    </w:p>
    <w:p w:rsidR="00DD0D81" w:rsidRDefault="00DD0D81" w:rsidP="00DD0D81">
      <w:pPr>
        <w:spacing w:after="0" w:line="240" w:lineRule="auto"/>
        <w:jc w:val="both"/>
        <w:rPr>
          <w:rFonts w:ascii="Times New Roman" w:hAnsi="Times New Roman" w:cs="Times New Roman"/>
          <w:sz w:val="24"/>
          <w:szCs w:val="24"/>
        </w:rPr>
      </w:pPr>
      <w:r w:rsidRPr="00DD0D81">
        <w:rPr>
          <w:rFonts w:ascii="Times New Roman" w:hAnsi="Times New Roman" w:cs="Times New Roman"/>
          <w:sz w:val="24"/>
          <w:szCs w:val="24"/>
        </w:rPr>
        <w:t>Vzhľadom na významné zdravotné prínosy králičieho mäsa v ľudskej výžive a produkciu žiadaných surovín pre spracovateľský priemysel je potrebné posilniť postavenie chovu a produkčnej schopnosti úžitkových králikov. Početnosť jatočných zvierat v drobnochovateľských podmienkach a ponuku králičieho mäsa</w:t>
      </w:r>
      <w:r>
        <w:rPr>
          <w:rFonts w:ascii="Times New Roman" w:hAnsi="Times New Roman" w:cs="Times New Roman"/>
          <w:sz w:val="24"/>
          <w:szCs w:val="24"/>
        </w:rPr>
        <w:t xml:space="preserve"> možno zvýšiť zriadením chovných a produkčných centier</w:t>
      </w:r>
      <w:r w:rsidRPr="00DD0D81">
        <w:rPr>
          <w:rFonts w:ascii="Times New Roman" w:hAnsi="Times New Roman" w:cs="Times New Roman"/>
          <w:sz w:val="24"/>
          <w:szCs w:val="24"/>
        </w:rPr>
        <w:t xml:space="preserve"> s multifunkčným zameraním produkcie. Podpora </w:t>
      </w:r>
      <w:r>
        <w:rPr>
          <w:rFonts w:ascii="Times New Roman" w:hAnsi="Times New Roman" w:cs="Times New Roman"/>
          <w:sz w:val="24"/>
          <w:szCs w:val="24"/>
        </w:rPr>
        <w:t>takýchto</w:t>
      </w:r>
      <w:r w:rsidRPr="00DD0D81">
        <w:rPr>
          <w:rFonts w:ascii="Times New Roman" w:hAnsi="Times New Roman" w:cs="Times New Roman"/>
          <w:sz w:val="24"/>
          <w:szCs w:val="24"/>
        </w:rPr>
        <w:t xml:space="preserve"> </w:t>
      </w:r>
      <w:r>
        <w:rPr>
          <w:rFonts w:ascii="Times New Roman" w:hAnsi="Times New Roman" w:cs="Times New Roman"/>
          <w:sz w:val="24"/>
          <w:szCs w:val="24"/>
        </w:rPr>
        <w:t>centier</w:t>
      </w:r>
      <w:r w:rsidRPr="00DD0D81">
        <w:rPr>
          <w:rFonts w:ascii="Times New Roman" w:hAnsi="Times New Roman" w:cs="Times New Roman"/>
          <w:sz w:val="24"/>
          <w:szCs w:val="24"/>
        </w:rPr>
        <w:t xml:space="preserve"> </w:t>
      </w:r>
      <w:r>
        <w:rPr>
          <w:rFonts w:ascii="Times New Roman" w:hAnsi="Times New Roman" w:cs="Times New Roman"/>
          <w:sz w:val="24"/>
          <w:szCs w:val="24"/>
        </w:rPr>
        <w:t>pozitívne ovplyvní</w:t>
      </w:r>
      <w:r w:rsidRPr="00DD0D81">
        <w:rPr>
          <w:rFonts w:ascii="Times New Roman" w:hAnsi="Times New Roman" w:cs="Times New Roman"/>
          <w:sz w:val="24"/>
          <w:szCs w:val="24"/>
        </w:rPr>
        <w:t xml:space="preserve"> </w:t>
      </w:r>
      <w:proofErr w:type="spellStart"/>
      <w:r w:rsidRPr="00DD0D81">
        <w:rPr>
          <w:rFonts w:ascii="Times New Roman" w:hAnsi="Times New Roman" w:cs="Times New Roman"/>
          <w:sz w:val="24"/>
          <w:szCs w:val="24"/>
        </w:rPr>
        <w:t>genotypovú</w:t>
      </w:r>
      <w:proofErr w:type="spellEnd"/>
      <w:r w:rsidRPr="00DD0D81">
        <w:rPr>
          <w:rFonts w:ascii="Times New Roman" w:hAnsi="Times New Roman" w:cs="Times New Roman"/>
          <w:sz w:val="24"/>
          <w:szCs w:val="24"/>
        </w:rPr>
        <w:t xml:space="preserve"> skladbu zvierat, drobnochovateľský sektor a revitalizovala špecializované produkčné farmy.  </w:t>
      </w:r>
    </w:p>
    <w:p w:rsidR="00DD0D81" w:rsidRPr="00DD0D81" w:rsidRDefault="00DD0D81" w:rsidP="00DD0D81">
      <w:pPr>
        <w:spacing w:after="0" w:line="240" w:lineRule="auto"/>
        <w:jc w:val="both"/>
        <w:rPr>
          <w:rFonts w:ascii="Times New Roman" w:hAnsi="Times New Roman" w:cs="Times New Roman"/>
          <w:sz w:val="24"/>
          <w:szCs w:val="24"/>
        </w:rPr>
      </w:pPr>
    </w:p>
    <w:p w:rsidR="00DD0D81" w:rsidRDefault="00DD0D81" w:rsidP="00DD0D81">
      <w:pPr>
        <w:spacing w:after="0" w:line="240" w:lineRule="auto"/>
        <w:jc w:val="both"/>
        <w:rPr>
          <w:rFonts w:ascii="Times New Roman" w:hAnsi="Times New Roman" w:cs="Times New Roman"/>
          <w:sz w:val="24"/>
          <w:szCs w:val="24"/>
        </w:rPr>
      </w:pPr>
      <w:r w:rsidRPr="00DD0D81">
        <w:rPr>
          <w:rFonts w:ascii="Times New Roman" w:hAnsi="Times New Roman" w:cs="Times New Roman"/>
          <w:sz w:val="24"/>
          <w:szCs w:val="24"/>
        </w:rPr>
        <w:t xml:space="preserve">Popri produkcii mäsa, koží a srsti je králik potenciálnym zdrojom biologicky účinných látok, buniek a tkanív pre farmakologické a medicínske aplikácie.  V špecializovaných chovoch je možné produkovať biologický materiál pre </w:t>
      </w:r>
      <w:proofErr w:type="spellStart"/>
      <w:r w:rsidRPr="00DD0D81">
        <w:rPr>
          <w:rFonts w:ascii="Times New Roman" w:hAnsi="Times New Roman" w:cs="Times New Roman"/>
          <w:sz w:val="24"/>
          <w:szCs w:val="24"/>
        </w:rPr>
        <w:t>ultrafiltrátové</w:t>
      </w:r>
      <w:proofErr w:type="spellEnd"/>
      <w:r w:rsidRPr="00DD0D81">
        <w:rPr>
          <w:rFonts w:ascii="Times New Roman" w:hAnsi="Times New Roman" w:cs="Times New Roman"/>
          <w:sz w:val="24"/>
          <w:szCs w:val="24"/>
        </w:rPr>
        <w:t xml:space="preserve"> výrobky, </w:t>
      </w:r>
      <w:proofErr w:type="spellStart"/>
      <w:r w:rsidRPr="00DD0D81">
        <w:rPr>
          <w:rFonts w:ascii="Times New Roman" w:hAnsi="Times New Roman" w:cs="Times New Roman"/>
          <w:sz w:val="24"/>
          <w:szCs w:val="24"/>
        </w:rPr>
        <w:t>xenotransplantačné</w:t>
      </w:r>
      <w:proofErr w:type="spellEnd"/>
      <w:r w:rsidRPr="00DD0D81">
        <w:rPr>
          <w:rFonts w:ascii="Times New Roman" w:hAnsi="Times New Roman" w:cs="Times New Roman"/>
          <w:sz w:val="24"/>
          <w:szCs w:val="24"/>
        </w:rPr>
        <w:t xml:space="preserve"> kultúry resp. komponenty imunitných procesov. </w:t>
      </w:r>
    </w:p>
    <w:p w:rsidR="00DD0D81" w:rsidRDefault="00DD0D81" w:rsidP="00DD0D81">
      <w:pPr>
        <w:spacing w:after="0" w:line="240" w:lineRule="auto"/>
        <w:jc w:val="both"/>
        <w:rPr>
          <w:rFonts w:ascii="Times New Roman" w:hAnsi="Times New Roman" w:cs="Times New Roman"/>
          <w:sz w:val="24"/>
          <w:szCs w:val="24"/>
        </w:rPr>
      </w:pPr>
    </w:p>
    <w:p w:rsidR="00DD0D81" w:rsidRPr="00DD0D81" w:rsidRDefault="00DD0D81" w:rsidP="008E4A6C">
      <w:pPr>
        <w:pBdr>
          <w:top w:val="single" w:sz="4" w:space="1" w:color="auto"/>
          <w:bottom w:val="single" w:sz="4" w:space="1" w:color="auto"/>
        </w:pBd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Rozvoj chovu králikov </w:t>
      </w:r>
      <w:r w:rsidR="008E4A6C">
        <w:rPr>
          <w:rFonts w:ascii="Times New Roman" w:hAnsi="Times New Roman" w:cs="Times New Roman"/>
          <w:sz w:val="24"/>
          <w:szCs w:val="24"/>
        </w:rPr>
        <w:t xml:space="preserve">predpokladá podporu </w:t>
      </w:r>
      <w:r w:rsidRPr="00DD0D81">
        <w:rPr>
          <w:rFonts w:ascii="Times New Roman" w:hAnsi="Times New Roman" w:cs="Times New Roman"/>
          <w:sz w:val="24"/>
          <w:szCs w:val="24"/>
        </w:rPr>
        <w:t>chovných a produkčných centier s multifunkčným zameraním produkcie</w:t>
      </w:r>
      <w:r w:rsidR="008E4A6C">
        <w:rPr>
          <w:rFonts w:ascii="Times New Roman" w:hAnsi="Times New Roman" w:cs="Times New Roman"/>
          <w:sz w:val="24"/>
          <w:szCs w:val="24"/>
        </w:rPr>
        <w:t xml:space="preserve"> a podporu drobných fariem.</w:t>
      </w:r>
      <w:r w:rsidRPr="00DD0D81">
        <w:rPr>
          <w:rFonts w:ascii="Times New Roman" w:eastAsia="Times New Roman" w:hAnsi="Times New Roman" w:cs="Times New Roman"/>
          <w:color w:val="000000"/>
          <w:sz w:val="24"/>
          <w:szCs w:val="24"/>
        </w:rPr>
        <w:t xml:space="preserve"> </w:t>
      </w:r>
    </w:p>
    <w:p w:rsidR="005D27E5" w:rsidRPr="008E4A6C" w:rsidRDefault="005D27E5" w:rsidP="008E4A6C"/>
    <w:p w:rsidR="00BF15D3" w:rsidRDefault="008A5CD2" w:rsidP="000D68DC">
      <w:pPr>
        <w:pStyle w:val="Nadpis3"/>
        <w:numPr>
          <w:ilvl w:val="3"/>
          <w:numId w:val="8"/>
        </w:numPr>
        <w:rPr>
          <w:rFonts w:cs="Times New Roman"/>
          <w:szCs w:val="24"/>
        </w:rPr>
      </w:pPr>
      <w:bookmarkStart w:id="65" w:name="_Toc359550686"/>
      <w:r>
        <w:rPr>
          <w:rFonts w:cs="Times New Roman"/>
          <w:b w:val="0"/>
          <w:szCs w:val="24"/>
          <w:u w:val="single"/>
        </w:rPr>
        <w:t>Hospodársky chov rýb</w:t>
      </w:r>
      <w:bookmarkEnd w:id="65"/>
    </w:p>
    <w:p w:rsidR="0097752F" w:rsidRDefault="0097752F" w:rsidP="0097752F">
      <w:pPr>
        <w:spacing w:after="0" w:line="240" w:lineRule="auto"/>
        <w:jc w:val="both"/>
        <w:rPr>
          <w:rFonts w:ascii="Times New Roman" w:hAnsi="Times New Roman" w:cs="Times New Roman"/>
          <w:sz w:val="24"/>
          <w:szCs w:val="24"/>
        </w:rPr>
      </w:pPr>
    </w:p>
    <w:p w:rsidR="0097752F" w:rsidRPr="00272B53" w:rsidRDefault="0097752F" w:rsidP="0097752F">
      <w:pPr>
        <w:spacing w:after="0" w:line="240" w:lineRule="auto"/>
        <w:jc w:val="both"/>
        <w:rPr>
          <w:rFonts w:ascii="Times New Roman" w:hAnsi="Times New Roman" w:cs="Times New Roman"/>
          <w:sz w:val="24"/>
          <w:szCs w:val="24"/>
        </w:rPr>
      </w:pPr>
      <w:r w:rsidRPr="00272B53">
        <w:rPr>
          <w:rFonts w:ascii="Times New Roman" w:hAnsi="Times New Roman" w:cs="Times New Roman"/>
          <w:sz w:val="24"/>
          <w:szCs w:val="24"/>
        </w:rPr>
        <w:t xml:space="preserve">Chov rýb v SR charakterizuje existencia malých produkčných jednotiek, so závislosťou na sezónnosti dopytu a s úzkym zameraním v produkcii trhových rýb, predovšetkým na pstruha a kapra. Prírodné podmienky na vykonávanie chovu nížinných druhov rýb sú vhodné takmer vo všetkých regiónoch SR v nížinných oblastiach, kde sa sústreďuje dostatok vody na takmer všetkých typoch pôd a v takmer všetkých klimatických pomeroch. </w:t>
      </w:r>
    </w:p>
    <w:p w:rsidR="00F6585B" w:rsidRDefault="00F6585B" w:rsidP="0097752F">
      <w:pPr>
        <w:spacing w:after="0" w:line="240" w:lineRule="auto"/>
        <w:jc w:val="both"/>
        <w:rPr>
          <w:rFonts w:ascii="Times New Roman" w:hAnsi="Times New Roman" w:cs="Times New Roman"/>
          <w:sz w:val="20"/>
          <w:szCs w:val="20"/>
        </w:rPr>
      </w:pPr>
    </w:p>
    <w:p w:rsidR="00F6585B" w:rsidRDefault="00F6585B" w:rsidP="0097752F">
      <w:pPr>
        <w:spacing w:after="0" w:line="240" w:lineRule="auto"/>
        <w:jc w:val="both"/>
        <w:rPr>
          <w:rFonts w:ascii="Times New Roman" w:hAnsi="Times New Roman" w:cs="Times New Roman"/>
          <w:sz w:val="20"/>
          <w:szCs w:val="20"/>
        </w:rPr>
      </w:pPr>
    </w:p>
    <w:p w:rsidR="00F6585B" w:rsidRDefault="00F6585B" w:rsidP="0097752F">
      <w:pPr>
        <w:spacing w:after="0" w:line="240" w:lineRule="auto"/>
        <w:jc w:val="both"/>
        <w:rPr>
          <w:rFonts w:ascii="Times New Roman" w:hAnsi="Times New Roman" w:cs="Times New Roman"/>
          <w:sz w:val="20"/>
          <w:szCs w:val="20"/>
        </w:rPr>
      </w:pPr>
    </w:p>
    <w:p w:rsidR="00F6585B" w:rsidRDefault="00F6585B" w:rsidP="0097752F">
      <w:pPr>
        <w:spacing w:after="0" w:line="240" w:lineRule="auto"/>
        <w:jc w:val="both"/>
        <w:rPr>
          <w:rFonts w:ascii="Times New Roman" w:hAnsi="Times New Roman" w:cs="Times New Roman"/>
          <w:sz w:val="20"/>
          <w:szCs w:val="20"/>
        </w:rPr>
      </w:pPr>
    </w:p>
    <w:p w:rsidR="00F6585B" w:rsidRDefault="00F6585B" w:rsidP="0097752F">
      <w:pPr>
        <w:spacing w:after="0" w:line="240" w:lineRule="auto"/>
        <w:jc w:val="both"/>
        <w:rPr>
          <w:rFonts w:ascii="Times New Roman" w:hAnsi="Times New Roman" w:cs="Times New Roman"/>
          <w:sz w:val="20"/>
          <w:szCs w:val="20"/>
        </w:rPr>
      </w:pPr>
    </w:p>
    <w:p w:rsidR="00F6585B" w:rsidRDefault="00F6585B" w:rsidP="0097752F">
      <w:pPr>
        <w:spacing w:after="0" w:line="240" w:lineRule="auto"/>
        <w:jc w:val="both"/>
        <w:rPr>
          <w:rFonts w:ascii="Times New Roman" w:hAnsi="Times New Roman" w:cs="Times New Roman"/>
          <w:sz w:val="20"/>
          <w:szCs w:val="20"/>
        </w:rPr>
      </w:pPr>
    </w:p>
    <w:p w:rsidR="00F6585B" w:rsidRDefault="00F6585B" w:rsidP="0097752F">
      <w:pPr>
        <w:spacing w:after="0" w:line="240" w:lineRule="auto"/>
        <w:jc w:val="both"/>
        <w:rPr>
          <w:rFonts w:ascii="Times New Roman" w:hAnsi="Times New Roman" w:cs="Times New Roman"/>
          <w:sz w:val="20"/>
          <w:szCs w:val="20"/>
        </w:rPr>
      </w:pPr>
    </w:p>
    <w:p w:rsidR="00F6585B" w:rsidRDefault="00F6585B" w:rsidP="0097752F">
      <w:pPr>
        <w:spacing w:after="0" w:line="240" w:lineRule="auto"/>
        <w:jc w:val="both"/>
        <w:rPr>
          <w:rFonts w:ascii="Times New Roman" w:hAnsi="Times New Roman" w:cs="Times New Roman"/>
          <w:sz w:val="20"/>
          <w:szCs w:val="20"/>
        </w:rPr>
      </w:pPr>
    </w:p>
    <w:p w:rsidR="00F6585B" w:rsidRDefault="00F6585B" w:rsidP="0097752F">
      <w:pPr>
        <w:spacing w:after="0" w:line="240" w:lineRule="auto"/>
        <w:jc w:val="both"/>
        <w:rPr>
          <w:rFonts w:ascii="Times New Roman" w:hAnsi="Times New Roman" w:cs="Times New Roman"/>
          <w:sz w:val="20"/>
          <w:szCs w:val="20"/>
        </w:rPr>
      </w:pPr>
    </w:p>
    <w:p w:rsidR="00F6585B" w:rsidRDefault="00F6585B" w:rsidP="0097752F">
      <w:pPr>
        <w:spacing w:after="0" w:line="240" w:lineRule="auto"/>
        <w:jc w:val="both"/>
        <w:rPr>
          <w:rFonts w:ascii="Times New Roman" w:hAnsi="Times New Roman" w:cs="Times New Roman"/>
          <w:sz w:val="20"/>
          <w:szCs w:val="20"/>
        </w:rPr>
      </w:pPr>
    </w:p>
    <w:p w:rsidR="0097752F" w:rsidRPr="00FD47BB" w:rsidRDefault="00C970F8" w:rsidP="009775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č.52</w:t>
      </w:r>
      <w:r w:rsidR="0097752F" w:rsidRPr="00A855A4">
        <w:rPr>
          <w:rFonts w:ascii="Times New Roman" w:hAnsi="Times New Roman" w:cs="Times New Roman"/>
          <w:sz w:val="20"/>
          <w:szCs w:val="20"/>
        </w:rPr>
        <w:t xml:space="preserve">: </w:t>
      </w:r>
      <w:r w:rsidR="0097752F" w:rsidRPr="00193623">
        <w:rPr>
          <w:rFonts w:ascii="Times New Roman" w:hAnsi="Times New Roman" w:cs="Times New Roman"/>
          <w:sz w:val="20"/>
          <w:szCs w:val="20"/>
        </w:rPr>
        <w:t xml:space="preserve">Bilancia </w:t>
      </w:r>
      <w:r w:rsidR="0097752F">
        <w:rPr>
          <w:rFonts w:ascii="Times New Roman" w:hAnsi="Times New Roman" w:cs="Times New Roman"/>
          <w:sz w:val="20"/>
          <w:szCs w:val="20"/>
        </w:rPr>
        <w:t>rýb (vrátane morských)</w:t>
      </w:r>
      <w:r w:rsidR="0097752F" w:rsidRPr="00193623">
        <w:rPr>
          <w:rFonts w:ascii="Times New Roman" w:hAnsi="Times New Roman" w:cs="Times New Roman"/>
          <w:sz w:val="20"/>
          <w:szCs w:val="20"/>
        </w:rPr>
        <w:t xml:space="preserve"> v tonách </w:t>
      </w:r>
    </w:p>
    <w:tbl>
      <w:tblPr>
        <w:tblW w:w="9072" w:type="dxa"/>
        <w:tblInd w:w="70" w:type="dxa"/>
        <w:tblCellMar>
          <w:left w:w="70" w:type="dxa"/>
          <w:right w:w="70" w:type="dxa"/>
        </w:tblCellMar>
        <w:tblLook w:val="00A0" w:firstRow="1" w:lastRow="0" w:firstColumn="1" w:lastColumn="0" w:noHBand="0" w:noVBand="0"/>
      </w:tblPr>
      <w:tblGrid>
        <w:gridCol w:w="2835"/>
        <w:gridCol w:w="1276"/>
        <w:gridCol w:w="992"/>
        <w:gridCol w:w="993"/>
        <w:gridCol w:w="992"/>
        <w:gridCol w:w="992"/>
        <w:gridCol w:w="992"/>
      </w:tblGrid>
      <w:tr w:rsidR="0097752F" w:rsidRPr="0019300C" w:rsidTr="00F544BD">
        <w:trPr>
          <w:trHeight w:val="300"/>
        </w:trPr>
        <w:tc>
          <w:tcPr>
            <w:tcW w:w="2835" w:type="dxa"/>
            <w:tcBorders>
              <w:top w:val="single" w:sz="4" w:space="0" w:color="auto"/>
              <w:left w:val="nil"/>
              <w:bottom w:val="single" w:sz="4" w:space="0" w:color="auto"/>
              <w:right w:val="single" w:sz="4" w:space="0" w:color="auto"/>
            </w:tcBorders>
            <w:shd w:val="clear" w:color="000000" w:fill="D9D9D9"/>
            <w:noWrap/>
            <w:vAlign w:val="bottom"/>
          </w:tcPr>
          <w:p w:rsidR="0097752F" w:rsidRPr="00A62C06" w:rsidRDefault="0097752F" w:rsidP="00F544BD">
            <w:pPr>
              <w:spacing w:after="0" w:line="240" w:lineRule="auto"/>
              <w:rPr>
                <w:rFonts w:ascii="Times New Roman" w:hAnsi="Times New Roman" w:cs="Times New Roman"/>
                <w:b/>
                <w:bCs/>
                <w:color w:val="000000"/>
                <w:sz w:val="20"/>
                <w:szCs w:val="20"/>
              </w:rPr>
            </w:pPr>
            <w:r w:rsidRPr="00A62C06">
              <w:rPr>
                <w:rFonts w:ascii="Times New Roman" w:hAnsi="Times New Roman" w:cs="Times New Roman"/>
                <w:b/>
                <w:bCs/>
                <w:color w:val="000000"/>
                <w:sz w:val="20"/>
                <w:szCs w:val="20"/>
              </w:rPr>
              <w:t>Ukazovateľ</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97752F" w:rsidRPr="00A62C06" w:rsidRDefault="0097752F" w:rsidP="00F544BD">
            <w:pPr>
              <w:spacing w:after="0" w:line="240" w:lineRule="auto"/>
              <w:jc w:val="right"/>
              <w:rPr>
                <w:rFonts w:ascii="Times New Roman" w:hAnsi="Times New Roman" w:cs="Times New Roman"/>
                <w:b/>
                <w:bCs/>
                <w:color w:val="000000"/>
                <w:sz w:val="20"/>
                <w:szCs w:val="20"/>
              </w:rPr>
            </w:pPr>
            <w:r w:rsidRPr="00A62C06">
              <w:rPr>
                <w:rFonts w:ascii="Times New Roman" w:hAnsi="Times New Roman" w:cs="Times New Roman"/>
                <w:b/>
                <w:bCs/>
                <w:color w:val="000000"/>
                <w:sz w:val="20"/>
                <w:szCs w:val="20"/>
              </w:rPr>
              <w:t>2002</w:t>
            </w:r>
          </w:p>
        </w:tc>
        <w:tc>
          <w:tcPr>
            <w:tcW w:w="992" w:type="dxa"/>
            <w:tcBorders>
              <w:top w:val="single" w:sz="4" w:space="0" w:color="auto"/>
              <w:left w:val="single" w:sz="4" w:space="0" w:color="auto"/>
              <w:bottom w:val="single" w:sz="4" w:space="0" w:color="auto"/>
              <w:right w:val="nil"/>
            </w:tcBorders>
            <w:shd w:val="clear" w:color="000000" w:fill="D9D9D9"/>
            <w:noWrap/>
            <w:vAlign w:val="bottom"/>
          </w:tcPr>
          <w:p w:rsidR="0097752F" w:rsidRPr="00A62C06" w:rsidRDefault="0097752F" w:rsidP="00F544BD">
            <w:pPr>
              <w:spacing w:after="0" w:line="240" w:lineRule="auto"/>
              <w:jc w:val="right"/>
              <w:rPr>
                <w:rFonts w:ascii="Times New Roman" w:hAnsi="Times New Roman" w:cs="Times New Roman"/>
                <w:b/>
                <w:bCs/>
                <w:color w:val="000000"/>
                <w:sz w:val="20"/>
                <w:szCs w:val="20"/>
              </w:rPr>
            </w:pPr>
            <w:r w:rsidRPr="00A62C06">
              <w:rPr>
                <w:rFonts w:ascii="Times New Roman" w:hAnsi="Times New Roman" w:cs="Times New Roman"/>
                <w:b/>
                <w:bCs/>
                <w:color w:val="000000"/>
                <w:sz w:val="20"/>
                <w:szCs w:val="20"/>
              </w:rPr>
              <w:t>2007</w:t>
            </w:r>
          </w:p>
        </w:tc>
        <w:tc>
          <w:tcPr>
            <w:tcW w:w="993" w:type="dxa"/>
            <w:tcBorders>
              <w:top w:val="single" w:sz="4" w:space="0" w:color="auto"/>
              <w:left w:val="nil"/>
              <w:bottom w:val="single" w:sz="4" w:space="0" w:color="auto"/>
              <w:right w:val="nil"/>
            </w:tcBorders>
            <w:shd w:val="clear" w:color="000000" w:fill="D9D9D9"/>
            <w:noWrap/>
            <w:vAlign w:val="bottom"/>
          </w:tcPr>
          <w:p w:rsidR="0097752F" w:rsidRPr="00A62C06" w:rsidRDefault="0097752F" w:rsidP="00F544BD">
            <w:pPr>
              <w:spacing w:after="0" w:line="240" w:lineRule="auto"/>
              <w:jc w:val="right"/>
              <w:rPr>
                <w:rFonts w:ascii="Times New Roman" w:hAnsi="Times New Roman" w:cs="Times New Roman"/>
                <w:b/>
                <w:bCs/>
                <w:color w:val="000000"/>
                <w:sz w:val="20"/>
                <w:szCs w:val="20"/>
              </w:rPr>
            </w:pPr>
            <w:r w:rsidRPr="00A62C06">
              <w:rPr>
                <w:rFonts w:ascii="Times New Roman" w:hAnsi="Times New Roman" w:cs="Times New Roman"/>
                <w:b/>
                <w:bCs/>
                <w:color w:val="000000"/>
                <w:sz w:val="20"/>
                <w:szCs w:val="20"/>
              </w:rPr>
              <w:t>2008</w:t>
            </w:r>
          </w:p>
        </w:tc>
        <w:tc>
          <w:tcPr>
            <w:tcW w:w="992" w:type="dxa"/>
            <w:tcBorders>
              <w:top w:val="single" w:sz="4" w:space="0" w:color="auto"/>
              <w:left w:val="nil"/>
              <w:bottom w:val="single" w:sz="4" w:space="0" w:color="auto"/>
              <w:right w:val="nil"/>
            </w:tcBorders>
            <w:shd w:val="clear" w:color="000000" w:fill="D9D9D9"/>
            <w:noWrap/>
            <w:vAlign w:val="bottom"/>
          </w:tcPr>
          <w:p w:rsidR="0097752F" w:rsidRPr="00A62C06" w:rsidRDefault="0097752F" w:rsidP="00F544BD">
            <w:pPr>
              <w:spacing w:after="0" w:line="240" w:lineRule="auto"/>
              <w:jc w:val="right"/>
              <w:rPr>
                <w:rFonts w:ascii="Times New Roman" w:hAnsi="Times New Roman" w:cs="Times New Roman"/>
                <w:b/>
                <w:bCs/>
                <w:color w:val="000000"/>
                <w:sz w:val="20"/>
                <w:szCs w:val="20"/>
              </w:rPr>
            </w:pPr>
            <w:r w:rsidRPr="00A62C06">
              <w:rPr>
                <w:rFonts w:ascii="Times New Roman" w:hAnsi="Times New Roman" w:cs="Times New Roman"/>
                <w:b/>
                <w:bCs/>
                <w:color w:val="000000"/>
                <w:sz w:val="20"/>
                <w:szCs w:val="20"/>
              </w:rPr>
              <w:t>2009</w:t>
            </w:r>
          </w:p>
        </w:tc>
        <w:tc>
          <w:tcPr>
            <w:tcW w:w="992" w:type="dxa"/>
            <w:tcBorders>
              <w:top w:val="single" w:sz="4" w:space="0" w:color="auto"/>
              <w:left w:val="nil"/>
              <w:bottom w:val="single" w:sz="4" w:space="0" w:color="auto"/>
              <w:right w:val="nil"/>
            </w:tcBorders>
            <w:shd w:val="clear" w:color="000000" w:fill="D9D9D9"/>
            <w:noWrap/>
            <w:vAlign w:val="bottom"/>
          </w:tcPr>
          <w:p w:rsidR="0097752F" w:rsidRPr="00A62C06" w:rsidRDefault="0097752F" w:rsidP="00F544BD">
            <w:pPr>
              <w:spacing w:after="0" w:line="240" w:lineRule="auto"/>
              <w:jc w:val="right"/>
              <w:rPr>
                <w:rFonts w:ascii="Times New Roman" w:hAnsi="Times New Roman" w:cs="Times New Roman"/>
                <w:b/>
                <w:bCs/>
                <w:color w:val="000000"/>
                <w:sz w:val="20"/>
                <w:szCs w:val="20"/>
              </w:rPr>
            </w:pPr>
            <w:r w:rsidRPr="00A62C06">
              <w:rPr>
                <w:rFonts w:ascii="Times New Roman" w:hAnsi="Times New Roman" w:cs="Times New Roman"/>
                <w:b/>
                <w:bCs/>
                <w:color w:val="000000"/>
                <w:sz w:val="20"/>
                <w:szCs w:val="20"/>
              </w:rPr>
              <w:t>2010</w:t>
            </w:r>
          </w:p>
        </w:tc>
        <w:tc>
          <w:tcPr>
            <w:tcW w:w="992" w:type="dxa"/>
            <w:tcBorders>
              <w:top w:val="single" w:sz="4" w:space="0" w:color="auto"/>
              <w:left w:val="nil"/>
              <w:bottom w:val="single" w:sz="4" w:space="0" w:color="auto"/>
              <w:right w:val="nil"/>
            </w:tcBorders>
            <w:shd w:val="clear" w:color="000000" w:fill="D9D9D9"/>
            <w:noWrap/>
            <w:vAlign w:val="bottom"/>
          </w:tcPr>
          <w:p w:rsidR="0097752F" w:rsidRPr="00A62C06" w:rsidRDefault="0097752F" w:rsidP="00F544BD">
            <w:pPr>
              <w:spacing w:after="0" w:line="240" w:lineRule="auto"/>
              <w:jc w:val="right"/>
              <w:rPr>
                <w:rFonts w:ascii="Times New Roman" w:hAnsi="Times New Roman" w:cs="Times New Roman"/>
                <w:b/>
                <w:bCs/>
                <w:color w:val="000000"/>
                <w:sz w:val="20"/>
                <w:szCs w:val="20"/>
              </w:rPr>
            </w:pPr>
            <w:r w:rsidRPr="00A62C06">
              <w:rPr>
                <w:rFonts w:ascii="Times New Roman" w:hAnsi="Times New Roman" w:cs="Times New Roman"/>
                <w:b/>
                <w:bCs/>
                <w:color w:val="000000"/>
                <w:sz w:val="20"/>
                <w:szCs w:val="20"/>
              </w:rPr>
              <w:t>2011</w:t>
            </w:r>
          </w:p>
        </w:tc>
      </w:tr>
      <w:tr w:rsidR="0097752F" w:rsidRPr="0019300C" w:rsidTr="00F544BD">
        <w:trPr>
          <w:trHeight w:val="300"/>
        </w:trPr>
        <w:tc>
          <w:tcPr>
            <w:tcW w:w="2835" w:type="dxa"/>
            <w:tcBorders>
              <w:top w:val="nil"/>
              <w:left w:val="nil"/>
              <w:bottom w:val="single" w:sz="4" w:space="0" w:color="auto"/>
              <w:right w:val="single" w:sz="4" w:space="0" w:color="auto"/>
            </w:tcBorders>
            <w:noWrap/>
            <w:vAlign w:val="bottom"/>
          </w:tcPr>
          <w:p w:rsidR="0097752F" w:rsidRPr="00A62C06" w:rsidRDefault="0097752F" w:rsidP="00F544BD">
            <w:pPr>
              <w:spacing w:after="0" w:line="240" w:lineRule="auto"/>
              <w:rPr>
                <w:rFonts w:ascii="Times New Roman" w:hAnsi="Times New Roman" w:cs="Times New Roman"/>
                <w:color w:val="000000"/>
                <w:sz w:val="20"/>
                <w:szCs w:val="20"/>
              </w:rPr>
            </w:pPr>
            <w:r w:rsidRPr="00A62C06">
              <w:rPr>
                <w:rFonts w:ascii="Times New Roman" w:hAnsi="Times New Roman" w:cs="Times New Roman"/>
                <w:color w:val="000000"/>
                <w:sz w:val="20"/>
                <w:szCs w:val="20"/>
              </w:rPr>
              <w:t>Počiatočné zásoby</w:t>
            </w:r>
          </w:p>
        </w:tc>
        <w:tc>
          <w:tcPr>
            <w:tcW w:w="1276" w:type="dxa"/>
            <w:tcBorders>
              <w:top w:val="nil"/>
              <w:left w:val="nil"/>
              <w:bottom w:val="single" w:sz="4" w:space="0" w:color="auto"/>
              <w:right w:val="single" w:sz="4" w:space="0" w:color="auto"/>
            </w:tcBorders>
            <w:noWrap/>
            <w:vAlign w:val="bottom"/>
          </w:tcPr>
          <w:p w:rsidR="0097752F" w:rsidRPr="00A62C06" w:rsidRDefault="0097752F" w:rsidP="00F544B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992" w:type="dxa"/>
            <w:tcBorders>
              <w:top w:val="nil"/>
              <w:left w:val="single" w:sz="4" w:space="0" w:color="auto"/>
              <w:bottom w:val="single" w:sz="4" w:space="0" w:color="auto"/>
              <w:right w:val="nil"/>
            </w:tcBorders>
            <w:noWrap/>
            <w:vAlign w:val="bottom"/>
          </w:tcPr>
          <w:p w:rsidR="0097752F" w:rsidRPr="00A62C06" w:rsidRDefault="0097752F" w:rsidP="00F544B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993" w:type="dxa"/>
            <w:tcBorders>
              <w:top w:val="nil"/>
              <w:left w:val="nil"/>
              <w:bottom w:val="single" w:sz="4" w:space="0" w:color="auto"/>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900</w:t>
            </w:r>
          </w:p>
        </w:tc>
        <w:tc>
          <w:tcPr>
            <w:tcW w:w="992" w:type="dxa"/>
            <w:tcBorders>
              <w:top w:val="nil"/>
              <w:left w:val="nil"/>
              <w:bottom w:val="single" w:sz="4" w:space="0" w:color="auto"/>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1 277</w:t>
            </w:r>
          </w:p>
        </w:tc>
        <w:tc>
          <w:tcPr>
            <w:tcW w:w="992" w:type="dxa"/>
            <w:tcBorders>
              <w:top w:val="nil"/>
              <w:left w:val="nil"/>
              <w:bottom w:val="single" w:sz="4" w:space="0" w:color="auto"/>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959</w:t>
            </w:r>
          </w:p>
        </w:tc>
        <w:tc>
          <w:tcPr>
            <w:tcW w:w="992" w:type="dxa"/>
            <w:tcBorders>
              <w:top w:val="nil"/>
              <w:left w:val="nil"/>
              <w:bottom w:val="single" w:sz="4" w:space="0" w:color="auto"/>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595</w:t>
            </w:r>
          </w:p>
        </w:tc>
      </w:tr>
      <w:tr w:rsidR="0097752F" w:rsidRPr="0019300C" w:rsidTr="00F544BD">
        <w:trPr>
          <w:trHeight w:val="300"/>
        </w:trPr>
        <w:tc>
          <w:tcPr>
            <w:tcW w:w="2835" w:type="dxa"/>
            <w:tcBorders>
              <w:top w:val="nil"/>
              <w:left w:val="nil"/>
              <w:bottom w:val="nil"/>
              <w:right w:val="single" w:sz="4" w:space="0" w:color="auto"/>
            </w:tcBorders>
            <w:noWrap/>
            <w:vAlign w:val="bottom"/>
          </w:tcPr>
          <w:p w:rsidR="0097752F" w:rsidRPr="00A62C06" w:rsidRDefault="0097752F" w:rsidP="00F544B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w:t>
            </w:r>
            <w:r w:rsidRPr="00A62C06">
              <w:rPr>
                <w:rFonts w:ascii="Times New Roman" w:hAnsi="Times New Roman" w:cs="Times New Roman"/>
                <w:color w:val="000000"/>
                <w:sz w:val="20"/>
                <w:szCs w:val="20"/>
              </w:rPr>
              <w:t>rodukcia</w:t>
            </w:r>
          </w:p>
        </w:tc>
        <w:tc>
          <w:tcPr>
            <w:tcW w:w="1276" w:type="dxa"/>
            <w:tcBorders>
              <w:top w:val="nil"/>
              <w:left w:val="nil"/>
              <w:bottom w:val="nil"/>
              <w:right w:val="single" w:sz="4" w:space="0" w:color="auto"/>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2 577</w:t>
            </w:r>
          </w:p>
        </w:tc>
        <w:tc>
          <w:tcPr>
            <w:tcW w:w="992" w:type="dxa"/>
            <w:tcBorders>
              <w:top w:val="nil"/>
              <w:left w:val="single" w:sz="4" w:space="0" w:color="auto"/>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2871</w:t>
            </w:r>
          </w:p>
        </w:tc>
        <w:tc>
          <w:tcPr>
            <w:tcW w:w="993" w:type="dxa"/>
            <w:tcBorders>
              <w:top w:val="nil"/>
              <w:left w:val="nil"/>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2734</w:t>
            </w:r>
          </w:p>
        </w:tc>
        <w:tc>
          <w:tcPr>
            <w:tcW w:w="992" w:type="dxa"/>
            <w:tcBorders>
              <w:top w:val="nil"/>
              <w:left w:val="nil"/>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2584</w:t>
            </w:r>
          </w:p>
        </w:tc>
        <w:tc>
          <w:tcPr>
            <w:tcW w:w="992" w:type="dxa"/>
            <w:tcBorders>
              <w:top w:val="nil"/>
              <w:left w:val="nil"/>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2296</w:t>
            </w:r>
          </w:p>
        </w:tc>
        <w:tc>
          <w:tcPr>
            <w:tcW w:w="992" w:type="dxa"/>
            <w:tcBorders>
              <w:top w:val="nil"/>
              <w:left w:val="nil"/>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2750</w:t>
            </w:r>
          </w:p>
        </w:tc>
      </w:tr>
      <w:tr w:rsidR="0097752F" w:rsidRPr="0019300C" w:rsidTr="00F544BD">
        <w:trPr>
          <w:trHeight w:val="300"/>
        </w:trPr>
        <w:tc>
          <w:tcPr>
            <w:tcW w:w="2835" w:type="dxa"/>
            <w:tcBorders>
              <w:top w:val="nil"/>
              <w:left w:val="nil"/>
              <w:bottom w:val="nil"/>
              <w:right w:val="single" w:sz="4" w:space="0" w:color="auto"/>
            </w:tcBorders>
            <w:noWrap/>
            <w:vAlign w:val="bottom"/>
          </w:tcPr>
          <w:p w:rsidR="0097752F" w:rsidRPr="00A62C06" w:rsidRDefault="0097752F" w:rsidP="00F544BD">
            <w:pPr>
              <w:spacing w:after="0" w:line="240" w:lineRule="auto"/>
              <w:rPr>
                <w:rFonts w:ascii="Times New Roman" w:hAnsi="Times New Roman" w:cs="Times New Roman"/>
                <w:color w:val="000000"/>
                <w:sz w:val="20"/>
                <w:szCs w:val="20"/>
              </w:rPr>
            </w:pPr>
            <w:r w:rsidRPr="00A62C06">
              <w:rPr>
                <w:rFonts w:ascii="Times New Roman" w:hAnsi="Times New Roman" w:cs="Times New Roman"/>
                <w:color w:val="000000"/>
                <w:sz w:val="20"/>
                <w:szCs w:val="20"/>
              </w:rPr>
              <w:t>Dovoz</w:t>
            </w:r>
          </w:p>
        </w:tc>
        <w:tc>
          <w:tcPr>
            <w:tcW w:w="1276" w:type="dxa"/>
            <w:tcBorders>
              <w:top w:val="nil"/>
              <w:left w:val="nil"/>
              <w:bottom w:val="nil"/>
              <w:right w:val="single" w:sz="4" w:space="0" w:color="auto"/>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15580</w:t>
            </w:r>
          </w:p>
        </w:tc>
        <w:tc>
          <w:tcPr>
            <w:tcW w:w="992" w:type="dxa"/>
            <w:tcBorders>
              <w:top w:val="nil"/>
              <w:left w:val="single" w:sz="4" w:space="0" w:color="auto"/>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13826</w:t>
            </w:r>
          </w:p>
        </w:tc>
        <w:tc>
          <w:tcPr>
            <w:tcW w:w="993" w:type="dxa"/>
            <w:tcBorders>
              <w:top w:val="nil"/>
              <w:left w:val="nil"/>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14772</w:t>
            </w:r>
          </w:p>
        </w:tc>
        <w:tc>
          <w:tcPr>
            <w:tcW w:w="992" w:type="dxa"/>
            <w:tcBorders>
              <w:top w:val="nil"/>
              <w:left w:val="nil"/>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13059</w:t>
            </w:r>
          </w:p>
        </w:tc>
        <w:tc>
          <w:tcPr>
            <w:tcW w:w="992" w:type="dxa"/>
            <w:tcBorders>
              <w:top w:val="nil"/>
              <w:left w:val="nil"/>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15300</w:t>
            </w:r>
          </w:p>
        </w:tc>
        <w:tc>
          <w:tcPr>
            <w:tcW w:w="992" w:type="dxa"/>
            <w:tcBorders>
              <w:top w:val="nil"/>
              <w:left w:val="nil"/>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14770</w:t>
            </w:r>
          </w:p>
        </w:tc>
      </w:tr>
      <w:tr w:rsidR="0097752F" w:rsidRPr="0019300C" w:rsidTr="00F544BD">
        <w:trPr>
          <w:trHeight w:val="300"/>
        </w:trPr>
        <w:tc>
          <w:tcPr>
            <w:tcW w:w="2835" w:type="dxa"/>
            <w:tcBorders>
              <w:top w:val="nil"/>
              <w:left w:val="nil"/>
              <w:bottom w:val="nil"/>
              <w:right w:val="single" w:sz="4" w:space="0" w:color="auto"/>
            </w:tcBorders>
            <w:shd w:val="clear" w:color="000000" w:fill="F2F2F2"/>
            <w:noWrap/>
            <w:vAlign w:val="bottom"/>
          </w:tcPr>
          <w:p w:rsidR="0097752F" w:rsidRPr="00A62C06" w:rsidRDefault="0097752F" w:rsidP="00F544BD">
            <w:pPr>
              <w:spacing w:after="0" w:line="240" w:lineRule="auto"/>
              <w:rPr>
                <w:rFonts w:ascii="Times New Roman" w:hAnsi="Times New Roman" w:cs="Times New Roman"/>
                <w:b/>
                <w:bCs/>
                <w:color w:val="000000"/>
                <w:sz w:val="20"/>
                <w:szCs w:val="20"/>
              </w:rPr>
            </w:pPr>
            <w:r w:rsidRPr="00A62C06">
              <w:rPr>
                <w:rFonts w:ascii="Times New Roman" w:hAnsi="Times New Roman" w:cs="Times New Roman"/>
                <w:b/>
                <w:bCs/>
                <w:color w:val="000000"/>
                <w:sz w:val="20"/>
                <w:szCs w:val="20"/>
              </w:rPr>
              <w:t>Celková ponuka</w:t>
            </w:r>
          </w:p>
        </w:tc>
        <w:tc>
          <w:tcPr>
            <w:tcW w:w="1276" w:type="dxa"/>
            <w:tcBorders>
              <w:top w:val="nil"/>
              <w:left w:val="nil"/>
              <w:bottom w:val="nil"/>
              <w:right w:val="single" w:sz="4" w:space="0" w:color="auto"/>
            </w:tcBorders>
            <w:shd w:val="clear" w:color="000000" w:fill="F2F2F2"/>
            <w:noWrap/>
            <w:vAlign w:val="bottom"/>
          </w:tcPr>
          <w:p w:rsidR="0097752F" w:rsidRPr="00A62C06" w:rsidRDefault="0097752F" w:rsidP="00F544BD">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18187</w:t>
            </w:r>
          </w:p>
        </w:tc>
        <w:tc>
          <w:tcPr>
            <w:tcW w:w="992" w:type="dxa"/>
            <w:tcBorders>
              <w:top w:val="nil"/>
              <w:left w:val="single" w:sz="4" w:space="0" w:color="auto"/>
              <w:bottom w:val="nil"/>
              <w:right w:val="nil"/>
            </w:tcBorders>
            <w:shd w:val="clear" w:color="000000" w:fill="F2F2F2"/>
            <w:noWrap/>
            <w:vAlign w:val="bottom"/>
          </w:tcPr>
          <w:p w:rsidR="0097752F" w:rsidRPr="00A62C06" w:rsidRDefault="0097752F" w:rsidP="00F544BD">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16697</w:t>
            </w:r>
          </w:p>
        </w:tc>
        <w:tc>
          <w:tcPr>
            <w:tcW w:w="993" w:type="dxa"/>
            <w:tcBorders>
              <w:top w:val="nil"/>
              <w:left w:val="nil"/>
              <w:bottom w:val="nil"/>
              <w:right w:val="nil"/>
            </w:tcBorders>
            <w:shd w:val="clear" w:color="000000" w:fill="F2F2F2"/>
            <w:noWrap/>
            <w:vAlign w:val="bottom"/>
          </w:tcPr>
          <w:p w:rsidR="0097752F" w:rsidRPr="00A62C06" w:rsidRDefault="0097752F" w:rsidP="00F544BD">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18406</w:t>
            </w:r>
          </w:p>
        </w:tc>
        <w:tc>
          <w:tcPr>
            <w:tcW w:w="992" w:type="dxa"/>
            <w:tcBorders>
              <w:top w:val="nil"/>
              <w:left w:val="nil"/>
              <w:bottom w:val="nil"/>
              <w:right w:val="nil"/>
            </w:tcBorders>
            <w:shd w:val="clear" w:color="000000" w:fill="F2F2F2"/>
            <w:noWrap/>
            <w:vAlign w:val="bottom"/>
          </w:tcPr>
          <w:p w:rsidR="0097752F" w:rsidRPr="00A62C06" w:rsidRDefault="0097752F" w:rsidP="00F544BD">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16920</w:t>
            </w:r>
          </w:p>
        </w:tc>
        <w:tc>
          <w:tcPr>
            <w:tcW w:w="992" w:type="dxa"/>
            <w:tcBorders>
              <w:top w:val="nil"/>
              <w:left w:val="nil"/>
              <w:bottom w:val="nil"/>
              <w:right w:val="nil"/>
            </w:tcBorders>
            <w:shd w:val="clear" w:color="000000" w:fill="F2F2F2"/>
            <w:noWrap/>
            <w:vAlign w:val="bottom"/>
          </w:tcPr>
          <w:p w:rsidR="0097752F" w:rsidRPr="00A62C06" w:rsidRDefault="0097752F" w:rsidP="00F544BD">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18555</w:t>
            </w:r>
          </w:p>
        </w:tc>
        <w:tc>
          <w:tcPr>
            <w:tcW w:w="992" w:type="dxa"/>
            <w:tcBorders>
              <w:top w:val="nil"/>
              <w:left w:val="nil"/>
              <w:bottom w:val="nil"/>
              <w:right w:val="nil"/>
            </w:tcBorders>
            <w:shd w:val="clear" w:color="000000" w:fill="F2F2F2"/>
            <w:noWrap/>
            <w:vAlign w:val="bottom"/>
          </w:tcPr>
          <w:p w:rsidR="0097752F" w:rsidRPr="00A62C06" w:rsidRDefault="0097752F" w:rsidP="00F544BD">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18115</w:t>
            </w:r>
          </w:p>
        </w:tc>
      </w:tr>
      <w:tr w:rsidR="0097752F" w:rsidRPr="0019300C" w:rsidTr="00F544BD">
        <w:trPr>
          <w:trHeight w:val="300"/>
        </w:trPr>
        <w:tc>
          <w:tcPr>
            <w:tcW w:w="2835" w:type="dxa"/>
            <w:tcBorders>
              <w:top w:val="nil"/>
              <w:left w:val="nil"/>
              <w:bottom w:val="nil"/>
              <w:right w:val="single" w:sz="4" w:space="0" w:color="auto"/>
            </w:tcBorders>
            <w:noWrap/>
            <w:vAlign w:val="bottom"/>
          </w:tcPr>
          <w:p w:rsidR="0097752F" w:rsidRPr="00A62C06" w:rsidRDefault="0097752F" w:rsidP="00F544BD">
            <w:pPr>
              <w:spacing w:after="0" w:line="240" w:lineRule="auto"/>
              <w:rPr>
                <w:rFonts w:ascii="Times New Roman" w:hAnsi="Times New Roman" w:cs="Times New Roman"/>
                <w:color w:val="000000"/>
                <w:sz w:val="20"/>
                <w:szCs w:val="20"/>
              </w:rPr>
            </w:pPr>
            <w:r w:rsidRPr="00A62C06">
              <w:rPr>
                <w:rFonts w:ascii="Times New Roman" w:hAnsi="Times New Roman" w:cs="Times New Roman"/>
                <w:color w:val="000000"/>
                <w:sz w:val="20"/>
                <w:szCs w:val="20"/>
              </w:rPr>
              <w:t>Vývoz</w:t>
            </w:r>
          </w:p>
        </w:tc>
        <w:tc>
          <w:tcPr>
            <w:tcW w:w="1276" w:type="dxa"/>
            <w:tcBorders>
              <w:top w:val="nil"/>
              <w:left w:val="nil"/>
              <w:bottom w:val="nil"/>
              <w:right w:val="single" w:sz="4" w:space="0" w:color="auto"/>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536</w:t>
            </w:r>
          </w:p>
        </w:tc>
        <w:tc>
          <w:tcPr>
            <w:tcW w:w="992" w:type="dxa"/>
            <w:tcBorders>
              <w:top w:val="nil"/>
              <w:left w:val="single" w:sz="4" w:space="0" w:color="auto"/>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626</w:t>
            </w:r>
          </w:p>
        </w:tc>
        <w:tc>
          <w:tcPr>
            <w:tcW w:w="993" w:type="dxa"/>
            <w:tcBorders>
              <w:top w:val="nil"/>
              <w:left w:val="nil"/>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128</w:t>
            </w:r>
          </w:p>
        </w:tc>
        <w:tc>
          <w:tcPr>
            <w:tcW w:w="992" w:type="dxa"/>
            <w:tcBorders>
              <w:top w:val="nil"/>
              <w:left w:val="nil"/>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900</w:t>
            </w:r>
          </w:p>
        </w:tc>
        <w:tc>
          <w:tcPr>
            <w:tcW w:w="992" w:type="dxa"/>
            <w:tcBorders>
              <w:top w:val="nil"/>
              <w:left w:val="nil"/>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128</w:t>
            </w:r>
          </w:p>
        </w:tc>
        <w:tc>
          <w:tcPr>
            <w:tcW w:w="992" w:type="dxa"/>
            <w:tcBorders>
              <w:top w:val="nil"/>
              <w:left w:val="nil"/>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3692</w:t>
            </w:r>
          </w:p>
        </w:tc>
      </w:tr>
      <w:tr w:rsidR="0097752F" w:rsidRPr="0019300C" w:rsidTr="00F544BD">
        <w:trPr>
          <w:trHeight w:val="300"/>
        </w:trPr>
        <w:tc>
          <w:tcPr>
            <w:tcW w:w="2835" w:type="dxa"/>
            <w:tcBorders>
              <w:top w:val="nil"/>
              <w:left w:val="nil"/>
              <w:bottom w:val="nil"/>
              <w:right w:val="single" w:sz="4" w:space="0" w:color="auto"/>
            </w:tcBorders>
            <w:noWrap/>
            <w:vAlign w:val="bottom"/>
          </w:tcPr>
          <w:p w:rsidR="0097752F" w:rsidRPr="00A62C06" w:rsidRDefault="0097752F" w:rsidP="00F544B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Spotreba rýb</w:t>
            </w:r>
          </w:p>
        </w:tc>
        <w:tc>
          <w:tcPr>
            <w:tcW w:w="1276" w:type="dxa"/>
            <w:tcBorders>
              <w:top w:val="nil"/>
              <w:left w:val="nil"/>
              <w:bottom w:val="nil"/>
              <w:right w:val="single" w:sz="4" w:space="0" w:color="auto"/>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23 667</w:t>
            </w:r>
          </w:p>
        </w:tc>
        <w:tc>
          <w:tcPr>
            <w:tcW w:w="992" w:type="dxa"/>
            <w:tcBorders>
              <w:top w:val="nil"/>
              <w:left w:val="single" w:sz="4" w:space="0" w:color="auto"/>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25370</w:t>
            </w:r>
          </w:p>
        </w:tc>
        <w:tc>
          <w:tcPr>
            <w:tcW w:w="993" w:type="dxa"/>
            <w:tcBorders>
              <w:top w:val="nil"/>
              <w:left w:val="nil"/>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26494</w:t>
            </w:r>
          </w:p>
        </w:tc>
        <w:tc>
          <w:tcPr>
            <w:tcW w:w="992" w:type="dxa"/>
            <w:tcBorders>
              <w:top w:val="nil"/>
              <w:left w:val="nil"/>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24925</w:t>
            </w:r>
          </w:p>
        </w:tc>
        <w:tc>
          <w:tcPr>
            <w:tcW w:w="992" w:type="dxa"/>
            <w:tcBorders>
              <w:top w:val="nil"/>
              <w:left w:val="nil"/>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27698</w:t>
            </w:r>
          </w:p>
        </w:tc>
        <w:tc>
          <w:tcPr>
            <w:tcW w:w="992" w:type="dxa"/>
            <w:tcBorders>
              <w:top w:val="nil"/>
              <w:left w:val="nil"/>
              <w:bottom w:val="nil"/>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25912</w:t>
            </w:r>
          </w:p>
        </w:tc>
      </w:tr>
      <w:tr w:rsidR="0097752F" w:rsidRPr="0019300C" w:rsidTr="00F544BD">
        <w:trPr>
          <w:trHeight w:val="300"/>
        </w:trPr>
        <w:tc>
          <w:tcPr>
            <w:tcW w:w="2835" w:type="dxa"/>
            <w:tcBorders>
              <w:top w:val="nil"/>
              <w:left w:val="nil"/>
              <w:bottom w:val="nil"/>
              <w:right w:val="single" w:sz="4" w:space="0" w:color="auto"/>
            </w:tcBorders>
            <w:shd w:val="clear" w:color="000000" w:fill="F2F2F2"/>
            <w:noWrap/>
            <w:vAlign w:val="bottom"/>
          </w:tcPr>
          <w:p w:rsidR="0097752F" w:rsidRPr="00A62C06" w:rsidRDefault="0097752F" w:rsidP="00F544BD">
            <w:pPr>
              <w:spacing w:after="0" w:line="240" w:lineRule="auto"/>
              <w:rPr>
                <w:rFonts w:ascii="Times New Roman" w:hAnsi="Times New Roman" w:cs="Times New Roman"/>
                <w:b/>
                <w:bCs/>
                <w:color w:val="000000"/>
                <w:sz w:val="20"/>
                <w:szCs w:val="20"/>
              </w:rPr>
            </w:pPr>
            <w:r w:rsidRPr="00A62C06">
              <w:rPr>
                <w:rFonts w:ascii="Times New Roman" w:hAnsi="Times New Roman" w:cs="Times New Roman"/>
                <w:b/>
                <w:bCs/>
                <w:color w:val="000000"/>
                <w:sz w:val="20"/>
                <w:szCs w:val="20"/>
              </w:rPr>
              <w:t>Celkové použitie</w:t>
            </w:r>
          </w:p>
        </w:tc>
        <w:tc>
          <w:tcPr>
            <w:tcW w:w="1276" w:type="dxa"/>
            <w:tcBorders>
              <w:top w:val="nil"/>
              <w:left w:val="nil"/>
              <w:bottom w:val="nil"/>
              <w:right w:val="single" w:sz="4" w:space="0" w:color="auto"/>
            </w:tcBorders>
            <w:shd w:val="clear" w:color="000000" w:fill="F2F2F2"/>
            <w:noWrap/>
            <w:vAlign w:val="bottom"/>
          </w:tcPr>
          <w:p w:rsidR="0097752F" w:rsidRPr="00A62C06" w:rsidRDefault="0097752F" w:rsidP="00F544BD">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24203</w:t>
            </w:r>
          </w:p>
        </w:tc>
        <w:tc>
          <w:tcPr>
            <w:tcW w:w="992" w:type="dxa"/>
            <w:tcBorders>
              <w:top w:val="nil"/>
              <w:left w:val="single" w:sz="4" w:space="0" w:color="auto"/>
              <w:bottom w:val="nil"/>
              <w:right w:val="nil"/>
            </w:tcBorders>
            <w:shd w:val="clear" w:color="000000" w:fill="F2F2F2"/>
            <w:noWrap/>
            <w:vAlign w:val="bottom"/>
          </w:tcPr>
          <w:p w:rsidR="0097752F" w:rsidRPr="00A62C06" w:rsidRDefault="0097752F" w:rsidP="00F544BD">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25996</w:t>
            </w:r>
          </w:p>
        </w:tc>
        <w:tc>
          <w:tcPr>
            <w:tcW w:w="993" w:type="dxa"/>
            <w:tcBorders>
              <w:top w:val="nil"/>
              <w:left w:val="nil"/>
              <w:bottom w:val="nil"/>
              <w:right w:val="nil"/>
            </w:tcBorders>
            <w:shd w:val="clear" w:color="000000" w:fill="F2F2F2"/>
            <w:noWrap/>
            <w:vAlign w:val="bottom"/>
          </w:tcPr>
          <w:p w:rsidR="0097752F" w:rsidRPr="00A62C06" w:rsidRDefault="0097752F" w:rsidP="00F544BD">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26622</w:t>
            </w:r>
          </w:p>
        </w:tc>
        <w:tc>
          <w:tcPr>
            <w:tcW w:w="992" w:type="dxa"/>
            <w:tcBorders>
              <w:top w:val="nil"/>
              <w:left w:val="nil"/>
              <w:bottom w:val="nil"/>
              <w:right w:val="nil"/>
            </w:tcBorders>
            <w:shd w:val="clear" w:color="000000" w:fill="F2F2F2"/>
            <w:noWrap/>
            <w:vAlign w:val="bottom"/>
          </w:tcPr>
          <w:p w:rsidR="0097752F" w:rsidRPr="00A62C06" w:rsidRDefault="0097752F" w:rsidP="00F544BD">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25825</w:t>
            </w:r>
          </w:p>
        </w:tc>
        <w:tc>
          <w:tcPr>
            <w:tcW w:w="992" w:type="dxa"/>
            <w:tcBorders>
              <w:top w:val="nil"/>
              <w:left w:val="nil"/>
              <w:bottom w:val="nil"/>
              <w:right w:val="nil"/>
            </w:tcBorders>
            <w:shd w:val="clear" w:color="000000" w:fill="F2F2F2"/>
            <w:noWrap/>
            <w:vAlign w:val="bottom"/>
          </w:tcPr>
          <w:p w:rsidR="0097752F" w:rsidRPr="00A62C06" w:rsidRDefault="0097752F" w:rsidP="00F544BD">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27826</w:t>
            </w:r>
          </w:p>
        </w:tc>
        <w:tc>
          <w:tcPr>
            <w:tcW w:w="992" w:type="dxa"/>
            <w:tcBorders>
              <w:top w:val="nil"/>
              <w:left w:val="nil"/>
              <w:bottom w:val="nil"/>
              <w:right w:val="nil"/>
            </w:tcBorders>
            <w:shd w:val="clear" w:color="000000" w:fill="F2F2F2"/>
            <w:noWrap/>
            <w:vAlign w:val="bottom"/>
          </w:tcPr>
          <w:p w:rsidR="0097752F" w:rsidRPr="00A62C06" w:rsidRDefault="0097752F" w:rsidP="00F544BD">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29604</w:t>
            </w:r>
          </w:p>
        </w:tc>
      </w:tr>
      <w:tr w:rsidR="0097752F" w:rsidRPr="0019300C" w:rsidTr="00F544BD">
        <w:trPr>
          <w:trHeight w:val="300"/>
        </w:trPr>
        <w:tc>
          <w:tcPr>
            <w:tcW w:w="2835" w:type="dxa"/>
            <w:tcBorders>
              <w:top w:val="nil"/>
              <w:left w:val="nil"/>
              <w:bottom w:val="single" w:sz="4" w:space="0" w:color="auto"/>
              <w:right w:val="single" w:sz="4" w:space="0" w:color="auto"/>
            </w:tcBorders>
            <w:noWrap/>
            <w:vAlign w:val="bottom"/>
          </w:tcPr>
          <w:p w:rsidR="0097752F" w:rsidRPr="00A62C06" w:rsidRDefault="0097752F" w:rsidP="00F544BD">
            <w:pPr>
              <w:spacing w:after="0" w:line="240" w:lineRule="auto"/>
              <w:rPr>
                <w:rFonts w:ascii="Times New Roman" w:hAnsi="Times New Roman" w:cs="Times New Roman"/>
                <w:color w:val="000000"/>
                <w:sz w:val="20"/>
                <w:szCs w:val="20"/>
              </w:rPr>
            </w:pPr>
            <w:r w:rsidRPr="00A62C06">
              <w:rPr>
                <w:rFonts w:ascii="Times New Roman" w:hAnsi="Times New Roman" w:cs="Times New Roman"/>
                <w:color w:val="000000"/>
                <w:sz w:val="20"/>
                <w:szCs w:val="20"/>
              </w:rPr>
              <w:t>Konečné zásoby</w:t>
            </w:r>
          </w:p>
        </w:tc>
        <w:tc>
          <w:tcPr>
            <w:tcW w:w="1276" w:type="dxa"/>
            <w:tcBorders>
              <w:top w:val="nil"/>
              <w:left w:val="nil"/>
              <w:bottom w:val="single" w:sz="4" w:space="0" w:color="auto"/>
              <w:right w:val="single" w:sz="4" w:space="0" w:color="auto"/>
            </w:tcBorders>
            <w:noWrap/>
            <w:vAlign w:val="bottom"/>
          </w:tcPr>
          <w:p w:rsidR="0097752F" w:rsidRPr="00A62C06" w:rsidRDefault="0097752F" w:rsidP="00F544B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992" w:type="dxa"/>
            <w:tcBorders>
              <w:top w:val="nil"/>
              <w:left w:val="single" w:sz="4" w:space="0" w:color="auto"/>
              <w:bottom w:val="single" w:sz="4" w:space="0" w:color="auto"/>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900</w:t>
            </w:r>
          </w:p>
        </w:tc>
        <w:tc>
          <w:tcPr>
            <w:tcW w:w="993" w:type="dxa"/>
            <w:tcBorders>
              <w:top w:val="nil"/>
              <w:left w:val="nil"/>
              <w:bottom w:val="single" w:sz="4" w:space="0" w:color="auto"/>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1277</w:t>
            </w:r>
          </w:p>
        </w:tc>
        <w:tc>
          <w:tcPr>
            <w:tcW w:w="992" w:type="dxa"/>
            <w:tcBorders>
              <w:top w:val="nil"/>
              <w:left w:val="nil"/>
              <w:bottom w:val="single" w:sz="4" w:space="0" w:color="auto"/>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959</w:t>
            </w:r>
          </w:p>
        </w:tc>
        <w:tc>
          <w:tcPr>
            <w:tcW w:w="992" w:type="dxa"/>
            <w:tcBorders>
              <w:top w:val="nil"/>
              <w:left w:val="nil"/>
              <w:bottom w:val="single" w:sz="4" w:space="0" w:color="auto"/>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595</w:t>
            </w:r>
          </w:p>
        </w:tc>
        <w:tc>
          <w:tcPr>
            <w:tcW w:w="992" w:type="dxa"/>
            <w:tcBorders>
              <w:top w:val="nil"/>
              <w:left w:val="nil"/>
              <w:bottom w:val="single" w:sz="4" w:space="0" w:color="auto"/>
              <w:right w:val="nil"/>
            </w:tcBorders>
            <w:noWrap/>
            <w:vAlign w:val="bottom"/>
          </w:tcPr>
          <w:p w:rsidR="0097752F" w:rsidRPr="00A62C06" w:rsidRDefault="0097752F" w:rsidP="00F544B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486</w:t>
            </w:r>
          </w:p>
        </w:tc>
      </w:tr>
    </w:tbl>
    <w:p w:rsidR="0097752F" w:rsidRPr="00B04D3E" w:rsidRDefault="0097752F" w:rsidP="0097752F">
      <w:pPr>
        <w:spacing w:after="0" w:line="240" w:lineRule="auto"/>
        <w:ind w:left="-851"/>
        <w:jc w:val="right"/>
        <w:rPr>
          <w:rFonts w:ascii="Times New Roman" w:hAnsi="Times New Roman" w:cs="Times New Roman"/>
          <w:sz w:val="20"/>
          <w:szCs w:val="20"/>
        </w:rPr>
      </w:pPr>
      <w:r w:rsidRPr="00B04D3E">
        <w:rPr>
          <w:rFonts w:ascii="Times New Roman" w:hAnsi="Times New Roman" w:cs="Times New Roman"/>
          <w:sz w:val="20"/>
          <w:szCs w:val="20"/>
        </w:rPr>
        <w:t xml:space="preserve">Zdroj: ŠÚ SR, </w:t>
      </w:r>
      <w:proofErr w:type="spellStart"/>
      <w:r w:rsidRPr="00B04D3E">
        <w:rPr>
          <w:rFonts w:ascii="Times New Roman" w:hAnsi="Times New Roman" w:cs="Times New Roman"/>
          <w:sz w:val="20"/>
          <w:szCs w:val="20"/>
        </w:rPr>
        <w:t>Radela</w:t>
      </w:r>
      <w:proofErr w:type="spellEnd"/>
      <w:r w:rsidR="008E4A6C">
        <w:rPr>
          <w:rFonts w:ascii="Times New Roman" w:hAnsi="Times New Roman" w:cs="Times New Roman"/>
          <w:sz w:val="20"/>
          <w:szCs w:val="20"/>
        </w:rPr>
        <w:t xml:space="preserve">, </w:t>
      </w:r>
      <w:proofErr w:type="spellStart"/>
      <w:r w:rsidR="008E4A6C">
        <w:rPr>
          <w:rFonts w:ascii="Times New Roman" w:hAnsi="Times New Roman" w:cs="Times New Roman"/>
          <w:sz w:val="20"/>
          <w:szCs w:val="20"/>
        </w:rPr>
        <w:t>s,r.</w:t>
      </w:r>
      <w:r w:rsidRPr="00B04D3E">
        <w:rPr>
          <w:rFonts w:ascii="Times New Roman" w:hAnsi="Times New Roman" w:cs="Times New Roman"/>
          <w:sz w:val="20"/>
          <w:szCs w:val="20"/>
        </w:rPr>
        <w:t>o</w:t>
      </w:r>
      <w:proofErr w:type="spellEnd"/>
      <w:r w:rsidRPr="00B04D3E">
        <w:rPr>
          <w:rFonts w:ascii="Times New Roman" w:hAnsi="Times New Roman" w:cs="Times New Roman"/>
          <w:sz w:val="20"/>
          <w:szCs w:val="20"/>
        </w:rPr>
        <w:t>. , výpočty MPRV SR</w:t>
      </w:r>
    </w:p>
    <w:p w:rsidR="0097752F" w:rsidRDefault="0097752F" w:rsidP="0097752F">
      <w:pPr>
        <w:spacing w:after="0" w:line="240" w:lineRule="auto"/>
        <w:jc w:val="both"/>
        <w:rPr>
          <w:rFonts w:ascii="Times New Roman" w:hAnsi="Times New Roman"/>
          <w:sz w:val="24"/>
          <w:szCs w:val="24"/>
        </w:rPr>
      </w:pPr>
    </w:p>
    <w:p w:rsidR="0097752F" w:rsidRPr="00272B53" w:rsidRDefault="0097752F" w:rsidP="0097752F">
      <w:pPr>
        <w:spacing w:after="0" w:line="240" w:lineRule="auto"/>
        <w:jc w:val="both"/>
        <w:rPr>
          <w:rFonts w:ascii="Times New Roman" w:hAnsi="Times New Roman" w:cs="Times New Roman"/>
          <w:sz w:val="24"/>
          <w:szCs w:val="24"/>
        </w:rPr>
      </w:pPr>
      <w:r w:rsidRPr="00272B53">
        <w:rPr>
          <w:rFonts w:ascii="Times New Roman" w:hAnsi="Times New Roman" w:cs="Times New Roman"/>
          <w:sz w:val="24"/>
          <w:szCs w:val="24"/>
        </w:rPr>
        <w:t xml:space="preserve">Produkciu rýb v SR je možné rozdeliť do dvoch samostatných a špecifických skupín a to na oblasť rybnikárstva a </w:t>
      </w:r>
      <w:proofErr w:type="spellStart"/>
      <w:r w:rsidRPr="00272B53">
        <w:rPr>
          <w:rFonts w:ascii="Times New Roman" w:hAnsi="Times New Roman" w:cs="Times New Roman"/>
          <w:sz w:val="24"/>
          <w:szCs w:val="24"/>
        </w:rPr>
        <w:t>pstruhárstva</w:t>
      </w:r>
      <w:proofErr w:type="spellEnd"/>
      <w:r w:rsidRPr="00272B53">
        <w:rPr>
          <w:rFonts w:ascii="Times New Roman" w:hAnsi="Times New Roman" w:cs="Times New Roman"/>
          <w:sz w:val="24"/>
          <w:szCs w:val="24"/>
        </w:rPr>
        <w:t>. Chov lososovitých rýb sa rozvíja prevažne na severnom a strednom Slovensku v povodí rieky Váh, Turiec a Orava, na druhej strane najväčšie rybničné sústavy na chov nížinných druhov rýb sa nachádzajú v klimaticky priaznivých podmienkach južnej časti východného Slovenska, na západnom Slovensku a na Záhorí. Z hľadiska umiestňovania finálneho produktu na trh je možné v rybnikárstve a </w:t>
      </w:r>
      <w:proofErr w:type="spellStart"/>
      <w:r w:rsidRPr="00272B53">
        <w:rPr>
          <w:rFonts w:ascii="Times New Roman" w:hAnsi="Times New Roman" w:cs="Times New Roman"/>
          <w:sz w:val="24"/>
          <w:szCs w:val="24"/>
        </w:rPr>
        <w:t>pstruhárstve</w:t>
      </w:r>
      <w:proofErr w:type="spellEnd"/>
      <w:r w:rsidRPr="00272B53">
        <w:rPr>
          <w:rFonts w:ascii="Times New Roman" w:hAnsi="Times New Roman" w:cs="Times New Roman"/>
          <w:sz w:val="24"/>
          <w:szCs w:val="24"/>
        </w:rPr>
        <w:t xml:space="preserve"> rozlišovať produkciu trhových rýb na priamu spotrebu a produkciu násad, ktoré sa môžu využívať na ďalší chov alebo na zarybňovanie vodných tokov. Na rozdiel od </w:t>
      </w:r>
      <w:proofErr w:type="spellStart"/>
      <w:r w:rsidRPr="00272B53">
        <w:rPr>
          <w:rFonts w:ascii="Times New Roman" w:hAnsi="Times New Roman" w:cs="Times New Roman"/>
          <w:sz w:val="24"/>
          <w:szCs w:val="24"/>
        </w:rPr>
        <w:t>pstruhárstva</w:t>
      </w:r>
      <w:proofErr w:type="spellEnd"/>
      <w:r w:rsidRPr="00272B53">
        <w:rPr>
          <w:rFonts w:ascii="Times New Roman" w:hAnsi="Times New Roman" w:cs="Times New Roman"/>
          <w:sz w:val="24"/>
          <w:szCs w:val="24"/>
        </w:rPr>
        <w:t xml:space="preserve">, kde dominuje produkcia rýb na priamu ľudskú spotrebu, má v rybnikárstve v súčasnosti väčší význam produkcia násad na zarybňovanie. </w:t>
      </w:r>
    </w:p>
    <w:p w:rsidR="0097752F" w:rsidRPr="00272B53" w:rsidRDefault="0097752F" w:rsidP="0097752F">
      <w:pPr>
        <w:spacing w:after="0" w:line="240" w:lineRule="auto"/>
        <w:jc w:val="both"/>
        <w:rPr>
          <w:rFonts w:ascii="Times New Roman" w:hAnsi="Times New Roman" w:cs="Times New Roman"/>
          <w:sz w:val="24"/>
          <w:szCs w:val="24"/>
        </w:rPr>
      </w:pPr>
    </w:p>
    <w:p w:rsidR="0097752F" w:rsidRPr="00272B53" w:rsidRDefault="0097752F" w:rsidP="0097752F">
      <w:pPr>
        <w:spacing w:after="0" w:line="240" w:lineRule="auto"/>
        <w:jc w:val="both"/>
        <w:rPr>
          <w:rFonts w:ascii="Times New Roman" w:hAnsi="Times New Roman" w:cs="Times New Roman"/>
          <w:sz w:val="24"/>
          <w:szCs w:val="24"/>
        </w:rPr>
      </w:pPr>
      <w:r w:rsidRPr="00272B53">
        <w:rPr>
          <w:rFonts w:ascii="Times New Roman" w:hAnsi="Times New Roman" w:cs="Times New Roman"/>
          <w:sz w:val="24"/>
          <w:szCs w:val="24"/>
        </w:rPr>
        <w:t xml:space="preserve">V roku 2011 sme, podľa ŠÚ SR, evidovali na Slovensku 499 rybníkov o rozlohe 2 219,1 ha, 282 klietok o objeme </w:t>
      </w:r>
      <w:smartTag w:uri="urn:schemas-microsoft-com:office:smarttags" w:element="metricconverter">
        <w:smartTagPr>
          <w:attr w:name="ProductID" w:val="5ﾠ944 m3"/>
        </w:smartTagPr>
        <w:r w:rsidRPr="00272B53">
          <w:rPr>
            <w:rFonts w:ascii="Times New Roman" w:hAnsi="Times New Roman" w:cs="Times New Roman"/>
            <w:sz w:val="24"/>
            <w:szCs w:val="24"/>
          </w:rPr>
          <w:t>5 944 m3</w:t>
        </w:r>
      </w:smartTag>
      <w:r w:rsidRPr="00272B53">
        <w:rPr>
          <w:rFonts w:ascii="Times New Roman" w:hAnsi="Times New Roman" w:cs="Times New Roman"/>
          <w:sz w:val="24"/>
          <w:szCs w:val="24"/>
        </w:rPr>
        <w:t xml:space="preserve">, ktoré sú využívané pre produkciu lososovitých druhov rýb, najmä pstruha dúhového. Ďalej sme evidovali 495 oplôtkou o celkovej rozlohe 1 057,6 ha o celovej rozlohe 299 zásobníkov vody a nádrží o celkovom objeme 25 098 m3 a 204 iných vodných nádrží, ktoré sa využívajú na účely hospodárskeho chovu rýb o celkovom objeme    15 966 m3. </w:t>
      </w:r>
    </w:p>
    <w:p w:rsidR="0097752F" w:rsidRPr="00272B53" w:rsidRDefault="0097752F" w:rsidP="0097752F">
      <w:pPr>
        <w:spacing w:after="0" w:line="240" w:lineRule="auto"/>
        <w:jc w:val="both"/>
        <w:rPr>
          <w:rFonts w:ascii="Times New Roman" w:hAnsi="Times New Roman" w:cs="Times New Roman"/>
          <w:sz w:val="24"/>
          <w:szCs w:val="24"/>
        </w:rPr>
      </w:pPr>
    </w:p>
    <w:p w:rsidR="0097752F" w:rsidRPr="00272B53" w:rsidRDefault="0097752F" w:rsidP="0097752F">
      <w:pPr>
        <w:spacing w:after="0" w:line="240" w:lineRule="auto"/>
        <w:jc w:val="both"/>
        <w:rPr>
          <w:rFonts w:ascii="Times New Roman" w:hAnsi="Times New Roman" w:cs="Times New Roman"/>
          <w:sz w:val="24"/>
          <w:szCs w:val="24"/>
        </w:rPr>
      </w:pPr>
      <w:r w:rsidRPr="00272B53">
        <w:rPr>
          <w:rFonts w:ascii="Times New Roman" w:hAnsi="Times New Roman" w:cs="Times New Roman"/>
          <w:sz w:val="24"/>
          <w:szCs w:val="24"/>
        </w:rPr>
        <w:t xml:space="preserve">Väčšinu zo 85 v súčasnosti registrovaných subjektov zaoberajúcich sa hospodárskym chovom rýb v SR je možné zaradiť medzi </w:t>
      </w:r>
      <w:proofErr w:type="spellStart"/>
      <w:r w:rsidRPr="00272B53">
        <w:rPr>
          <w:rFonts w:ascii="Times New Roman" w:hAnsi="Times New Roman" w:cs="Times New Roman"/>
          <w:sz w:val="24"/>
          <w:szCs w:val="24"/>
        </w:rPr>
        <w:t>mikropodniky</w:t>
      </w:r>
      <w:proofErr w:type="spellEnd"/>
      <w:r w:rsidRPr="00272B53">
        <w:rPr>
          <w:rFonts w:ascii="Times New Roman" w:hAnsi="Times New Roman" w:cs="Times New Roman"/>
          <w:sz w:val="24"/>
          <w:szCs w:val="24"/>
        </w:rPr>
        <w:t xml:space="preserve">, často rodinné podniky s malou produkciou lokálneho významu. V deviatich pracovniach rýb sa ročne spracováva približne 630 ton sladkovodných a 7 500 ton morských rýb. Ide väčšinou o stredné podniky, a sú rovnomerne rozmiestnené po celom území. </w:t>
      </w:r>
    </w:p>
    <w:p w:rsidR="0097752F" w:rsidRPr="00272B53" w:rsidRDefault="0097752F" w:rsidP="0097752F">
      <w:pPr>
        <w:spacing w:after="0" w:line="240" w:lineRule="auto"/>
        <w:jc w:val="both"/>
        <w:rPr>
          <w:rFonts w:ascii="Times New Roman" w:hAnsi="Times New Roman" w:cs="Times New Roman"/>
          <w:sz w:val="24"/>
          <w:szCs w:val="24"/>
        </w:rPr>
      </w:pPr>
    </w:p>
    <w:p w:rsidR="0097752F" w:rsidRPr="008C3068" w:rsidRDefault="00C970F8" w:rsidP="009775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68</w:t>
      </w:r>
      <w:r w:rsidR="0097752F" w:rsidRPr="00155936">
        <w:rPr>
          <w:rFonts w:ascii="Times New Roman" w:hAnsi="Times New Roman" w:cs="Times New Roman"/>
          <w:sz w:val="20"/>
          <w:szCs w:val="20"/>
        </w:rPr>
        <w:t>:</w:t>
      </w:r>
      <w:r w:rsidR="0097752F">
        <w:rPr>
          <w:rFonts w:ascii="Times New Roman" w:hAnsi="Times New Roman" w:cs="Times New Roman"/>
          <w:sz w:val="20"/>
          <w:szCs w:val="20"/>
        </w:rPr>
        <w:t xml:space="preserve"> S</w:t>
      </w:r>
      <w:r w:rsidR="0097752F" w:rsidRPr="008C3068">
        <w:rPr>
          <w:rFonts w:ascii="Times New Roman" w:hAnsi="Times New Roman" w:cs="Times New Roman"/>
          <w:sz w:val="20"/>
          <w:szCs w:val="20"/>
        </w:rPr>
        <w:t xml:space="preserve">potreba </w:t>
      </w:r>
      <w:r w:rsidR="0097752F">
        <w:rPr>
          <w:rFonts w:ascii="Times New Roman" w:hAnsi="Times New Roman" w:cs="Times New Roman"/>
          <w:sz w:val="20"/>
          <w:szCs w:val="20"/>
        </w:rPr>
        <w:t>rýb</w:t>
      </w:r>
      <w:r w:rsidR="0097752F" w:rsidRPr="008C3068">
        <w:rPr>
          <w:rFonts w:ascii="Times New Roman" w:hAnsi="Times New Roman" w:cs="Times New Roman"/>
          <w:sz w:val="20"/>
          <w:szCs w:val="20"/>
        </w:rPr>
        <w:t xml:space="preserve"> na obyvateľa v kg za rok</w:t>
      </w:r>
    </w:p>
    <w:p w:rsidR="0097752F" w:rsidRPr="00685557" w:rsidRDefault="0097752F" w:rsidP="00685557">
      <w:pPr>
        <w:tabs>
          <w:tab w:val="left" w:pos="546"/>
        </w:tabs>
        <w:spacing w:after="0" w:line="240" w:lineRule="auto"/>
        <w:jc w:val="right"/>
        <w:rPr>
          <w:rFonts w:ascii="Times New Roman" w:hAnsi="Times New Roman" w:cs="Times New Roman"/>
          <w:sz w:val="20"/>
          <w:szCs w:val="20"/>
        </w:rPr>
      </w:pPr>
      <w:r>
        <w:rPr>
          <w:noProof/>
        </w:rPr>
        <w:drawing>
          <wp:inline distT="0" distB="0" distL="0" distR="0" wp14:anchorId="5736FF64" wp14:editId="73F084DA">
            <wp:extent cx="5757062" cy="1748333"/>
            <wp:effectExtent l="0" t="0" r="0" b="0"/>
            <wp:docPr id="302" name="Graf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r w:rsidRPr="00272B53">
        <w:rPr>
          <w:rFonts w:ascii="Times New Roman" w:hAnsi="Times New Roman" w:cs="Times New Roman"/>
          <w:sz w:val="20"/>
          <w:szCs w:val="20"/>
        </w:rPr>
        <w:t>Zdroj: ŠÚ SR</w:t>
      </w:r>
    </w:p>
    <w:p w:rsidR="0097752F" w:rsidRPr="00272B53" w:rsidRDefault="0097752F" w:rsidP="0097752F">
      <w:pPr>
        <w:spacing w:after="0" w:line="240" w:lineRule="auto"/>
        <w:jc w:val="both"/>
        <w:rPr>
          <w:rFonts w:ascii="Times New Roman" w:hAnsi="Times New Roman" w:cs="Times New Roman"/>
          <w:sz w:val="24"/>
          <w:szCs w:val="24"/>
        </w:rPr>
      </w:pPr>
      <w:r w:rsidRPr="00272B53">
        <w:rPr>
          <w:rFonts w:ascii="Times New Roman" w:hAnsi="Times New Roman" w:cs="Times New Roman"/>
          <w:sz w:val="24"/>
          <w:szCs w:val="24"/>
        </w:rPr>
        <w:lastRenderedPageBreak/>
        <w:t xml:space="preserve">SR patrí dlhodobo ku krajinám s nižšou konzumáciou rýb na obyvateľa, ktorá v roku 2011 predstavovala </w:t>
      </w:r>
      <w:smartTag w:uri="urn:schemas-microsoft-com:office:smarttags" w:element="metricconverter">
        <w:smartTagPr>
          <w:attr w:name="ProductID" w:val=".dllgĀܐ0ҥ登═ኔ Ą܌쮬ヴ蔬ポ쭼ヴ㦀#쿜ブﭐࣝ"/>
        </w:smartTagPr>
        <w:r w:rsidRPr="00272B53">
          <w:rPr>
            <w:rFonts w:ascii="Times New Roman" w:hAnsi="Times New Roman" w:cs="Times New Roman"/>
            <w:sz w:val="24"/>
            <w:szCs w:val="24"/>
          </w:rPr>
          <w:t>4,8 kg</w:t>
        </w:r>
      </w:smartTag>
      <w:r w:rsidRPr="00272B53">
        <w:rPr>
          <w:rFonts w:ascii="Times New Roman" w:hAnsi="Times New Roman" w:cs="Times New Roman"/>
          <w:sz w:val="24"/>
          <w:szCs w:val="24"/>
        </w:rPr>
        <w:t xml:space="preserve">. Z tohto množstva len necelý kilogram pripadá na sladkovodné ryby. Z množstva </w:t>
      </w:r>
      <w:smartTag w:uri="urn:schemas-microsoft-com:office:smarttags" w:element="metricconverter">
        <w:smartTagPr>
          <w:attr w:name="ProductID" w:val="1 kg"/>
        </w:smartTagPr>
        <w:r w:rsidRPr="00272B53">
          <w:rPr>
            <w:rFonts w:ascii="Times New Roman" w:hAnsi="Times New Roman" w:cs="Times New Roman"/>
            <w:sz w:val="24"/>
            <w:szCs w:val="24"/>
          </w:rPr>
          <w:t>1 kg</w:t>
        </w:r>
      </w:smartTag>
      <w:r w:rsidRPr="00272B53">
        <w:rPr>
          <w:rFonts w:ascii="Times New Roman" w:hAnsi="Times New Roman" w:cs="Times New Roman"/>
          <w:sz w:val="24"/>
          <w:szCs w:val="24"/>
        </w:rPr>
        <w:t xml:space="preserve"> je cca 0,3 kg/osobu/rok pokryté úlovkami rekreačných rybárov. Domáca produkcia rýb v </w:t>
      </w:r>
      <w:proofErr w:type="spellStart"/>
      <w:r w:rsidRPr="00272B53">
        <w:rPr>
          <w:rFonts w:ascii="Times New Roman" w:hAnsi="Times New Roman" w:cs="Times New Roman"/>
          <w:sz w:val="24"/>
          <w:szCs w:val="24"/>
        </w:rPr>
        <w:t>akvakultúre</w:t>
      </w:r>
      <w:proofErr w:type="spellEnd"/>
      <w:r w:rsidRPr="00272B53">
        <w:rPr>
          <w:rFonts w:ascii="Times New Roman" w:hAnsi="Times New Roman" w:cs="Times New Roman"/>
          <w:sz w:val="24"/>
          <w:szCs w:val="24"/>
        </w:rPr>
        <w:t xml:space="preserve"> je schopná pokryť menšiu časť zo spotreby sladkovodných rýb. Väčšia časť našej spotreby sladkovodných rýb (60 %) je pokrytá dovozom z Českej republiky (cca 40%) najmä v čase vianočných sviatkov. Približne 80 % sladkovodnej produkcie chovateľov rýb sa realizuje na trhu predovšetkým v živom stave. </w:t>
      </w:r>
    </w:p>
    <w:p w:rsidR="0097752F" w:rsidRDefault="0097752F" w:rsidP="0097752F">
      <w:pPr>
        <w:spacing w:after="0" w:line="240" w:lineRule="auto"/>
        <w:jc w:val="both"/>
        <w:rPr>
          <w:rFonts w:ascii="Times New Roman" w:hAnsi="Times New Roman" w:cs="Times New Roman"/>
          <w:sz w:val="24"/>
          <w:szCs w:val="24"/>
        </w:rPr>
      </w:pPr>
    </w:p>
    <w:p w:rsidR="0097752F" w:rsidRPr="00272B53" w:rsidRDefault="00C970F8" w:rsidP="0097752F">
      <w:pPr>
        <w:spacing w:after="0" w:line="240" w:lineRule="auto"/>
        <w:jc w:val="both"/>
        <w:rPr>
          <w:rFonts w:ascii="Times New Roman" w:hAnsi="Times New Roman" w:cs="Times New Roman"/>
          <w:sz w:val="24"/>
          <w:szCs w:val="24"/>
        </w:rPr>
      </w:pPr>
      <w:r>
        <w:rPr>
          <w:rFonts w:ascii="Times New Roman" w:hAnsi="Times New Roman" w:cs="Times New Roman"/>
          <w:sz w:val="20"/>
          <w:szCs w:val="20"/>
        </w:rPr>
        <w:t>Graf č. 69</w:t>
      </w:r>
      <w:r w:rsidR="0097752F">
        <w:rPr>
          <w:rFonts w:ascii="Times New Roman" w:hAnsi="Times New Roman" w:cs="Times New Roman"/>
          <w:sz w:val="20"/>
          <w:szCs w:val="20"/>
        </w:rPr>
        <w:t>:</w:t>
      </w:r>
      <w:r w:rsidR="0097752F" w:rsidRPr="00272B53">
        <w:rPr>
          <w:rFonts w:ascii="Times New Roman" w:hAnsi="Times New Roman" w:cs="Times New Roman"/>
          <w:sz w:val="20"/>
          <w:szCs w:val="20"/>
        </w:rPr>
        <w:t xml:space="preserve"> Výlov rýb vo vnútrozemských vodách v kg</w:t>
      </w:r>
    </w:p>
    <w:p w:rsidR="0097752F" w:rsidRPr="00CC38B3" w:rsidRDefault="00CC38B3" w:rsidP="00CC38B3">
      <w:pPr>
        <w:spacing w:after="0" w:line="240" w:lineRule="auto"/>
        <w:jc w:val="both"/>
        <w:rPr>
          <w:rFonts w:ascii="Times New Roman" w:hAnsi="Times New Roman"/>
          <w:sz w:val="24"/>
          <w:szCs w:val="24"/>
        </w:rPr>
      </w:pPr>
      <w:r w:rsidRPr="00CC38B3">
        <w:rPr>
          <w:rFonts w:ascii="Times New Roman" w:hAnsi="Times New Roman"/>
          <w:noProof/>
          <w:sz w:val="24"/>
          <w:szCs w:val="24"/>
        </w:rPr>
        <w:drawing>
          <wp:inline distT="0" distB="0" distL="0" distR="0" wp14:anchorId="6D25A41E" wp14:editId="5815F594">
            <wp:extent cx="5661964" cy="2553005"/>
            <wp:effectExtent l="0" t="0" r="0" b="0"/>
            <wp:docPr id="2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97752F" w:rsidRPr="0060704C" w:rsidRDefault="0097752F" w:rsidP="0097752F">
      <w:pPr>
        <w:spacing w:after="0" w:line="240" w:lineRule="auto"/>
        <w:ind w:left="7788"/>
        <w:jc w:val="center"/>
        <w:rPr>
          <w:rFonts w:ascii="Times New Roman" w:hAnsi="Times New Roman"/>
          <w:sz w:val="20"/>
          <w:szCs w:val="20"/>
        </w:rPr>
      </w:pPr>
      <w:r>
        <w:rPr>
          <w:rFonts w:ascii="Times New Roman" w:hAnsi="Times New Roman"/>
          <w:sz w:val="20"/>
          <w:szCs w:val="20"/>
        </w:rPr>
        <w:t>Zdroj: ŠÚ SR</w:t>
      </w:r>
    </w:p>
    <w:p w:rsidR="0097752F" w:rsidRDefault="0097752F" w:rsidP="0097752F">
      <w:pPr>
        <w:spacing w:after="0" w:line="240" w:lineRule="auto"/>
        <w:jc w:val="both"/>
        <w:rPr>
          <w:rFonts w:ascii="Times New Roman" w:hAnsi="Times New Roman"/>
          <w:sz w:val="24"/>
          <w:szCs w:val="24"/>
        </w:rPr>
      </w:pPr>
    </w:p>
    <w:p w:rsidR="0097752F" w:rsidRDefault="0097752F" w:rsidP="0097752F">
      <w:pPr>
        <w:spacing w:after="0" w:line="240" w:lineRule="auto"/>
        <w:jc w:val="both"/>
        <w:rPr>
          <w:rFonts w:ascii="Times New Roman" w:hAnsi="Times New Roman"/>
          <w:sz w:val="24"/>
          <w:szCs w:val="24"/>
        </w:rPr>
      </w:pPr>
      <w:proofErr w:type="spellStart"/>
      <w:r>
        <w:rPr>
          <w:rFonts w:ascii="Times New Roman" w:hAnsi="Times New Roman"/>
          <w:sz w:val="24"/>
          <w:szCs w:val="24"/>
        </w:rPr>
        <w:t>Spracov</w:t>
      </w:r>
      <w:r w:rsidRPr="008A3424">
        <w:rPr>
          <w:rFonts w:ascii="Times New Roman" w:hAnsi="Times New Roman"/>
          <w:sz w:val="24"/>
          <w:szCs w:val="24"/>
        </w:rPr>
        <w:t>ne</w:t>
      </w:r>
      <w:proofErr w:type="spellEnd"/>
      <w:r w:rsidRPr="008A3424">
        <w:rPr>
          <w:rFonts w:ascii="Times New Roman" w:hAnsi="Times New Roman"/>
          <w:sz w:val="24"/>
          <w:szCs w:val="24"/>
        </w:rPr>
        <w:t xml:space="preserve"> rýb sú rovnomerne rozmiestnené po celom území Slovenskej republiky. Väčšina z nich sú stredné podniky. Sladkovodné ryby sa spracúvajú v malých podnikoch. Kapacita </w:t>
      </w:r>
      <w:proofErr w:type="spellStart"/>
      <w:r w:rsidRPr="008A3424">
        <w:rPr>
          <w:rFonts w:ascii="Times New Roman" w:hAnsi="Times New Roman"/>
          <w:sz w:val="24"/>
          <w:szCs w:val="24"/>
        </w:rPr>
        <w:t>spracovní</w:t>
      </w:r>
      <w:proofErr w:type="spellEnd"/>
      <w:r w:rsidRPr="008A3424">
        <w:rPr>
          <w:rFonts w:ascii="Times New Roman" w:hAnsi="Times New Roman"/>
          <w:sz w:val="24"/>
          <w:szCs w:val="24"/>
        </w:rPr>
        <w:t xml:space="preserve"> pre sladkovodné ryby je 855 ton, ročne spracované množstvá však nepresahujú 350 ton. Kapacita </w:t>
      </w:r>
      <w:proofErr w:type="spellStart"/>
      <w:r w:rsidRPr="008A3424">
        <w:rPr>
          <w:rFonts w:ascii="Times New Roman" w:hAnsi="Times New Roman"/>
          <w:sz w:val="24"/>
          <w:szCs w:val="24"/>
        </w:rPr>
        <w:t>spracovní</w:t>
      </w:r>
      <w:proofErr w:type="spellEnd"/>
      <w:r w:rsidRPr="008A3424">
        <w:rPr>
          <w:rFonts w:ascii="Times New Roman" w:hAnsi="Times New Roman"/>
          <w:sz w:val="24"/>
          <w:szCs w:val="24"/>
        </w:rPr>
        <w:t xml:space="preserve"> pre morské ryby je približne 22 000 ton, ročne sa však spracováva približne 14 000 – 15 000 ton. Veľká časť produkcie podnikov je orientovaná na spracovanie dovezených morských produktov rybolovu a </w:t>
      </w:r>
      <w:proofErr w:type="spellStart"/>
      <w:r w:rsidRPr="008A3424">
        <w:rPr>
          <w:rFonts w:ascii="Times New Roman" w:hAnsi="Times New Roman"/>
          <w:sz w:val="24"/>
          <w:szCs w:val="24"/>
        </w:rPr>
        <w:t>akvakultúry</w:t>
      </w:r>
      <w:proofErr w:type="spellEnd"/>
      <w:r w:rsidRPr="008A3424">
        <w:rPr>
          <w:rFonts w:ascii="Times New Roman" w:hAnsi="Times New Roman"/>
          <w:sz w:val="24"/>
          <w:szCs w:val="24"/>
        </w:rPr>
        <w:t>. Zo sladkovodnej produkcie chovateľov sa spracúva najmä pstruh.</w:t>
      </w:r>
    </w:p>
    <w:p w:rsidR="0097752F" w:rsidRDefault="0097752F" w:rsidP="0097752F">
      <w:pPr>
        <w:spacing w:after="0" w:line="240" w:lineRule="auto"/>
        <w:jc w:val="both"/>
        <w:rPr>
          <w:rFonts w:ascii="Times New Roman" w:hAnsi="Times New Roman"/>
          <w:sz w:val="24"/>
          <w:szCs w:val="24"/>
        </w:rPr>
      </w:pPr>
    </w:p>
    <w:p w:rsidR="0097752F" w:rsidRDefault="0097752F" w:rsidP="0097752F">
      <w:pPr>
        <w:pBdr>
          <w:top w:val="single" w:sz="4" w:space="1" w:color="auto"/>
        </w:pBdr>
        <w:spacing w:after="0" w:line="240" w:lineRule="auto"/>
        <w:jc w:val="both"/>
        <w:rPr>
          <w:rFonts w:ascii="Times New Roman" w:hAnsi="Times New Roman"/>
          <w:sz w:val="24"/>
          <w:szCs w:val="24"/>
        </w:rPr>
      </w:pPr>
      <w:r>
        <w:rPr>
          <w:rFonts w:ascii="Times New Roman" w:hAnsi="Times New Roman"/>
          <w:sz w:val="24"/>
          <w:szCs w:val="24"/>
        </w:rPr>
        <w:t>Na posilnenie postavenia a produkčnej schopnosti hospodárskeho chovu rýb, čo sa prejaví v rozvoji vidieka smerom k zvýšeniu pridanej hodnoty produktov, ktoré generujú špecifický spotrebiteľský dopyt je potrebné:</w:t>
      </w:r>
    </w:p>
    <w:p w:rsidR="0097752F" w:rsidRDefault="0097752F" w:rsidP="0097752F">
      <w:pPr>
        <w:pStyle w:val="Odsekzoznamu2"/>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podporiť predaj produktov hospodárskeho chovu rýb priamo na farme v živom a/alebo upravenom stave;</w:t>
      </w:r>
    </w:p>
    <w:p w:rsidR="0097752F" w:rsidRDefault="0097752F" w:rsidP="0097752F">
      <w:pPr>
        <w:pStyle w:val="Odsekzoznamu2"/>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podporiť</w:t>
      </w:r>
      <w:r w:rsidRPr="00E0367C">
        <w:rPr>
          <w:rFonts w:ascii="Times New Roman" w:hAnsi="Times New Roman"/>
          <w:sz w:val="24"/>
          <w:szCs w:val="24"/>
        </w:rPr>
        <w:t xml:space="preserve"> hlavne diverzifikáciu rybích fariem, ktorá by situáciu v hospodárskom chove rýb mohla podstatne zlepšiť</w:t>
      </w:r>
      <w:r>
        <w:rPr>
          <w:rFonts w:ascii="Times New Roman" w:hAnsi="Times New Roman"/>
          <w:sz w:val="24"/>
          <w:szCs w:val="24"/>
        </w:rPr>
        <w:t>;</w:t>
      </w:r>
    </w:p>
    <w:p w:rsidR="0097752F" w:rsidRDefault="0097752F" w:rsidP="0097752F">
      <w:pPr>
        <w:pStyle w:val="Odsekzoznamu2"/>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zlepšiť hydrologické pomery,</w:t>
      </w:r>
      <w:r w:rsidR="002A7940">
        <w:rPr>
          <w:rFonts w:ascii="Times New Roman" w:hAnsi="Times New Roman"/>
          <w:sz w:val="24"/>
          <w:szCs w:val="24"/>
        </w:rPr>
        <w:t xml:space="preserve"> </w:t>
      </w:r>
      <w:r>
        <w:rPr>
          <w:rFonts w:ascii="Times New Roman" w:hAnsi="Times New Roman"/>
          <w:sz w:val="24"/>
          <w:szCs w:val="24"/>
        </w:rPr>
        <w:t>čo v súčasnosti vplyvom klimatických zmien brzdí rozvoj sektora hospodárskeho chovu rýb;</w:t>
      </w:r>
    </w:p>
    <w:p w:rsidR="0097752F" w:rsidRDefault="0097752F" w:rsidP="0097752F">
      <w:pPr>
        <w:pStyle w:val="Odsekzoznamu2"/>
        <w:numPr>
          <w:ilvl w:val="0"/>
          <w:numId w:val="19"/>
        </w:numPr>
        <w:spacing w:after="0" w:line="240" w:lineRule="auto"/>
        <w:contextualSpacing w:val="0"/>
        <w:jc w:val="both"/>
        <w:rPr>
          <w:rFonts w:ascii="Times New Roman" w:hAnsi="Times New Roman"/>
          <w:sz w:val="24"/>
          <w:szCs w:val="24"/>
        </w:rPr>
      </w:pPr>
      <w:r w:rsidRPr="00E0367C">
        <w:rPr>
          <w:rFonts w:ascii="Times New Roman" w:hAnsi="Times New Roman"/>
          <w:sz w:val="24"/>
          <w:szCs w:val="24"/>
        </w:rPr>
        <w:t xml:space="preserve">vzájomne vybilancovať ochranu </w:t>
      </w:r>
      <w:proofErr w:type="spellStart"/>
      <w:r w:rsidRPr="00E0367C">
        <w:rPr>
          <w:rFonts w:ascii="Times New Roman" w:hAnsi="Times New Roman"/>
          <w:sz w:val="24"/>
          <w:szCs w:val="24"/>
        </w:rPr>
        <w:t>rybožravých</w:t>
      </w:r>
      <w:proofErr w:type="spellEnd"/>
      <w:r w:rsidRPr="00E0367C">
        <w:rPr>
          <w:rFonts w:ascii="Times New Roman" w:hAnsi="Times New Roman"/>
          <w:sz w:val="24"/>
          <w:szCs w:val="24"/>
        </w:rPr>
        <w:t xml:space="preserve"> predátorov a</w:t>
      </w:r>
      <w:r>
        <w:rPr>
          <w:rFonts w:ascii="Times New Roman" w:hAnsi="Times New Roman"/>
          <w:sz w:val="24"/>
          <w:szCs w:val="24"/>
        </w:rPr>
        <w:t> hospodársky chov rýb,</w:t>
      </w:r>
    </w:p>
    <w:p w:rsidR="0097752F" w:rsidRDefault="0097752F" w:rsidP="0097752F">
      <w:pPr>
        <w:pStyle w:val="Odsekzoznamu2"/>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podporiť inovácií v sektore hospodárskeho chovu rýb, ktoré budú viac šetrné k životnému prostrediu s nižšími nárokmi na zdroje vody;</w:t>
      </w:r>
    </w:p>
    <w:p w:rsidR="00BF15D3" w:rsidRDefault="0097752F" w:rsidP="001728E6">
      <w:pPr>
        <w:pStyle w:val="Odsekzoznamu"/>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podporiť zachovanie</w:t>
      </w:r>
      <w:r w:rsidRPr="00272B53">
        <w:rPr>
          <w:rFonts w:ascii="Times New Roman" w:eastAsia="Times New Roman" w:hAnsi="Times New Roman" w:cs="Times New Roman"/>
          <w:color w:val="000000"/>
          <w:sz w:val="24"/>
          <w:szCs w:val="24"/>
        </w:rPr>
        <w:t xml:space="preserve"> genofondu vybraný</w:t>
      </w:r>
      <w:r w:rsidR="00B1745E">
        <w:rPr>
          <w:rFonts w:ascii="Times New Roman" w:eastAsia="Times New Roman" w:hAnsi="Times New Roman" w:cs="Times New Roman"/>
          <w:color w:val="000000"/>
          <w:sz w:val="24"/>
          <w:szCs w:val="24"/>
        </w:rPr>
        <w:t>ch druhov rýb;</w:t>
      </w:r>
    </w:p>
    <w:p w:rsidR="00B1745E" w:rsidRPr="0097752F" w:rsidRDefault="00B1745E" w:rsidP="00B1745E">
      <w:pPr>
        <w:pStyle w:val="Odsekzoznamu"/>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podporiť technické opatrenia</w:t>
      </w:r>
      <w:r w:rsidRPr="00B1745E">
        <w:rPr>
          <w:rFonts w:ascii="Times New Roman" w:eastAsia="Times New Roman" w:hAnsi="Times New Roman" w:cs="Times New Roman"/>
          <w:color w:val="000000"/>
          <w:sz w:val="24"/>
          <w:szCs w:val="24"/>
        </w:rPr>
        <w:t xml:space="preserve"> na ochranu </w:t>
      </w:r>
      <w:proofErr w:type="spellStart"/>
      <w:r w:rsidRPr="00B1745E">
        <w:rPr>
          <w:rFonts w:ascii="Times New Roman" w:eastAsia="Times New Roman" w:hAnsi="Times New Roman" w:cs="Times New Roman"/>
          <w:color w:val="000000"/>
          <w:sz w:val="24"/>
          <w:szCs w:val="24"/>
        </w:rPr>
        <w:t>rybochovných</w:t>
      </w:r>
      <w:proofErr w:type="spellEnd"/>
      <w:r w:rsidRPr="00B1745E">
        <w:rPr>
          <w:rFonts w:ascii="Times New Roman" w:eastAsia="Times New Roman" w:hAnsi="Times New Roman" w:cs="Times New Roman"/>
          <w:color w:val="000000"/>
          <w:sz w:val="24"/>
          <w:szCs w:val="24"/>
        </w:rPr>
        <w:t xml:space="preserve"> zariadení pred vniknutím predátorov (oplôtky, mreže, siete)</w:t>
      </w:r>
    </w:p>
    <w:p w:rsidR="00E70B36" w:rsidRDefault="00E70B36" w:rsidP="009371DB">
      <w:pPr>
        <w:pBdr>
          <w:top w:val="single" w:sz="4" w:space="1" w:color="auto"/>
        </w:pBdr>
        <w:spacing w:after="0" w:line="240" w:lineRule="auto"/>
        <w:jc w:val="both"/>
        <w:rPr>
          <w:rFonts w:ascii="Times New Roman" w:hAnsi="Times New Roman" w:cs="Times New Roman"/>
          <w:sz w:val="24"/>
          <w:szCs w:val="24"/>
        </w:rPr>
      </w:pPr>
    </w:p>
    <w:p w:rsidR="00CC38B3" w:rsidRPr="001728E6" w:rsidRDefault="00CC38B3" w:rsidP="009371DB">
      <w:pPr>
        <w:pBdr>
          <w:top w:val="single" w:sz="4" w:space="1" w:color="auto"/>
        </w:pBdr>
        <w:spacing w:after="0" w:line="240" w:lineRule="auto"/>
        <w:jc w:val="both"/>
        <w:rPr>
          <w:rFonts w:ascii="Times New Roman" w:hAnsi="Times New Roman" w:cs="Times New Roman"/>
          <w:sz w:val="24"/>
          <w:szCs w:val="24"/>
        </w:rPr>
      </w:pPr>
    </w:p>
    <w:p w:rsidR="0028430F" w:rsidRDefault="00075CD9" w:rsidP="000D68DC">
      <w:pPr>
        <w:pStyle w:val="Nadpis3"/>
        <w:numPr>
          <w:ilvl w:val="2"/>
          <w:numId w:val="8"/>
        </w:numPr>
      </w:pPr>
      <w:bookmarkStart w:id="66" w:name="_Toc359550687"/>
      <w:r>
        <w:t xml:space="preserve">Rozvoj </w:t>
      </w:r>
      <w:r w:rsidR="003504A3">
        <w:t>vidieka</w:t>
      </w:r>
      <w:r>
        <w:t xml:space="preserve"> v špecializovanej rastlinnej výrobe</w:t>
      </w:r>
      <w:bookmarkEnd w:id="66"/>
    </w:p>
    <w:p w:rsidR="0028430F" w:rsidRDefault="0028430F" w:rsidP="00526D66">
      <w:pPr>
        <w:spacing w:after="0" w:line="240" w:lineRule="auto"/>
        <w:jc w:val="both"/>
        <w:rPr>
          <w:rFonts w:ascii="Times New Roman" w:hAnsi="Times New Roman" w:cs="Times New Roman"/>
          <w:sz w:val="24"/>
          <w:szCs w:val="24"/>
        </w:rPr>
      </w:pPr>
    </w:p>
    <w:p w:rsidR="00526D66" w:rsidRDefault="00526D66" w:rsidP="00526D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Špecializovaná rastlinná výroba a jej rozvoj, rovnako ako špecializovaná živočíšna výroba, v sebe nesie dva hlavné pozitívne dosahy, a to v prvom rade vysokú pridanú hodnotu a nezanedbateľný sekundárny prínos v raste zamestnanosti. Súčasne jej rozvoj umožní vo väčšej miere uspokojiť špecifický domáci dopyt najmä po produktoch osobitného druhu spotreby a </w:t>
      </w:r>
      <w:proofErr w:type="spellStart"/>
      <w:r>
        <w:rPr>
          <w:rFonts w:ascii="Times New Roman" w:hAnsi="Times New Roman" w:cs="Times New Roman"/>
          <w:sz w:val="24"/>
          <w:szCs w:val="24"/>
        </w:rPr>
        <w:t>maloprodukčných</w:t>
      </w:r>
      <w:proofErr w:type="spellEnd"/>
      <w:r>
        <w:rPr>
          <w:rFonts w:ascii="Times New Roman" w:hAnsi="Times New Roman" w:cs="Times New Roman"/>
          <w:sz w:val="24"/>
          <w:szCs w:val="24"/>
        </w:rPr>
        <w:t xml:space="preserve"> produktoch. Ako prioritné z hľadiska rozvoja špecializovanej rastlinnej výroby boli identifikované nasledovné</w:t>
      </w:r>
      <w:r w:rsidR="00D02EDB">
        <w:rPr>
          <w:rFonts w:ascii="Times New Roman" w:hAnsi="Times New Roman" w:cs="Times New Roman"/>
          <w:sz w:val="24"/>
          <w:szCs w:val="24"/>
        </w:rPr>
        <w:t xml:space="preserve"> odvetvia:</w:t>
      </w:r>
    </w:p>
    <w:p w:rsidR="00D02EDB" w:rsidRDefault="00D02EDB" w:rsidP="00526D66">
      <w:pPr>
        <w:spacing w:after="0" w:line="240" w:lineRule="auto"/>
        <w:jc w:val="both"/>
        <w:rPr>
          <w:rFonts w:ascii="Times New Roman" w:hAnsi="Times New Roman" w:cs="Times New Roman"/>
          <w:sz w:val="24"/>
          <w:szCs w:val="24"/>
        </w:rPr>
      </w:pPr>
    </w:p>
    <w:p w:rsidR="00D02EDB" w:rsidRDefault="00D02EDB" w:rsidP="000D68DC">
      <w:pPr>
        <w:pStyle w:val="Odsekzoznamu"/>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vinohradníctvo; a</w:t>
      </w:r>
    </w:p>
    <w:p w:rsidR="00D02EDB" w:rsidRDefault="00AB3AA3" w:rsidP="000D68DC">
      <w:pPr>
        <w:pStyle w:val="Odsekzoznamu"/>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pestovanie chmeľu.</w:t>
      </w:r>
    </w:p>
    <w:p w:rsidR="00AB3AA3" w:rsidRDefault="00AB3AA3" w:rsidP="00AB3AA3">
      <w:pPr>
        <w:spacing w:after="0" w:line="240" w:lineRule="auto"/>
        <w:jc w:val="both"/>
        <w:rPr>
          <w:rFonts w:ascii="Times New Roman" w:hAnsi="Times New Roman" w:cs="Times New Roman"/>
          <w:sz w:val="24"/>
          <w:szCs w:val="24"/>
        </w:rPr>
      </w:pPr>
    </w:p>
    <w:p w:rsidR="00AB3AA3" w:rsidRPr="00AB3AA3" w:rsidRDefault="00AB3AA3" w:rsidP="000D68DC">
      <w:pPr>
        <w:pStyle w:val="Nadpis3"/>
        <w:numPr>
          <w:ilvl w:val="3"/>
          <w:numId w:val="8"/>
        </w:numPr>
        <w:rPr>
          <w:rFonts w:cs="Times New Roman"/>
          <w:b w:val="0"/>
          <w:szCs w:val="24"/>
          <w:u w:val="single"/>
        </w:rPr>
      </w:pPr>
      <w:bookmarkStart w:id="67" w:name="_Toc359550688"/>
      <w:r w:rsidRPr="00AB3AA3">
        <w:rPr>
          <w:rFonts w:cs="Times New Roman"/>
          <w:b w:val="0"/>
          <w:szCs w:val="24"/>
          <w:u w:val="single"/>
        </w:rPr>
        <w:t>Vinohradníctvo</w:t>
      </w:r>
      <w:bookmarkEnd w:id="67"/>
    </w:p>
    <w:p w:rsidR="00526D66" w:rsidRDefault="00526D66" w:rsidP="00526D66">
      <w:pPr>
        <w:spacing w:after="0" w:line="240" w:lineRule="auto"/>
        <w:jc w:val="both"/>
        <w:rPr>
          <w:rFonts w:ascii="Times New Roman" w:hAnsi="Times New Roman" w:cs="Times New Roman"/>
          <w:sz w:val="24"/>
          <w:szCs w:val="24"/>
        </w:rPr>
      </w:pPr>
    </w:p>
    <w:p w:rsidR="00F82D9E" w:rsidRDefault="003B4FA5" w:rsidP="003B4FA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Celková p</w:t>
      </w:r>
      <w:r w:rsidR="00A16726">
        <w:rPr>
          <w:rFonts w:ascii="TimesNewRomanPSMT" w:hAnsi="TimesNewRomanPSMT" w:cs="TimesNewRomanPSMT"/>
          <w:sz w:val="24"/>
          <w:szCs w:val="24"/>
        </w:rPr>
        <w:t>locha vinohradov</w:t>
      </w:r>
      <w:r w:rsidR="00EB3D44">
        <w:rPr>
          <w:rFonts w:ascii="TimesNewRomanPSMT" w:hAnsi="TimesNewRomanPSMT" w:cs="TimesNewRomanPSMT"/>
          <w:sz w:val="24"/>
          <w:szCs w:val="24"/>
        </w:rPr>
        <w:t>,</w:t>
      </w:r>
      <w:r w:rsidR="00A16726">
        <w:rPr>
          <w:rFonts w:ascii="TimesNewRomanPSMT" w:hAnsi="TimesNewRomanPSMT" w:cs="TimesNewRomanPSMT"/>
          <w:sz w:val="24"/>
          <w:szCs w:val="24"/>
        </w:rPr>
        <w:t xml:space="preserve"> </w:t>
      </w:r>
      <w:r w:rsidR="00EB3D44">
        <w:rPr>
          <w:rFonts w:ascii="TimesNewRomanPSMT" w:hAnsi="TimesNewRomanPSMT" w:cs="TimesNewRomanPSMT"/>
          <w:sz w:val="24"/>
          <w:szCs w:val="24"/>
        </w:rPr>
        <w:t xml:space="preserve">vrátane neobhospodarovaných vinohradov, </w:t>
      </w:r>
      <w:r w:rsidR="00A16726">
        <w:rPr>
          <w:rFonts w:ascii="TimesNewRomanPSMT" w:hAnsi="TimesNewRomanPSMT" w:cs="TimesNewRomanPSMT"/>
          <w:sz w:val="24"/>
          <w:szCs w:val="24"/>
        </w:rPr>
        <w:t xml:space="preserve">v roku 2011 v porovnaní s referenčným rokom 2002 </w:t>
      </w:r>
      <w:r>
        <w:rPr>
          <w:rFonts w:ascii="TimesNewRomanPSMT" w:hAnsi="TimesNewRomanPSMT" w:cs="TimesNewRomanPSMT"/>
          <w:sz w:val="24"/>
          <w:szCs w:val="24"/>
        </w:rPr>
        <w:t>vzrástla</w:t>
      </w:r>
      <w:r w:rsidR="00A16726">
        <w:rPr>
          <w:rFonts w:ascii="TimesNewRomanPSMT" w:hAnsi="TimesNewRomanPSMT" w:cs="TimesNewRomanPSMT"/>
          <w:sz w:val="24"/>
          <w:szCs w:val="24"/>
        </w:rPr>
        <w:t xml:space="preserve"> o</w:t>
      </w:r>
      <w:r>
        <w:rPr>
          <w:rFonts w:ascii="TimesNewRomanPSMT" w:hAnsi="TimesNewRomanPSMT" w:cs="TimesNewRomanPSMT"/>
          <w:sz w:val="24"/>
          <w:szCs w:val="24"/>
        </w:rPr>
        <w:t xml:space="preserve"> cca 9 %, t.j. na celkovú výmeru 18 971 ha. Taktiež vzrástla aj plocha rodiacich vinohradov, a to v porovnaní s referenčným rokom o 11,7 %. </w:t>
      </w:r>
      <w:r w:rsidR="009667DA">
        <w:rPr>
          <w:rFonts w:ascii="TimesNewRomanPSMT" w:hAnsi="TimesNewRomanPSMT" w:cs="TimesNewRomanPSMT"/>
          <w:sz w:val="24"/>
          <w:szCs w:val="24"/>
        </w:rPr>
        <w:t xml:space="preserve">Pozitívny trend je teda badateľný tak v celkovej výmere ako aj v pomernej skladbe vinohradov, keď pomer nerodiacich vinohradov k celkovej výmere vinohradov klesol od roku 2002 z úrovne 23,8 % na úroveň 22,4 % v roku 2011. Tieto pomerové ukazovatele signalizujú, že na Slovensku stúpa percento využiteľnosti plôch vinohradov, aj keď tu stále existuje pomerne veľký nevyužitý produkčný potenciál. </w:t>
      </w:r>
    </w:p>
    <w:p w:rsidR="0094422D" w:rsidRDefault="0094422D" w:rsidP="00C66FD4">
      <w:pPr>
        <w:spacing w:after="0" w:line="240" w:lineRule="auto"/>
        <w:jc w:val="both"/>
        <w:rPr>
          <w:rFonts w:ascii="Times New Roman" w:hAnsi="Times New Roman" w:cs="Times New Roman"/>
          <w:sz w:val="20"/>
          <w:szCs w:val="20"/>
        </w:rPr>
      </w:pPr>
    </w:p>
    <w:p w:rsidR="009667DA" w:rsidRPr="00C66FD4" w:rsidRDefault="00C970F8" w:rsidP="00C66F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70</w:t>
      </w:r>
      <w:r w:rsidR="00C66FD4" w:rsidRPr="00155936">
        <w:rPr>
          <w:rFonts w:ascii="Times New Roman" w:hAnsi="Times New Roman" w:cs="Times New Roman"/>
          <w:sz w:val="20"/>
          <w:szCs w:val="20"/>
        </w:rPr>
        <w:t>:</w:t>
      </w:r>
      <w:r w:rsidR="00C66FD4">
        <w:rPr>
          <w:rFonts w:ascii="Times New Roman" w:hAnsi="Times New Roman" w:cs="Times New Roman"/>
          <w:sz w:val="20"/>
          <w:szCs w:val="20"/>
        </w:rPr>
        <w:t xml:space="preserve"> Vývoj výmery vinohradov v ha</w:t>
      </w:r>
    </w:p>
    <w:p w:rsidR="009667DA" w:rsidRDefault="009667DA" w:rsidP="003B4FA5">
      <w:pPr>
        <w:autoSpaceDE w:val="0"/>
        <w:autoSpaceDN w:val="0"/>
        <w:adjustRightInd w:val="0"/>
        <w:spacing w:after="0" w:line="240" w:lineRule="auto"/>
        <w:jc w:val="both"/>
        <w:rPr>
          <w:rFonts w:ascii="TimesNewRomanPSMT" w:hAnsi="TimesNewRomanPSMT" w:cs="TimesNewRomanPSMT"/>
          <w:sz w:val="24"/>
          <w:szCs w:val="24"/>
        </w:rPr>
      </w:pPr>
      <w:r>
        <w:rPr>
          <w:noProof/>
        </w:rPr>
        <w:drawing>
          <wp:inline distT="0" distB="0" distL="0" distR="0" wp14:anchorId="5D7B1125" wp14:editId="554DA53C">
            <wp:extent cx="5807033" cy="2660072"/>
            <wp:effectExtent l="0" t="0" r="0" b="0"/>
            <wp:docPr id="60" name="Graf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C66FD4" w:rsidRPr="00C431FF" w:rsidRDefault="00C66FD4" w:rsidP="00C66FD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9667DA" w:rsidRDefault="009667DA" w:rsidP="003B4FA5">
      <w:pPr>
        <w:autoSpaceDE w:val="0"/>
        <w:autoSpaceDN w:val="0"/>
        <w:adjustRightInd w:val="0"/>
        <w:spacing w:after="0" w:line="240" w:lineRule="auto"/>
        <w:jc w:val="both"/>
        <w:rPr>
          <w:rFonts w:ascii="TimesNewRomanPSMT" w:hAnsi="TimesNewRomanPSMT" w:cs="TimesNewRomanPSMT"/>
          <w:sz w:val="24"/>
          <w:szCs w:val="24"/>
        </w:rPr>
      </w:pPr>
    </w:p>
    <w:p w:rsidR="009667DA" w:rsidRDefault="00C41BCF" w:rsidP="003B4FA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Celková produkcia vína z domácej suroviny v roku 2011 oproti referenčnému roku 2002 stúpla o cca 2,6 %, t.j. na objem 349 tis. hl. Tento nárast produkcie plne reflektuje spotrebiteľské preferencie, keďže spotreba vína na obyvateľa za rok stúpla oproti referenčnej úrovni roku 2002 o 14,53 %, t.j. na úroveň cca 13,4 l na obyvateľa a rok. </w:t>
      </w:r>
    </w:p>
    <w:p w:rsidR="00C41BCF" w:rsidRDefault="00C41BCF" w:rsidP="003B4FA5">
      <w:pPr>
        <w:autoSpaceDE w:val="0"/>
        <w:autoSpaceDN w:val="0"/>
        <w:adjustRightInd w:val="0"/>
        <w:spacing w:after="0" w:line="240" w:lineRule="auto"/>
        <w:jc w:val="both"/>
        <w:rPr>
          <w:rFonts w:ascii="TimesNewRomanPSMT" w:hAnsi="TimesNewRomanPSMT" w:cs="TimesNewRomanPSMT"/>
          <w:sz w:val="24"/>
          <w:szCs w:val="24"/>
        </w:rPr>
      </w:pPr>
    </w:p>
    <w:p w:rsidR="00685557" w:rsidRDefault="00685557" w:rsidP="00BA145C">
      <w:pPr>
        <w:spacing w:after="0" w:line="240" w:lineRule="auto"/>
        <w:jc w:val="both"/>
        <w:rPr>
          <w:rFonts w:ascii="Times New Roman" w:hAnsi="Times New Roman" w:cs="Times New Roman"/>
          <w:sz w:val="20"/>
          <w:szCs w:val="20"/>
        </w:rPr>
      </w:pPr>
    </w:p>
    <w:p w:rsidR="00685557" w:rsidRDefault="00685557" w:rsidP="00BA145C">
      <w:pPr>
        <w:spacing w:after="0" w:line="240" w:lineRule="auto"/>
        <w:jc w:val="both"/>
        <w:rPr>
          <w:rFonts w:ascii="Times New Roman" w:hAnsi="Times New Roman" w:cs="Times New Roman"/>
          <w:sz w:val="20"/>
          <w:szCs w:val="20"/>
        </w:rPr>
      </w:pPr>
    </w:p>
    <w:p w:rsidR="00685557" w:rsidRDefault="00685557" w:rsidP="00BA145C">
      <w:pPr>
        <w:spacing w:after="0" w:line="240" w:lineRule="auto"/>
        <w:jc w:val="both"/>
        <w:rPr>
          <w:rFonts w:ascii="Times New Roman" w:hAnsi="Times New Roman" w:cs="Times New Roman"/>
          <w:sz w:val="20"/>
          <w:szCs w:val="20"/>
        </w:rPr>
      </w:pPr>
    </w:p>
    <w:p w:rsidR="00685557" w:rsidRDefault="00685557" w:rsidP="00BA145C">
      <w:pPr>
        <w:spacing w:after="0" w:line="240" w:lineRule="auto"/>
        <w:jc w:val="both"/>
        <w:rPr>
          <w:rFonts w:ascii="Times New Roman" w:hAnsi="Times New Roman" w:cs="Times New Roman"/>
          <w:sz w:val="20"/>
          <w:szCs w:val="20"/>
        </w:rPr>
      </w:pPr>
    </w:p>
    <w:p w:rsidR="00685557" w:rsidRDefault="00685557" w:rsidP="00BA145C">
      <w:pPr>
        <w:spacing w:after="0" w:line="240" w:lineRule="auto"/>
        <w:jc w:val="both"/>
        <w:rPr>
          <w:rFonts w:ascii="Times New Roman" w:hAnsi="Times New Roman" w:cs="Times New Roman"/>
          <w:sz w:val="20"/>
          <w:szCs w:val="20"/>
        </w:rPr>
      </w:pPr>
    </w:p>
    <w:p w:rsidR="00BA145C" w:rsidRPr="00BA145C" w:rsidRDefault="00C970F8" w:rsidP="00BA14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71</w:t>
      </w:r>
      <w:r w:rsidR="00BA145C" w:rsidRPr="00155936">
        <w:rPr>
          <w:rFonts w:ascii="Times New Roman" w:hAnsi="Times New Roman" w:cs="Times New Roman"/>
          <w:sz w:val="20"/>
          <w:szCs w:val="20"/>
        </w:rPr>
        <w:t>:</w:t>
      </w:r>
      <w:r w:rsidR="00BA145C">
        <w:rPr>
          <w:rFonts w:ascii="Times New Roman" w:hAnsi="Times New Roman" w:cs="Times New Roman"/>
          <w:sz w:val="20"/>
          <w:szCs w:val="20"/>
        </w:rPr>
        <w:t xml:space="preserve"> Vývoj produkcie vína a ročnej spotreby vína na obyvateľa</w:t>
      </w:r>
    </w:p>
    <w:p w:rsidR="00C41BCF" w:rsidRDefault="00C41BCF" w:rsidP="003B4FA5">
      <w:pPr>
        <w:autoSpaceDE w:val="0"/>
        <w:autoSpaceDN w:val="0"/>
        <w:adjustRightInd w:val="0"/>
        <w:spacing w:after="0" w:line="240" w:lineRule="auto"/>
        <w:jc w:val="both"/>
        <w:rPr>
          <w:rFonts w:ascii="TimesNewRomanPSMT" w:hAnsi="TimesNewRomanPSMT" w:cs="TimesNewRomanPSMT"/>
          <w:sz w:val="24"/>
          <w:szCs w:val="24"/>
        </w:rPr>
      </w:pPr>
      <w:r>
        <w:rPr>
          <w:noProof/>
        </w:rPr>
        <w:drawing>
          <wp:inline distT="0" distB="0" distL="0" distR="0" wp14:anchorId="1EC8E51C" wp14:editId="1C0A35BF">
            <wp:extent cx="5720486" cy="2114092"/>
            <wp:effectExtent l="0" t="0" r="0" b="0"/>
            <wp:docPr id="66" name="Graf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BA145C" w:rsidRPr="00C431FF" w:rsidRDefault="00BA145C" w:rsidP="00BA14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w:t>
      </w:r>
    </w:p>
    <w:p w:rsidR="00BA145C" w:rsidRDefault="00BA145C" w:rsidP="003B4FA5">
      <w:pPr>
        <w:autoSpaceDE w:val="0"/>
        <w:autoSpaceDN w:val="0"/>
        <w:adjustRightInd w:val="0"/>
        <w:spacing w:after="0" w:line="240" w:lineRule="auto"/>
        <w:jc w:val="both"/>
        <w:rPr>
          <w:rFonts w:ascii="TimesNewRomanPSMT" w:hAnsi="TimesNewRomanPSMT" w:cs="TimesNewRomanPSMT"/>
          <w:sz w:val="24"/>
          <w:szCs w:val="24"/>
        </w:rPr>
      </w:pPr>
    </w:p>
    <w:p w:rsidR="00BA145C" w:rsidRDefault="00BA145C" w:rsidP="003B4FA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Z analýzy vývoja produkcie vína a spotrebiteľských preferencií v ročnej spotrebe vína na obyvateľa je zrejmé, že dodatočný spotrebiteľský dopyt po víne nie je v súčasnosti plne uspokojený zo strany domácich producentov vína a takto sa nemalá časť celkovej ročnej spotreby kryje dovozom. Dovoz vína a muštov stúpol oproti roku 2002 až o 113 % zatiaľ čo domáca produkcia vzrástla v rovnakom medziročnom porovnaní iba o 2,6 % a vývoz vína a muštov klesol o 17,83 %. </w:t>
      </w:r>
    </w:p>
    <w:p w:rsidR="00BA145C" w:rsidRDefault="00BA145C" w:rsidP="003B4FA5">
      <w:pPr>
        <w:autoSpaceDE w:val="0"/>
        <w:autoSpaceDN w:val="0"/>
        <w:adjustRightInd w:val="0"/>
        <w:spacing w:after="0" w:line="240" w:lineRule="auto"/>
        <w:jc w:val="both"/>
        <w:rPr>
          <w:rFonts w:ascii="TimesNewRomanPSMT" w:hAnsi="TimesNewRomanPSMT" w:cs="TimesNewRomanPSMT"/>
          <w:sz w:val="24"/>
          <w:szCs w:val="24"/>
        </w:rPr>
      </w:pPr>
    </w:p>
    <w:p w:rsidR="00685557" w:rsidRDefault="00685557" w:rsidP="00685557">
      <w:pPr>
        <w:pBdr>
          <w:top w:val="single" w:sz="4" w:space="1" w:color="auto"/>
        </w:pBd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Sumárne je možné konštatovať, že vývoj produkčných ukazovateľov ako aj  ukazovateľov zahraničného obchodu signalizuje nevyhnutnosť </w:t>
      </w:r>
      <w:r>
        <w:rPr>
          <w:rFonts w:ascii="TimesNewRomanPSMT" w:hAnsi="TimesNewRomanPSMT" w:cs="TimesNewRomanPSMT" w:hint="eastAsia"/>
          <w:sz w:val="24"/>
          <w:szCs w:val="24"/>
        </w:rPr>
        <w:t>realizovať</w:t>
      </w:r>
      <w:r>
        <w:rPr>
          <w:rFonts w:ascii="TimesNewRomanPSMT" w:hAnsi="TimesNewRomanPSMT" w:cs="TimesNewRomanPSMT"/>
          <w:sz w:val="24"/>
          <w:szCs w:val="24"/>
        </w:rPr>
        <w:t xml:space="preserve"> nasledovné ciele: </w:t>
      </w:r>
    </w:p>
    <w:p w:rsidR="00685557" w:rsidRPr="00B5529D" w:rsidRDefault="00685557" w:rsidP="00C8344F">
      <w:pPr>
        <w:numPr>
          <w:ilvl w:val="0"/>
          <w:numId w:val="27"/>
        </w:numPr>
        <w:spacing w:after="0" w:line="240" w:lineRule="auto"/>
        <w:jc w:val="both"/>
        <w:rPr>
          <w:rFonts w:ascii="Times New Roman" w:hAnsi="Times New Roman"/>
          <w:sz w:val="24"/>
          <w:szCs w:val="24"/>
        </w:rPr>
      </w:pPr>
      <w:r w:rsidRPr="00B5529D">
        <w:rPr>
          <w:rFonts w:ascii="Times New Roman" w:hAnsi="Times New Roman"/>
          <w:sz w:val="24"/>
          <w:szCs w:val="24"/>
        </w:rPr>
        <w:t>urýchlenie vyriešenie vlastníckych vzťahov k pozemkom – zvýšenie prístupnosti pôdy pre novú výsadbu</w:t>
      </w:r>
      <w:r w:rsidR="00113793">
        <w:rPr>
          <w:rFonts w:ascii="Times New Roman" w:hAnsi="Times New Roman"/>
          <w:sz w:val="24"/>
          <w:szCs w:val="24"/>
        </w:rPr>
        <w:t xml:space="preserve"> a </w:t>
      </w:r>
      <w:r w:rsidR="00113793" w:rsidRPr="00113793">
        <w:rPr>
          <w:rFonts w:ascii="Times New Roman" w:hAnsi="Times New Roman"/>
          <w:sz w:val="24"/>
          <w:szCs w:val="24"/>
          <w:highlight w:val="yellow"/>
        </w:rPr>
        <w:t>ochrana existujúcich plôch vinohradov</w:t>
      </w:r>
      <w:r>
        <w:rPr>
          <w:rFonts w:ascii="Times New Roman" w:hAnsi="Times New Roman"/>
          <w:sz w:val="24"/>
          <w:szCs w:val="24"/>
        </w:rPr>
        <w:t>,</w:t>
      </w:r>
    </w:p>
    <w:p w:rsidR="00685557" w:rsidRPr="00B5529D" w:rsidRDefault="00685557" w:rsidP="00C8344F">
      <w:pPr>
        <w:numPr>
          <w:ilvl w:val="0"/>
          <w:numId w:val="27"/>
        </w:numPr>
        <w:spacing w:after="0" w:line="240" w:lineRule="auto"/>
        <w:jc w:val="both"/>
        <w:rPr>
          <w:rFonts w:ascii="Times New Roman" w:hAnsi="Times New Roman"/>
          <w:sz w:val="24"/>
          <w:szCs w:val="24"/>
        </w:rPr>
      </w:pPr>
      <w:r w:rsidRPr="00B5529D">
        <w:rPr>
          <w:rFonts w:ascii="Times New Roman" w:hAnsi="Times New Roman"/>
          <w:sz w:val="24"/>
          <w:szCs w:val="24"/>
        </w:rPr>
        <w:t>zabezpečenie dostatku suroviny - hrozna pre výrobu vína a vína na pokrytie domácej spotreby - zvýšenie sebestačnosti</w:t>
      </w:r>
      <w:r>
        <w:rPr>
          <w:rFonts w:ascii="Times New Roman" w:hAnsi="Times New Roman"/>
          <w:sz w:val="24"/>
          <w:szCs w:val="24"/>
        </w:rPr>
        <w:t>,</w:t>
      </w:r>
    </w:p>
    <w:p w:rsidR="00685557" w:rsidRPr="00B5529D" w:rsidRDefault="00685557" w:rsidP="00C8344F">
      <w:pPr>
        <w:numPr>
          <w:ilvl w:val="0"/>
          <w:numId w:val="27"/>
        </w:numPr>
        <w:spacing w:after="0" w:line="240" w:lineRule="auto"/>
        <w:jc w:val="both"/>
        <w:rPr>
          <w:rFonts w:ascii="Times New Roman" w:hAnsi="Times New Roman"/>
          <w:sz w:val="24"/>
          <w:szCs w:val="24"/>
        </w:rPr>
      </w:pPr>
      <w:r w:rsidRPr="00B5529D">
        <w:rPr>
          <w:rFonts w:ascii="Times New Roman" w:hAnsi="Times New Roman"/>
          <w:sz w:val="24"/>
          <w:szCs w:val="24"/>
        </w:rPr>
        <w:t>pokračovanie podpory využívania nástrojov na skvalitnenie produkcie hrozna  na výrobu vína prostredníctvom reštrukturalizácie vinohradov (v rámci SOT) a integrovanej produkcie hrozna (v rámci PRV)</w:t>
      </w:r>
      <w:r>
        <w:rPr>
          <w:rFonts w:ascii="Times New Roman" w:hAnsi="Times New Roman"/>
          <w:sz w:val="24"/>
          <w:szCs w:val="24"/>
        </w:rPr>
        <w:t>,</w:t>
      </w:r>
    </w:p>
    <w:p w:rsidR="00685557" w:rsidRDefault="00685557" w:rsidP="00C8344F">
      <w:pPr>
        <w:numPr>
          <w:ilvl w:val="0"/>
          <w:numId w:val="27"/>
        </w:numPr>
        <w:spacing w:after="0" w:line="240" w:lineRule="auto"/>
        <w:jc w:val="both"/>
        <w:rPr>
          <w:rFonts w:ascii="Times New Roman" w:hAnsi="Times New Roman"/>
          <w:sz w:val="24"/>
          <w:szCs w:val="24"/>
        </w:rPr>
      </w:pPr>
      <w:r w:rsidRPr="00B5529D">
        <w:rPr>
          <w:rFonts w:ascii="Times New Roman" w:hAnsi="Times New Roman"/>
          <w:sz w:val="24"/>
          <w:szCs w:val="24"/>
        </w:rPr>
        <w:t>zvýšiť rentabilitu vinohradníckeho odvetvia – vyrovnať pomer vstupov (napr. ochranné prípravky) a výstupov (nízka výkupná cena hrozna)</w:t>
      </w:r>
      <w:r>
        <w:rPr>
          <w:rFonts w:ascii="Times New Roman" w:hAnsi="Times New Roman"/>
          <w:sz w:val="24"/>
          <w:szCs w:val="24"/>
        </w:rPr>
        <w:t>,</w:t>
      </w:r>
    </w:p>
    <w:p w:rsidR="00685557" w:rsidRPr="00E5011A" w:rsidRDefault="00685557" w:rsidP="00C8344F">
      <w:pPr>
        <w:numPr>
          <w:ilvl w:val="0"/>
          <w:numId w:val="27"/>
        </w:numPr>
        <w:spacing w:after="0" w:line="240" w:lineRule="auto"/>
        <w:jc w:val="both"/>
        <w:rPr>
          <w:rFonts w:ascii="Times New Roman" w:hAnsi="Times New Roman" w:cs="Calibri"/>
          <w:sz w:val="24"/>
          <w:szCs w:val="24"/>
        </w:rPr>
      </w:pPr>
      <w:r w:rsidRPr="00B5529D">
        <w:rPr>
          <w:rFonts w:ascii="Times New Roman" w:hAnsi="Times New Roman"/>
          <w:sz w:val="24"/>
          <w:szCs w:val="24"/>
        </w:rPr>
        <w:t>zlepšiť postavenie domácich vín na trhu</w:t>
      </w:r>
      <w:r>
        <w:t xml:space="preserve"> - </w:t>
      </w:r>
      <w:r>
        <w:rPr>
          <w:rFonts w:ascii="TimesNewRomanPSMT" w:hAnsi="TimesNewRomanPSMT" w:cs="TimesNewRomanPSMT"/>
          <w:sz w:val="24"/>
          <w:szCs w:val="24"/>
        </w:rPr>
        <w:t xml:space="preserve">prispieť k propagácii slovenských producentov vína a zvýšenou mierou kontrolovať a zabrániť </w:t>
      </w:r>
      <w:r>
        <w:rPr>
          <w:rFonts w:ascii="Times New Roman" w:hAnsi="Times New Roman" w:cs="Times New Roman"/>
          <w:sz w:val="24"/>
          <w:szCs w:val="24"/>
        </w:rPr>
        <w:t>vysokým dovozom</w:t>
      </w:r>
      <w:r w:rsidRPr="00AC3DD7">
        <w:rPr>
          <w:rFonts w:ascii="Times New Roman" w:hAnsi="Times New Roman" w:cs="Times New Roman"/>
          <w:sz w:val="24"/>
          <w:szCs w:val="24"/>
        </w:rPr>
        <w:t xml:space="preserve"> nekvalitného vína predávaného ako víno pôvodom so Slovenska  s chráneným označením pôvodu</w:t>
      </w:r>
      <w:r>
        <w:rPr>
          <w:rFonts w:ascii="Times New Roman" w:hAnsi="Times New Roman" w:cs="Times New Roman"/>
          <w:sz w:val="24"/>
          <w:szCs w:val="24"/>
        </w:rPr>
        <w:t>. Z pohľadu rozvoja vidieka je nevyhnutné taktiež podporovať propagáciu slovenských vínnych ciest a vínnych slávností a takýmto spôsobom prispieť k rozvoju cestovného ruchu na Slovensku.</w:t>
      </w:r>
    </w:p>
    <w:p w:rsidR="00F82D9E" w:rsidRDefault="00F82D9E" w:rsidP="00685557">
      <w:pPr>
        <w:pBdr>
          <w:top w:val="single" w:sz="4" w:space="1" w:color="auto"/>
        </w:pBdr>
        <w:spacing w:after="0" w:line="240" w:lineRule="auto"/>
        <w:jc w:val="both"/>
        <w:rPr>
          <w:rFonts w:ascii="Times New Roman" w:hAnsi="Times New Roman" w:cs="Times New Roman"/>
          <w:sz w:val="24"/>
          <w:szCs w:val="24"/>
        </w:rPr>
      </w:pPr>
    </w:p>
    <w:p w:rsidR="009C1C45" w:rsidRPr="00AB3AA3" w:rsidRDefault="009C1C45" w:rsidP="000D68DC">
      <w:pPr>
        <w:pStyle w:val="Nadpis3"/>
        <w:numPr>
          <w:ilvl w:val="3"/>
          <w:numId w:val="8"/>
        </w:numPr>
        <w:rPr>
          <w:rFonts w:cs="Times New Roman"/>
          <w:b w:val="0"/>
          <w:szCs w:val="24"/>
          <w:u w:val="single"/>
        </w:rPr>
      </w:pPr>
      <w:bookmarkStart w:id="68" w:name="_Toc359550689"/>
      <w:r>
        <w:rPr>
          <w:rFonts w:cs="Times New Roman"/>
          <w:b w:val="0"/>
          <w:szCs w:val="24"/>
          <w:u w:val="single"/>
        </w:rPr>
        <w:t>Pestovanie chmeľu</w:t>
      </w:r>
      <w:bookmarkEnd w:id="68"/>
    </w:p>
    <w:p w:rsidR="00AB3AA3" w:rsidRDefault="00AB3AA3" w:rsidP="00526D66">
      <w:pPr>
        <w:spacing w:after="0" w:line="240" w:lineRule="auto"/>
        <w:jc w:val="both"/>
        <w:rPr>
          <w:rFonts w:ascii="Times New Roman" w:hAnsi="Times New Roman" w:cs="Times New Roman"/>
          <w:sz w:val="24"/>
          <w:szCs w:val="24"/>
        </w:rPr>
      </w:pPr>
    </w:p>
    <w:p w:rsidR="008237C7" w:rsidRDefault="008237C7" w:rsidP="008237C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w:t>
      </w:r>
      <w:r w:rsidRPr="008237C7">
        <w:rPr>
          <w:rFonts w:ascii="TimesNewRomanPSMT" w:hAnsi="TimesNewRomanPSMT" w:cs="TimesNewRomanPSMT"/>
          <w:sz w:val="24"/>
          <w:szCs w:val="24"/>
        </w:rPr>
        <w:t xml:space="preserve"> 31. máju 2012 bolo zaregistrovaných 8 chmeliarskych subjektov s celkovou výmerou chmeľníc s porastom </w:t>
      </w:r>
      <w:smartTag w:uri="urn:schemas-microsoft-com:office:smarttags" w:element="metricconverter">
        <w:smartTagPr>
          <w:attr w:name="ProductID" w:val="214,91 ha"/>
        </w:smartTagPr>
        <w:r w:rsidRPr="008237C7">
          <w:rPr>
            <w:rFonts w:ascii="TimesNewRomanPSMT" w:hAnsi="TimesNewRomanPSMT" w:cs="TimesNewRomanPSMT"/>
            <w:sz w:val="24"/>
            <w:szCs w:val="24"/>
          </w:rPr>
          <w:t>214,91 ha</w:t>
        </w:r>
      </w:smartTag>
      <w:r w:rsidRPr="008237C7">
        <w:rPr>
          <w:rFonts w:ascii="TimesNewRomanPSMT" w:hAnsi="TimesNewRomanPSMT" w:cs="TimesNewRomanPSMT"/>
          <w:sz w:val="24"/>
          <w:szCs w:val="24"/>
        </w:rPr>
        <w:t xml:space="preserve"> (spolu s manipulačnými plochami </w:t>
      </w:r>
      <w:smartTag w:uri="urn:schemas-microsoft-com:office:smarttags" w:element="metricconverter">
        <w:smartTagPr>
          <w:attr w:name="ProductID" w:val="222,41 ha"/>
        </w:smartTagPr>
        <w:r w:rsidRPr="008237C7">
          <w:rPr>
            <w:rFonts w:ascii="TimesNewRomanPSMT" w:hAnsi="TimesNewRomanPSMT" w:cs="TimesNewRomanPSMT"/>
            <w:sz w:val="24"/>
            <w:szCs w:val="24"/>
          </w:rPr>
          <w:t>222,41 ha</w:t>
        </w:r>
      </w:smartTag>
      <w:r w:rsidRPr="008237C7">
        <w:rPr>
          <w:rFonts w:ascii="TimesNewRomanPSMT" w:hAnsi="TimesNewRomanPSMT" w:cs="TimesNewRomanPSMT"/>
          <w:sz w:val="24"/>
          <w:szCs w:val="24"/>
        </w:rPr>
        <w:t xml:space="preserve">). </w:t>
      </w:r>
      <w:r w:rsidR="00867B0C">
        <w:rPr>
          <w:rFonts w:ascii="TimesNewRomanPSMT" w:hAnsi="TimesNewRomanPSMT" w:cs="TimesNewRomanPSMT"/>
          <w:sz w:val="24"/>
          <w:szCs w:val="24"/>
        </w:rPr>
        <w:t>Medzir</w:t>
      </w:r>
      <w:r w:rsidRPr="008237C7">
        <w:rPr>
          <w:rFonts w:ascii="TimesNewRomanPSMT" w:hAnsi="TimesNewRomanPSMT" w:cs="TimesNewRomanPSMT"/>
          <w:sz w:val="24"/>
          <w:szCs w:val="24"/>
        </w:rPr>
        <w:t>očný pokles výmery predstavoval 6,77 ha</w:t>
      </w:r>
      <w:r w:rsidR="009B4950">
        <w:rPr>
          <w:rFonts w:ascii="TimesNewRomanPSMT" w:hAnsi="TimesNewRomanPSMT" w:cs="TimesNewRomanPSMT"/>
          <w:sz w:val="24"/>
          <w:szCs w:val="24"/>
        </w:rPr>
        <w:t xml:space="preserve">. </w:t>
      </w:r>
      <w:r w:rsidR="00867B0C">
        <w:rPr>
          <w:rFonts w:ascii="TimesNewRomanPSMT" w:hAnsi="TimesNewRomanPSMT" w:cs="TimesNewRomanPSMT"/>
          <w:sz w:val="24"/>
          <w:szCs w:val="24"/>
        </w:rPr>
        <w:t>Oproti roku 2002 takto klesla celková výmera chmeľníc až o 23,5 %.</w:t>
      </w:r>
    </w:p>
    <w:p w:rsidR="009B4950" w:rsidRDefault="009B4950" w:rsidP="008237C7">
      <w:pPr>
        <w:autoSpaceDE w:val="0"/>
        <w:autoSpaceDN w:val="0"/>
        <w:adjustRightInd w:val="0"/>
        <w:spacing w:after="0" w:line="240" w:lineRule="auto"/>
        <w:jc w:val="both"/>
        <w:rPr>
          <w:rFonts w:ascii="TimesNewRomanPSMT" w:hAnsi="TimesNewRomanPSMT" w:cs="TimesNewRomanPSMT"/>
          <w:sz w:val="24"/>
          <w:szCs w:val="24"/>
        </w:rPr>
      </w:pPr>
    </w:p>
    <w:p w:rsidR="00E5009A" w:rsidRDefault="00E5009A" w:rsidP="009B4950">
      <w:pPr>
        <w:spacing w:after="0" w:line="240" w:lineRule="auto"/>
        <w:jc w:val="both"/>
        <w:rPr>
          <w:rFonts w:ascii="Times New Roman" w:hAnsi="Times New Roman" w:cs="Times New Roman"/>
          <w:sz w:val="20"/>
          <w:szCs w:val="20"/>
        </w:rPr>
      </w:pPr>
    </w:p>
    <w:p w:rsidR="00E5009A" w:rsidRDefault="00E5009A" w:rsidP="009B4950">
      <w:pPr>
        <w:spacing w:after="0" w:line="240" w:lineRule="auto"/>
        <w:jc w:val="both"/>
        <w:rPr>
          <w:rFonts w:ascii="Times New Roman" w:hAnsi="Times New Roman" w:cs="Times New Roman"/>
          <w:sz w:val="20"/>
          <w:szCs w:val="20"/>
        </w:rPr>
      </w:pPr>
    </w:p>
    <w:p w:rsidR="009B4950" w:rsidRPr="009B4950" w:rsidRDefault="00C970F8" w:rsidP="009B495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72</w:t>
      </w:r>
      <w:r w:rsidR="009B4950" w:rsidRPr="00155936">
        <w:rPr>
          <w:rFonts w:ascii="Times New Roman" w:hAnsi="Times New Roman" w:cs="Times New Roman"/>
          <w:sz w:val="20"/>
          <w:szCs w:val="20"/>
        </w:rPr>
        <w:t>:</w:t>
      </w:r>
      <w:r w:rsidR="009B4950">
        <w:rPr>
          <w:rFonts w:ascii="Times New Roman" w:hAnsi="Times New Roman" w:cs="Times New Roman"/>
          <w:sz w:val="20"/>
          <w:szCs w:val="20"/>
        </w:rPr>
        <w:t xml:space="preserve"> Vývoj plochy chmeľníc v ha</w:t>
      </w:r>
    </w:p>
    <w:p w:rsidR="009B4950" w:rsidRPr="008237C7" w:rsidRDefault="009B4950" w:rsidP="008237C7">
      <w:pPr>
        <w:autoSpaceDE w:val="0"/>
        <w:autoSpaceDN w:val="0"/>
        <w:adjustRightInd w:val="0"/>
        <w:spacing w:after="0" w:line="240" w:lineRule="auto"/>
        <w:jc w:val="both"/>
        <w:rPr>
          <w:rFonts w:ascii="TimesNewRomanPSMT" w:hAnsi="TimesNewRomanPSMT" w:cs="TimesNewRomanPSMT"/>
          <w:sz w:val="24"/>
          <w:szCs w:val="24"/>
        </w:rPr>
      </w:pPr>
      <w:r>
        <w:rPr>
          <w:noProof/>
        </w:rPr>
        <w:drawing>
          <wp:inline distT="0" distB="0" distL="0" distR="0" wp14:anchorId="4EBC9A4E" wp14:editId="34788BD6">
            <wp:extent cx="5757062" cy="1806854"/>
            <wp:effectExtent l="0" t="0" r="0" b="0"/>
            <wp:docPr id="67" name="Graf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9C1C45" w:rsidRPr="00685557" w:rsidRDefault="00867B0C" w:rsidP="0068555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ŠÚSR</w:t>
      </w:r>
    </w:p>
    <w:p w:rsidR="006B72D9" w:rsidRDefault="00867B0C" w:rsidP="00526D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Pestovateľské plochy chmeľu sa neustále znižujú najmä z dôvodu relatívne nízkej rentability pestovania chmeľu, nakoľko samotné pestovanie chmeľu je veľmi náročné na pracovnú silu najmä počas vegetácie. </w:t>
      </w:r>
    </w:p>
    <w:p w:rsidR="00867B0C" w:rsidRDefault="00867B0C" w:rsidP="00526D66">
      <w:pPr>
        <w:spacing w:after="0" w:line="240" w:lineRule="auto"/>
        <w:jc w:val="both"/>
        <w:rPr>
          <w:rFonts w:ascii="Times New Roman" w:hAnsi="Times New Roman" w:cs="Times New Roman"/>
          <w:sz w:val="24"/>
          <w:szCs w:val="24"/>
        </w:rPr>
      </w:pPr>
    </w:p>
    <w:p w:rsidR="00867B0C" w:rsidRPr="00C97835" w:rsidRDefault="00C970F8" w:rsidP="00C97835">
      <w:pPr>
        <w:tabs>
          <w:tab w:val="left"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t>Tab. č. 53</w:t>
      </w:r>
      <w:r w:rsidR="00C97835" w:rsidRPr="00A855A4">
        <w:rPr>
          <w:rFonts w:ascii="Times New Roman" w:hAnsi="Times New Roman" w:cs="Times New Roman"/>
          <w:sz w:val="20"/>
          <w:szCs w:val="20"/>
        </w:rPr>
        <w:t xml:space="preserve">: </w:t>
      </w:r>
      <w:r w:rsidR="00C97835">
        <w:rPr>
          <w:rFonts w:ascii="Times New Roman" w:hAnsi="Times New Roman" w:cs="Times New Roman"/>
          <w:sz w:val="20"/>
          <w:szCs w:val="20"/>
        </w:rPr>
        <w:tab/>
        <w:t>Základné produkčné ukazovatele pestovania chmeľu</w:t>
      </w:r>
    </w:p>
    <w:tbl>
      <w:tblPr>
        <w:tblW w:w="9036" w:type="dxa"/>
        <w:tblInd w:w="55" w:type="dxa"/>
        <w:tblCellMar>
          <w:left w:w="70" w:type="dxa"/>
          <w:right w:w="70" w:type="dxa"/>
        </w:tblCellMar>
        <w:tblLook w:val="04A0" w:firstRow="1" w:lastRow="0" w:firstColumn="1" w:lastColumn="0" w:noHBand="0" w:noVBand="1"/>
      </w:tblPr>
      <w:tblGrid>
        <w:gridCol w:w="3276"/>
        <w:gridCol w:w="960"/>
        <w:gridCol w:w="960"/>
        <w:gridCol w:w="960"/>
        <w:gridCol w:w="960"/>
        <w:gridCol w:w="960"/>
        <w:gridCol w:w="960"/>
      </w:tblGrid>
      <w:tr w:rsidR="00867B0C" w:rsidRPr="00867B0C" w:rsidTr="00867B0C">
        <w:trPr>
          <w:trHeight w:val="300"/>
        </w:trPr>
        <w:tc>
          <w:tcPr>
            <w:tcW w:w="3276" w:type="dxa"/>
            <w:tcBorders>
              <w:top w:val="nil"/>
              <w:left w:val="nil"/>
              <w:bottom w:val="single" w:sz="4" w:space="0" w:color="auto"/>
              <w:right w:val="single" w:sz="4" w:space="0" w:color="auto"/>
            </w:tcBorders>
            <w:shd w:val="clear" w:color="000000" w:fill="D9D9D9"/>
            <w:noWrap/>
            <w:vAlign w:val="bottom"/>
            <w:hideMark/>
          </w:tcPr>
          <w:p w:rsidR="00867B0C" w:rsidRPr="00867B0C" w:rsidRDefault="00867B0C" w:rsidP="00867B0C">
            <w:pPr>
              <w:spacing w:after="0" w:line="240" w:lineRule="auto"/>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D9D9D9"/>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2002</w:t>
            </w:r>
          </w:p>
        </w:tc>
        <w:tc>
          <w:tcPr>
            <w:tcW w:w="960" w:type="dxa"/>
            <w:tcBorders>
              <w:top w:val="nil"/>
              <w:left w:val="nil"/>
              <w:bottom w:val="single" w:sz="4" w:space="0" w:color="auto"/>
              <w:right w:val="nil"/>
            </w:tcBorders>
            <w:shd w:val="clear" w:color="000000" w:fill="D9D9D9"/>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2007</w:t>
            </w:r>
          </w:p>
        </w:tc>
        <w:tc>
          <w:tcPr>
            <w:tcW w:w="960" w:type="dxa"/>
            <w:tcBorders>
              <w:top w:val="nil"/>
              <w:left w:val="nil"/>
              <w:bottom w:val="single" w:sz="4" w:space="0" w:color="auto"/>
              <w:right w:val="nil"/>
            </w:tcBorders>
            <w:shd w:val="clear" w:color="000000" w:fill="D9D9D9"/>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2008</w:t>
            </w:r>
          </w:p>
        </w:tc>
        <w:tc>
          <w:tcPr>
            <w:tcW w:w="960" w:type="dxa"/>
            <w:tcBorders>
              <w:top w:val="nil"/>
              <w:left w:val="nil"/>
              <w:bottom w:val="single" w:sz="4" w:space="0" w:color="auto"/>
              <w:right w:val="nil"/>
            </w:tcBorders>
            <w:shd w:val="clear" w:color="000000" w:fill="D9D9D9"/>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2009</w:t>
            </w:r>
          </w:p>
        </w:tc>
        <w:tc>
          <w:tcPr>
            <w:tcW w:w="960" w:type="dxa"/>
            <w:tcBorders>
              <w:top w:val="nil"/>
              <w:left w:val="nil"/>
              <w:bottom w:val="single" w:sz="4" w:space="0" w:color="auto"/>
              <w:right w:val="nil"/>
            </w:tcBorders>
            <w:shd w:val="clear" w:color="000000" w:fill="D9D9D9"/>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2010</w:t>
            </w:r>
          </w:p>
        </w:tc>
        <w:tc>
          <w:tcPr>
            <w:tcW w:w="960" w:type="dxa"/>
            <w:tcBorders>
              <w:top w:val="nil"/>
              <w:left w:val="nil"/>
              <w:bottom w:val="single" w:sz="4" w:space="0" w:color="auto"/>
              <w:right w:val="nil"/>
            </w:tcBorders>
            <w:shd w:val="clear" w:color="000000" w:fill="D9D9D9"/>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2011</w:t>
            </w:r>
          </w:p>
        </w:tc>
      </w:tr>
      <w:tr w:rsidR="00867B0C" w:rsidRPr="00867B0C" w:rsidTr="00867B0C">
        <w:trPr>
          <w:trHeight w:val="300"/>
        </w:trPr>
        <w:tc>
          <w:tcPr>
            <w:tcW w:w="3276" w:type="dxa"/>
            <w:tcBorders>
              <w:top w:val="nil"/>
              <w:left w:val="nil"/>
              <w:bottom w:val="nil"/>
              <w:right w:val="single" w:sz="4" w:space="0" w:color="auto"/>
            </w:tcBorders>
            <w:shd w:val="clear" w:color="auto" w:fill="auto"/>
            <w:noWrap/>
            <w:vAlign w:val="bottom"/>
            <w:hideMark/>
          </w:tcPr>
          <w:p w:rsidR="00867B0C" w:rsidRPr="00867B0C" w:rsidRDefault="00867B0C" w:rsidP="00867B0C">
            <w:pPr>
              <w:spacing w:after="0" w:line="240" w:lineRule="auto"/>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 xml:space="preserve">    Zberová plocha (ha)</w:t>
            </w:r>
          </w:p>
        </w:tc>
        <w:tc>
          <w:tcPr>
            <w:tcW w:w="960" w:type="dxa"/>
            <w:tcBorders>
              <w:top w:val="nil"/>
              <w:left w:val="nil"/>
              <w:bottom w:val="nil"/>
              <w:right w:val="single" w:sz="4" w:space="0" w:color="auto"/>
            </w:tcBorders>
            <w:shd w:val="clear" w:color="auto" w:fill="auto"/>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318</w:t>
            </w:r>
          </w:p>
        </w:tc>
        <w:tc>
          <w:tcPr>
            <w:tcW w:w="960" w:type="dxa"/>
            <w:tcBorders>
              <w:top w:val="nil"/>
              <w:left w:val="nil"/>
              <w:bottom w:val="nil"/>
              <w:right w:val="nil"/>
            </w:tcBorders>
            <w:shd w:val="clear" w:color="auto" w:fill="auto"/>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293</w:t>
            </w:r>
          </w:p>
        </w:tc>
        <w:tc>
          <w:tcPr>
            <w:tcW w:w="960" w:type="dxa"/>
            <w:tcBorders>
              <w:top w:val="nil"/>
              <w:left w:val="nil"/>
              <w:bottom w:val="nil"/>
              <w:right w:val="nil"/>
            </w:tcBorders>
            <w:shd w:val="clear" w:color="auto" w:fill="auto"/>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272</w:t>
            </w:r>
          </w:p>
        </w:tc>
        <w:tc>
          <w:tcPr>
            <w:tcW w:w="960" w:type="dxa"/>
            <w:tcBorders>
              <w:top w:val="nil"/>
              <w:left w:val="nil"/>
              <w:bottom w:val="nil"/>
              <w:right w:val="nil"/>
            </w:tcBorders>
            <w:shd w:val="clear" w:color="auto" w:fill="auto"/>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229</w:t>
            </w:r>
          </w:p>
        </w:tc>
        <w:tc>
          <w:tcPr>
            <w:tcW w:w="960" w:type="dxa"/>
            <w:tcBorders>
              <w:top w:val="nil"/>
              <w:left w:val="nil"/>
              <w:bottom w:val="nil"/>
              <w:right w:val="nil"/>
            </w:tcBorders>
            <w:shd w:val="clear" w:color="auto" w:fill="auto"/>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236</w:t>
            </w:r>
          </w:p>
        </w:tc>
        <w:tc>
          <w:tcPr>
            <w:tcW w:w="960" w:type="dxa"/>
            <w:tcBorders>
              <w:top w:val="nil"/>
              <w:left w:val="nil"/>
              <w:bottom w:val="nil"/>
              <w:right w:val="nil"/>
            </w:tcBorders>
            <w:shd w:val="clear" w:color="auto" w:fill="auto"/>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228</w:t>
            </w:r>
          </w:p>
        </w:tc>
      </w:tr>
      <w:tr w:rsidR="00867B0C" w:rsidRPr="00867B0C" w:rsidTr="00867B0C">
        <w:trPr>
          <w:trHeight w:val="300"/>
        </w:trPr>
        <w:tc>
          <w:tcPr>
            <w:tcW w:w="3276" w:type="dxa"/>
            <w:tcBorders>
              <w:top w:val="nil"/>
              <w:left w:val="nil"/>
              <w:bottom w:val="nil"/>
              <w:right w:val="single" w:sz="4" w:space="0" w:color="auto"/>
            </w:tcBorders>
            <w:shd w:val="clear" w:color="000000" w:fill="F2F2F2"/>
            <w:noWrap/>
            <w:vAlign w:val="bottom"/>
            <w:hideMark/>
          </w:tcPr>
          <w:p w:rsidR="00867B0C" w:rsidRPr="00867B0C" w:rsidRDefault="00867B0C" w:rsidP="00867B0C">
            <w:pPr>
              <w:spacing w:after="0" w:line="240" w:lineRule="auto"/>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 xml:space="preserve">    Úroda (t)</w:t>
            </w:r>
          </w:p>
        </w:tc>
        <w:tc>
          <w:tcPr>
            <w:tcW w:w="960" w:type="dxa"/>
            <w:tcBorders>
              <w:top w:val="nil"/>
              <w:left w:val="nil"/>
              <w:bottom w:val="nil"/>
              <w:right w:val="single" w:sz="4" w:space="0" w:color="auto"/>
            </w:tcBorders>
            <w:shd w:val="clear" w:color="000000" w:fill="F2F2F2"/>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298</w:t>
            </w:r>
          </w:p>
        </w:tc>
        <w:tc>
          <w:tcPr>
            <w:tcW w:w="960" w:type="dxa"/>
            <w:tcBorders>
              <w:top w:val="nil"/>
              <w:left w:val="nil"/>
              <w:bottom w:val="nil"/>
              <w:right w:val="nil"/>
            </w:tcBorders>
            <w:shd w:val="clear" w:color="000000" w:fill="F2F2F2"/>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294</w:t>
            </w:r>
          </w:p>
        </w:tc>
        <w:tc>
          <w:tcPr>
            <w:tcW w:w="960" w:type="dxa"/>
            <w:tcBorders>
              <w:top w:val="nil"/>
              <w:left w:val="nil"/>
              <w:bottom w:val="nil"/>
              <w:right w:val="nil"/>
            </w:tcBorders>
            <w:shd w:val="clear" w:color="000000" w:fill="F2F2F2"/>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329</w:t>
            </w:r>
          </w:p>
        </w:tc>
        <w:tc>
          <w:tcPr>
            <w:tcW w:w="960" w:type="dxa"/>
            <w:tcBorders>
              <w:top w:val="nil"/>
              <w:left w:val="nil"/>
              <w:bottom w:val="nil"/>
              <w:right w:val="nil"/>
            </w:tcBorders>
            <w:shd w:val="clear" w:color="000000" w:fill="F2F2F2"/>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249</w:t>
            </w:r>
          </w:p>
        </w:tc>
        <w:tc>
          <w:tcPr>
            <w:tcW w:w="960" w:type="dxa"/>
            <w:tcBorders>
              <w:top w:val="nil"/>
              <w:left w:val="nil"/>
              <w:bottom w:val="nil"/>
              <w:right w:val="nil"/>
            </w:tcBorders>
            <w:shd w:val="clear" w:color="000000" w:fill="F2F2F2"/>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205</w:t>
            </w:r>
          </w:p>
        </w:tc>
        <w:tc>
          <w:tcPr>
            <w:tcW w:w="960" w:type="dxa"/>
            <w:tcBorders>
              <w:top w:val="nil"/>
              <w:left w:val="nil"/>
              <w:bottom w:val="nil"/>
              <w:right w:val="nil"/>
            </w:tcBorders>
            <w:shd w:val="clear" w:color="000000" w:fill="F2F2F2"/>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209</w:t>
            </w:r>
          </w:p>
        </w:tc>
      </w:tr>
      <w:tr w:rsidR="00867B0C" w:rsidRPr="00867B0C" w:rsidTr="00867B0C">
        <w:trPr>
          <w:trHeight w:val="300"/>
        </w:trPr>
        <w:tc>
          <w:tcPr>
            <w:tcW w:w="3276" w:type="dxa"/>
            <w:tcBorders>
              <w:top w:val="nil"/>
              <w:left w:val="nil"/>
              <w:bottom w:val="single" w:sz="4" w:space="0" w:color="auto"/>
              <w:right w:val="single" w:sz="4" w:space="0" w:color="auto"/>
            </w:tcBorders>
            <w:shd w:val="clear" w:color="auto" w:fill="auto"/>
            <w:noWrap/>
            <w:vAlign w:val="bottom"/>
            <w:hideMark/>
          </w:tcPr>
          <w:p w:rsidR="00867B0C" w:rsidRPr="00867B0C" w:rsidRDefault="00867B0C" w:rsidP="00867B0C">
            <w:pPr>
              <w:spacing w:after="0" w:line="240" w:lineRule="auto"/>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 xml:space="preserve">    Hektárová úroda (t/ha)</w:t>
            </w:r>
          </w:p>
        </w:tc>
        <w:tc>
          <w:tcPr>
            <w:tcW w:w="960" w:type="dxa"/>
            <w:tcBorders>
              <w:top w:val="nil"/>
              <w:left w:val="nil"/>
              <w:bottom w:val="single" w:sz="4" w:space="0" w:color="auto"/>
              <w:right w:val="single" w:sz="4" w:space="0" w:color="auto"/>
            </w:tcBorders>
            <w:shd w:val="clear" w:color="auto" w:fill="auto"/>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0,94</w:t>
            </w:r>
          </w:p>
        </w:tc>
        <w:tc>
          <w:tcPr>
            <w:tcW w:w="960" w:type="dxa"/>
            <w:tcBorders>
              <w:top w:val="nil"/>
              <w:left w:val="nil"/>
              <w:bottom w:val="single" w:sz="4" w:space="0" w:color="auto"/>
              <w:right w:val="nil"/>
            </w:tcBorders>
            <w:shd w:val="clear" w:color="auto" w:fill="auto"/>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1,00</w:t>
            </w:r>
          </w:p>
        </w:tc>
        <w:tc>
          <w:tcPr>
            <w:tcW w:w="960" w:type="dxa"/>
            <w:tcBorders>
              <w:top w:val="nil"/>
              <w:left w:val="nil"/>
              <w:bottom w:val="single" w:sz="4" w:space="0" w:color="auto"/>
              <w:right w:val="nil"/>
            </w:tcBorders>
            <w:shd w:val="clear" w:color="auto" w:fill="auto"/>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1,21</w:t>
            </w:r>
          </w:p>
        </w:tc>
        <w:tc>
          <w:tcPr>
            <w:tcW w:w="960" w:type="dxa"/>
            <w:tcBorders>
              <w:top w:val="nil"/>
              <w:left w:val="nil"/>
              <w:bottom w:val="single" w:sz="4" w:space="0" w:color="auto"/>
              <w:right w:val="nil"/>
            </w:tcBorders>
            <w:shd w:val="clear" w:color="auto" w:fill="auto"/>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1,09</w:t>
            </w:r>
          </w:p>
        </w:tc>
        <w:tc>
          <w:tcPr>
            <w:tcW w:w="960" w:type="dxa"/>
            <w:tcBorders>
              <w:top w:val="nil"/>
              <w:left w:val="nil"/>
              <w:bottom w:val="single" w:sz="4" w:space="0" w:color="auto"/>
              <w:right w:val="nil"/>
            </w:tcBorders>
            <w:shd w:val="clear" w:color="auto" w:fill="auto"/>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0,87</w:t>
            </w:r>
          </w:p>
        </w:tc>
        <w:tc>
          <w:tcPr>
            <w:tcW w:w="960" w:type="dxa"/>
            <w:tcBorders>
              <w:top w:val="nil"/>
              <w:left w:val="nil"/>
              <w:bottom w:val="single" w:sz="4" w:space="0" w:color="auto"/>
              <w:right w:val="nil"/>
            </w:tcBorders>
            <w:shd w:val="clear" w:color="auto" w:fill="auto"/>
            <w:noWrap/>
            <w:vAlign w:val="bottom"/>
            <w:hideMark/>
          </w:tcPr>
          <w:p w:rsidR="00867B0C" w:rsidRPr="00867B0C" w:rsidRDefault="00867B0C" w:rsidP="00867B0C">
            <w:pPr>
              <w:spacing w:after="0" w:line="240" w:lineRule="auto"/>
              <w:jc w:val="right"/>
              <w:rPr>
                <w:rFonts w:ascii="Times New Roman" w:eastAsia="Times New Roman" w:hAnsi="Times New Roman" w:cs="Times New Roman"/>
                <w:color w:val="000000"/>
                <w:sz w:val="20"/>
                <w:szCs w:val="20"/>
              </w:rPr>
            </w:pPr>
            <w:r w:rsidRPr="00867B0C">
              <w:rPr>
                <w:rFonts w:ascii="Times New Roman" w:eastAsia="Times New Roman" w:hAnsi="Times New Roman" w:cs="Times New Roman"/>
                <w:color w:val="000000"/>
                <w:sz w:val="20"/>
                <w:szCs w:val="20"/>
              </w:rPr>
              <w:t>0,92</w:t>
            </w:r>
          </w:p>
        </w:tc>
      </w:tr>
    </w:tbl>
    <w:p w:rsidR="00C97835" w:rsidRPr="00C431FF" w:rsidRDefault="00C97835" w:rsidP="00C978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ŠÚSR</w:t>
      </w:r>
    </w:p>
    <w:p w:rsidR="00867B0C" w:rsidRDefault="00867B0C" w:rsidP="00526D66">
      <w:pPr>
        <w:spacing w:after="0" w:line="240" w:lineRule="auto"/>
        <w:jc w:val="both"/>
        <w:rPr>
          <w:rFonts w:ascii="Times New Roman" w:hAnsi="Times New Roman" w:cs="Times New Roman"/>
          <w:sz w:val="24"/>
          <w:szCs w:val="24"/>
        </w:rPr>
      </w:pPr>
    </w:p>
    <w:p w:rsidR="006B72D9" w:rsidRDefault="00F60CA9" w:rsidP="00526D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Zhodnotením základných produkčných ukazovateľov pestovania chmeľu je potrebné konštatovať, že za neustáleho poklesu zberových plôch sa súčasne znižuje aj hektárová výnosnosť a výsledkom je prepad súčasných úrod oproti referenčnému roku 2002 o viac ako 29 %. </w:t>
      </w:r>
    </w:p>
    <w:p w:rsidR="0094422D" w:rsidRDefault="0094422D" w:rsidP="00526D66">
      <w:pPr>
        <w:spacing w:after="0" w:line="240" w:lineRule="auto"/>
        <w:jc w:val="both"/>
        <w:rPr>
          <w:rFonts w:ascii="Times New Roman" w:hAnsi="Times New Roman" w:cs="Times New Roman"/>
          <w:sz w:val="24"/>
          <w:szCs w:val="24"/>
        </w:rPr>
      </w:pPr>
    </w:p>
    <w:p w:rsidR="00F60CA9" w:rsidRPr="00526D66" w:rsidRDefault="00F60CA9" w:rsidP="00F60CA9">
      <w:pPr>
        <w:pBdr>
          <w:top w:val="single" w:sz="4" w:space="1" w:color="auto"/>
          <w:bottom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Na záchranu pestovania chmeľu na Slovensku je potrebné produkciu chmeľu z hľadiska zberových plôch zastabilizovať minimálne na súčasnej úrovni a podporou zlepšovania technologických postupov pestovania zvýšiť hektárové výnosy na úroveň roku 2008</w:t>
      </w:r>
      <w:r w:rsidR="00A21458">
        <w:rPr>
          <w:rFonts w:ascii="Times New Roman" w:hAnsi="Times New Roman" w:cs="Times New Roman"/>
          <w:sz w:val="24"/>
          <w:szCs w:val="24"/>
        </w:rPr>
        <w:t>, t.j.      1,21 t/ha</w:t>
      </w:r>
      <w:r>
        <w:rPr>
          <w:rFonts w:ascii="Times New Roman" w:hAnsi="Times New Roman" w:cs="Times New Roman"/>
          <w:sz w:val="24"/>
          <w:szCs w:val="24"/>
        </w:rPr>
        <w:t>.</w:t>
      </w:r>
    </w:p>
    <w:p w:rsidR="00F60CA9" w:rsidRPr="00526D66" w:rsidRDefault="00F60CA9" w:rsidP="00526D66">
      <w:pPr>
        <w:spacing w:after="0" w:line="240" w:lineRule="auto"/>
        <w:jc w:val="both"/>
        <w:rPr>
          <w:rFonts w:ascii="Times New Roman" w:hAnsi="Times New Roman" w:cs="Times New Roman"/>
          <w:sz w:val="24"/>
          <w:szCs w:val="24"/>
        </w:rPr>
      </w:pPr>
    </w:p>
    <w:p w:rsidR="0028430F" w:rsidRDefault="00075CD9" w:rsidP="000D68DC">
      <w:pPr>
        <w:pStyle w:val="Nadpis3"/>
        <w:numPr>
          <w:ilvl w:val="2"/>
          <w:numId w:val="8"/>
        </w:numPr>
      </w:pPr>
      <w:bookmarkStart w:id="69" w:name="_Toc359550690"/>
      <w:r>
        <w:t xml:space="preserve">Rozvoj </w:t>
      </w:r>
      <w:r w:rsidR="003504A3">
        <w:t>vidieka</w:t>
      </w:r>
      <w:r>
        <w:t xml:space="preserve"> pri zabezpečení špecializovaných lesníckych</w:t>
      </w:r>
      <w:r w:rsidR="0028430F">
        <w:t xml:space="preserve"> činnost</w:t>
      </w:r>
      <w:r>
        <w:t>í</w:t>
      </w:r>
      <w:bookmarkEnd w:id="69"/>
    </w:p>
    <w:p w:rsidR="0028430F" w:rsidRPr="00F60CA9" w:rsidRDefault="0028430F" w:rsidP="00F60CA9">
      <w:pPr>
        <w:spacing w:after="0" w:line="240" w:lineRule="auto"/>
        <w:jc w:val="both"/>
        <w:rPr>
          <w:rFonts w:ascii="Times New Roman" w:hAnsi="Times New Roman" w:cs="Times New Roman"/>
          <w:sz w:val="24"/>
          <w:szCs w:val="24"/>
        </w:rPr>
      </w:pPr>
    </w:p>
    <w:p w:rsidR="003F06B5" w:rsidRDefault="003F06B5" w:rsidP="003F06B5">
      <w:pPr>
        <w:spacing w:after="0" w:line="240" w:lineRule="auto"/>
        <w:jc w:val="both"/>
        <w:rPr>
          <w:rFonts w:ascii="Times New Roman" w:eastAsia="Calibri" w:hAnsi="Times New Roman"/>
          <w:sz w:val="24"/>
          <w:szCs w:val="24"/>
        </w:rPr>
      </w:pPr>
      <w:r w:rsidRPr="00825350">
        <w:rPr>
          <w:rFonts w:ascii="Times New Roman" w:eastAsia="Calibri" w:hAnsi="Times New Roman"/>
          <w:sz w:val="24"/>
          <w:szCs w:val="24"/>
        </w:rPr>
        <w:t>V záujme ďalšieho rozvoja lesného hospodárstva je potrebné, popri tradičnom zdroji príjmov z drevných produktov realizovať opatrenia zamerané na zvyšovania zamestnanosti a príjmov diverzifikáciou lesníckych a nelesníckych činností, ako aj aktivít realizovaných v rámci súvisiacich odvetví. Ako prioritná oblasť sa javí cestovný ruch</w:t>
      </w:r>
      <w:r>
        <w:rPr>
          <w:rFonts w:ascii="Times New Roman" w:eastAsia="Calibri" w:hAnsi="Times New Roman"/>
          <w:sz w:val="24"/>
          <w:szCs w:val="24"/>
        </w:rPr>
        <w:t>, v rámci ktorej je potrebné realizovať nasledovné aktivity:</w:t>
      </w:r>
    </w:p>
    <w:p w:rsidR="003F06B5" w:rsidRDefault="003F06B5" w:rsidP="003F06B5">
      <w:pPr>
        <w:spacing w:after="0" w:line="240" w:lineRule="auto"/>
        <w:jc w:val="both"/>
        <w:rPr>
          <w:rFonts w:ascii="Times New Roman" w:eastAsia="Calibri" w:hAnsi="Times New Roman"/>
          <w:sz w:val="24"/>
          <w:szCs w:val="24"/>
        </w:rPr>
      </w:pPr>
    </w:p>
    <w:p w:rsidR="003F06B5" w:rsidRPr="00825350" w:rsidRDefault="003F06B5" w:rsidP="000D68DC">
      <w:pPr>
        <w:pStyle w:val="Odsekzoznamu"/>
        <w:numPr>
          <w:ilvl w:val="0"/>
          <w:numId w:val="9"/>
        </w:numPr>
        <w:spacing w:after="0" w:line="240" w:lineRule="auto"/>
        <w:jc w:val="both"/>
        <w:rPr>
          <w:rFonts w:ascii="Times New Roman" w:eastAsia="Calibri" w:hAnsi="Times New Roman"/>
          <w:sz w:val="24"/>
          <w:szCs w:val="24"/>
        </w:rPr>
      </w:pPr>
      <w:r w:rsidRPr="00825350">
        <w:rPr>
          <w:rFonts w:ascii="Times New Roman" w:eastAsia="Calibri" w:hAnsi="Times New Roman"/>
          <w:sz w:val="24"/>
          <w:szCs w:val="24"/>
        </w:rPr>
        <w:t>výstavba, rekonštrukcia a modernizácia rekreačných a ubytovacích zariad</w:t>
      </w:r>
      <w:r>
        <w:rPr>
          <w:rFonts w:ascii="Times New Roman" w:eastAsia="Calibri" w:hAnsi="Times New Roman"/>
          <w:sz w:val="24"/>
          <w:szCs w:val="24"/>
        </w:rPr>
        <w:t xml:space="preserve">ení s kapacitou 11 – 40 lôžok, t.j. </w:t>
      </w:r>
      <w:r w:rsidRPr="00825350">
        <w:rPr>
          <w:rFonts w:ascii="Times New Roman" w:eastAsia="Calibri" w:hAnsi="Times New Roman"/>
          <w:sz w:val="24"/>
          <w:szCs w:val="24"/>
        </w:rPr>
        <w:t xml:space="preserve">stavebné investície, investície do vnútorného vybavenia, zariadenia a technológií vrátane zriadenia pripojenia na internet; </w:t>
      </w:r>
    </w:p>
    <w:p w:rsidR="003F06B5" w:rsidRPr="00825350" w:rsidRDefault="003F06B5" w:rsidP="000D68DC">
      <w:pPr>
        <w:pStyle w:val="Odsekzoznamu"/>
        <w:numPr>
          <w:ilvl w:val="0"/>
          <w:numId w:val="9"/>
        </w:numPr>
        <w:spacing w:after="0" w:line="240" w:lineRule="auto"/>
        <w:jc w:val="both"/>
        <w:rPr>
          <w:rFonts w:ascii="Times New Roman" w:eastAsia="Calibri" w:hAnsi="Times New Roman"/>
          <w:sz w:val="24"/>
          <w:szCs w:val="24"/>
        </w:rPr>
      </w:pPr>
      <w:r w:rsidRPr="00825350">
        <w:rPr>
          <w:rFonts w:ascii="Times New Roman" w:eastAsia="Calibri" w:hAnsi="Times New Roman"/>
          <w:sz w:val="24"/>
          <w:szCs w:val="24"/>
        </w:rPr>
        <w:t xml:space="preserve">rekonštrukcia existujúcich </w:t>
      </w:r>
      <w:r>
        <w:rPr>
          <w:rFonts w:ascii="Times New Roman" w:eastAsia="Calibri" w:hAnsi="Times New Roman"/>
          <w:sz w:val="24"/>
          <w:szCs w:val="24"/>
        </w:rPr>
        <w:t xml:space="preserve">lesníckych objektov, </w:t>
      </w:r>
      <w:r w:rsidRPr="00825350">
        <w:rPr>
          <w:rFonts w:ascii="Times New Roman" w:eastAsia="Calibri" w:hAnsi="Times New Roman"/>
          <w:sz w:val="24"/>
          <w:szCs w:val="24"/>
        </w:rPr>
        <w:t>k</w:t>
      </w:r>
      <w:r>
        <w:rPr>
          <w:rFonts w:ascii="Times New Roman" w:eastAsia="Calibri" w:hAnsi="Times New Roman"/>
          <w:sz w:val="24"/>
          <w:szCs w:val="24"/>
        </w:rPr>
        <w:t>toré stratili svoj pôvodný účel,</w:t>
      </w:r>
      <w:r w:rsidRPr="00825350">
        <w:rPr>
          <w:rFonts w:ascii="Times New Roman" w:eastAsia="Calibri" w:hAnsi="Times New Roman"/>
          <w:sz w:val="24"/>
          <w:szCs w:val="24"/>
        </w:rPr>
        <w:t xml:space="preserve"> na agroturistické objekty s kapacitou 11 – 40 lôžok</w:t>
      </w:r>
      <w:r>
        <w:rPr>
          <w:rFonts w:ascii="Times New Roman" w:eastAsia="Calibri" w:hAnsi="Times New Roman"/>
          <w:sz w:val="24"/>
          <w:szCs w:val="24"/>
        </w:rPr>
        <w:t xml:space="preserve">, t.j. </w:t>
      </w:r>
      <w:r w:rsidRPr="00825350">
        <w:rPr>
          <w:rFonts w:ascii="Times New Roman" w:eastAsia="Calibri" w:hAnsi="Times New Roman"/>
          <w:sz w:val="24"/>
          <w:szCs w:val="24"/>
        </w:rPr>
        <w:t xml:space="preserve">stavebné investície, investície do </w:t>
      </w:r>
      <w:r w:rsidRPr="00825350">
        <w:rPr>
          <w:rFonts w:ascii="Times New Roman" w:eastAsia="Calibri" w:hAnsi="Times New Roman"/>
          <w:sz w:val="24"/>
          <w:szCs w:val="24"/>
        </w:rPr>
        <w:lastRenderedPageBreak/>
        <w:t xml:space="preserve">vnútorného vybavenia, zariadenia a technológií vrátane zriadenia pripojenia na internet; </w:t>
      </w:r>
    </w:p>
    <w:p w:rsidR="003F06B5" w:rsidRDefault="003F06B5" w:rsidP="000D68DC">
      <w:pPr>
        <w:pStyle w:val="Odsekzoznamu"/>
        <w:numPr>
          <w:ilvl w:val="0"/>
          <w:numId w:val="9"/>
        </w:numPr>
        <w:spacing w:after="0" w:line="240" w:lineRule="auto"/>
        <w:jc w:val="both"/>
        <w:rPr>
          <w:rFonts w:ascii="Times New Roman" w:eastAsia="Calibri" w:hAnsi="Times New Roman"/>
          <w:sz w:val="24"/>
          <w:szCs w:val="24"/>
        </w:rPr>
      </w:pPr>
      <w:r w:rsidRPr="00825350">
        <w:rPr>
          <w:rFonts w:ascii="Times New Roman" w:eastAsia="Calibri" w:hAnsi="Times New Roman"/>
          <w:sz w:val="24"/>
          <w:szCs w:val="24"/>
        </w:rPr>
        <w:t xml:space="preserve">výstavba, rekonštrukcia a modernizácia </w:t>
      </w:r>
      <w:r>
        <w:rPr>
          <w:rFonts w:ascii="Times New Roman" w:eastAsia="Calibri" w:hAnsi="Times New Roman"/>
          <w:sz w:val="24"/>
          <w:szCs w:val="24"/>
        </w:rPr>
        <w:t xml:space="preserve">agroturistických zariadení, vrátane hygienických, ekologických a rekondičných objektov slúžiacich na rozvoj turistických činností, t.j. </w:t>
      </w:r>
      <w:r w:rsidRPr="00825350">
        <w:rPr>
          <w:rFonts w:ascii="Times New Roman" w:eastAsia="Calibri" w:hAnsi="Times New Roman"/>
          <w:sz w:val="24"/>
          <w:szCs w:val="24"/>
        </w:rPr>
        <w:t>stavebné investície, investície do vnútorného vybavenia, zariadenia a technológií vrátane zriadenia pripojenia na internet</w:t>
      </w:r>
      <w:r>
        <w:rPr>
          <w:rFonts w:ascii="Times New Roman" w:eastAsia="Calibri" w:hAnsi="Times New Roman"/>
          <w:sz w:val="24"/>
          <w:szCs w:val="24"/>
        </w:rPr>
        <w:t>; a</w:t>
      </w:r>
    </w:p>
    <w:p w:rsidR="003F06B5" w:rsidRDefault="003F06B5" w:rsidP="000D68DC">
      <w:pPr>
        <w:pStyle w:val="Odsekzoznamu"/>
        <w:numPr>
          <w:ilvl w:val="0"/>
          <w:numId w:val="9"/>
        </w:numPr>
        <w:spacing w:after="0" w:line="240" w:lineRule="auto"/>
        <w:jc w:val="both"/>
        <w:rPr>
          <w:rFonts w:ascii="Times New Roman" w:eastAsia="Calibri" w:hAnsi="Times New Roman"/>
          <w:sz w:val="24"/>
          <w:szCs w:val="24"/>
        </w:rPr>
      </w:pPr>
      <w:r w:rsidRPr="00825350">
        <w:rPr>
          <w:rFonts w:ascii="Times New Roman" w:eastAsia="Calibri" w:hAnsi="Times New Roman"/>
          <w:sz w:val="24"/>
          <w:szCs w:val="24"/>
        </w:rPr>
        <w:t>výstavba, rekonštrukcia a</w:t>
      </w:r>
      <w:r>
        <w:rPr>
          <w:rFonts w:ascii="Times New Roman" w:eastAsia="Calibri" w:hAnsi="Times New Roman"/>
          <w:sz w:val="24"/>
          <w:szCs w:val="24"/>
        </w:rPr>
        <w:t> </w:t>
      </w:r>
      <w:r w:rsidRPr="00825350">
        <w:rPr>
          <w:rFonts w:ascii="Times New Roman" w:eastAsia="Calibri" w:hAnsi="Times New Roman"/>
          <w:sz w:val="24"/>
          <w:szCs w:val="24"/>
        </w:rPr>
        <w:t>modernizácia</w:t>
      </w:r>
      <w:r>
        <w:rPr>
          <w:rFonts w:ascii="Times New Roman" w:eastAsia="Calibri" w:hAnsi="Times New Roman"/>
          <w:sz w:val="24"/>
          <w:szCs w:val="24"/>
        </w:rPr>
        <w:t xml:space="preserve"> areálov vytvárajúcich podmienky na rozvoj rekreačných a relaxačných činností (turistické chodníky, jazdecké areály, rybárstvo, poľovníctvo, pltníctvo, cykloturistika, atď.)</w:t>
      </w:r>
    </w:p>
    <w:p w:rsidR="003F06B5" w:rsidRDefault="003F06B5" w:rsidP="003F06B5">
      <w:pPr>
        <w:spacing w:after="0" w:line="240" w:lineRule="auto"/>
        <w:jc w:val="both"/>
        <w:rPr>
          <w:rFonts w:ascii="Times New Roman" w:eastAsia="Calibri" w:hAnsi="Times New Roman"/>
          <w:sz w:val="24"/>
          <w:szCs w:val="24"/>
        </w:rPr>
      </w:pPr>
    </w:p>
    <w:p w:rsidR="003F06B5" w:rsidRDefault="003F06B5" w:rsidP="003F06B5">
      <w:pPr>
        <w:spacing w:after="0" w:line="240" w:lineRule="auto"/>
        <w:jc w:val="both"/>
        <w:rPr>
          <w:rFonts w:ascii="Times New Roman" w:eastAsia="Calibri" w:hAnsi="Times New Roman"/>
          <w:sz w:val="24"/>
          <w:szCs w:val="24"/>
        </w:rPr>
      </w:pPr>
      <w:r>
        <w:rPr>
          <w:rFonts w:ascii="Times New Roman" w:eastAsia="Calibri" w:hAnsi="Times New Roman"/>
          <w:sz w:val="24"/>
          <w:szCs w:val="24"/>
        </w:rPr>
        <w:t>Celkové náklady na tieto aktiv</w:t>
      </w:r>
      <w:r w:rsidR="000A50D7">
        <w:rPr>
          <w:rFonts w:ascii="Times New Roman" w:eastAsia="Calibri" w:hAnsi="Times New Roman"/>
          <w:sz w:val="24"/>
          <w:szCs w:val="24"/>
        </w:rPr>
        <w:t>ity sa predpokladajú v objeme 7</w:t>
      </w:r>
      <w:r>
        <w:rPr>
          <w:rFonts w:ascii="Times New Roman" w:eastAsia="Calibri" w:hAnsi="Times New Roman"/>
          <w:sz w:val="24"/>
          <w:szCs w:val="24"/>
        </w:rPr>
        <w:t> 000 </w:t>
      </w:r>
      <w:proofErr w:type="spellStart"/>
      <w:r>
        <w:rPr>
          <w:rFonts w:ascii="Times New Roman" w:eastAsia="Calibri" w:hAnsi="Times New Roman"/>
          <w:sz w:val="24"/>
          <w:szCs w:val="24"/>
        </w:rPr>
        <w:t>000</w:t>
      </w:r>
      <w:proofErr w:type="spellEnd"/>
      <w:r>
        <w:rPr>
          <w:rFonts w:ascii="Times New Roman" w:eastAsia="Calibri" w:hAnsi="Times New Roman"/>
          <w:sz w:val="24"/>
          <w:szCs w:val="24"/>
        </w:rPr>
        <w:t xml:space="preserve"> EUR, pričom by malo dôjsť prevažne k rekonštrukcii existujúcich lesníckych stavieb, ktorých opodstatnenosť v čase pominula, a ich prebudovaniu na účely rozvoja agroturistiky a lesníckej turistiky. </w:t>
      </w:r>
    </w:p>
    <w:p w:rsidR="003F06B5" w:rsidRDefault="003F06B5" w:rsidP="003F06B5">
      <w:pPr>
        <w:spacing w:after="0" w:line="240" w:lineRule="auto"/>
        <w:jc w:val="both"/>
        <w:rPr>
          <w:rFonts w:ascii="Times New Roman" w:eastAsia="Calibri" w:hAnsi="Times New Roman"/>
          <w:sz w:val="24"/>
          <w:szCs w:val="24"/>
        </w:rPr>
      </w:pPr>
    </w:p>
    <w:p w:rsidR="003F06B5" w:rsidRPr="007F7B56" w:rsidRDefault="003F06B5" w:rsidP="003F06B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Z hľadiska geografickej </w:t>
      </w:r>
      <w:proofErr w:type="spellStart"/>
      <w:r>
        <w:rPr>
          <w:rFonts w:ascii="Times New Roman" w:eastAsia="Calibri" w:hAnsi="Times New Roman"/>
          <w:sz w:val="24"/>
          <w:szCs w:val="24"/>
        </w:rPr>
        <w:t>prioritizácie</w:t>
      </w:r>
      <w:proofErr w:type="spellEnd"/>
      <w:r>
        <w:rPr>
          <w:rFonts w:ascii="Times New Roman" w:eastAsia="Calibri" w:hAnsi="Times New Roman"/>
          <w:sz w:val="24"/>
          <w:szCs w:val="24"/>
        </w:rPr>
        <w:t xml:space="preserve"> je potrebné sústrediť sa na rozvoj turistickej infraštruktúry hlavne v oblastiach v okolí významných  lesníckych miest. Špecifikovaný objem finančných prostriedkov na naplnenie tejto prioritnej úlohy zabezpečí kompletnú rekonštrukciu približne 30 nosných objektov lesníckej turistiky, ktoré zabezpečia potrebný rozvoj cestovného ruchu vo významných lesníckych miestach a ich okolí.</w:t>
      </w:r>
    </w:p>
    <w:p w:rsidR="00F60CA9" w:rsidRPr="00F60CA9" w:rsidRDefault="00F60CA9" w:rsidP="00F60CA9">
      <w:pPr>
        <w:spacing w:after="0" w:line="240" w:lineRule="auto"/>
        <w:jc w:val="both"/>
        <w:rPr>
          <w:rFonts w:ascii="Times New Roman" w:hAnsi="Times New Roman" w:cs="Times New Roman"/>
          <w:sz w:val="24"/>
          <w:szCs w:val="24"/>
        </w:rPr>
      </w:pPr>
    </w:p>
    <w:p w:rsidR="00F60CA9" w:rsidRPr="00F60CA9" w:rsidRDefault="002435D2" w:rsidP="002435D2">
      <w:pPr>
        <w:pBdr>
          <w:top w:val="single" w:sz="4" w:space="1" w:color="auto"/>
          <w:bottom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Sumárne je možné konštatovať, že príspevok špecializovaných lesníckych činností pri rozvoji vidieka spočíva vo vhodnej diverzifikácii lesníckych činností drobných obhospodarovateľov lesa smerom k nelesníckym aktivitám, ktoré podporia cestovný ruch v lesnícky významných miestach.</w:t>
      </w:r>
    </w:p>
    <w:p w:rsidR="00B566D0" w:rsidRPr="00F60CA9" w:rsidRDefault="00B566D0" w:rsidP="00F60CA9">
      <w:pPr>
        <w:spacing w:after="0" w:line="240" w:lineRule="auto"/>
        <w:jc w:val="both"/>
        <w:rPr>
          <w:rFonts w:ascii="Times New Roman" w:hAnsi="Times New Roman" w:cs="Times New Roman"/>
          <w:sz w:val="24"/>
          <w:szCs w:val="24"/>
        </w:rPr>
      </w:pPr>
    </w:p>
    <w:p w:rsidR="0028430F" w:rsidRPr="0028430F" w:rsidRDefault="00B566D0" w:rsidP="000D68DC">
      <w:pPr>
        <w:pStyle w:val="Nadpis3"/>
        <w:numPr>
          <w:ilvl w:val="2"/>
          <w:numId w:val="8"/>
        </w:numPr>
      </w:pPr>
      <w:bookmarkStart w:id="70" w:name="_Toc359550691"/>
      <w:r>
        <w:t>Identifikované scenáre vývoja vplyvov špecializovaných oblastí pôdohospodárstva na rozvoj vidieka</w:t>
      </w:r>
      <w:bookmarkEnd w:id="70"/>
    </w:p>
    <w:p w:rsidR="00B566D0" w:rsidRDefault="00B566D0" w:rsidP="00B566D0">
      <w:pPr>
        <w:spacing w:after="0" w:line="240" w:lineRule="auto"/>
        <w:jc w:val="both"/>
      </w:pPr>
    </w:p>
    <w:p w:rsidR="00B566D0" w:rsidRDefault="00B566D0" w:rsidP="00B566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základe vykonaných analýz </w:t>
      </w:r>
      <w:r w:rsidR="006F7D07">
        <w:rPr>
          <w:rFonts w:ascii="Times New Roman" w:hAnsi="Times New Roman" w:cs="Times New Roman"/>
          <w:sz w:val="24"/>
          <w:szCs w:val="24"/>
        </w:rPr>
        <w:t>špecializovaných oblastí pôdohospodárstva boli identifikované tieto základné opatrenia na zvýšenie ich vplyvu na rozvoj vidieka</w:t>
      </w:r>
      <w:r>
        <w:rPr>
          <w:rFonts w:ascii="Times New Roman" w:hAnsi="Times New Roman" w:cs="Times New Roman"/>
          <w:sz w:val="24"/>
          <w:szCs w:val="24"/>
        </w:rPr>
        <w:t>.</w:t>
      </w:r>
    </w:p>
    <w:p w:rsidR="00B566D0" w:rsidRDefault="00B566D0" w:rsidP="00B566D0">
      <w:pPr>
        <w:tabs>
          <w:tab w:val="left" w:pos="993"/>
        </w:tabs>
        <w:spacing w:after="0" w:line="240" w:lineRule="auto"/>
        <w:ind w:left="993" w:hanging="993"/>
        <w:jc w:val="both"/>
        <w:rPr>
          <w:rFonts w:ascii="Times New Roman" w:hAnsi="Times New Roman" w:cs="Times New Roman"/>
          <w:sz w:val="20"/>
          <w:szCs w:val="20"/>
        </w:rPr>
      </w:pPr>
    </w:p>
    <w:p w:rsidR="00B566D0" w:rsidRPr="009B2487" w:rsidRDefault="00B566D0" w:rsidP="00B566D0">
      <w:pPr>
        <w:tabs>
          <w:tab w:val="left"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t xml:space="preserve">Tab. č. </w:t>
      </w:r>
      <w:r w:rsidR="00716D15">
        <w:rPr>
          <w:rFonts w:ascii="Times New Roman" w:hAnsi="Times New Roman" w:cs="Times New Roman"/>
          <w:sz w:val="20"/>
          <w:szCs w:val="20"/>
        </w:rPr>
        <w:t>5</w:t>
      </w:r>
      <w:r w:rsidR="00C970F8">
        <w:rPr>
          <w:rFonts w:ascii="Times New Roman" w:hAnsi="Times New Roman" w:cs="Times New Roman"/>
          <w:sz w:val="20"/>
          <w:szCs w:val="20"/>
        </w:rPr>
        <w:t>4</w:t>
      </w:r>
      <w:r w:rsidRPr="00A855A4">
        <w:rPr>
          <w:rFonts w:ascii="Times New Roman" w:hAnsi="Times New Roman" w:cs="Times New Roman"/>
          <w:sz w:val="20"/>
          <w:szCs w:val="20"/>
        </w:rPr>
        <w:t xml:space="preserve">: </w:t>
      </w:r>
      <w:r>
        <w:rPr>
          <w:rFonts w:ascii="Times New Roman" w:hAnsi="Times New Roman" w:cs="Times New Roman"/>
          <w:sz w:val="20"/>
          <w:szCs w:val="20"/>
        </w:rPr>
        <w:tab/>
        <w:t xml:space="preserve">Identifikované </w:t>
      </w:r>
      <w:r w:rsidR="006F7D07">
        <w:rPr>
          <w:rFonts w:ascii="Times New Roman" w:hAnsi="Times New Roman" w:cs="Times New Roman"/>
          <w:sz w:val="20"/>
          <w:szCs w:val="20"/>
        </w:rPr>
        <w:t>základné opatrenia na zvýšenie vplyvu špecializovaných oblastí pôdohospodárstva na rozvoj vidieka</w:t>
      </w:r>
    </w:p>
    <w:tbl>
      <w:tblPr>
        <w:tblW w:w="9600" w:type="dxa"/>
        <w:tblInd w:w="55" w:type="dxa"/>
        <w:tblCellMar>
          <w:left w:w="70" w:type="dxa"/>
          <w:right w:w="70" w:type="dxa"/>
        </w:tblCellMar>
        <w:tblLook w:val="04A0" w:firstRow="1" w:lastRow="0" w:firstColumn="1" w:lastColumn="0" w:noHBand="0" w:noVBand="1"/>
      </w:tblPr>
      <w:tblGrid>
        <w:gridCol w:w="2740"/>
        <w:gridCol w:w="6860"/>
      </w:tblGrid>
      <w:tr w:rsidR="00B566D0" w:rsidRPr="009B2487" w:rsidTr="00E1196B">
        <w:trPr>
          <w:trHeight w:val="379"/>
        </w:trPr>
        <w:tc>
          <w:tcPr>
            <w:tcW w:w="2740" w:type="dxa"/>
            <w:tcBorders>
              <w:top w:val="single" w:sz="4" w:space="0" w:color="auto"/>
              <w:left w:val="nil"/>
              <w:right w:val="single" w:sz="4" w:space="0" w:color="auto"/>
            </w:tcBorders>
            <w:shd w:val="clear" w:color="000000" w:fill="F2F2F2"/>
            <w:noWrap/>
          </w:tcPr>
          <w:p w:rsidR="00B566D0" w:rsidRDefault="00AE2226" w:rsidP="00E1196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Špecializovaná živočíšna výroba</w:t>
            </w:r>
          </w:p>
        </w:tc>
        <w:tc>
          <w:tcPr>
            <w:tcW w:w="6860" w:type="dxa"/>
            <w:tcBorders>
              <w:top w:val="single" w:sz="4" w:space="0" w:color="auto"/>
              <w:left w:val="nil"/>
              <w:bottom w:val="single" w:sz="4" w:space="0" w:color="auto"/>
              <w:right w:val="nil"/>
            </w:tcBorders>
            <w:shd w:val="clear" w:color="000000" w:fill="F2F2F2"/>
          </w:tcPr>
          <w:p w:rsidR="00B566D0" w:rsidRDefault="0094422D" w:rsidP="00E1196B">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chrániť a podporovať tradičnú slovenskú bryndzu s podielom ovčej hrudky najmenej vo výške 50 %</w:t>
            </w:r>
          </w:p>
        </w:tc>
      </w:tr>
      <w:tr w:rsidR="00B566D0" w:rsidRPr="009B2487" w:rsidTr="00E1196B">
        <w:trPr>
          <w:trHeight w:val="553"/>
        </w:trPr>
        <w:tc>
          <w:tcPr>
            <w:tcW w:w="2740" w:type="dxa"/>
            <w:tcBorders>
              <w:left w:val="nil"/>
              <w:right w:val="single" w:sz="4" w:space="0" w:color="auto"/>
            </w:tcBorders>
            <w:shd w:val="clear" w:color="000000" w:fill="F2F2F2"/>
            <w:noWrap/>
            <w:hideMark/>
          </w:tcPr>
          <w:p w:rsidR="00B566D0" w:rsidRPr="00DB49CD" w:rsidRDefault="00B566D0" w:rsidP="00E1196B">
            <w:pPr>
              <w:spacing w:after="0" w:line="240" w:lineRule="auto"/>
              <w:rPr>
                <w:rFonts w:ascii="Times New Roman" w:eastAsia="Times New Roman" w:hAnsi="Times New Roman" w:cs="Times New Roman"/>
                <w:b/>
                <w:bCs/>
                <w:color w:val="000000"/>
                <w:sz w:val="24"/>
                <w:szCs w:val="24"/>
              </w:rPr>
            </w:pPr>
          </w:p>
        </w:tc>
        <w:tc>
          <w:tcPr>
            <w:tcW w:w="6860" w:type="dxa"/>
            <w:tcBorders>
              <w:top w:val="single" w:sz="4" w:space="0" w:color="auto"/>
              <w:left w:val="single" w:sz="4" w:space="0" w:color="auto"/>
              <w:bottom w:val="single" w:sz="4" w:space="0" w:color="auto"/>
              <w:right w:val="nil"/>
            </w:tcBorders>
            <w:shd w:val="clear" w:color="000000" w:fill="F2F2F2"/>
            <w:hideMark/>
          </w:tcPr>
          <w:p w:rsidR="00B566D0" w:rsidRPr="00DB49CD" w:rsidRDefault="0094422D" w:rsidP="00E1196B">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podporovať</w:t>
            </w:r>
            <w:r w:rsidRPr="009371DB">
              <w:rPr>
                <w:rFonts w:ascii="Times New Roman" w:hAnsi="Times New Roman" w:cs="Times New Roman"/>
                <w:sz w:val="24"/>
                <w:szCs w:val="24"/>
              </w:rPr>
              <w:t xml:space="preserve"> </w:t>
            </w:r>
            <w:proofErr w:type="spellStart"/>
            <w:r w:rsidRPr="009371DB">
              <w:rPr>
                <w:rFonts w:ascii="Times New Roman" w:hAnsi="Times New Roman" w:cs="Times New Roman"/>
                <w:sz w:val="24"/>
                <w:szCs w:val="24"/>
              </w:rPr>
              <w:t>nízkonákladové</w:t>
            </w:r>
            <w:proofErr w:type="spellEnd"/>
            <w:r w:rsidRPr="009371DB">
              <w:rPr>
                <w:rFonts w:ascii="Times New Roman" w:hAnsi="Times New Roman" w:cs="Times New Roman"/>
                <w:sz w:val="24"/>
                <w:szCs w:val="24"/>
              </w:rPr>
              <w:t xml:space="preserve"> produkčné systémy v chove </w:t>
            </w:r>
            <w:r>
              <w:rPr>
                <w:rFonts w:ascii="Times New Roman" w:hAnsi="Times New Roman" w:cs="Times New Roman"/>
                <w:sz w:val="24"/>
                <w:szCs w:val="24"/>
              </w:rPr>
              <w:t>kôz, t.j. podporiť rozvoj rodinných fariem</w:t>
            </w:r>
          </w:p>
        </w:tc>
      </w:tr>
      <w:tr w:rsidR="00B566D0" w:rsidRPr="009B2487" w:rsidTr="004D005A">
        <w:trPr>
          <w:trHeight w:val="561"/>
        </w:trPr>
        <w:tc>
          <w:tcPr>
            <w:tcW w:w="2740" w:type="dxa"/>
            <w:tcBorders>
              <w:left w:val="nil"/>
              <w:right w:val="single" w:sz="4" w:space="0" w:color="auto"/>
            </w:tcBorders>
            <w:shd w:val="clear" w:color="auto" w:fill="F2F2F2" w:themeFill="background1" w:themeFillShade="F2"/>
            <w:noWrap/>
            <w:hideMark/>
          </w:tcPr>
          <w:p w:rsidR="00B566D0" w:rsidRPr="00DB49CD" w:rsidRDefault="00B566D0" w:rsidP="00E1196B">
            <w:pPr>
              <w:spacing w:after="0" w:line="240" w:lineRule="auto"/>
              <w:rPr>
                <w:rFonts w:ascii="Times New Roman" w:eastAsia="Times New Roman" w:hAnsi="Times New Roman" w:cs="Times New Roman"/>
                <w:b/>
                <w:bCs/>
                <w:color w:val="000000"/>
                <w:sz w:val="24"/>
                <w:szCs w:val="24"/>
              </w:rPr>
            </w:pPr>
          </w:p>
        </w:tc>
        <w:tc>
          <w:tcPr>
            <w:tcW w:w="6860" w:type="dxa"/>
            <w:tcBorders>
              <w:top w:val="single" w:sz="4" w:space="0" w:color="auto"/>
              <w:left w:val="nil"/>
              <w:bottom w:val="single" w:sz="4" w:space="0" w:color="auto"/>
              <w:right w:val="nil"/>
            </w:tcBorders>
            <w:shd w:val="clear" w:color="auto" w:fill="F2F2F2" w:themeFill="background1" w:themeFillShade="F2"/>
            <w:hideMark/>
          </w:tcPr>
          <w:p w:rsidR="00B566D0" w:rsidRPr="0094422D" w:rsidRDefault="004D005A" w:rsidP="00944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podporovať chovné a produkčné centrá</w:t>
            </w:r>
            <w:r w:rsidRPr="004D005A">
              <w:rPr>
                <w:rFonts w:ascii="Times New Roman" w:hAnsi="Times New Roman" w:cs="Times New Roman"/>
                <w:sz w:val="24"/>
                <w:szCs w:val="24"/>
              </w:rPr>
              <w:t xml:space="preserve"> s multifunkčným zameraním produkcie a </w:t>
            </w:r>
            <w:r>
              <w:rPr>
                <w:rFonts w:ascii="Times New Roman" w:hAnsi="Times New Roman" w:cs="Times New Roman"/>
                <w:sz w:val="24"/>
                <w:szCs w:val="24"/>
              </w:rPr>
              <w:t>drobné farmy</w:t>
            </w:r>
          </w:p>
        </w:tc>
      </w:tr>
      <w:tr w:rsidR="004D005A" w:rsidRPr="009B2487" w:rsidTr="004D005A">
        <w:trPr>
          <w:trHeight w:val="561"/>
        </w:trPr>
        <w:tc>
          <w:tcPr>
            <w:tcW w:w="2740" w:type="dxa"/>
            <w:tcBorders>
              <w:left w:val="nil"/>
              <w:bottom w:val="single" w:sz="4" w:space="0" w:color="auto"/>
              <w:right w:val="single" w:sz="4" w:space="0" w:color="auto"/>
            </w:tcBorders>
            <w:shd w:val="clear" w:color="auto" w:fill="F2F2F2" w:themeFill="background1" w:themeFillShade="F2"/>
            <w:noWrap/>
          </w:tcPr>
          <w:p w:rsidR="004D005A" w:rsidRPr="00DB49CD" w:rsidRDefault="004D005A" w:rsidP="00E1196B">
            <w:pPr>
              <w:spacing w:after="0" w:line="240" w:lineRule="auto"/>
              <w:rPr>
                <w:rFonts w:ascii="Times New Roman" w:eastAsia="Times New Roman" w:hAnsi="Times New Roman" w:cs="Times New Roman"/>
                <w:b/>
                <w:bCs/>
                <w:color w:val="000000"/>
                <w:sz w:val="24"/>
                <w:szCs w:val="24"/>
              </w:rPr>
            </w:pPr>
          </w:p>
        </w:tc>
        <w:tc>
          <w:tcPr>
            <w:tcW w:w="6860" w:type="dxa"/>
            <w:tcBorders>
              <w:top w:val="single" w:sz="4" w:space="0" w:color="auto"/>
              <w:left w:val="nil"/>
              <w:bottom w:val="single" w:sz="4" w:space="0" w:color="auto"/>
              <w:right w:val="nil"/>
            </w:tcBorders>
            <w:shd w:val="clear" w:color="auto" w:fill="F2F2F2" w:themeFill="background1" w:themeFillShade="F2"/>
          </w:tcPr>
          <w:p w:rsidR="004D005A" w:rsidRPr="0094422D" w:rsidRDefault="004D005A" w:rsidP="004D005A">
            <w:pPr>
              <w:spacing w:after="0" w:line="240" w:lineRule="auto"/>
              <w:jc w:val="both"/>
              <w:rPr>
                <w:rFonts w:ascii="Times New Roman" w:hAnsi="Times New Roman" w:cs="Times New Roman"/>
                <w:sz w:val="24"/>
                <w:szCs w:val="24"/>
              </w:rPr>
            </w:pPr>
            <w:r w:rsidRPr="0094422D">
              <w:rPr>
                <w:rFonts w:ascii="Times New Roman" w:hAnsi="Times New Roman" w:cs="Times New Roman"/>
                <w:sz w:val="24"/>
                <w:szCs w:val="24"/>
              </w:rPr>
              <w:t>riadeným dovozom generačných rýb dosiahnuť posilnenie domáceho genofondu bez ohrozenia</w:t>
            </w:r>
            <w:r>
              <w:rPr>
                <w:rFonts w:ascii="Times New Roman" w:hAnsi="Times New Roman" w:cs="Times New Roman"/>
                <w:sz w:val="24"/>
                <w:szCs w:val="24"/>
              </w:rPr>
              <w:t xml:space="preserve"> súčasného </w:t>
            </w:r>
            <w:proofErr w:type="spellStart"/>
            <w:r>
              <w:rPr>
                <w:rFonts w:ascii="Times New Roman" w:hAnsi="Times New Roman" w:cs="Times New Roman"/>
                <w:sz w:val="24"/>
                <w:szCs w:val="24"/>
              </w:rPr>
              <w:t>beznákazového</w:t>
            </w:r>
            <w:proofErr w:type="spellEnd"/>
            <w:r>
              <w:rPr>
                <w:rFonts w:ascii="Times New Roman" w:hAnsi="Times New Roman" w:cs="Times New Roman"/>
                <w:sz w:val="24"/>
                <w:szCs w:val="24"/>
              </w:rPr>
              <w:t xml:space="preserve"> stavu a podporiť </w:t>
            </w:r>
            <w:proofErr w:type="spellStart"/>
            <w:r>
              <w:rPr>
                <w:rFonts w:ascii="Times New Roman" w:hAnsi="Times New Roman" w:cs="Times New Roman"/>
                <w:sz w:val="24"/>
                <w:szCs w:val="24"/>
              </w:rPr>
              <w:t>malopredaj</w:t>
            </w:r>
            <w:proofErr w:type="spellEnd"/>
            <w:r>
              <w:rPr>
                <w:rFonts w:ascii="Times New Roman" w:hAnsi="Times New Roman" w:cs="Times New Roman"/>
                <w:sz w:val="24"/>
                <w:szCs w:val="24"/>
              </w:rPr>
              <w:t xml:space="preserve"> priamo na farme v živom a/alebo upravenom stave</w:t>
            </w:r>
          </w:p>
        </w:tc>
      </w:tr>
      <w:tr w:rsidR="00B566D0" w:rsidRPr="009B2487" w:rsidTr="005C2AFE">
        <w:trPr>
          <w:trHeight w:val="416"/>
        </w:trPr>
        <w:tc>
          <w:tcPr>
            <w:tcW w:w="2740" w:type="dxa"/>
            <w:tcBorders>
              <w:top w:val="single" w:sz="4" w:space="0" w:color="auto"/>
              <w:left w:val="nil"/>
              <w:right w:val="single" w:sz="4" w:space="0" w:color="auto"/>
            </w:tcBorders>
            <w:shd w:val="clear" w:color="auto" w:fill="auto"/>
            <w:noWrap/>
            <w:hideMark/>
          </w:tcPr>
          <w:p w:rsidR="00B566D0" w:rsidRPr="00DB49CD" w:rsidRDefault="00AE2226" w:rsidP="00E1196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Špecializovaná rastlinná výroba</w:t>
            </w:r>
          </w:p>
        </w:tc>
        <w:tc>
          <w:tcPr>
            <w:tcW w:w="6860" w:type="dxa"/>
            <w:tcBorders>
              <w:top w:val="single" w:sz="4" w:space="0" w:color="auto"/>
              <w:left w:val="single" w:sz="4" w:space="0" w:color="auto"/>
              <w:bottom w:val="single" w:sz="4" w:space="0" w:color="auto"/>
              <w:right w:val="nil"/>
            </w:tcBorders>
            <w:shd w:val="clear" w:color="auto" w:fill="auto"/>
            <w:hideMark/>
          </w:tcPr>
          <w:p w:rsidR="00E5009A" w:rsidRPr="00E5009A" w:rsidRDefault="00E5009A" w:rsidP="00C8344F">
            <w:pPr>
              <w:pStyle w:val="Odsekzoznamu"/>
              <w:numPr>
                <w:ilvl w:val="0"/>
                <w:numId w:val="28"/>
              </w:numPr>
              <w:spacing w:after="0" w:line="240" w:lineRule="auto"/>
              <w:ind w:left="182" w:hanging="142"/>
              <w:jc w:val="both"/>
              <w:rPr>
                <w:rFonts w:ascii="Times New Roman" w:hAnsi="Times New Roman"/>
                <w:sz w:val="24"/>
                <w:szCs w:val="24"/>
              </w:rPr>
            </w:pPr>
            <w:r w:rsidRPr="00E5009A">
              <w:rPr>
                <w:rFonts w:ascii="Times New Roman" w:hAnsi="Times New Roman"/>
                <w:sz w:val="24"/>
                <w:szCs w:val="24"/>
              </w:rPr>
              <w:t>urýchlenie vyriešenie vlastníckych vzťahov k pozemkom – zvýšenie prístupnosti pôdy pre novú výsadbu vinohradov</w:t>
            </w:r>
            <w:r w:rsidR="005C2AFE">
              <w:rPr>
                <w:rFonts w:ascii="Times New Roman" w:hAnsi="Times New Roman"/>
                <w:sz w:val="24"/>
                <w:szCs w:val="24"/>
              </w:rPr>
              <w:t xml:space="preserve"> a ochrana existujúcich plôch vinohradov</w:t>
            </w:r>
          </w:p>
          <w:p w:rsidR="00E5009A" w:rsidRPr="00E5009A" w:rsidRDefault="00E5009A" w:rsidP="00C8344F">
            <w:pPr>
              <w:pStyle w:val="Odsekzoznamu"/>
              <w:numPr>
                <w:ilvl w:val="0"/>
                <w:numId w:val="28"/>
              </w:numPr>
              <w:spacing w:after="0" w:line="240" w:lineRule="auto"/>
              <w:ind w:left="182" w:hanging="142"/>
              <w:jc w:val="both"/>
              <w:rPr>
                <w:rFonts w:ascii="Times New Roman" w:hAnsi="Times New Roman"/>
                <w:sz w:val="24"/>
                <w:szCs w:val="24"/>
              </w:rPr>
            </w:pPr>
            <w:r w:rsidRPr="00E5009A">
              <w:rPr>
                <w:rFonts w:ascii="Times New Roman" w:hAnsi="Times New Roman"/>
                <w:sz w:val="24"/>
                <w:szCs w:val="24"/>
              </w:rPr>
              <w:t>zabezpečenie dostatku suroviny - hrozna pre výrobu vína a vína na pokrytie domácej spotreby - zvýšenie sebestačnosti</w:t>
            </w:r>
          </w:p>
          <w:p w:rsidR="00E5009A" w:rsidRDefault="00E5009A" w:rsidP="00C8344F">
            <w:pPr>
              <w:pStyle w:val="Odsekzoznamu"/>
              <w:numPr>
                <w:ilvl w:val="0"/>
                <w:numId w:val="28"/>
              </w:numPr>
              <w:spacing w:after="0" w:line="240" w:lineRule="auto"/>
              <w:ind w:left="182" w:hanging="142"/>
              <w:jc w:val="both"/>
              <w:rPr>
                <w:rFonts w:ascii="Times New Roman" w:hAnsi="Times New Roman"/>
                <w:sz w:val="24"/>
                <w:szCs w:val="24"/>
              </w:rPr>
            </w:pPr>
            <w:r w:rsidRPr="00E5009A">
              <w:rPr>
                <w:rFonts w:ascii="Times New Roman" w:hAnsi="Times New Roman"/>
                <w:sz w:val="24"/>
                <w:szCs w:val="24"/>
              </w:rPr>
              <w:t>pokračovanie podpory využívania nástrojov n</w:t>
            </w:r>
            <w:r w:rsidR="0096535D">
              <w:rPr>
                <w:rFonts w:ascii="Times New Roman" w:hAnsi="Times New Roman"/>
                <w:sz w:val="24"/>
                <w:szCs w:val="24"/>
              </w:rPr>
              <w:t>a skvalitnenie produkcie hrozna</w:t>
            </w:r>
            <w:r w:rsidRPr="00E5009A">
              <w:rPr>
                <w:rFonts w:ascii="Times New Roman" w:hAnsi="Times New Roman"/>
                <w:sz w:val="24"/>
                <w:szCs w:val="24"/>
              </w:rPr>
              <w:t xml:space="preserve"> na výrobu vína prostredníctvom</w:t>
            </w:r>
            <w:r>
              <w:rPr>
                <w:rFonts w:ascii="Times New Roman" w:hAnsi="Times New Roman"/>
                <w:sz w:val="24"/>
                <w:szCs w:val="24"/>
              </w:rPr>
              <w:t xml:space="preserve"> reštrukturalizácie </w:t>
            </w:r>
            <w:r>
              <w:rPr>
                <w:rFonts w:ascii="Times New Roman" w:hAnsi="Times New Roman"/>
                <w:sz w:val="24"/>
                <w:szCs w:val="24"/>
              </w:rPr>
              <w:lastRenderedPageBreak/>
              <w:t xml:space="preserve">vinohradov </w:t>
            </w:r>
            <w:r w:rsidRPr="00E5009A">
              <w:rPr>
                <w:rFonts w:ascii="Times New Roman" w:hAnsi="Times New Roman"/>
                <w:sz w:val="24"/>
                <w:szCs w:val="24"/>
              </w:rPr>
              <w:t>a integrovanej produkcie hrozna</w:t>
            </w:r>
          </w:p>
          <w:p w:rsidR="005C2AFE" w:rsidRPr="00E5009A" w:rsidRDefault="005C2AFE" w:rsidP="005C2AFE">
            <w:pPr>
              <w:pStyle w:val="Odsekzoznamu"/>
              <w:spacing w:after="0" w:line="240" w:lineRule="auto"/>
              <w:ind w:left="182"/>
              <w:jc w:val="both"/>
              <w:rPr>
                <w:rFonts w:ascii="Times New Roman" w:hAnsi="Times New Roman"/>
                <w:sz w:val="24"/>
                <w:szCs w:val="24"/>
              </w:rPr>
            </w:pPr>
          </w:p>
          <w:p w:rsidR="00B566D0" w:rsidRPr="00E5009A" w:rsidRDefault="00E5009A" w:rsidP="00E80D96">
            <w:pPr>
              <w:pStyle w:val="Odsekzoznamu"/>
              <w:numPr>
                <w:ilvl w:val="0"/>
                <w:numId w:val="28"/>
              </w:numPr>
              <w:spacing w:after="0" w:line="240" w:lineRule="auto"/>
              <w:ind w:left="182" w:hanging="142"/>
              <w:jc w:val="both"/>
              <w:rPr>
                <w:rFonts w:ascii="Times New Roman" w:hAnsi="Times New Roman"/>
                <w:sz w:val="24"/>
                <w:szCs w:val="24"/>
              </w:rPr>
            </w:pPr>
            <w:r w:rsidRPr="00E5009A">
              <w:rPr>
                <w:rFonts w:ascii="Times New Roman" w:hAnsi="Times New Roman"/>
                <w:sz w:val="24"/>
                <w:szCs w:val="24"/>
              </w:rPr>
              <w:t xml:space="preserve">vyrovnať pomer vstupov  a výstupov </w:t>
            </w:r>
          </w:p>
        </w:tc>
      </w:tr>
      <w:tr w:rsidR="00B566D0" w:rsidRPr="009B2487" w:rsidTr="00E1196B">
        <w:trPr>
          <w:trHeight w:val="841"/>
        </w:trPr>
        <w:tc>
          <w:tcPr>
            <w:tcW w:w="2740" w:type="dxa"/>
            <w:tcBorders>
              <w:left w:val="nil"/>
              <w:bottom w:val="nil"/>
              <w:right w:val="single" w:sz="4" w:space="0" w:color="auto"/>
            </w:tcBorders>
            <w:shd w:val="clear" w:color="auto" w:fill="auto"/>
            <w:noWrap/>
            <w:hideMark/>
          </w:tcPr>
          <w:p w:rsidR="00B566D0" w:rsidRPr="00DB49CD" w:rsidRDefault="00B566D0" w:rsidP="00E1196B">
            <w:pPr>
              <w:spacing w:after="0" w:line="240" w:lineRule="auto"/>
              <w:rPr>
                <w:rFonts w:ascii="Times New Roman" w:eastAsia="Times New Roman" w:hAnsi="Times New Roman" w:cs="Times New Roman"/>
                <w:b/>
                <w:bCs/>
                <w:color w:val="000000"/>
                <w:sz w:val="24"/>
                <w:szCs w:val="24"/>
              </w:rPr>
            </w:pPr>
          </w:p>
        </w:tc>
        <w:tc>
          <w:tcPr>
            <w:tcW w:w="6860" w:type="dxa"/>
            <w:tcBorders>
              <w:top w:val="single" w:sz="4" w:space="0" w:color="auto"/>
              <w:left w:val="nil"/>
              <w:bottom w:val="single" w:sz="4" w:space="0" w:color="auto"/>
              <w:right w:val="nil"/>
            </w:tcBorders>
            <w:shd w:val="clear" w:color="auto" w:fill="auto"/>
            <w:hideMark/>
          </w:tcPr>
          <w:p w:rsidR="00B566D0" w:rsidRPr="00373B3E" w:rsidRDefault="00AE2226" w:rsidP="00AE2226">
            <w:pPr>
              <w:spacing w:after="0" w:line="240" w:lineRule="auto"/>
              <w:rPr>
                <w:rFonts w:ascii="Times New Roman" w:hAnsi="Times New Roman" w:cs="Times New Roman"/>
                <w:sz w:val="24"/>
                <w:szCs w:val="24"/>
              </w:rPr>
            </w:pPr>
            <w:r>
              <w:rPr>
                <w:rFonts w:ascii="Times New Roman" w:hAnsi="Times New Roman" w:cs="Times New Roman"/>
                <w:sz w:val="24"/>
                <w:szCs w:val="24"/>
              </w:rPr>
              <w:t>zastabilizovať produkciu chmeľu z hľadiska zberových plôch minimálne na súčasnej úrovni a podporou zlepšovania technologických postupov pestovania zvýšiť hektárové výnosy na úroveň 1,21 t/ha</w:t>
            </w:r>
          </w:p>
        </w:tc>
      </w:tr>
      <w:tr w:rsidR="00B566D0" w:rsidRPr="009B2487" w:rsidTr="00AE2226">
        <w:trPr>
          <w:trHeight w:val="553"/>
        </w:trPr>
        <w:tc>
          <w:tcPr>
            <w:tcW w:w="2740" w:type="dxa"/>
            <w:tcBorders>
              <w:top w:val="single" w:sz="4" w:space="0" w:color="auto"/>
              <w:left w:val="nil"/>
              <w:bottom w:val="single" w:sz="4" w:space="0" w:color="auto"/>
              <w:right w:val="single" w:sz="4" w:space="0" w:color="auto"/>
            </w:tcBorders>
            <w:shd w:val="clear" w:color="auto" w:fill="F2F2F2" w:themeFill="background1" w:themeFillShade="F2"/>
            <w:noWrap/>
          </w:tcPr>
          <w:p w:rsidR="00B566D0" w:rsidRDefault="00AE2226" w:rsidP="00E1196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Špecializované lesnícke činnosti</w:t>
            </w:r>
          </w:p>
        </w:tc>
        <w:tc>
          <w:tcPr>
            <w:tcW w:w="6860" w:type="dxa"/>
            <w:tcBorders>
              <w:top w:val="single" w:sz="4" w:space="0" w:color="auto"/>
              <w:left w:val="nil"/>
              <w:bottom w:val="single" w:sz="4" w:space="0" w:color="auto"/>
              <w:right w:val="nil"/>
            </w:tcBorders>
            <w:shd w:val="clear" w:color="auto" w:fill="F2F2F2" w:themeFill="background1" w:themeFillShade="F2"/>
          </w:tcPr>
          <w:p w:rsidR="00B566D0" w:rsidRDefault="00AE2226" w:rsidP="00E1196B">
            <w:pPr>
              <w:spacing w:after="0" w:line="240" w:lineRule="auto"/>
              <w:rPr>
                <w:rFonts w:ascii="Times New Roman" w:hAnsi="Times New Roman" w:cs="Times New Roman"/>
                <w:sz w:val="24"/>
                <w:szCs w:val="24"/>
              </w:rPr>
            </w:pPr>
            <w:r>
              <w:rPr>
                <w:rFonts w:ascii="Times New Roman" w:hAnsi="Times New Roman" w:cs="Times New Roman"/>
                <w:sz w:val="24"/>
                <w:szCs w:val="24"/>
              </w:rPr>
              <w:t>podpora vhodnej diverzifikácie lesníckych činností drobných obhospodarovateľov lesa smerom k nelesníckym aktivitám, ktoré podporia cestovný ruch v lesnícky významných miestach</w:t>
            </w:r>
          </w:p>
        </w:tc>
      </w:tr>
    </w:tbl>
    <w:p w:rsidR="00CD4514" w:rsidRDefault="00CD4514" w:rsidP="0028430F"/>
    <w:p w:rsidR="00CD4514" w:rsidRDefault="00CD4514" w:rsidP="0028430F"/>
    <w:p w:rsidR="00CD4514" w:rsidRDefault="00CD4514" w:rsidP="0028430F"/>
    <w:p w:rsidR="00CD4514" w:rsidRDefault="00CD4514" w:rsidP="0028430F"/>
    <w:p w:rsidR="000E32D8" w:rsidRDefault="000E32D8" w:rsidP="0028430F"/>
    <w:p w:rsidR="00B566D0" w:rsidRDefault="00B566D0" w:rsidP="0028430F"/>
    <w:p w:rsidR="00B566D0" w:rsidRDefault="00B566D0" w:rsidP="0028430F"/>
    <w:p w:rsidR="00B566D0" w:rsidRDefault="00B566D0" w:rsidP="0028430F"/>
    <w:p w:rsidR="00B566D0" w:rsidRDefault="00B566D0" w:rsidP="0028430F"/>
    <w:p w:rsidR="005416F0" w:rsidRDefault="005416F0" w:rsidP="0028430F"/>
    <w:p w:rsidR="005416F0" w:rsidRDefault="005416F0" w:rsidP="0028430F"/>
    <w:p w:rsidR="005416F0" w:rsidRDefault="005416F0" w:rsidP="0028430F"/>
    <w:p w:rsidR="005416F0" w:rsidRDefault="005416F0" w:rsidP="0028430F"/>
    <w:p w:rsidR="005416F0" w:rsidRDefault="005416F0" w:rsidP="0028430F"/>
    <w:p w:rsidR="005416F0" w:rsidRDefault="005416F0" w:rsidP="0028430F"/>
    <w:p w:rsidR="00E5009A" w:rsidRDefault="00E5009A" w:rsidP="0028430F"/>
    <w:p w:rsidR="00E5009A" w:rsidRDefault="00E5009A" w:rsidP="0028430F"/>
    <w:p w:rsidR="00E5009A" w:rsidRDefault="00E5009A" w:rsidP="0028430F"/>
    <w:p w:rsidR="00E5009A" w:rsidRDefault="00E5009A" w:rsidP="0028430F"/>
    <w:p w:rsidR="00E5009A" w:rsidRDefault="00E5009A" w:rsidP="0028430F"/>
    <w:p w:rsidR="00E5009A" w:rsidRPr="0028430F" w:rsidRDefault="00E5009A" w:rsidP="0028430F"/>
    <w:p w:rsidR="0028430F" w:rsidRDefault="00D25F2E" w:rsidP="000D68DC">
      <w:pPr>
        <w:pStyle w:val="Nadpis1"/>
        <w:numPr>
          <w:ilvl w:val="0"/>
          <w:numId w:val="8"/>
        </w:numPr>
      </w:pPr>
      <w:bookmarkStart w:id="71" w:name="_Toc359550692"/>
      <w:r>
        <w:lastRenderedPageBreak/>
        <w:t xml:space="preserve">Štúdia realizovateľnosti </w:t>
      </w:r>
      <w:r w:rsidR="00CD4514">
        <w:t xml:space="preserve">pre naplnenie stanovených cieľov </w:t>
      </w:r>
      <w:r w:rsidR="0054243E">
        <w:t>a prioritných úloh</w:t>
      </w:r>
      <w:bookmarkEnd w:id="71"/>
    </w:p>
    <w:p w:rsidR="0028430F" w:rsidRDefault="0028430F" w:rsidP="0028430F"/>
    <w:p w:rsidR="001D60AB" w:rsidRDefault="001D60AB" w:rsidP="001D60AB">
      <w:pPr>
        <w:spacing w:after="0" w:line="240" w:lineRule="auto"/>
        <w:jc w:val="both"/>
        <w:rPr>
          <w:rFonts w:ascii="Times New Roman" w:eastAsia="Calibri" w:hAnsi="Times New Roman"/>
          <w:sz w:val="24"/>
          <w:szCs w:val="24"/>
        </w:rPr>
      </w:pPr>
      <w:r w:rsidRPr="001D60AB">
        <w:rPr>
          <w:rFonts w:ascii="Times New Roman" w:eastAsia="Calibri" w:hAnsi="Times New Roman" w:hint="eastAsia"/>
          <w:sz w:val="24"/>
          <w:szCs w:val="24"/>
        </w:rPr>
        <w:t>Š</w:t>
      </w:r>
      <w:r w:rsidRPr="001D60AB">
        <w:rPr>
          <w:rFonts w:ascii="Times New Roman" w:eastAsia="Calibri" w:hAnsi="Times New Roman"/>
          <w:sz w:val="24"/>
          <w:szCs w:val="24"/>
        </w:rPr>
        <w:t>t</w:t>
      </w:r>
      <w:r w:rsidRPr="001D60AB">
        <w:rPr>
          <w:rFonts w:ascii="Times New Roman" w:eastAsia="Calibri" w:hAnsi="Times New Roman" w:hint="eastAsia"/>
          <w:sz w:val="24"/>
          <w:szCs w:val="24"/>
        </w:rPr>
        <w:t>ú</w:t>
      </w:r>
      <w:r w:rsidRPr="001D60AB">
        <w:rPr>
          <w:rFonts w:ascii="Times New Roman" w:eastAsia="Calibri" w:hAnsi="Times New Roman"/>
          <w:sz w:val="24"/>
          <w:szCs w:val="24"/>
        </w:rPr>
        <w:t>dia realizovate</w:t>
      </w:r>
      <w:r w:rsidRPr="001D60AB">
        <w:rPr>
          <w:rFonts w:ascii="Times New Roman" w:eastAsia="Calibri" w:hAnsi="Times New Roman" w:hint="eastAsia"/>
          <w:sz w:val="24"/>
          <w:szCs w:val="24"/>
        </w:rPr>
        <w:t>ľ</w:t>
      </w:r>
      <w:r w:rsidRPr="001D60AB">
        <w:rPr>
          <w:rFonts w:ascii="Times New Roman" w:eastAsia="Calibri" w:hAnsi="Times New Roman"/>
          <w:sz w:val="24"/>
          <w:szCs w:val="24"/>
        </w:rPr>
        <w:t xml:space="preserve">nosti </w:t>
      </w:r>
      <w:r>
        <w:rPr>
          <w:rFonts w:ascii="Times New Roman" w:eastAsia="Calibri" w:hAnsi="Times New Roman"/>
          <w:sz w:val="24"/>
          <w:szCs w:val="24"/>
        </w:rPr>
        <w:t>Koncepcie rozvoja pôdo</w:t>
      </w:r>
      <w:r w:rsidR="00716D15">
        <w:rPr>
          <w:rFonts w:ascii="Times New Roman" w:eastAsia="Calibri" w:hAnsi="Times New Roman"/>
          <w:sz w:val="24"/>
          <w:szCs w:val="24"/>
        </w:rPr>
        <w:t>hospodárstva na roky 2013 – 2020</w:t>
      </w:r>
      <w:r w:rsidRPr="001D60AB">
        <w:rPr>
          <w:rFonts w:ascii="Times New Roman" w:eastAsia="Calibri" w:hAnsi="Times New Roman"/>
          <w:sz w:val="24"/>
          <w:szCs w:val="24"/>
        </w:rPr>
        <w:t>je ur</w:t>
      </w:r>
      <w:r w:rsidRPr="001D60AB">
        <w:rPr>
          <w:rFonts w:ascii="Times New Roman" w:eastAsia="Calibri" w:hAnsi="Times New Roman" w:hint="eastAsia"/>
          <w:sz w:val="24"/>
          <w:szCs w:val="24"/>
        </w:rPr>
        <w:t>č</w:t>
      </w:r>
      <w:r w:rsidRPr="001D60AB">
        <w:rPr>
          <w:rFonts w:ascii="Times New Roman" w:eastAsia="Calibri" w:hAnsi="Times New Roman"/>
          <w:sz w:val="24"/>
          <w:szCs w:val="24"/>
        </w:rPr>
        <w:t>it</w:t>
      </w:r>
      <w:r w:rsidRPr="001D60AB">
        <w:rPr>
          <w:rFonts w:ascii="Times New Roman" w:eastAsia="Calibri" w:hAnsi="Times New Roman" w:hint="eastAsia"/>
          <w:sz w:val="24"/>
          <w:szCs w:val="24"/>
        </w:rPr>
        <w:t>ý</w:t>
      </w:r>
      <w:r w:rsidR="00F024F0">
        <w:rPr>
          <w:rFonts w:ascii="Times New Roman" w:eastAsia="Calibri" w:hAnsi="Times New Roman"/>
          <w:sz w:val="24"/>
          <w:szCs w:val="24"/>
        </w:rPr>
        <w:t xml:space="preserve">m </w:t>
      </w:r>
      <w:r w:rsidRPr="001D60AB">
        <w:rPr>
          <w:rFonts w:ascii="Times New Roman" w:eastAsia="Calibri" w:hAnsi="Times New Roman"/>
          <w:sz w:val="24"/>
          <w:szCs w:val="24"/>
        </w:rPr>
        <w:t>sp</w:t>
      </w:r>
      <w:r w:rsidRPr="001D60AB">
        <w:rPr>
          <w:rFonts w:ascii="Times New Roman" w:eastAsia="Calibri" w:hAnsi="Times New Roman" w:hint="eastAsia"/>
          <w:sz w:val="24"/>
          <w:szCs w:val="24"/>
        </w:rPr>
        <w:t>ô</w:t>
      </w:r>
      <w:r w:rsidRPr="001D60AB">
        <w:rPr>
          <w:rFonts w:ascii="Times New Roman" w:eastAsia="Calibri" w:hAnsi="Times New Roman"/>
          <w:sz w:val="24"/>
          <w:szCs w:val="24"/>
        </w:rPr>
        <w:t xml:space="preserve">sobom </w:t>
      </w:r>
      <w:r w:rsidRPr="001D60AB">
        <w:rPr>
          <w:rFonts w:ascii="Times New Roman" w:eastAsia="Calibri" w:hAnsi="Times New Roman" w:hint="eastAsia"/>
          <w:sz w:val="24"/>
          <w:szCs w:val="24"/>
        </w:rPr>
        <w:t>š</w:t>
      </w:r>
      <w:r w:rsidRPr="001D60AB">
        <w:rPr>
          <w:rFonts w:ascii="Times New Roman" w:eastAsia="Calibri" w:hAnsi="Times New Roman"/>
          <w:sz w:val="24"/>
          <w:szCs w:val="24"/>
        </w:rPr>
        <w:t>pecifick</w:t>
      </w:r>
      <w:r w:rsidRPr="001D60AB">
        <w:rPr>
          <w:rFonts w:ascii="Times New Roman" w:eastAsia="Calibri" w:hAnsi="Times New Roman" w:hint="eastAsia"/>
          <w:sz w:val="24"/>
          <w:szCs w:val="24"/>
        </w:rPr>
        <w:t>á</w:t>
      </w:r>
      <w:r w:rsidRPr="001D60AB">
        <w:rPr>
          <w:rFonts w:ascii="Times New Roman" w:eastAsia="Calibri" w:hAnsi="Times New Roman"/>
          <w:sz w:val="24"/>
          <w:szCs w:val="24"/>
        </w:rPr>
        <w:t>, vzh</w:t>
      </w:r>
      <w:r w:rsidRPr="001D60AB">
        <w:rPr>
          <w:rFonts w:ascii="Times New Roman" w:eastAsia="Calibri" w:hAnsi="Times New Roman" w:hint="eastAsia"/>
          <w:sz w:val="24"/>
          <w:szCs w:val="24"/>
        </w:rPr>
        <w:t>ľ</w:t>
      </w:r>
      <w:r w:rsidRPr="001D60AB">
        <w:rPr>
          <w:rFonts w:ascii="Times New Roman" w:eastAsia="Calibri" w:hAnsi="Times New Roman"/>
          <w:sz w:val="24"/>
          <w:szCs w:val="24"/>
        </w:rPr>
        <w:t xml:space="preserve">adom k tomu, </w:t>
      </w:r>
      <w:r w:rsidRPr="001D60AB">
        <w:rPr>
          <w:rFonts w:ascii="Times New Roman" w:eastAsia="Calibri" w:hAnsi="Times New Roman" w:hint="eastAsia"/>
          <w:sz w:val="24"/>
          <w:szCs w:val="24"/>
        </w:rPr>
        <w:t>ž</w:t>
      </w:r>
      <w:r w:rsidRPr="001D60AB">
        <w:rPr>
          <w:rFonts w:ascii="Times New Roman" w:eastAsia="Calibri" w:hAnsi="Times New Roman"/>
          <w:sz w:val="24"/>
          <w:szCs w:val="24"/>
        </w:rPr>
        <w:t xml:space="preserve">e sa </w:t>
      </w:r>
      <w:r>
        <w:rPr>
          <w:rFonts w:ascii="Times New Roman" w:eastAsia="Calibri" w:hAnsi="Times New Roman"/>
          <w:sz w:val="24"/>
          <w:szCs w:val="24"/>
        </w:rPr>
        <w:t>vzťahuje</w:t>
      </w:r>
      <w:r w:rsidRPr="001D60AB">
        <w:rPr>
          <w:rFonts w:ascii="Times New Roman" w:eastAsia="Calibri" w:hAnsi="Times New Roman"/>
          <w:sz w:val="24"/>
          <w:szCs w:val="24"/>
        </w:rPr>
        <w:t xml:space="preserve"> k</w:t>
      </w:r>
      <w:r>
        <w:rPr>
          <w:rFonts w:ascii="Times New Roman" w:eastAsia="Calibri" w:hAnsi="Times New Roman"/>
          <w:sz w:val="24"/>
          <w:szCs w:val="24"/>
        </w:rPr>
        <w:t xml:space="preserve"> identifikovaným strategickým prioritám novej spoločnej poľnohospodárskej politiky a </w:t>
      </w:r>
      <w:r w:rsidRPr="001D60AB">
        <w:rPr>
          <w:rFonts w:ascii="Times New Roman" w:eastAsia="Calibri" w:hAnsi="Times New Roman"/>
          <w:sz w:val="24"/>
          <w:szCs w:val="24"/>
        </w:rPr>
        <w:t>procesu pr</w:t>
      </w:r>
      <w:r w:rsidRPr="001D60AB">
        <w:rPr>
          <w:rFonts w:ascii="Times New Roman" w:eastAsia="Calibri" w:hAnsi="Times New Roman" w:hint="eastAsia"/>
          <w:sz w:val="24"/>
          <w:szCs w:val="24"/>
        </w:rPr>
        <w:t>í</w:t>
      </w:r>
      <w:r w:rsidRPr="001D60AB">
        <w:rPr>
          <w:rFonts w:ascii="Times New Roman" w:eastAsia="Calibri" w:hAnsi="Times New Roman"/>
          <w:sz w:val="24"/>
          <w:szCs w:val="24"/>
        </w:rPr>
        <w:t xml:space="preserve">pravy </w:t>
      </w:r>
      <w:r>
        <w:rPr>
          <w:rFonts w:ascii="Times New Roman" w:eastAsia="Calibri" w:hAnsi="Times New Roman"/>
          <w:sz w:val="24"/>
          <w:szCs w:val="24"/>
        </w:rPr>
        <w:t xml:space="preserve">programu rozvoja vidieka na programové obdobie 2014 – 2020. Z tohto dôvodu je kladený hlavný dôraz na súlad priorít tejto koncepcie so strategickými prioritami spoločnej poľnohospodárskej politiky a programu rozvoja vidieka. </w:t>
      </w:r>
      <w:r w:rsidR="00D92673">
        <w:rPr>
          <w:rFonts w:ascii="Times New Roman" w:eastAsia="Calibri" w:hAnsi="Times New Roman"/>
          <w:sz w:val="24"/>
          <w:szCs w:val="24"/>
        </w:rPr>
        <w:t xml:space="preserve">Naplnenie stanovených cieľov a realizácia prioritných úloh v rámci koncepcie </w:t>
      </w:r>
      <w:r w:rsidR="001824AB">
        <w:rPr>
          <w:rFonts w:ascii="Times New Roman" w:eastAsia="Calibri" w:hAnsi="Times New Roman"/>
          <w:sz w:val="24"/>
          <w:szCs w:val="24"/>
        </w:rPr>
        <w:t>formuluje úlohy pre vedecko-výskumnú základňu a sústredí sa</w:t>
      </w:r>
      <w:r w:rsidR="00D92673">
        <w:rPr>
          <w:rFonts w:ascii="Times New Roman" w:eastAsia="Calibri" w:hAnsi="Times New Roman"/>
          <w:sz w:val="24"/>
          <w:szCs w:val="24"/>
        </w:rPr>
        <w:t xml:space="preserve">, do týchto </w:t>
      </w:r>
      <w:r w:rsidR="00E1196B">
        <w:rPr>
          <w:rFonts w:ascii="Times New Roman" w:eastAsia="Calibri" w:hAnsi="Times New Roman"/>
          <w:sz w:val="24"/>
          <w:szCs w:val="24"/>
        </w:rPr>
        <w:t>zámerov</w:t>
      </w:r>
      <w:r w:rsidR="00D92673">
        <w:rPr>
          <w:rFonts w:ascii="Times New Roman" w:eastAsia="Calibri" w:hAnsi="Times New Roman"/>
          <w:sz w:val="24"/>
          <w:szCs w:val="24"/>
        </w:rPr>
        <w:t>:</w:t>
      </w:r>
    </w:p>
    <w:p w:rsidR="00D92673" w:rsidRDefault="00D92673" w:rsidP="001D60AB">
      <w:pPr>
        <w:spacing w:after="0" w:line="240" w:lineRule="auto"/>
        <w:jc w:val="both"/>
        <w:rPr>
          <w:rFonts w:ascii="Times New Roman" w:eastAsia="Calibri" w:hAnsi="Times New Roman"/>
          <w:sz w:val="24"/>
          <w:szCs w:val="24"/>
        </w:rPr>
      </w:pPr>
    </w:p>
    <w:p w:rsidR="00D92673" w:rsidRDefault="00D92673" w:rsidP="000D68DC">
      <w:pPr>
        <w:pStyle w:val="Odsekzoznamu"/>
        <w:numPr>
          <w:ilvl w:val="0"/>
          <w:numId w:val="21"/>
        </w:numPr>
        <w:spacing w:after="0" w:line="240" w:lineRule="auto"/>
        <w:jc w:val="both"/>
        <w:rPr>
          <w:rFonts w:ascii="Times New Roman" w:eastAsia="Calibri" w:hAnsi="Times New Roman"/>
          <w:sz w:val="24"/>
          <w:szCs w:val="24"/>
        </w:rPr>
      </w:pPr>
      <w:r>
        <w:rPr>
          <w:rFonts w:ascii="Times New Roman" w:eastAsia="Calibri" w:hAnsi="Times New Roman"/>
          <w:sz w:val="24"/>
          <w:szCs w:val="24"/>
        </w:rPr>
        <w:t>zvýšenie konkurencieschopnosti všetkých typov poľnohospodárstva a životaschopnosti fariem;</w:t>
      </w:r>
    </w:p>
    <w:p w:rsidR="00D92673" w:rsidRDefault="00D92673" w:rsidP="000D68DC">
      <w:pPr>
        <w:pStyle w:val="Odsekzoznamu"/>
        <w:numPr>
          <w:ilvl w:val="0"/>
          <w:numId w:val="21"/>
        </w:numPr>
        <w:spacing w:after="0" w:line="240" w:lineRule="auto"/>
        <w:jc w:val="both"/>
        <w:rPr>
          <w:rFonts w:ascii="Times New Roman" w:eastAsia="Calibri" w:hAnsi="Times New Roman"/>
          <w:sz w:val="24"/>
          <w:szCs w:val="24"/>
        </w:rPr>
      </w:pPr>
      <w:r>
        <w:rPr>
          <w:rFonts w:ascii="Times New Roman" w:eastAsia="Calibri" w:hAnsi="Times New Roman"/>
          <w:sz w:val="24"/>
          <w:szCs w:val="24"/>
        </w:rPr>
        <w:t>podpora organizácie v rámci potravinového reťazca a riadenie rizík;</w:t>
      </w:r>
    </w:p>
    <w:p w:rsidR="00D92673" w:rsidRDefault="00D92673" w:rsidP="000D68DC">
      <w:pPr>
        <w:pStyle w:val="Odsekzoznamu"/>
        <w:numPr>
          <w:ilvl w:val="0"/>
          <w:numId w:val="21"/>
        </w:numPr>
        <w:spacing w:after="0" w:line="240" w:lineRule="auto"/>
        <w:jc w:val="both"/>
        <w:rPr>
          <w:rFonts w:ascii="Times New Roman" w:eastAsia="Calibri" w:hAnsi="Times New Roman"/>
          <w:sz w:val="24"/>
          <w:szCs w:val="24"/>
        </w:rPr>
      </w:pPr>
      <w:r>
        <w:rPr>
          <w:rFonts w:ascii="Times New Roman" w:eastAsia="Calibri" w:hAnsi="Times New Roman"/>
          <w:sz w:val="24"/>
          <w:szCs w:val="24"/>
        </w:rPr>
        <w:t>obnova, zachovanie a posilnenie ekosystémov závislých od poľnohospodárstva a lesného hospodárstva;</w:t>
      </w:r>
    </w:p>
    <w:p w:rsidR="00D92673" w:rsidRDefault="00D92673" w:rsidP="000D68DC">
      <w:pPr>
        <w:pStyle w:val="Odsekzoznamu"/>
        <w:numPr>
          <w:ilvl w:val="0"/>
          <w:numId w:val="21"/>
        </w:numPr>
        <w:spacing w:after="0" w:line="240" w:lineRule="auto"/>
        <w:jc w:val="both"/>
        <w:rPr>
          <w:rFonts w:ascii="Times New Roman" w:eastAsia="Calibri" w:hAnsi="Times New Roman"/>
          <w:sz w:val="24"/>
          <w:szCs w:val="24"/>
        </w:rPr>
      </w:pPr>
      <w:r>
        <w:rPr>
          <w:rFonts w:ascii="Times New Roman" w:eastAsia="Calibri" w:hAnsi="Times New Roman"/>
          <w:sz w:val="24"/>
          <w:szCs w:val="24"/>
        </w:rPr>
        <w:t>podpora účinného využívania zdrojov a prechodu na nízko-uhlíkové a klíme odolné poľnohospodárstvo, potravinárstvo a lesníctvo; a</w:t>
      </w:r>
    </w:p>
    <w:p w:rsidR="00D92673" w:rsidRPr="00D92673" w:rsidRDefault="00D92673" w:rsidP="000D68DC">
      <w:pPr>
        <w:pStyle w:val="Odsekzoznamu"/>
        <w:numPr>
          <w:ilvl w:val="0"/>
          <w:numId w:val="21"/>
        </w:numPr>
        <w:spacing w:after="0" w:line="240" w:lineRule="auto"/>
        <w:jc w:val="both"/>
        <w:rPr>
          <w:rFonts w:ascii="Times New Roman" w:eastAsia="Calibri" w:hAnsi="Times New Roman"/>
          <w:sz w:val="24"/>
          <w:szCs w:val="24"/>
        </w:rPr>
      </w:pPr>
      <w:r>
        <w:rPr>
          <w:rFonts w:ascii="Times New Roman" w:eastAsia="Calibri" w:hAnsi="Times New Roman"/>
          <w:sz w:val="24"/>
          <w:szCs w:val="24"/>
        </w:rPr>
        <w:t>podpora sociálnej inklúzie, znižovania chudoby a hospodárskeho rozvoja vo vidieckych oblastiach.</w:t>
      </w:r>
    </w:p>
    <w:p w:rsidR="00D92673" w:rsidRDefault="00D92673" w:rsidP="001D60AB">
      <w:pPr>
        <w:spacing w:after="0" w:line="240" w:lineRule="auto"/>
        <w:jc w:val="both"/>
        <w:rPr>
          <w:rFonts w:ascii="Times New Roman" w:eastAsia="Calibri" w:hAnsi="Times New Roman"/>
          <w:sz w:val="24"/>
          <w:szCs w:val="24"/>
        </w:rPr>
      </w:pPr>
    </w:p>
    <w:p w:rsidR="00205BF3" w:rsidRPr="00205BF3" w:rsidRDefault="001824AB" w:rsidP="000D68DC">
      <w:pPr>
        <w:pStyle w:val="Nadpis2"/>
        <w:numPr>
          <w:ilvl w:val="1"/>
          <w:numId w:val="8"/>
        </w:numPr>
        <w:rPr>
          <w:rFonts w:eastAsia="Calibri"/>
          <w:szCs w:val="24"/>
        </w:rPr>
      </w:pPr>
      <w:bookmarkStart w:id="72" w:name="_Toc359550693"/>
      <w:r>
        <w:rPr>
          <w:rFonts w:eastAsia="Calibri"/>
          <w:szCs w:val="24"/>
        </w:rPr>
        <w:t>Rezortný výskum</w:t>
      </w:r>
      <w:bookmarkEnd w:id="72"/>
    </w:p>
    <w:p w:rsidR="00D92673" w:rsidRDefault="00D92673" w:rsidP="001D60AB">
      <w:pPr>
        <w:spacing w:after="0" w:line="240" w:lineRule="auto"/>
        <w:jc w:val="both"/>
        <w:rPr>
          <w:rFonts w:ascii="Times New Roman" w:eastAsia="Calibri" w:hAnsi="Times New Roman"/>
          <w:sz w:val="24"/>
          <w:szCs w:val="24"/>
        </w:rPr>
      </w:pPr>
    </w:p>
    <w:p w:rsidR="00F024F0" w:rsidRDefault="00F024F0" w:rsidP="00F024F0">
      <w:pPr>
        <w:spacing w:after="0" w:line="240" w:lineRule="auto"/>
        <w:jc w:val="both"/>
        <w:rPr>
          <w:rFonts w:ascii="Times New Roman" w:eastAsia="Calibri" w:hAnsi="Times New Roman"/>
          <w:sz w:val="24"/>
          <w:szCs w:val="24"/>
        </w:rPr>
      </w:pPr>
      <w:r w:rsidRPr="00F024F0">
        <w:rPr>
          <w:rFonts w:ascii="Times New Roman" w:eastAsia="Calibri" w:hAnsi="Times New Roman"/>
          <w:sz w:val="24"/>
          <w:szCs w:val="24"/>
        </w:rPr>
        <w:t>Poslaním pôdohospodárskej vedecko-výskumnej základne je vytváranie poznatkového fondu a riešenie aktuálnych i očakávaných, najmä regionálne špecifických rozvojových problémov poľnohospodárst</w:t>
      </w:r>
      <w:r>
        <w:rPr>
          <w:rFonts w:ascii="Times New Roman" w:eastAsia="Calibri" w:hAnsi="Times New Roman"/>
          <w:sz w:val="24"/>
          <w:szCs w:val="24"/>
        </w:rPr>
        <w:t xml:space="preserve">va, potravinárstva a lesníctva. </w:t>
      </w:r>
      <w:r w:rsidRPr="00F024F0">
        <w:rPr>
          <w:rFonts w:ascii="Times New Roman" w:eastAsia="Calibri" w:hAnsi="Times New Roman"/>
          <w:sz w:val="24"/>
          <w:szCs w:val="24"/>
        </w:rPr>
        <w:t>Inštitucionálne zabezpečenie pôdohospodárskej vedy, aplikovaného výskumu a vývoja na Slovensku je podobné ako vo vyspelých krajinách. Pozostáva hlavne z výskumných inštitúcií pôdohospodárskeho rezortu, príslušných univerzít a ústavov Slovenskej akadémie vied s rozdielnou cieľovou orientáciou výskumu. Doplňujúcu štruktúru tvoria podnikové, či súkromné výskumné a vývojové zariadenia.</w:t>
      </w:r>
    </w:p>
    <w:p w:rsidR="00F024F0" w:rsidRPr="00F024F0" w:rsidRDefault="00F024F0" w:rsidP="00F024F0">
      <w:pPr>
        <w:spacing w:after="0" w:line="240" w:lineRule="auto"/>
        <w:jc w:val="both"/>
        <w:rPr>
          <w:rFonts w:ascii="Times New Roman" w:eastAsia="Calibri" w:hAnsi="Times New Roman"/>
          <w:sz w:val="24"/>
          <w:szCs w:val="24"/>
        </w:rPr>
      </w:pPr>
    </w:p>
    <w:p w:rsidR="00F024F0" w:rsidRPr="00F024F0" w:rsidRDefault="00F024F0" w:rsidP="00F024F0">
      <w:pPr>
        <w:spacing w:after="0" w:line="240" w:lineRule="auto"/>
        <w:jc w:val="both"/>
        <w:rPr>
          <w:rFonts w:ascii="Times New Roman" w:eastAsia="Calibri" w:hAnsi="Times New Roman"/>
          <w:sz w:val="24"/>
          <w:szCs w:val="24"/>
        </w:rPr>
      </w:pPr>
      <w:r w:rsidRPr="00F024F0">
        <w:rPr>
          <w:rFonts w:ascii="Times New Roman" w:eastAsia="Calibri" w:hAnsi="Times New Roman"/>
          <w:sz w:val="24"/>
          <w:szCs w:val="24"/>
        </w:rPr>
        <w:t>Rezortné inštitúcie sú prednostne zamerané na cielený, aplikovateľný výskum s  vedeckou a metodologickou preukázateľnosťou výsledk</w:t>
      </w:r>
      <w:r>
        <w:rPr>
          <w:rFonts w:ascii="Times New Roman" w:eastAsia="Calibri" w:hAnsi="Times New Roman"/>
          <w:sz w:val="24"/>
          <w:szCs w:val="24"/>
        </w:rPr>
        <w:t xml:space="preserve">ov. </w:t>
      </w:r>
      <w:r w:rsidRPr="00F024F0">
        <w:rPr>
          <w:rFonts w:ascii="Times New Roman" w:eastAsia="Calibri" w:hAnsi="Times New Roman"/>
          <w:sz w:val="24"/>
          <w:szCs w:val="24"/>
        </w:rPr>
        <w:t xml:space="preserve">Vedeckovýskumná základňa rezortu Ministerstva pôdohospodárstva a rozvoja vidieka SR zameraná na </w:t>
      </w:r>
      <w:proofErr w:type="spellStart"/>
      <w:r w:rsidRPr="00F024F0">
        <w:rPr>
          <w:rFonts w:ascii="Times New Roman" w:eastAsia="Calibri" w:hAnsi="Times New Roman"/>
          <w:sz w:val="24"/>
          <w:szCs w:val="24"/>
        </w:rPr>
        <w:t>agropotravinárstvo</w:t>
      </w:r>
      <w:proofErr w:type="spellEnd"/>
      <w:r w:rsidRPr="00F024F0">
        <w:rPr>
          <w:rFonts w:ascii="Times New Roman" w:eastAsia="Calibri" w:hAnsi="Times New Roman"/>
          <w:sz w:val="24"/>
          <w:szCs w:val="24"/>
        </w:rPr>
        <w:t xml:space="preserve"> a lesníctvo pozostáva zo šiestich inštitúcií:</w:t>
      </w:r>
    </w:p>
    <w:p w:rsidR="00F024F0" w:rsidRDefault="00F024F0" w:rsidP="00F024F0">
      <w:pPr>
        <w:tabs>
          <w:tab w:val="num" w:pos="426"/>
        </w:tabs>
        <w:spacing w:after="0" w:line="240" w:lineRule="auto"/>
        <w:jc w:val="both"/>
        <w:rPr>
          <w:rFonts w:ascii="Times New Roman" w:eastAsia="Calibri" w:hAnsi="Times New Roman"/>
          <w:sz w:val="24"/>
          <w:szCs w:val="24"/>
        </w:rPr>
      </w:pPr>
    </w:p>
    <w:p w:rsidR="00F024F0" w:rsidRPr="00F024F0" w:rsidRDefault="00F024F0" w:rsidP="000D68DC">
      <w:pPr>
        <w:pStyle w:val="Odsekzoznamu"/>
        <w:numPr>
          <w:ilvl w:val="0"/>
          <w:numId w:val="22"/>
        </w:numPr>
        <w:tabs>
          <w:tab w:val="num" w:pos="426"/>
        </w:tabs>
        <w:spacing w:after="0" w:line="240" w:lineRule="auto"/>
        <w:jc w:val="both"/>
        <w:rPr>
          <w:rFonts w:ascii="Times New Roman" w:eastAsia="Calibri" w:hAnsi="Times New Roman"/>
          <w:sz w:val="24"/>
          <w:szCs w:val="24"/>
        </w:rPr>
      </w:pPr>
      <w:r w:rsidRPr="00F024F0">
        <w:rPr>
          <w:rFonts w:ascii="Times New Roman" w:eastAsia="Calibri" w:hAnsi="Times New Roman"/>
          <w:sz w:val="24"/>
          <w:szCs w:val="24"/>
        </w:rPr>
        <w:t>Centrum výskumu rastlinnej výroby Piešťany</w:t>
      </w:r>
      <w:r>
        <w:rPr>
          <w:rFonts w:ascii="Times New Roman" w:eastAsia="Calibri" w:hAnsi="Times New Roman"/>
          <w:sz w:val="24"/>
          <w:szCs w:val="24"/>
        </w:rPr>
        <w:t>;</w:t>
      </w:r>
    </w:p>
    <w:p w:rsidR="00F024F0" w:rsidRPr="00F024F0" w:rsidRDefault="00F024F0" w:rsidP="000D68DC">
      <w:pPr>
        <w:pStyle w:val="Odsekzoznamu"/>
        <w:numPr>
          <w:ilvl w:val="0"/>
          <w:numId w:val="22"/>
        </w:numPr>
        <w:tabs>
          <w:tab w:val="num" w:pos="426"/>
        </w:tabs>
        <w:spacing w:after="0" w:line="240" w:lineRule="auto"/>
        <w:jc w:val="both"/>
        <w:rPr>
          <w:rFonts w:ascii="Times New Roman" w:eastAsia="Calibri" w:hAnsi="Times New Roman"/>
          <w:sz w:val="24"/>
          <w:szCs w:val="24"/>
        </w:rPr>
      </w:pPr>
      <w:r w:rsidRPr="00F024F0">
        <w:rPr>
          <w:rFonts w:ascii="Times New Roman" w:eastAsia="Calibri" w:hAnsi="Times New Roman"/>
          <w:sz w:val="24"/>
          <w:szCs w:val="24"/>
        </w:rPr>
        <w:t>Centrum výskumu živočíšnej výroby Nitra</w:t>
      </w:r>
      <w:r>
        <w:rPr>
          <w:rFonts w:ascii="Times New Roman" w:eastAsia="Calibri" w:hAnsi="Times New Roman"/>
          <w:sz w:val="24"/>
          <w:szCs w:val="24"/>
        </w:rPr>
        <w:t>;</w:t>
      </w:r>
    </w:p>
    <w:p w:rsidR="00F024F0" w:rsidRPr="00F024F0" w:rsidRDefault="00F024F0" w:rsidP="000D68DC">
      <w:pPr>
        <w:pStyle w:val="Odsekzoznamu"/>
        <w:numPr>
          <w:ilvl w:val="0"/>
          <w:numId w:val="22"/>
        </w:numPr>
        <w:tabs>
          <w:tab w:val="num" w:pos="426"/>
        </w:tabs>
        <w:spacing w:after="0" w:line="240" w:lineRule="auto"/>
        <w:jc w:val="both"/>
        <w:rPr>
          <w:rFonts w:ascii="Times New Roman" w:eastAsia="Calibri" w:hAnsi="Times New Roman"/>
          <w:sz w:val="24"/>
          <w:szCs w:val="24"/>
        </w:rPr>
      </w:pPr>
      <w:r w:rsidRPr="00F024F0">
        <w:rPr>
          <w:rFonts w:ascii="Times New Roman" w:eastAsia="Calibri" w:hAnsi="Times New Roman"/>
          <w:sz w:val="24"/>
          <w:szCs w:val="24"/>
        </w:rPr>
        <w:t>Výskumný ústav pôdoznalectva a ochrany pôdy Bratislava</w:t>
      </w:r>
      <w:r>
        <w:rPr>
          <w:rFonts w:ascii="Times New Roman" w:eastAsia="Calibri" w:hAnsi="Times New Roman"/>
          <w:sz w:val="24"/>
          <w:szCs w:val="24"/>
        </w:rPr>
        <w:t>;</w:t>
      </w:r>
    </w:p>
    <w:p w:rsidR="00F024F0" w:rsidRPr="00F024F0" w:rsidRDefault="00F024F0" w:rsidP="000D68DC">
      <w:pPr>
        <w:pStyle w:val="Odsekzoznamu"/>
        <w:numPr>
          <w:ilvl w:val="0"/>
          <w:numId w:val="22"/>
        </w:numPr>
        <w:tabs>
          <w:tab w:val="num" w:pos="426"/>
        </w:tabs>
        <w:spacing w:after="0" w:line="240" w:lineRule="auto"/>
        <w:jc w:val="both"/>
        <w:rPr>
          <w:rFonts w:ascii="Times New Roman" w:eastAsia="Calibri" w:hAnsi="Times New Roman"/>
          <w:sz w:val="24"/>
          <w:szCs w:val="24"/>
        </w:rPr>
      </w:pPr>
      <w:r w:rsidRPr="00F024F0">
        <w:rPr>
          <w:rFonts w:ascii="Times New Roman" w:eastAsia="Calibri" w:hAnsi="Times New Roman"/>
          <w:sz w:val="24"/>
          <w:szCs w:val="24"/>
        </w:rPr>
        <w:t>Výskumný ústav potravinársky Bratislava</w:t>
      </w:r>
      <w:r>
        <w:rPr>
          <w:rFonts w:ascii="Times New Roman" w:eastAsia="Calibri" w:hAnsi="Times New Roman"/>
          <w:sz w:val="24"/>
          <w:szCs w:val="24"/>
        </w:rPr>
        <w:t>;</w:t>
      </w:r>
    </w:p>
    <w:p w:rsidR="00F024F0" w:rsidRPr="00F024F0" w:rsidRDefault="00F024F0" w:rsidP="000D68DC">
      <w:pPr>
        <w:pStyle w:val="Odsekzoznamu"/>
        <w:numPr>
          <w:ilvl w:val="0"/>
          <w:numId w:val="22"/>
        </w:numPr>
        <w:tabs>
          <w:tab w:val="num" w:pos="426"/>
        </w:tabs>
        <w:spacing w:after="0" w:line="240" w:lineRule="auto"/>
        <w:jc w:val="both"/>
        <w:rPr>
          <w:rFonts w:ascii="Times New Roman" w:eastAsia="Calibri" w:hAnsi="Times New Roman"/>
          <w:sz w:val="24"/>
          <w:szCs w:val="24"/>
        </w:rPr>
      </w:pPr>
      <w:r w:rsidRPr="00F024F0">
        <w:rPr>
          <w:rFonts w:ascii="Times New Roman" w:eastAsia="Calibri" w:hAnsi="Times New Roman"/>
          <w:sz w:val="24"/>
          <w:szCs w:val="24"/>
        </w:rPr>
        <w:t>Výskumný ústav ekonomiky poľnohospodárstva a potravinárstva Bratislava</w:t>
      </w:r>
      <w:r>
        <w:rPr>
          <w:rFonts w:ascii="Times New Roman" w:eastAsia="Calibri" w:hAnsi="Times New Roman"/>
          <w:sz w:val="24"/>
          <w:szCs w:val="24"/>
        </w:rPr>
        <w:t>; a</w:t>
      </w:r>
    </w:p>
    <w:p w:rsidR="00F024F0" w:rsidRPr="00F024F0" w:rsidRDefault="00F024F0" w:rsidP="000D68DC">
      <w:pPr>
        <w:pStyle w:val="Odsekzoznamu"/>
        <w:numPr>
          <w:ilvl w:val="0"/>
          <w:numId w:val="22"/>
        </w:numPr>
        <w:tabs>
          <w:tab w:val="num" w:pos="426"/>
        </w:tabs>
        <w:spacing w:after="0" w:line="240" w:lineRule="auto"/>
        <w:jc w:val="both"/>
        <w:rPr>
          <w:rFonts w:ascii="Times New Roman" w:eastAsia="Calibri" w:hAnsi="Times New Roman"/>
          <w:sz w:val="24"/>
          <w:szCs w:val="24"/>
        </w:rPr>
      </w:pPr>
      <w:r w:rsidRPr="00F024F0">
        <w:rPr>
          <w:rFonts w:ascii="Times New Roman" w:eastAsia="Calibri" w:hAnsi="Times New Roman"/>
          <w:sz w:val="24"/>
          <w:szCs w:val="24"/>
        </w:rPr>
        <w:t>Národné lesnícke centrum – Lesnícky výskumný ústav Zvolen</w:t>
      </w:r>
      <w:r>
        <w:rPr>
          <w:rFonts w:ascii="Times New Roman" w:eastAsia="Calibri" w:hAnsi="Times New Roman"/>
          <w:sz w:val="24"/>
          <w:szCs w:val="24"/>
        </w:rPr>
        <w:t>.</w:t>
      </w:r>
    </w:p>
    <w:p w:rsidR="00D92673" w:rsidRDefault="00D92673" w:rsidP="001D60AB">
      <w:pPr>
        <w:spacing w:after="0" w:line="240" w:lineRule="auto"/>
        <w:jc w:val="both"/>
        <w:rPr>
          <w:rFonts w:ascii="Times New Roman" w:eastAsia="Calibri" w:hAnsi="Times New Roman"/>
          <w:sz w:val="24"/>
          <w:szCs w:val="24"/>
        </w:rPr>
      </w:pPr>
    </w:p>
    <w:p w:rsidR="0096535D" w:rsidRPr="0096535D" w:rsidRDefault="00F024F0" w:rsidP="0096535D">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V záujme dosiahnuť cielené hodnoty parametrov produkcie v pôdohospodárstve je potrebné predovšetkým jednak rozvíjať inovácie a podporovať znalostnú základňu v poľnohospodárstve a lesníctve a vo vidieckych oblastiach, a jednak posilniť väzby medzi </w:t>
      </w:r>
      <w:r>
        <w:rPr>
          <w:rFonts w:ascii="Times New Roman" w:eastAsia="Calibri" w:hAnsi="Times New Roman"/>
          <w:sz w:val="24"/>
          <w:szCs w:val="24"/>
        </w:rPr>
        <w:lastRenderedPageBreak/>
        <w:t xml:space="preserve">poľnohospodárstvom, lesníctvom a výskumom a vývojom. </w:t>
      </w:r>
      <w:r w:rsidRPr="00F024F0">
        <w:rPr>
          <w:rFonts w:ascii="Times New Roman" w:eastAsia="Calibri" w:hAnsi="Times New Roman"/>
          <w:sz w:val="24"/>
          <w:szCs w:val="24"/>
        </w:rPr>
        <w:t>Vedeckovýskumná</w:t>
      </w:r>
      <w:r w:rsidR="00CE170E">
        <w:rPr>
          <w:rFonts w:ascii="Times New Roman" w:eastAsia="Calibri" w:hAnsi="Times New Roman"/>
          <w:sz w:val="24"/>
          <w:szCs w:val="24"/>
        </w:rPr>
        <w:t xml:space="preserve"> základňa, v spolupráci s príslušnými organizáciami, </w:t>
      </w:r>
      <w:r>
        <w:rPr>
          <w:rFonts w:ascii="Times New Roman" w:eastAsia="Calibri" w:hAnsi="Times New Roman"/>
          <w:sz w:val="24"/>
          <w:szCs w:val="24"/>
        </w:rPr>
        <w:t xml:space="preserve">by sa takto mala podieľať prioritne na vyriešení intenzifikácie produkcie rastlinnej a živočíšnej </w:t>
      </w:r>
      <w:r w:rsidR="006A470A">
        <w:rPr>
          <w:rFonts w:ascii="Times New Roman" w:eastAsia="Calibri" w:hAnsi="Times New Roman"/>
          <w:sz w:val="24"/>
          <w:szCs w:val="24"/>
        </w:rPr>
        <w:t xml:space="preserve">výroby a identifikácií možných riešení zavedenia inovačných postupov pri zabezpečovaní lesníckych činností. </w:t>
      </w:r>
      <w:r w:rsidR="0096535D" w:rsidRPr="0096535D">
        <w:rPr>
          <w:rFonts w:ascii="Times New Roman" w:eastAsia="Calibri" w:hAnsi="Times New Roman"/>
          <w:sz w:val="24"/>
          <w:szCs w:val="24"/>
        </w:rPr>
        <w:t xml:space="preserve">Trvalé generovanie inovatívnych prístupov a ich transfer do praxe bude zamerané hlavne na: </w:t>
      </w:r>
    </w:p>
    <w:p w:rsidR="0096535D" w:rsidRPr="0096535D" w:rsidRDefault="0096535D" w:rsidP="00C8344F">
      <w:pPr>
        <w:pStyle w:val="Odsekzoznamu"/>
        <w:numPr>
          <w:ilvl w:val="0"/>
          <w:numId w:val="29"/>
        </w:numPr>
        <w:spacing w:after="0" w:line="240" w:lineRule="auto"/>
        <w:jc w:val="both"/>
        <w:rPr>
          <w:rFonts w:ascii="Times New Roman" w:eastAsia="Calibri" w:hAnsi="Times New Roman"/>
          <w:sz w:val="24"/>
          <w:szCs w:val="24"/>
        </w:rPr>
      </w:pPr>
      <w:r w:rsidRPr="0096535D">
        <w:rPr>
          <w:rFonts w:ascii="Times New Roman" w:eastAsia="Calibri" w:hAnsi="Times New Roman"/>
          <w:sz w:val="24"/>
          <w:szCs w:val="24"/>
        </w:rPr>
        <w:t>zabezpečenie trvalo udržateľného stavu výkonného, konkurencieschopného a environmentálne šetrného poľnohospodárstva využívajúceho potenciál krajiny pre výrobu potravín, krmív a obnoviteľnej biomasy, zachovávajúceho biodiverzitu a pôdny fond, hospodáriaceho s vodou v krajine a tvoriaceho životaschopný vidiek</w:t>
      </w:r>
      <w:r w:rsidR="001950DE">
        <w:rPr>
          <w:rFonts w:ascii="Times New Roman" w:eastAsia="Calibri" w:hAnsi="Times New Roman"/>
          <w:sz w:val="24"/>
          <w:szCs w:val="24"/>
        </w:rPr>
        <w:t>;</w:t>
      </w:r>
    </w:p>
    <w:p w:rsidR="0096535D" w:rsidRPr="0096535D" w:rsidRDefault="0096535D" w:rsidP="00C8344F">
      <w:pPr>
        <w:pStyle w:val="Odsekzoznamu"/>
        <w:numPr>
          <w:ilvl w:val="0"/>
          <w:numId w:val="29"/>
        </w:numPr>
        <w:spacing w:after="0" w:line="240" w:lineRule="auto"/>
        <w:jc w:val="both"/>
        <w:rPr>
          <w:rFonts w:ascii="Times New Roman" w:eastAsia="Calibri" w:hAnsi="Times New Roman"/>
          <w:sz w:val="24"/>
          <w:szCs w:val="24"/>
        </w:rPr>
      </w:pPr>
      <w:r w:rsidRPr="0096535D">
        <w:rPr>
          <w:rFonts w:ascii="Times New Roman" w:eastAsia="Calibri" w:hAnsi="Times New Roman"/>
          <w:sz w:val="24"/>
          <w:szCs w:val="24"/>
        </w:rPr>
        <w:t>zabezpečenie kvantity, kvalitu a bezpečnosti a pre obyvateľov dostupných potravín</w:t>
      </w:r>
      <w:r w:rsidR="001950DE">
        <w:rPr>
          <w:rFonts w:ascii="Times New Roman" w:eastAsia="Calibri" w:hAnsi="Times New Roman"/>
          <w:sz w:val="24"/>
          <w:szCs w:val="24"/>
        </w:rPr>
        <w:t>;</w:t>
      </w:r>
    </w:p>
    <w:p w:rsidR="0096535D" w:rsidRPr="0096535D" w:rsidRDefault="0096535D" w:rsidP="00C8344F">
      <w:pPr>
        <w:pStyle w:val="Odsekzoznamu"/>
        <w:numPr>
          <w:ilvl w:val="0"/>
          <w:numId w:val="29"/>
        </w:numPr>
        <w:spacing w:after="0" w:line="240" w:lineRule="auto"/>
        <w:jc w:val="both"/>
        <w:rPr>
          <w:rFonts w:ascii="Times New Roman" w:eastAsia="Calibri" w:hAnsi="Times New Roman"/>
          <w:sz w:val="24"/>
          <w:szCs w:val="24"/>
        </w:rPr>
      </w:pPr>
      <w:r w:rsidRPr="0096535D">
        <w:rPr>
          <w:rFonts w:ascii="Times New Roman" w:eastAsia="Calibri" w:hAnsi="Times New Roman"/>
          <w:sz w:val="24"/>
          <w:szCs w:val="24"/>
        </w:rPr>
        <w:t>zabezpečenie trvalo udržateľného obhospodarovania lesov, založené na primeranom využívaní ich ekonomických, ekologických a sociálnych funkcií pre rozvoj spoločnosti, najmä vidieckych oblastí, efektívne využitie dreva ako ekologickej a obnoviteľnej</w:t>
      </w:r>
      <w:r w:rsidR="001950DE">
        <w:rPr>
          <w:rFonts w:ascii="Times New Roman" w:eastAsia="Calibri" w:hAnsi="Times New Roman"/>
          <w:sz w:val="24"/>
          <w:szCs w:val="24"/>
        </w:rPr>
        <w:t xml:space="preserve"> suroviny;</w:t>
      </w:r>
    </w:p>
    <w:p w:rsidR="0096535D" w:rsidRPr="0096535D" w:rsidRDefault="0096535D" w:rsidP="00C8344F">
      <w:pPr>
        <w:pStyle w:val="Odsekzoznamu"/>
        <w:numPr>
          <w:ilvl w:val="0"/>
          <w:numId w:val="29"/>
        </w:numPr>
        <w:spacing w:after="0" w:line="240" w:lineRule="auto"/>
        <w:jc w:val="both"/>
        <w:rPr>
          <w:rFonts w:ascii="Times New Roman" w:eastAsia="Calibri" w:hAnsi="Times New Roman"/>
          <w:sz w:val="24"/>
          <w:szCs w:val="24"/>
        </w:rPr>
      </w:pPr>
      <w:r w:rsidRPr="0096535D">
        <w:rPr>
          <w:rFonts w:ascii="Times New Roman" w:eastAsia="Calibri" w:hAnsi="Times New Roman"/>
          <w:sz w:val="24"/>
          <w:szCs w:val="24"/>
        </w:rPr>
        <w:t xml:space="preserve">definovanie významu pôdohospodárstva ako nenahraditeľného sektora štátu produkujúceho tovary a služby hmotného a nehmotného charakteru pre štát a spoločnosť, tvoriaceho a ovplyvňujúceho životné prostredie, hydrologický stav, generujúceho a </w:t>
      </w:r>
      <w:proofErr w:type="spellStart"/>
      <w:r w:rsidRPr="0096535D">
        <w:rPr>
          <w:rFonts w:ascii="Times New Roman" w:eastAsia="Calibri" w:hAnsi="Times New Roman"/>
          <w:sz w:val="24"/>
          <w:szCs w:val="24"/>
        </w:rPr>
        <w:t>utilizujúceho</w:t>
      </w:r>
      <w:proofErr w:type="spellEnd"/>
      <w:r w:rsidRPr="0096535D">
        <w:rPr>
          <w:rFonts w:ascii="Times New Roman" w:eastAsia="Calibri" w:hAnsi="Times New Roman"/>
          <w:sz w:val="24"/>
          <w:szCs w:val="24"/>
        </w:rPr>
        <w:t xml:space="preserve"> odpady a tvoriaceho stav krajiny</w:t>
      </w:r>
      <w:r w:rsidR="001950DE">
        <w:rPr>
          <w:rFonts w:ascii="Times New Roman" w:eastAsia="Calibri" w:hAnsi="Times New Roman"/>
          <w:sz w:val="24"/>
          <w:szCs w:val="24"/>
        </w:rPr>
        <w:t>; a</w:t>
      </w:r>
    </w:p>
    <w:p w:rsidR="0096535D" w:rsidRPr="0096535D" w:rsidRDefault="001950DE" w:rsidP="00C8344F">
      <w:pPr>
        <w:pStyle w:val="Odsekzoznamu"/>
        <w:numPr>
          <w:ilvl w:val="0"/>
          <w:numId w:val="29"/>
        </w:numPr>
        <w:spacing w:after="0" w:line="240" w:lineRule="auto"/>
        <w:jc w:val="both"/>
        <w:rPr>
          <w:rFonts w:ascii="Times New Roman" w:eastAsia="Calibri" w:hAnsi="Times New Roman"/>
          <w:sz w:val="24"/>
          <w:szCs w:val="24"/>
        </w:rPr>
      </w:pPr>
      <w:r>
        <w:rPr>
          <w:rFonts w:ascii="Times New Roman" w:eastAsia="Calibri" w:hAnsi="Times New Roman"/>
          <w:sz w:val="24"/>
          <w:szCs w:val="24"/>
        </w:rPr>
        <w:t>riešenie</w:t>
      </w:r>
      <w:r w:rsidR="0096535D" w:rsidRPr="0096535D">
        <w:rPr>
          <w:rFonts w:ascii="Times New Roman" w:eastAsia="Calibri" w:hAnsi="Times New Roman"/>
          <w:sz w:val="24"/>
          <w:szCs w:val="24"/>
        </w:rPr>
        <w:t xml:space="preserve"> regionálnych rozdielov v kvalite života v konkrétnom ekonomickom, sociálnom a environmentálnom prostredí krajiny a zvlášť vidieka.</w:t>
      </w:r>
    </w:p>
    <w:p w:rsidR="0096535D" w:rsidRDefault="0096535D" w:rsidP="001D60AB">
      <w:pPr>
        <w:spacing w:after="0" w:line="240" w:lineRule="auto"/>
        <w:jc w:val="both"/>
        <w:rPr>
          <w:rFonts w:ascii="Times New Roman" w:eastAsia="Calibri" w:hAnsi="Times New Roman"/>
          <w:sz w:val="24"/>
          <w:szCs w:val="24"/>
        </w:rPr>
      </w:pPr>
    </w:p>
    <w:p w:rsidR="001950DE" w:rsidRPr="001950DE" w:rsidRDefault="001950DE" w:rsidP="001950DE">
      <w:p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Z toho vyplývajú nasledovné úlohy pre výskum:</w:t>
      </w:r>
    </w:p>
    <w:p w:rsidR="001950DE" w:rsidRPr="001950DE" w:rsidRDefault="001950DE" w:rsidP="001950DE">
      <w:pPr>
        <w:spacing w:after="0" w:line="240" w:lineRule="auto"/>
        <w:jc w:val="both"/>
        <w:rPr>
          <w:rFonts w:ascii="Times New Roman" w:eastAsia="Calibri" w:hAnsi="Times New Roman"/>
          <w:b/>
          <w:sz w:val="24"/>
          <w:szCs w:val="24"/>
        </w:rPr>
      </w:pPr>
      <w:r w:rsidRPr="001950DE">
        <w:rPr>
          <w:rFonts w:ascii="Times New Roman" w:eastAsia="Calibri" w:hAnsi="Times New Roman"/>
          <w:b/>
          <w:sz w:val="24"/>
          <w:szCs w:val="24"/>
        </w:rPr>
        <w:t>v pôdoznalectve a ochrane pôdy</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identifikovať, chrániť a revitalizovať produkčnú schopnosť pôd Slovenska pre udržateľnú výrobu potravín, krmív, obnoviteľných zdrojov ene</w:t>
      </w:r>
      <w:r>
        <w:rPr>
          <w:rFonts w:ascii="Times New Roman" w:eastAsia="Calibri" w:hAnsi="Times New Roman"/>
          <w:sz w:val="24"/>
          <w:szCs w:val="24"/>
        </w:rPr>
        <w:t>rgie a </w:t>
      </w:r>
      <w:proofErr w:type="spellStart"/>
      <w:r>
        <w:rPr>
          <w:rFonts w:ascii="Times New Roman" w:eastAsia="Calibri" w:hAnsi="Times New Roman"/>
          <w:sz w:val="24"/>
          <w:szCs w:val="24"/>
        </w:rPr>
        <w:t>bio-technických</w:t>
      </w:r>
      <w:proofErr w:type="spellEnd"/>
      <w:r>
        <w:rPr>
          <w:rFonts w:ascii="Times New Roman" w:eastAsia="Calibri" w:hAnsi="Times New Roman"/>
          <w:sz w:val="24"/>
          <w:szCs w:val="24"/>
        </w:rPr>
        <w:t xml:space="preserve"> surovín;</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objektívnejšie hodnotiť všetky funkcie pôd (produkčné a </w:t>
      </w:r>
      <w:proofErr w:type="spellStart"/>
      <w:r w:rsidRPr="001950DE">
        <w:rPr>
          <w:rFonts w:ascii="Times New Roman" w:eastAsia="Calibri" w:hAnsi="Times New Roman"/>
          <w:sz w:val="24"/>
          <w:szCs w:val="24"/>
        </w:rPr>
        <w:t>mimoprodukčné</w:t>
      </w:r>
      <w:proofErr w:type="spellEnd"/>
      <w:r w:rsidRPr="001950DE">
        <w:rPr>
          <w:rFonts w:ascii="Times New Roman" w:eastAsia="Calibri" w:hAnsi="Times New Roman"/>
          <w:sz w:val="24"/>
          <w:szCs w:val="24"/>
        </w:rPr>
        <w:t>) vrátane ich  oceňovania, mapovania a</w:t>
      </w:r>
      <w:r>
        <w:rPr>
          <w:rFonts w:ascii="Times New Roman" w:eastAsia="Calibri" w:hAnsi="Times New Roman"/>
          <w:sz w:val="24"/>
          <w:szCs w:val="24"/>
        </w:rPr>
        <w:t> </w:t>
      </w:r>
      <w:r w:rsidRPr="001950DE">
        <w:rPr>
          <w:rFonts w:ascii="Times New Roman" w:eastAsia="Calibri" w:hAnsi="Times New Roman"/>
          <w:sz w:val="24"/>
          <w:szCs w:val="24"/>
        </w:rPr>
        <w:t>kategorizácie</w:t>
      </w:r>
      <w:r>
        <w:rPr>
          <w:rFonts w:ascii="Times New Roman" w:eastAsia="Calibri" w:hAnsi="Times New Roman"/>
          <w:sz w:val="24"/>
          <w:szCs w:val="24"/>
        </w:rPr>
        <w:t>;</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monitorovať a špecifikovať procesy degradácie pôdy a n</w:t>
      </w:r>
      <w:r>
        <w:rPr>
          <w:rFonts w:ascii="Times New Roman" w:eastAsia="Calibri" w:hAnsi="Times New Roman"/>
          <w:sz w:val="24"/>
          <w:szCs w:val="24"/>
        </w:rPr>
        <w:t>avrhovať spôsoby jej eliminácie;</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 xml:space="preserve">využiť kompenzačnú kapacitu pôdy a krajiny pri zmierňovaní a eliminácii dopadov nepriaznivých environmentálnych a </w:t>
      </w:r>
      <w:proofErr w:type="spellStart"/>
      <w:r w:rsidRPr="001950DE">
        <w:rPr>
          <w:rFonts w:ascii="Times New Roman" w:eastAsia="Calibri" w:hAnsi="Times New Roman"/>
          <w:sz w:val="24"/>
          <w:szCs w:val="24"/>
        </w:rPr>
        <w:t>antropogén</w:t>
      </w:r>
      <w:r>
        <w:rPr>
          <w:rFonts w:ascii="Times New Roman" w:eastAsia="Calibri" w:hAnsi="Times New Roman"/>
          <w:sz w:val="24"/>
          <w:szCs w:val="24"/>
        </w:rPr>
        <w:t>nych</w:t>
      </w:r>
      <w:proofErr w:type="spellEnd"/>
      <w:r>
        <w:rPr>
          <w:rFonts w:ascii="Times New Roman" w:eastAsia="Calibri" w:hAnsi="Times New Roman"/>
          <w:sz w:val="24"/>
          <w:szCs w:val="24"/>
        </w:rPr>
        <w:t xml:space="preserve"> javov (vrátane globálnych);</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hodnotiť procesy vodného režimu pôd a krajiny</w:t>
      </w:r>
      <w:r>
        <w:rPr>
          <w:rFonts w:ascii="Times New Roman" w:eastAsia="Calibri" w:hAnsi="Times New Roman"/>
          <w:sz w:val="24"/>
          <w:szCs w:val="24"/>
        </w:rPr>
        <w:t xml:space="preserve"> a vyvinúť metódy ich regulácie;</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proofErr w:type="spellStart"/>
      <w:r w:rsidRPr="001950DE">
        <w:rPr>
          <w:rFonts w:ascii="Times New Roman" w:eastAsia="Calibri" w:hAnsi="Times New Roman"/>
          <w:sz w:val="24"/>
          <w:szCs w:val="24"/>
        </w:rPr>
        <w:t>sofistikovať</w:t>
      </w:r>
      <w:proofErr w:type="spellEnd"/>
      <w:r w:rsidRPr="001950DE">
        <w:rPr>
          <w:rFonts w:ascii="Times New Roman" w:eastAsia="Calibri" w:hAnsi="Times New Roman"/>
          <w:sz w:val="24"/>
          <w:szCs w:val="24"/>
        </w:rPr>
        <w:t xml:space="preserve"> informačné systémy pre rozhodovanie o využívaní pôdy a</w:t>
      </w:r>
      <w:r>
        <w:rPr>
          <w:rFonts w:ascii="Times New Roman" w:eastAsia="Calibri" w:hAnsi="Times New Roman"/>
          <w:sz w:val="24"/>
          <w:szCs w:val="24"/>
        </w:rPr>
        <w:t> </w:t>
      </w:r>
      <w:r w:rsidRPr="001950DE">
        <w:rPr>
          <w:rFonts w:ascii="Times New Roman" w:eastAsia="Calibri" w:hAnsi="Times New Roman"/>
          <w:sz w:val="24"/>
          <w:szCs w:val="24"/>
        </w:rPr>
        <w:t>krajiny</w:t>
      </w:r>
      <w:r>
        <w:rPr>
          <w:rFonts w:ascii="Times New Roman" w:eastAsia="Calibri" w:hAnsi="Times New Roman"/>
          <w:sz w:val="24"/>
          <w:szCs w:val="24"/>
        </w:rPr>
        <w:t>;</w:t>
      </w:r>
    </w:p>
    <w:p w:rsidR="001950DE" w:rsidRDefault="001950DE" w:rsidP="001950DE">
      <w:pPr>
        <w:spacing w:after="0" w:line="240" w:lineRule="auto"/>
        <w:jc w:val="both"/>
        <w:rPr>
          <w:rFonts w:ascii="Times New Roman" w:eastAsia="Calibri" w:hAnsi="Times New Roman"/>
          <w:b/>
          <w:sz w:val="24"/>
          <w:szCs w:val="24"/>
        </w:rPr>
      </w:pPr>
    </w:p>
    <w:p w:rsidR="001950DE" w:rsidRPr="001950DE" w:rsidRDefault="001950DE" w:rsidP="001950DE">
      <w:pPr>
        <w:spacing w:after="0" w:line="240" w:lineRule="auto"/>
        <w:jc w:val="both"/>
        <w:rPr>
          <w:rFonts w:ascii="Times New Roman" w:eastAsia="Calibri" w:hAnsi="Times New Roman"/>
          <w:b/>
          <w:sz w:val="24"/>
          <w:szCs w:val="24"/>
        </w:rPr>
      </w:pPr>
      <w:r w:rsidRPr="001950DE">
        <w:rPr>
          <w:rFonts w:ascii="Times New Roman" w:eastAsia="Calibri" w:hAnsi="Times New Roman"/>
          <w:b/>
          <w:sz w:val="24"/>
          <w:szCs w:val="24"/>
        </w:rPr>
        <w:t>v rastlinnej výrobe</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trvalo udržiavať, komplexne charakterizovať a využívať genetickú a biologickú diverzitu pre využitie v poľnohospodárstve, výžive, priemysle, energetike a tvorbe krajiny</w:t>
      </w:r>
      <w:r>
        <w:rPr>
          <w:rFonts w:ascii="Times New Roman" w:eastAsia="Calibri" w:hAnsi="Times New Roman"/>
          <w:sz w:val="24"/>
          <w:szCs w:val="24"/>
        </w:rPr>
        <w:t>;</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tvoriť nové a modifikované typy rastlín pre multifunkčné poľnohospodárstvo v meniacich sa ekonomických, environmentálnych a klimatických požiadavkách a</w:t>
      </w:r>
      <w:r>
        <w:rPr>
          <w:rFonts w:ascii="Times New Roman" w:eastAsia="Calibri" w:hAnsi="Times New Roman"/>
          <w:sz w:val="24"/>
          <w:szCs w:val="24"/>
        </w:rPr>
        <w:t> </w:t>
      </w:r>
      <w:r w:rsidRPr="001950DE">
        <w:rPr>
          <w:rFonts w:ascii="Times New Roman" w:eastAsia="Calibri" w:hAnsi="Times New Roman"/>
          <w:sz w:val="24"/>
          <w:szCs w:val="24"/>
        </w:rPr>
        <w:t>podmienkach</w:t>
      </w:r>
      <w:r>
        <w:rPr>
          <w:rFonts w:ascii="Times New Roman" w:eastAsia="Calibri" w:hAnsi="Times New Roman"/>
          <w:sz w:val="24"/>
          <w:szCs w:val="24"/>
        </w:rPr>
        <w:t>;</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 xml:space="preserve">optimalizovať systémy a technológie pestovania rastlín zohľadňujúce regionálne diferencie, meniace sa požiadavky, faktory prostredia, </w:t>
      </w:r>
      <w:proofErr w:type="spellStart"/>
      <w:r w:rsidRPr="001950DE">
        <w:rPr>
          <w:rFonts w:ascii="Times New Roman" w:eastAsia="Calibri" w:hAnsi="Times New Roman"/>
          <w:sz w:val="24"/>
          <w:szCs w:val="24"/>
        </w:rPr>
        <w:t>retenciu</w:t>
      </w:r>
      <w:proofErr w:type="spellEnd"/>
      <w:r w:rsidRPr="001950DE">
        <w:rPr>
          <w:rFonts w:ascii="Times New Roman" w:eastAsia="Calibri" w:hAnsi="Times New Roman"/>
          <w:sz w:val="24"/>
          <w:szCs w:val="24"/>
        </w:rPr>
        <w:t xml:space="preserve"> vody v </w:t>
      </w:r>
      <w:proofErr w:type="spellStart"/>
      <w:r w:rsidRPr="001950DE">
        <w:rPr>
          <w:rFonts w:ascii="Times New Roman" w:eastAsia="Calibri" w:hAnsi="Times New Roman"/>
          <w:sz w:val="24"/>
          <w:szCs w:val="24"/>
        </w:rPr>
        <w:t>agroekosystémoch</w:t>
      </w:r>
      <w:proofErr w:type="spellEnd"/>
      <w:r w:rsidRPr="001950DE">
        <w:rPr>
          <w:rFonts w:ascii="Times New Roman" w:eastAsia="Calibri" w:hAnsi="Times New Roman"/>
          <w:sz w:val="24"/>
          <w:szCs w:val="24"/>
        </w:rPr>
        <w:t xml:space="preserve">, </w:t>
      </w:r>
      <w:proofErr w:type="spellStart"/>
      <w:r w:rsidRPr="001950DE">
        <w:rPr>
          <w:rFonts w:ascii="Times New Roman" w:eastAsia="Calibri" w:hAnsi="Times New Roman"/>
          <w:sz w:val="24"/>
          <w:szCs w:val="24"/>
        </w:rPr>
        <w:t>antropogénne</w:t>
      </w:r>
      <w:proofErr w:type="spellEnd"/>
      <w:r w:rsidRPr="001950DE">
        <w:rPr>
          <w:rFonts w:ascii="Times New Roman" w:eastAsia="Calibri" w:hAnsi="Times New Roman"/>
          <w:sz w:val="24"/>
          <w:szCs w:val="24"/>
        </w:rPr>
        <w:t xml:space="preserve"> dopady a vplyvy rôznych systémov hospodárenia na trvalú udržateľnosť rastlinnej výroby</w:t>
      </w:r>
      <w:r>
        <w:rPr>
          <w:rFonts w:ascii="Times New Roman" w:eastAsia="Calibri" w:hAnsi="Times New Roman"/>
          <w:sz w:val="24"/>
          <w:szCs w:val="24"/>
        </w:rPr>
        <w:t>;</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generovať v rastlinnej výrobe vyššiu pridanú hodnotu pre potravové aj nepotravové využitie pre producentov</w:t>
      </w:r>
      <w:r>
        <w:rPr>
          <w:rFonts w:ascii="Times New Roman" w:eastAsia="Calibri" w:hAnsi="Times New Roman"/>
          <w:sz w:val="24"/>
          <w:szCs w:val="24"/>
        </w:rPr>
        <w:t>, spracovateľov a užívateľov;</w:t>
      </w:r>
    </w:p>
    <w:p w:rsidR="001950DE" w:rsidRDefault="001950DE" w:rsidP="001950DE">
      <w:pPr>
        <w:spacing w:after="0" w:line="240" w:lineRule="auto"/>
        <w:jc w:val="both"/>
        <w:rPr>
          <w:rFonts w:ascii="Times New Roman" w:eastAsia="Calibri" w:hAnsi="Times New Roman"/>
          <w:sz w:val="24"/>
          <w:szCs w:val="24"/>
        </w:rPr>
      </w:pPr>
    </w:p>
    <w:p w:rsidR="001824AB" w:rsidRDefault="001824AB" w:rsidP="001950DE">
      <w:pPr>
        <w:spacing w:after="0" w:line="240" w:lineRule="auto"/>
        <w:jc w:val="both"/>
        <w:rPr>
          <w:rFonts w:ascii="Times New Roman" w:eastAsia="Calibri" w:hAnsi="Times New Roman"/>
          <w:b/>
          <w:sz w:val="24"/>
          <w:szCs w:val="24"/>
        </w:rPr>
      </w:pPr>
    </w:p>
    <w:p w:rsidR="001950DE" w:rsidRPr="001950DE" w:rsidRDefault="001950DE" w:rsidP="001950DE">
      <w:pPr>
        <w:spacing w:after="0" w:line="240" w:lineRule="auto"/>
        <w:jc w:val="both"/>
        <w:rPr>
          <w:rFonts w:ascii="Times New Roman" w:eastAsia="Calibri" w:hAnsi="Times New Roman"/>
          <w:b/>
          <w:sz w:val="24"/>
          <w:szCs w:val="24"/>
        </w:rPr>
      </w:pPr>
      <w:r w:rsidRPr="001950DE">
        <w:rPr>
          <w:rFonts w:ascii="Times New Roman" w:eastAsia="Calibri" w:hAnsi="Times New Roman"/>
          <w:b/>
          <w:sz w:val="24"/>
          <w:szCs w:val="24"/>
        </w:rPr>
        <w:t>v živočíšnej výrobe</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zlepšovať genetický produkčný potenciál úžitkových zvierat s efektívnejšou konverziou krmív a odolnejších na nepriaznivé faktory prostredia, vr</w:t>
      </w:r>
      <w:r>
        <w:rPr>
          <w:rFonts w:ascii="Times New Roman" w:eastAsia="Calibri" w:hAnsi="Times New Roman"/>
          <w:sz w:val="24"/>
          <w:szCs w:val="24"/>
        </w:rPr>
        <w:t xml:space="preserve">átane tvorby </w:t>
      </w:r>
      <w:proofErr w:type="spellStart"/>
      <w:r>
        <w:rPr>
          <w:rFonts w:ascii="Times New Roman" w:eastAsia="Calibri" w:hAnsi="Times New Roman"/>
          <w:sz w:val="24"/>
          <w:szCs w:val="24"/>
        </w:rPr>
        <w:t>transgénnych</w:t>
      </w:r>
      <w:proofErr w:type="spellEnd"/>
      <w:r>
        <w:rPr>
          <w:rFonts w:ascii="Times New Roman" w:eastAsia="Calibri" w:hAnsi="Times New Roman"/>
          <w:sz w:val="24"/>
          <w:szCs w:val="24"/>
        </w:rPr>
        <w:t xml:space="preserve"> typov;</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tvoriť nové postupy a zdroje výživy zvierat s efektívnejšou transformáciou na kvalitné a bezpečné potraviny, vrátane monitorovania ich vplyvu</w:t>
      </w:r>
      <w:r>
        <w:rPr>
          <w:rFonts w:ascii="Times New Roman" w:eastAsia="Calibri" w:hAnsi="Times New Roman"/>
          <w:sz w:val="24"/>
          <w:szCs w:val="24"/>
        </w:rPr>
        <w:t xml:space="preserve"> na organizmus a jeho produkciu;</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optimalizovať systémy a technológie chovu zvierat zohľadňujúce ekonomiku, zdravie a pohodu (</w:t>
      </w:r>
      <w:proofErr w:type="spellStart"/>
      <w:r w:rsidRPr="001950DE">
        <w:rPr>
          <w:rFonts w:ascii="Times New Roman" w:eastAsia="Calibri" w:hAnsi="Times New Roman"/>
          <w:sz w:val="24"/>
          <w:szCs w:val="24"/>
        </w:rPr>
        <w:t>welfare</w:t>
      </w:r>
      <w:proofErr w:type="spellEnd"/>
      <w:r w:rsidRPr="001950DE">
        <w:rPr>
          <w:rFonts w:ascii="Times New Roman" w:eastAsia="Calibri" w:hAnsi="Times New Roman"/>
          <w:sz w:val="24"/>
          <w:szCs w:val="24"/>
        </w:rPr>
        <w:t>)  zvierat, vplyv na životné prostredie, hygienu a pracovný proces a na konzumenta</w:t>
      </w:r>
      <w:r>
        <w:rPr>
          <w:rFonts w:ascii="Times New Roman" w:eastAsia="Calibri" w:hAnsi="Times New Roman"/>
          <w:sz w:val="24"/>
          <w:szCs w:val="24"/>
        </w:rPr>
        <w:t>;</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vyvíjať metódy hodnotenia kvality potravinových suroví</w:t>
      </w:r>
      <w:r>
        <w:rPr>
          <w:rFonts w:ascii="Times New Roman" w:eastAsia="Calibri" w:hAnsi="Times New Roman"/>
          <w:sz w:val="24"/>
          <w:szCs w:val="24"/>
        </w:rPr>
        <w:t>n a potravín živočíšneho pôvodu;</w:t>
      </w:r>
    </w:p>
    <w:p w:rsidR="001950DE" w:rsidRDefault="001950DE" w:rsidP="001950DE">
      <w:pPr>
        <w:spacing w:after="0" w:line="240" w:lineRule="auto"/>
        <w:jc w:val="both"/>
        <w:rPr>
          <w:rFonts w:ascii="Times New Roman" w:eastAsia="Calibri" w:hAnsi="Times New Roman"/>
          <w:sz w:val="24"/>
          <w:szCs w:val="24"/>
        </w:rPr>
      </w:pPr>
    </w:p>
    <w:p w:rsidR="001950DE" w:rsidRPr="001950DE" w:rsidRDefault="001950DE" w:rsidP="001950DE">
      <w:pPr>
        <w:spacing w:after="0" w:line="240" w:lineRule="auto"/>
        <w:jc w:val="both"/>
        <w:rPr>
          <w:rFonts w:ascii="Times New Roman" w:eastAsia="Calibri" w:hAnsi="Times New Roman"/>
          <w:b/>
          <w:sz w:val="24"/>
          <w:szCs w:val="24"/>
        </w:rPr>
      </w:pPr>
      <w:r w:rsidRPr="001950DE">
        <w:rPr>
          <w:rFonts w:ascii="Times New Roman" w:eastAsia="Calibri" w:hAnsi="Times New Roman"/>
          <w:b/>
          <w:sz w:val="24"/>
          <w:szCs w:val="24"/>
        </w:rPr>
        <w:t>v technike a mechanizácii v poľnohospodárstve</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efektívnejšie a environmentálne šetrnejšie využívať účinky poľnej strojovej techniky</w:t>
      </w:r>
      <w:r>
        <w:rPr>
          <w:rFonts w:ascii="Times New Roman" w:eastAsia="Calibri" w:hAnsi="Times New Roman"/>
          <w:sz w:val="24"/>
          <w:szCs w:val="24"/>
        </w:rPr>
        <w:t>;</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vyvíjať efektívnejšie technológie transformácie biomasy na rôzne formy energie</w:t>
      </w:r>
      <w:r>
        <w:rPr>
          <w:rFonts w:ascii="Times New Roman" w:eastAsia="Calibri" w:hAnsi="Times New Roman"/>
          <w:sz w:val="24"/>
          <w:szCs w:val="24"/>
        </w:rPr>
        <w:t>;</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vyvíjať racionálnejšie a šetrnejšie techniky a technológie pre živočíšnu výrobu</w:t>
      </w:r>
      <w:r>
        <w:rPr>
          <w:rFonts w:ascii="Times New Roman" w:eastAsia="Calibri" w:hAnsi="Times New Roman"/>
          <w:sz w:val="24"/>
          <w:szCs w:val="24"/>
        </w:rPr>
        <w:t>;</w:t>
      </w:r>
    </w:p>
    <w:p w:rsidR="001950DE" w:rsidRDefault="001950DE" w:rsidP="001950DE">
      <w:pPr>
        <w:spacing w:after="0" w:line="240" w:lineRule="auto"/>
        <w:jc w:val="both"/>
        <w:rPr>
          <w:rFonts w:ascii="Times New Roman" w:eastAsia="Calibri" w:hAnsi="Times New Roman"/>
          <w:sz w:val="24"/>
          <w:szCs w:val="24"/>
        </w:rPr>
      </w:pPr>
    </w:p>
    <w:p w:rsidR="001950DE" w:rsidRPr="001950DE" w:rsidRDefault="001950DE" w:rsidP="001950DE">
      <w:pPr>
        <w:spacing w:after="0" w:line="240" w:lineRule="auto"/>
        <w:jc w:val="both"/>
        <w:rPr>
          <w:rFonts w:ascii="Times New Roman" w:eastAsia="Calibri" w:hAnsi="Times New Roman"/>
          <w:b/>
          <w:sz w:val="24"/>
          <w:szCs w:val="24"/>
        </w:rPr>
      </w:pPr>
      <w:r w:rsidRPr="001950DE">
        <w:rPr>
          <w:rFonts w:ascii="Times New Roman" w:eastAsia="Calibri" w:hAnsi="Times New Roman"/>
          <w:b/>
          <w:sz w:val="24"/>
          <w:szCs w:val="24"/>
        </w:rPr>
        <w:t>v agrárnej ekonomike</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vytvoriť metodológiu pre definovanie podmienok zvýšenia konkurencieschopnosti slovenského poľnohospodárstva, hodnotenia a predikcie účinkov a dopadov agrárnej politiky</w:t>
      </w:r>
      <w:r>
        <w:rPr>
          <w:rFonts w:ascii="Times New Roman" w:eastAsia="Calibri" w:hAnsi="Times New Roman"/>
          <w:sz w:val="24"/>
          <w:szCs w:val="24"/>
        </w:rPr>
        <w:t>;</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definovať vzťahy medzi využívaním poľnohospodárskej pôdy a výrobnými systémami pre rozvoj</w:t>
      </w:r>
      <w:r>
        <w:rPr>
          <w:rFonts w:ascii="Times New Roman" w:eastAsia="Calibri" w:hAnsi="Times New Roman"/>
          <w:sz w:val="24"/>
          <w:szCs w:val="24"/>
        </w:rPr>
        <w:t xml:space="preserve"> ekonomiky vidieckeho priestoru;</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definovať podmienky a predpoklady ekonomického a sociálneho rozvoja samosprávnych  územných celkov vo vä</w:t>
      </w:r>
      <w:r>
        <w:rPr>
          <w:rFonts w:ascii="Times New Roman" w:eastAsia="Calibri" w:hAnsi="Times New Roman"/>
          <w:sz w:val="24"/>
          <w:szCs w:val="24"/>
        </w:rPr>
        <w:t>zbe na pôdohospodárske aktivity;</w:t>
      </w:r>
    </w:p>
    <w:p w:rsidR="001950DE" w:rsidRDefault="001950DE" w:rsidP="001950DE">
      <w:pPr>
        <w:spacing w:after="0" w:line="240" w:lineRule="auto"/>
        <w:jc w:val="both"/>
        <w:rPr>
          <w:rFonts w:ascii="Times New Roman" w:eastAsia="Calibri" w:hAnsi="Times New Roman"/>
          <w:sz w:val="24"/>
          <w:szCs w:val="24"/>
        </w:rPr>
      </w:pPr>
    </w:p>
    <w:p w:rsidR="001950DE" w:rsidRPr="001950DE" w:rsidRDefault="001950DE" w:rsidP="001950DE">
      <w:pPr>
        <w:spacing w:after="0" w:line="240" w:lineRule="auto"/>
        <w:jc w:val="both"/>
        <w:rPr>
          <w:rFonts w:ascii="Times New Roman" w:eastAsia="Calibri" w:hAnsi="Times New Roman"/>
          <w:b/>
          <w:sz w:val="24"/>
          <w:szCs w:val="24"/>
        </w:rPr>
      </w:pPr>
      <w:r w:rsidRPr="001950DE">
        <w:rPr>
          <w:rFonts w:ascii="Times New Roman" w:eastAsia="Calibri" w:hAnsi="Times New Roman"/>
          <w:b/>
          <w:sz w:val="24"/>
          <w:szCs w:val="24"/>
        </w:rPr>
        <w:t>v potravinárstve</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vyvinúť postupy a technológie na ochranu výživovej a hygienickej kvality produktov proti ich chemickej a biologickej kontaminácii v celom potravinovom reťazci, od prvovýroby až po spotrebiteľa s dôrazom na tradičné, miestne a sezónne potraviny</w:t>
      </w:r>
      <w:r>
        <w:rPr>
          <w:rFonts w:ascii="Times New Roman" w:eastAsia="Calibri" w:hAnsi="Times New Roman"/>
          <w:sz w:val="24"/>
          <w:szCs w:val="24"/>
        </w:rPr>
        <w:t>;</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vyvinúť procesy a postupy získavania cenných prírodných lát</w:t>
      </w:r>
      <w:r>
        <w:rPr>
          <w:rFonts w:ascii="Times New Roman" w:eastAsia="Calibri" w:hAnsi="Times New Roman"/>
          <w:sz w:val="24"/>
          <w:szCs w:val="24"/>
        </w:rPr>
        <w:t xml:space="preserve">ok s vysokou pridanou hodnotou </w:t>
      </w:r>
      <w:r w:rsidRPr="001950DE">
        <w:rPr>
          <w:rFonts w:ascii="Times New Roman" w:eastAsia="Calibri" w:hAnsi="Times New Roman"/>
          <w:sz w:val="24"/>
          <w:szCs w:val="24"/>
        </w:rPr>
        <w:t>vhodných pre využitie v potravinárstve, farmácii</w:t>
      </w:r>
      <w:r>
        <w:rPr>
          <w:rFonts w:ascii="Times New Roman" w:eastAsia="Calibri" w:hAnsi="Times New Roman"/>
          <w:sz w:val="24"/>
          <w:szCs w:val="24"/>
        </w:rPr>
        <w:t>, kozmetike a poľnohospodárstve;</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aplikovať nové technológie a procesy umožňujúce efektívnejšiu výrobu kvalitných potravín a vyšší stupeň využitia primárnych poľnohospodárskych surovín a</w:t>
      </w:r>
      <w:r>
        <w:rPr>
          <w:rFonts w:ascii="Times New Roman" w:eastAsia="Calibri" w:hAnsi="Times New Roman"/>
          <w:sz w:val="24"/>
          <w:szCs w:val="24"/>
        </w:rPr>
        <w:t> </w:t>
      </w:r>
      <w:r w:rsidRPr="001950DE">
        <w:rPr>
          <w:rFonts w:ascii="Times New Roman" w:eastAsia="Calibri" w:hAnsi="Times New Roman"/>
          <w:sz w:val="24"/>
          <w:szCs w:val="24"/>
        </w:rPr>
        <w:t>energií</w:t>
      </w:r>
      <w:r>
        <w:rPr>
          <w:rFonts w:ascii="Times New Roman" w:eastAsia="Calibri" w:hAnsi="Times New Roman"/>
          <w:sz w:val="24"/>
          <w:szCs w:val="24"/>
        </w:rPr>
        <w:t>;</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vyvinúť moderné informačné systémy o kvalite potravín, zložení potravín a obsahu rizikových faktorov v potravinách pre oblasť vedeckého hodnotenia rizika spolu s vývojom variantov optimálnej spotreby potravín pre obyvateľstvo Slovenska, zohľadňujúcich n</w:t>
      </w:r>
      <w:r>
        <w:rPr>
          <w:rFonts w:ascii="Times New Roman" w:eastAsia="Calibri" w:hAnsi="Times New Roman"/>
          <w:sz w:val="24"/>
          <w:szCs w:val="24"/>
        </w:rPr>
        <w:t>ové, odporúčané výživové dávky;</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vytvoriť a využiť databázy poznatkov získaných pri riešení predchádzajúcich projektov pri vzdelávaní domácich spotre</w:t>
      </w:r>
      <w:r>
        <w:rPr>
          <w:rFonts w:ascii="Times New Roman" w:eastAsia="Calibri" w:hAnsi="Times New Roman"/>
          <w:sz w:val="24"/>
          <w:szCs w:val="24"/>
        </w:rPr>
        <w:t>biteľov a producentov potravín;</w:t>
      </w:r>
    </w:p>
    <w:p w:rsidR="001950DE" w:rsidRDefault="001950DE" w:rsidP="001950DE">
      <w:pPr>
        <w:spacing w:after="0" w:line="240" w:lineRule="auto"/>
        <w:jc w:val="both"/>
        <w:rPr>
          <w:rFonts w:ascii="Times New Roman" w:eastAsia="Calibri" w:hAnsi="Times New Roman"/>
          <w:sz w:val="24"/>
          <w:szCs w:val="24"/>
        </w:rPr>
      </w:pPr>
    </w:p>
    <w:p w:rsidR="001950DE" w:rsidRPr="001950DE" w:rsidRDefault="001950DE" w:rsidP="001950DE">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v</w:t>
      </w:r>
      <w:r w:rsidRPr="001950DE">
        <w:rPr>
          <w:rFonts w:ascii="Times New Roman" w:eastAsia="Calibri" w:hAnsi="Times New Roman"/>
          <w:b/>
          <w:sz w:val="24"/>
          <w:szCs w:val="24"/>
        </w:rPr>
        <w:t> lesníctve</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vytvoriť a realizovať zásady inventarizácie, monitoringu a obhospodarovania (hospodárskej úpravy) lesov</w:t>
      </w:r>
      <w:r>
        <w:rPr>
          <w:rFonts w:ascii="Times New Roman" w:eastAsia="Calibri" w:hAnsi="Times New Roman"/>
          <w:sz w:val="24"/>
          <w:szCs w:val="24"/>
        </w:rPr>
        <w:t>;</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podporiť biologickú diverzitu a environmentálne priaznivé a ekonomicky efektívne pestovanie lesov</w:t>
      </w:r>
      <w:r>
        <w:rPr>
          <w:rFonts w:ascii="Times New Roman" w:eastAsia="Calibri" w:hAnsi="Times New Roman"/>
          <w:sz w:val="24"/>
          <w:szCs w:val="24"/>
        </w:rPr>
        <w:t>;</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lastRenderedPageBreak/>
        <w:t>vyvinúť ochranné a obranné opatrenia s čo najmenším vplyvom na ekologické funkcie lesa vrátane adaptácie týchto opatrení na očakávané zmeny klimatických p</w:t>
      </w:r>
      <w:r>
        <w:rPr>
          <w:rFonts w:ascii="Times New Roman" w:eastAsia="Calibri" w:hAnsi="Times New Roman"/>
          <w:sz w:val="24"/>
          <w:szCs w:val="24"/>
        </w:rPr>
        <w:t>odmienok;</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zvyšovať ekonomickú životaschopnosť lesného hospodárstva s cieľom zvýšiť efektívne zužitkovanie dreva ako tovarov s čo najvyššou pridanou hodnotou, podporiť domácu ekonomiku, obmedziť import a z</w:t>
      </w:r>
      <w:r>
        <w:rPr>
          <w:rFonts w:ascii="Times New Roman" w:eastAsia="Calibri" w:hAnsi="Times New Roman"/>
          <w:sz w:val="24"/>
          <w:szCs w:val="24"/>
        </w:rPr>
        <w:t>výšiť zamestnanosť obyvateľstva;</w:t>
      </w:r>
    </w:p>
    <w:p w:rsidR="001950DE" w:rsidRDefault="001950DE" w:rsidP="001950DE">
      <w:pPr>
        <w:spacing w:after="0" w:line="240" w:lineRule="auto"/>
        <w:jc w:val="both"/>
        <w:rPr>
          <w:rFonts w:ascii="Times New Roman" w:eastAsia="Calibri" w:hAnsi="Times New Roman"/>
          <w:sz w:val="24"/>
          <w:szCs w:val="24"/>
        </w:rPr>
      </w:pPr>
    </w:p>
    <w:p w:rsidR="001950DE" w:rsidRPr="001950DE" w:rsidRDefault="001950DE" w:rsidP="001950DE">
      <w:pPr>
        <w:spacing w:after="0" w:line="240" w:lineRule="auto"/>
        <w:jc w:val="both"/>
        <w:rPr>
          <w:rFonts w:ascii="Times New Roman" w:eastAsia="Calibri" w:hAnsi="Times New Roman"/>
          <w:b/>
          <w:sz w:val="24"/>
          <w:szCs w:val="24"/>
        </w:rPr>
      </w:pPr>
      <w:r w:rsidRPr="001950DE">
        <w:rPr>
          <w:rFonts w:ascii="Times New Roman" w:eastAsia="Calibri" w:hAnsi="Times New Roman"/>
          <w:b/>
          <w:sz w:val="24"/>
          <w:szCs w:val="24"/>
        </w:rPr>
        <w:t xml:space="preserve">v podpore rozvoja vidieka </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navrhnúť opatrenia na riešenie regionálnych disparít a podmienok zlepšenia kvality života na vidieku, previazanosť sektorových a prierezových ekonomík pre rozvoj vidieckej ekonomiky a pracovných príležitostí na vidieku</w:t>
      </w:r>
      <w:r>
        <w:rPr>
          <w:rFonts w:ascii="Times New Roman" w:eastAsia="Calibri" w:hAnsi="Times New Roman"/>
          <w:sz w:val="24"/>
          <w:szCs w:val="24"/>
        </w:rPr>
        <w:t>;</w:t>
      </w:r>
    </w:p>
    <w:p w:rsidR="001950DE" w:rsidRPr="001950DE" w:rsidRDefault="001950DE" w:rsidP="00C8344F">
      <w:pPr>
        <w:pStyle w:val="Odsekzoznamu"/>
        <w:numPr>
          <w:ilvl w:val="0"/>
          <w:numId w:val="29"/>
        </w:numPr>
        <w:spacing w:after="0" w:line="240" w:lineRule="auto"/>
        <w:jc w:val="both"/>
        <w:rPr>
          <w:rFonts w:ascii="Times New Roman" w:eastAsia="Calibri" w:hAnsi="Times New Roman"/>
          <w:sz w:val="24"/>
          <w:szCs w:val="24"/>
        </w:rPr>
      </w:pPr>
      <w:r w:rsidRPr="001950DE">
        <w:rPr>
          <w:rFonts w:ascii="Times New Roman" w:eastAsia="Calibri" w:hAnsi="Times New Roman"/>
          <w:sz w:val="24"/>
          <w:szCs w:val="24"/>
        </w:rPr>
        <w:t>vytvoriť opatrenia na udržateľné zlepšovanie vidieckeho životného prostredia a udržanie zamestnanosti využívaním multifunkčných poľnohospodárskych a lesníckych aktivít a technológií eliminujúcich z nich vyplývajúcich nepriaznivých dopadov.</w:t>
      </w:r>
    </w:p>
    <w:p w:rsidR="00F24714" w:rsidRDefault="00F24714" w:rsidP="001D60AB">
      <w:pPr>
        <w:spacing w:after="0" w:line="240" w:lineRule="auto"/>
        <w:jc w:val="both"/>
        <w:rPr>
          <w:rFonts w:ascii="Times New Roman" w:eastAsia="Calibri" w:hAnsi="Times New Roman"/>
          <w:sz w:val="24"/>
          <w:szCs w:val="24"/>
        </w:rPr>
      </w:pPr>
    </w:p>
    <w:p w:rsidR="00F24714" w:rsidRDefault="00F24714" w:rsidP="000D68DC">
      <w:pPr>
        <w:pStyle w:val="Nadpis2"/>
        <w:numPr>
          <w:ilvl w:val="1"/>
          <w:numId w:val="8"/>
        </w:numPr>
        <w:rPr>
          <w:rFonts w:eastAsia="Calibri"/>
          <w:szCs w:val="24"/>
        </w:rPr>
      </w:pPr>
      <w:bookmarkStart w:id="73" w:name="_Toc359550694"/>
      <w:r>
        <w:rPr>
          <w:rFonts w:eastAsia="Calibri"/>
          <w:szCs w:val="24"/>
        </w:rPr>
        <w:t>Zvýšenie konkurencieschopnosti všetkých typov poľnohospodárstva a životaschopnosti fariem</w:t>
      </w:r>
      <w:bookmarkEnd w:id="73"/>
    </w:p>
    <w:p w:rsidR="00CD4514" w:rsidRDefault="00CD4514" w:rsidP="00F8437D">
      <w:pPr>
        <w:spacing w:after="0" w:line="240" w:lineRule="auto"/>
        <w:jc w:val="both"/>
        <w:rPr>
          <w:rFonts w:ascii="Times New Roman" w:eastAsia="Calibri" w:hAnsi="Times New Roman"/>
          <w:sz w:val="24"/>
          <w:szCs w:val="24"/>
        </w:rPr>
      </w:pPr>
    </w:p>
    <w:p w:rsidR="00F05CBA" w:rsidRDefault="00E1196B" w:rsidP="00F8437D">
      <w:pPr>
        <w:spacing w:after="0" w:line="240" w:lineRule="auto"/>
        <w:jc w:val="both"/>
        <w:rPr>
          <w:rFonts w:ascii="Times New Roman" w:eastAsia="Calibri" w:hAnsi="Times New Roman"/>
          <w:sz w:val="24"/>
          <w:szCs w:val="24"/>
        </w:rPr>
      </w:pPr>
      <w:r>
        <w:rPr>
          <w:rFonts w:ascii="Times New Roman" w:eastAsia="Calibri" w:hAnsi="Times New Roman"/>
          <w:sz w:val="24"/>
          <w:szCs w:val="24"/>
        </w:rPr>
        <w:t>V záujme zvýšenia konkurencieschopnost</w:t>
      </w:r>
      <w:r w:rsidR="00F217E8">
        <w:rPr>
          <w:rFonts w:ascii="Times New Roman" w:eastAsia="Calibri" w:hAnsi="Times New Roman"/>
          <w:sz w:val="24"/>
          <w:szCs w:val="24"/>
        </w:rPr>
        <w:t xml:space="preserve">i slovenského poľnohospodárstva </w:t>
      </w:r>
      <w:r>
        <w:rPr>
          <w:rFonts w:ascii="Times New Roman" w:eastAsia="Calibri" w:hAnsi="Times New Roman"/>
          <w:sz w:val="24"/>
          <w:szCs w:val="24"/>
        </w:rPr>
        <w:t xml:space="preserve">a životaschopnosti slovenských fariem je potrebné farmy na Slovensku, ktoré čelia vážnym štrukturálnym problémom, vhodným spôsobom reštrukturalizovať. Za štrukturálne problémy sú pritom považované nízka účasť na trhu a nízka miera diverzifikácie poľnohospodárskych činností. V tejto súvislosti je taktiež potrebné podporiť generačnú obnovu v poľnohospodárstve, teda podporovať najmä mladých poľnohospodárov. </w:t>
      </w:r>
    </w:p>
    <w:p w:rsidR="00F05CBA" w:rsidRDefault="00F05CBA" w:rsidP="00F8437D">
      <w:pPr>
        <w:spacing w:after="0" w:line="240" w:lineRule="auto"/>
        <w:jc w:val="both"/>
        <w:rPr>
          <w:rFonts w:ascii="Times New Roman" w:eastAsia="Calibri" w:hAnsi="Times New Roman"/>
          <w:sz w:val="24"/>
          <w:szCs w:val="24"/>
        </w:rPr>
      </w:pPr>
    </w:p>
    <w:p w:rsidR="00F05CBA" w:rsidRDefault="00F05CBA" w:rsidP="00F05CBA">
      <w:pPr>
        <w:spacing w:after="0" w:line="240" w:lineRule="auto"/>
        <w:jc w:val="both"/>
        <w:rPr>
          <w:rFonts w:ascii="Times New Roman" w:eastAsia="Calibri" w:hAnsi="Times New Roman"/>
          <w:sz w:val="24"/>
          <w:szCs w:val="24"/>
        </w:rPr>
      </w:pPr>
      <w:r w:rsidRPr="00F05CBA">
        <w:rPr>
          <w:rFonts w:ascii="Times New Roman" w:eastAsia="Calibri" w:hAnsi="Times New Roman"/>
          <w:sz w:val="24"/>
          <w:szCs w:val="24"/>
        </w:rPr>
        <w:t xml:space="preserve">Podpora </w:t>
      </w:r>
      <w:r>
        <w:rPr>
          <w:rFonts w:ascii="Times New Roman" w:eastAsia="Calibri" w:hAnsi="Times New Roman"/>
          <w:sz w:val="24"/>
          <w:szCs w:val="24"/>
        </w:rPr>
        <w:t xml:space="preserve">v tejto súvislosti je potrebné </w:t>
      </w:r>
      <w:r w:rsidRPr="00F05CBA">
        <w:rPr>
          <w:rFonts w:ascii="Times New Roman" w:eastAsia="Calibri" w:hAnsi="Times New Roman"/>
          <w:sz w:val="24"/>
          <w:szCs w:val="24"/>
        </w:rPr>
        <w:t>vzť</w:t>
      </w:r>
      <w:r>
        <w:rPr>
          <w:rFonts w:ascii="Times New Roman" w:eastAsia="Calibri" w:hAnsi="Times New Roman"/>
          <w:sz w:val="24"/>
          <w:szCs w:val="24"/>
        </w:rPr>
        <w:t xml:space="preserve">ahovať na hmotné a/alebo nehmotné investície, ktoré </w:t>
      </w:r>
      <w:r w:rsidRPr="00F05CBA">
        <w:rPr>
          <w:rFonts w:ascii="Times New Roman" w:eastAsia="Calibri" w:hAnsi="Times New Roman"/>
          <w:sz w:val="24"/>
          <w:szCs w:val="24"/>
        </w:rPr>
        <w:t>zlepšujú celkovú výkonnosť poľ</w:t>
      </w:r>
      <w:r>
        <w:rPr>
          <w:rFonts w:ascii="Times New Roman" w:eastAsia="Calibri" w:hAnsi="Times New Roman"/>
          <w:sz w:val="24"/>
          <w:szCs w:val="24"/>
        </w:rPr>
        <w:t xml:space="preserve">nohospodárskeho podniku, </w:t>
      </w:r>
      <w:r w:rsidRPr="00F05CBA">
        <w:rPr>
          <w:rFonts w:ascii="Times New Roman" w:eastAsia="Calibri" w:hAnsi="Times New Roman"/>
          <w:sz w:val="24"/>
          <w:szCs w:val="24"/>
        </w:rPr>
        <w:t>týkajú sa spracovania, uvádzania na trh a/alebo vývoja poľ</w:t>
      </w:r>
      <w:r>
        <w:rPr>
          <w:rFonts w:ascii="Times New Roman" w:eastAsia="Calibri" w:hAnsi="Times New Roman"/>
          <w:sz w:val="24"/>
          <w:szCs w:val="24"/>
        </w:rPr>
        <w:t>nohospodárskych výrobkov.</w:t>
      </w:r>
    </w:p>
    <w:p w:rsidR="00F05CBA" w:rsidRDefault="00F05CBA" w:rsidP="00F8437D">
      <w:pPr>
        <w:spacing w:after="0" w:line="240" w:lineRule="auto"/>
        <w:jc w:val="both"/>
        <w:rPr>
          <w:rFonts w:ascii="Times New Roman" w:eastAsia="Calibri" w:hAnsi="Times New Roman"/>
          <w:sz w:val="24"/>
          <w:szCs w:val="24"/>
        </w:rPr>
      </w:pPr>
    </w:p>
    <w:p w:rsidR="00E1196B" w:rsidRDefault="00E1196B" w:rsidP="00F8437D">
      <w:pPr>
        <w:spacing w:after="0" w:line="240" w:lineRule="auto"/>
        <w:jc w:val="both"/>
        <w:rPr>
          <w:rFonts w:ascii="Times New Roman" w:eastAsia="Calibri" w:hAnsi="Times New Roman"/>
          <w:sz w:val="24"/>
          <w:szCs w:val="24"/>
        </w:rPr>
      </w:pPr>
      <w:r>
        <w:rPr>
          <w:rFonts w:ascii="Times New Roman" w:eastAsia="Calibri" w:hAnsi="Times New Roman"/>
          <w:sz w:val="24"/>
          <w:szCs w:val="24"/>
        </w:rPr>
        <w:t>Ako prioritné, z hľadiska dosiahnutia cielených parametrov produkcie rastlinnej a živočíšnej výroby, boli identifikované tieto oblasti:</w:t>
      </w:r>
    </w:p>
    <w:p w:rsidR="00F05CBA" w:rsidRPr="00F05CBA" w:rsidRDefault="00F05CBA" w:rsidP="00F05CBA">
      <w:pPr>
        <w:spacing w:after="0" w:line="240" w:lineRule="auto"/>
        <w:jc w:val="both"/>
        <w:rPr>
          <w:rFonts w:ascii="Times New Roman" w:eastAsia="Calibri" w:hAnsi="Times New Roman"/>
          <w:sz w:val="24"/>
          <w:szCs w:val="24"/>
        </w:rPr>
      </w:pPr>
    </w:p>
    <w:p w:rsidR="00E1196B" w:rsidRDefault="005D2B75" w:rsidP="00C8344F">
      <w:pPr>
        <w:pStyle w:val="Odsekzoznamu"/>
        <w:numPr>
          <w:ilvl w:val="0"/>
          <w:numId w:val="23"/>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podpora </w:t>
      </w:r>
      <w:r w:rsidR="00B654BB">
        <w:rPr>
          <w:rFonts w:ascii="Times New Roman" w:eastAsia="Calibri" w:hAnsi="Times New Roman"/>
          <w:sz w:val="24"/>
          <w:szCs w:val="24"/>
        </w:rPr>
        <w:t>zvýšenie počtu prasníc na 70 000 ks so súčasným zvýšením miery ich reprodukčnej úžitkovosti na úroveň 20 – 21 odstavčiat na 1 prasnicu;</w:t>
      </w:r>
    </w:p>
    <w:p w:rsidR="00B654BB" w:rsidRDefault="005D2B75" w:rsidP="00C8344F">
      <w:pPr>
        <w:pStyle w:val="Odsekzoznamu"/>
        <w:numPr>
          <w:ilvl w:val="0"/>
          <w:numId w:val="23"/>
        </w:numPr>
        <w:spacing w:after="0" w:line="240" w:lineRule="auto"/>
        <w:jc w:val="both"/>
        <w:rPr>
          <w:rFonts w:ascii="Times New Roman" w:eastAsia="Calibri" w:hAnsi="Times New Roman"/>
          <w:sz w:val="24"/>
          <w:szCs w:val="24"/>
        </w:rPr>
      </w:pPr>
      <w:r>
        <w:rPr>
          <w:rFonts w:ascii="Times New Roman" w:eastAsia="Times New Roman" w:hAnsi="Times New Roman" w:cs="Times New Roman"/>
          <w:color w:val="000000"/>
          <w:sz w:val="24"/>
          <w:szCs w:val="24"/>
        </w:rPr>
        <w:t>podpora zvýšenia</w:t>
      </w:r>
      <w:r w:rsidR="00F901D8" w:rsidRPr="002346FB">
        <w:rPr>
          <w:rFonts w:ascii="Times New Roman" w:eastAsia="Times New Roman" w:hAnsi="Times New Roman" w:cs="Times New Roman"/>
          <w:color w:val="000000"/>
          <w:sz w:val="24"/>
          <w:szCs w:val="24"/>
        </w:rPr>
        <w:t xml:space="preserve"> početnosť hydiny </w:t>
      </w:r>
      <w:r w:rsidR="00F901D8">
        <w:rPr>
          <w:rFonts w:ascii="Times New Roman" w:eastAsia="Times New Roman" w:hAnsi="Times New Roman" w:cs="Times New Roman"/>
          <w:color w:val="000000"/>
          <w:sz w:val="24"/>
          <w:szCs w:val="24"/>
        </w:rPr>
        <w:t xml:space="preserve">(stavy v chove) </w:t>
      </w:r>
      <w:r w:rsidR="00F901D8" w:rsidRPr="002346FB">
        <w:rPr>
          <w:rFonts w:ascii="Times New Roman" w:eastAsia="Times New Roman" w:hAnsi="Times New Roman" w:cs="Times New Roman"/>
          <w:color w:val="000000"/>
          <w:sz w:val="24"/>
          <w:szCs w:val="24"/>
        </w:rPr>
        <w:t>minimálne o</w:t>
      </w:r>
      <w:r w:rsidR="00F901D8">
        <w:rPr>
          <w:rFonts w:ascii="Times New Roman" w:eastAsia="Times New Roman" w:hAnsi="Times New Roman" w:cs="Times New Roman"/>
          <w:color w:val="000000"/>
          <w:sz w:val="24"/>
          <w:szCs w:val="24"/>
        </w:rPr>
        <w:t xml:space="preserve"> 885 737 </w:t>
      </w:r>
      <w:r w:rsidR="00F901D8" w:rsidRPr="002346FB">
        <w:rPr>
          <w:rFonts w:ascii="Times New Roman" w:eastAsia="Times New Roman" w:hAnsi="Times New Roman" w:cs="Times New Roman"/>
          <w:color w:val="000000"/>
          <w:sz w:val="24"/>
          <w:szCs w:val="24"/>
        </w:rPr>
        <w:t>ks</w:t>
      </w:r>
      <w:r w:rsidR="00F901D8">
        <w:rPr>
          <w:rFonts w:ascii="Times New Roman" w:eastAsia="Times New Roman" w:hAnsi="Times New Roman" w:cs="Times New Roman"/>
          <w:color w:val="000000"/>
          <w:sz w:val="24"/>
          <w:szCs w:val="24"/>
        </w:rPr>
        <w:t xml:space="preserve"> (</w:t>
      </w:r>
      <w:r w:rsidR="00F901D8">
        <w:rPr>
          <w:rFonts w:ascii="Times New Roman" w:hAnsi="Times New Roman" w:cs="Times New Roman"/>
          <w:sz w:val="24"/>
          <w:szCs w:val="24"/>
        </w:rPr>
        <w:t>5 314 423 ks pri 6 turnusoch ročne)</w:t>
      </w:r>
      <w:r w:rsidR="00B654BB">
        <w:rPr>
          <w:rFonts w:ascii="Times New Roman" w:eastAsia="Calibri" w:hAnsi="Times New Roman"/>
          <w:sz w:val="24"/>
          <w:szCs w:val="24"/>
        </w:rPr>
        <w:t>;</w:t>
      </w:r>
    </w:p>
    <w:p w:rsidR="00F901D8" w:rsidRDefault="00F901D8" w:rsidP="00C8344F">
      <w:pPr>
        <w:pStyle w:val="Odsekzoznamu"/>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podpora zvýšenia produkčnej výkonnosti spracovateľského mäsopriemyslu na Slovensku, formou </w:t>
      </w:r>
      <w:r w:rsidR="00DF289D">
        <w:rPr>
          <w:rFonts w:ascii="Times New Roman" w:hAnsi="Times New Roman" w:cs="Times New Roman"/>
          <w:sz w:val="24"/>
          <w:szCs w:val="24"/>
        </w:rPr>
        <w:t>rekonštrukcie existujúcich a výstavby nových bitúnkov</w:t>
      </w:r>
      <w:r>
        <w:rPr>
          <w:rFonts w:ascii="Times New Roman" w:hAnsi="Times New Roman" w:cs="Times New Roman"/>
          <w:sz w:val="24"/>
          <w:szCs w:val="24"/>
        </w:rPr>
        <w:t>;</w:t>
      </w:r>
    </w:p>
    <w:p w:rsidR="00F901D8" w:rsidRPr="00A724CE" w:rsidRDefault="00F901D8" w:rsidP="00C8344F">
      <w:pPr>
        <w:pStyle w:val="Odsekzoznamu"/>
        <w:numPr>
          <w:ilvl w:val="0"/>
          <w:numId w:val="23"/>
        </w:numPr>
        <w:spacing w:after="0" w:line="240" w:lineRule="auto"/>
        <w:jc w:val="both"/>
        <w:rPr>
          <w:rFonts w:ascii="Times New Roman" w:eastAsia="Calibri" w:hAnsi="Times New Roman"/>
          <w:sz w:val="24"/>
          <w:szCs w:val="24"/>
        </w:rPr>
      </w:pPr>
      <w:r>
        <w:rPr>
          <w:rFonts w:ascii="Times New Roman" w:hAnsi="Times New Roman" w:cs="Times New Roman"/>
          <w:sz w:val="24"/>
          <w:szCs w:val="24"/>
        </w:rPr>
        <w:t>podpora zvýšenia produkčnej výkonnosti produkcie rastlinných jedlých tukov a olejov;</w:t>
      </w:r>
    </w:p>
    <w:p w:rsidR="00A724CE" w:rsidRPr="00112AFF" w:rsidRDefault="00112AFF" w:rsidP="00C8344F">
      <w:pPr>
        <w:pStyle w:val="Odsekzoznamu"/>
        <w:numPr>
          <w:ilvl w:val="0"/>
          <w:numId w:val="23"/>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podpora </w:t>
      </w:r>
      <w:r w:rsidRPr="00112AFF">
        <w:rPr>
          <w:rFonts w:ascii="Times New Roman" w:eastAsia="Calibri" w:hAnsi="Times New Roman"/>
          <w:sz w:val="24"/>
          <w:szCs w:val="24"/>
        </w:rPr>
        <w:t>zvýšenia výsadby zemiakov v poľnohospodársky znevýhodnených oblastiach. Cielená dodatočná zberová plo</w:t>
      </w:r>
      <w:r>
        <w:rPr>
          <w:rFonts w:ascii="Times New Roman" w:eastAsia="Calibri" w:hAnsi="Times New Roman"/>
          <w:sz w:val="24"/>
          <w:szCs w:val="24"/>
        </w:rPr>
        <w:t>cha je projektovaná na úrovni</w:t>
      </w:r>
      <w:r w:rsidRPr="00112AFF">
        <w:rPr>
          <w:rFonts w:ascii="Times New Roman" w:eastAsia="Calibri" w:hAnsi="Times New Roman"/>
          <w:sz w:val="24"/>
          <w:szCs w:val="24"/>
        </w:rPr>
        <w:t xml:space="preserve"> 743 ha.</w:t>
      </w:r>
    </w:p>
    <w:p w:rsidR="00B654BB" w:rsidRDefault="00B654BB" w:rsidP="00C8344F">
      <w:pPr>
        <w:pStyle w:val="Odsekzoznamu"/>
        <w:numPr>
          <w:ilvl w:val="0"/>
          <w:numId w:val="23"/>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zvýšenie zberovej plochy zeleniny </w:t>
      </w:r>
      <w:r w:rsidR="008139B4">
        <w:rPr>
          <w:rFonts w:ascii="Times New Roman" w:eastAsia="Calibri" w:hAnsi="Times New Roman"/>
          <w:sz w:val="24"/>
          <w:szCs w:val="24"/>
        </w:rPr>
        <w:t xml:space="preserve">na ornej pôde </w:t>
      </w:r>
      <w:r>
        <w:rPr>
          <w:rFonts w:ascii="Times New Roman" w:eastAsia="Calibri" w:hAnsi="Times New Roman"/>
          <w:sz w:val="24"/>
          <w:szCs w:val="24"/>
        </w:rPr>
        <w:t>o 3 000 ha a súčasná intenzifikácia produkcie veľkopestovateľov zeleniny na priemernú úroveň jej hektárovej výnosnosti vo výške 20 t/ha;</w:t>
      </w:r>
    </w:p>
    <w:p w:rsidR="00B654BB" w:rsidRPr="00E1196B" w:rsidRDefault="00B654BB" w:rsidP="00C8344F">
      <w:pPr>
        <w:pStyle w:val="Odsekzoznamu"/>
        <w:numPr>
          <w:ilvl w:val="0"/>
          <w:numId w:val="23"/>
        </w:numPr>
        <w:spacing w:after="0" w:line="240" w:lineRule="auto"/>
        <w:jc w:val="both"/>
        <w:rPr>
          <w:rFonts w:ascii="Times New Roman" w:eastAsia="Calibri" w:hAnsi="Times New Roman"/>
          <w:sz w:val="24"/>
          <w:szCs w:val="24"/>
        </w:rPr>
      </w:pPr>
      <w:r>
        <w:rPr>
          <w:rFonts w:ascii="Times New Roman" w:eastAsia="Calibri" w:hAnsi="Times New Roman"/>
          <w:sz w:val="24"/>
          <w:szCs w:val="24"/>
        </w:rPr>
        <w:t>revitalizácia ovocných sadov a intenzifikácia produkcie ovocia mierneho pásma na priemernú úroveň hektárovej výnosnosti ovocia mierneho pásma vo výške 12,27 t/ha.</w:t>
      </w:r>
    </w:p>
    <w:p w:rsidR="00E348A7" w:rsidRDefault="00E348A7" w:rsidP="00F8437D">
      <w:pPr>
        <w:spacing w:after="0" w:line="240" w:lineRule="auto"/>
        <w:jc w:val="both"/>
        <w:rPr>
          <w:rFonts w:ascii="Times New Roman" w:eastAsia="Calibri" w:hAnsi="Times New Roman"/>
          <w:sz w:val="24"/>
          <w:szCs w:val="24"/>
        </w:rPr>
      </w:pPr>
    </w:p>
    <w:p w:rsidR="00F901D8" w:rsidRDefault="00F901D8" w:rsidP="00F8437D">
      <w:pPr>
        <w:spacing w:after="0" w:line="240" w:lineRule="auto"/>
        <w:jc w:val="both"/>
        <w:rPr>
          <w:rFonts w:ascii="Times New Roman" w:eastAsia="Calibri" w:hAnsi="Times New Roman"/>
          <w:sz w:val="24"/>
          <w:szCs w:val="24"/>
        </w:rPr>
      </w:pPr>
    </w:p>
    <w:p w:rsidR="00F901D8" w:rsidRDefault="00F901D8" w:rsidP="00F8437D">
      <w:pPr>
        <w:spacing w:after="0" w:line="240" w:lineRule="auto"/>
        <w:jc w:val="both"/>
        <w:rPr>
          <w:rFonts w:ascii="Times New Roman" w:eastAsia="Calibri" w:hAnsi="Times New Roman"/>
          <w:sz w:val="24"/>
          <w:szCs w:val="24"/>
        </w:rPr>
      </w:pPr>
    </w:p>
    <w:p w:rsidR="002F2CE8" w:rsidRPr="00F901D8" w:rsidRDefault="00880423" w:rsidP="00F8437D">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Zvýšením počtu prasníc na 70 000 ks so súčasným zvýšením miery ich reprodukčnej úžitkovosti na úroveň 20 – 21 odstavčiat na 1 prasnicu sa zabezpečí </w:t>
      </w:r>
      <w:r w:rsidR="009C575A">
        <w:rPr>
          <w:rFonts w:ascii="Times New Roman" w:eastAsia="Calibri" w:hAnsi="Times New Roman"/>
          <w:sz w:val="24"/>
          <w:szCs w:val="24"/>
        </w:rPr>
        <w:t>produkcia jatočných</w:t>
      </w:r>
      <w:r>
        <w:rPr>
          <w:rFonts w:ascii="Times New Roman" w:eastAsia="Calibri" w:hAnsi="Times New Roman"/>
          <w:sz w:val="24"/>
          <w:szCs w:val="24"/>
        </w:rPr>
        <w:t xml:space="preserve"> ošípaných v celkovom počte </w:t>
      </w:r>
      <w:r w:rsidR="009C575A">
        <w:rPr>
          <w:rFonts w:ascii="Times New Roman" w:eastAsia="Calibri" w:hAnsi="Times New Roman"/>
          <w:sz w:val="24"/>
          <w:szCs w:val="24"/>
        </w:rPr>
        <w:t>1 425 900</w:t>
      </w:r>
      <w:r>
        <w:rPr>
          <w:rFonts w:ascii="Times New Roman" w:eastAsia="Calibri" w:hAnsi="Times New Roman"/>
          <w:sz w:val="24"/>
          <w:szCs w:val="24"/>
        </w:rPr>
        <w:t xml:space="preserve"> ks</w:t>
      </w:r>
      <w:r w:rsidR="009C575A">
        <w:rPr>
          <w:rFonts w:ascii="Times New Roman" w:eastAsia="Calibri" w:hAnsi="Times New Roman"/>
          <w:sz w:val="24"/>
          <w:szCs w:val="24"/>
        </w:rPr>
        <w:t>, čo predstavuje zvýšenie produkcie jatočných ošípaných o</w:t>
      </w:r>
      <w:r w:rsidR="003E07EB">
        <w:rPr>
          <w:rFonts w:ascii="Times New Roman" w:eastAsia="Calibri" w:hAnsi="Times New Roman"/>
          <w:sz w:val="24"/>
          <w:szCs w:val="24"/>
        </w:rPr>
        <w:t> 845 500</w:t>
      </w:r>
      <w:r w:rsidR="009C575A">
        <w:rPr>
          <w:rFonts w:ascii="Times New Roman" w:eastAsia="Calibri" w:hAnsi="Times New Roman"/>
          <w:sz w:val="24"/>
          <w:szCs w:val="24"/>
        </w:rPr>
        <w:t xml:space="preserve"> ks</w:t>
      </w:r>
      <w:r w:rsidR="007D6D83">
        <w:rPr>
          <w:rFonts w:ascii="Times New Roman" w:eastAsia="Calibri" w:hAnsi="Times New Roman"/>
          <w:sz w:val="24"/>
          <w:szCs w:val="24"/>
        </w:rPr>
        <w:t xml:space="preserve">. </w:t>
      </w:r>
    </w:p>
    <w:p w:rsidR="00F901D8" w:rsidRDefault="00F901D8" w:rsidP="00F8437D">
      <w:pPr>
        <w:spacing w:after="0" w:line="240" w:lineRule="auto"/>
        <w:jc w:val="both"/>
        <w:rPr>
          <w:rFonts w:ascii="Times New Roman" w:hAnsi="Times New Roman" w:cs="Times New Roman"/>
          <w:sz w:val="20"/>
          <w:szCs w:val="20"/>
        </w:rPr>
      </w:pPr>
    </w:p>
    <w:p w:rsidR="00CE2A75" w:rsidRPr="00CE2A75" w:rsidRDefault="00D530DA" w:rsidP="00F8437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7</w:t>
      </w:r>
      <w:r w:rsidR="00C970F8">
        <w:rPr>
          <w:rFonts w:ascii="Times New Roman" w:hAnsi="Times New Roman" w:cs="Times New Roman"/>
          <w:sz w:val="20"/>
          <w:szCs w:val="20"/>
        </w:rPr>
        <w:t>3</w:t>
      </w:r>
      <w:r w:rsidR="00CE2A75" w:rsidRPr="00155936">
        <w:rPr>
          <w:rFonts w:ascii="Times New Roman" w:hAnsi="Times New Roman" w:cs="Times New Roman"/>
          <w:sz w:val="20"/>
          <w:szCs w:val="20"/>
        </w:rPr>
        <w:t>:</w:t>
      </w:r>
      <w:r w:rsidR="006631DA">
        <w:rPr>
          <w:rFonts w:ascii="Times New Roman" w:hAnsi="Times New Roman" w:cs="Times New Roman"/>
          <w:sz w:val="20"/>
          <w:szCs w:val="20"/>
        </w:rPr>
        <w:t>Prognóza</w:t>
      </w:r>
      <w:r w:rsidR="00CE2A75">
        <w:rPr>
          <w:rFonts w:ascii="Times New Roman" w:hAnsi="Times New Roman" w:cs="Times New Roman"/>
          <w:sz w:val="20"/>
          <w:szCs w:val="20"/>
        </w:rPr>
        <w:t xml:space="preserve"> vývoja počtu ošípanýc</w:t>
      </w:r>
      <w:r w:rsidR="002F2CE8">
        <w:rPr>
          <w:rFonts w:ascii="Times New Roman" w:hAnsi="Times New Roman" w:cs="Times New Roman"/>
          <w:sz w:val="20"/>
          <w:szCs w:val="20"/>
        </w:rPr>
        <w:t>h a prasníc do roku 2020</w:t>
      </w:r>
    </w:p>
    <w:p w:rsidR="009C575A" w:rsidRDefault="002F2CE8" w:rsidP="00F8437D">
      <w:pPr>
        <w:spacing w:after="0" w:line="240" w:lineRule="auto"/>
        <w:jc w:val="both"/>
        <w:rPr>
          <w:rFonts w:ascii="Times New Roman" w:eastAsia="Calibri" w:hAnsi="Times New Roman"/>
          <w:sz w:val="24"/>
          <w:szCs w:val="24"/>
        </w:rPr>
      </w:pPr>
      <w:r>
        <w:rPr>
          <w:noProof/>
        </w:rPr>
        <w:drawing>
          <wp:inline distT="0" distB="0" distL="0" distR="0" wp14:anchorId="0F9960FE" wp14:editId="0A2AB85C">
            <wp:extent cx="5757062" cy="3196742"/>
            <wp:effectExtent l="0" t="0" r="0" b="3810"/>
            <wp:docPr id="304" name="Graf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CE2A75" w:rsidRPr="00C431FF" w:rsidRDefault="00CE2A75" w:rsidP="00CE2A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VÚEPP, odhad MPRV</w:t>
      </w:r>
    </w:p>
    <w:p w:rsidR="00F8437D" w:rsidRPr="00F8437D" w:rsidRDefault="00F8437D" w:rsidP="00F8437D">
      <w:pPr>
        <w:spacing w:after="0" w:line="240" w:lineRule="auto"/>
        <w:jc w:val="both"/>
        <w:rPr>
          <w:rFonts w:ascii="Times New Roman" w:eastAsia="Calibri" w:hAnsi="Times New Roman"/>
          <w:sz w:val="24"/>
          <w:szCs w:val="24"/>
        </w:rPr>
      </w:pPr>
    </w:p>
    <w:p w:rsidR="00F8437D" w:rsidRPr="00F8437D" w:rsidRDefault="006631DA" w:rsidP="00F8437D">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Prognóza vývoja počtu </w:t>
      </w:r>
      <w:r w:rsidR="00F901D8">
        <w:rPr>
          <w:rFonts w:ascii="Times New Roman" w:eastAsia="Calibri" w:hAnsi="Times New Roman"/>
          <w:sz w:val="24"/>
          <w:szCs w:val="24"/>
        </w:rPr>
        <w:t>ošípaných a prasníc do roku 2020</w:t>
      </w:r>
      <w:r>
        <w:rPr>
          <w:rFonts w:ascii="Times New Roman" w:eastAsia="Calibri" w:hAnsi="Times New Roman"/>
          <w:sz w:val="24"/>
          <w:szCs w:val="24"/>
        </w:rPr>
        <w:t xml:space="preserve"> je založená na priemernom raste </w:t>
      </w:r>
      <w:r w:rsidR="00E53966">
        <w:rPr>
          <w:rFonts w:ascii="Times New Roman" w:eastAsia="Calibri" w:hAnsi="Times New Roman"/>
          <w:sz w:val="24"/>
          <w:szCs w:val="24"/>
        </w:rPr>
        <w:t xml:space="preserve">počtu prasníc o cca </w:t>
      </w:r>
      <w:r w:rsidR="00F901D8">
        <w:rPr>
          <w:rFonts w:ascii="Times New Roman" w:eastAsia="Calibri" w:hAnsi="Times New Roman"/>
          <w:sz w:val="24"/>
          <w:szCs w:val="24"/>
        </w:rPr>
        <w:t>7,4</w:t>
      </w:r>
      <w:r w:rsidR="00E53966">
        <w:rPr>
          <w:rFonts w:ascii="Times New Roman" w:eastAsia="Calibri" w:hAnsi="Times New Roman"/>
          <w:sz w:val="24"/>
          <w:szCs w:val="24"/>
        </w:rPr>
        <w:t xml:space="preserve"> % ročne a súčasnom priemernom raste ich reprodukčnej úžitkovosti na úrovni </w:t>
      </w:r>
      <w:r w:rsidR="00F901D8">
        <w:rPr>
          <w:rFonts w:ascii="Times New Roman" w:eastAsia="Calibri" w:hAnsi="Times New Roman"/>
          <w:sz w:val="24"/>
          <w:szCs w:val="24"/>
        </w:rPr>
        <w:t>6,6</w:t>
      </w:r>
      <w:r w:rsidR="00E53966">
        <w:rPr>
          <w:rFonts w:ascii="Times New Roman" w:eastAsia="Calibri" w:hAnsi="Times New Roman"/>
          <w:sz w:val="24"/>
          <w:szCs w:val="24"/>
        </w:rPr>
        <w:t xml:space="preserve"> % ročne. Cieľový stav v počte ošípaných predstavuje 91,76 % z úrovne ich počtu v roku 2002. </w:t>
      </w:r>
      <w:r w:rsidR="00CE2A75">
        <w:rPr>
          <w:rFonts w:ascii="Times New Roman" w:eastAsia="Calibri" w:hAnsi="Times New Roman"/>
          <w:sz w:val="24"/>
          <w:szCs w:val="24"/>
        </w:rPr>
        <w:t>Dosiahnutím cielených parametrov produkcie jatočných ošípaných vznikne v rámci prvovýroby potreba dodat</w:t>
      </w:r>
      <w:r w:rsidR="00D652DF">
        <w:rPr>
          <w:rFonts w:ascii="Times New Roman" w:eastAsia="Calibri" w:hAnsi="Times New Roman"/>
          <w:sz w:val="24"/>
          <w:szCs w:val="24"/>
        </w:rPr>
        <w:t>očných pracovných síl v počte 63</w:t>
      </w:r>
      <w:r w:rsidR="00CE2A75">
        <w:rPr>
          <w:rFonts w:ascii="Times New Roman" w:eastAsia="Calibri" w:hAnsi="Times New Roman"/>
          <w:sz w:val="24"/>
          <w:szCs w:val="24"/>
        </w:rPr>
        <w:t>0 osôb</w:t>
      </w:r>
      <w:r w:rsidR="00E53966">
        <w:rPr>
          <w:rFonts w:ascii="Times New Roman" w:eastAsia="Calibri" w:hAnsi="Times New Roman"/>
          <w:sz w:val="24"/>
          <w:szCs w:val="24"/>
        </w:rPr>
        <w:t xml:space="preserve">, pričom tento predpoklad je založený na normatíve 1 pracovník na 100 ks prasníc a 1 pracovník na produkciu odstavčiat na 100 ks prasníc. </w:t>
      </w:r>
    </w:p>
    <w:p w:rsidR="0028430F" w:rsidRDefault="0028430F" w:rsidP="00CE2A75">
      <w:pPr>
        <w:spacing w:after="0" w:line="240" w:lineRule="auto"/>
        <w:jc w:val="both"/>
        <w:rPr>
          <w:rFonts w:ascii="Times New Roman" w:eastAsia="Calibri" w:hAnsi="Times New Roman"/>
          <w:sz w:val="24"/>
          <w:szCs w:val="24"/>
        </w:rPr>
      </w:pPr>
    </w:p>
    <w:p w:rsidR="00E53966" w:rsidRPr="00177B7A" w:rsidRDefault="00C970F8" w:rsidP="00177B7A">
      <w:pPr>
        <w:tabs>
          <w:tab w:val="left"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t>Tab. č. 55</w:t>
      </w:r>
      <w:r w:rsidR="00177B7A" w:rsidRPr="00A855A4">
        <w:rPr>
          <w:rFonts w:ascii="Times New Roman" w:hAnsi="Times New Roman" w:cs="Times New Roman"/>
          <w:sz w:val="20"/>
          <w:szCs w:val="20"/>
        </w:rPr>
        <w:t xml:space="preserve">: </w:t>
      </w:r>
      <w:r w:rsidR="00177B7A">
        <w:rPr>
          <w:rFonts w:ascii="Times New Roman" w:hAnsi="Times New Roman" w:cs="Times New Roman"/>
          <w:sz w:val="20"/>
          <w:szCs w:val="20"/>
        </w:rPr>
        <w:tab/>
        <w:t>Prognóza dodatočného počtu pracovníkov v prvovýrobe ošípaných</w:t>
      </w:r>
      <w:r w:rsidR="003E07EB">
        <w:rPr>
          <w:rFonts w:ascii="Times New Roman" w:hAnsi="Times New Roman" w:cs="Times New Roman"/>
          <w:sz w:val="20"/>
          <w:szCs w:val="20"/>
        </w:rPr>
        <w:t>*</w:t>
      </w:r>
    </w:p>
    <w:tbl>
      <w:tblPr>
        <w:tblW w:w="9133" w:type="dxa"/>
        <w:tblInd w:w="55" w:type="dxa"/>
        <w:tblCellMar>
          <w:left w:w="70" w:type="dxa"/>
          <w:right w:w="70" w:type="dxa"/>
        </w:tblCellMar>
        <w:tblLook w:val="04A0" w:firstRow="1" w:lastRow="0" w:firstColumn="1" w:lastColumn="0" w:noHBand="0" w:noVBand="1"/>
      </w:tblPr>
      <w:tblGrid>
        <w:gridCol w:w="3701"/>
        <w:gridCol w:w="709"/>
        <w:gridCol w:w="708"/>
        <w:gridCol w:w="590"/>
        <w:gridCol w:w="709"/>
        <w:gridCol w:w="709"/>
        <w:gridCol w:w="708"/>
        <w:gridCol w:w="709"/>
        <w:gridCol w:w="590"/>
      </w:tblGrid>
      <w:tr w:rsidR="00007CBC" w:rsidRPr="00007CBC" w:rsidTr="00663D19">
        <w:trPr>
          <w:trHeight w:val="300"/>
        </w:trPr>
        <w:tc>
          <w:tcPr>
            <w:tcW w:w="3701" w:type="dxa"/>
            <w:tcBorders>
              <w:top w:val="single" w:sz="4" w:space="0" w:color="auto"/>
              <w:left w:val="nil"/>
              <w:bottom w:val="single" w:sz="4" w:space="0" w:color="auto"/>
              <w:right w:val="single" w:sz="4" w:space="0" w:color="auto"/>
            </w:tcBorders>
            <w:shd w:val="clear" w:color="000000" w:fill="D9D9D9"/>
            <w:noWrap/>
            <w:vAlign w:val="bottom"/>
            <w:hideMark/>
          </w:tcPr>
          <w:p w:rsidR="00007CBC" w:rsidRPr="00007CBC" w:rsidRDefault="00007CBC" w:rsidP="00007CBC">
            <w:pPr>
              <w:spacing w:after="0" w:line="240" w:lineRule="auto"/>
              <w:rPr>
                <w:rFonts w:ascii="Times New Roman" w:eastAsia="Times New Roman" w:hAnsi="Times New Roman" w:cs="Times New Roman"/>
                <w:b/>
                <w:bCs/>
                <w:color w:val="000000"/>
                <w:sz w:val="20"/>
                <w:szCs w:val="20"/>
              </w:rPr>
            </w:pPr>
            <w:r w:rsidRPr="00007CBC">
              <w:rPr>
                <w:rFonts w:ascii="Times New Roman" w:eastAsia="Times New Roman" w:hAnsi="Times New Roman" w:cs="Times New Roman"/>
                <w:b/>
                <w:bCs/>
                <w:color w:val="000000"/>
                <w:sz w:val="20"/>
                <w:szCs w:val="20"/>
              </w:rPr>
              <w:t> </w:t>
            </w:r>
          </w:p>
        </w:tc>
        <w:tc>
          <w:tcPr>
            <w:tcW w:w="709" w:type="dxa"/>
            <w:tcBorders>
              <w:top w:val="single" w:sz="4" w:space="0" w:color="auto"/>
              <w:left w:val="nil"/>
              <w:bottom w:val="single" w:sz="4" w:space="0" w:color="auto"/>
              <w:right w:val="nil"/>
            </w:tcBorders>
            <w:shd w:val="clear" w:color="000000" w:fill="D9D9D9"/>
            <w:noWrap/>
            <w:vAlign w:val="bottom"/>
            <w:hideMark/>
          </w:tcPr>
          <w:p w:rsidR="00007CBC" w:rsidRPr="00007CBC" w:rsidRDefault="00007CBC" w:rsidP="00007CBC">
            <w:pPr>
              <w:spacing w:after="0" w:line="240" w:lineRule="auto"/>
              <w:jc w:val="right"/>
              <w:rPr>
                <w:rFonts w:ascii="Times New Roman" w:eastAsia="Times New Roman" w:hAnsi="Times New Roman" w:cs="Times New Roman"/>
                <w:b/>
                <w:bCs/>
                <w:color w:val="000000"/>
                <w:sz w:val="20"/>
                <w:szCs w:val="20"/>
              </w:rPr>
            </w:pPr>
            <w:r w:rsidRPr="00007CBC">
              <w:rPr>
                <w:rFonts w:ascii="Times New Roman" w:eastAsia="Times New Roman" w:hAnsi="Times New Roman" w:cs="Times New Roman"/>
                <w:b/>
                <w:bCs/>
                <w:color w:val="000000"/>
                <w:sz w:val="20"/>
                <w:szCs w:val="20"/>
              </w:rPr>
              <w:t>2013</w:t>
            </w:r>
          </w:p>
        </w:tc>
        <w:tc>
          <w:tcPr>
            <w:tcW w:w="708" w:type="dxa"/>
            <w:tcBorders>
              <w:top w:val="single" w:sz="4" w:space="0" w:color="auto"/>
              <w:left w:val="nil"/>
              <w:bottom w:val="single" w:sz="4" w:space="0" w:color="auto"/>
              <w:right w:val="nil"/>
            </w:tcBorders>
            <w:shd w:val="clear" w:color="000000" w:fill="D9D9D9"/>
            <w:noWrap/>
            <w:vAlign w:val="bottom"/>
            <w:hideMark/>
          </w:tcPr>
          <w:p w:rsidR="00007CBC" w:rsidRPr="00007CBC" w:rsidRDefault="00007CBC" w:rsidP="00007CBC">
            <w:pPr>
              <w:spacing w:after="0" w:line="240" w:lineRule="auto"/>
              <w:jc w:val="right"/>
              <w:rPr>
                <w:rFonts w:ascii="Times New Roman" w:eastAsia="Times New Roman" w:hAnsi="Times New Roman" w:cs="Times New Roman"/>
                <w:b/>
                <w:bCs/>
                <w:color w:val="000000"/>
                <w:sz w:val="20"/>
                <w:szCs w:val="20"/>
              </w:rPr>
            </w:pPr>
            <w:r w:rsidRPr="00007CBC">
              <w:rPr>
                <w:rFonts w:ascii="Times New Roman" w:eastAsia="Times New Roman" w:hAnsi="Times New Roman" w:cs="Times New Roman"/>
                <w:b/>
                <w:bCs/>
                <w:color w:val="000000"/>
                <w:sz w:val="20"/>
                <w:szCs w:val="20"/>
              </w:rPr>
              <w:t>2014</w:t>
            </w:r>
          </w:p>
        </w:tc>
        <w:tc>
          <w:tcPr>
            <w:tcW w:w="590" w:type="dxa"/>
            <w:tcBorders>
              <w:top w:val="single" w:sz="4" w:space="0" w:color="auto"/>
              <w:left w:val="nil"/>
              <w:bottom w:val="single" w:sz="4" w:space="0" w:color="auto"/>
              <w:right w:val="nil"/>
            </w:tcBorders>
            <w:shd w:val="clear" w:color="000000" w:fill="D9D9D9"/>
            <w:noWrap/>
            <w:vAlign w:val="bottom"/>
            <w:hideMark/>
          </w:tcPr>
          <w:p w:rsidR="00007CBC" w:rsidRPr="00007CBC" w:rsidRDefault="00007CBC" w:rsidP="00007CBC">
            <w:pPr>
              <w:spacing w:after="0" w:line="240" w:lineRule="auto"/>
              <w:jc w:val="right"/>
              <w:rPr>
                <w:rFonts w:ascii="Times New Roman" w:eastAsia="Times New Roman" w:hAnsi="Times New Roman" w:cs="Times New Roman"/>
                <w:b/>
                <w:bCs/>
                <w:color w:val="000000"/>
                <w:sz w:val="20"/>
                <w:szCs w:val="20"/>
              </w:rPr>
            </w:pPr>
            <w:r w:rsidRPr="00007CBC">
              <w:rPr>
                <w:rFonts w:ascii="Times New Roman" w:eastAsia="Times New Roman" w:hAnsi="Times New Roman" w:cs="Times New Roman"/>
                <w:b/>
                <w:bCs/>
                <w:color w:val="000000"/>
                <w:sz w:val="20"/>
                <w:szCs w:val="20"/>
              </w:rPr>
              <w:t>2015</w:t>
            </w:r>
          </w:p>
        </w:tc>
        <w:tc>
          <w:tcPr>
            <w:tcW w:w="709" w:type="dxa"/>
            <w:tcBorders>
              <w:top w:val="single" w:sz="4" w:space="0" w:color="auto"/>
              <w:left w:val="nil"/>
              <w:bottom w:val="single" w:sz="4" w:space="0" w:color="auto"/>
              <w:right w:val="nil"/>
            </w:tcBorders>
            <w:shd w:val="clear" w:color="000000" w:fill="D9D9D9"/>
            <w:noWrap/>
            <w:vAlign w:val="bottom"/>
            <w:hideMark/>
          </w:tcPr>
          <w:p w:rsidR="00007CBC" w:rsidRPr="00007CBC" w:rsidRDefault="00007CBC" w:rsidP="00007CBC">
            <w:pPr>
              <w:spacing w:after="0" w:line="240" w:lineRule="auto"/>
              <w:jc w:val="right"/>
              <w:rPr>
                <w:rFonts w:ascii="Times New Roman" w:eastAsia="Times New Roman" w:hAnsi="Times New Roman" w:cs="Times New Roman"/>
                <w:b/>
                <w:bCs/>
                <w:color w:val="000000"/>
                <w:sz w:val="20"/>
                <w:szCs w:val="20"/>
              </w:rPr>
            </w:pPr>
            <w:r w:rsidRPr="00007CBC">
              <w:rPr>
                <w:rFonts w:ascii="Times New Roman" w:eastAsia="Times New Roman" w:hAnsi="Times New Roman" w:cs="Times New Roman"/>
                <w:b/>
                <w:bCs/>
                <w:color w:val="000000"/>
                <w:sz w:val="20"/>
                <w:szCs w:val="20"/>
              </w:rPr>
              <w:t>2016</w:t>
            </w:r>
          </w:p>
        </w:tc>
        <w:tc>
          <w:tcPr>
            <w:tcW w:w="709" w:type="dxa"/>
            <w:tcBorders>
              <w:top w:val="single" w:sz="4" w:space="0" w:color="auto"/>
              <w:left w:val="nil"/>
              <w:bottom w:val="single" w:sz="4" w:space="0" w:color="auto"/>
              <w:right w:val="nil"/>
            </w:tcBorders>
            <w:shd w:val="clear" w:color="000000" w:fill="D9D9D9"/>
            <w:noWrap/>
            <w:vAlign w:val="bottom"/>
            <w:hideMark/>
          </w:tcPr>
          <w:p w:rsidR="00007CBC" w:rsidRPr="00007CBC" w:rsidRDefault="00007CBC" w:rsidP="00007CBC">
            <w:pPr>
              <w:spacing w:after="0" w:line="240" w:lineRule="auto"/>
              <w:jc w:val="right"/>
              <w:rPr>
                <w:rFonts w:ascii="Times New Roman" w:eastAsia="Times New Roman" w:hAnsi="Times New Roman" w:cs="Times New Roman"/>
                <w:b/>
                <w:bCs/>
                <w:color w:val="000000"/>
                <w:sz w:val="20"/>
                <w:szCs w:val="20"/>
              </w:rPr>
            </w:pPr>
            <w:r w:rsidRPr="00007CBC">
              <w:rPr>
                <w:rFonts w:ascii="Times New Roman" w:eastAsia="Times New Roman" w:hAnsi="Times New Roman" w:cs="Times New Roman"/>
                <w:b/>
                <w:bCs/>
                <w:color w:val="000000"/>
                <w:sz w:val="20"/>
                <w:szCs w:val="20"/>
              </w:rPr>
              <w:t>2017</w:t>
            </w:r>
          </w:p>
        </w:tc>
        <w:tc>
          <w:tcPr>
            <w:tcW w:w="708" w:type="dxa"/>
            <w:tcBorders>
              <w:top w:val="single" w:sz="4" w:space="0" w:color="auto"/>
              <w:left w:val="nil"/>
              <w:bottom w:val="single" w:sz="4" w:space="0" w:color="auto"/>
              <w:right w:val="nil"/>
            </w:tcBorders>
            <w:shd w:val="clear" w:color="000000" w:fill="D9D9D9"/>
            <w:noWrap/>
            <w:vAlign w:val="bottom"/>
            <w:hideMark/>
          </w:tcPr>
          <w:p w:rsidR="00007CBC" w:rsidRPr="00007CBC" w:rsidRDefault="00007CBC" w:rsidP="00007CBC">
            <w:pPr>
              <w:spacing w:after="0" w:line="240" w:lineRule="auto"/>
              <w:jc w:val="right"/>
              <w:rPr>
                <w:rFonts w:ascii="Times New Roman" w:eastAsia="Times New Roman" w:hAnsi="Times New Roman" w:cs="Times New Roman"/>
                <w:b/>
                <w:bCs/>
                <w:color w:val="000000"/>
                <w:sz w:val="20"/>
                <w:szCs w:val="20"/>
              </w:rPr>
            </w:pPr>
            <w:r w:rsidRPr="00007CBC">
              <w:rPr>
                <w:rFonts w:ascii="Times New Roman" w:eastAsia="Times New Roman" w:hAnsi="Times New Roman" w:cs="Times New Roman"/>
                <w:b/>
                <w:bCs/>
                <w:color w:val="000000"/>
                <w:sz w:val="20"/>
                <w:szCs w:val="20"/>
              </w:rPr>
              <w:t>2018</w:t>
            </w:r>
          </w:p>
        </w:tc>
        <w:tc>
          <w:tcPr>
            <w:tcW w:w="709" w:type="dxa"/>
            <w:tcBorders>
              <w:top w:val="single" w:sz="4" w:space="0" w:color="auto"/>
              <w:left w:val="nil"/>
              <w:bottom w:val="single" w:sz="4" w:space="0" w:color="auto"/>
              <w:right w:val="nil"/>
            </w:tcBorders>
            <w:shd w:val="clear" w:color="000000" w:fill="D9D9D9"/>
            <w:noWrap/>
            <w:vAlign w:val="bottom"/>
            <w:hideMark/>
          </w:tcPr>
          <w:p w:rsidR="00007CBC" w:rsidRPr="00007CBC" w:rsidRDefault="00007CBC" w:rsidP="00007CBC">
            <w:pPr>
              <w:spacing w:after="0" w:line="240" w:lineRule="auto"/>
              <w:jc w:val="right"/>
              <w:rPr>
                <w:rFonts w:ascii="Times New Roman" w:eastAsia="Times New Roman" w:hAnsi="Times New Roman" w:cs="Times New Roman"/>
                <w:b/>
                <w:bCs/>
                <w:color w:val="000000"/>
                <w:sz w:val="20"/>
                <w:szCs w:val="20"/>
              </w:rPr>
            </w:pPr>
            <w:r w:rsidRPr="00007CBC">
              <w:rPr>
                <w:rFonts w:ascii="Times New Roman" w:eastAsia="Times New Roman" w:hAnsi="Times New Roman" w:cs="Times New Roman"/>
                <w:b/>
                <w:bCs/>
                <w:color w:val="000000"/>
                <w:sz w:val="20"/>
                <w:szCs w:val="20"/>
              </w:rPr>
              <w:t>2019</w:t>
            </w:r>
          </w:p>
        </w:tc>
        <w:tc>
          <w:tcPr>
            <w:tcW w:w="590" w:type="dxa"/>
            <w:tcBorders>
              <w:top w:val="single" w:sz="4" w:space="0" w:color="auto"/>
              <w:left w:val="nil"/>
              <w:bottom w:val="single" w:sz="4" w:space="0" w:color="auto"/>
              <w:right w:val="nil"/>
            </w:tcBorders>
            <w:shd w:val="clear" w:color="000000" w:fill="D9D9D9"/>
            <w:noWrap/>
            <w:vAlign w:val="bottom"/>
            <w:hideMark/>
          </w:tcPr>
          <w:p w:rsidR="00007CBC" w:rsidRPr="00007CBC" w:rsidRDefault="00007CBC" w:rsidP="00007CBC">
            <w:pPr>
              <w:spacing w:after="0" w:line="240" w:lineRule="auto"/>
              <w:jc w:val="right"/>
              <w:rPr>
                <w:rFonts w:ascii="Times New Roman" w:eastAsia="Times New Roman" w:hAnsi="Times New Roman" w:cs="Times New Roman"/>
                <w:b/>
                <w:bCs/>
                <w:color w:val="000000"/>
                <w:sz w:val="20"/>
                <w:szCs w:val="20"/>
              </w:rPr>
            </w:pPr>
            <w:r w:rsidRPr="00007CBC">
              <w:rPr>
                <w:rFonts w:ascii="Times New Roman" w:eastAsia="Times New Roman" w:hAnsi="Times New Roman" w:cs="Times New Roman"/>
                <w:b/>
                <w:bCs/>
                <w:color w:val="000000"/>
                <w:sz w:val="20"/>
                <w:szCs w:val="20"/>
              </w:rPr>
              <w:t>2020</w:t>
            </w:r>
          </w:p>
        </w:tc>
      </w:tr>
      <w:tr w:rsidR="00007CBC" w:rsidRPr="00007CBC" w:rsidTr="00A724CE">
        <w:trPr>
          <w:trHeight w:val="300"/>
        </w:trPr>
        <w:tc>
          <w:tcPr>
            <w:tcW w:w="3701" w:type="dxa"/>
            <w:tcBorders>
              <w:top w:val="nil"/>
              <w:left w:val="nil"/>
              <w:bottom w:val="nil"/>
              <w:right w:val="single" w:sz="4" w:space="0" w:color="auto"/>
            </w:tcBorders>
            <w:shd w:val="clear" w:color="auto" w:fill="auto"/>
            <w:noWrap/>
            <w:vAlign w:val="bottom"/>
            <w:hideMark/>
          </w:tcPr>
          <w:p w:rsidR="00007CBC" w:rsidRPr="00007CBC" w:rsidRDefault="00007CBC" w:rsidP="00007CBC">
            <w:pPr>
              <w:spacing w:after="0" w:line="240" w:lineRule="auto"/>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medziročný nárast počtu ošípaných v tis. ks</w:t>
            </w:r>
          </w:p>
        </w:tc>
        <w:tc>
          <w:tcPr>
            <w:tcW w:w="709" w:type="dxa"/>
            <w:tcBorders>
              <w:top w:val="nil"/>
              <w:left w:val="nil"/>
              <w:bottom w:val="nil"/>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53,3</w:t>
            </w:r>
          </w:p>
        </w:tc>
        <w:tc>
          <w:tcPr>
            <w:tcW w:w="708" w:type="dxa"/>
            <w:tcBorders>
              <w:top w:val="nil"/>
              <w:left w:val="nil"/>
              <w:bottom w:val="nil"/>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59,3</w:t>
            </w:r>
          </w:p>
        </w:tc>
        <w:tc>
          <w:tcPr>
            <w:tcW w:w="590" w:type="dxa"/>
            <w:tcBorders>
              <w:top w:val="nil"/>
              <w:left w:val="nil"/>
              <w:bottom w:val="nil"/>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66,0</w:t>
            </w:r>
          </w:p>
        </w:tc>
        <w:tc>
          <w:tcPr>
            <w:tcW w:w="709" w:type="dxa"/>
            <w:tcBorders>
              <w:top w:val="nil"/>
              <w:left w:val="nil"/>
              <w:bottom w:val="nil"/>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130,1</w:t>
            </w:r>
          </w:p>
        </w:tc>
        <w:tc>
          <w:tcPr>
            <w:tcW w:w="709" w:type="dxa"/>
            <w:tcBorders>
              <w:top w:val="nil"/>
              <w:left w:val="nil"/>
              <w:bottom w:val="nil"/>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234,1</w:t>
            </w:r>
          </w:p>
        </w:tc>
        <w:tc>
          <w:tcPr>
            <w:tcW w:w="708" w:type="dxa"/>
            <w:tcBorders>
              <w:top w:val="nil"/>
              <w:left w:val="nil"/>
              <w:bottom w:val="nil"/>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114,6</w:t>
            </w:r>
          </w:p>
        </w:tc>
        <w:tc>
          <w:tcPr>
            <w:tcW w:w="709" w:type="dxa"/>
            <w:tcBorders>
              <w:top w:val="nil"/>
              <w:left w:val="nil"/>
              <w:bottom w:val="nil"/>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225,8</w:t>
            </w:r>
          </w:p>
        </w:tc>
        <w:tc>
          <w:tcPr>
            <w:tcW w:w="590" w:type="dxa"/>
            <w:tcBorders>
              <w:top w:val="nil"/>
              <w:left w:val="nil"/>
              <w:bottom w:val="nil"/>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70,9</w:t>
            </w:r>
          </w:p>
        </w:tc>
      </w:tr>
      <w:tr w:rsidR="00007CBC" w:rsidRPr="00007CBC" w:rsidTr="00A724CE">
        <w:trPr>
          <w:trHeight w:val="300"/>
        </w:trPr>
        <w:tc>
          <w:tcPr>
            <w:tcW w:w="3701" w:type="dxa"/>
            <w:tcBorders>
              <w:top w:val="nil"/>
              <w:left w:val="nil"/>
              <w:bottom w:val="nil"/>
              <w:right w:val="single" w:sz="4" w:space="0" w:color="auto"/>
            </w:tcBorders>
            <w:shd w:val="clear" w:color="000000" w:fill="F2F2F2"/>
            <w:noWrap/>
            <w:vAlign w:val="bottom"/>
            <w:hideMark/>
          </w:tcPr>
          <w:p w:rsidR="00007CBC" w:rsidRPr="00007CBC" w:rsidRDefault="00007CBC" w:rsidP="00007CBC">
            <w:pPr>
              <w:spacing w:after="0" w:line="240" w:lineRule="auto"/>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medziročný nárast počtu prasníc v tis. ks</w:t>
            </w:r>
          </w:p>
        </w:tc>
        <w:tc>
          <w:tcPr>
            <w:tcW w:w="709" w:type="dxa"/>
            <w:tcBorders>
              <w:top w:val="nil"/>
              <w:left w:val="nil"/>
              <w:bottom w:val="nil"/>
              <w:right w:val="nil"/>
            </w:tcBorders>
            <w:shd w:val="clear" w:color="000000" w:fill="F2F2F2"/>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3,5</w:t>
            </w:r>
          </w:p>
        </w:tc>
        <w:tc>
          <w:tcPr>
            <w:tcW w:w="708" w:type="dxa"/>
            <w:tcBorders>
              <w:top w:val="nil"/>
              <w:left w:val="nil"/>
              <w:bottom w:val="nil"/>
              <w:right w:val="nil"/>
            </w:tcBorders>
            <w:shd w:val="clear" w:color="000000" w:fill="F2F2F2"/>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3,0</w:t>
            </w:r>
          </w:p>
        </w:tc>
        <w:tc>
          <w:tcPr>
            <w:tcW w:w="590" w:type="dxa"/>
            <w:tcBorders>
              <w:top w:val="nil"/>
              <w:left w:val="nil"/>
              <w:bottom w:val="nil"/>
              <w:right w:val="nil"/>
            </w:tcBorders>
            <w:shd w:val="clear" w:color="000000" w:fill="F2F2F2"/>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1,5</w:t>
            </w:r>
          </w:p>
        </w:tc>
        <w:tc>
          <w:tcPr>
            <w:tcW w:w="709" w:type="dxa"/>
            <w:tcBorders>
              <w:top w:val="nil"/>
              <w:left w:val="nil"/>
              <w:bottom w:val="nil"/>
              <w:right w:val="nil"/>
            </w:tcBorders>
            <w:shd w:val="clear" w:color="000000" w:fill="F2F2F2"/>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3,9</w:t>
            </w:r>
          </w:p>
        </w:tc>
        <w:tc>
          <w:tcPr>
            <w:tcW w:w="709" w:type="dxa"/>
            <w:tcBorders>
              <w:top w:val="nil"/>
              <w:left w:val="nil"/>
              <w:bottom w:val="nil"/>
              <w:right w:val="nil"/>
            </w:tcBorders>
            <w:shd w:val="clear" w:color="000000" w:fill="F2F2F2"/>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13,1</w:t>
            </w:r>
          </w:p>
        </w:tc>
        <w:tc>
          <w:tcPr>
            <w:tcW w:w="708" w:type="dxa"/>
            <w:tcBorders>
              <w:top w:val="nil"/>
              <w:left w:val="nil"/>
              <w:bottom w:val="nil"/>
              <w:right w:val="nil"/>
            </w:tcBorders>
            <w:shd w:val="clear" w:color="000000" w:fill="F2F2F2"/>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3,0</w:t>
            </w:r>
          </w:p>
        </w:tc>
        <w:tc>
          <w:tcPr>
            <w:tcW w:w="709" w:type="dxa"/>
            <w:tcBorders>
              <w:top w:val="nil"/>
              <w:left w:val="nil"/>
              <w:bottom w:val="nil"/>
              <w:right w:val="nil"/>
            </w:tcBorders>
            <w:shd w:val="clear" w:color="000000" w:fill="F2F2F2"/>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3,1</w:t>
            </w:r>
          </w:p>
        </w:tc>
        <w:tc>
          <w:tcPr>
            <w:tcW w:w="590" w:type="dxa"/>
            <w:tcBorders>
              <w:top w:val="nil"/>
              <w:left w:val="nil"/>
              <w:bottom w:val="nil"/>
              <w:right w:val="nil"/>
            </w:tcBorders>
            <w:shd w:val="clear" w:color="000000" w:fill="F2F2F2"/>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0,5</w:t>
            </w:r>
          </w:p>
        </w:tc>
      </w:tr>
      <w:tr w:rsidR="00663D19" w:rsidRPr="00007CBC" w:rsidTr="00A724CE">
        <w:trPr>
          <w:trHeight w:val="525"/>
        </w:trPr>
        <w:tc>
          <w:tcPr>
            <w:tcW w:w="3701" w:type="dxa"/>
            <w:tcBorders>
              <w:top w:val="nil"/>
              <w:left w:val="nil"/>
              <w:bottom w:val="nil"/>
              <w:right w:val="single" w:sz="4" w:space="0" w:color="auto"/>
            </w:tcBorders>
            <w:shd w:val="clear" w:color="auto" w:fill="auto"/>
            <w:vAlign w:val="bottom"/>
            <w:hideMark/>
          </w:tcPr>
          <w:p w:rsidR="00007CBC" w:rsidRPr="00007CBC" w:rsidRDefault="00007CBC" w:rsidP="00007CBC">
            <w:pPr>
              <w:spacing w:after="0" w:line="240" w:lineRule="auto"/>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vývoj reprodukčnej úžitkovosti prasníc v počte odstavčiat na 1 prasnicu</w:t>
            </w:r>
          </w:p>
        </w:tc>
        <w:tc>
          <w:tcPr>
            <w:tcW w:w="709" w:type="dxa"/>
            <w:tcBorders>
              <w:top w:val="nil"/>
              <w:left w:val="nil"/>
              <w:bottom w:val="nil"/>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12,50</w:t>
            </w:r>
          </w:p>
        </w:tc>
        <w:tc>
          <w:tcPr>
            <w:tcW w:w="708" w:type="dxa"/>
            <w:tcBorders>
              <w:top w:val="nil"/>
              <w:left w:val="nil"/>
              <w:bottom w:val="nil"/>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13,00</w:t>
            </w:r>
          </w:p>
        </w:tc>
        <w:tc>
          <w:tcPr>
            <w:tcW w:w="590" w:type="dxa"/>
            <w:tcBorders>
              <w:top w:val="nil"/>
              <w:left w:val="nil"/>
              <w:bottom w:val="nil"/>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14,00</w:t>
            </w:r>
          </w:p>
        </w:tc>
        <w:tc>
          <w:tcPr>
            <w:tcW w:w="709" w:type="dxa"/>
            <w:tcBorders>
              <w:top w:val="nil"/>
              <w:left w:val="nil"/>
              <w:bottom w:val="nil"/>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15,50</w:t>
            </w:r>
          </w:p>
        </w:tc>
        <w:tc>
          <w:tcPr>
            <w:tcW w:w="709" w:type="dxa"/>
            <w:tcBorders>
              <w:top w:val="nil"/>
              <w:left w:val="nil"/>
              <w:bottom w:val="nil"/>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16,00</w:t>
            </w:r>
          </w:p>
        </w:tc>
        <w:tc>
          <w:tcPr>
            <w:tcW w:w="708" w:type="dxa"/>
            <w:tcBorders>
              <w:top w:val="nil"/>
              <w:left w:val="nil"/>
              <w:bottom w:val="nil"/>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17,00</w:t>
            </w:r>
          </w:p>
        </w:tc>
        <w:tc>
          <w:tcPr>
            <w:tcW w:w="709" w:type="dxa"/>
            <w:tcBorders>
              <w:top w:val="nil"/>
              <w:left w:val="nil"/>
              <w:bottom w:val="nil"/>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19,50</w:t>
            </w:r>
          </w:p>
        </w:tc>
        <w:tc>
          <w:tcPr>
            <w:tcW w:w="590" w:type="dxa"/>
            <w:tcBorders>
              <w:top w:val="nil"/>
              <w:left w:val="nil"/>
              <w:bottom w:val="nil"/>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20,37</w:t>
            </w:r>
          </w:p>
        </w:tc>
      </w:tr>
      <w:tr w:rsidR="00007CBC" w:rsidRPr="00007CBC" w:rsidTr="00A724CE">
        <w:trPr>
          <w:trHeight w:val="300"/>
        </w:trPr>
        <w:tc>
          <w:tcPr>
            <w:tcW w:w="3701" w:type="dxa"/>
            <w:tcBorders>
              <w:top w:val="nil"/>
              <w:left w:val="nil"/>
              <w:bottom w:val="nil"/>
              <w:right w:val="single" w:sz="4" w:space="0" w:color="auto"/>
            </w:tcBorders>
            <w:shd w:val="clear" w:color="000000" w:fill="F2F2F2"/>
            <w:noWrap/>
            <w:vAlign w:val="bottom"/>
            <w:hideMark/>
          </w:tcPr>
          <w:p w:rsidR="00007CBC" w:rsidRPr="00007CBC" w:rsidRDefault="00007CBC" w:rsidP="00007CBC">
            <w:pPr>
              <w:spacing w:after="0" w:line="240" w:lineRule="auto"/>
              <w:rPr>
                <w:rFonts w:ascii="Times New Roman" w:eastAsia="Times New Roman" w:hAnsi="Times New Roman" w:cs="Times New Roman"/>
                <w:b/>
                <w:color w:val="000000"/>
                <w:sz w:val="20"/>
                <w:szCs w:val="20"/>
              </w:rPr>
            </w:pPr>
            <w:r w:rsidRPr="00007CBC">
              <w:rPr>
                <w:rFonts w:ascii="Times New Roman" w:eastAsia="Times New Roman" w:hAnsi="Times New Roman" w:cs="Times New Roman"/>
                <w:b/>
                <w:color w:val="000000"/>
                <w:sz w:val="20"/>
                <w:szCs w:val="20"/>
              </w:rPr>
              <w:t>dodatočný počet zamestnancov v osobách</w:t>
            </w:r>
          </w:p>
        </w:tc>
        <w:tc>
          <w:tcPr>
            <w:tcW w:w="709" w:type="dxa"/>
            <w:tcBorders>
              <w:top w:val="nil"/>
              <w:left w:val="nil"/>
              <w:bottom w:val="nil"/>
              <w:right w:val="nil"/>
            </w:tcBorders>
            <w:shd w:val="clear" w:color="000000" w:fill="F2F2F2"/>
            <w:noWrap/>
            <w:vAlign w:val="center"/>
            <w:hideMark/>
          </w:tcPr>
          <w:p w:rsidR="00007CBC" w:rsidRPr="00007CBC" w:rsidRDefault="00007CBC" w:rsidP="00A724CE">
            <w:pPr>
              <w:spacing w:after="0" w:line="240" w:lineRule="auto"/>
              <w:jc w:val="right"/>
              <w:rPr>
                <w:rFonts w:ascii="Times New Roman" w:eastAsia="Times New Roman" w:hAnsi="Times New Roman" w:cs="Times New Roman"/>
                <w:b/>
                <w:color w:val="000000"/>
                <w:sz w:val="20"/>
                <w:szCs w:val="20"/>
              </w:rPr>
            </w:pPr>
            <w:r w:rsidRPr="00007CBC">
              <w:rPr>
                <w:rFonts w:ascii="Times New Roman" w:eastAsia="Times New Roman" w:hAnsi="Times New Roman" w:cs="Times New Roman"/>
                <w:b/>
                <w:color w:val="000000"/>
                <w:sz w:val="20"/>
                <w:szCs w:val="20"/>
              </w:rPr>
              <w:t>70</w:t>
            </w:r>
          </w:p>
        </w:tc>
        <w:tc>
          <w:tcPr>
            <w:tcW w:w="708" w:type="dxa"/>
            <w:tcBorders>
              <w:top w:val="nil"/>
              <w:left w:val="nil"/>
              <w:bottom w:val="nil"/>
              <w:right w:val="nil"/>
            </w:tcBorders>
            <w:shd w:val="clear" w:color="000000" w:fill="F2F2F2"/>
            <w:noWrap/>
            <w:vAlign w:val="center"/>
            <w:hideMark/>
          </w:tcPr>
          <w:p w:rsidR="00007CBC" w:rsidRPr="00007CBC" w:rsidRDefault="00007CBC" w:rsidP="00A724CE">
            <w:pPr>
              <w:spacing w:after="0" w:line="240" w:lineRule="auto"/>
              <w:jc w:val="right"/>
              <w:rPr>
                <w:rFonts w:ascii="Times New Roman" w:eastAsia="Times New Roman" w:hAnsi="Times New Roman" w:cs="Times New Roman"/>
                <w:b/>
                <w:color w:val="000000"/>
                <w:sz w:val="20"/>
                <w:szCs w:val="20"/>
              </w:rPr>
            </w:pPr>
            <w:r w:rsidRPr="00007CBC">
              <w:rPr>
                <w:rFonts w:ascii="Times New Roman" w:eastAsia="Times New Roman" w:hAnsi="Times New Roman" w:cs="Times New Roman"/>
                <w:b/>
                <w:color w:val="000000"/>
                <w:sz w:val="20"/>
                <w:szCs w:val="20"/>
              </w:rPr>
              <w:t>59</w:t>
            </w:r>
          </w:p>
        </w:tc>
        <w:tc>
          <w:tcPr>
            <w:tcW w:w="590" w:type="dxa"/>
            <w:tcBorders>
              <w:top w:val="nil"/>
              <w:left w:val="nil"/>
              <w:bottom w:val="nil"/>
              <w:right w:val="nil"/>
            </w:tcBorders>
            <w:shd w:val="clear" w:color="000000" w:fill="F2F2F2"/>
            <w:noWrap/>
            <w:vAlign w:val="center"/>
            <w:hideMark/>
          </w:tcPr>
          <w:p w:rsidR="00007CBC" w:rsidRPr="00007CBC" w:rsidRDefault="00007CBC" w:rsidP="00A724CE">
            <w:pPr>
              <w:spacing w:after="0" w:line="240" w:lineRule="auto"/>
              <w:jc w:val="right"/>
              <w:rPr>
                <w:rFonts w:ascii="Times New Roman" w:eastAsia="Times New Roman" w:hAnsi="Times New Roman" w:cs="Times New Roman"/>
                <w:b/>
                <w:color w:val="000000"/>
                <w:sz w:val="20"/>
                <w:szCs w:val="20"/>
              </w:rPr>
            </w:pPr>
            <w:r w:rsidRPr="00007CBC">
              <w:rPr>
                <w:rFonts w:ascii="Times New Roman" w:eastAsia="Times New Roman" w:hAnsi="Times New Roman" w:cs="Times New Roman"/>
                <w:b/>
                <w:color w:val="000000"/>
                <w:sz w:val="20"/>
                <w:szCs w:val="20"/>
              </w:rPr>
              <w:t>30</w:t>
            </w:r>
          </w:p>
        </w:tc>
        <w:tc>
          <w:tcPr>
            <w:tcW w:w="709" w:type="dxa"/>
            <w:tcBorders>
              <w:top w:val="nil"/>
              <w:left w:val="nil"/>
              <w:bottom w:val="nil"/>
              <w:right w:val="nil"/>
            </w:tcBorders>
            <w:shd w:val="clear" w:color="000000" w:fill="F2F2F2"/>
            <w:noWrap/>
            <w:vAlign w:val="center"/>
            <w:hideMark/>
          </w:tcPr>
          <w:p w:rsidR="00007CBC" w:rsidRPr="00007CBC" w:rsidRDefault="00007CBC" w:rsidP="00A724CE">
            <w:pPr>
              <w:spacing w:after="0" w:line="240" w:lineRule="auto"/>
              <w:jc w:val="right"/>
              <w:rPr>
                <w:rFonts w:ascii="Times New Roman" w:eastAsia="Times New Roman" w:hAnsi="Times New Roman" w:cs="Times New Roman"/>
                <w:b/>
                <w:color w:val="000000"/>
                <w:sz w:val="20"/>
                <w:szCs w:val="20"/>
              </w:rPr>
            </w:pPr>
            <w:r w:rsidRPr="00007CBC">
              <w:rPr>
                <w:rFonts w:ascii="Times New Roman" w:eastAsia="Times New Roman" w:hAnsi="Times New Roman" w:cs="Times New Roman"/>
                <w:b/>
                <w:color w:val="000000"/>
                <w:sz w:val="20"/>
                <w:szCs w:val="20"/>
              </w:rPr>
              <w:t>78</w:t>
            </w:r>
          </w:p>
        </w:tc>
        <w:tc>
          <w:tcPr>
            <w:tcW w:w="709" w:type="dxa"/>
            <w:tcBorders>
              <w:top w:val="nil"/>
              <w:left w:val="nil"/>
              <w:bottom w:val="nil"/>
              <w:right w:val="nil"/>
            </w:tcBorders>
            <w:shd w:val="clear" w:color="000000" w:fill="F2F2F2"/>
            <w:noWrap/>
            <w:vAlign w:val="center"/>
            <w:hideMark/>
          </w:tcPr>
          <w:p w:rsidR="00007CBC" w:rsidRPr="00007CBC" w:rsidRDefault="00007CBC" w:rsidP="00A724CE">
            <w:pPr>
              <w:spacing w:after="0" w:line="240" w:lineRule="auto"/>
              <w:jc w:val="right"/>
              <w:rPr>
                <w:rFonts w:ascii="Times New Roman" w:eastAsia="Times New Roman" w:hAnsi="Times New Roman" w:cs="Times New Roman"/>
                <w:b/>
                <w:color w:val="000000"/>
                <w:sz w:val="20"/>
                <w:szCs w:val="20"/>
              </w:rPr>
            </w:pPr>
            <w:r w:rsidRPr="00007CBC">
              <w:rPr>
                <w:rFonts w:ascii="Times New Roman" w:eastAsia="Times New Roman" w:hAnsi="Times New Roman" w:cs="Times New Roman"/>
                <w:b/>
                <w:color w:val="000000"/>
                <w:sz w:val="20"/>
                <w:szCs w:val="20"/>
              </w:rPr>
              <w:t>261</w:t>
            </w:r>
          </w:p>
        </w:tc>
        <w:tc>
          <w:tcPr>
            <w:tcW w:w="708" w:type="dxa"/>
            <w:tcBorders>
              <w:top w:val="nil"/>
              <w:left w:val="nil"/>
              <w:bottom w:val="nil"/>
              <w:right w:val="nil"/>
            </w:tcBorders>
            <w:shd w:val="clear" w:color="000000" w:fill="F2F2F2"/>
            <w:noWrap/>
            <w:vAlign w:val="center"/>
            <w:hideMark/>
          </w:tcPr>
          <w:p w:rsidR="00007CBC" w:rsidRPr="00007CBC" w:rsidRDefault="00007CBC" w:rsidP="00A724CE">
            <w:pPr>
              <w:spacing w:after="0" w:line="240" w:lineRule="auto"/>
              <w:jc w:val="right"/>
              <w:rPr>
                <w:rFonts w:ascii="Times New Roman" w:eastAsia="Times New Roman" w:hAnsi="Times New Roman" w:cs="Times New Roman"/>
                <w:b/>
                <w:color w:val="000000"/>
                <w:sz w:val="20"/>
                <w:szCs w:val="20"/>
              </w:rPr>
            </w:pPr>
            <w:r w:rsidRPr="00007CBC">
              <w:rPr>
                <w:rFonts w:ascii="Times New Roman" w:eastAsia="Times New Roman" w:hAnsi="Times New Roman" w:cs="Times New Roman"/>
                <w:b/>
                <w:color w:val="000000"/>
                <w:sz w:val="20"/>
                <w:szCs w:val="20"/>
              </w:rPr>
              <w:t>60</w:t>
            </w:r>
          </w:p>
        </w:tc>
        <w:tc>
          <w:tcPr>
            <w:tcW w:w="709" w:type="dxa"/>
            <w:tcBorders>
              <w:top w:val="nil"/>
              <w:left w:val="nil"/>
              <w:bottom w:val="nil"/>
              <w:right w:val="nil"/>
            </w:tcBorders>
            <w:shd w:val="clear" w:color="000000" w:fill="F2F2F2"/>
            <w:noWrap/>
            <w:vAlign w:val="center"/>
            <w:hideMark/>
          </w:tcPr>
          <w:p w:rsidR="00007CBC" w:rsidRPr="00007CBC" w:rsidRDefault="00007CBC" w:rsidP="00A724CE">
            <w:pPr>
              <w:spacing w:after="0" w:line="240" w:lineRule="auto"/>
              <w:jc w:val="right"/>
              <w:rPr>
                <w:rFonts w:ascii="Times New Roman" w:eastAsia="Times New Roman" w:hAnsi="Times New Roman" w:cs="Times New Roman"/>
                <w:b/>
                <w:color w:val="000000"/>
                <w:sz w:val="20"/>
                <w:szCs w:val="20"/>
              </w:rPr>
            </w:pPr>
            <w:r w:rsidRPr="00007CBC">
              <w:rPr>
                <w:rFonts w:ascii="Times New Roman" w:eastAsia="Times New Roman" w:hAnsi="Times New Roman" w:cs="Times New Roman"/>
                <w:b/>
                <w:color w:val="000000"/>
                <w:sz w:val="20"/>
                <w:szCs w:val="20"/>
              </w:rPr>
              <w:t>61</w:t>
            </w:r>
          </w:p>
        </w:tc>
        <w:tc>
          <w:tcPr>
            <w:tcW w:w="590" w:type="dxa"/>
            <w:tcBorders>
              <w:top w:val="nil"/>
              <w:left w:val="nil"/>
              <w:bottom w:val="nil"/>
              <w:right w:val="nil"/>
            </w:tcBorders>
            <w:shd w:val="clear" w:color="000000" w:fill="F2F2F2"/>
            <w:noWrap/>
            <w:vAlign w:val="center"/>
            <w:hideMark/>
          </w:tcPr>
          <w:p w:rsidR="00007CBC" w:rsidRPr="00007CBC" w:rsidRDefault="005C3069" w:rsidP="00A724CE">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w:t>
            </w:r>
          </w:p>
        </w:tc>
      </w:tr>
      <w:tr w:rsidR="00663D19" w:rsidRPr="00007CBC" w:rsidTr="00A724CE">
        <w:trPr>
          <w:trHeight w:val="780"/>
        </w:trPr>
        <w:tc>
          <w:tcPr>
            <w:tcW w:w="3701" w:type="dxa"/>
            <w:tcBorders>
              <w:top w:val="nil"/>
              <w:left w:val="nil"/>
              <w:bottom w:val="single" w:sz="4" w:space="0" w:color="auto"/>
              <w:right w:val="single" w:sz="4" w:space="0" w:color="auto"/>
            </w:tcBorders>
            <w:shd w:val="clear" w:color="auto" w:fill="auto"/>
            <w:vAlign w:val="bottom"/>
            <w:hideMark/>
          </w:tcPr>
          <w:p w:rsidR="00007CBC" w:rsidRPr="00007CBC" w:rsidRDefault="00007CBC" w:rsidP="00007CBC">
            <w:pPr>
              <w:spacing w:after="0" w:line="240" w:lineRule="auto"/>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potreba finančných prostriedkov na rekonštrukciu prvovýrobných kapacít  v tis. EUR</w:t>
            </w:r>
          </w:p>
        </w:tc>
        <w:tc>
          <w:tcPr>
            <w:tcW w:w="709" w:type="dxa"/>
            <w:tcBorders>
              <w:top w:val="nil"/>
              <w:left w:val="nil"/>
              <w:bottom w:val="single" w:sz="4" w:space="0" w:color="auto"/>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434</w:t>
            </w:r>
          </w:p>
        </w:tc>
        <w:tc>
          <w:tcPr>
            <w:tcW w:w="708" w:type="dxa"/>
            <w:tcBorders>
              <w:top w:val="nil"/>
              <w:left w:val="nil"/>
              <w:bottom w:val="single" w:sz="4" w:space="0" w:color="auto"/>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483</w:t>
            </w:r>
          </w:p>
        </w:tc>
        <w:tc>
          <w:tcPr>
            <w:tcW w:w="590" w:type="dxa"/>
            <w:tcBorders>
              <w:top w:val="nil"/>
              <w:left w:val="nil"/>
              <w:bottom w:val="single" w:sz="4" w:space="0" w:color="auto"/>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537</w:t>
            </w:r>
          </w:p>
        </w:tc>
        <w:tc>
          <w:tcPr>
            <w:tcW w:w="709" w:type="dxa"/>
            <w:tcBorders>
              <w:top w:val="nil"/>
              <w:left w:val="nil"/>
              <w:bottom w:val="single" w:sz="4" w:space="0" w:color="auto"/>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1 059</w:t>
            </w:r>
          </w:p>
        </w:tc>
        <w:tc>
          <w:tcPr>
            <w:tcW w:w="709" w:type="dxa"/>
            <w:tcBorders>
              <w:top w:val="nil"/>
              <w:left w:val="nil"/>
              <w:bottom w:val="single" w:sz="4" w:space="0" w:color="auto"/>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1 906</w:t>
            </w:r>
          </w:p>
        </w:tc>
        <w:tc>
          <w:tcPr>
            <w:tcW w:w="708" w:type="dxa"/>
            <w:tcBorders>
              <w:top w:val="nil"/>
              <w:left w:val="nil"/>
              <w:bottom w:val="single" w:sz="4" w:space="0" w:color="auto"/>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933</w:t>
            </w:r>
          </w:p>
        </w:tc>
        <w:tc>
          <w:tcPr>
            <w:tcW w:w="709" w:type="dxa"/>
            <w:tcBorders>
              <w:top w:val="nil"/>
              <w:left w:val="nil"/>
              <w:bottom w:val="single" w:sz="4" w:space="0" w:color="auto"/>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1 838</w:t>
            </w:r>
          </w:p>
        </w:tc>
        <w:tc>
          <w:tcPr>
            <w:tcW w:w="590" w:type="dxa"/>
            <w:tcBorders>
              <w:top w:val="nil"/>
              <w:left w:val="nil"/>
              <w:bottom w:val="single" w:sz="4" w:space="0" w:color="auto"/>
              <w:right w:val="nil"/>
            </w:tcBorders>
            <w:shd w:val="clear" w:color="auto" w:fill="auto"/>
            <w:noWrap/>
            <w:vAlign w:val="center"/>
            <w:hideMark/>
          </w:tcPr>
          <w:p w:rsidR="00007CBC" w:rsidRPr="00007CBC" w:rsidRDefault="00007CBC" w:rsidP="00A724CE">
            <w:pPr>
              <w:spacing w:after="0" w:line="240" w:lineRule="auto"/>
              <w:jc w:val="right"/>
              <w:rPr>
                <w:rFonts w:ascii="Times New Roman" w:eastAsia="Times New Roman" w:hAnsi="Times New Roman" w:cs="Times New Roman"/>
                <w:color w:val="000000"/>
                <w:sz w:val="20"/>
                <w:szCs w:val="20"/>
              </w:rPr>
            </w:pPr>
            <w:r w:rsidRPr="00007CBC">
              <w:rPr>
                <w:rFonts w:ascii="Times New Roman" w:eastAsia="Times New Roman" w:hAnsi="Times New Roman" w:cs="Times New Roman"/>
                <w:color w:val="000000"/>
                <w:sz w:val="20"/>
                <w:szCs w:val="20"/>
              </w:rPr>
              <w:t>577</w:t>
            </w:r>
          </w:p>
        </w:tc>
      </w:tr>
    </w:tbl>
    <w:p w:rsidR="0028430F" w:rsidRPr="003E07EB" w:rsidRDefault="003E07EB" w:rsidP="00CE2A75">
      <w:pPr>
        <w:spacing w:after="0" w:line="240" w:lineRule="auto"/>
        <w:jc w:val="both"/>
        <w:rPr>
          <w:rFonts w:ascii="Times New Roman" w:eastAsia="Calibri" w:hAnsi="Times New Roman"/>
          <w:sz w:val="20"/>
          <w:szCs w:val="20"/>
        </w:rPr>
      </w:pPr>
      <w:r w:rsidRPr="003E07EB">
        <w:rPr>
          <w:rFonts w:ascii="Times New Roman" w:eastAsia="Calibri" w:hAnsi="Times New Roman"/>
          <w:sz w:val="20"/>
          <w:szCs w:val="20"/>
        </w:rPr>
        <w:t xml:space="preserve">*Pozn.: celkový prírastok je vyšší oproti výpočtom, </w:t>
      </w:r>
      <w:r>
        <w:rPr>
          <w:rFonts w:ascii="Times New Roman" w:eastAsia="Calibri" w:hAnsi="Times New Roman"/>
          <w:sz w:val="20"/>
          <w:szCs w:val="20"/>
        </w:rPr>
        <w:t>nakoľko</w:t>
      </w:r>
      <w:r w:rsidRPr="003E07EB">
        <w:rPr>
          <w:rFonts w:ascii="Times New Roman" w:eastAsia="Calibri" w:hAnsi="Times New Roman"/>
          <w:sz w:val="20"/>
          <w:szCs w:val="20"/>
        </w:rPr>
        <w:t xml:space="preserve"> v roku 2012 predpoklad</w:t>
      </w:r>
      <w:r>
        <w:rPr>
          <w:rFonts w:ascii="Times New Roman" w:eastAsia="Calibri" w:hAnsi="Times New Roman"/>
          <w:sz w:val="20"/>
          <w:szCs w:val="20"/>
        </w:rPr>
        <w:t>áme</w:t>
      </w:r>
      <w:r w:rsidR="005C3069">
        <w:rPr>
          <w:rFonts w:ascii="Times New Roman" w:eastAsia="Calibri" w:hAnsi="Times New Roman"/>
          <w:sz w:val="20"/>
          <w:szCs w:val="20"/>
        </w:rPr>
        <w:t xml:space="preserve"> </w:t>
      </w:r>
      <w:r>
        <w:rPr>
          <w:rFonts w:ascii="Times New Roman" w:eastAsia="Calibri" w:hAnsi="Times New Roman"/>
          <w:sz w:val="20"/>
          <w:szCs w:val="20"/>
        </w:rPr>
        <w:t>ďalšie zníženie</w:t>
      </w:r>
      <w:r w:rsidRPr="003E07EB">
        <w:rPr>
          <w:rFonts w:ascii="Times New Roman" w:eastAsia="Calibri" w:hAnsi="Times New Roman"/>
          <w:sz w:val="20"/>
          <w:szCs w:val="20"/>
        </w:rPr>
        <w:t xml:space="preserve"> stavov ošípaných</w:t>
      </w:r>
    </w:p>
    <w:p w:rsidR="003E07EB" w:rsidRPr="00C431FF" w:rsidRDefault="003E07EB" w:rsidP="003E07E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odhad MPRV</w:t>
      </w:r>
    </w:p>
    <w:p w:rsidR="00767936" w:rsidRDefault="00767936" w:rsidP="00CE2A75">
      <w:pPr>
        <w:spacing w:after="0" w:line="240" w:lineRule="auto"/>
        <w:jc w:val="both"/>
        <w:rPr>
          <w:rFonts w:ascii="Times New Roman" w:eastAsia="Calibri" w:hAnsi="Times New Roman"/>
          <w:sz w:val="24"/>
          <w:szCs w:val="24"/>
        </w:rPr>
      </w:pPr>
    </w:p>
    <w:p w:rsidR="00177B7A" w:rsidRDefault="00DE6083" w:rsidP="00CE2A7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Prvovýrobné kapacity, t.j. kapacity chovov, z hľadiska plánovaného zvýšenia stavov ošípaných, postačujú, avšak vzhľadom na to, že väčšina je v súčasnosti nevyužívaná, </w:t>
      </w:r>
      <w:r>
        <w:rPr>
          <w:rFonts w:ascii="Times New Roman" w:eastAsia="Calibri" w:hAnsi="Times New Roman"/>
          <w:sz w:val="24"/>
          <w:szCs w:val="24"/>
        </w:rPr>
        <w:lastRenderedPageBreak/>
        <w:t xml:space="preserve">predpokladáme dodatočnú potrebu finančných prostriedkov na ich základnú rekonštrukciu, a to vo výške cca </w:t>
      </w:r>
      <w:r w:rsidR="005D2B75">
        <w:rPr>
          <w:rFonts w:ascii="Times New Roman" w:eastAsia="Calibri" w:hAnsi="Times New Roman"/>
          <w:sz w:val="24"/>
          <w:szCs w:val="24"/>
        </w:rPr>
        <w:t>7,767</w:t>
      </w:r>
      <w:r w:rsidR="00750F3A">
        <w:rPr>
          <w:rFonts w:ascii="Times New Roman" w:eastAsia="Calibri" w:hAnsi="Times New Roman"/>
          <w:sz w:val="24"/>
          <w:szCs w:val="24"/>
        </w:rPr>
        <w:t xml:space="preserve"> </w:t>
      </w:r>
      <w:r w:rsidR="00BF0543">
        <w:rPr>
          <w:rFonts w:ascii="Times New Roman" w:eastAsia="Calibri" w:hAnsi="Times New Roman"/>
          <w:sz w:val="24"/>
          <w:szCs w:val="24"/>
        </w:rPr>
        <w:t xml:space="preserve">mil. </w:t>
      </w:r>
      <w:r>
        <w:rPr>
          <w:rFonts w:ascii="Times New Roman" w:eastAsia="Calibri" w:hAnsi="Times New Roman"/>
          <w:sz w:val="24"/>
          <w:szCs w:val="24"/>
        </w:rPr>
        <w:t xml:space="preserve">EUR. </w:t>
      </w:r>
    </w:p>
    <w:p w:rsidR="008626F5" w:rsidRDefault="008626F5" w:rsidP="00CE2A75">
      <w:pPr>
        <w:spacing w:after="0" w:line="240" w:lineRule="auto"/>
        <w:jc w:val="both"/>
        <w:rPr>
          <w:rFonts w:ascii="Times New Roman" w:eastAsia="Calibri" w:hAnsi="Times New Roman"/>
          <w:sz w:val="24"/>
          <w:szCs w:val="24"/>
        </w:rPr>
      </w:pPr>
    </w:p>
    <w:p w:rsidR="00BF0543" w:rsidRDefault="00804DBA" w:rsidP="00CE2A75">
      <w:pPr>
        <w:spacing w:after="0" w:line="240" w:lineRule="auto"/>
        <w:jc w:val="both"/>
        <w:rPr>
          <w:rFonts w:ascii="Times New Roman" w:eastAsia="Calibri" w:hAnsi="Times New Roman"/>
          <w:sz w:val="24"/>
          <w:szCs w:val="24"/>
        </w:rPr>
      </w:pPr>
      <w:r>
        <w:rPr>
          <w:rFonts w:ascii="Times New Roman" w:eastAsia="Times New Roman" w:hAnsi="Times New Roman" w:cs="Times New Roman"/>
          <w:color w:val="000000"/>
          <w:sz w:val="24"/>
          <w:szCs w:val="24"/>
        </w:rPr>
        <w:t>Zvýšením početnosti</w:t>
      </w:r>
      <w:r w:rsidRPr="002346FB">
        <w:rPr>
          <w:rFonts w:ascii="Times New Roman" w:eastAsia="Times New Roman" w:hAnsi="Times New Roman" w:cs="Times New Roman"/>
          <w:color w:val="000000"/>
          <w:sz w:val="24"/>
          <w:szCs w:val="24"/>
        </w:rPr>
        <w:t xml:space="preserve"> hydiny </w:t>
      </w:r>
      <w:r>
        <w:rPr>
          <w:rFonts w:ascii="Times New Roman" w:eastAsia="Times New Roman" w:hAnsi="Times New Roman" w:cs="Times New Roman"/>
          <w:color w:val="000000"/>
          <w:sz w:val="24"/>
          <w:szCs w:val="24"/>
        </w:rPr>
        <w:t xml:space="preserve">(stavov v chove) </w:t>
      </w:r>
      <w:r w:rsidRPr="002346FB">
        <w:rPr>
          <w:rFonts w:ascii="Times New Roman" w:eastAsia="Times New Roman" w:hAnsi="Times New Roman" w:cs="Times New Roman"/>
          <w:color w:val="000000"/>
          <w:sz w:val="24"/>
          <w:szCs w:val="24"/>
        </w:rPr>
        <w:t>minimálne o</w:t>
      </w:r>
      <w:r>
        <w:rPr>
          <w:rFonts w:ascii="Times New Roman" w:eastAsia="Times New Roman" w:hAnsi="Times New Roman" w:cs="Times New Roman"/>
          <w:color w:val="000000"/>
          <w:sz w:val="24"/>
          <w:szCs w:val="24"/>
        </w:rPr>
        <w:t xml:space="preserve"> 885 737 </w:t>
      </w:r>
      <w:r w:rsidRPr="002346FB">
        <w:rPr>
          <w:rFonts w:ascii="Times New Roman" w:eastAsia="Times New Roman" w:hAnsi="Times New Roman" w:cs="Times New Roman"/>
          <w:color w:val="000000"/>
          <w:sz w:val="24"/>
          <w:szCs w:val="24"/>
        </w:rPr>
        <w:t>ks</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5 314 423 ks pri        6 turnusoch ročne)</w:t>
      </w:r>
      <w:r w:rsidR="00BF0543">
        <w:rPr>
          <w:rFonts w:ascii="Times New Roman" w:eastAsia="Calibri" w:hAnsi="Times New Roman"/>
          <w:sz w:val="24"/>
          <w:szCs w:val="24"/>
        </w:rPr>
        <w:t xml:space="preserve"> sa zabezpečí zvýšenie hrubej domácej produkcie jatočnej hydiny vo výške </w:t>
      </w:r>
      <w:r w:rsidR="00A90361">
        <w:rPr>
          <w:rFonts w:ascii="Times New Roman" w:eastAsia="Calibri" w:hAnsi="Times New Roman"/>
          <w:sz w:val="24"/>
          <w:szCs w:val="24"/>
        </w:rPr>
        <w:t>11 054</w:t>
      </w:r>
      <w:r w:rsidR="00BF0543">
        <w:rPr>
          <w:rFonts w:ascii="Times New Roman" w:eastAsia="Calibri" w:hAnsi="Times New Roman"/>
          <w:sz w:val="24"/>
          <w:szCs w:val="24"/>
        </w:rPr>
        <w:t xml:space="preserve"> ton v jatočnej hmotnosti. </w:t>
      </w:r>
    </w:p>
    <w:p w:rsidR="009B4684" w:rsidRDefault="009B4684" w:rsidP="00CE2A75">
      <w:pPr>
        <w:spacing w:after="0" w:line="240" w:lineRule="auto"/>
        <w:jc w:val="both"/>
        <w:rPr>
          <w:rFonts w:ascii="Times New Roman" w:hAnsi="Times New Roman" w:cs="Times New Roman"/>
          <w:sz w:val="20"/>
          <w:szCs w:val="20"/>
        </w:rPr>
      </w:pPr>
    </w:p>
    <w:p w:rsidR="00FC1B37" w:rsidRPr="00FC1B37" w:rsidRDefault="00C970F8" w:rsidP="00CE2A7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74</w:t>
      </w:r>
      <w:r w:rsidR="00FC1B37" w:rsidRPr="00155936">
        <w:rPr>
          <w:rFonts w:ascii="Times New Roman" w:hAnsi="Times New Roman" w:cs="Times New Roman"/>
          <w:sz w:val="20"/>
          <w:szCs w:val="20"/>
        </w:rPr>
        <w:t>:</w:t>
      </w:r>
      <w:r w:rsidR="00FC1B37">
        <w:rPr>
          <w:rFonts w:ascii="Times New Roman" w:hAnsi="Times New Roman" w:cs="Times New Roman"/>
          <w:sz w:val="20"/>
          <w:szCs w:val="20"/>
        </w:rPr>
        <w:t xml:space="preserve"> Prognóza vývoja poč</w:t>
      </w:r>
      <w:r w:rsidR="00D652DF">
        <w:rPr>
          <w:rFonts w:ascii="Times New Roman" w:hAnsi="Times New Roman" w:cs="Times New Roman"/>
          <w:sz w:val="20"/>
          <w:szCs w:val="20"/>
        </w:rPr>
        <w:t>tu hydiny v tis. ks do roku 2020</w:t>
      </w:r>
    </w:p>
    <w:p w:rsidR="00FC1B37" w:rsidRDefault="00A90361" w:rsidP="00CE2A75">
      <w:pPr>
        <w:spacing w:after="0" w:line="240" w:lineRule="auto"/>
        <w:jc w:val="both"/>
        <w:rPr>
          <w:rFonts w:ascii="Times New Roman" w:eastAsia="Calibri" w:hAnsi="Times New Roman"/>
          <w:sz w:val="24"/>
          <w:szCs w:val="24"/>
        </w:rPr>
      </w:pPr>
      <w:r>
        <w:rPr>
          <w:noProof/>
        </w:rPr>
        <w:drawing>
          <wp:inline distT="0" distB="0" distL="0" distR="0" wp14:anchorId="23EF4ADC" wp14:editId="2E179E8F">
            <wp:extent cx="5757062" cy="2801722"/>
            <wp:effectExtent l="0" t="0" r="0" b="0"/>
            <wp:docPr id="305" name="Graf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FC1B37" w:rsidRPr="00C431FF" w:rsidRDefault="00FC1B37" w:rsidP="00FC1B37">
      <w:pPr>
        <w:spacing w:after="0" w:line="240" w:lineRule="auto"/>
        <w:jc w:val="right"/>
        <w:rPr>
          <w:rFonts w:ascii="Times New Roman" w:hAnsi="Times New Roman" w:cs="Times New Roman"/>
          <w:sz w:val="20"/>
          <w:szCs w:val="20"/>
        </w:rPr>
      </w:pPr>
      <w:r>
        <w:rPr>
          <w:rFonts w:ascii="Times New Roman" w:eastAsia="Calibri" w:hAnsi="Times New Roman"/>
          <w:sz w:val="24"/>
          <w:szCs w:val="24"/>
        </w:rPr>
        <w:tab/>
      </w:r>
      <w:r>
        <w:rPr>
          <w:rFonts w:ascii="Times New Roman" w:hAnsi="Times New Roman" w:cs="Times New Roman"/>
          <w:sz w:val="20"/>
          <w:szCs w:val="20"/>
        </w:rPr>
        <w:t>Zdroj: VÚEPP, odhad MPRV</w:t>
      </w:r>
    </w:p>
    <w:p w:rsidR="00FC1B37" w:rsidRDefault="00FC1B37" w:rsidP="00FC1B37">
      <w:pPr>
        <w:spacing w:after="0" w:line="240" w:lineRule="auto"/>
        <w:jc w:val="both"/>
        <w:rPr>
          <w:rFonts w:ascii="Times New Roman" w:eastAsia="Calibri" w:hAnsi="Times New Roman"/>
          <w:sz w:val="24"/>
          <w:szCs w:val="24"/>
        </w:rPr>
      </w:pPr>
    </w:p>
    <w:p w:rsidR="00FC1B37" w:rsidRDefault="00FC1B37" w:rsidP="00FC1B3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Prognóza </w:t>
      </w:r>
      <w:r w:rsidR="00D652DF">
        <w:rPr>
          <w:rFonts w:ascii="Times New Roman" w:eastAsia="Calibri" w:hAnsi="Times New Roman"/>
          <w:sz w:val="24"/>
          <w:szCs w:val="24"/>
        </w:rPr>
        <w:t>vývoja počtu hydiny do roku 2020</w:t>
      </w:r>
      <w:r>
        <w:rPr>
          <w:rFonts w:ascii="Times New Roman" w:eastAsia="Calibri" w:hAnsi="Times New Roman"/>
          <w:sz w:val="24"/>
          <w:szCs w:val="24"/>
        </w:rPr>
        <w:t xml:space="preserve"> je založená na priemernom raste počtu </w:t>
      </w:r>
      <w:r w:rsidR="00D652DF">
        <w:rPr>
          <w:rFonts w:ascii="Times New Roman" w:eastAsia="Calibri" w:hAnsi="Times New Roman"/>
          <w:sz w:val="24"/>
          <w:szCs w:val="24"/>
        </w:rPr>
        <w:t>hydiny</w:t>
      </w:r>
      <w:r>
        <w:rPr>
          <w:rFonts w:ascii="Times New Roman" w:eastAsia="Calibri" w:hAnsi="Times New Roman"/>
          <w:sz w:val="24"/>
          <w:szCs w:val="24"/>
        </w:rPr>
        <w:t xml:space="preserve"> o cca 3</w:t>
      </w:r>
      <w:r w:rsidR="00D652DF">
        <w:rPr>
          <w:rFonts w:ascii="Times New Roman" w:eastAsia="Calibri" w:hAnsi="Times New Roman"/>
          <w:sz w:val="24"/>
          <w:szCs w:val="24"/>
        </w:rPr>
        <w:t>,6</w:t>
      </w:r>
      <w:r>
        <w:rPr>
          <w:rFonts w:ascii="Times New Roman" w:eastAsia="Calibri" w:hAnsi="Times New Roman"/>
          <w:sz w:val="24"/>
          <w:szCs w:val="24"/>
        </w:rPr>
        <w:t xml:space="preserve"> % ročne. Cieľový sta</w:t>
      </w:r>
      <w:r w:rsidR="00D652DF">
        <w:rPr>
          <w:rFonts w:ascii="Times New Roman" w:eastAsia="Calibri" w:hAnsi="Times New Roman"/>
          <w:sz w:val="24"/>
          <w:szCs w:val="24"/>
        </w:rPr>
        <w:t>v v počte hydiny predstavuje 119</w:t>
      </w:r>
      <w:r>
        <w:rPr>
          <w:rFonts w:ascii="Times New Roman" w:eastAsia="Calibri" w:hAnsi="Times New Roman"/>
          <w:sz w:val="24"/>
          <w:szCs w:val="24"/>
        </w:rPr>
        <w:t xml:space="preserve">,56 % z úrovne ich počtu v roku 2002. Dosiahnutím cielených parametrov produkcie hydiny vznikne v rámci </w:t>
      </w:r>
      <w:r w:rsidRPr="00AF4E2F">
        <w:rPr>
          <w:rFonts w:ascii="Times New Roman" w:eastAsia="Calibri" w:hAnsi="Times New Roman"/>
          <w:sz w:val="24"/>
          <w:szCs w:val="24"/>
        </w:rPr>
        <w:t xml:space="preserve">prvovýroby potreba dodatočných pracovných síl v počte </w:t>
      </w:r>
      <w:r w:rsidR="00AF4E2F" w:rsidRPr="00AF4E2F">
        <w:rPr>
          <w:rFonts w:ascii="Times New Roman" w:eastAsia="Calibri" w:hAnsi="Times New Roman"/>
          <w:sz w:val="24"/>
          <w:szCs w:val="24"/>
        </w:rPr>
        <w:t>50</w:t>
      </w:r>
      <w:r w:rsidRPr="00AF4E2F">
        <w:rPr>
          <w:rFonts w:ascii="Times New Roman" w:eastAsia="Calibri" w:hAnsi="Times New Roman"/>
          <w:sz w:val="24"/>
          <w:szCs w:val="24"/>
        </w:rPr>
        <w:t xml:space="preserve"> osôb, pričom tento predpoklad je založený na normatíve 5,68 pracovníkov na 100 000 ks hydiny. </w:t>
      </w:r>
      <w:r w:rsidR="00AF4E2F">
        <w:rPr>
          <w:rFonts w:ascii="Times New Roman" w:eastAsia="Calibri" w:hAnsi="Times New Roman"/>
          <w:sz w:val="24"/>
          <w:szCs w:val="24"/>
        </w:rPr>
        <w:t>Tento v</w:t>
      </w:r>
      <w:r w:rsidR="00AF4E2F" w:rsidRPr="00AF4E2F">
        <w:rPr>
          <w:rFonts w:ascii="Times New Roman" w:eastAsia="Calibri" w:hAnsi="Times New Roman"/>
          <w:sz w:val="24"/>
          <w:szCs w:val="24"/>
        </w:rPr>
        <w:t>ýpočet</w:t>
      </w:r>
      <w:r w:rsidR="00AF4E2F">
        <w:rPr>
          <w:rFonts w:ascii="Times New Roman" w:eastAsia="Calibri" w:hAnsi="Times New Roman"/>
          <w:sz w:val="24"/>
          <w:szCs w:val="24"/>
        </w:rPr>
        <w:t xml:space="preserve"> zahŕňa predpokladané zvýšenie stavov hydiny v chovoch v roku 2012 na úrovni 262 tis. ks, čo si vyžiadalo dodatočné navýšenie pracovných síl v počte 15 osôb.</w:t>
      </w:r>
    </w:p>
    <w:p w:rsidR="00FC1B37" w:rsidRDefault="00FC1B37" w:rsidP="00FC1B37">
      <w:pPr>
        <w:spacing w:after="0" w:line="240" w:lineRule="auto"/>
        <w:jc w:val="both"/>
        <w:rPr>
          <w:rFonts w:ascii="Times New Roman" w:eastAsia="Calibri" w:hAnsi="Times New Roman"/>
          <w:sz w:val="24"/>
          <w:szCs w:val="24"/>
        </w:rPr>
      </w:pPr>
    </w:p>
    <w:p w:rsidR="00EF5233" w:rsidRPr="00EF5233" w:rsidRDefault="00C970F8" w:rsidP="00EF5233">
      <w:pPr>
        <w:tabs>
          <w:tab w:val="left"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t>Tab. č. 56</w:t>
      </w:r>
      <w:r w:rsidR="00EF5233" w:rsidRPr="00A855A4">
        <w:rPr>
          <w:rFonts w:ascii="Times New Roman" w:hAnsi="Times New Roman" w:cs="Times New Roman"/>
          <w:sz w:val="20"/>
          <w:szCs w:val="20"/>
        </w:rPr>
        <w:t xml:space="preserve">: </w:t>
      </w:r>
      <w:r w:rsidR="00EF5233">
        <w:rPr>
          <w:rFonts w:ascii="Times New Roman" w:hAnsi="Times New Roman" w:cs="Times New Roman"/>
          <w:sz w:val="20"/>
          <w:szCs w:val="20"/>
        </w:rPr>
        <w:tab/>
        <w:t>Prognóza dodatočného počtu pracovníkov v prvovýrobe hydiny</w:t>
      </w:r>
    </w:p>
    <w:tbl>
      <w:tblPr>
        <w:tblW w:w="9034" w:type="dxa"/>
        <w:tblInd w:w="70" w:type="dxa"/>
        <w:tblCellMar>
          <w:left w:w="70" w:type="dxa"/>
          <w:right w:w="70" w:type="dxa"/>
        </w:tblCellMar>
        <w:tblLook w:val="04A0" w:firstRow="1" w:lastRow="0" w:firstColumn="1" w:lastColumn="0" w:noHBand="0" w:noVBand="1"/>
      </w:tblPr>
      <w:tblGrid>
        <w:gridCol w:w="4111"/>
        <w:gridCol w:w="670"/>
        <w:gridCol w:w="590"/>
        <w:gridCol w:w="708"/>
        <w:gridCol w:w="590"/>
        <w:gridCol w:w="590"/>
        <w:gridCol w:w="590"/>
        <w:gridCol w:w="590"/>
        <w:gridCol w:w="595"/>
      </w:tblGrid>
      <w:tr w:rsidR="00AF4E2F" w:rsidRPr="00AF4E2F" w:rsidTr="00AF4E2F">
        <w:trPr>
          <w:trHeight w:val="300"/>
        </w:trPr>
        <w:tc>
          <w:tcPr>
            <w:tcW w:w="4111" w:type="dxa"/>
            <w:tcBorders>
              <w:top w:val="single" w:sz="4" w:space="0" w:color="auto"/>
              <w:left w:val="nil"/>
              <w:bottom w:val="single" w:sz="4" w:space="0" w:color="auto"/>
              <w:right w:val="single" w:sz="4" w:space="0" w:color="auto"/>
            </w:tcBorders>
            <w:shd w:val="clear" w:color="000000" w:fill="D8D8D8"/>
            <w:noWrap/>
            <w:vAlign w:val="bottom"/>
            <w:hideMark/>
          </w:tcPr>
          <w:p w:rsidR="00AF4E2F" w:rsidRPr="00AF4E2F" w:rsidRDefault="00AF4E2F" w:rsidP="00AF4E2F">
            <w:pPr>
              <w:spacing w:after="0" w:line="240" w:lineRule="auto"/>
              <w:rPr>
                <w:rFonts w:ascii="Times New Roman" w:eastAsia="Times New Roman" w:hAnsi="Times New Roman" w:cs="Times New Roman"/>
                <w:b/>
                <w:bCs/>
                <w:color w:val="000000"/>
                <w:sz w:val="20"/>
                <w:szCs w:val="20"/>
              </w:rPr>
            </w:pPr>
            <w:r w:rsidRPr="00AF4E2F">
              <w:rPr>
                <w:rFonts w:ascii="Times New Roman" w:eastAsia="Times New Roman" w:hAnsi="Times New Roman" w:cs="Times New Roman"/>
                <w:b/>
                <w:bCs/>
                <w:color w:val="000000"/>
                <w:sz w:val="20"/>
                <w:szCs w:val="20"/>
              </w:rPr>
              <w:t> </w:t>
            </w:r>
          </w:p>
        </w:tc>
        <w:tc>
          <w:tcPr>
            <w:tcW w:w="670" w:type="dxa"/>
            <w:tcBorders>
              <w:top w:val="single" w:sz="4" w:space="0" w:color="auto"/>
              <w:left w:val="nil"/>
              <w:bottom w:val="single" w:sz="4" w:space="0" w:color="auto"/>
              <w:right w:val="nil"/>
            </w:tcBorders>
            <w:shd w:val="clear" w:color="000000" w:fill="D8D8D8"/>
            <w:noWrap/>
            <w:vAlign w:val="bottom"/>
            <w:hideMark/>
          </w:tcPr>
          <w:p w:rsidR="00AF4E2F" w:rsidRPr="00AF4E2F" w:rsidRDefault="00AF4E2F" w:rsidP="00AF4E2F">
            <w:pPr>
              <w:spacing w:after="0" w:line="240" w:lineRule="auto"/>
              <w:jc w:val="right"/>
              <w:rPr>
                <w:rFonts w:ascii="Times New Roman" w:eastAsia="Times New Roman" w:hAnsi="Times New Roman" w:cs="Times New Roman"/>
                <w:b/>
                <w:bCs/>
                <w:color w:val="000000"/>
                <w:sz w:val="20"/>
                <w:szCs w:val="20"/>
              </w:rPr>
            </w:pPr>
            <w:r w:rsidRPr="00AF4E2F">
              <w:rPr>
                <w:rFonts w:ascii="Times New Roman" w:eastAsia="Times New Roman" w:hAnsi="Times New Roman" w:cs="Times New Roman"/>
                <w:b/>
                <w:bCs/>
                <w:color w:val="000000"/>
                <w:sz w:val="20"/>
                <w:szCs w:val="20"/>
              </w:rPr>
              <w:t>2013</w:t>
            </w:r>
          </w:p>
        </w:tc>
        <w:tc>
          <w:tcPr>
            <w:tcW w:w="590" w:type="dxa"/>
            <w:tcBorders>
              <w:top w:val="single" w:sz="4" w:space="0" w:color="auto"/>
              <w:left w:val="nil"/>
              <w:bottom w:val="single" w:sz="4" w:space="0" w:color="auto"/>
              <w:right w:val="nil"/>
            </w:tcBorders>
            <w:shd w:val="clear" w:color="000000" w:fill="D8D8D8"/>
            <w:noWrap/>
            <w:vAlign w:val="bottom"/>
            <w:hideMark/>
          </w:tcPr>
          <w:p w:rsidR="00AF4E2F" w:rsidRPr="00AF4E2F" w:rsidRDefault="00AF4E2F" w:rsidP="00AF4E2F">
            <w:pPr>
              <w:spacing w:after="0" w:line="240" w:lineRule="auto"/>
              <w:jc w:val="right"/>
              <w:rPr>
                <w:rFonts w:ascii="Times New Roman" w:eastAsia="Times New Roman" w:hAnsi="Times New Roman" w:cs="Times New Roman"/>
                <w:b/>
                <w:bCs/>
                <w:color w:val="000000"/>
                <w:sz w:val="20"/>
                <w:szCs w:val="20"/>
              </w:rPr>
            </w:pPr>
            <w:r w:rsidRPr="00AF4E2F">
              <w:rPr>
                <w:rFonts w:ascii="Times New Roman" w:eastAsia="Times New Roman" w:hAnsi="Times New Roman" w:cs="Times New Roman"/>
                <w:b/>
                <w:bCs/>
                <w:color w:val="000000"/>
                <w:sz w:val="20"/>
                <w:szCs w:val="20"/>
              </w:rPr>
              <w:t>2014</w:t>
            </w:r>
          </w:p>
        </w:tc>
        <w:tc>
          <w:tcPr>
            <w:tcW w:w="708" w:type="dxa"/>
            <w:tcBorders>
              <w:top w:val="single" w:sz="4" w:space="0" w:color="auto"/>
              <w:left w:val="nil"/>
              <w:bottom w:val="single" w:sz="4" w:space="0" w:color="auto"/>
              <w:right w:val="nil"/>
            </w:tcBorders>
            <w:shd w:val="clear" w:color="000000" w:fill="D8D8D8"/>
            <w:noWrap/>
            <w:vAlign w:val="bottom"/>
            <w:hideMark/>
          </w:tcPr>
          <w:p w:rsidR="00AF4E2F" w:rsidRPr="00AF4E2F" w:rsidRDefault="00AF4E2F" w:rsidP="00AF4E2F">
            <w:pPr>
              <w:spacing w:after="0" w:line="240" w:lineRule="auto"/>
              <w:jc w:val="right"/>
              <w:rPr>
                <w:rFonts w:ascii="Times New Roman" w:eastAsia="Times New Roman" w:hAnsi="Times New Roman" w:cs="Times New Roman"/>
                <w:b/>
                <w:bCs/>
                <w:color w:val="000000"/>
                <w:sz w:val="20"/>
                <w:szCs w:val="20"/>
              </w:rPr>
            </w:pPr>
            <w:r w:rsidRPr="00AF4E2F">
              <w:rPr>
                <w:rFonts w:ascii="Times New Roman" w:eastAsia="Times New Roman" w:hAnsi="Times New Roman" w:cs="Times New Roman"/>
                <w:b/>
                <w:bCs/>
                <w:color w:val="000000"/>
                <w:sz w:val="20"/>
                <w:szCs w:val="20"/>
              </w:rPr>
              <w:t>2015</w:t>
            </w:r>
          </w:p>
        </w:tc>
        <w:tc>
          <w:tcPr>
            <w:tcW w:w="590" w:type="dxa"/>
            <w:tcBorders>
              <w:top w:val="single" w:sz="4" w:space="0" w:color="auto"/>
              <w:left w:val="nil"/>
              <w:bottom w:val="single" w:sz="4" w:space="0" w:color="auto"/>
              <w:right w:val="nil"/>
            </w:tcBorders>
            <w:shd w:val="clear" w:color="000000" w:fill="D8D8D8"/>
            <w:noWrap/>
            <w:vAlign w:val="bottom"/>
            <w:hideMark/>
          </w:tcPr>
          <w:p w:rsidR="00AF4E2F" w:rsidRPr="00AF4E2F" w:rsidRDefault="00AF4E2F" w:rsidP="00AF4E2F">
            <w:pPr>
              <w:spacing w:after="0" w:line="240" w:lineRule="auto"/>
              <w:jc w:val="right"/>
              <w:rPr>
                <w:rFonts w:ascii="Times New Roman" w:eastAsia="Times New Roman" w:hAnsi="Times New Roman" w:cs="Times New Roman"/>
                <w:b/>
                <w:bCs/>
                <w:color w:val="000000"/>
                <w:sz w:val="20"/>
                <w:szCs w:val="20"/>
              </w:rPr>
            </w:pPr>
            <w:r w:rsidRPr="00AF4E2F">
              <w:rPr>
                <w:rFonts w:ascii="Times New Roman" w:eastAsia="Times New Roman" w:hAnsi="Times New Roman" w:cs="Times New Roman"/>
                <w:b/>
                <w:bCs/>
                <w:color w:val="000000"/>
                <w:sz w:val="20"/>
                <w:szCs w:val="20"/>
              </w:rPr>
              <w:t>2016</w:t>
            </w:r>
          </w:p>
        </w:tc>
        <w:tc>
          <w:tcPr>
            <w:tcW w:w="590" w:type="dxa"/>
            <w:tcBorders>
              <w:top w:val="single" w:sz="4" w:space="0" w:color="auto"/>
              <w:left w:val="nil"/>
              <w:bottom w:val="single" w:sz="4" w:space="0" w:color="auto"/>
              <w:right w:val="nil"/>
            </w:tcBorders>
            <w:shd w:val="clear" w:color="000000" w:fill="D8D8D8"/>
            <w:noWrap/>
            <w:vAlign w:val="bottom"/>
            <w:hideMark/>
          </w:tcPr>
          <w:p w:rsidR="00AF4E2F" w:rsidRPr="00AF4E2F" w:rsidRDefault="00AF4E2F" w:rsidP="00AF4E2F">
            <w:pPr>
              <w:spacing w:after="0" w:line="240" w:lineRule="auto"/>
              <w:jc w:val="right"/>
              <w:rPr>
                <w:rFonts w:ascii="Times New Roman" w:eastAsia="Times New Roman" w:hAnsi="Times New Roman" w:cs="Times New Roman"/>
                <w:b/>
                <w:bCs/>
                <w:color w:val="000000"/>
                <w:sz w:val="20"/>
                <w:szCs w:val="20"/>
              </w:rPr>
            </w:pPr>
            <w:r w:rsidRPr="00AF4E2F">
              <w:rPr>
                <w:rFonts w:ascii="Times New Roman" w:eastAsia="Times New Roman" w:hAnsi="Times New Roman" w:cs="Times New Roman"/>
                <w:b/>
                <w:bCs/>
                <w:color w:val="000000"/>
                <w:sz w:val="20"/>
                <w:szCs w:val="20"/>
              </w:rPr>
              <w:t>2017</w:t>
            </w:r>
          </w:p>
        </w:tc>
        <w:tc>
          <w:tcPr>
            <w:tcW w:w="590" w:type="dxa"/>
            <w:tcBorders>
              <w:top w:val="single" w:sz="4" w:space="0" w:color="auto"/>
              <w:left w:val="nil"/>
              <w:bottom w:val="single" w:sz="4" w:space="0" w:color="auto"/>
              <w:right w:val="nil"/>
            </w:tcBorders>
            <w:shd w:val="clear" w:color="000000" w:fill="D8D8D8"/>
            <w:noWrap/>
            <w:vAlign w:val="bottom"/>
            <w:hideMark/>
          </w:tcPr>
          <w:p w:rsidR="00AF4E2F" w:rsidRPr="00AF4E2F" w:rsidRDefault="00AF4E2F" w:rsidP="00AF4E2F">
            <w:pPr>
              <w:spacing w:after="0" w:line="240" w:lineRule="auto"/>
              <w:jc w:val="right"/>
              <w:rPr>
                <w:rFonts w:ascii="Times New Roman" w:eastAsia="Times New Roman" w:hAnsi="Times New Roman" w:cs="Times New Roman"/>
                <w:b/>
                <w:bCs/>
                <w:color w:val="000000"/>
                <w:sz w:val="20"/>
                <w:szCs w:val="20"/>
              </w:rPr>
            </w:pPr>
            <w:r w:rsidRPr="00AF4E2F">
              <w:rPr>
                <w:rFonts w:ascii="Times New Roman" w:eastAsia="Times New Roman" w:hAnsi="Times New Roman" w:cs="Times New Roman"/>
                <w:b/>
                <w:bCs/>
                <w:color w:val="000000"/>
                <w:sz w:val="20"/>
                <w:szCs w:val="20"/>
              </w:rPr>
              <w:t>2018</w:t>
            </w:r>
          </w:p>
        </w:tc>
        <w:tc>
          <w:tcPr>
            <w:tcW w:w="590" w:type="dxa"/>
            <w:tcBorders>
              <w:top w:val="single" w:sz="4" w:space="0" w:color="auto"/>
              <w:left w:val="nil"/>
              <w:bottom w:val="single" w:sz="4" w:space="0" w:color="auto"/>
              <w:right w:val="nil"/>
            </w:tcBorders>
            <w:shd w:val="clear" w:color="000000" w:fill="D8D8D8"/>
            <w:noWrap/>
            <w:vAlign w:val="bottom"/>
            <w:hideMark/>
          </w:tcPr>
          <w:p w:rsidR="00AF4E2F" w:rsidRPr="00AF4E2F" w:rsidRDefault="00AF4E2F" w:rsidP="00AF4E2F">
            <w:pPr>
              <w:spacing w:after="0" w:line="240" w:lineRule="auto"/>
              <w:jc w:val="right"/>
              <w:rPr>
                <w:rFonts w:ascii="Times New Roman" w:eastAsia="Times New Roman" w:hAnsi="Times New Roman" w:cs="Times New Roman"/>
                <w:b/>
                <w:bCs/>
                <w:color w:val="000000"/>
                <w:sz w:val="20"/>
                <w:szCs w:val="20"/>
              </w:rPr>
            </w:pPr>
            <w:r w:rsidRPr="00AF4E2F">
              <w:rPr>
                <w:rFonts w:ascii="Times New Roman" w:eastAsia="Times New Roman" w:hAnsi="Times New Roman" w:cs="Times New Roman"/>
                <w:b/>
                <w:bCs/>
                <w:color w:val="000000"/>
                <w:sz w:val="20"/>
                <w:szCs w:val="20"/>
              </w:rPr>
              <w:t>2019</w:t>
            </w:r>
          </w:p>
        </w:tc>
        <w:tc>
          <w:tcPr>
            <w:tcW w:w="595" w:type="dxa"/>
            <w:tcBorders>
              <w:top w:val="single" w:sz="4" w:space="0" w:color="auto"/>
              <w:left w:val="nil"/>
              <w:bottom w:val="single" w:sz="4" w:space="0" w:color="auto"/>
              <w:right w:val="nil"/>
            </w:tcBorders>
            <w:shd w:val="clear" w:color="000000" w:fill="D8D8D8"/>
            <w:noWrap/>
            <w:vAlign w:val="bottom"/>
            <w:hideMark/>
          </w:tcPr>
          <w:p w:rsidR="00AF4E2F" w:rsidRPr="00AF4E2F" w:rsidRDefault="00AF4E2F" w:rsidP="00AF4E2F">
            <w:pPr>
              <w:spacing w:after="0" w:line="240" w:lineRule="auto"/>
              <w:jc w:val="right"/>
              <w:rPr>
                <w:rFonts w:ascii="Times New Roman" w:eastAsia="Times New Roman" w:hAnsi="Times New Roman" w:cs="Times New Roman"/>
                <w:b/>
                <w:bCs/>
                <w:color w:val="000000"/>
                <w:sz w:val="20"/>
                <w:szCs w:val="20"/>
              </w:rPr>
            </w:pPr>
            <w:r w:rsidRPr="00AF4E2F">
              <w:rPr>
                <w:rFonts w:ascii="Times New Roman" w:eastAsia="Times New Roman" w:hAnsi="Times New Roman" w:cs="Times New Roman"/>
                <w:b/>
                <w:bCs/>
                <w:color w:val="000000"/>
                <w:sz w:val="20"/>
                <w:szCs w:val="20"/>
              </w:rPr>
              <w:t>2020</w:t>
            </w:r>
          </w:p>
        </w:tc>
      </w:tr>
      <w:tr w:rsidR="00AF4E2F" w:rsidRPr="00AF4E2F" w:rsidTr="00A724CE">
        <w:trPr>
          <w:trHeight w:val="525"/>
        </w:trPr>
        <w:tc>
          <w:tcPr>
            <w:tcW w:w="4111" w:type="dxa"/>
            <w:tcBorders>
              <w:top w:val="nil"/>
              <w:left w:val="nil"/>
              <w:bottom w:val="nil"/>
              <w:right w:val="single" w:sz="4" w:space="0" w:color="auto"/>
            </w:tcBorders>
            <w:shd w:val="clear" w:color="auto" w:fill="auto"/>
            <w:vAlign w:val="bottom"/>
            <w:hideMark/>
          </w:tcPr>
          <w:p w:rsidR="00AF4E2F" w:rsidRPr="00AF4E2F" w:rsidRDefault="00AF4E2F" w:rsidP="00AF4E2F">
            <w:pPr>
              <w:spacing w:after="0" w:line="240" w:lineRule="auto"/>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zvýšenie počtov hydiny v tis. ks (počet hydiny v chovoch v 6 turnusoch ročne)</w:t>
            </w:r>
          </w:p>
        </w:tc>
        <w:tc>
          <w:tcPr>
            <w:tcW w:w="670" w:type="dxa"/>
            <w:tcBorders>
              <w:top w:val="nil"/>
              <w:left w:val="nil"/>
              <w:bottom w:val="nil"/>
              <w:right w:val="nil"/>
            </w:tcBorders>
            <w:shd w:val="clear" w:color="auto" w:fill="auto"/>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259,0</w:t>
            </w:r>
          </w:p>
        </w:tc>
        <w:tc>
          <w:tcPr>
            <w:tcW w:w="590" w:type="dxa"/>
            <w:tcBorders>
              <w:top w:val="nil"/>
              <w:left w:val="nil"/>
              <w:bottom w:val="nil"/>
              <w:right w:val="nil"/>
            </w:tcBorders>
            <w:shd w:val="clear" w:color="auto" w:fill="auto"/>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396,3</w:t>
            </w:r>
          </w:p>
        </w:tc>
        <w:tc>
          <w:tcPr>
            <w:tcW w:w="708" w:type="dxa"/>
            <w:tcBorders>
              <w:top w:val="nil"/>
              <w:left w:val="nil"/>
              <w:bottom w:val="nil"/>
              <w:right w:val="nil"/>
            </w:tcBorders>
            <w:shd w:val="clear" w:color="auto" w:fill="auto"/>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680,4</w:t>
            </w:r>
          </w:p>
        </w:tc>
        <w:tc>
          <w:tcPr>
            <w:tcW w:w="590" w:type="dxa"/>
            <w:tcBorders>
              <w:top w:val="nil"/>
              <w:left w:val="nil"/>
              <w:bottom w:val="nil"/>
              <w:right w:val="nil"/>
            </w:tcBorders>
            <w:shd w:val="clear" w:color="auto" w:fill="auto"/>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644,3</w:t>
            </w:r>
          </w:p>
        </w:tc>
        <w:tc>
          <w:tcPr>
            <w:tcW w:w="590" w:type="dxa"/>
            <w:tcBorders>
              <w:top w:val="nil"/>
              <w:left w:val="nil"/>
              <w:bottom w:val="nil"/>
              <w:right w:val="nil"/>
            </w:tcBorders>
            <w:shd w:val="clear" w:color="auto" w:fill="auto"/>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448,0</w:t>
            </w:r>
          </w:p>
        </w:tc>
        <w:tc>
          <w:tcPr>
            <w:tcW w:w="590" w:type="dxa"/>
            <w:tcBorders>
              <w:top w:val="nil"/>
              <w:left w:val="nil"/>
              <w:bottom w:val="nil"/>
              <w:right w:val="nil"/>
            </w:tcBorders>
            <w:shd w:val="clear" w:color="auto" w:fill="auto"/>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307,6</w:t>
            </w:r>
          </w:p>
        </w:tc>
        <w:tc>
          <w:tcPr>
            <w:tcW w:w="590" w:type="dxa"/>
            <w:tcBorders>
              <w:top w:val="nil"/>
              <w:left w:val="nil"/>
              <w:bottom w:val="nil"/>
              <w:right w:val="nil"/>
            </w:tcBorders>
            <w:shd w:val="clear" w:color="auto" w:fill="auto"/>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707,5</w:t>
            </w:r>
          </w:p>
        </w:tc>
        <w:tc>
          <w:tcPr>
            <w:tcW w:w="595" w:type="dxa"/>
            <w:tcBorders>
              <w:top w:val="nil"/>
              <w:left w:val="nil"/>
              <w:bottom w:val="nil"/>
              <w:right w:val="nil"/>
            </w:tcBorders>
            <w:shd w:val="clear" w:color="auto" w:fill="auto"/>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294,9</w:t>
            </w:r>
          </w:p>
        </w:tc>
      </w:tr>
      <w:tr w:rsidR="00AF4E2F" w:rsidRPr="00AF4E2F" w:rsidTr="00A724CE">
        <w:trPr>
          <w:trHeight w:val="300"/>
        </w:trPr>
        <w:tc>
          <w:tcPr>
            <w:tcW w:w="4111" w:type="dxa"/>
            <w:tcBorders>
              <w:top w:val="nil"/>
              <w:left w:val="nil"/>
              <w:bottom w:val="nil"/>
              <w:right w:val="single" w:sz="4" w:space="0" w:color="auto"/>
            </w:tcBorders>
            <w:shd w:val="clear" w:color="000000" w:fill="F2F2F2"/>
            <w:noWrap/>
            <w:vAlign w:val="bottom"/>
            <w:hideMark/>
          </w:tcPr>
          <w:p w:rsidR="00AF4E2F" w:rsidRPr="00AF4E2F" w:rsidRDefault="00AF4E2F" w:rsidP="00AF4E2F">
            <w:pPr>
              <w:spacing w:after="0" w:line="240" w:lineRule="auto"/>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zvýšenie počtov hydiny v chovoch v tis. ks</w:t>
            </w:r>
          </w:p>
        </w:tc>
        <w:tc>
          <w:tcPr>
            <w:tcW w:w="670" w:type="dxa"/>
            <w:tcBorders>
              <w:top w:val="nil"/>
              <w:left w:val="nil"/>
              <w:bottom w:val="nil"/>
              <w:right w:val="nil"/>
            </w:tcBorders>
            <w:shd w:val="clear" w:color="000000" w:fill="F2F2F2"/>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43,2</w:t>
            </w:r>
          </w:p>
        </w:tc>
        <w:tc>
          <w:tcPr>
            <w:tcW w:w="590" w:type="dxa"/>
            <w:tcBorders>
              <w:top w:val="nil"/>
              <w:left w:val="nil"/>
              <w:bottom w:val="nil"/>
              <w:right w:val="nil"/>
            </w:tcBorders>
            <w:shd w:val="clear" w:color="000000" w:fill="F2F2F2"/>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66,1</w:t>
            </w:r>
          </w:p>
        </w:tc>
        <w:tc>
          <w:tcPr>
            <w:tcW w:w="708" w:type="dxa"/>
            <w:tcBorders>
              <w:top w:val="nil"/>
              <w:left w:val="nil"/>
              <w:bottom w:val="nil"/>
              <w:right w:val="nil"/>
            </w:tcBorders>
            <w:shd w:val="clear" w:color="000000" w:fill="F2F2F2"/>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113,4</w:t>
            </w:r>
          </w:p>
        </w:tc>
        <w:tc>
          <w:tcPr>
            <w:tcW w:w="590" w:type="dxa"/>
            <w:tcBorders>
              <w:top w:val="nil"/>
              <w:left w:val="nil"/>
              <w:bottom w:val="nil"/>
              <w:right w:val="nil"/>
            </w:tcBorders>
            <w:shd w:val="clear" w:color="000000" w:fill="F2F2F2"/>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107,4</w:t>
            </w:r>
          </w:p>
        </w:tc>
        <w:tc>
          <w:tcPr>
            <w:tcW w:w="590" w:type="dxa"/>
            <w:tcBorders>
              <w:top w:val="nil"/>
              <w:left w:val="nil"/>
              <w:bottom w:val="nil"/>
              <w:right w:val="nil"/>
            </w:tcBorders>
            <w:shd w:val="clear" w:color="000000" w:fill="F2F2F2"/>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74,7</w:t>
            </w:r>
          </w:p>
        </w:tc>
        <w:tc>
          <w:tcPr>
            <w:tcW w:w="590" w:type="dxa"/>
            <w:tcBorders>
              <w:top w:val="nil"/>
              <w:left w:val="nil"/>
              <w:bottom w:val="nil"/>
              <w:right w:val="nil"/>
            </w:tcBorders>
            <w:shd w:val="clear" w:color="000000" w:fill="F2F2F2"/>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51,3</w:t>
            </w:r>
          </w:p>
        </w:tc>
        <w:tc>
          <w:tcPr>
            <w:tcW w:w="590" w:type="dxa"/>
            <w:tcBorders>
              <w:top w:val="nil"/>
              <w:left w:val="nil"/>
              <w:bottom w:val="nil"/>
              <w:right w:val="nil"/>
            </w:tcBorders>
            <w:shd w:val="clear" w:color="000000" w:fill="F2F2F2"/>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117,9</w:t>
            </w:r>
          </w:p>
        </w:tc>
        <w:tc>
          <w:tcPr>
            <w:tcW w:w="595" w:type="dxa"/>
            <w:tcBorders>
              <w:top w:val="nil"/>
              <w:left w:val="nil"/>
              <w:bottom w:val="nil"/>
              <w:right w:val="nil"/>
            </w:tcBorders>
            <w:shd w:val="clear" w:color="000000" w:fill="F2F2F2"/>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49,2</w:t>
            </w:r>
          </w:p>
        </w:tc>
      </w:tr>
      <w:tr w:rsidR="00AF4E2F" w:rsidRPr="00AF4E2F" w:rsidTr="00A724CE">
        <w:trPr>
          <w:trHeight w:val="300"/>
        </w:trPr>
        <w:tc>
          <w:tcPr>
            <w:tcW w:w="4111" w:type="dxa"/>
            <w:tcBorders>
              <w:top w:val="nil"/>
              <w:left w:val="nil"/>
              <w:bottom w:val="nil"/>
              <w:right w:val="single" w:sz="4" w:space="0" w:color="auto"/>
            </w:tcBorders>
            <w:shd w:val="clear" w:color="auto" w:fill="auto"/>
            <w:noWrap/>
            <w:vAlign w:val="bottom"/>
            <w:hideMark/>
          </w:tcPr>
          <w:p w:rsidR="00AF4E2F" w:rsidRPr="00AF4E2F" w:rsidRDefault="00AF4E2F" w:rsidP="00AF4E2F">
            <w:pPr>
              <w:spacing w:after="0" w:line="240" w:lineRule="auto"/>
              <w:rPr>
                <w:rFonts w:ascii="Times New Roman" w:eastAsia="Times New Roman" w:hAnsi="Times New Roman" w:cs="Times New Roman"/>
                <w:b/>
                <w:bCs/>
                <w:color w:val="000000"/>
                <w:sz w:val="20"/>
                <w:szCs w:val="20"/>
              </w:rPr>
            </w:pPr>
            <w:r w:rsidRPr="00AF4E2F">
              <w:rPr>
                <w:rFonts w:ascii="Times New Roman" w:eastAsia="Times New Roman" w:hAnsi="Times New Roman" w:cs="Times New Roman"/>
                <w:b/>
                <w:bCs/>
                <w:color w:val="000000"/>
                <w:sz w:val="20"/>
                <w:szCs w:val="20"/>
              </w:rPr>
              <w:t>dodatočný počet zamestnancov v osobách</w:t>
            </w:r>
          </w:p>
        </w:tc>
        <w:tc>
          <w:tcPr>
            <w:tcW w:w="670" w:type="dxa"/>
            <w:tcBorders>
              <w:top w:val="nil"/>
              <w:left w:val="nil"/>
              <w:bottom w:val="nil"/>
              <w:right w:val="nil"/>
            </w:tcBorders>
            <w:shd w:val="clear" w:color="auto" w:fill="auto"/>
            <w:noWrap/>
            <w:vAlign w:val="center"/>
            <w:hideMark/>
          </w:tcPr>
          <w:p w:rsidR="00AF4E2F" w:rsidRPr="00AF4E2F" w:rsidRDefault="00AF4E2F" w:rsidP="00A724CE">
            <w:pPr>
              <w:spacing w:after="0" w:line="240" w:lineRule="auto"/>
              <w:jc w:val="right"/>
              <w:rPr>
                <w:rFonts w:ascii="Times New Roman" w:eastAsia="Times New Roman" w:hAnsi="Times New Roman" w:cs="Times New Roman"/>
                <w:b/>
                <w:bCs/>
                <w:color w:val="000000"/>
                <w:sz w:val="20"/>
                <w:szCs w:val="20"/>
              </w:rPr>
            </w:pPr>
            <w:r w:rsidRPr="00AF4E2F">
              <w:rPr>
                <w:rFonts w:ascii="Times New Roman" w:eastAsia="Times New Roman" w:hAnsi="Times New Roman" w:cs="Times New Roman"/>
                <w:b/>
                <w:bCs/>
                <w:color w:val="000000"/>
                <w:sz w:val="20"/>
                <w:szCs w:val="20"/>
              </w:rPr>
              <w:t>2</w:t>
            </w:r>
          </w:p>
        </w:tc>
        <w:tc>
          <w:tcPr>
            <w:tcW w:w="590" w:type="dxa"/>
            <w:tcBorders>
              <w:top w:val="nil"/>
              <w:left w:val="nil"/>
              <w:bottom w:val="nil"/>
              <w:right w:val="nil"/>
            </w:tcBorders>
            <w:shd w:val="clear" w:color="auto" w:fill="auto"/>
            <w:noWrap/>
            <w:vAlign w:val="center"/>
            <w:hideMark/>
          </w:tcPr>
          <w:p w:rsidR="00AF4E2F" w:rsidRPr="00AF4E2F" w:rsidRDefault="00AF4E2F" w:rsidP="00A724CE">
            <w:pPr>
              <w:spacing w:after="0" w:line="240" w:lineRule="auto"/>
              <w:jc w:val="right"/>
              <w:rPr>
                <w:rFonts w:ascii="Times New Roman" w:eastAsia="Times New Roman" w:hAnsi="Times New Roman" w:cs="Times New Roman"/>
                <w:b/>
                <w:bCs/>
                <w:color w:val="000000"/>
                <w:sz w:val="20"/>
                <w:szCs w:val="20"/>
              </w:rPr>
            </w:pPr>
            <w:r w:rsidRPr="00AF4E2F">
              <w:rPr>
                <w:rFonts w:ascii="Times New Roman" w:eastAsia="Times New Roman" w:hAnsi="Times New Roman" w:cs="Times New Roman"/>
                <w:b/>
                <w:bCs/>
                <w:color w:val="000000"/>
                <w:sz w:val="20"/>
                <w:szCs w:val="20"/>
              </w:rPr>
              <w:t>4</w:t>
            </w:r>
          </w:p>
        </w:tc>
        <w:tc>
          <w:tcPr>
            <w:tcW w:w="708" w:type="dxa"/>
            <w:tcBorders>
              <w:top w:val="nil"/>
              <w:left w:val="nil"/>
              <w:bottom w:val="nil"/>
              <w:right w:val="nil"/>
            </w:tcBorders>
            <w:shd w:val="clear" w:color="auto" w:fill="auto"/>
            <w:noWrap/>
            <w:vAlign w:val="center"/>
            <w:hideMark/>
          </w:tcPr>
          <w:p w:rsidR="00AF4E2F" w:rsidRPr="00AF4E2F" w:rsidRDefault="00AF4E2F" w:rsidP="00A724CE">
            <w:pPr>
              <w:spacing w:after="0" w:line="240" w:lineRule="auto"/>
              <w:jc w:val="right"/>
              <w:rPr>
                <w:rFonts w:ascii="Times New Roman" w:eastAsia="Times New Roman" w:hAnsi="Times New Roman" w:cs="Times New Roman"/>
                <w:b/>
                <w:bCs/>
                <w:color w:val="000000"/>
                <w:sz w:val="20"/>
                <w:szCs w:val="20"/>
              </w:rPr>
            </w:pPr>
            <w:r w:rsidRPr="00AF4E2F">
              <w:rPr>
                <w:rFonts w:ascii="Times New Roman" w:eastAsia="Times New Roman" w:hAnsi="Times New Roman" w:cs="Times New Roman"/>
                <w:b/>
                <w:bCs/>
                <w:color w:val="000000"/>
                <w:sz w:val="20"/>
                <w:szCs w:val="20"/>
              </w:rPr>
              <w:t>6</w:t>
            </w:r>
          </w:p>
        </w:tc>
        <w:tc>
          <w:tcPr>
            <w:tcW w:w="590" w:type="dxa"/>
            <w:tcBorders>
              <w:top w:val="nil"/>
              <w:left w:val="nil"/>
              <w:bottom w:val="nil"/>
              <w:right w:val="nil"/>
            </w:tcBorders>
            <w:shd w:val="clear" w:color="auto" w:fill="auto"/>
            <w:noWrap/>
            <w:vAlign w:val="center"/>
            <w:hideMark/>
          </w:tcPr>
          <w:p w:rsidR="00AF4E2F" w:rsidRPr="00AF4E2F" w:rsidRDefault="00AF4E2F" w:rsidP="00A724CE">
            <w:pPr>
              <w:spacing w:after="0" w:line="240" w:lineRule="auto"/>
              <w:jc w:val="right"/>
              <w:rPr>
                <w:rFonts w:ascii="Times New Roman" w:eastAsia="Times New Roman" w:hAnsi="Times New Roman" w:cs="Times New Roman"/>
                <w:b/>
                <w:bCs/>
                <w:color w:val="000000"/>
                <w:sz w:val="20"/>
                <w:szCs w:val="20"/>
              </w:rPr>
            </w:pPr>
            <w:r w:rsidRPr="00AF4E2F">
              <w:rPr>
                <w:rFonts w:ascii="Times New Roman" w:eastAsia="Times New Roman" w:hAnsi="Times New Roman" w:cs="Times New Roman"/>
                <w:b/>
                <w:bCs/>
                <w:color w:val="000000"/>
                <w:sz w:val="20"/>
                <w:szCs w:val="20"/>
              </w:rPr>
              <w:t>6</w:t>
            </w:r>
          </w:p>
        </w:tc>
        <w:tc>
          <w:tcPr>
            <w:tcW w:w="590" w:type="dxa"/>
            <w:tcBorders>
              <w:top w:val="nil"/>
              <w:left w:val="nil"/>
              <w:bottom w:val="nil"/>
              <w:right w:val="nil"/>
            </w:tcBorders>
            <w:shd w:val="clear" w:color="auto" w:fill="auto"/>
            <w:noWrap/>
            <w:vAlign w:val="center"/>
            <w:hideMark/>
          </w:tcPr>
          <w:p w:rsidR="00AF4E2F" w:rsidRPr="00AF4E2F" w:rsidRDefault="00AF4E2F" w:rsidP="00A724CE">
            <w:pPr>
              <w:spacing w:after="0" w:line="240" w:lineRule="auto"/>
              <w:jc w:val="right"/>
              <w:rPr>
                <w:rFonts w:ascii="Times New Roman" w:eastAsia="Times New Roman" w:hAnsi="Times New Roman" w:cs="Times New Roman"/>
                <w:b/>
                <w:bCs/>
                <w:color w:val="000000"/>
                <w:sz w:val="20"/>
                <w:szCs w:val="20"/>
              </w:rPr>
            </w:pPr>
            <w:r w:rsidRPr="00AF4E2F">
              <w:rPr>
                <w:rFonts w:ascii="Times New Roman" w:eastAsia="Times New Roman" w:hAnsi="Times New Roman" w:cs="Times New Roman"/>
                <w:b/>
                <w:bCs/>
                <w:color w:val="000000"/>
                <w:sz w:val="20"/>
                <w:szCs w:val="20"/>
              </w:rPr>
              <w:t>4</w:t>
            </w:r>
          </w:p>
        </w:tc>
        <w:tc>
          <w:tcPr>
            <w:tcW w:w="590" w:type="dxa"/>
            <w:tcBorders>
              <w:top w:val="nil"/>
              <w:left w:val="nil"/>
              <w:bottom w:val="nil"/>
              <w:right w:val="nil"/>
            </w:tcBorders>
            <w:shd w:val="clear" w:color="auto" w:fill="auto"/>
            <w:noWrap/>
            <w:vAlign w:val="center"/>
            <w:hideMark/>
          </w:tcPr>
          <w:p w:rsidR="00AF4E2F" w:rsidRPr="00AF4E2F" w:rsidRDefault="00AF4E2F" w:rsidP="00A724CE">
            <w:pPr>
              <w:spacing w:after="0" w:line="240" w:lineRule="auto"/>
              <w:jc w:val="right"/>
              <w:rPr>
                <w:rFonts w:ascii="Times New Roman" w:eastAsia="Times New Roman" w:hAnsi="Times New Roman" w:cs="Times New Roman"/>
                <w:b/>
                <w:bCs/>
                <w:color w:val="000000"/>
                <w:sz w:val="20"/>
                <w:szCs w:val="20"/>
              </w:rPr>
            </w:pPr>
            <w:r w:rsidRPr="00AF4E2F">
              <w:rPr>
                <w:rFonts w:ascii="Times New Roman" w:eastAsia="Times New Roman" w:hAnsi="Times New Roman" w:cs="Times New Roman"/>
                <w:b/>
                <w:bCs/>
                <w:color w:val="000000"/>
                <w:sz w:val="20"/>
                <w:szCs w:val="20"/>
              </w:rPr>
              <w:t>3</w:t>
            </w:r>
          </w:p>
        </w:tc>
        <w:tc>
          <w:tcPr>
            <w:tcW w:w="590" w:type="dxa"/>
            <w:tcBorders>
              <w:top w:val="nil"/>
              <w:left w:val="nil"/>
              <w:bottom w:val="nil"/>
              <w:right w:val="nil"/>
            </w:tcBorders>
            <w:shd w:val="clear" w:color="auto" w:fill="auto"/>
            <w:noWrap/>
            <w:vAlign w:val="center"/>
            <w:hideMark/>
          </w:tcPr>
          <w:p w:rsidR="00AF4E2F" w:rsidRPr="00AF4E2F" w:rsidRDefault="00AF4E2F" w:rsidP="00A724CE">
            <w:pPr>
              <w:spacing w:after="0" w:line="240" w:lineRule="auto"/>
              <w:jc w:val="right"/>
              <w:rPr>
                <w:rFonts w:ascii="Times New Roman" w:eastAsia="Times New Roman" w:hAnsi="Times New Roman" w:cs="Times New Roman"/>
                <w:b/>
                <w:bCs/>
                <w:color w:val="000000"/>
                <w:sz w:val="20"/>
                <w:szCs w:val="20"/>
              </w:rPr>
            </w:pPr>
            <w:r w:rsidRPr="00AF4E2F">
              <w:rPr>
                <w:rFonts w:ascii="Times New Roman" w:eastAsia="Times New Roman" w:hAnsi="Times New Roman" w:cs="Times New Roman"/>
                <w:b/>
                <w:bCs/>
                <w:color w:val="000000"/>
                <w:sz w:val="20"/>
                <w:szCs w:val="20"/>
              </w:rPr>
              <w:t>7</w:t>
            </w:r>
          </w:p>
        </w:tc>
        <w:tc>
          <w:tcPr>
            <w:tcW w:w="595" w:type="dxa"/>
            <w:tcBorders>
              <w:top w:val="nil"/>
              <w:left w:val="nil"/>
              <w:bottom w:val="nil"/>
              <w:right w:val="nil"/>
            </w:tcBorders>
            <w:shd w:val="clear" w:color="auto" w:fill="auto"/>
            <w:noWrap/>
            <w:vAlign w:val="center"/>
            <w:hideMark/>
          </w:tcPr>
          <w:p w:rsidR="00AF4E2F" w:rsidRPr="00AF4E2F" w:rsidRDefault="00AF4E2F" w:rsidP="00A724CE">
            <w:pPr>
              <w:spacing w:after="0" w:line="240" w:lineRule="auto"/>
              <w:jc w:val="right"/>
              <w:rPr>
                <w:rFonts w:ascii="Times New Roman" w:eastAsia="Times New Roman" w:hAnsi="Times New Roman" w:cs="Times New Roman"/>
                <w:b/>
                <w:bCs/>
                <w:color w:val="000000"/>
                <w:sz w:val="20"/>
                <w:szCs w:val="20"/>
              </w:rPr>
            </w:pPr>
            <w:r w:rsidRPr="00AF4E2F">
              <w:rPr>
                <w:rFonts w:ascii="Times New Roman" w:eastAsia="Times New Roman" w:hAnsi="Times New Roman" w:cs="Times New Roman"/>
                <w:b/>
                <w:bCs/>
                <w:color w:val="000000"/>
                <w:sz w:val="20"/>
                <w:szCs w:val="20"/>
              </w:rPr>
              <w:t>3</w:t>
            </w:r>
          </w:p>
        </w:tc>
      </w:tr>
      <w:tr w:rsidR="00AF4E2F" w:rsidRPr="00AF4E2F" w:rsidTr="00A724CE">
        <w:trPr>
          <w:trHeight w:val="780"/>
        </w:trPr>
        <w:tc>
          <w:tcPr>
            <w:tcW w:w="4111" w:type="dxa"/>
            <w:tcBorders>
              <w:top w:val="nil"/>
              <w:left w:val="nil"/>
              <w:bottom w:val="single" w:sz="4" w:space="0" w:color="auto"/>
              <w:right w:val="single" w:sz="4" w:space="0" w:color="auto"/>
            </w:tcBorders>
            <w:shd w:val="clear" w:color="000000" w:fill="F2F2F2"/>
            <w:vAlign w:val="bottom"/>
            <w:hideMark/>
          </w:tcPr>
          <w:p w:rsidR="00AF4E2F" w:rsidRPr="00AF4E2F" w:rsidRDefault="00AF4E2F" w:rsidP="00AF4E2F">
            <w:pPr>
              <w:spacing w:after="0" w:line="240" w:lineRule="auto"/>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potreba finančných prostriedkov na výstavbu a rekonštrukciu prvovýrobných kapacít  vrátane technológie v tis. EUR</w:t>
            </w:r>
          </w:p>
        </w:tc>
        <w:tc>
          <w:tcPr>
            <w:tcW w:w="670" w:type="dxa"/>
            <w:tcBorders>
              <w:top w:val="nil"/>
              <w:left w:val="nil"/>
              <w:bottom w:val="single" w:sz="4" w:space="0" w:color="auto"/>
              <w:right w:val="nil"/>
            </w:tcBorders>
            <w:shd w:val="clear" w:color="000000" w:fill="F2F2F2"/>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2 232</w:t>
            </w:r>
          </w:p>
        </w:tc>
        <w:tc>
          <w:tcPr>
            <w:tcW w:w="590" w:type="dxa"/>
            <w:tcBorders>
              <w:top w:val="nil"/>
              <w:left w:val="nil"/>
              <w:bottom w:val="single" w:sz="4" w:space="0" w:color="auto"/>
              <w:right w:val="nil"/>
            </w:tcBorders>
            <w:shd w:val="clear" w:color="000000" w:fill="F2F2F2"/>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3 415</w:t>
            </w:r>
          </w:p>
        </w:tc>
        <w:tc>
          <w:tcPr>
            <w:tcW w:w="708" w:type="dxa"/>
            <w:tcBorders>
              <w:top w:val="nil"/>
              <w:left w:val="nil"/>
              <w:bottom w:val="single" w:sz="4" w:space="0" w:color="auto"/>
              <w:right w:val="nil"/>
            </w:tcBorders>
            <w:shd w:val="clear" w:color="000000" w:fill="F2F2F2"/>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5 863</w:t>
            </w:r>
          </w:p>
        </w:tc>
        <w:tc>
          <w:tcPr>
            <w:tcW w:w="590" w:type="dxa"/>
            <w:tcBorders>
              <w:top w:val="nil"/>
              <w:left w:val="nil"/>
              <w:bottom w:val="single" w:sz="4" w:space="0" w:color="auto"/>
              <w:right w:val="nil"/>
            </w:tcBorders>
            <w:shd w:val="clear" w:color="000000" w:fill="F2F2F2"/>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5 552</w:t>
            </w:r>
          </w:p>
        </w:tc>
        <w:tc>
          <w:tcPr>
            <w:tcW w:w="590" w:type="dxa"/>
            <w:tcBorders>
              <w:top w:val="nil"/>
              <w:left w:val="nil"/>
              <w:bottom w:val="single" w:sz="4" w:space="0" w:color="auto"/>
              <w:right w:val="nil"/>
            </w:tcBorders>
            <w:shd w:val="clear" w:color="000000" w:fill="F2F2F2"/>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3 860</w:t>
            </w:r>
          </w:p>
        </w:tc>
        <w:tc>
          <w:tcPr>
            <w:tcW w:w="590" w:type="dxa"/>
            <w:tcBorders>
              <w:top w:val="nil"/>
              <w:left w:val="nil"/>
              <w:bottom w:val="single" w:sz="4" w:space="0" w:color="auto"/>
              <w:right w:val="nil"/>
            </w:tcBorders>
            <w:shd w:val="clear" w:color="000000" w:fill="F2F2F2"/>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2 650</w:t>
            </w:r>
          </w:p>
        </w:tc>
        <w:tc>
          <w:tcPr>
            <w:tcW w:w="590" w:type="dxa"/>
            <w:tcBorders>
              <w:top w:val="nil"/>
              <w:left w:val="nil"/>
              <w:bottom w:val="single" w:sz="4" w:space="0" w:color="auto"/>
              <w:right w:val="nil"/>
            </w:tcBorders>
            <w:shd w:val="clear" w:color="000000" w:fill="F2F2F2"/>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6 096</w:t>
            </w:r>
          </w:p>
        </w:tc>
        <w:tc>
          <w:tcPr>
            <w:tcW w:w="595" w:type="dxa"/>
            <w:tcBorders>
              <w:top w:val="nil"/>
              <w:left w:val="nil"/>
              <w:bottom w:val="single" w:sz="4" w:space="0" w:color="auto"/>
              <w:right w:val="nil"/>
            </w:tcBorders>
            <w:shd w:val="clear" w:color="000000" w:fill="F2F2F2"/>
            <w:noWrap/>
            <w:vAlign w:val="center"/>
            <w:hideMark/>
          </w:tcPr>
          <w:p w:rsidR="00AF4E2F" w:rsidRPr="00AF4E2F" w:rsidRDefault="00AF4E2F" w:rsidP="00A724CE">
            <w:pPr>
              <w:spacing w:after="0" w:line="240" w:lineRule="auto"/>
              <w:jc w:val="right"/>
              <w:rPr>
                <w:rFonts w:ascii="Times New Roman" w:eastAsia="Times New Roman" w:hAnsi="Times New Roman" w:cs="Times New Roman"/>
                <w:color w:val="000000"/>
                <w:sz w:val="20"/>
                <w:szCs w:val="20"/>
              </w:rPr>
            </w:pPr>
            <w:r w:rsidRPr="00AF4E2F">
              <w:rPr>
                <w:rFonts w:ascii="Times New Roman" w:eastAsia="Times New Roman" w:hAnsi="Times New Roman" w:cs="Times New Roman"/>
                <w:color w:val="000000"/>
                <w:sz w:val="20"/>
                <w:szCs w:val="20"/>
              </w:rPr>
              <w:t>2 541</w:t>
            </w:r>
          </w:p>
        </w:tc>
      </w:tr>
    </w:tbl>
    <w:p w:rsidR="00EF5233" w:rsidRPr="00C431FF" w:rsidRDefault="00EF5233" w:rsidP="00EF523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odhad MPRV</w:t>
      </w:r>
    </w:p>
    <w:p w:rsidR="00FC1B37" w:rsidRDefault="00FC1B37" w:rsidP="00FC1B37">
      <w:pPr>
        <w:spacing w:after="0" w:line="240" w:lineRule="auto"/>
        <w:jc w:val="both"/>
        <w:rPr>
          <w:rFonts w:ascii="Times New Roman" w:eastAsia="Calibri" w:hAnsi="Times New Roman"/>
          <w:sz w:val="24"/>
          <w:szCs w:val="24"/>
        </w:rPr>
      </w:pPr>
    </w:p>
    <w:p w:rsidR="00EF5233" w:rsidRDefault="00EF5233" w:rsidP="00EF523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Prvovýrobné kapacity, t.j. kapacity chovov, z hľadiska plánovaného zvýšenia stavov hydiny, postačujú iba čiastočne, avšak vzhľadom na to, že väčšina v súčasnosti z existujúcich kapacít technologicky nepostačuje, predpokladáme dodatočnú potrebu finančných prostriedkov čiastočne na ich kompletnú rekonštrukciu vrátane technológie a čiastočne na dobudovanie potrebných kapacít, a to vo výške cca 32,2 mil. EUR. </w:t>
      </w:r>
    </w:p>
    <w:p w:rsidR="00EF5233" w:rsidRDefault="00EF5233" w:rsidP="00EF5233">
      <w:pPr>
        <w:spacing w:after="0" w:line="240" w:lineRule="auto"/>
        <w:jc w:val="both"/>
        <w:rPr>
          <w:rFonts w:ascii="Times New Roman" w:eastAsia="Calibri" w:hAnsi="Times New Roman"/>
          <w:sz w:val="24"/>
          <w:szCs w:val="24"/>
        </w:rPr>
      </w:pPr>
    </w:p>
    <w:p w:rsidR="00AF4E2F" w:rsidRDefault="00AF4E2F" w:rsidP="00AF4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Podporou zvýšenia produkčnej výkonnosti spracovateľského mäsopriemyslu na Slovensku, formou </w:t>
      </w:r>
      <w:r w:rsidR="00DF289D">
        <w:rPr>
          <w:rFonts w:ascii="Times New Roman" w:hAnsi="Times New Roman" w:cs="Times New Roman"/>
          <w:sz w:val="24"/>
          <w:szCs w:val="24"/>
        </w:rPr>
        <w:t>rekonštrukcie existujúcich a výstavby nových bitúnkov</w:t>
      </w:r>
      <w:r>
        <w:rPr>
          <w:rFonts w:ascii="Times New Roman" w:hAnsi="Times New Roman" w:cs="Times New Roman"/>
          <w:sz w:val="24"/>
          <w:szCs w:val="24"/>
        </w:rPr>
        <w:t xml:space="preserve">, sa zabezpečí, s ohľadom na naplnenie požadovaných kvantitatívnych a kvalitatívnych parametrov živočíšnej výroby, zvýšenie miery spracovania jatočného hovädzieho dobytka, a to v objeme 3 630 ton v jatočnej hmotnosti, jatočných ošípaných v objeme 24 203 ton v jatočnej hmotnosti a jatočnej hydiny v objeme </w:t>
      </w:r>
      <w:r w:rsidR="00E705C6">
        <w:rPr>
          <w:rFonts w:ascii="Times New Roman" w:hAnsi="Times New Roman" w:cs="Times New Roman"/>
          <w:sz w:val="24"/>
          <w:szCs w:val="24"/>
        </w:rPr>
        <w:t>26</w:t>
      </w:r>
      <w:r>
        <w:rPr>
          <w:rFonts w:ascii="Times New Roman" w:hAnsi="Times New Roman" w:cs="Times New Roman"/>
          <w:sz w:val="24"/>
          <w:szCs w:val="24"/>
        </w:rPr>
        <w:t> </w:t>
      </w:r>
      <w:r w:rsidR="00E705C6">
        <w:rPr>
          <w:rFonts w:ascii="Times New Roman" w:hAnsi="Times New Roman" w:cs="Times New Roman"/>
          <w:sz w:val="24"/>
          <w:szCs w:val="24"/>
        </w:rPr>
        <w:t>676</w:t>
      </w:r>
      <w:r>
        <w:rPr>
          <w:rFonts w:ascii="Times New Roman" w:hAnsi="Times New Roman" w:cs="Times New Roman"/>
          <w:sz w:val="24"/>
          <w:szCs w:val="24"/>
        </w:rPr>
        <w:t xml:space="preserve"> ton v jatočnej hmotnosti. </w:t>
      </w:r>
    </w:p>
    <w:p w:rsidR="00AF4E2F" w:rsidRDefault="00AF4E2F" w:rsidP="00AF4E2F">
      <w:pPr>
        <w:spacing w:after="0" w:line="240" w:lineRule="auto"/>
        <w:jc w:val="both"/>
        <w:rPr>
          <w:rFonts w:ascii="Times New Roman" w:hAnsi="Times New Roman" w:cs="Times New Roman"/>
          <w:sz w:val="24"/>
          <w:szCs w:val="24"/>
        </w:rPr>
      </w:pPr>
    </w:p>
    <w:p w:rsidR="00AF4E2F" w:rsidRPr="00372F93" w:rsidRDefault="00C970F8" w:rsidP="00AF4E2F">
      <w:pPr>
        <w:tabs>
          <w:tab w:val="left"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t>Tab. č. 57</w:t>
      </w:r>
      <w:r w:rsidR="00AF4E2F" w:rsidRPr="00A855A4">
        <w:rPr>
          <w:rFonts w:ascii="Times New Roman" w:hAnsi="Times New Roman" w:cs="Times New Roman"/>
          <w:sz w:val="20"/>
          <w:szCs w:val="20"/>
        </w:rPr>
        <w:t xml:space="preserve">: </w:t>
      </w:r>
      <w:r w:rsidR="00DF289D">
        <w:rPr>
          <w:rFonts w:ascii="Times New Roman" w:hAnsi="Times New Roman" w:cs="Times New Roman"/>
          <w:sz w:val="20"/>
          <w:szCs w:val="20"/>
        </w:rPr>
        <w:tab/>
        <w:t>Predpokladaná</w:t>
      </w:r>
      <w:r w:rsidR="00AF4E2F">
        <w:rPr>
          <w:rFonts w:ascii="Times New Roman" w:hAnsi="Times New Roman" w:cs="Times New Roman"/>
          <w:sz w:val="20"/>
          <w:szCs w:val="20"/>
        </w:rPr>
        <w:t xml:space="preserve"> </w:t>
      </w:r>
      <w:r w:rsidR="00DF289D">
        <w:rPr>
          <w:rFonts w:ascii="Times New Roman" w:hAnsi="Times New Roman" w:cs="Times New Roman"/>
          <w:sz w:val="20"/>
          <w:szCs w:val="20"/>
        </w:rPr>
        <w:t>štruktúra cieleného zvýšenia objemu spracovania produktov živočíšnej prvovýroby</w:t>
      </w:r>
      <w:r w:rsidR="00AF4E2F">
        <w:rPr>
          <w:rFonts w:ascii="Times New Roman" w:hAnsi="Times New Roman" w:cs="Times New Roman"/>
          <w:sz w:val="20"/>
          <w:szCs w:val="20"/>
        </w:rPr>
        <w:t xml:space="preserve"> </w:t>
      </w:r>
    </w:p>
    <w:tbl>
      <w:tblPr>
        <w:tblW w:w="9084" w:type="dxa"/>
        <w:tblInd w:w="58" w:type="dxa"/>
        <w:tblCellMar>
          <w:left w:w="70" w:type="dxa"/>
          <w:right w:w="70" w:type="dxa"/>
        </w:tblCellMar>
        <w:tblLook w:val="04A0" w:firstRow="1" w:lastRow="0" w:firstColumn="1" w:lastColumn="0" w:noHBand="0" w:noVBand="1"/>
      </w:tblPr>
      <w:tblGrid>
        <w:gridCol w:w="2564"/>
        <w:gridCol w:w="6520"/>
      </w:tblGrid>
      <w:tr w:rsidR="00DF289D" w:rsidRPr="00A94F5E" w:rsidTr="00DF289D">
        <w:trPr>
          <w:trHeight w:val="727"/>
        </w:trPr>
        <w:tc>
          <w:tcPr>
            <w:tcW w:w="2564" w:type="dxa"/>
            <w:tcBorders>
              <w:top w:val="nil"/>
              <w:left w:val="nil"/>
              <w:bottom w:val="single" w:sz="4" w:space="0" w:color="auto"/>
              <w:right w:val="single" w:sz="4" w:space="0" w:color="auto"/>
            </w:tcBorders>
            <w:shd w:val="clear" w:color="000000" w:fill="D8D8D8"/>
            <w:noWrap/>
            <w:vAlign w:val="bottom"/>
            <w:hideMark/>
          </w:tcPr>
          <w:p w:rsidR="00DF289D" w:rsidRPr="00A94F5E" w:rsidRDefault="00DF289D" w:rsidP="00A94F5E">
            <w:pPr>
              <w:spacing w:after="0" w:line="240" w:lineRule="auto"/>
              <w:rPr>
                <w:rFonts w:ascii="Times New Roman" w:eastAsia="Times New Roman" w:hAnsi="Times New Roman" w:cs="Times New Roman"/>
                <w:color w:val="000000"/>
                <w:sz w:val="20"/>
                <w:szCs w:val="20"/>
              </w:rPr>
            </w:pPr>
            <w:r w:rsidRPr="00A94F5E">
              <w:rPr>
                <w:rFonts w:ascii="Times New Roman" w:eastAsia="Times New Roman" w:hAnsi="Times New Roman" w:cs="Times New Roman"/>
                <w:color w:val="000000"/>
                <w:sz w:val="20"/>
                <w:szCs w:val="20"/>
              </w:rPr>
              <w:t> </w:t>
            </w:r>
          </w:p>
        </w:tc>
        <w:tc>
          <w:tcPr>
            <w:tcW w:w="6520" w:type="dxa"/>
            <w:tcBorders>
              <w:top w:val="nil"/>
              <w:left w:val="nil"/>
              <w:bottom w:val="single" w:sz="4" w:space="0" w:color="auto"/>
              <w:right w:val="nil"/>
            </w:tcBorders>
            <w:shd w:val="clear" w:color="000000" w:fill="D8D8D8"/>
            <w:hideMark/>
          </w:tcPr>
          <w:p w:rsidR="00DF289D" w:rsidRDefault="00DF289D" w:rsidP="00A94F5E">
            <w:pPr>
              <w:spacing w:after="0" w:line="240" w:lineRule="auto"/>
              <w:jc w:val="center"/>
              <w:rPr>
                <w:rFonts w:ascii="Times New Roman" w:eastAsia="Times New Roman" w:hAnsi="Times New Roman" w:cs="Times New Roman"/>
                <w:bCs/>
                <w:color w:val="000000"/>
                <w:sz w:val="20"/>
                <w:szCs w:val="20"/>
              </w:rPr>
            </w:pPr>
            <w:r w:rsidRPr="00A94F5E">
              <w:rPr>
                <w:rFonts w:ascii="Times New Roman" w:eastAsia="Times New Roman" w:hAnsi="Times New Roman" w:cs="Times New Roman"/>
                <w:b/>
                <w:bCs/>
                <w:color w:val="000000"/>
                <w:sz w:val="20"/>
                <w:szCs w:val="20"/>
              </w:rPr>
              <w:t>cielené zvýšenie ročného objemu s</w:t>
            </w:r>
            <w:r>
              <w:rPr>
                <w:rFonts w:ascii="Times New Roman" w:eastAsia="Times New Roman" w:hAnsi="Times New Roman" w:cs="Times New Roman"/>
                <w:b/>
                <w:bCs/>
                <w:color w:val="000000"/>
                <w:sz w:val="20"/>
                <w:szCs w:val="20"/>
              </w:rPr>
              <w:t xml:space="preserve">pracovania produktov živočíšnej </w:t>
            </w:r>
            <w:r w:rsidRPr="00A94F5E">
              <w:rPr>
                <w:rFonts w:ascii="Times New Roman" w:eastAsia="Times New Roman" w:hAnsi="Times New Roman" w:cs="Times New Roman"/>
                <w:b/>
                <w:bCs/>
                <w:color w:val="000000"/>
                <w:sz w:val="20"/>
                <w:szCs w:val="20"/>
              </w:rPr>
              <w:t>prvovýroby</w:t>
            </w:r>
            <w:r w:rsidRPr="00A94F5E">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 xml:space="preserve">         </w:t>
            </w:r>
          </w:p>
          <w:p w:rsidR="00DF289D" w:rsidRPr="00A94F5E" w:rsidRDefault="00DF289D" w:rsidP="00A94F5E">
            <w:pPr>
              <w:spacing w:after="0" w:line="240" w:lineRule="auto"/>
              <w:jc w:val="center"/>
              <w:rPr>
                <w:rFonts w:ascii="Times New Roman" w:eastAsia="Times New Roman" w:hAnsi="Times New Roman" w:cs="Times New Roman"/>
                <w:bCs/>
                <w:color w:val="000000"/>
                <w:sz w:val="20"/>
                <w:szCs w:val="20"/>
              </w:rPr>
            </w:pPr>
            <w:r w:rsidRPr="00A94F5E">
              <w:rPr>
                <w:rFonts w:ascii="Times New Roman" w:eastAsia="Times New Roman" w:hAnsi="Times New Roman" w:cs="Times New Roman"/>
                <w:bCs/>
                <w:color w:val="000000"/>
                <w:sz w:val="20"/>
                <w:szCs w:val="20"/>
              </w:rPr>
              <w:t>v tonách jatočnej hmotnosti</w:t>
            </w:r>
          </w:p>
        </w:tc>
      </w:tr>
      <w:tr w:rsidR="00DF289D" w:rsidRPr="00A94F5E" w:rsidTr="00DF289D">
        <w:trPr>
          <w:trHeight w:val="300"/>
        </w:trPr>
        <w:tc>
          <w:tcPr>
            <w:tcW w:w="2564" w:type="dxa"/>
            <w:tcBorders>
              <w:top w:val="nil"/>
              <w:left w:val="nil"/>
              <w:bottom w:val="nil"/>
              <w:right w:val="single" w:sz="4" w:space="0" w:color="auto"/>
            </w:tcBorders>
            <w:shd w:val="clear" w:color="auto" w:fill="auto"/>
            <w:noWrap/>
            <w:vAlign w:val="bottom"/>
            <w:hideMark/>
          </w:tcPr>
          <w:p w:rsidR="00DF289D" w:rsidRPr="00A94F5E" w:rsidRDefault="00DF289D" w:rsidP="00A94F5E">
            <w:pPr>
              <w:spacing w:after="0" w:line="240" w:lineRule="auto"/>
              <w:rPr>
                <w:rFonts w:ascii="Times New Roman" w:eastAsia="Times New Roman" w:hAnsi="Times New Roman" w:cs="Times New Roman"/>
                <w:color w:val="000000"/>
                <w:sz w:val="20"/>
                <w:szCs w:val="20"/>
              </w:rPr>
            </w:pPr>
            <w:r w:rsidRPr="00A94F5E">
              <w:rPr>
                <w:rFonts w:ascii="Times New Roman" w:eastAsia="Times New Roman" w:hAnsi="Times New Roman" w:cs="Times New Roman"/>
                <w:color w:val="000000"/>
                <w:sz w:val="20"/>
                <w:szCs w:val="20"/>
              </w:rPr>
              <w:t>hovädzí dobytok</w:t>
            </w:r>
          </w:p>
        </w:tc>
        <w:tc>
          <w:tcPr>
            <w:tcW w:w="6520" w:type="dxa"/>
            <w:tcBorders>
              <w:top w:val="nil"/>
              <w:left w:val="nil"/>
              <w:bottom w:val="nil"/>
              <w:right w:val="nil"/>
            </w:tcBorders>
            <w:shd w:val="clear" w:color="auto" w:fill="auto"/>
            <w:noWrap/>
            <w:vAlign w:val="bottom"/>
            <w:hideMark/>
          </w:tcPr>
          <w:p w:rsidR="00DF289D" w:rsidRPr="00A94F5E" w:rsidRDefault="00DF289D" w:rsidP="00A94F5E">
            <w:pPr>
              <w:spacing w:after="0" w:line="240" w:lineRule="auto"/>
              <w:jc w:val="right"/>
              <w:rPr>
                <w:rFonts w:ascii="Times New Roman" w:eastAsia="Times New Roman" w:hAnsi="Times New Roman" w:cs="Times New Roman"/>
                <w:color w:val="000000"/>
                <w:sz w:val="20"/>
                <w:szCs w:val="20"/>
              </w:rPr>
            </w:pPr>
            <w:r w:rsidRPr="00A94F5E">
              <w:rPr>
                <w:rFonts w:ascii="Times New Roman" w:eastAsia="Times New Roman" w:hAnsi="Times New Roman" w:cs="Times New Roman"/>
                <w:color w:val="000000"/>
                <w:sz w:val="20"/>
                <w:szCs w:val="20"/>
              </w:rPr>
              <w:t>3 630</w:t>
            </w:r>
          </w:p>
        </w:tc>
      </w:tr>
      <w:tr w:rsidR="00DF289D" w:rsidRPr="00A94F5E" w:rsidTr="00DF289D">
        <w:trPr>
          <w:trHeight w:val="300"/>
        </w:trPr>
        <w:tc>
          <w:tcPr>
            <w:tcW w:w="2564" w:type="dxa"/>
            <w:tcBorders>
              <w:top w:val="nil"/>
              <w:left w:val="nil"/>
              <w:bottom w:val="nil"/>
              <w:right w:val="single" w:sz="4" w:space="0" w:color="auto"/>
            </w:tcBorders>
            <w:shd w:val="clear" w:color="000000" w:fill="F2F2F2"/>
            <w:noWrap/>
            <w:vAlign w:val="bottom"/>
            <w:hideMark/>
          </w:tcPr>
          <w:p w:rsidR="00DF289D" w:rsidRPr="00A94F5E" w:rsidRDefault="00DF289D" w:rsidP="00A94F5E">
            <w:pPr>
              <w:spacing w:after="0" w:line="240" w:lineRule="auto"/>
              <w:rPr>
                <w:rFonts w:ascii="Times New Roman" w:eastAsia="Times New Roman" w:hAnsi="Times New Roman" w:cs="Times New Roman"/>
                <w:color w:val="000000"/>
                <w:sz w:val="20"/>
                <w:szCs w:val="20"/>
              </w:rPr>
            </w:pPr>
            <w:r w:rsidRPr="00A94F5E">
              <w:rPr>
                <w:rFonts w:ascii="Times New Roman" w:eastAsia="Times New Roman" w:hAnsi="Times New Roman" w:cs="Times New Roman"/>
                <w:color w:val="000000"/>
                <w:sz w:val="20"/>
                <w:szCs w:val="20"/>
              </w:rPr>
              <w:t>ošípané</w:t>
            </w:r>
          </w:p>
        </w:tc>
        <w:tc>
          <w:tcPr>
            <w:tcW w:w="6520" w:type="dxa"/>
            <w:tcBorders>
              <w:top w:val="nil"/>
              <w:left w:val="nil"/>
              <w:bottom w:val="nil"/>
              <w:right w:val="nil"/>
            </w:tcBorders>
            <w:shd w:val="clear" w:color="000000" w:fill="F2F2F2"/>
            <w:noWrap/>
            <w:vAlign w:val="bottom"/>
            <w:hideMark/>
          </w:tcPr>
          <w:p w:rsidR="00DF289D" w:rsidRPr="00A94F5E" w:rsidRDefault="00DF289D" w:rsidP="00A94F5E">
            <w:pPr>
              <w:spacing w:after="0" w:line="240" w:lineRule="auto"/>
              <w:jc w:val="right"/>
              <w:rPr>
                <w:rFonts w:ascii="Times New Roman" w:eastAsia="Times New Roman" w:hAnsi="Times New Roman" w:cs="Times New Roman"/>
                <w:color w:val="000000"/>
                <w:sz w:val="20"/>
                <w:szCs w:val="20"/>
              </w:rPr>
            </w:pPr>
            <w:r w:rsidRPr="00A94F5E">
              <w:rPr>
                <w:rFonts w:ascii="Times New Roman" w:eastAsia="Times New Roman" w:hAnsi="Times New Roman" w:cs="Times New Roman"/>
                <w:color w:val="000000"/>
                <w:sz w:val="20"/>
                <w:szCs w:val="20"/>
              </w:rPr>
              <w:t>24 203</w:t>
            </w:r>
          </w:p>
        </w:tc>
      </w:tr>
      <w:tr w:rsidR="00DF289D" w:rsidRPr="00A94F5E" w:rsidTr="00DF289D">
        <w:trPr>
          <w:trHeight w:val="300"/>
        </w:trPr>
        <w:tc>
          <w:tcPr>
            <w:tcW w:w="2564" w:type="dxa"/>
            <w:tcBorders>
              <w:top w:val="nil"/>
              <w:left w:val="nil"/>
              <w:bottom w:val="single" w:sz="4" w:space="0" w:color="auto"/>
              <w:right w:val="single" w:sz="4" w:space="0" w:color="auto"/>
            </w:tcBorders>
            <w:shd w:val="clear" w:color="auto" w:fill="auto"/>
            <w:noWrap/>
            <w:vAlign w:val="bottom"/>
            <w:hideMark/>
          </w:tcPr>
          <w:p w:rsidR="00DF289D" w:rsidRPr="00A94F5E" w:rsidRDefault="00DF289D" w:rsidP="00A94F5E">
            <w:pPr>
              <w:spacing w:after="0" w:line="240" w:lineRule="auto"/>
              <w:rPr>
                <w:rFonts w:ascii="Times New Roman" w:eastAsia="Times New Roman" w:hAnsi="Times New Roman" w:cs="Times New Roman"/>
                <w:color w:val="000000"/>
                <w:sz w:val="20"/>
                <w:szCs w:val="20"/>
              </w:rPr>
            </w:pPr>
            <w:r w:rsidRPr="00A94F5E">
              <w:rPr>
                <w:rFonts w:ascii="Times New Roman" w:eastAsia="Times New Roman" w:hAnsi="Times New Roman" w:cs="Times New Roman"/>
                <w:color w:val="000000"/>
                <w:sz w:val="20"/>
                <w:szCs w:val="20"/>
              </w:rPr>
              <w:t>hydina</w:t>
            </w:r>
          </w:p>
        </w:tc>
        <w:tc>
          <w:tcPr>
            <w:tcW w:w="6520" w:type="dxa"/>
            <w:tcBorders>
              <w:top w:val="nil"/>
              <w:left w:val="nil"/>
              <w:bottom w:val="single" w:sz="4" w:space="0" w:color="auto"/>
              <w:right w:val="nil"/>
            </w:tcBorders>
            <w:shd w:val="clear" w:color="auto" w:fill="auto"/>
            <w:noWrap/>
            <w:vAlign w:val="bottom"/>
            <w:hideMark/>
          </w:tcPr>
          <w:p w:rsidR="00DF289D" w:rsidRPr="00A94F5E" w:rsidRDefault="00DF289D" w:rsidP="00A94F5E">
            <w:pPr>
              <w:spacing w:after="0" w:line="240" w:lineRule="auto"/>
              <w:jc w:val="right"/>
              <w:rPr>
                <w:rFonts w:ascii="Times New Roman" w:eastAsia="Times New Roman" w:hAnsi="Times New Roman" w:cs="Times New Roman"/>
                <w:color w:val="000000"/>
                <w:sz w:val="20"/>
                <w:szCs w:val="20"/>
              </w:rPr>
            </w:pPr>
            <w:r w:rsidRPr="00A94F5E">
              <w:rPr>
                <w:rFonts w:ascii="Times New Roman" w:eastAsia="Times New Roman" w:hAnsi="Times New Roman" w:cs="Times New Roman"/>
                <w:color w:val="000000"/>
                <w:sz w:val="20"/>
                <w:szCs w:val="20"/>
              </w:rPr>
              <w:t>26 676</w:t>
            </w:r>
          </w:p>
        </w:tc>
      </w:tr>
      <w:tr w:rsidR="00DF289D" w:rsidRPr="00A94F5E" w:rsidTr="00DF289D">
        <w:trPr>
          <w:trHeight w:val="300"/>
        </w:trPr>
        <w:tc>
          <w:tcPr>
            <w:tcW w:w="2564" w:type="dxa"/>
            <w:tcBorders>
              <w:top w:val="nil"/>
              <w:left w:val="single" w:sz="4" w:space="0" w:color="auto"/>
              <w:bottom w:val="single" w:sz="4" w:space="0" w:color="auto"/>
              <w:right w:val="single" w:sz="4" w:space="0" w:color="auto"/>
            </w:tcBorders>
            <w:shd w:val="clear" w:color="000000" w:fill="F2F2F2"/>
            <w:noWrap/>
            <w:vAlign w:val="bottom"/>
            <w:hideMark/>
          </w:tcPr>
          <w:p w:rsidR="00DF289D" w:rsidRPr="00A94F5E" w:rsidRDefault="00DF289D" w:rsidP="00A94F5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Spolu</w:t>
            </w:r>
          </w:p>
        </w:tc>
        <w:tc>
          <w:tcPr>
            <w:tcW w:w="6520" w:type="dxa"/>
            <w:tcBorders>
              <w:top w:val="nil"/>
              <w:left w:val="nil"/>
              <w:bottom w:val="single" w:sz="4" w:space="0" w:color="auto"/>
              <w:right w:val="nil"/>
            </w:tcBorders>
            <w:shd w:val="clear" w:color="000000" w:fill="F2F2F2"/>
            <w:noWrap/>
            <w:vAlign w:val="bottom"/>
            <w:hideMark/>
          </w:tcPr>
          <w:p w:rsidR="00DF289D" w:rsidRPr="00A94F5E" w:rsidRDefault="00DF289D" w:rsidP="00A94F5E">
            <w:pPr>
              <w:spacing w:after="0" w:line="240" w:lineRule="auto"/>
              <w:jc w:val="right"/>
              <w:rPr>
                <w:rFonts w:ascii="Times New Roman" w:eastAsia="Times New Roman" w:hAnsi="Times New Roman" w:cs="Times New Roman"/>
                <w:b/>
                <w:bCs/>
                <w:color w:val="000000"/>
                <w:sz w:val="20"/>
                <w:szCs w:val="20"/>
              </w:rPr>
            </w:pPr>
            <w:r w:rsidRPr="00A94F5E">
              <w:rPr>
                <w:rFonts w:ascii="Times New Roman" w:eastAsia="Times New Roman" w:hAnsi="Times New Roman" w:cs="Times New Roman"/>
                <w:b/>
                <w:bCs/>
                <w:color w:val="000000"/>
                <w:sz w:val="20"/>
                <w:szCs w:val="20"/>
              </w:rPr>
              <w:t>54 509</w:t>
            </w:r>
          </w:p>
        </w:tc>
      </w:tr>
    </w:tbl>
    <w:p w:rsidR="00AF4E2F" w:rsidRPr="00C431FF" w:rsidRDefault="00AF4E2F" w:rsidP="00AF4E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odhad MPRV</w:t>
      </w:r>
    </w:p>
    <w:p w:rsidR="00AF4E2F" w:rsidRDefault="00AF4E2F" w:rsidP="00AF4E2F">
      <w:pPr>
        <w:spacing w:after="0" w:line="240" w:lineRule="auto"/>
        <w:jc w:val="both"/>
        <w:rPr>
          <w:rFonts w:ascii="Times New Roman" w:hAnsi="Times New Roman" w:cs="Times New Roman"/>
          <w:sz w:val="24"/>
          <w:szCs w:val="24"/>
        </w:rPr>
      </w:pPr>
    </w:p>
    <w:p w:rsidR="00AF4E2F" w:rsidRDefault="00AF4E2F" w:rsidP="00AF4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Predpokladáme, že v záujme dosiahnutia požadovaného dodatočného objemu spracovania špecifikovaných produktov živočíšnej prvovýroby bude </w:t>
      </w:r>
      <w:r w:rsidRPr="00611CC9">
        <w:rPr>
          <w:rFonts w:ascii="Times New Roman" w:hAnsi="Times New Roman" w:cs="Times New Roman"/>
          <w:sz w:val="24"/>
          <w:szCs w:val="24"/>
          <w:highlight w:val="yellow"/>
        </w:rPr>
        <w:t xml:space="preserve">potrebné podporiť </w:t>
      </w:r>
      <w:r w:rsidR="00BE137F" w:rsidRPr="00611CC9">
        <w:rPr>
          <w:rFonts w:ascii="Times New Roman" w:hAnsi="Times New Roman" w:cs="Times New Roman"/>
          <w:sz w:val="24"/>
          <w:szCs w:val="24"/>
          <w:highlight w:val="yellow"/>
        </w:rPr>
        <w:t>rekonštrukciu existujúcich bitúnkov s miestnou pôsobnosťou a podporiť výstavbu bitúnkov s regionálnou pôsobnosťou</w:t>
      </w:r>
      <w:r w:rsidRPr="00611CC9">
        <w:rPr>
          <w:rFonts w:ascii="Times New Roman" w:hAnsi="Times New Roman" w:cs="Times New Roman"/>
          <w:sz w:val="24"/>
          <w:szCs w:val="24"/>
          <w:highlight w:val="yellow"/>
        </w:rPr>
        <w:t xml:space="preserve"> s celkovým objemom ročného spracovania objemu produktov živočíšnej prvovýroby vo výške </w:t>
      </w:r>
      <w:r w:rsidR="00A94F5E" w:rsidRPr="00611CC9">
        <w:rPr>
          <w:rFonts w:ascii="Times New Roman" w:hAnsi="Times New Roman" w:cs="Times New Roman"/>
          <w:sz w:val="24"/>
          <w:szCs w:val="24"/>
          <w:highlight w:val="yellow"/>
        </w:rPr>
        <w:t>54</w:t>
      </w:r>
      <w:r w:rsidRPr="00611CC9">
        <w:rPr>
          <w:rFonts w:ascii="Times New Roman" w:hAnsi="Times New Roman" w:cs="Times New Roman"/>
          <w:sz w:val="24"/>
          <w:szCs w:val="24"/>
          <w:highlight w:val="yellow"/>
        </w:rPr>
        <w:t> </w:t>
      </w:r>
      <w:r w:rsidR="00A94F5E" w:rsidRPr="00611CC9">
        <w:rPr>
          <w:rFonts w:ascii="Times New Roman" w:hAnsi="Times New Roman" w:cs="Times New Roman"/>
          <w:sz w:val="24"/>
          <w:szCs w:val="24"/>
          <w:highlight w:val="yellow"/>
        </w:rPr>
        <w:t>509</w:t>
      </w:r>
      <w:r w:rsidRPr="00611CC9">
        <w:rPr>
          <w:rFonts w:ascii="Times New Roman" w:hAnsi="Times New Roman" w:cs="Times New Roman"/>
          <w:sz w:val="24"/>
          <w:szCs w:val="24"/>
          <w:highlight w:val="yellow"/>
        </w:rPr>
        <w:t xml:space="preserve"> ton v jatočnej hmotnosti. </w:t>
      </w:r>
      <w:r w:rsidR="00611CC9" w:rsidRPr="00611CC9">
        <w:rPr>
          <w:rFonts w:ascii="Times New Roman" w:hAnsi="Times New Roman" w:cs="Times New Roman"/>
          <w:sz w:val="24"/>
          <w:szCs w:val="24"/>
          <w:highlight w:val="yellow"/>
        </w:rPr>
        <w:t>Na rekonštrukciu existujúcich bitúnkov s miestnou pôsobnosťou bude potrebné vynaložiť celkovo 7 000 </w:t>
      </w:r>
      <w:proofErr w:type="spellStart"/>
      <w:r w:rsidR="00611CC9" w:rsidRPr="00611CC9">
        <w:rPr>
          <w:rFonts w:ascii="Times New Roman" w:hAnsi="Times New Roman" w:cs="Times New Roman"/>
          <w:sz w:val="24"/>
          <w:szCs w:val="24"/>
          <w:highlight w:val="yellow"/>
        </w:rPr>
        <w:t>000</w:t>
      </w:r>
      <w:proofErr w:type="spellEnd"/>
      <w:r w:rsidR="00611CC9" w:rsidRPr="00611CC9">
        <w:rPr>
          <w:rFonts w:ascii="Times New Roman" w:hAnsi="Times New Roman" w:cs="Times New Roman"/>
          <w:sz w:val="24"/>
          <w:szCs w:val="24"/>
          <w:highlight w:val="yellow"/>
        </w:rPr>
        <w:t xml:space="preserve"> EUR a na podporu výstavby bitúnkov s regionálnou pôsobnosťou bude potrebné vynaložiť celkovo        12 600 000 EUR.</w:t>
      </w:r>
      <w:r w:rsidR="00611CC9">
        <w:rPr>
          <w:rFonts w:ascii="Times New Roman" w:hAnsi="Times New Roman" w:cs="Times New Roman"/>
          <w:sz w:val="24"/>
          <w:szCs w:val="24"/>
        </w:rPr>
        <w:t xml:space="preserve"> </w:t>
      </w:r>
      <w:r>
        <w:rPr>
          <w:rFonts w:ascii="Times New Roman" w:hAnsi="Times New Roman" w:cs="Times New Roman"/>
          <w:sz w:val="24"/>
          <w:szCs w:val="24"/>
        </w:rPr>
        <w:t xml:space="preserve">Aplikovaním expertne odhadnutého normatívu potreby pracovníkov na spracovanie prvovýrobnej produkcie živočíšnej výroby v podmienkach technologicky vyspelej prevádzky na úrovni 20 ton spracovaných produktov živočíšnej prvovýroby na 1 pracovníka za rok, predpokladáme, že </w:t>
      </w:r>
      <w:r w:rsidR="00DF289D">
        <w:rPr>
          <w:rFonts w:ascii="Times New Roman" w:hAnsi="Times New Roman" w:cs="Times New Roman"/>
          <w:sz w:val="24"/>
          <w:szCs w:val="24"/>
        </w:rPr>
        <w:t>rekonštrukcia a výstavba bitúnkov</w:t>
      </w:r>
      <w:r>
        <w:rPr>
          <w:rFonts w:ascii="Times New Roman" w:hAnsi="Times New Roman" w:cs="Times New Roman"/>
          <w:sz w:val="24"/>
          <w:szCs w:val="24"/>
        </w:rPr>
        <w:t xml:space="preserve"> vytvoria potrebu dodatočnej pracovnej sily v počte 2 </w:t>
      </w:r>
      <w:r w:rsidR="00A94F5E">
        <w:rPr>
          <w:rFonts w:ascii="Times New Roman" w:hAnsi="Times New Roman" w:cs="Times New Roman"/>
          <w:sz w:val="24"/>
          <w:szCs w:val="24"/>
        </w:rPr>
        <w:t>72</w:t>
      </w:r>
      <w:r w:rsidR="007C4C24">
        <w:rPr>
          <w:rFonts w:ascii="Times New Roman" w:hAnsi="Times New Roman" w:cs="Times New Roman"/>
          <w:sz w:val="24"/>
          <w:szCs w:val="24"/>
        </w:rPr>
        <w:t>5</w:t>
      </w:r>
      <w:r>
        <w:rPr>
          <w:rFonts w:ascii="Times New Roman" w:hAnsi="Times New Roman" w:cs="Times New Roman"/>
          <w:sz w:val="24"/>
          <w:szCs w:val="24"/>
        </w:rPr>
        <w:t xml:space="preserve"> osôb. </w:t>
      </w:r>
    </w:p>
    <w:p w:rsidR="00AF4E2F" w:rsidRDefault="00AF4E2F" w:rsidP="00AF4E2F">
      <w:pPr>
        <w:spacing w:after="0" w:line="240" w:lineRule="auto"/>
        <w:jc w:val="both"/>
        <w:rPr>
          <w:rFonts w:ascii="Times New Roman" w:hAnsi="Times New Roman" w:cs="Times New Roman"/>
          <w:sz w:val="24"/>
          <w:szCs w:val="24"/>
        </w:rPr>
      </w:pPr>
    </w:p>
    <w:p w:rsidR="00AF4E2F" w:rsidRPr="006E743A" w:rsidRDefault="00C970F8" w:rsidP="00AF4E2F">
      <w:pPr>
        <w:tabs>
          <w:tab w:val="left"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t>Tab. č. 58</w:t>
      </w:r>
      <w:r w:rsidR="00AF4E2F" w:rsidRPr="00A855A4">
        <w:rPr>
          <w:rFonts w:ascii="Times New Roman" w:hAnsi="Times New Roman" w:cs="Times New Roman"/>
          <w:sz w:val="20"/>
          <w:szCs w:val="20"/>
        </w:rPr>
        <w:t xml:space="preserve">: </w:t>
      </w:r>
      <w:r w:rsidR="00AF4E2F">
        <w:rPr>
          <w:rFonts w:ascii="Times New Roman" w:hAnsi="Times New Roman" w:cs="Times New Roman"/>
          <w:sz w:val="20"/>
          <w:szCs w:val="20"/>
        </w:rPr>
        <w:tab/>
        <w:t xml:space="preserve">Predpokladané vplyvy podpory </w:t>
      </w:r>
      <w:r w:rsidR="00DF289D">
        <w:rPr>
          <w:rFonts w:ascii="Times New Roman" w:hAnsi="Times New Roman" w:cs="Times New Roman"/>
          <w:sz w:val="20"/>
          <w:szCs w:val="20"/>
        </w:rPr>
        <w:t>rekonštrukcie a výstavby</w:t>
      </w:r>
      <w:r w:rsidR="00AF4E2F">
        <w:rPr>
          <w:rFonts w:ascii="Times New Roman" w:hAnsi="Times New Roman" w:cs="Times New Roman"/>
          <w:sz w:val="20"/>
          <w:szCs w:val="20"/>
        </w:rPr>
        <w:t xml:space="preserve"> bitúnkov s ohľadom na cielené zvýšenie objemu spracovania živočíšnej prvovýroby </w:t>
      </w:r>
    </w:p>
    <w:tbl>
      <w:tblPr>
        <w:tblW w:w="9084" w:type="dxa"/>
        <w:tblInd w:w="58" w:type="dxa"/>
        <w:tblCellMar>
          <w:left w:w="70" w:type="dxa"/>
          <w:right w:w="70" w:type="dxa"/>
        </w:tblCellMar>
        <w:tblLook w:val="04A0" w:firstRow="1" w:lastRow="0" w:firstColumn="1" w:lastColumn="0" w:noHBand="0" w:noVBand="1"/>
      </w:tblPr>
      <w:tblGrid>
        <w:gridCol w:w="3120"/>
        <w:gridCol w:w="720"/>
        <w:gridCol w:w="850"/>
        <w:gridCol w:w="709"/>
        <w:gridCol w:w="709"/>
        <w:gridCol w:w="708"/>
        <w:gridCol w:w="709"/>
        <w:gridCol w:w="709"/>
        <w:gridCol w:w="850"/>
      </w:tblGrid>
      <w:tr w:rsidR="007C4C24" w:rsidRPr="007C4C24" w:rsidTr="007C4C24">
        <w:trPr>
          <w:trHeight w:val="300"/>
        </w:trPr>
        <w:tc>
          <w:tcPr>
            <w:tcW w:w="3120" w:type="dxa"/>
            <w:tcBorders>
              <w:top w:val="nil"/>
              <w:left w:val="nil"/>
              <w:bottom w:val="single" w:sz="4" w:space="0" w:color="auto"/>
              <w:right w:val="nil"/>
            </w:tcBorders>
            <w:shd w:val="clear" w:color="000000" w:fill="D8D8D8"/>
            <w:noWrap/>
            <w:vAlign w:val="bottom"/>
            <w:hideMark/>
          </w:tcPr>
          <w:p w:rsidR="007C4C24" w:rsidRPr="007C4C24" w:rsidRDefault="007C4C24" w:rsidP="007C4C24">
            <w:pPr>
              <w:spacing w:after="0" w:line="240" w:lineRule="auto"/>
              <w:rPr>
                <w:rFonts w:ascii="Times New Roman" w:eastAsia="Times New Roman" w:hAnsi="Times New Roman" w:cs="Times New Roman"/>
                <w:b/>
                <w:bCs/>
                <w:color w:val="000000"/>
                <w:sz w:val="20"/>
                <w:szCs w:val="20"/>
              </w:rPr>
            </w:pPr>
            <w:r w:rsidRPr="007C4C24">
              <w:rPr>
                <w:rFonts w:ascii="Times New Roman" w:eastAsia="Times New Roman" w:hAnsi="Times New Roman" w:cs="Times New Roman"/>
                <w:b/>
                <w:bCs/>
                <w:color w:val="000000"/>
                <w:sz w:val="20"/>
                <w:szCs w:val="20"/>
              </w:rPr>
              <w:t> </w:t>
            </w:r>
          </w:p>
        </w:tc>
        <w:tc>
          <w:tcPr>
            <w:tcW w:w="720" w:type="dxa"/>
            <w:tcBorders>
              <w:top w:val="nil"/>
              <w:left w:val="nil"/>
              <w:bottom w:val="single" w:sz="4" w:space="0" w:color="auto"/>
              <w:right w:val="nil"/>
            </w:tcBorders>
            <w:shd w:val="clear" w:color="000000" w:fill="D8D8D8"/>
            <w:noWrap/>
            <w:vAlign w:val="bottom"/>
            <w:hideMark/>
          </w:tcPr>
          <w:p w:rsidR="007C4C24" w:rsidRPr="007C4C24" w:rsidRDefault="007C4C24" w:rsidP="007C4C24">
            <w:pPr>
              <w:spacing w:after="0" w:line="240" w:lineRule="auto"/>
              <w:jc w:val="center"/>
              <w:rPr>
                <w:rFonts w:ascii="Times New Roman" w:eastAsia="Times New Roman" w:hAnsi="Times New Roman" w:cs="Times New Roman"/>
                <w:b/>
                <w:bCs/>
                <w:color w:val="000000"/>
                <w:sz w:val="20"/>
                <w:szCs w:val="20"/>
              </w:rPr>
            </w:pPr>
            <w:r w:rsidRPr="007C4C24">
              <w:rPr>
                <w:rFonts w:ascii="Times New Roman" w:eastAsia="Times New Roman" w:hAnsi="Times New Roman" w:cs="Times New Roman"/>
                <w:b/>
                <w:bCs/>
                <w:color w:val="000000"/>
                <w:sz w:val="20"/>
                <w:szCs w:val="20"/>
              </w:rPr>
              <w:t>2014</w:t>
            </w:r>
          </w:p>
        </w:tc>
        <w:tc>
          <w:tcPr>
            <w:tcW w:w="850" w:type="dxa"/>
            <w:tcBorders>
              <w:top w:val="nil"/>
              <w:left w:val="nil"/>
              <w:bottom w:val="single" w:sz="4" w:space="0" w:color="auto"/>
              <w:right w:val="nil"/>
            </w:tcBorders>
            <w:shd w:val="clear" w:color="000000" w:fill="D8D8D8"/>
            <w:noWrap/>
            <w:vAlign w:val="bottom"/>
            <w:hideMark/>
          </w:tcPr>
          <w:p w:rsidR="007C4C24" w:rsidRPr="007C4C24" w:rsidRDefault="007C4C24" w:rsidP="007C4C24">
            <w:pPr>
              <w:spacing w:after="0" w:line="240" w:lineRule="auto"/>
              <w:jc w:val="center"/>
              <w:rPr>
                <w:rFonts w:ascii="Times New Roman" w:eastAsia="Times New Roman" w:hAnsi="Times New Roman" w:cs="Times New Roman"/>
                <w:b/>
                <w:bCs/>
                <w:color w:val="000000"/>
                <w:sz w:val="20"/>
                <w:szCs w:val="20"/>
              </w:rPr>
            </w:pPr>
            <w:r w:rsidRPr="007C4C24">
              <w:rPr>
                <w:rFonts w:ascii="Times New Roman" w:eastAsia="Times New Roman" w:hAnsi="Times New Roman" w:cs="Times New Roman"/>
                <w:b/>
                <w:bCs/>
                <w:color w:val="000000"/>
                <w:sz w:val="20"/>
                <w:szCs w:val="20"/>
              </w:rPr>
              <w:t>2015</w:t>
            </w:r>
          </w:p>
        </w:tc>
        <w:tc>
          <w:tcPr>
            <w:tcW w:w="709" w:type="dxa"/>
            <w:tcBorders>
              <w:top w:val="nil"/>
              <w:left w:val="nil"/>
              <w:bottom w:val="single" w:sz="4" w:space="0" w:color="auto"/>
              <w:right w:val="nil"/>
            </w:tcBorders>
            <w:shd w:val="clear" w:color="000000" w:fill="D8D8D8"/>
            <w:noWrap/>
            <w:vAlign w:val="bottom"/>
            <w:hideMark/>
          </w:tcPr>
          <w:p w:rsidR="007C4C24" w:rsidRPr="007C4C24" w:rsidRDefault="007C4C24" w:rsidP="007C4C24">
            <w:pPr>
              <w:spacing w:after="0" w:line="240" w:lineRule="auto"/>
              <w:jc w:val="center"/>
              <w:rPr>
                <w:rFonts w:ascii="Times New Roman" w:eastAsia="Times New Roman" w:hAnsi="Times New Roman" w:cs="Times New Roman"/>
                <w:b/>
                <w:bCs/>
                <w:color w:val="000000"/>
                <w:sz w:val="20"/>
                <w:szCs w:val="20"/>
              </w:rPr>
            </w:pPr>
            <w:r w:rsidRPr="007C4C24">
              <w:rPr>
                <w:rFonts w:ascii="Times New Roman" w:eastAsia="Times New Roman" w:hAnsi="Times New Roman" w:cs="Times New Roman"/>
                <w:b/>
                <w:bCs/>
                <w:color w:val="000000"/>
                <w:sz w:val="20"/>
                <w:szCs w:val="20"/>
              </w:rPr>
              <w:t>2016</w:t>
            </w:r>
          </w:p>
        </w:tc>
        <w:tc>
          <w:tcPr>
            <w:tcW w:w="709" w:type="dxa"/>
            <w:tcBorders>
              <w:top w:val="nil"/>
              <w:left w:val="nil"/>
              <w:bottom w:val="single" w:sz="4" w:space="0" w:color="auto"/>
              <w:right w:val="nil"/>
            </w:tcBorders>
            <w:shd w:val="clear" w:color="000000" w:fill="D8D8D8"/>
            <w:noWrap/>
            <w:vAlign w:val="bottom"/>
            <w:hideMark/>
          </w:tcPr>
          <w:p w:rsidR="007C4C24" w:rsidRPr="007C4C24" w:rsidRDefault="007C4C24" w:rsidP="007C4C24">
            <w:pPr>
              <w:spacing w:after="0" w:line="240" w:lineRule="auto"/>
              <w:jc w:val="center"/>
              <w:rPr>
                <w:rFonts w:ascii="Times New Roman" w:eastAsia="Times New Roman" w:hAnsi="Times New Roman" w:cs="Times New Roman"/>
                <w:b/>
                <w:bCs/>
                <w:color w:val="000000"/>
                <w:sz w:val="20"/>
                <w:szCs w:val="20"/>
              </w:rPr>
            </w:pPr>
            <w:r w:rsidRPr="007C4C24">
              <w:rPr>
                <w:rFonts w:ascii="Times New Roman" w:eastAsia="Times New Roman" w:hAnsi="Times New Roman" w:cs="Times New Roman"/>
                <w:b/>
                <w:bCs/>
                <w:color w:val="000000"/>
                <w:sz w:val="20"/>
                <w:szCs w:val="20"/>
              </w:rPr>
              <w:t>2017</w:t>
            </w:r>
          </w:p>
        </w:tc>
        <w:tc>
          <w:tcPr>
            <w:tcW w:w="708" w:type="dxa"/>
            <w:tcBorders>
              <w:top w:val="nil"/>
              <w:left w:val="nil"/>
              <w:bottom w:val="single" w:sz="4" w:space="0" w:color="auto"/>
              <w:right w:val="nil"/>
            </w:tcBorders>
            <w:shd w:val="clear" w:color="000000" w:fill="D8D8D8"/>
            <w:noWrap/>
            <w:vAlign w:val="bottom"/>
            <w:hideMark/>
          </w:tcPr>
          <w:p w:rsidR="007C4C24" w:rsidRPr="007C4C24" w:rsidRDefault="007C4C24" w:rsidP="007C4C24">
            <w:pPr>
              <w:spacing w:after="0" w:line="240" w:lineRule="auto"/>
              <w:jc w:val="center"/>
              <w:rPr>
                <w:rFonts w:ascii="Times New Roman" w:eastAsia="Times New Roman" w:hAnsi="Times New Roman" w:cs="Times New Roman"/>
                <w:b/>
                <w:bCs/>
                <w:color w:val="000000"/>
                <w:sz w:val="20"/>
                <w:szCs w:val="20"/>
              </w:rPr>
            </w:pPr>
            <w:r w:rsidRPr="007C4C24">
              <w:rPr>
                <w:rFonts w:ascii="Times New Roman" w:eastAsia="Times New Roman" w:hAnsi="Times New Roman" w:cs="Times New Roman"/>
                <w:b/>
                <w:bCs/>
                <w:color w:val="000000"/>
                <w:sz w:val="20"/>
                <w:szCs w:val="20"/>
              </w:rPr>
              <w:t>2018</w:t>
            </w:r>
          </w:p>
        </w:tc>
        <w:tc>
          <w:tcPr>
            <w:tcW w:w="709" w:type="dxa"/>
            <w:tcBorders>
              <w:top w:val="nil"/>
              <w:left w:val="nil"/>
              <w:bottom w:val="single" w:sz="4" w:space="0" w:color="auto"/>
              <w:right w:val="nil"/>
            </w:tcBorders>
            <w:shd w:val="clear" w:color="000000" w:fill="D8D8D8"/>
            <w:noWrap/>
            <w:vAlign w:val="bottom"/>
            <w:hideMark/>
          </w:tcPr>
          <w:p w:rsidR="007C4C24" w:rsidRPr="007C4C24" w:rsidRDefault="007C4C24" w:rsidP="007C4C24">
            <w:pPr>
              <w:spacing w:after="0" w:line="240" w:lineRule="auto"/>
              <w:jc w:val="center"/>
              <w:rPr>
                <w:rFonts w:ascii="Times New Roman" w:eastAsia="Times New Roman" w:hAnsi="Times New Roman" w:cs="Times New Roman"/>
                <w:b/>
                <w:bCs/>
                <w:color w:val="000000"/>
                <w:sz w:val="20"/>
                <w:szCs w:val="20"/>
              </w:rPr>
            </w:pPr>
            <w:r w:rsidRPr="007C4C24">
              <w:rPr>
                <w:rFonts w:ascii="Times New Roman" w:eastAsia="Times New Roman" w:hAnsi="Times New Roman" w:cs="Times New Roman"/>
                <w:b/>
                <w:bCs/>
                <w:color w:val="000000"/>
                <w:sz w:val="20"/>
                <w:szCs w:val="20"/>
              </w:rPr>
              <w:t>2019</w:t>
            </w:r>
          </w:p>
        </w:tc>
        <w:tc>
          <w:tcPr>
            <w:tcW w:w="709" w:type="dxa"/>
            <w:tcBorders>
              <w:top w:val="nil"/>
              <w:left w:val="nil"/>
              <w:bottom w:val="single" w:sz="4" w:space="0" w:color="auto"/>
              <w:right w:val="single" w:sz="4" w:space="0" w:color="auto"/>
            </w:tcBorders>
            <w:shd w:val="clear" w:color="000000" w:fill="D8D8D8"/>
            <w:noWrap/>
            <w:vAlign w:val="bottom"/>
            <w:hideMark/>
          </w:tcPr>
          <w:p w:rsidR="007C4C24" w:rsidRPr="007C4C24" w:rsidRDefault="007C4C24" w:rsidP="007C4C24">
            <w:pPr>
              <w:spacing w:after="0" w:line="240" w:lineRule="auto"/>
              <w:jc w:val="center"/>
              <w:rPr>
                <w:rFonts w:ascii="Times New Roman" w:eastAsia="Times New Roman" w:hAnsi="Times New Roman" w:cs="Times New Roman"/>
                <w:b/>
                <w:bCs/>
                <w:color w:val="000000"/>
                <w:sz w:val="20"/>
                <w:szCs w:val="20"/>
              </w:rPr>
            </w:pPr>
            <w:r w:rsidRPr="007C4C24">
              <w:rPr>
                <w:rFonts w:ascii="Times New Roman" w:eastAsia="Times New Roman" w:hAnsi="Times New Roman" w:cs="Times New Roman"/>
                <w:b/>
                <w:bCs/>
                <w:color w:val="000000"/>
                <w:sz w:val="20"/>
                <w:szCs w:val="20"/>
              </w:rPr>
              <w:t>2020</w:t>
            </w:r>
          </w:p>
        </w:tc>
        <w:tc>
          <w:tcPr>
            <w:tcW w:w="850" w:type="dxa"/>
            <w:tcBorders>
              <w:top w:val="nil"/>
              <w:left w:val="single" w:sz="4" w:space="0" w:color="auto"/>
              <w:bottom w:val="single" w:sz="4" w:space="0" w:color="auto"/>
              <w:right w:val="nil"/>
            </w:tcBorders>
            <w:shd w:val="clear" w:color="000000" w:fill="D8D8D8"/>
            <w:noWrap/>
            <w:vAlign w:val="bottom"/>
            <w:hideMark/>
          </w:tcPr>
          <w:p w:rsidR="007C4C24" w:rsidRPr="007C4C24" w:rsidRDefault="007C4C24" w:rsidP="007C4C2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Spolu</w:t>
            </w:r>
          </w:p>
        </w:tc>
      </w:tr>
      <w:tr w:rsidR="007C4C24" w:rsidRPr="007C4C24" w:rsidTr="007C4C24">
        <w:trPr>
          <w:trHeight w:val="1035"/>
        </w:trPr>
        <w:tc>
          <w:tcPr>
            <w:tcW w:w="3120" w:type="dxa"/>
            <w:tcBorders>
              <w:top w:val="nil"/>
              <w:left w:val="nil"/>
              <w:bottom w:val="nil"/>
              <w:right w:val="nil"/>
            </w:tcBorders>
            <w:shd w:val="clear" w:color="auto" w:fill="auto"/>
            <w:vAlign w:val="bottom"/>
            <w:hideMark/>
          </w:tcPr>
          <w:p w:rsidR="007C4C24" w:rsidRPr="007C4C24" w:rsidRDefault="007C4C24" w:rsidP="007C4C24">
            <w:pPr>
              <w:spacing w:after="0" w:line="240" w:lineRule="auto"/>
              <w:rPr>
                <w:rFonts w:ascii="Times New Roman" w:eastAsia="Times New Roman" w:hAnsi="Times New Roman" w:cs="Times New Roman"/>
                <w:color w:val="000000"/>
                <w:sz w:val="20"/>
                <w:szCs w:val="20"/>
              </w:rPr>
            </w:pPr>
            <w:r w:rsidRPr="007C4C24">
              <w:rPr>
                <w:rFonts w:ascii="Times New Roman" w:eastAsia="Times New Roman" w:hAnsi="Times New Roman" w:cs="Times New Roman"/>
                <w:color w:val="000000"/>
                <w:sz w:val="20"/>
                <w:szCs w:val="20"/>
              </w:rPr>
              <w:t>medziročný prírastok objemu spracovania produktov živočíšnej prvovýroby v tonách jatočnej hmotnosti</w:t>
            </w:r>
          </w:p>
        </w:tc>
        <w:tc>
          <w:tcPr>
            <w:tcW w:w="720" w:type="dxa"/>
            <w:tcBorders>
              <w:top w:val="nil"/>
              <w:left w:val="nil"/>
              <w:bottom w:val="nil"/>
              <w:right w:val="nil"/>
            </w:tcBorders>
            <w:shd w:val="clear" w:color="auto" w:fill="auto"/>
            <w:noWrap/>
            <w:vAlign w:val="center"/>
            <w:hideMark/>
          </w:tcPr>
          <w:p w:rsidR="007C4C24" w:rsidRPr="007C4C24" w:rsidRDefault="007C4C24" w:rsidP="007C4C24">
            <w:pPr>
              <w:spacing w:after="0" w:line="240" w:lineRule="auto"/>
              <w:jc w:val="right"/>
              <w:rPr>
                <w:rFonts w:ascii="Times New Roman" w:eastAsia="Times New Roman" w:hAnsi="Times New Roman" w:cs="Times New Roman"/>
                <w:color w:val="000000"/>
                <w:sz w:val="20"/>
                <w:szCs w:val="20"/>
              </w:rPr>
            </w:pPr>
            <w:r w:rsidRPr="007C4C24">
              <w:rPr>
                <w:rFonts w:ascii="Times New Roman" w:eastAsia="Times New Roman" w:hAnsi="Times New Roman" w:cs="Times New Roman"/>
                <w:color w:val="000000"/>
                <w:sz w:val="20"/>
                <w:szCs w:val="20"/>
              </w:rPr>
              <w:t>1 958</w:t>
            </w:r>
          </w:p>
        </w:tc>
        <w:tc>
          <w:tcPr>
            <w:tcW w:w="850" w:type="dxa"/>
            <w:tcBorders>
              <w:top w:val="nil"/>
              <w:left w:val="nil"/>
              <w:bottom w:val="nil"/>
              <w:right w:val="nil"/>
            </w:tcBorders>
            <w:shd w:val="clear" w:color="auto" w:fill="auto"/>
            <w:noWrap/>
            <w:vAlign w:val="center"/>
            <w:hideMark/>
          </w:tcPr>
          <w:p w:rsidR="007C4C24" w:rsidRPr="007C4C24" w:rsidRDefault="007C4C24" w:rsidP="007C4C24">
            <w:pPr>
              <w:spacing w:after="0" w:line="240" w:lineRule="auto"/>
              <w:jc w:val="right"/>
              <w:rPr>
                <w:rFonts w:ascii="Times New Roman" w:eastAsia="Times New Roman" w:hAnsi="Times New Roman" w:cs="Times New Roman"/>
                <w:color w:val="000000"/>
                <w:sz w:val="20"/>
                <w:szCs w:val="20"/>
              </w:rPr>
            </w:pPr>
            <w:r w:rsidRPr="007C4C24">
              <w:rPr>
                <w:rFonts w:ascii="Times New Roman" w:eastAsia="Times New Roman" w:hAnsi="Times New Roman" w:cs="Times New Roman"/>
                <w:color w:val="000000"/>
                <w:sz w:val="20"/>
                <w:szCs w:val="20"/>
              </w:rPr>
              <w:t>6 528</w:t>
            </w:r>
          </w:p>
        </w:tc>
        <w:tc>
          <w:tcPr>
            <w:tcW w:w="709" w:type="dxa"/>
            <w:tcBorders>
              <w:top w:val="nil"/>
              <w:left w:val="nil"/>
              <w:bottom w:val="nil"/>
              <w:right w:val="nil"/>
            </w:tcBorders>
            <w:shd w:val="clear" w:color="auto" w:fill="auto"/>
            <w:noWrap/>
            <w:vAlign w:val="center"/>
            <w:hideMark/>
          </w:tcPr>
          <w:p w:rsidR="007C4C24" w:rsidRPr="007C4C24" w:rsidRDefault="007C4C24" w:rsidP="007C4C24">
            <w:pPr>
              <w:spacing w:after="0" w:line="240" w:lineRule="auto"/>
              <w:jc w:val="right"/>
              <w:rPr>
                <w:rFonts w:ascii="Times New Roman" w:eastAsia="Times New Roman" w:hAnsi="Times New Roman" w:cs="Times New Roman"/>
                <w:color w:val="000000"/>
                <w:sz w:val="20"/>
                <w:szCs w:val="20"/>
              </w:rPr>
            </w:pPr>
            <w:r w:rsidRPr="007C4C24">
              <w:rPr>
                <w:rFonts w:ascii="Times New Roman" w:eastAsia="Times New Roman" w:hAnsi="Times New Roman" w:cs="Times New Roman"/>
                <w:color w:val="000000"/>
                <w:sz w:val="20"/>
                <w:szCs w:val="20"/>
              </w:rPr>
              <w:t>12 337</w:t>
            </w:r>
          </w:p>
        </w:tc>
        <w:tc>
          <w:tcPr>
            <w:tcW w:w="709" w:type="dxa"/>
            <w:tcBorders>
              <w:top w:val="nil"/>
              <w:left w:val="nil"/>
              <w:bottom w:val="nil"/>
              <w:right w:val="nil"/>
            </w:tcBorders>
            <w:shd w:val="clear" w:color="auto" w:fill="auto"/>
            <w:noWrap/>
            <w:vAlign w:val="center"/>
            <w:hideMark/>
          </w:tcPr>
          <w:p w:rsidR="007C4C24" w:rsidRPr="007C4C24" w:rsidRDefault="007C4C24" w:rsidP="007C4C24">
            <w:pPr>
              <w:spacing w:after="0" w:line="240" w:lineRule="auto"/>
              <w:jc w:val="right"/>
              <w:rPr>
                <w:rFonts w:ascii="Times New Roman" w:eastAsia="Times New Roman" w:hAnsi="Times New Roman" w:cs="Times New Roman"/>
                <w:color w:val="000000"/>
                <w:sz w:val="20"/>
                <w:szCs w:val="20"/>
              </w:rPr>
            </w:pPr>
            <w:r w:rsidRPr="007C4C24">
              <w:rPr>
                <w:rFonts w:ascii="Times New Roman" w:eastAsia="Times New Roman" w:hAnsi="Times New Roman" w:cs="Times New Roman"/>
                <w:color w:val="000000"/>
                <w:sz w:val="20"/>
                <w:szCs w:val="20"/>
              </w:rPr>
              <w:t>13 056</w:t>
            </w:r>
          </w:p>
        </w:tc>
        <w:tc>
          <w:tcPr>
            <w:tcW w:w="708" w:type="dxa"/>
            <w:tcBorders>
              <w:top w:val="nil"/>
              <w:left w:val="nil"/>
              <w:bottom w:val="nil"/>
              <w:right w:val="nil"/>
            </w:tcBorders>
            <w:shd w:val="clear" w:color="auto" w:fill="auto"/>
            <w:noWrap/>
            <w:vAlign w:val="center"/>
            <w:hideMark/>
          </w:tcPr>
          <w:p w:rsidR="007C4C24" w:rsidRPr="007C4C24" w:rsidRDefault="007C4C24" w:rsidP="007C4C24">
            <w:pPr>
              <w:spacing w:after="0" w:line="240" w:lineRule="auto"/>
              <w:jc w:val="right"/>
              <w:rPr>
                <w:rFonts w:ascii="Times New Roman" w:eastAsia="Times New Roman" w:hAnsi="Times New Roman" w:cs="Times New Roman"/>
                <w:color w:val="000000"/>
                <w:sz w:val="20"/>
                <w:szCs w:val="20"/>
              </w:rPr>
            </w:pPr>
            <w:r w:rsidRPr="007C4C24">
              <w:rPr>
                <w:rFonts w:ascii="Times New Roman" w:eastAsia="Times New Roman" w:hAnsi="Times New Roman" w:cs="Times New Roman"/>
                <w:color w:val="000000"/>
                <w:sz w:val="20"/>
                <w:szCs w:val="20"/>
              </w:rPr>
              <w:t>9 139</w:t>
            </w:r>
          </w:p>
        </w:tc>
        <w:tc>
          <w:tcPr>
            <w:tcW w:w="709" w:type="dxa"/>
            <w:tcBorders>
              <w:top w:val="nil"/>
              <w:left w:val="nil"/>
              <w:bottom w:val="nil"/>
              <w:right w:val="nil"/>
            </w:tcBorders>
            <w:shd w:val="clear" w:color="auto" w:fill="auto"/>
            <w:noWrap/>
            <w:vAlign w:val="center"/>
            <w:hideMark/>
          </w:tcPr>
          <w:p w:rsidR="007C4C24" w:rsidRPr="007C4C24" w:rsidRDefault="007C4C24" w:rsidP="007C4C24">
            <w:pPr>
              <w:spacing w:after="0" w:line="240" w:lineRule="auto"/>
              <w:jc w:val="right"/>
              <w:rPr>
                <w:rFonts w:ascii="Times New Roman" w:eastAsia="Times New Roman" w:hAnsi="Times New Roman" w:cs="Times New Roman"/>
                <w:color w:val="000000"/>
                <w:sz w:val="20"/>
                <w:szCs w:val="20"/>
              </w:rPr>
            </w:pPr>
            <w:r w:rsidRPr="007C4C24">
              <w:rPr>
                <w:rFonts w:ascii="Times New Roman" w:eastAsia="Times New Roman" w:hAnsi="Times New Roman" w:cs="Times New Roman"/>
                <w:color w:val="000000"/>
                <w:sz w:val="20"/>
                <w:szCs w:val="20"/>
              </w:rPr>
              <w:t>6 267</w:t>
            </w:r>
          </w:p>
        </w:tc>
        <w:tc>
          <w:tcPr>
            <w:tcW w:w="709" w:type="dxa"/>
            <w:tcBorders>
              <w:top w:val="nil"/>
              <w:left w:val="nil"/>
              <w:bottom w:val="nil"/>
              <w:right w:val="single" w:sz="4" w:space="0" w:color="auto"/>
            </w:tcBorders>
            <w:shd w:val="clear" w:color="auto" w:fill="auto"/>
            <w:noWrap/>
            <w:vAlign w:val="center"/>
            <w:hideMark/>
          </w:tcPr>
          <w:p w:rsidR="007C4C24" w:rsidRPr="007C4C24" w:rsidRDefault="007C4C24" w:rsidP="007C4C24">
            <w:pPr>
              <w:spacing w:after="0" w:line="240" w:lineRule="auto"/>
              <w:jc w:val="right"/>
              <w:rPr>
                <w:rFonts w:ascii="Times New Roman" w:eastAsia="Times New Roman" w:hAnsi="Times New Roman" w:cs="Times New Roman"/>
                <w:color w:val="000000"/>
                <w:sz w:val="20"/>
                <w:szCs w:val="20"/>
              </w:rPr>
            </w:pPr>
            <w:r w:rsidRPr="007C4C24">
              <w:rPr>
                <w:rFonts w:ascii="Times New Roman" w:eastAsia="Times New Roman" w:hAnsi="Times New Roman" w:cs="Times New Roman"/>
                <w:color w:val="000000"/>
                <w:sz w:val="20"/>
                <w:szCs w:val="20"/>
              </w:rPr>
              <w:t>5 223</w:t>
            </w:r>
          </w:p>
        </w:tc>
        <w:tc>
          <w:tcPr>
            <w:tcW w:w="850" w:type="dxa"/>
            <w:tcBorders>
              <w:top w:val="nil"/>
              <w:left w:val="single" w:sz="4" w:space="0" w:color="auto"/>
              <w:bottom w:val="nil"/>
              <w:right w:val="nil"/>
            </w:tcBorders>
            <w:shd w:val="clear" w:color="auto" w:fill="auto"/>
            <w:noWrap/>
            <w:vAlign w:val="center"/>
            <w:hideMark/>
          </w:tcPr>
          <w:p w:rsidR="007C4C24" w:rsidRPr="007C4C24" w:rsidRDefault="007C4C24" w:rsidP="007C4C24">
            <w:pPr>
              <w:spacing w:after="0" w:line="240" w:lineRule="auto"/>
              <w:jc w:val="right"/>
              <w:rPr>
                <w:rFonts w:ascii="Times New Roman" w:eastAsia="Times New Roman" w:hAnsi="Times New Roman" w:cs="Times New Roman"/>
                <w:color w:val="000000"/>
                <w:sz w:val="20"/>
                <w:szCs w:val="20"/>
              </w:rPr>
            </w:pPr>
            <w:r w:rsidRPr="007C4C24">
              <w:rPr>
                <w:rFonts w:ascii="Times New Roman" w:eastAsia="Times New Roman" w:hAnsi="Times New Roman" w:cs="Times New Roman"/>
                <w:color w:val="000000"/>
                <w:sz w:val="20"/>
                <w:szCs w:val="20"/>
              </w:rPr>
              <w:t>54 509</w:t>
            </w:r>
          </w:p>
        </w:tc>
      </w:tr>
      <w:tr w:rsidR="007C4C24" w:rsidRPr="007C4C24" w:rsidTr="007C4C24">
        <w:trPr>
          <w:trHeight w:val="525"/>
        </w:trPr>
        <w:tc>
          <w:tcPr>
            <w:tcW w:w="3120" w:type="dxa"/>
            <w:tcBorders>
              <w:top w:val="nil"/>
              <w:left w:val="nil"/>
              <w:bottom w:val="single" w:sz="4" w:space="0" w:color="auto"/>
              <w:right w:val="nil"/>
            </w:tcBorders>
            <w:shd w:val="clear" w:color="auto" w:fill="auto"/>
            <w:vAlign w:val="bottom"/>
            <w:hideMark/>
          </w:tcPr>
          <w:p w:rsidR="007C4C24" w:rsidRPr="007C4C24" w:rsidRDefault="007C4C24" w:rsidP="007C4C24">
            <w:pPr>
              <w:spacing w:after="0" w:line="240" w:lineRule="auto"/>
              <w:rPr>
                <w:rFonts w:ascii="Times New Roman" w:eastAsia="Times New Roman" w:hAnsi="Times New Roman" w:cs="Times New Roman"/>
                <w:b/>
                <w:color w:val="000000"/>
                <w:sz w:val="20"/>
                <w:szCs w:val="20"/>
              </w:rPr>
            </w:pPr>
            <w:r w:rsidRPr="007C4C24">
              <w:rPr>
                <w:rFonts w:ascii="Times New Roman" w:eastAsia="Times New Roman" w:hAnsi="Times New Roman" w:cs="Times New Roman"/>
                <w:b/>
                <w:color w:val="000000"/>
                <w:sz w:val="20"/>
                <w:szCs w:val="20"/>
              </w:rPr>
              <w:t>príspevok k rastu zamestnanosti v osobách</w:t>
            </w:r>
          </w:p>
        </w:tc>
        <w:tc>
          <w:tcPr>
            <w:tcW w:w="720" w:type="dxa"/>
            <w:tcBorders>
              <w:top w:val="nil"/>
              <w:left w:val="nil"/>
              <w:bottom w:val="single" w:sz="4" w:space="0" w:color="auto"/>
              <w:right w:val="nil"/>
            </w:tcBorders>
            <w:shd w:val="clear" w:color="auto" w:fill="auto"/>
            <w:noWrap/>
            <w:vAlign w:val="center"/>
            <w:hideMark/>
          </w:tcPr>
          <w:p w:rsidR="007C4C24" w:rsidRPr="007C4C24" w:rsidRDefault="007C4C24" w:rsidP="007C4C24">
            <w:pPr>
              <w:spacing w:after="0" w:line="240" w:lineRule="auto"/>
              <w:jc w:val="right"/>
              <w:rPr>
                <w:rFonts w:ascii="Times New Roman" w:eastAsia="Times New Roman" w:hAnsi="Times New Roman" w:cs="Times New Roman"/>
                <w:b/>
                <w:color w:val="000000"/>
                <w:sz w:val="20"/>
                <w:szCs w:val="20"/>
              </w:rPr>
            </w:pPr>
            <w:r w:rsidRPr="007C4C24">
              <w:rPr>
                <w:rFonts w:ascii="Times New Roman" w:eastAsia="Times New Roman" w:hAnsi="Times New Roman" w:cs="Times New Roman"/>
                <w:b/>
                <w:color w:val="000000"/>
                <w:sz w:val="20"/>
                <w:szCs w:val="20"/>
              </w:rPr>
              <w:t>98</w:t>
            </w:r>
          </w:p>
        </w:tc>
        <w:tc>
          <w:tcPr>
            <w:tcW w:w="850" w:type="dxa"/>
            <w:tcBorders>
              <w:top w:val="nil"/>
              <w:left w:val="nil"/>
              <w:bottom w:val="single" w:sz="4" w:space="0" w:color="auto"/>
              <w:right w:val="nil"/>
            </w:tcBorders>
            <w:shd w:val="clear" w:color="auto" w:fill="auto"/>
            <w:noWrap/>
            <w:vAlign w:val="center"/>
            <w:hideMark/>
          </w:tcPr>
          <w:p w:rsidR="007C4C24" w:rsidRPr="007C4C24" w:rsidRDefault="007C4C24" w:rsidP="007C4C24">
            <w:pPr>
              <w:spacing w:after="0" w:line="240" w:lineRule="auto"/>
              <w:jc w:val="right"/>
              <w:rPr>
                <w:rFonts w:ascii="Times New Roman" w:eastAsia="Times New Roman" w:hAnsi="Times New Roman" w:cs="Times New Roman"/>
                <w:b/>
                <w:color w:val="000000"/>
                <w:sz w:val="20"/>
                <w:szCs w:val="20"/>
              </w:rPr>
            </w:pPr>
            <w:r w:rsidRPr="007C4C24">
              <w:rPr>
                <w:rFonts w:ascii="Times New Roman" w:eastAsia="Times New Roman" w:hAnsi="Times New Roman" w:cs="Times New Roman"/>
                <w:b/>
                <w:color w:val="000000"/>
                <w:sz w:val="20"/>
                <w:szCs w:val="20"/>
              </w:rPr>
              <w:t>326</w:t>
            </w:r>
          </w:p>
        </w:tc>
        <w:tc>
          <w:tcPr>
            <w:tcW w:w="709" w:type="dxa"/>
            <w:tcBorders>
              <w:top w:val="nil"/>
              <w:left w:val="nil"/>
              <w:bottom w:val="single" w:sz="4" w:space="0" w:color="auto"/>
              <w:right w:val="nil"/>
            </w:tcBorders>
            <w:shd w:val="clear" w:color="auto" w:fill="auto"/>
            <w:noWrap/>
            <w:vAlign w:val="center"/>
            <w:hideMark/>
          </w:tcPr>
          <w:p w:rsidR="007C4C24" w:rsidRPr="007C4C24" w:rsidRDefault="007C4C24" w:rsidP="007C4C24">
            <w:pPr>
              <w:spacing w:after="0" w:line="240" w:lineRule="auto"/>
              <w:jc w:val="right"/>
              <w:rPr>
                <w:rFonts w:ascii="Times New Roman" w:eastAsia="Times New Roman" w:hAnsi="Times New Roman" w:cs="Times New Roman"/>
                <w:b/>
                <w:color w:val="000000"/>
                <w:sz w:val="20"/>
                <w:szCs w:val="20"/>
              </w:rPr>
            </w:pPr>
            <w:r w:rsidRPr="007C4C24">
              <w:rPr>
                <w:rFonts w:ascii="Times New Roman" w:eastAsia="Times New Roman" w:hAnsi="Times New Roman" w:cs="Times New Roman"/>
                <w:b/>
                <w:color w:val="000000"/>
                <w:sz w:val="20"/>
                <w:szCs w:val="20"/>
              </w:rPr>
              <w:t>617</w:t>
            </w:r>
          </w:p>
        </w:tc>
        <w:tc>
          <w:tcPr>
            <w:tcW w:w="709" w:type="dxa"/>
            <w:tcBorders>
              <w:top w:val="nil"/>
              <w:left w:val="nil"/>
              <w:bottom w:val="single" w:sz="4" w:space="0" w:color="auto"/>
              <w:right w:val="nil"/>
            </w:tcBorders>
            <w:shd w:val="clear" w:color="auto" w:fill="auto"/>
            <w:noWrap/>
            <w:vAlign w:val="center"/>
            <w:hideMark/>
          </w:tcPr>
          <w:p w:rsidR="007C4C24" w:rsidRPr="007C4C24" w:rsidRDefault="007C4C24" w:rsidP="007C4C24">
            <w:pPr>
              <w:spacing w:after="0" w:line="240" w:lineRule="auto"/>
              <w:jc w:val="right"/>
              <w:rPr>
                <w:rFonts w:ascii="Times New Roman" w:eastAsia="Times New Roman" w:hAnsi="Times New Roman" w:cs="Times New Roman"/>
                <w:b/>
                <w:color w:val="000000"/>
                <w:sz w:val="20"/>
                <w:szCs w:val="20"/>
              </w:rPr>
            </w:pPr>
            <w:r w:rsidRPr="007C4C24">
              <w:rPr>
                <w:rFonts w:ascii="Times New Roman" w:eastAsia="Times New Roman" w:hAnsi="Times New Roman" w:cs="Times New Roman"/>
                <w:b/>
                <w:color w:val="000000"/>
                <w:sz w:val="20"/>
                <w:szCs w:val="20"/>
              </w:rPr>
              <w:t>653</w:t>
            </w:r>
          </w:p>
        </w:tc>
        <w:tc>
          <w:tcPr>
            <w:tcW w:w="708" w:type="dxa"/>
            <w:tcBorders>
              <w:top w:val="nil"/>
              <w:left w:val="nil"/>
              <w:bottom w:val="single" w:sz="4" w:space="0" w:color="auto"/>
              <w:right w:val="nil"/>
            </w:tcBorders>
            <w:shd w:val="clear" w:color="auto" w:fill="auto"/>
            <w:noWrap/>
            <w:vAlign w:val="center"/>
            <w:hideMark/>
          </w:tcPr>
          <w:p w:rsidR="007C4C24" w:rsidRPr="007C4C24" w:rsidRDefault="007C4C24" w:rsidP="007C4C24">
            <w:pPr>
              <w:spacing w:after="0" w:line="240" w:lineRule="auto"/>
              <w:jc w:val="right"/>
              <w:rPr>
                <w:rFonts w:ascii="Times New Roman" w:eastAsia="Times New Roman" w:hAnsi="Times New Roman" w:cs="Times New Roman"/>
                <w:b/>
                <w:color w:val="000000"/>
                <w:sz w:val="20"/>
                <w:szCs w:val="20"/>
              </w:rPr>
            </w:pPr>
            <w:r w:rsidRPr="007C4C24">
              <w:rPr>
                <w:rFonts w:ascii="Times New Roman" w:eastAsia="Times New Roman" w:hAnsi="Times New Roman" w:cs="Times New Roman"/>
                <w:b/>
                <w:color w:val="000000"/>
                <w:sz w:val="20"/>
                <w:szCs w:val="20"/>
              </w:rPr>
              <w:t>457</w:t>
            </w:r>
          </w:p>
        </w:tc>
        <w:tc>
          <w:tcPr>
            <w:tcW w:w="709" w:type="dxa"/>
            <w:tcBorders>
              <w:top w:val="nil"/>
              <w:left w:val="nil"/>
              <w:bottom w:val="single" w:sz="4" w:space="0" w:color="auto"/>
              <w:right w:val="nil"/>
            </w:tcBorders>
            <w:shd w:val="clear" w:color="auto" w:fill="auto"/>
            <w:noWrap/>
            <w:vAlign w:val="center"/>
            <w:hideMark/>
          </w:tcPr>
          <w:p w:rsidR="007C4C24" w:rsidRPr="007C4C24" w:rsidRDefault="007C4C24" w:rsidP="007C4C24">
            <w:pPr>
              <w:spacing w:after="0" w:line="240" w:lineRule="auto"/>
              <w:jc w:val="right"/>
              <w:rPr>
                <w:rFonts w:ascii="Times New Roman" w:eastAsia="Times New Roman" w:hAnsi="Times New Roman" w:cs="Times New Roman"/>
                <w:b/>
                <w:color w:val="000000"/>
                <w:sz w:val="20"/>
                <w:szCs w:val="20"/>
              </w:rPr>
            </w:pPr>
            <w:r w:rsidRPr="007C4C24">
              <w:rPr>
                <w:rFonts w:ascii="Times New Roman" w:eastAsia="Times New Roman" w:hAnsi="Times New Roman" w:cs="Times New Roman"/>
                <w:b/>
                <w:color w:val="000000"/>
                <w:sz w:val="20"/>
                <w:szCs w:val="20"/>
              </w:rPr>
              <w:t>313</w:t>
            </w:r>
          </w:p>
        </w:tc>
        <w:tc>
          <w:tcPr>
            <w:tcW w:w="709" w:type="dxa"/>
            <w:tcBorders>
              <w:top w:val="nil"/>
              <w:left w:val="nil"/>
              <w:bottom w:val="single" w:sz="4" w:space="0" w:color="auto"/>
              <w:right w:val="single" w:sz="4" w:space="0" w:color="auto"/>
            </w:tcBorders>
            <w:shd w:val="clear" w:color="auto" w:fill="auto"/>
            <w:noWrap/>
            <w:vAlign w:val="center"/>
            <w:hideMark/>
          </w:tcPr>
          <w:p w:rsidR="007C4C24" w:rsidRPr="007C4C24" w:rsidRDefault="007C4C24" w:rsidP="007C4C24">
            <w:pPr>
              <w:spacing w:after="0" w:line="240" w:lineRule="auto"/>
              <w:jc w:val="right"/>
              <w:rPr>
                <w:rFonts w:ascii="Times New Roman" w:eastAsia="Times New Roman" w:hAnsi="Times New Roman" w:cs="Times New Roman"/>
                <w:b/>
                <w:color w:val="000000"/>
                <w:sz w:val="20"/>
                <w:szCs w:val="20"/>
              </w:rPr>
            </w:pPr>
            <w:r w:rsidRPr="007C4C24">
              <w:rPr>
                <w:rFonts w:ascii="Times New Roman" w:eastAsia="Times New Roman" w:hAnsi="Times New Roman" w:cs="Times New Roman"/>
                <w:b/>
                <w:color w:val="000000"/>
                <w:sz w:val="20"/>
                <w:szCs w:val="20"/>
              </w:rPr>
              <w:t>261</w:t>
            </w:r>
          </w:p>
        </w:tc>
        <w:tc>
          <w:tcPr>
            <w:tcW w:w="850" w:type="dxa"/>
            <w:tcBorders>
              <w:top w:val="nil"/>
              <w:left w:val="single" w:sz="4" w:space="0" w:color="auto"/>
              <w:bottom w:val="single" w:sz="4" w:space="0" w:color="auto"/>
              <w:right w:val="nil"/>
            </w:tcBorders>
            <w:shd w:val="clear" w:color="auto" w:fill="auto"/>
            <w:noWrap/>
            <w:vAlign w:val="center"/>
            <w:hideMark/>
          </w:tcPr>
          <w:p w:rsidR="007C4C24" w:rsidRPr="007C4C24" w:rsidRDefault="007C4C24" w:rsidP="007C4C24">
            <w:pPr>
              <w:spacing w:after="0" w:line="240" w:lineRule="auto"/>
              <w:jc w:val="right"/>
              <w:rPr>
                <w:rFonts w:ascii="Times New Roman" w:eastAsia="Times New Roman" w:hAnsi="Times New Roman" w:cs="Times New Roman"/>
                <w:b/>
                <w:color w:val="000000"/>
                <w:sz w:val="20"/>
                <w:szCs w:val="20"/>
              </w:rPr>
            </w:pPr>
            <w:r w:rsidRPr="007C4C24">
              <w:rPr>
                <w:rFonts w:ascii="Times New Roman" w:eastAsia="Times New Roman" w:hAnsi="Times New Roman" w:cs="Times New Roman"/>
                <w:b/>
                <w:color w:val="000000"/>
                <w:sz w:val="20"/>
                <w:szCs w:val="20"/>
              </w:rPr>
              <w:t>2 725</w:t>
            </w:r>
          </w:p>
        </w:tc>
      </w:tr>
      <w:tr w:rsidR="007C4C24" w:rsidRPr="007C4C24" w:rsidTr="007C4C24">
        <w:trPr>
          <w:trHeight w:val="300"/>
        </w:trPr>
        <w:tc>
          <w:tcPr>
            <w:tcW w:w="3120" w:type="dxa"/>
            <w:tcBorders>
              <w:top w:val="nil"/>
              <w:left w:val="nil"/>
              <w:bottom w:val="single" w:sz="4" w:space="0" w:color="auto"/>
              <w:right w:val="nil"/>
            </w:tcBorders>
            <w:shd w:val="clear" w:color="000000" w:fill="F2F2F2"/>
            <w:vAlign w:val="bottom"/>
            <w:hideMark/>
          </w:tcPr>
          <w:p w:rsidR="007C4C24" w:rsidRPr="007C4C24" w:rsidRDefault="007C4C24" w:rsidP="007C4C24">
            <w:pPr>
              <w:spacing w:after="0" w:line="240" w:lineRule="auto"/>
              <w:rPr>
                <w:rFonts w:ascii="Times New Roman" w:eastAsia="Times New Roman" w:hAnsi="Times New Roman" w:cs="Times New Roman"/>
                <w:bCs/>
                <w:color w:val="000000"/>
                <w:sz w:val="20"/>
                <w:szCs w:val="20"/>
              </w:rPr>
            </w:pPr>
            <w:r w:rsidRPr="007C4C24">
              <w:rPr>
                <w:rFonts w:ascii="Times New Roman" w:eastAsia="Times New Roman" w:hAnsi="Times New Roman" w:cs="Times New Roman"/>
                <w:bCs/>
                <w:color w:val="000000"/>
                <w:sz w:val="20"/>
                <w:szCs w:val="20"/>
              </w:rPr>
              <w:t>výška financovania v tis. EUR</w:t>
            </w:r>
          </w:p>
        </w:tc>
        <w:tc>
          <w:tcPr>
            <w:tcW w:w="720" w:type="dxa"/>
            <w:tcBorders>
              <w:top w:val="nil"/>
              <w:left w:val="nil"/>
              <w:bottom w:val="single" w:sz="4" w:space="0" w:color="auto"/>
              <w:right w:val="nil"/>
            </w:tcBorders>
            <w:shd w:val="clear" w:color="000000" w:fill="F2F2F2"/>
            <w:noWrap/>
            <w:vAlign w:val="center"/>
            <w:hideMark/>
          </w:tcPr>
          <w:p w:rsidR="007C4C24" w:rsidRPr="007C4C24" w:rsidRDefault="007C4C24" w:rsidP="007C4C24">
            <w:pPr>
              <w:spacing w:after="0" w:line="240" w:lineRule="auto"/>
              <w:jc w:val="right"/>
              <w:rPr>
                <w:rFonts w:ascii="Times New Roman" w:eastAsia="Times New Roman" w:hAnsi="Times New Roman" w:cs="Times New Roman"/>
                <w:bCs/>
                <w:color w:val="000000"/>
                <w:sz w:val="20"/>
                <w:szCs w:val="20"/>
              </w:rPr>
            </w:pPr>
            <w:r w:rsidRPr="007C4C24">
              <w:rPr>
                <w:rFonts w:ascii="Times New Roman" w:eastAsia="Times New Roman" w:hAnsi="Times New Roman" w:cs="Times New Roman"/>
                <w:bCs/>
                <w:color w:val="000000"/>
                <w:sz w:val="20"/>
                <w:szCs w:val="20"/>
              </w:rPr>
              <w:t>800</w:t>
            </w:r>
          </w:p>
        </w:tc>
        <w:tc>
          <w:tcPr>
            <w:tcW w:w="850" w:type="dxa"/>
            <w:tcBorders>
              <w:top w:val="nil"/>
              <w:left w:val="nil"/>
              <w:bottom w:val="single" w:sz="4" w:space="0" w:color="auto"/>
              <w:right w:val="nil"/>
            </w:tcBorders>
            <w:shd w:val="clear" w:color="000000" w:fill="F2F2F2"/>
            <w:noWrap/>
            <w:vAlign w:val="center"/>
            <w:hideMark/>
          </w:tcPr>
          <w:p w:rsidR="007C4C24" w:rsidRPr="007C4C24" w:rsidRDefault="007C4C24" w:rsidP="007C4C24">
            <w:pPr>
              <w:spacing w:after="0" w:line="240" w:lineRule="auto"/>
              <w:jc w:val="right"/>
              <w:rPr>
                <w:rFonts w:ascii="Times New Roman" w:eastAsia="Times New Roman" w:hAnsi="Times New Roman" w:cs="Times New Roman"/>
                <w:bCs/>
                <w:color w:val="000000"/>
                <w:sz w:val="20"/>
                <w:szCs w:val="20"/>
              </w:rPr>
            </w:pPr>
            <w:r w:rsidRPr="007C4C24">
              <w:rPr>
                <w:rFonts w:ascii="Times New Roman" w:eastAsia="Times New Roman" w:hAnsi="Times New Roman" w:cs="Times New Roman"/>
                <w:bCs/>
                <w:color w:val="000000"/>
                <w:sz w:val="20"/>
                <w:szCs w:val="20"/>
              </w:rPr>
              <w:t>2 400</w:t>
            </w:r>
          </w:p>
        </w:tc>
        <w:tc>
          <w:tcPr>
            <w:tcW w:w="709" w:type="dxa"/>
            <w:tcBorders>
              <w:top w:val="nil"/>
              <w:left w:val="nil"/>
              <w:bottom w:val="single" w:sz="4" w:space="0" w:color="auto"/>
              <w:right w:val="nil"/>
            </w:tcBorders>
            <w:shd w:val="clear" w:color="000000" w:fill="F2F2F2"/>
            <w:noWrap/>
            <w:vAlign w:val="center"/>
            <w:hideMark/>
          </w:tcPr>
          <w:p w:rsidR="007C4C24" w:rsidRPr="007C4C24" w:rsidRDefault="007C4C24" w:rsidP="007C4C24">
            <w:pPr>
              <w:spacing w:after="0" w:line="240" w:lineRule="auto"/>
              <w:jc w:val="right"/>
              <w:rPr>
                <w:rFonts w:ascii="Times New Roman" w:eastAsia="Times New Roman" w:hAnsi="Times New Roman" w:cs="Times New Roman"/>
                <w:bCs/>
                <w:color w:val="000000"/>
                <w:sz w:val="20"/>
                <w:szCs w:val="20"/>
              </w:rPr>
            </w:pPr>
            <w:r w:rsidRPr="007C4C24">
              <w:rPr>
                <w:rFonts w:ascii="Times New Roman" w:eastAsia="Times New Roman" w:hAnsi="Times New Roman" w:cs="Times New Roman"/>
                <w:bCs/>
                <w:color w:val="000000"/>
                <w:sz w:val="20"/>
                <w:szCs w:val="20"/>
              </w:rPr>
              <w:t>4 400</w:t>
            </w:r>
          </w:p>
        </w:tc>
        <w:tc>
          <w:tcPr>
            <w:tcW w:w="709" w:type="dxa"/>
            <w:tcBorders>
              <w:top w:val="nil"/>
              <w:left w:val="nil"/>
              <w:bottom w:val="single" w:sz="4" w:space="0" w:color="auto"/>
              <w:right w:val="nil"/>
            </w:tcBorders>
            <w:shd w:val="clear" w:color="000000" w:fill="F2F2F2"/>
            <w:noWrap/>
            <w:vAlign w:val="center"/>
            <w:hideMark/>
          </w:tcPr>
          <w:p w:rsidR="007C4C24" w:rsidRPr="007C4C24" w:rsidRDefault="007C4C24" w:rsidP="007C4C24">
            <w:pPr>
              <w:spacing w:after="0" w:line="240" w:lineRule="auto"/>
              <w:jc w:val="right"/>
              <w:rPr>
                <w:rFonts w:ascii="Times New Roman" w:eastAsia="Times New Roman" w:hAnsi="Times New Roman" w:cs="Times New Roman"/>
                <w:bCs/>
                <w:color w:val="000000"/>
                <w:sz w:val="20"/>
                <w:szCs w:val="20"/>
              </w:rPr>
            </w:pPr>
            <w:r w:rsidRPr="007C4C24">
              <w:rPr>
                <w:rFonts w:ascii="Times New Roman" w:eastAsia="Times New Roman" w:hAnsi="Times New Roman" w:cs="Times New Roman"/>
                <w:bCs/>
                <w:color w:val="000000"/>
                <w:sz w:val="20"/>
                <w:szCs w:val="20"/>
              </w:rPr>
              <w:t>4 800</w:t>
            </w:r>
          </w:p>
        </w:tc>
        <w:tc>
          <w:tcPr>
            <w:tcW w:w="708" w:type="dxa"/>
            <w:tcBorders>
              <w:top w:val="nil"/>
              <w:left w:val="nil"/>
              <w:bottom w:val="single" w:sz="4" w:space="0" w:color="auto"/>
              <w:right w:val="nil"/>
            </w:tcBorders>
            <w:shd w:val="clear" w:color="000000" w:fill="F2F2F2"/>
            <w:noWrap/>
            <w:vAlign w:val="center"/>
            <w:hideMark/>
          </w:tcPr>
          <w:p w:rsidR="007C4C24" w:rsidRPr="007C4C24" w:rsidRDefault="007C4C24" w:rsidP="007C4C24">
            <w:pPr>
              <w:spacing w:after="0" w:line="240" w:lineRule="auto"/>
              <w:jc w:val="right"/>
              <w:rPr>
                <w:rFonts w:ascii="Times New Roman" w:eastAsia="Times New Roman" w:hAnsi="Times New Roman" w:cs="Times New Roman"/>
                <w:bCs/>
                <w:color w:val="000000"/>
                <w:sz w:val="20"/>
                <w:szCs w:val="20"/>
              </w:rPr>
            </w:pPr>
            <w:r w:rsidRPr="007C4C24">
              <w:rPr>
                <w:rFonts w:ascii="Times New Roman" w:eastAsia="Times New Roman" w:hAnsi="Times New Roman" w:cs="Times New Roman"/>
                <w:bCs/>
                <w:color w:val="000000"/>
                <w:sz w:val="20"/>
                <w:szCs w:val="20"/>
              </w:rPr>
              <w:t>3 200</w:t>
            </w:r>
          </w:p>
        </w:tc>
        <w:tc>
          <w:tcPr>
            <w:tcW w:w="709" w:type="dxa"/>
            <w:tcBorders>
              <w:top w:val="nil"/>
              <w:left w:val="nil"/>
              <w:bottom w:val="single" w:sz="4" w:space="0" w:color="auto"/>
              <w:right w:val="nil"/>
            </w:tcBorders>
            <w:shd w:val="clear" w:color="000000" w:fill="F2F2F2"/>
            <w:noWrap/>
            <w:vAlign w:val="center"/>
            <w:hideMark/>
          </w:tcPr>
          <w:p w:rsidR="007C4C24" w:rsidRPr="007C4C24" w:rsidRDefault="007C4C24" w:rsidP="007C4C24">
            <w:pPr>
              <w:spacing w:after="0" w:line="240" w:lineRule="auto"/>
              <w:jc w:val="right"/>
              <w:rPr>
                <w:rFonts w:ascii="Times New Roman" w:eastAsia="Times New Roman" w:hAnsi="Times New Roman" w:cs="Times New Roman"/>
                <w:bCs/>
                <w:color w:val="000000"/>
                <w:sz w:val="20"/>
                <w:szCs w:val="20"/>
              </w:rPr>
            </w:pPr>
            <w:r w:rsidRPr="007C4C24">
              <w:rPr>
                <w:rFonts w:ascii="Times New Roman" w:eastAsia="Times New Roman" w:hAnsi="Times New Roman" w:cs="Times New Roman"/>
                <w:bCs/>
                <w:color w:val="000000"/>
                <w:sz w:val="20"/>
                <w:szCs w:val="20"/>
              </w:rPr>
              <w:t>2 200</w:t>
            </w:r>
          </w:p>
        </w:tc>
        <w:tc>
          <w:tcPr>
            <w:tcW w:w="709" w:type="dxa"/>
            <w:tcBorders>
              <w:top w:val="nil"/>
              <w:left w:val="nil"/>
              <w:bottom w:val="single" w:sz="4" w:space="0" w:color="auto"/>
              <w:right w:val="single" w:sz="4" w:space="0" w:color="auto"/>
            </w:tcBorders>
            <w:shd w:val="clear" w:color="000000" w:fill="F2F2F2"/>
            <w:noWrap/>
            <w:vAlign w:val="center"/>
            <w:hideMark/>
          </w:tcPr>
          <w:p w:rsidR="007C4C24" w:rsidRPr="007C4C24" w:rsidRDefault="007C4C24" w:rsidP="007C4C24">
            <w:pPr>
              <w:spacing w:after="0" w:line="240" w:lineRule="auto"/>
              <w:jc w:val="right"/>
              <w:rPr>
                <w:rFonts w:ascii="Times New Roman" w:eastAsia="Times New Roman" w:hAnsi="Times New Roman" w:cs="Times New Roman"/>
                <w:bCs/>
                <w:color w:val="000000"/>
                <w:sz w:val="20"/>
                <w:szCs w:val="20"/>
              </w:rPr>
            </w:pPr>
            <w:r w:rsidRPr="007C4C24">
              <w:rPr>
                <w:rFonts w:ascii="Times New Roman" w:eastAsia="Times New Roman" w:hAnsi="Times New Roman" w:cs="Times New Roman"/>
                <w:bCs/>
                <w:color w:val="000000"/>
                <w:sz w:val="20"/>
                <w:szCs w:val="20"/>
              </w:rPr>
              <w:t>1 800</w:t>
            </w:r>
          </w:p>
        </w:tc>
        <w:tc>
          <w:tcPr>
            <w:tcW w:w="850" w:type="dxa"/>
            <w:tcBorders>
              <w:top w:val="nil"/>
              <w:left w:val="single" w:sz="4" w:space="0" w:color="auto"/>
              <w:bottom w:val="single" w:sz="4" w:space="0" w:color="auto"/>
              <w:right w:val="nil"/>
            </w:tcBorders>
            <w:shd w:val="clear" w:color="000000" w:fill="F2F2F2"/>
            <w:noWrap/>
            <w:vAlign w:val="center"/>
            <w:hideMark/>
          </w:tcPr>
          <w:p w:rsidR="007C4C24" w:rsidRPr="007C4C24" w:rsidRDefault="007C4C24" w:rsidP="007C4C24">
            <w:pPr>
              <w:spacing w:after="0" w:line="240" w:lineRule="auto"/>
              <w:jc w:val="right"/>
              <w:rPr>
                <w:rFonts w:ascii="Times New Roman" w:eastAsia="Times New Roman" w:hAnsi="Times New Roman" w:cs="Times New Roman"/>
                <w:bCs/>
                <w:color w:val="000000"/>
                <w:sz w:val="20"/>
                <w:szCs w:val="20"/>
              </w:rPr>
            </w:pPr>
            <w:r w:rsidRPr="007C4C24">
              <w:rPr>
                <w:rFonts w:ascii="Times New Roman" w:eastAsia="Times New Roman" w:hAnsi="Times New Roman" w:cs="Times New Roman"/>
                <w:bCs/>
                <w:color w:val="000000"/>
                <w:sz w:val="20"/>
                <w:szCs w:val="20"/>
              </w:rPr>
              <w:t>19 600</w:t>
            </w:r>
          </w:p>
        </w:tc>
      </w:tr>
    </w:tbl>
    <w:p w:rsidR="00AF4E2F" w:rsidRPr="00C431FF" w:rsidRDefault="00AF4E2F" w:rsidP="00AF4E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odhad MPRV</w:t>
      </w:r>
    </w:p>
    <w:p w:rsidR="00AF4E2F" w:rsidRDefault="00AF4E2F" w:rsidP="00AF4E2F">
      <w:pPr>
        <w:spacing w:after="0" w:line="240" w:lineRule="auto"/>
        <w:jc w:val="both"/>
        <w:rPr>
          <w:rFonts w:ascii="Times New Roman" w:hAnsi="Times New Roman" w:cs="Times New Roman"/>
          <w:sz w:val="24"/>
          <w:szCs w:val="24"/>
        </w:rPr>
      </w:pPr>
    </w:p>
    <w:p w:rsidR="00AF4E2F" w:rsidRDefault="00AF4E2F" w:rsidP="00611CC9">
      <w:pPr>
        <w:spacing w:after="0" w:line="240" w:lineRule="auto"/>
        <w:jc w:val="both"/>
        <w:rPr>
          <w:rFonts w:ascii="Times New Roman" w:hAnsi="Times New Roman" w:cs="Times New Roman"/>
          <w:sz w:val="24"/>
          <w:szCs w:val="24"/>
        </w:rPr>
      </w:pPr>
      <w:r w:rsidRPr="00611CC9">
        <w:rPr>
          <w:rFonts w:ascii="Times New Roman" w:hAnsi="Times New Roman" w:cs="Times New Roman"/>
          <w:sz w:val="24"/>
          <w:szCs w:val="24"/>
          <w:highlight w:val="yellow"/>
        </w:rPr>
        <w:t xml:space="preserve">Cielené zvýšenie objemu spracovania prvovýrobnej produkcie živočíšnej výroby predpokladá preinvestovanie finančných prostriedkov celkovo vo výške </w:t>
      </w:r>
      <w:r w:rsidR="00833CD5" w:rsidRPr="00611CC9">
        <w:rPr>
          <w:rFonts w:ascii="Times New Roman" w:hAnsi="Times New Roman" w:cs="Times New Roman"/>
          <w:sz w:val="24"/>
          <w:szCs w:val="24"/>
          <w:highlight w:val="yellow"/>
        </w:rPr>
        <w:t>19</w:t>
      </w:r>
      <w:r w:rsidR="00A94F5E" w:rsidRPr="00611CC9">
        <w:rPr>
          <w:rFonts w:ascii="Times New Roman" w:hAnsi="Times New Roman" w:cs="Times New Roman"/>
          <w:sz w:val="24"/>
          <w:szCs w:val="24"/>
          <w:highlight w:val="yellow"/>
        </w:rPr>
        <w:t> </w:t>
      </w:r>
      <w:r w:rsidR="00833CD5" w:rsidRPr="00611CC9">
        <w:rPr>
          <w:rFonts w:ascii="Times New Roman" w:hAnsi="Times New Roman" w:cs="Times New Roman"/>
          <w:sz w:val="24"/>
          <w:szCs w:val="24"/>
          <w:highlight w:val="yellow"/>
        </w:rPr>
        <w:t>6</w:t>
      </w:r>
      <w:r w:rsidRPr="00611CC9">
        <w:rPr>
          <w:rFonts w:ascii="Times New Roman" w:hAnsi="Times New Roman" w:cs="Times New Roman"/>
          <w:sz w:val="24"/>
          <w:szCs w:val="24"/>
          <w:highlight w:val="yellow"/>
        </w:rPr>
        <w:t xml:space="preserve">00 000 EUR, čo predstavuje </w:t>
      </w:r>
      <w:r w:rsidR="00611CC9" w:rsidRPr="00611CC9">
        <w:rPr>
          <w:rFonts w:ascii="Times New Roman" w:hAnsi="Times New Roman" w:cs="Times New Roman"/>
          <w:sz w:val="24"/>
          <w:szCs w:val="24"/>
          <w:highlight w:val="yellow"/>
        </w:rPr>
        <w:t xml:space="preserve">celkové </w:t>
      </w:r>
      <w:r w:rsidRPr="00611CC9">
        <w:rPr>
          <w:rFonts w:ascii="Times New Roman" w:hAnsi="Times New Roman" w:cs="Times New Roman"/>
          <w:sz w:val="24"/>
          <w:szCs w:val="24"/>
          <w:highlight w:val="yellow"/>
        </w:rPr>
        <w:t xml:space="preserve">náklady na </w:t>
      </w:r>
      <w:r w:rsidR="00611CC9" w:rsidRPr="00611CC9">
        <w:rPr>
          <w:rFonts w:ascii="Times New Roman" w:hAnsi="Times New Roman" w:cs="Times New Roman"/>
          <w:sz w:val="24"/>
          <w:szCs w:val="24"/>
          <w:highlight w:val="yellow"/>
        </w:rPr>
        <w:t>rekonštrukciu existujúcich bitúnkov s miestnou pôsobnosťou a na podporu výstavby bitúnkov s regionálnou pôsobnosťou</w:t>
      </w:r>
      <w:r w:rsidRPr="00611CC9">
        <w:rPr>
          <w:rFonts w:ascii="Times New Roman" w:hAnsi="Times New Roman" w:cs="Times New Roman"/>
          <w:sz w:val="24"/>
          <w:szCs w:val="24"/>
          <w:highlight w:val="yellow"/>
        </w:rPr>
        <w:t>.</w:t>
      </w:r>
    </w:p>
    <w:p w:rsidR="00611CC9" w:rsidRPr="00611CC9" w:rsidRDefault="00611CC9" w:rsidP="00611CC9">
      <w:pPr>
        <w:spacing w:after="0" w:line="240" w:lineRule="auto"/>
        <w:jc w:val="both"/>
        <w:rPr>
          <w:rFonts w:ascii="Times New Roman" w:hAnsi="Times New Roman" w:cs="Times New Roman"/>
          <w:sz w:val="24"/>
          <w:szCs w:val="24"/>
        </w:rPr>
      </w:pPr>
    </w:p>
    <w:p w:rsidR="00DE1518" w:rsidRDefault="00DE1518" w:rsidP="00DE15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Podporou zvýšenia produkčnej výkonnosti produkcie rastlinných jedlých tukov a olejov sa zabezpečí dodatočná produkcia rastlinných jedlých tukov a olejov v objeme 31 371 ton. Toto </w:t>
      </w:r>
      <w:r>
        <w:rPr>
          <w:rFonts w:ascii="Times New Roman" w:hAnsi="Times New Roman" w:cs="Times New Roman"/>
          <w:sz w:val="24"/>
          <w:szCs w:val="24"/>
        </w:rPr>
        <w:lastRenderedPageBreak/>
        <w:t>opatrenie predpokladá jednorazový nákup zodpovedajúcej technológie, ktorá doplní existujúce technologické vybavenie slovenského spracovateľa produkcie repky a slnečnice, a to v celkovej výške 2 000 </w:t>
      </w:r>
      <w:proofErr w:type="spellStart"/>
      <w:r>
        <w:rPr>
          <w:rFonts w:ascii="Times New Roman" w:hAnsi="Times New Roman" w:cs="Times New Roman"/>
          <w:sz w:val="24"/>
          <w:szCs w:val="24"/>
        </w:rPr>
        <w:t>000</w:t>
      </w:r>
      <w:proofErr w:type="spellEnd"/>
      <w:r>
        <w:rPr>
          <w:rFonts w:ascii="Times New Roman" w:hAnsi="Times New Roman" w:cs="Times New Roman"/>
          <w:sz w:val="24"/>
          <w:szCs w:val="24"/>
        </w:rPr>
        <w:t xml:space="preserve"> EUR. Týmto sa umožní naplno využívať existujúce kapacity spracovania repky a slnečnice na potravinárske účely, ktoré sú na úrovni 200 – 250 tis. ton spracovania produkcie repky a slnečnice ročne. Nakoľko samotná produkcia repky a slnečnice plne postačuje pre cielené zvýšenie produkcie rastlinných jedlých tukov a olejov nie je potrebné uvažovať s postupným nábehom spracovateľskej produkcie. Uvedeným zvýšením produkcie rastlinných jedlých tukov a olejov predpokladáme dodatočnú potrebu pracovných síl v počte 72 osôb. </w:t>
      </w:r>
    </w:p>
    <w:p w:rsidR="00112AFF" w:rsidRPr="00627D5A" w:rsidRDefault="00112AFF" w:rsidP="00112AFF">
      <w:pPr>
        <w:spacing w:after="0" w:line="240" w:lineRule="auto"/>
        <w:jc w:val="both"/>
        <w:rPr>
          <w:rFonts w:ascii="Times New Roman" w:eastAsia="Calibri" w:hAnsi="Times New Roman"/>
          <w:sz w:val="24"/>
          <w:szCs w:val="24"/>
        </w:rPr>
      </w:pPr>
    </w:p>
    <w:p w:rsidR="00112AFF" w:rsidRDefault="00112AFF" w:rsidP="00112AFF">
      <w:pPr>
        <w:spacing w:after="0" w:line="240" w:lineRule="auto"/>
        <w:jc w:val="both"/>
        <w:rPr>
          <w:rFonts w:ascii="Times New Roman" w:eastAsia="Calibri" w:hAnsi="Times New Roman"/>
          <w:sz w:val="24"/>
          <w:szCs w:val="24"/>
        </w:rPr>
      </w:pPr>
      <w:r>
        <w:rPr>
          <w:rFonts w:ascii="Times New Roman" w:eastAsia="Calibri" w:hAnsi="Times New Roman"/>
          <w:sz w:val="24"/>
          <w:szCs w:val="24"/>
        </w:rPr>
        <w:t>Zvýšením zberových plôch zemiakov o 743 ha a zachovaním súčasnej hektárovej výnosnosti na úrovni 20,9 t/ha predpokladáme dodatočné zvýšenie produkcie zemiakov o 12 560 t. Prognóza vývoja zberových plôch a</w:t>
      </w:r>
      <w:r w:rsidR="001D72C3">
        <w:rPr>
          <w:rFonts w:ascii="Times New Roman" w:eastAsia="Calibri" w:hAnsi="Times New Roman"/>
          <w:sz w:val="24"/>
          <w:szCs w:val="24"/>
        </w:rPr>
        <w:t> produkcie zemiakov do roku 2020</w:t>
      </w:r>
      <w:r>
        <w:rPr>
          <w:rFonts w:ascii="Times New Roman" w:eastAsia="Calibri" w:hAnsi="Times New Roman"/>
          <w:sz w:val="24"/>
          <w:szCs w:val="24"/>
        </w:rPr>
        <w:t xml:space="preserve"> je založená na priemernom raste zberových plôch o cca 4 % ročne a zachovaní hektárovej výnosnosti na úrovni 20,9 t/ha, avšak s výnimkou hospodárskeho roka 2012/13, kedy z dôvodu extrémneho počasia predpokladáme mierny prepad hektárových výnosov na úroveň 19,4 t/ha. Cieľový rozsah zberových plôch zemiakov predstavuje 42,69 % z úrovne ich výmery v roku 2002. </w:t>
      </w:r>
    </w:p>
    <w:p w:rsidR="00112AFF" w:rsidRDefault="00112AFF" w:rsidP="00112AFF">
      <w:pPr>
        <w:spacing w:after="0" w:line="240" w:lineRule="auto"/>
        <w:jc w:val="both"/>
        <w:rPr>
          <w:rFonts w:ascii="Times New Roman" w:hAnsi="Times New Roman" w:cs="Times New Roman"/>
          <w:sz w:val="20"/>
          <w:szCs w:val="20"/>
        </w:rPr>
      </w:pPr>
    </w:p>
    <w:p w:rsidR="00112AFF" w:rsidRPr="0028218B" w:rsidRDefault="00C970F8" w:rsidP="00112AF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75</w:t>
      </w:r>
      <w:r w:rsidR="00112AFF" w:rsidRPr="00155936">
        <w:rPr>
          <w:rFonts w:ascii="Times New Roman" w:hAnsi="Times New Roman" w:cs="Times New Roman"/>
          <w:sz w:val="20"/>
          <w:szCs w:val="20"/>
        </w:rPr>
        <w:t>:</w:t>
      </w:r>
      <w:r w:rsidR="00112AFF">
        <w:rPr>
          <w:rFonts w:ascii="Times New Roman" w:hAnsi="Times New Roman" w:cs="Times New Roman"/>
          <w:sz w:val="20"/>
          <w:szCs w:val="20"/>
        </w:rPr>
        <w:t xml:space="preserve"> Prognóza vývoja zberovej plochy a produkcie zemiakov do roku 2020</w:t>
      </w:r>
    </w:p>
    <w:p w:rsidR="00112AFF" w:rsidRPr="00F8437D" w:rsidRDefault="00026B33" w:rsidP="00112AFF">
      <w:pPr>
        <w:spacing w:after="0" w:line="240" w:lineRule="auto"/>
        <w:jc w:val="both"/>
        <w:rPr>
          <w:rFonts w:ascii="Times New Roman" w:eastAsia="Calibri" w:hAnsi="Times New Roman"/>
          <w:sz w:val="24"/>
          <w:szCs w:val="24"/>
        </w:rPr>
      </w:pPr>
      <w:r w:rsidRPr="00026B33">
        <w:rPr>
          <w:rFonts w:ascii="Times New Roman" w:eastAsia="Calibri" w:hAnsi="Times New Roman"/>
          <w:noProof/>
          <w:sz w:val="24"/>
          <w:szCs w:val="24"/>
        </w:rPr>
        <w:drawing>
          <wp:inline distT="0" distB="0" distL="0" distR="0" wp14:anchorId="5B2A961C" wp14:editId="0BCD98ED">
            <wp:extent cx="5757062" cy="3628340"/>
            <wp:effectExtent l="0" t="0" r="0" b="0"/>
            <wp:docPr id="291"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112AFF" w:rsidRPr="00112AFF" w:rsidRDefault="00112AFF" w:rsidP="00112AFF">
      <w:pPr>
        <w:spacing w:after="0" w:line="240" w:lineRule="auto"/>
        <w:jc w:val="right"/>
        <w:rPr>
          <w:rFonts w:ascii="Times New Roman" w:hAnsi="Times New Roman" w:cs="Times New Roman"/>
          <w:sz w:val="20"/>
          <w:szCs w:val="20"/>
        </w:rPr>
      </w:pPr>
      <w:r>
        <w:rPr>
          <w:rFonts w:ascii="Times New Roman" w:eastAsia="Calibri" w:hAnsi="Times New Roman"/>
          <w:sz w:val="24"/>
          <w:szCs w:val="24"/>
        </w:rPr>
        <w:tab/>
      </w:r>
      <w:r>
        <w:rPr>
          <w:rFonts w:ascii="Times New Roman" w:hAnsi="Times New Roman" w:cs="Times New Roman"/>
          <w:sz w:val="20"/>
          <w:szCs w:val="20"/>
        </w:rPr>
        <w:t>Zdroj: VÚEPP, odhad MPRV</w:t>
      </w:r>
    </w:p>
    <w:p w:rsidR="00112AFF" w:rsidRDefault="00112AFF" w:rsidP="00112AFF">
      <w:pPr>
        <w:spacing w:after="0" w:line="240" w:lineRule="auto"/>
        <w:jc w:val="both"/>
        <w:rPr>
          <w:rFonts w:ascii="Times New Roman" w:eastAsia="Calibri" w:hAnsi="Times New Roman"/>
          <w:sz w:val="24"/>
          <w:szCs w:val="24"/>
        </w:rPr>
      </w:pPr>
    </w:p>
    <w:p w:rsidR="00112AFF" w:rsidRDefault="00112AFF" w:rsidP="00112AFF">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Dosiahnutím cielených parametrov produkcie zemiakov vznikne v rámci prvovýroby potreba dodatočných pracovných síl v počte 52 osôb, pričom tento predpoklad je založený na normatíve 0,07 pracovníka na 1 ha zberovej plochy zemiakov. </w:t>
      </w:r>
    </w:p>
    <w:p w:rsidR="00695BF0" w:rsidRDefault="00695BF0" w:rsidP="00112AFF">
      <w:pPr>
        <w:spacing w:after="0" w:line="240" w:lineRule="auto"/>
        <w:jc w:val="both"/>
        <w:rPr>
          <w:rFonts w:ascii="Times New Roman" w:eastAsia="Calibri" w:hAnsi="Times New Roman"/>
          <w:sz w:val="24"/>
          <w:szCs w:val="24"/>
        </w:rPr>
      </w:pPr>
    </w:p>
    <w:p w:rsidR="007B5BCA" w:rsidRDefault="007B5BCA" w:rsidP="00112AFF">
      <w:pPr>
        <w:spacing w:after="0" w:line="240" w:lineRule="auto"/>
        <w:jc w:val="both"/>
        <w:rPr>
          <w:rFonts w:ascii="Times New Roman" w:eastAsia="Calibri" w:hAnsi="Times New Roman"/>
          <w:sz w:val="24"/>
          <w:szCs w:val="24"/>
        </w:rPr>
      </w:pPr>
    </w:p>
    <w:p w:rsidR="007B5BCA" w:rsidRDefault="007B5BCA" w:rsidP="00112AFF">
      <w:pPr>
        <w:spacing w:after="0" w:line="240" w:lineRule="auto"/>
        <w:jc w:val="both"/>
        <w:rPr>
          <w:rFonts w:ascii="Times New Roman" w:eastAsia="Calibri" w:hAnsi="Times New Roman"/>
          <w:sz w:val="24"/>
          <w:szCs w:val="24"/>
        </w:rPr>
      </w:pPr>
    </w:p>
    <w:p w:rsidR="007B5BCA" w:rsidRDefault="007B5BCA" w:rsidP="00112AFF">
      <w:pPr>
        <w:spacing w:after="0" w:line="240" w:lineRule="auto"/>
        <w:jc w:val="both"/>
        <w:rPr>
          <w:rFonts w:ascii="Times New Roman" w:eastAsia="Calibri" w:hAnsi="Times New Roman"/>
          <w:sz w:val="24"/>
          <w:szCs w:val="24"/>
        </w:rPr>
      </w:pPr>
    </w:p>
    <w:p w:rsidR="007B5BCA" w:rsidRDefault="007B5BCA" w:rsidP="00112AFF">
      <w:pPr>
        <w:spacing w:after="0" w:line="240" w:lineRule="auto"/>
        <w:jc w:val="both"/>
        <w:rPr>
          <w:rFonts w:ascii="Times New Roman" w:eastAsia="Calibri" w:hAnsi="Times New Roman"/>
          <w:sz w:val="24"/>
          <w:szCs w:val="24"/>
        </w:rPr>
      </w:pPr>
    </w:p>
    <w:p w:rsidR="00112AFF" w:rsidRPr="00F13C88" w:rsidRDefault="00D530DA" w:rsidP="00112AFF">
      <w:pPr>
        <w:tabs>
          <w:tab w:val="left"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lastRenderedPageBreak/>
        <w:t>Tab. č. 5</w:t>
      </w:r>
      <w:r w:rsidR="00C970F8">
        <w:rPr>
          <w:rFonts w:ascii="Times New Roman" w:hAnsi="Times New Roman" w:cs="Times New Roman"/>
          <w:sz w:val="20"/>
          <w:szCs w:val="20"/>
        </w:rPr>
        <w:t>9</w:t>
      </w:r>
      <w:r w:rsidR="00112AFF" w:rsidRPr="00A855A4">
        <w:rPr>
          <w:rFonts w:ascii="Times New Roman" w:hAnsi="Times New Roman" w:cs="Times New Roman"/>
          <w:sz w:val="20"/>
          <w:szCs w:val="20"/>
        </w:rPr>
        <w:t xml:space="preserve">: </w:t>
      </w:r>
      <w:r w:rsidR="00112AFF">
        <w:rPr>
          <w:rFonts w:ascii="Times New Roman" w:hAnsi="Times New Roman" w:cs="Times New Roman"/>
          <w:sz w:val="20"/>
          <w:szCs w:val="20"/>
        </w:rPr>
        <w:tab/>
        <w:t xml:space="preserve">Prognóza dodatočného počtu pracovníkov v prvovýrobe </w:t>
      </w:r>
      <w:r w:rsidR="00695BF0">
        <w:rPr>
          <w:rFonts w:ascii="Times New Roman" w:hAnsi="Times New Roman" w:cs="Times New Roman"/>
          <w:sz w:val="20"/>
          <w:szCs w:val="20"/>
        </w:rPr>
        <w:t>zemiakov</w:t>
      </w:r>
    </w:p>
    <w:tbl>
      <w:tblPr>
        <w:tblW w:w="9170" w:type="dxa"/>
        <w:tblInd w:w="70" w:type="dxa"/>
        <w:tblCellMar>
          <w:left w:w="70" w:type="dxa"/>
          <w:right w:w="70" w:type="dxa"/>
        </w:tblCellMar>
        <w:tblLook w:val="04A0" w:firstRow="1" w:lastRow="0" w:firstColumn="1" w:lastColumn="0" w:noHBand="0" w:noVBand="1"/>
      </w:tblPr>
      <w:tblGrid>
        <w:gridCol w:w="2694"/>
        <w:gridCol w:w="842"/>
        <w:gridCol w:w="796"/>
        <w:gridCol w:w="796"/>
        <w:gridCol w:w="796"/>
        <w:gridCol w:w="796"/>
        <w:gridCol w:w="796"/>
        <w:gridCol w:w="796"/>
        <w:gridCol w:w="858"/>
      </w:tblGrid>
      <w:tr w:rsidR="00695BF0" w:rsidRPr="00695BF0" w:rsidTr="00695BF0">
        <w:trPr>
          <w:trHeight w:val="300"/>
        </w:trPr>
        <w:tc>
          <w:tcPr>
            <w:tcW w:w="2694" w:type="dxa"/>
            <w:tcBorders>
              <w:top w:val="single" w:sz="4" w:space="0" w:color="auto"/>
              <w:left w:val="nil"/>
              <w:bottom w:val="single" w:sz="4" w:space="0" w:color="auto"/>
              <w:right w:val="single" w:sz="4" w:space="0" w:color="auto"/>
            </w:tcBorders>
            <w:shd w:val="clear" w:color="000000" w:fill="D8D8D8"/>
            <w:noWrap/>
            <w:vAlign w:val="bottom"/>
            <w:hideMark/>
          </w:tcPr>
          <w:p w:rsidR="00695BF0" w:rsidRPr="00695BF0" w:rsidRDefault="00695BF0" w:rsidP="00695BF0">
            <w:pPr>
              <w:spacing w:after="0" w:line="240" w:lineRule="auto"/>
              <w:rPr>
                <w:rFonts w:ascii="Times New Roman" w:eastAsia="Times New Roman" w:hAnsi="Times New Roman" w:cs="Times New Roman"/>
                <w:b/>
                <w:bCs/>
                <w:color w:val="000000"/>
                <w:sz w:val="20"/>
                <w:szCs w:val="20"/>
              </w:rPr>
            </w:pPr>
            <w:r w:rsidRPr="00695BF0">
              <w:rPr>
                <w:rFonts w:ascii="Times New Roman" w:eastAsia="Times New Roman" w:hAnsi="Times New Roman" w:cs="Times New Roman"/>
                <w:b/>
                <w:bCs/>
                <w:color w:val="000000"/>
                <w:sz w:val="20"/>
                <w:szCs w:val="20"/>
              </w:rPr>
              <w:t> </w:t>
            </w:r>
          </w:p>
        </w:tc>
        <w:tc>
          <w:tcPr>
            <w:tcW w:w="842" w:type="dxa"/>
            <w:tcBorders>
              <w:top w:val="single" w:sz="4" w:space="0" w:color="auto"/>
              <w:left w:val="nil"/>
              <w:bottom w:val="single" w:sz="4" w:space="0" w:color="auto"/>
              <w:right w:val="nil"/>
            </w:tcBorders>
            <w:shd w:val="clear" w:color="000000" w:fill="D8D8D8"/>
            <w:noWrap/>
            <w:vAlign w:val="bottom"/>
            <w:hideMark/>
          </w:tcPr>
          <w:p w:rsidR="00695BF0" w:rsidRPr="00695BF0" w:rsidRDefault="00695BF0" w:rsidP="00695BF0">
            <w:pPr>
              <w:spacing w:after="0" w:line="240" w:lineRule="auto"/>
              <w:jc w:val="center"/>
              <w:rPr>
                <w:rFonts w:ascii="Times New Roman" w:eastAsia="Times New Roman" w:hAnsi="Times New Roman" w:cs="Times New Roman"/>
                <w:b/>
                <w:bCs/>
                <w:color w:val="000000"/>
                <w:sz w:val="20"/>
                <w:szCs w:val="20"/>
              </w:rPr>
            </w:pPr>
            <w:r w:rsidRPr="00695BF0">
              <w:rPr>
                <w:rFonts w:ascii="Times New Roman" w:eastAsia="Times New Roman" w:hAnsi="Times New Roman" w:cs="Times New Roman"/>
                <w:b/>
                <w:bCs/>
                <w:color w:val="000000"/>
                <w:sz w:val="20"/>
                <w:szCs w:val="20"/>
              </w:rPr>
              <w:t>2012/13</w:t>
            </w:r>
          </w:p>
        </w:tc>
        <w:tc>
          <w:tcPr>
            <w:tcW w:w="796" w:type="dxa"/>
            <w:tcBorders>
              <w:top w:val="single" w:sz="4" w:space="0" w:color="auto"/>
              <w:left w:val="nil"/>
              <w:bottom w:val="single" w:sz="4" w:space="0" w:color="auto"/>
              <w:right w:val="nil"/>
            </w:tcBorders>
            <w:shd w:val="clear" w:color="000000" w:fill="D8D8D8"/>
            <w:noWrap/>
            <w:vAlign w:val="bottom"/>
            <w:hideMark/>
          </w:tcPr>
          <w:p w:rsidR="00695BF0" w:rsidRPr="00695BF0" w:rsidRDefault="00695BF0" w:rsidP="00695BF0">
            <w:pPr>
              <w:spacing w:after="0" w:line="240" w:lineRule="auto"/>
              <w:jc w:val="center"/>
              <w:rPr>
                <w:rFonts w:ascii="Times New Roman" w:eastAsia="Times New Roman" w:hAnsi="Times New Roman" w:cs="Times New Roman"/>
                <w:b/>
                <w:bCs/>
                <w:color w:val="000000"/>
                <w:sz w:val="20"/>
                <w:szCs w:val="20"/>
              </w:rPr>
            </w:pPr>
            <w:r w:rsidRPr="00695BF0">
              <w:rPr>
                <w:rFonts w:ascii="Times New Roman" w:eastAsia="Times New Roman" w:hAnsi="Times New Roman" w:cs="Times New Roman"/>
                <w:b/>
                <w:bCs/>
                <w:color w:val="000000"/>
                <w:sz w:val="20"/>
                <w:szCs w:val="20"/>
              </w:rPr>
              <w:t>2013/14</w:t>
            </w:r>
          </w:p>
        </w:tc>
        <w:tc>
          <w:tcPr>
            <w:tcW w:w="796" w:type="dxa"/>
            <w:tcBorders>
              <w:top w:val="single" w:sz="4" w:space="0" w:color="auto"/>
              <w:left w:val="nil"/>
              <w:bottom w:val="single" w:sz="4" w:space="0" w:color="auto"/>
              <w:right w:val="nil"/>
            </w:tcBorders>
            <w:shd w:val="clear" w:color="000000" w:fill="D8D8D8"/>
            <w:noWrap/>
            <w:vAlign w:val="bottom"/>
            <w:hideMark/>
          </w:tcPr>
          <w:p w:rsidR="00695BF0" w:rsidRPr="00695BF0" w:rsidRDefault="00695BF0" w:rsidP="00695BF0">
            <w:pPr>
              <w:spacing w:after="0" w:line="240" w:lineRule="auto"/>
              <w:jc w:val="center"/>
              <w:rPr>
                <w:rFonts w:ascii="Times New Roman" w:eastAsia="Times New Roman" w:hAnsi="Times New Roman" w:cs="Times New Roman"/>
                <w:b/>
                <w:bCs/>
                <w:color w:val="000000"/>
                <w:sz w:val="20"/>
                <w:szCs w:val="20"/>
              </w:rPr>
            </w:pPr>
            <w:r w:rsidRPr="00695BF0">
              <w:rPr>
                <w:rFonts w:ascii="Times New Roman" w:eastAsia="Times New Roman" w:hAnsi="Times New Roman" w:cs="Times New Roman"/>
                <w:b/>
                <w:bCs/>
                <w:color w:val="000000"/>
                <w:sz w:val="20"/>
                <w:szCs w:val="20"/>
              </w:rPr>
              <w:t>2014/15</w:t>
            </w:r>
          </w:p>
        </w:tc>
        <w:tc>
          <w:tcPr>
            <w:tcW w:w="796" w:type="dxa"/>
            <w:tcBorders>
              <w:top w:val="single" w:sz="4" w:space="0" w:color="auto"/>
              <w:left w:val="nil"/>
              <w:bottom w:val="single" w:sz="4" w:space="0" w:color="auto"/>
              <w:right w:val="nil"/>
            </w:tcBorders>
            <w:shd w:val="clear" w:color="000000" w:fill="D8D8D8"/>
            <w:noWrap/>
            <w:vAlign w:val="bottom"/>
            <w:hideMark/>
          </w:tcPr>
          <w:p w:rsidR="00695BF0" w:rsidRPr="00695BF0" w:rsidRDefault="00695BF0" w:rsidP="00695BF0">
            <w:pPr>
              <w:spacing w:after="0" w:line="240" w:lineRule="auto"/>
              <w:jc w:val="center"/>
              <w:rPr>
                <w:rFonts w:ascii="Times New Roman" w:eastAsia="Times New Roman" w:hAnsi="Times New Roman" w:cs="Times New Roman"/>
                <w:b/>
                <w:bCs/>
                <w:color w:val="000000"/>
                <w:sz w:val="20"/>
                <w:szCs w:val="20"/>
              </w:rPr>
            </w:pPr>
            <w:r w:rsidRPr="00695BF0">
              <w:rPr>
                <w:rFonts w:ascii="Times New Roman" w:eastAsia="Times New Roman" w:hAnsi="Times New Roman" w:cs="Times New Roman"/>
                <w:b/>
                <w:bCs/>
                <w:color w:val="000000"/>
                <w:sz w:val="20"/>
                <w:szCs w:val="20"/>
              </w:rPr>
              <w:t>2015/16</w:t>
            </w:r>
          </w:p>
        </w:tc>
        <w:tc>
          <w:tcPr>
            <w:tcW w:w="796" w:type="dxa"/>
            <w:tcBorders>
              <w:top w:val="single" w:sz="4" w:space="0" w:color="auto"/>
              <w:left w:val="nil"/>
              <w:bottom w:val="single" w:sz="4" w:space="0" w:color="auto"/>
              <w:right w:val="nil"/>
            </w:tcBorders>
            <w:shd w:val="clear" w:color="000000" w:fill="D8D8D8"/>
            <w:noWrap/>
            <w:vAlign w:val="bottom"/>
            <w:hideMark/>
          </w:tcPr>
          <w:p w:rsidR="00695BF0" w:rsidRPr="00695BF0" w:rsidRDefault="00695BF0" w:rsidP="00695BF0">
            <w:pPr>
              <w:spacing w:after="0" w:line="240" w:lineRule="auto"/>
              <w:jc w:val="center"/>
              <w:rPr>
                <w:rFonts w:ascii="Times New Roman" w:eastAsia="Times New Roman" w:hAnsi="Times New Roman" w:cs="Times New Roman"/>
                <w:b/>
                <w:bCs/>
                <w:color w:val="000000"/>
                <w:sz w:val="20"/>
                <w:szCs w:val="20"/>
              </w:rPr>
            </w:pPr>
            <w:r w:rsidRPr="00695BF0">
              <w:rPr>
                <w:rFonts w:ascii="Times New Roman" w:eastAsia="Times New Roman" w:hAnsi="Times New Roman" w:cs="Times New Roman"/>
                <w:b/>
                <w:bCs/>
                <w:color w:val="000000"/>
                <w:sz w:val="20"/>
                <w:szCs w:val="20"/>
              </w:rPr>
              <w:t>2016/17</w:t>
            </w:r>
          </w:p>
        </w:tc>
        <w:tc>
          <w:tcPr>
            <w:tcW w:w="796" w:type="dxa"/>
            <w:tcBorders>
              <w:top w:val="single" w:sz="4" w:space="0" w:color="auto"/>
              <w:left w:val="nil"/>
              <w:bottom w:val="single" w:sz="4" w:space="0" w:color="auto"/>
              <w:right w:val="nil"/>
            </w:tcBorders>
            <w:shd w:val="clear" w:color="000000" w:fill="D8D8D8"/>
            <w:noWrap/>
            <w:vAlign w:val="bottom"/>
            <w:hideMark/>
          </w:tcPr>
          <w:p w:rsidR="00695BF0" w:rsidRPr="00695BF0" w:rsidRDefault="00695BF0" w:rsidP="00695BF0">
            <w:pPr>
              <w:spacing w:after="0" w:line="240" w:lineRule="auto"/>
              <w:jc w:val="center"/>
              <w:rPr>
                <w:rFonts w:ascii="Times New Roman" w:eastAsia="Times New Roman" w:hAnsi="Times New Roman" w:cs="Times New Roman"/>
                <w:b/>
                <w:bCs/>
                <w:color w:val="000000"/>
                <w:sz w:val="20"/>
                <w:szCs w:val="20"/>
              </w:rPr>
            </w:pPr>
            <w:r w:rsidRPr="00695BF0">
              <w:rPr>
                <w:rFonts w:ascii="Times New Roman" w:eastAsia="Times New Roman" w:hAnsi="Times New Roman" w:cs="Times New Roman"/>
                <w:b/>
                <w:bCs/>
                <w:color w:val="000000"/>
                <w:sz w:val="20"/>
                <w:szCs w:val="20"/>
              </w:rPr>
              <w:t>2017/18</w:t>
            </w:r>
          </w:p>
        </w:tc>
        <w:tc>
          <w:tcPr>
            <w:tcW w:w="796" w:type="dxa"/>
            <w:tcBorders>
              <w:top w:val="single" w:sz="4" w:space="0" w:color="auto"/>
              <w:left w:val="nil"/>
              <w:bottom w:val="single" w:sz="4" w:space="0" w:color="auto"/>
              <w:right w:val="nil"/>
            </w:tcBorders>
            <w:shd w:val="clear" w:color="000000" w:fill="D8D8D8"/>
            <w:noWrap/>
            <w:vAlign w:val="bottom"/>
            <w:hideMark/>
          </w:tcPr>
          <w:p w:rsidR="00695BF0" w:rsidRPr="00695BF0" w:rsidRDefault="00695BF0" w:rsidP="00695BF0">
            <w:pPr>
              <w:spacing w:after="0" w:line="240" w:lineRule="auto"/>
              <w:jc w:val="center"/>
              <w:rPr>
                <w:rFonts w:ascii="Times New Roman" w:eastAsia="Times New Roman" w:hAnsi="Times New Roman" w:cs="Times New Roman"/>
                <w:b/>
                <w:bCs/>
                <w:color w:val="000000"/>
                <w:sz w:val="20"/>
                <w:szCs w:val="20"/>
              </w:rPr>
            </w:pPr>
            <w:r w:rsidRPr="00695BF0">
              <w:rPr>
                <w:rFonts w:ascii="Times New Roman" w:eastAsia="Times New Roman" w:hAnsi="Times New Roman" w:cs="Times New Roman"/>
                <w:b/>
                <w:bCs/>
                <w:color w:val="000000"/>
                <w:sz w:val="20"/>
                <w:szCs w:val="20"/>
              </w:rPr>
              <w:t>2018/19</w:t>
            </w:r>
          </w:p>
        </w:tc>
        <w:tc>
          <w:tcPr>
            <w:tcW w:w="858" w:type="dxa"/>
            <w:tcBorders>
              <w:top w:val="single" w:sz="4" w:space="0" w:color="auto"/>
              <w:left w:val="nil"/>
              <w:bottom w:val="single" w:sz="4" w:space="0" w:color="auto"/>
              <w:right w:val="nil"/>
            </w:tcBorders>
            <w:shd w:val="clear" w:color="000000" w:fill="D8D8D8"/>
            <w:noWrap/>
            <w:vAlign w:val="bottom"/>
            <w:hideMark/>
          </w:tcPr>
          <w:p w:rsidR="00695BF0" w:rsidRPr="00695BF0" w:rsidRDefault="00695BF0" w:rsidP="00695BF0">
            <w:pPr>
              <w:spacing w:after="0" w:line="240" w:lineRule="auto"/>
              <w:jc w:val="center"/>
              <w:rPr>
                <w:rFonts w:ascii="Times New Roman" w:eastAsia="Times New Roman" w:hAnsi="Times New Roman" w:cs="Times New Roman"/>
                <w:b/>
                <w:bCs/>
                <w:color w:val="000000"/>
                <w:sz w:val="20"/>
                <w:szCs w:val="20"/>
              </w:rPr>
            </w:pPr>
            <w:r w:rsidRPr="00695BF0">
              <w:rPr>
                <w:rFonts w:ascii="Times New Roman" w:eastAsia="Times New Roman" w:hAnsi="Times New Roman" w:cs="Times New Roman"/>
                <w:b/>
                <w:bCs/>
                <w:color w:val="000000"/>
                <w:sz w:val="20"/>
                <w:szCs w:val="20"/>
              </w:rPr>
              <w:t>2019/20</w:t>
            </w:r>
          </w:p>
        </w:tc>
      </w:tr>
      <w:tr w:rsidR="00695BF0" w:rsidRPr="00695BF0" w:rsidTr="00695BF0">
        <w:trPr>
          <w:trHeight w:val="525"/>
        </w:trPr>
        <w:tc>
          <w:tcPr>
            <w:tcW w:w="2694" w:type="dxa"/>
            <w:tcBorders>
              <w:top w:val="nil"/>
              <w:left w:val="nil"/>
              <w:bottom w:val="nil"/>
              <w:right w:val="single" w:sz="4" w:space="0" w:color="auto"/>
            </w:tcBorders>
            <w:shd w:val="clear" w:color="auto" w:fill="auto"/>
            <w:vAlign w:val="bottom"/>
            <w:hideMark/>
          </w:tcPr>
          <w:p w:rsidR="00695BF0" w:rsidRPr="00695BF0" w:rsidRDefault="00695BF0" w:rsidP="00695BF0">
            <w:pPr>
              <w:spacing w:after="0" w:line="240" w:lineRule="auto"/>
              <w:rPr>
                <w:rFonts w:ascii="Times New Roman" w:eastAsia="Times New Roman" w:hAnsi="Times New Roman" w:cs="Times New Roman"/>
                <w:color w:val="000000"/>
                <w:sz w:val="20"/>
                <w:szCs w:val="20"/>
              </w:rPr>
            </w:pPr>
            <w:r w:rsidRPr="00695BF0">
              <w:rPr>
                <w:rFonts w:ascii="Times New Roman" w:eastAsia="Times New Roman" w:hAnsi="Times New Roman" w:cs="Times New Roman"/>
                <w:color w:val="000000"/>
                <w:sz w:val="20"/>
                <w:szCs w:val="20"/>
              </w:rPr>
              <w:t>medziročné zvýšenie zberových plôch zemiakov v ha</w:t>
            </w:r>
          </w:p>
        </w:tc>
        <w:tc>
          <w:tcPr>
            <w:tcW w:w="842" w:type="dxa"/>
            <w:tcBorders>
              <w:top w:val="nil"/>
              <w:left w:val="nil"/>
              <w:bottom w:val="nil"/>
              <w:right w:val="nil"/>
            </w:tcBorders>
            <w:shd w:val="clear" w:color="auto" w:fill="auto"/>
            <w:noWrap/>
            <w:vAlign w:val="center"/>
            <w:hideMark/>
          </w:tcPr>
          <w:p w:rsidR="00695BF0" w:rsidRPr="00695BF0" w:rsidRDefault="00695BF0" w:rsidP="00695BF0">
            <w:pPr>
              <w:spacing w:after="0" w:line="240" w:lineRule="auto"/>
              <w:jc w:val="right"/>
              <w:rPr>
                <w:rFonts w:ascii="Times New Roman" w:eastAsia="Times New Roman" w:hAnsi="Times New Roman" w:cs="Times New Roman"/>
                <w:color w:val="000000"/>
                <w:sz w:val="20"/>
                <w:szCs w:val="20"/>
              </w:rPr>
            </w:pPr>
            <w:r w:rsidRPr="00695BF0">
              <w:rPr>
                <w:rFonts w:ascii="Times New Roman" w:eastAsia="Times New Roman" w:hAnsi="Times New Roman" w:cs="Times New Roman"/>
                <w:color w:val="000000"/>
                <w:sz w:val="20"/>
                <w:szCs w:val="20"/>
              </w:rPr>
              <w:t>-700</w:t>
            </w:r>
          </w:p>
        </w:tc>
        <w:tc>
          <w:tcPr>
            <w:tcW w:w="796" w:type="dxa"/>
            <w:tcBorders>
              <w:top w:val="nil"/>
              <w:left w:val="nil"/>
              <w:bottom w:val="nil"/>
              <w:right w:val="nil"/>
            </w:tcBorders>
            <w:shd w:val="clear" w:color="auto" w:fill="auto"/>
            <w:noWrap/>
            <w:vAlign w:val="center"/>
            <w:hideMark/>
          </w:tcPr>
          <w:p w:rsidR="00695BF0" w:rsidRPr="00695BF0" w:rsidRDefault="00695BF0" w:rsidP="00695BF0">
            <w:pPr>
              <w:spacing w:after="0" w:line="240" w:lineRule="auto"/>
              <w:jc w:val="right"/>
              <w:rPr>
                <w:rFonts w:ascii="Times New Roman" w:eastAsia="Times New Roman" w:hAnsi="Times New Roman" w:cs="Times New Roman"/>
                <w:color w:val="000000"/>
                <w:sz w:val="20"/>
                <w:szCs w:val="20"/>
              </w:rPr>
            </w:pPr>
            <w:r w:rsidRPr="00695BF0">
              <w:rPr>
                <w:rFonts w:ascii="Times New Roman" w:eastAsia="Times New Roman" w:hAnsi="Times New Roman" w:cs="Times New Roman"/>
                <w:color w:val="000000"/>
                <w:sz w:val="20"/>
                <w:szCs w:val="20"/>
              </w:rPr>
              <w:t>97</w:t>
            </w:r>
          </w:p>
        </w:tc>
        <w:tc>
          <w:tcPr>
            <w:tcW w:w="796" w:type="dxa"/>
            <w:tcBorders>
              <w:top w:val="nil"/>
              <w:left w:val="nil"/>
              <w:bottom w:val="nil"/>
              <w:right w:val="nil"/>
            </w:tcBorders>
            <w:shd w:val="clear" w:color="auto" w:fill="auto"/>
            <w:noWrap/>
            <w:vAlign w:val="center"/>
            <w:hideMark/>
          </w:tcPr>
          <w:p w:rsidR="00695BF0" w:rsidRPr="00695BF0" w:rsidRDefault="00695BF0" w:rsidP="00695BF0">
            <w:pPr>
              <w:spacing w:after="0" w:line="240" w:lineRule="auto"/>
              <w:jc w:val="right"/>
              <w:rPr>
                <w:rFonts w:ascii="Times New Roman" w:eastAsia="Times New Roman" w:hAnsi="Times New Roman" w:cs="Times New Roman"/>
                <w:color w:val="000000"/>
                <w:sz w:val="20"/>
                <w:szCs w:val="20"/>
              </w:rPr>
            </w:pPr>
            <w:r w:rsidRPr="00695BF0">
              <w:rPr>
                <w:rFonts w:ascii="Times New Roman" w:eastAsia="Times New Roman" w:hAnsi="Times New Roman" w:cs="Times New Roman"/>
                <w:color w:val="000000"/>
                <w:sz w:val="20"/>
                <w:szCs w:val="20"/>
              </w:rPr>
              <w:t>196</w:t>
            </w:r>
          </w:p>
        </w:tc>
        <w:tc>
          <w:tcPr>
            <w:tcW w:w="796" w:type="dxa"/>
            <w:tcBorders>
              <w:top w:val="nil"/>
              <w:left w:val="nil"/>
              <w:bottom w:val="nil"/>
              <w:right w:val="nil"/>
            </w:tcBorders>
            <w:shd w:val="clear" w:color="auto" w:fill="auto"/>
            <w:noWrap/>
            <w:vAlign w:val="center"/>
            <w:hideMark/>
          </w:tcPr>
          <w:p w:rsidR="00695BF0" w:rsidRPr="00695BF0" w:rsidRDefault="00695BF0" w:rsidP="00695BF0">
            <w:pPr>
              <w:spacing w:after="0" w:line="240" w:lineRule="auto"/>
              <w:jc w:val="right"/>
              <w:rPr>
                <w:rFonts w:ascii="Times New Roman" w:eastAsia="Times New Roman" w:hAnsi="Times New Roman" w:cs="Times New Roman"/>
                <w:color w:val="000000"/>
                <w:sz w:val="20"/>
                <w:szCs w:val="20"/>
              </w:rPr>
            </w:pPr>
            <w:r w:rsidRPr="00695BF0">
              <w:rPr>
                <w:rFonts w:ascii="Times New Roman" w:eastAsia="Times New Roman" w:hAnsi="Times New Roman" w:cs="Times New Roman"/>
                <w:color w:val="000000"/>
                <w:sz w:val="20"/>
                <w:szCs w:val="20"/>
              </w:rPr>
              <w:t>500</w:t>
            </w:r>
          </w:p>
        </w:tc>
        <w:tc>
          <w:tcPr>
            <w:tcW w:w="796" w:type="dxa"/>
            <w:tcBorders>
              <w:top w:val="nil"/>
              <w:left w:val="nil"/>
              <w:bottom w:val="nil"/>
              <w:right w:val="nil"/>
            </w:tcBorders>
            <w:shd w:val="clear" w:color="auto" w:fill="auto"/>
            <w:noWrap/>
            <w:vAlign w:val="center"/>
            <w:hideMark/>
          </w:tcPr>
          <w:p w:rsidR="00695BF0" w:rsidRPr="00695BF0" w:rsidRDefault="00695BF0" w:rsidP="00695BF0">
            <w:pPr>
              <w:spacing w:after="0" w:line="240" w:lineRule="auto"/>
              <w:jc w:val="right"/>
              <w:rPr>
                <w:rFonts w:ascii="Times New Roman" w:eastAsia="Times New Roman" w:hAnsi="Times New Roman" w:cs="Times New Roman"/>
                <w:color w:val="000000"/>
                <w:sz w:val="20"/>
                <w:szCs w:val="20"/>
              </w:rPr>
            </w:pPr>
            <w:r w:rsidRPr="00695BF0">
              <w:rPr>
                <w:rFonts w:ascii="Times New Roman" w:eastAsia="Times New Roman" w:hAnsi="Times New Roman" w:cs="Times New Roman"/>
                <w:color w:val="000000"/>
                <w:sz w:val="20"/>
                <w:szCs w:val="20"/>
              </w:rPr>
              <w:t>105</w:t>
            </w:r>
          </w:p>
        </w:tc>
        <w:tc>
          <w:tcPr>
            <w:tcW w:w="796" w:type="dxa"/>
            <w:tcBorders>
              <w:top w:val="nil"/>
              <w:left w:val="nil"/>
              <w:bottom w:val="nil"/>
              <w:right w:val="nil"/>
            </w:tcBorders>
            <w:shd w:val="clear" w:color="auto" w:fill="auto"/>
            <w:noWrap/>
            <w:vAlign w:val="center"/>
            <w:hideMark/>
          </w:tcPr>
          <w:p w:rsidR="00695BF0" w:rsidRPr="00695BF0" w:rsidRDefault="00695BF0" w:rsidP="00695BF0">
            <w:pPr>
              <w:spacing w:after="0" w:line="240" w:lineRule="auto"/>
              <w:jc w:val="right"/>
              <w:rPr>
                <w:rFonts w:ascii="Times New Roman" w:eastAsia="Times New Roman" w:hAnsi="Times New Roman" w:cs="Times New Roman"/>
                <w:color w:val="000000"/>
                <w:sz w:val="20"/>
                <w:szCs w:val="20"/>
              </w:rPr>
            </w:pPr>
            <w:r w:rsidRPr="00695BF0">
              <w:rPr>
                <w:rFonts w:ascii="Times New Roman" w:eastAsia="Times New Roman" w:hAnsi="Times New Roman" w:cs="Times New Roman"/>
                <w:color w:val="000000"/>
                <w:sz w:val="20"/>
                <w:szCs w:val="20"/>
              </w:rPr>
              <w:t>212</w:t>
            </w:r>
          </w:p>
        </w:tc>
        <w:tc>
          <w:tcPr>
            <w:tcW w:w="796" w:type="dxa"/>
            <w:tcBorders>
              <w:top w:val="nil"/>
              <w:left w:val="nil"/>
              <w:bottom w:val="nil"/>
              <w:right w:val="nil"/>
            </w:tcBorders>
            <w:shd w:val="clear" w:color="auto" w:fill="auto"/>
            <w:noWrap/>
            <w:vAlign w:val="center"/>
            <w:hideMark/>
          </w:tcPr>
          <w:p w:rsidR="00695BF0" w:rsidRPr="00695BF0" w:rsidRDefault="00695BF0" w:rsidP="00695BF0">
            <w:pPr>
              <w:spacing w:after="0" w:line="240" w:lineRule="auto"/>
              <w:jc w:val="right"/>
              <w:rPr>
                <w:rFonts w:ascii="Times New Roman" w:eastAsia="Times New Roman" w:hAnsi="Times New Roman" w:cs="Times New Roman"/>
                <w:color w:val="000000"/>
                <w:sz w:val="20"/>
                <w:szCs w:val="20"/>
              </w:rPr>
            </w:pPr>
            <w:r w:rsidRPr="00695BF0">
              <w:rPr>
                <w:rFonts w:ascii="Times New Roman" w:eastAsia="Times New Roman" w:hAnsi="Times New Roman" w:cs="Times New Roman"/>
                <w:color w:val="000000"/>
                <w:sz w:val="20"/>
                <w:szCs w:val="20"/>
              </w:rPr>
              <w:t>108</w:t>
            </w:r>
          </w:p>
        </w:tc>
        <w:tc>
          <w:tcPr>
            <w:tcW w:w="858" w:type="dxa"/>
            <w:tcBorders>
              <w:top w:val="nil"/>
              <w:left w:val="nil"/>
              <w:bottom w:val="nil"/>
              <w:right w:val="nil"/>
            </w:tcBorders>
            <w:shd w:val="clear" w:color="auto" w:fill="auto"/>
            <w:noWrap/>
            <w:vAlign w:val="center"/>
            <w:hideMark/>
          </w:tcPr>
          <w:p w:rsidR="00695BF0" w:rsidRPr="00695BF0" w:rsidRDefault="00695BF0" w:rsidP="00695BF0">
            <w:pPr>
              <w:spacing w:after="0" w:line="240" w:lineRule="auto"/>
              <w:jc w:val="right"/>
              <w:rPr>
                <w:rFonts w:ascii="Times New Roman" w:eastAsia="Times New Roman" w:hAnsi="Times New Roman" w:cs="Times New Roman"/>
                <w:color w:val="000000"/>
                <w:sz w:val="20"/>
                <w:szCs w:val="20"/>
              </w:rPr>
            </w:pPr>
            <w:r w:rsidRPr="00695BF0">
              <w:rPr>
                <w:rFonts w:ascii="Times New Roman" w:eastAsia="Times New Roman" w:hAnsi="Times New Roman" w:cs="Times New Roman"/>
                <w:color w:val="000000"/>
                <w:sz w:val="20"/>
                <w:szCs w:val="20"/>
              </w:rPr>
              <w:t>225</w:t>
            </w:r>
          </w:p>
        </w:tc>
      </w:tr>
      <w:tr w:rsidR="00695BF0" w:rsidRPr="00695BF0" w:rsidTr="00695BF0">
        <w:trPr>
          <w:trHeight w:val="300"/>
        </w:trPr>
        <w:tc>
          <w:tcPr>
            <w:tcW w:w="2694" w:type="dxa"/>
            <w:tcBorders>
              <w:top w:val="nil"/>
              <w:left w:val="nil"/>
              <w:bottom w:val="nil"/>
              <w:right w:val="single" w:sz="4" w:space="0" w:color="auto"/>
            </w:tcBorders>
            <w:shd w:val="clear" w:color="000000" w:fill="F2F2F2"/>
            <w:vAlign w:val="bottom"/>
            <w:hideMark/>
          </w:tcPr>
          <w:p w:rsidR="00695BF0" w:rsidRPr="00695BF0" w:rsidRDefault="00695BF0" w:rsidP="00695BF0">
            <w:pPr>
              <w:spacing w:after="0" w:line="240" w:lineRule="auto"/>
              <w:rPr>
                <w:rFonts w:ascii="Times New Roman" w:eastAsia="Times New Roman" w:hAnsi="Times New Roman" w:cs="Times New Roman"/>
                <w:b/>
                <w:color w:val="000000"/>
                <w:sz w:val="20"/>
                <w:szCs w:val="20"/>
              </w:rPr>
            </w:pPr>
            <w:r w:rsidRPr="00695BF0">
              <w:rPr>
                <w:rFonts w:ascii="Times New Roman" w:eastAsia="Times New Roman" w:hAnsi="Times New Roman" w:cs="Times New Roman"/>
                <w:b/>
                <w:color w:val="000000"/>
                <w:sz w:val="20"/>
                <w:szCs w:val="20"/>
              </w:rPr>
              <w:t>dodatočný počet zamestnancov v osobách</w:t>
            </w:r>
          </w:p>
        </w:tc>
        <w:tc>
          <w:tcPr>
            <w:tcW w:w="842" w:type="dxa"/>
            <w:tcBorders>
              <w:top w:val="nil"/>
              <w:left w:val="nil"/>
              <w:bottom w:val="nil"/>
              <w:right w:val="nil"/>
            </w:tcBorders>
            <w:shd w:val="clear" w:color="000000" w:fill="F2F2F2"/>
            <w:noWrap/>
            <w:vAlign w:val="center"/>
            <w:hideMark/>
          </w:tcPr>
          <w:p w:rsidR="00695BF0" w:rsidRPr="00695BF0" w:rsidRDefault="00695BF0" w:rsidP="00695BF0">
            <w:pPr>
              <w:spacing w:after="0" w:line="240" w:lineRule="auto"/>
              <w:jc w:val="right"/>
              <w:rPr>
                <w:rFonts w:ascii="Times New Roman" w:eastAsia="Times New Roman" w:hAnsi="Times New Roman" w:cs="Times New Roman"/>
                <w:b/>
                <w:color w:val="000000"/>
                <w:sz w:val="20"/>
                <w:szCs w:val="20"/>
              </w:rPr>
            </w:pPr>
            <w:r w:rsidRPr="00695BF0">
              <w:rPr>
                <w:rFonts w:ascii="Times New Roman" w:eastAsia="Times New Roman" w:hAnsi="Times New Roman" w:cs="Times New Roman"/>
                <w:b/>
                <w:color w:val="000000"/>
                <w:sz w:val="20"/>
                <w:szCs w:val="20"/>
              </w:rPr>
              <w:t>-49</w:t>
            </w:r>
          </w:p>
        </w:tc>
        <w:tc>
          <w:tcPr>
            <w:tcW w:w="796" w:type="dxa"/>
            <w:tcBorders>
              <w:top w:val="nil"/>
              <w:left w:val="nil"/>
              <w:bottom w:val="nil"/>
              <w:right w:val="nil"/>
            </w:tcBorders>
            <w:shd w:val="clear" w:color="000000" w:fill="F2F2F2"/>
            <w:noWrap/>
            <w:vAlign w:val="center"/>
            <w:hideMark/>
          </w:tcPr>
          <w:p w:rsidR="00695BF0" w:rsidRPr="00695BF0" w:rsidRDefault="00695BF0" w:rsidP="00695BF0">
            <w:pPr>
              <w:spacing w:after="0" w:line="240" w:lineRule="auto"/>
              <w:jc w:val="right"/>
              <w:rPr>
                <w:rFonts w:ascii="Times New Roman" w:eastAsia="Times New Roman" w:hAnsi="Times New Roman" w:cs="Times New Roman"/>
                <w:b/>
                <w:color w:val="000000"/>
                <w:sz w:val="20"/>
                <w:szCs w:val="20"/>
              </w:rPr>
            </w:pPr>
            <w:r w:rsidRPr="00695BF0">
              <w:rPr>
                <w:rFonts w:ascii="Times New Roman" w:eastAsia="Times New Roman" w:hAnsi="Times New Roman" w:cs="Times New Roman"/>
                <w:b/>
                <w:color w:val="000000"/>
                <w:sz w:val="20"/>
                <w:szCs w:val="20"/>
              </w:rPr>
              <w:t>7</w:t>
            </w:r>
          </w:p>
        </w:tc>
        <w:tc>
          <w:tcPr>
            <w:tcW w:w="796" w:type="dxa"/>
            <w:tcBorders>
              <w:top w:val="nil"/>
              <w:left w:val="nil"/>
              <w:bottom w:val="nil"/>
              <w:right w:val="nil"/>
            </w:tcBorders>
            <w:shd w:val="clear" w:color="000000" w:fill="F2F2F2"/>
            <w:noWrap/>
            <w:vAlign w:val="center"/>
            <w:hideMark/>
          </w:tcPr>
          <w:p w:rsidR="00695BF0" w:rsidRPr="00695BF0" w:rsidRDefault="00695BF0" w:rsidP="00695BF0">
            <w:pPr>
              <w:spacing w:after="0" w:line="240" w:lineRule="auto"/>
              <w:jc w:val="right"/>
              <w:rPr>
                <w:rFonts w:ascii="Times New Roman" w:eastAsia="Times New Roman" w:hAnsi="Times New Roman" w:cs="Times New Roman"/>
                <w:b/>
                <w:color w:val="000000"/>
                <w:sz w:val="20"/>
                <w:szCs w:val="20"/>
              </w:rPr>
            </w:pPr>
            <w:r w:rsidRPr="00695BF0">
              <w:rPr>
                <w:rFonts w:ascii="Times New Roman" w:eastAsia="Times New Roman" w:hAnsi="Times New Roman" w:cs="Times New Roman"/>
                <w:b/>
                <w:color w:val="000000"/>
                <w:sz w:val="20"/>
                <w:szCs w:val="20"/>
              </w:rPr>
              <w:t>14</w:t>
            </w:r>
          </w:p>
        </w:tc>
        <w:tc>
          <w:tcPr>
            <w:tcW w:w="796" w:type="dxa"/>
            <w:tcBorders>
              <w:top w:val="nil"/>
              <w:left w:val="nil"/>
              <w:bottom w:val="nil"/>
              <w:right w:val="nil"/>
            </w:tcBorders>
            <w:shd w:val="clear" w:color="000000" w:fill="F2F2F2"/>
            <w:noWrap/>
            <w:vAlign w:val="center"/>
            <w:hideMark/>
          </w:tcPr>
          <w:p w:rsidR="00695BF0" w:rsidRPr="00695BF0" w:rsidRDefault="00695BF0" w:rsidP="00695BF0">
            <w:pPr>
              <w:spacing w:after="0" w:line="240" w:lineRule="auto"/>
              <w:jc w:val="right"/>
              <w:rPr>
                <w:rFonts w:ascii="Times New Roman" w:eastAsia="Times New Roman" w:hAnsi="Times New Roman" w:cs="Times New Roman"/>
                <w:b/>
                <w:color w:val="000000"/>
                <w:sz w:val="20"/>
                <w:szCs w:val="20"/>
              </w:rPr>
            </w:pPr>
            <w:r w:rsidRPr="00695BF0">
              <w:rPr>
                <w:rFonts w:ascii="Times New Roman" w:eastAsia="Times New Roman" w:hAnsi="Times New Roman" w:cs="Times New Roman"/>
                <w:b/>
                <w:color w:val="000000"/>
                <w:sz w:val="20"/>
                <w:szCs w:val="20"/>
              </w:rPr>
              <w:t>35</w:t>
            </w:r>
          </w:p>
        </w:tc>
        <w:tc>
          <w:tcPr>
            <w:tcW w:w="796" w:type="dxa"/>
            <w:tcBorders>
              <w:top w:val="nil"/>
              <w:left w:val="nil"/>
              <w:bottom w:val="nil"/>
              <w:right w:val="nil"/>
            </w:tcBorders>
            <w:shd w:val="clear" w:color="000000" w:fill="F2F2F2"/>
            <w:noWrap/>
            <w:vAlign w:val="center"/>
            <w:hideMark/>
          </w:tcPr>
          <w:p w:rsidR="00695BF0" w:rsidRPr="00695BF0" w:rsidRDefault="00695BF0" w:rsidP="00695BF0">
            <w:pPr>
              <w:spacing w:after="0" w:line="240" w:lineRule="auto"/>
              <w:jc w:val="right"/>
              <w:rPr>
                <w:rFonts w:ascii="Times New Roman" w:eastAsia="Times New Roman" w:hAnsi="Times New Roman" w:cs="Times New Roman"/>
                <w:b/>
                <w:color w:val="000000"/>
                <w:sz w:val="20"/>
                <w:szCs w:val="20"/>
              </w:rPr>
            </w:pPr>
            <w:r w:rsidRPr="00695BF0">
              <w:rPr>
                <w:rFonts w:ascii="Times New Roman" w:eastAsia="Times New Roman" w:hAnsi="Times New Roman" w:cs="Times New Roman"/>
                <w:b/>
                <w:color w:val="000000"/>
                <w:sz w:val="20"/>
                <w:szCs w:val="20"/>
              </w:rPr>
              <w:t>7</w:t>
            </w:r>
          </w:p>
        </w:tc>
        <w:tc>
          <w:tcPr>
            <w:tcW w:w="796" w:type="dxa"/>
            <w:tcBorders>
              <w:top w:val="nil"/>
              <w:left w:val="nil"/>
              <w:bottom w:val="nil"/>
              <w:right w:val="nil"/>
            </w:tcBorders>
            <w:shd w:val="clear" w:color="000000" w:fill="F2F2F2"/>
            <w:noWrap/>
            <w:vAlign w:val="center"/>
            <w:hideMark/>
          </w:tcPr>
          <w:p w:rsidR="00695BF0" w:rsidRPr="00695BF0" w:rsidRDefault="00695BF0" w:rsidP="00695BF0">
            <w:pPr>
              <w:spacing w:after="0" w:line="240" w:lineRule="auto"/>
              <w:jc w:val="right"/>
              <w:rPr>
                <w:rFonts w:ascii="Times New Roman" w:eastAsia="Times New Roman" w:hAnsi="Times New Roman" w:cs="Times New Roman"/>
                <w:b/>
                <w:color w:val="000000"/>
                <w:sz w:val="20"/>
                <w:szCs w:val="20"/>
              </w:rPr>
            </w:pPr>
            <w:r w:rsidRPr="00695BF0">
              <w:rPr>
                <w:rFonts w:ascii="Times New Roman" w:eastAsia="Times New Roman" w:hAnsi="Times New Roman" w:cs="Times New Roman"/>
                <w:b/>
                <w:color w:val="000000"/>
                <w:sz w:val="20"/>
                <w:szCs w:val="20"/>
              </w:rPr>
              <w:t>15</w:t>
            </w:r>
          </w:p>
        </w:tc>
        <w:tc>
          <w:tcPr>
            <w:tcW w:w="796" w:type="dxa"/>
            <w:tcBorders>
              <w:top w:val="nil"/>
              <w:left w:val="nil"/>
              <w:bottom w:val="nil"/>
              <w:right w:val="nil"/>
            </w:tcBorders>
            <w:shd w:val="clear" w:color="000000" w:fill="F2F2F2"/>
            <w:noWrap/>
            <w:vAlign w:val="center"/>
            <w:hideMark/>
          </w:tcPr>
          <w:p w:rsidR="00695BF0" w:rsidRPr="00695BF0" w:rsidRDefault="00695BF0" w:rsidP="00695BF0">
            <w:pPr>
              <w:spacing w:after="0" w:line="240" w:lineRule="auto"/>
              <w:jc w:val="right"/>
              <w:rPr>
                <w:rFonts w:ascii="Times New Roman" w:eastAsia="Times New Roman" w:hAnsi="Times New Roman" w:cs="Times New Roman"/>
                <w:b/>
                <w:color w:val="000000"/>
                <w:sz w:val="20"/>
                <w:szCs w:val="20"/>
              </w:rPr>
            </w:pPr>
            <w:r w:rsidRPr="00695BF0">
              <w:rPr>
                <w:rFonts w:ascii="Times New Roman" w:eastAsia="Times New Roman" w:hAnsi="Times New Roman" w:cs="Times New Roman"/>
                <w:b/>
                <w:color w:val="000000"/>
                <w:sz w:val="20"/>
                <w:szCs w:val="20"/>
              </w:rPr>
              <w:t>8</w:t>
            </w:r>
          </w:p>
        </w:tc>
        <w:tc>
          <w:tcPr>
            <w:tcW w:w="858" w:type="dxa"/>
            <w:tcBorders>
              <w:top w:val="nil"/>
              <w:left w:val="nil"/>
              <w:bottom w:val="nil"/>
              <w:right w:val="nil"/>
            </w:tcBorders>
            <w:shd w:val="clear" w:color="000000" w:fill="F2F2F2"/>
            <w:noWrap/>
            <w:vAlign w:val="center"/>
            <w:hideMark/>
          </w:tcPr>
          <w:p w:rsidR="00695BF0" w:rsidRPr="00695BF0" w:rsidRDefault="00695BF0" w:rsidP="00695BF0">
            <w:pPr>
              <w:spacing w:after="0" w:line="240" w:lineRule="auto"/>
              <w:jc w:val="right"/>
              <w:rPr>
                <w:rFonts w:ascii="Times New Roman" w:eastAsia="Times New Roman" w:hAnsi="Times New Roman" w:cs="Times New Roman"/>
                <w:b/>
                <w:color w:val="000000"/>
                <w:sz w:val="20"/>
                <w:szCs w:val="20"/>
              </w:rPr>
            </w:pPr>
            <w:r w:rsidRPr="00695BF0">
              <w:rPr>
                <w:rFonts w:ascii="Times New Roman" w:eastAsia="Times New Roman" w:hAnsi="Times New Roman" w:cs="Times New Roman"/>
                <w:b/>
                <w:color w:val="000000"/>
                <w:sz w:val="20"/>
                <w:szCs w:val="20"/>
              </w:rPr>
              <w:t>16</w:t>
            </w:r>
          </w:p>
        </w:tc>
      </w:tr>
      <w:tr w:rsidR="00695BF0" w:rsidRPr="00695BF0" w:rsidTr="00695BF0">
        <w:trPr>
          <w:trHeight w:val="780"/>
        </w:trPr>
        <w:tc>
          <w:tcPr>
            <w:tcW w:w="2694" w:type="dxa"/>
            <w:tcBorders>
              <w:top w:val="nil"/>
              <w:left w:val="nil"/>
              <w:bottom w:val="single" w:sz="4" w:space="0" w:color="auto"/>
              <w:right w:val="single" w:sz="4" w:space="0" w:color="auto"/>
            </w:tcBorders>
            <w:shd w:val="clear" w:color="auto" w:fill="auto"/>
            <w:vAlign w:val="bottom"/>
            <w:hideMark/>
          </w:tcPr>
          <w:p w:rsidR="00695BF0" w:rsidRPr="00695BF0" w:rsidRDefault="00695BF0" w:rsidP="00695BF0">
            <w:pPr>
              <w:spacing w:after="0" w:line="240" w:lineRule="auto"/>
              <w:rPr>
                <w:rFonts w:ascii="Times New Roman" w:eastAsia="Times New Roman" w:hAnsi="Times New Roman" w:cs="Times New Roman"/>
                <w:color w:val="000000"/>
                <w:sz w:val="20"/>
                <w:szCs w:val="20"/>
              </w:rPr>
            </w:pPr>
            <w:r w:rsidRPr="00695BF0">
              <w:rPr>
                <w:rFonts w:ascii="Times New Roman" w:eastAsia="Times New Roman" w:hAnsi="Times New Roman" w:cs="Times New Roman"/>
                <w:color w:val="000000"/>
                <w:sz w:val="20"/>
                <w:szCs w:val="20"/>
              </w:rPr>
              <w:t>potreba finančných prostriedkov na výstavbu a rekonštrukciu prvovýrobných kapacít  vrátane technológie v tis. EUR</w:t>
            </w:r>
          </w:p>
        </w:tc>
        <w:tc>
          <w:tcPr>
            <w:tcW w:w="842" w:type="dxa"/>
            <w:tcBorders>
              <w:top w:val="nil"/>
              <w:left w:val="nil"/>
              <w:bottom w:val="single" w:sz="4" w:space="0" w:color="auto"/>
              <w:right w:val="nil"/>
            </w:tcBorders>
            <w:shd w:val="clear" w:color="auto" w:fill="auto"/>
            <w:noWrap/>
            <w:vAlign w:val="center"/>
            <w:hideMark/>
          </w:tcPr>
          <w:p w:rsidR="00695BF0" w:rsidRPr="00695BF0" w:rsidRDefault="00695BF0" w:rsidP="00695BF0">
            <w:pPr>
              <w:spacing w:after="0" w:line="240" w:lineRule="auto"/>
              <w:jc w:val="right"/>
              <w:rPr>
                <w:rFonts w:ascii="Times New Roman" w:eastAsia="Times New Roman" w:hAnsi="Times New Roman" w:cs="Times New Roman"/>
                <w:color w:val="000000"/>
                <w:sz w:val="20"/>
                <w:szCs w:val="20"/>
              </w:rPr>
            </w:pPr>
            <w:r w:rsidRPr="00695BF0">
              <w:rPr>
                <w:rFonts w:ascii="Times New Roman" w:eastAsia="Times New Roman" w:hAnsi="Times New Roman" w:cs="Times New Roman"/>
                <w:color w:val="000000"/>
                <w:sz w:val="20"/>
                <w:szCs w:val="20"/>
              </w:rPr>
              <w:t>0</w:t>
            </w:r>
          </w:p>
        </w:tc>
        <w:tc>
          <w:tcPr>
            <w:tcW w:w="796" w:type="dxa"/>
            <w:tcBorders>
              <w:top w:val="nil"/>
              <w:left w:val="nil"/>
              <w:bottom w:val="single" w:sz="4" w:space="0" w:color="auto"/>
              <w:right w:val="nil"/>
            </w:tcBorders>
            <w:shd w:val="clear" w:color="auto" w:fill="auto"/>
            <w:noWrap/>
            <w:vAlign w:val="center"/>
            <w:hideMark/>
          </w:tcPr>
          <w:p w:rsidR="00695BF0" w:rsidRPr="00695BF0" w:rsidRDefault="00695BF0" w:rsidP="00695BF0">
            <w:pPr>
              <w:spacing w:after="0" w:line="240" w:lineRule="auto"/>
              <w:jc w:val="right"/>
              <w:rPr>
                <w:rFonts w:ascii="Times New Roman" w:eastAsia="Times New Roman" w:hAnsi="Times New Roman" w:cs="Times New Roman"/>
                <w:color w:val="000000"/>
                <w:sz w:val="20"/>
                <w:szCs w:val="20"/>
              </w:rPr>
            </w:pPr>
            <w:r w:rsidRPr="00695BF0">
              <w:rPr>
                <w:rFonts w:ascii="Times New Roman" w:eastAsia="Times New Roman" w:hAnsi="Times New Roman" w:cs="Times New Roman"/>
                <w:color w:val="000000"/>
                <w:sz w:val="20"/>
                <w:szCs w:val="20"/>
              </w:rPr>
              <w:t>372</w:t>
            </w:r>
          </w:p>
        </w:tc>
        <w:tc>
          <w:tcPr>
            <w:tcW w:w="796" w:type="dxa"/>
            <w:tcBorders>
              <w:top w:val="nil"/>
              <w:left w:val="nil"/>
              <w:bottom w:val="single" w:sz="4" w:space="0" w:color="auto"/>
              <w:right w:val="nil"/>
            </w:tcBorders>
            <w:shd w:val="clear" w:color="auto" w:fill="auto"/>
            <w:noWrap/>
            <w:vAlign w:val="center"/>
            <w:hideMark/>
          </w:tcPr>
          <w:p w:rsidR="00695BF0" w:rsidRPr="00695BF0" w:rsidRDefault="00695BF0" w:rsidP="00695BF0">
            <w:pPr>
              <w:spacing w:after="0" w:line="240" w:lineRule="auto"/>
              <w:jc w:val="right"/>
              <w:rPr>
                <w:rFonts w:ascii="Times New Roman" w:eastAsia="Times New Roman" w:hAnsi="Times New Roman" w:cs="Times New Roman"/>
                <w:color w:val="000000"/>
                <w:sz w:val="20"/>
                <w:szCs w:val="20"/>
              </w:rPr>
            </w:pPr>
            <w:r w:rsidRPr="00695BF0">
              <w:rPr>
                <w:rFonts w:ascii="Times New Roman" w:eastAsia="Times New Roman" w:hAnsi="Times New Roman" w:cs="Times New Roman"/>
                <w:color w:val="000000"/>
                <w:sz w:val="20"/>
                <w:szCs w:val="20"/>
              </w:rPr>
              <w:t>752</w:t>
            </w:r>
          </w:p>
        </w:tc>
        <w:tc>
          <w:tcPr>
            <w:tcW w:w="796" w:type="dxa"/>
            <w:tcBorders>
              <w:top w:val="nil"/>
              <w:left w:val="nil"/>
              <w:bottom w:val="single" w:sz="4" w:space="0" w:color="auto"/>
              <w:right w:val="nil"/>
            </w:tcBorders>
            <w:shd w:val="clear" w:color="auto" w:fill="auto"/>
            <w:noWrap/>
            <w:vAlign w:val="center"/>
            <w:hideMark/>
          </w:tcPr>
          <w:p w:rsidR="00695BF0" w:rsidRPr="00695BF0" w:rsidRDefault="00695BF0" w:rsidP="00695BF0">
            <w:pPr>
              <w:spacing w:after="0" w:line="240" w:lineRule="auto"/>
              <w:jc w:val="right"/>
              <w:rPr>
                <w:rFonts w:ascii="Times New Roman" w:eastAsia="Times New Roman" w:hAnsi="Times New Roman" w:cs="Times New Roman"/>
                <w:color w:val="000000"/>
                <w:sz w:val="20"/>
                <w:szCs w:val="20"/>
              </w:rPr>
            </w:pPr>
            <w:r w:rsidRPr="00695BF0">
              <w:rPr>
                <w:rFonts w:ascii="Times New Roman" w:eastAsia="Times New Roman" w:hAnsi="Times New Roman" w:cs="Times New Roman"/>
                <w:color w:val="000000"/>
                <w:sz w:val="20"/>
                <w:szCs w:val="20"/>
              </w:rPr>
              <w:t>1 919</w:t>
            </w:r>
          </w:p>
        </w:tc>
        <w:tc>
          <w:tcPr>
            <w:tcW w:w="796" w:type="dxa"/>
            <w:tcBorders>
              <w:top w:val="nil"/>
              <w:left w:val="nil"/>
              <w:bottom w:val="single" w:sz="4" w:space="0" w:color="auto"/>
              <w:right w:val="nil"/>
            </w:tcBorders>
            <w:shd w:val="clear" w:color="auto" w:fill="auto"/>
            <w:noWrap/>
            <w:vAlign w:val="center"/>
            <w:hideMark/>
          </w:tcPr>
          <w:p w:rsidR="00695BF0" w:rsidRPr="00695BF0" w:rsidRDefault="00695BF0" w:rsidP="00695BF0">
            <w:pPr>
              <w:spacing w:after="0" w:line="240" w:lineRule="auto"/>
              <w:jc w:val="right"/>
              <w:rPr>
                <w:rFonts w:ascii="Times New Roman" w:eastAsia="Times New Roman" w:hAnsi="Times New Roman" w:cs="Times New Roman"/>
                <w:color w:val="000000"/>
                <w:sz w:val="20"/>
                <w:szCs w:val="20"/>
              </w:rPr>
            </w:pPr>
            <w:r w:rsidRPr="00695BF0">
              <w:rPr>
                <w:rFonts w:ascii="Times New Roman" w:eastAsia="Times New Roman" w:hAnsi="Times New Roman" w:cs="Times New Roman"/>
                <w:color w:val="000000"/>
                <w:sz w:val="20"/>
                <w:szCs w:val="20"/>
              </w:rPr>
              <w:t>403</w:t>
            </w:r>
          </w:p>
        </w:tc>
        <w:tc>
          <w:tcPr>
            <w:tcW w:w="796" w:type="dxa"/>
            <w:tcBorders>
              <w:top w:val="nil"/>
              <w:left w:val="nil"/>
              <w:bottom w:val="single" w:sz="4" w:space="0" w:color="auto"/>
              <w:right w:val="nil"/>
            </w:tcBorders>
            <w:shd w:val="clear" w:color="auto" w:fill="auto"/>
            <w:noWrap/>
            <w:vAlign w:val="center"/>
            <w:hideMark/>
          </w:tcPr>
          <w:p w:rsidR="00695BF0" w:rsidRPr="00695BF0" w:rsidRDefault="00695BF0" w:rsidP="00695BF0">
            <w:pPr>
              <w:spacing w:after="0" w:line="240" w:lineRule="auto"/>
              <w:jc w:val="right"/>
              <w:rPr>
                <w:rFonts w:ascii="Times New Roman" w:eastAsia="Times New Roman" w:hAnsi="Times New Roman" w:cs="Times New Roman"/>
                <w:color w:val="000000"/>
                <w:sz w:val="20"/>
                <w:szCs w:val="20"/>
              </w:rPr>
            </w:pPr>
            <w:r w:rsidRPr="00695BF0">
              <w:rPr>
                <w:rFonts w:ascii="Times New Roman" w:eastAsia="Times New Roman" w:hAnsi="Times New Roman" w:cs="Times New Roman"/>
                <w:color w:val="000000"/>
                <w:sz w:val="20"/>
                <w:szCs w:val="20"/>
              </w:rPr>
              <w:t>814</w:t>
            </w:r>
          </w:p>
        </w:tc>
        <w:tc>
          <w:tcPr>
            <w:tcW w:w="796" w:type="dxa"/>
            <w:tcBorders>
              <w:top w:val="nil"/>
              <w:left w:val="nil"/>
              <w:bottom w:val="single" w:sz="4" w:space="0" w:color="auto"/>
              <w:right w:val="nil"/>
            </w:tcBorders>
            <w:shd w:val="clear" w:color="auto" w:fill="auto"/>
            <w:noWrap/>
            <w:vAlign w:val="center"/>
            <w:hideMark/>
          </w:tcPr>
          <w:p w:rsidR="00695BF0" w:rsidRPr="00695BF0" w:rsidRDefault="00695BF0" w:rsidP="00695BF0">
            <w:pPr>
              <w:spacing w:after="0" w:line="240" w:lineRule="auto"/>
              <w:jc w:val="right"/>
              <w:rPr>
                <w:rFonts w:ascii="Times New Roman" w:eastAsia="Times New Roman" w:hAnsi="Times New Roman" w:cs="Times New Roman"/>
                <w:color w:val="000000"/>
                <w:sz w:val="20"/>
                <w:szCs w:val="20"/>
              </w:rPr>
            </w:pPr>
            <w:r w:rsidRPr="00695BF0">
              <w:rPr>
                <w:rFonts w:ascii="Times New Roman" w:eastAsia="Times New Roman" w:hAnsi="Times New Roman" w:cs="Times New Roman"/>
                <w:color w:val="000000"/>
                <w:sz w:val="20"/>
                <w:szCs w:val="20"/>
              </w:rPr>
              <w:t>415</w:t>
            </w:r>
          </w:p>
        </w:tc>
        <w:tc>
          <w:tcPr>
            <w:tcW w:w="858" w:type="dxa"/>
            <w:tcBorders>
              <w:top w:val="nil"/>
              <w:left w:val="nil"/>
              <w:bottom w:val="single" w:sz="4" w:space="0" w:color="auto"/>
              <w:right w:val="nil"/>
            </w:tcBorders>
            <w:shd w:val="clear" w:color="auto" w:fill="auto"/>
            <w:noWrap/>
            <w:vAlign w:val="center"/>
            <w:hideMark/>
          </w:tcPr>
          <w:p w:rsidR="00695BF0" w:rsidRPr="00695BF0" w:rsidRDefault="00695BF0" w:rsidP="00695BF0">
            <w:pPr>
              <w:spacing w:after="0" w:line="240" w:lineRule="auto"/>
              <w:jc w:val="right"/>
              <w:rPr>
                <w:rFonts w:ascii="Times New Roman" w:eastAsia="Times New Roman" w:hAnsi="Times New Roman" w:cs="Times New Roman"/>
                <w:color w:val="000000"/>
                <w:sz w:val="20"/>
                <w:szCs w:val="20"/>
              </w:rPr>
            </w:pPr>
            <w:r w:rsidRPr="00695BF0">
              <w:rPr>
                <w:rFonts w:ascii="Times New Roman" w:eastAsia="Times New Roman" w:hAnsi="Times New Roman" w:cs="Times New Roman"/>
                <w:color w:val="000000"/>
                <w:sz w:val="20"/>
                <w:szCs w:val="20"/>
              </w:rPr>
              <w:t>866</w:t>
            </w:r>
          </w:p>
        </w:tc>
      </w:tr>
    </w:tbl>
    <w:p w:rsidR="00112AFF" w:rsidRPr="00C431FF" w:rsidRDefault="00112AFF" w:rsidP="00112AF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odhad MPRV</w:t>
      </w:r>
    </w:p>
    <w:p w:rsidR="00112AFF" w:rsidRDefault="00112AFF" w:rsidP="00112AFF">
      <w:pPr>
        <w:spacing w:after="0" w:line="240" w:lineRule="auto"/>
        <w:jc w:val="both"/>
        <w:rPr>
          <w:rFonts w:ascii="Times New Roman" w:eastAsia="Calibri" w:hAnsi="Times New Roman"/>
          <w:sz w:val="24"/>
          <w:szCs w:val="24"/>
        </w:rPr>
      </w:pPr>
    </w:p>
    <w:p w:rsidR="00112AFF" w:rsidRDefault="00112AFF" w:rsidP="0028218B">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Cielené zvýšenie objemu produkcie oproti stavu hospodárskeho roka 2011/12 predpokladá preinvestovanie finančných prostriedkov vo výške 2 853 187 EUR, čo predstavuje náklady na založenie výsadby zemiakov vrátane zodpovedajúcej technológie vo výške 3840,09 EUR na ha. Vzhľadom na to, že v hospodárskom roku 2012/13 predpokladáme dodatočný pokles zberových plôch zemiakov o 700 ha a s tým spojený úbytok zamestnanosti v prvovýrobe zemiakov o 49 osôb, je potrebné tento objem finančných prostriedkov navýšiť a v strednodobom horizonte sa </w:t>
      </w:r>
      <w:proofErr w:type="spellStart"/>
      <w:r>
        <w:rPr>
          <w:rFonts w:ascii="Times New Roman" w:eastAsia="Calibri" w:hAnsi="Times New Roman"/>
          <w:sz w:val="24"/>
          <w:szCs w:val="24"/>
        </w:rPr>
        <w:t>vysporiadať</w:t>
      </w:r>
      <w:proofErr w:type="spellEnd"/>
      <w:r>
        <w:rPr>
          <w:rFonts w:ascii="Times New Roman" w:eastAsia="Calibri" w:hAnsi="Times New Roman"/>
          <w:sz w:val="24"/>
          <w:szCs w:val="24"/>
        </w:rPr>
        <w:t xml:space="preserve"> aj s predpokladaným úbytkom zberových plôch zemiakov v hospodárskom roku 2012/13. Táto skutočnosť </w:t>
      </w:r>
      <w:proofErr w:type="spellStart"/>
      <w:r>
        <w:rPr>
          <w:rFonts w:ascii="Times New Roman" w:eastAsia="Calibri" w:hAnsi="Times New Roman"/>
          <w:sz w:val="24"/>
          <w:szCs w:val="24"/>
        </w:rPr>
        <w:t>navyšuje</w:t>
      </w:r>
      <w:proofErr w:type="spellEnd"/>
      <w:r>
        <w:rPr>
          <w:rFonts w:ascii="Times New Roman" w:eastAsia="Calibri" w:hAnsi="Times New Roman"/>
          <w:sz w:val="24"/>
          <w:szCs w:val="24"/>
        </w:rPr>
        <w:t xml:space="preserve"> potrebu finančných prostriedkov na zabezpečenie cieleného objemu produkcie na konečnú výšku 5 541 250 EUR.</w:t>
      </w:r>
    </w:p>
    <w:p w:rsidR="00112AFF" w:rsidRDefault="00112AFF" w:rsidP="0028218B">
      <w:pPr>
        <w:spacing w:after="0" w:line="240" w:lineRule="auto"/>
        <w:jc w:val="both"/>
        <w:rPr>
          <w:rFonts w:ascii="Times New Roman" w:eastAsia="Calibri" w:hAnsi="Times New Roman"/>
          <w:sz w:val="24"/>
          <w:szCs w:val="24"/>
        </w:rPr>
      </w:pPr>
    </w:p>
    <w:p w:rsidR="001824BA" w:rsidRDefault="001824BA" w:rsidP="0028218B">
      <w:pPr>
        <w:spacing w:after="0" w:line="240" w:lineRule="auto"/>
        <w:jc w:val="both"/>
        <w:rPr>
          <w:rFonts w:ascii="Times New Roman" w:eastAsia="Calibri" w:hAnsi="Times New Roman"/>
          <w:sz w:val="24"/>
          <w:szCs w:val="24"/>
        </w:rPr>
      </w:pPr>
      <w:r w:rsidRPr="00453824">
        <w:rPr>
          <w:rFonts w:ascii="Times New Roman" w:eastAsia="Calibri" w:hAnsi="Times New Roman"/>
          <w:sz w:val="24"/>
          <w:szCs w:val="24"/>
        </w:rPr>
        <w:t xml:space="preserve">Zvýšením zberovej plochy zeleniny </w:t>
      </w:r>
      <w:r w:rsidR="008139B4">
        <w:rPr>
          <w:rFonts w:ascii="Times New Roman" w:eastAsia="Calibri" w:hAnsi="Times New Roman"/>
          <w:sz w:val="24"/>
          <w:szCs w:val="24"/>
        </w:rPr>
        <w:t xml:space="preserve">na ornej pôde </w:t>
      </w:r>
      <w:r w:rsidRPr="00453824">
        <w:rPr>
          <w:rFonts w:ascii="Times New Roman" w:eastAsia="Calibri" w:hAnsi="Times New Roman"/>
          <w:sz w:val="24"/>
          <w:szCs w:val="24"/>
        </w:rPr>
        <w:t>o 3 000 ha</w:t>
      </w:r>
      <w:r w:rsidR="000F4C53" w:rsidRPr="00453824">
        <w:rPr>
          <w:rFonts w:ascii="Times New Roman" w:eastAsia="Calibri" w:hAnsi="Times New Roman"/>
          <w:sz w:val="24"/>
          <w:szCs w:val="24"/>
        </w:rPr>
        <w:t>, t.j. na celkovú výmeru cca 12 000 ha,</w:t>
      </w:r>
      <w:r w:rsidRPr="00453824">
        <w:rPr>
          <w:rFonts w:ascii="Times New Roman" w:eastAsia="Calibri" w:hAnsi="Times New Roman"/>
          <w:sz w:val="24"/>
          <w:szCs w:val="24"/>
        </w:rPr>
        <w:t xml:space="preserve"> a  intenzifikáciou produkcie zeleniny </w:t>
      </w:r>
      <w:r w:rsidR="004D1B8B" w:rsidRPr="00453824">
        <w:rPr>
          <w:rFonts w:ascii="Times New Roman" w:eastAsia="Calibri" w:hAnsi="Times New Roman"/>
          <w:sz w:val="24"/>
          <w:szCs w:val="24"/>
        </w:rPr>
        <w:t xml:space="preserve">na ornej pôde </w:t>
      </w:r>
      <w:r w:rsidRPr="00453824">
        <w:rPr>
          <w:rFonts w:ascii="Times New Roman" w:eastAsia="Calibri" w:hAnsi="Times New Roman"/>
          <w:sz w:val="24"/>
          <w:szCs w:val="24"/>
        </w:rPr>
        <w:t>na priemernú úroveň jej hektárovej výnosnosti vo výške 20 t/ha predpokladáme zvýšenie produkcie zeleniny</w:t>
      </w:r>
      <w:r>
        <w:rPr>
          <w:rFonts w:ascii="Times New Roman" w:eastAsia="Calibri" w:hAnsi="Times New Roman"/>
          <w:sz w:val="24"/>
          <w:szCs w:val="24"/>
        </w:rPr>
        <w:t xml:space="preserve"> </w:t>
      </w:r>
      <w:r w:rsidR="00BF439C">
        <w:rPr>
          <w:rFonts w:ascii="Times New Roman" w:eastAsia="Calibri" w:hAnsi="Times New Roman"/>
          <w:sz w:val="24"/>
          <w:szCs w:val="24"/>
        </w:rPr>
        <w:t xml:space="preserve">na ornej pôde </w:t>
      </w:r>
      <w:r>
        <w:rPr>
          <w:rFonts w:ascii="Times New Roman" w:eastAsia="Calibri" w:hAnsi="Times New Roman"/>
          <w:sz w:val="24"/>
          <w:szCs w:val="24"/>
        </w:rPr>
        <w:t xml:space="preserve">o 120,2 % oproti produkcii v roku 2011, t.j. na úrovni 240 000 t. Spolu s odhadom samozásobenia takto predpokladáme celkovú domácu produkciu zeleniny v objeme 445 860 t. </w:t>
      </w:r>
    </w:p>
    <w:p w:rsidR="001824BA" w:rsidRDefault="001824BA" w:rsidP="0028218B">
      <w:pPr>
        <w:spacing w:after="0" w:line="240" w:lineRule="auto"/>
        <w:jc w:val="both"/>
        <w:rPr>
          <w:rFonts w:ascii="Times New Roman" w:eastAsia="Calibri" w:hAnsi="Times New Roman"/>
          <w:sz w:val="24"/>
          <w:szCs w:val="24"/>
        </w:rPr>
      </w:pPr>
    </w:p>
    <w:p w:rsidR="00CE5F2C" w:rsidRPr="00CE5F2C" w:rsidRDefault="00C970F8" w:rsidP="002821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76</w:t>
      </w:r>
      <w:r w:rsidR="00CE5F2C" w:rsidRPr="00155936">
        <w:rPr>
          <w:rFonts w:ascii="Times New Roman" w:hAnsi="Times New Roman" w:cs="Times New Roman"/>
          <w:sz w:val="20"/>
          <w:szCs w:val="20"/>
        </w:rPr>
        <w:t>:</w:t>
      </w:r>
      <w:r w:rsidR="00CE5F2C">
        <w:rPr>
          <w:rFonts w:ascii="Times New Roman" w:hAnsi="Times New Roman" w:cs="Times New Roman"/>
          <w:sz w:val="20"/>
          <w:szCs w:val="20"/>
        </w:rPr>
        <w:t xml:space="preserve"> Prognóza vývoja zberovej plochy a</w:t>
      </w:r>
      <w:r w:rsidR="00BF439C">
        <w:rPr>
          <w:rFonts w:ascii="Times New Roman" w:hAnsi="Times New Roman" w:cs="Times New Roman"/>
          <w:sz w:val="20"/>
          <w:szCs w:val="20"/>
        </w:rPr>
        <w:t> produkcie zeleniny do roku 2020</w:t>
      </w:r>
    </w:p>
    <w:p w:rsidR="001824BA" w:rsidRDefault="004D1B8B" w:rsidP="0028218B">
      <w:pPr>
        <w:spacing w:after="0" w:line="240" w:lineRule="auto"/>
        <w:jc w:val="both"/>
        <w:rPr>
          <w:rFonts w:ascii="Times New Roman" w:eastAsia="Calibri" w:hAnsi="Times New Roman"/>
          <w:sz w:val="24"/>
          <w:szCs w:val="24"/>
        </w:rPr>
      </w:pPr>
      <w:r w:rsidRPr="004D1B8B">
        <w:rPr>
          <w:rFonts w:ascii="Times New Roman" w:eastAsia="Calibri" w:hAnsi="Times New Roman"/>
          <w:noProof/>
          <w:sz w:val="24"/>
          <w:szCs w:val="24"/>
        </w:rPr>
        <w:drawing>
          <wp:inline distT="0" distB="0" distL="0" distR="0" wp14:anchorId="69706D06" wp14:editId="19137079">
            <wp:extent cx="5757062" cy="2743200"/>
            <wp:effectExtent l="0" t="0" r="0" b="0"/>
            <wp:docPr id="5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CE5F2C" w:rsidRPr="00C431FF" w:rsidRDefault="00CE5F2C" w:rsidP="00CE5F2C">
      <w:pPr>
        <w:spacing w:after="0" w:line="240" w:lineRule="auto"/>
        <w:jc w:val="right"/>
        <w:rPr>
          <w:rFonts w:ascii="Times New Roman" w:hAnsi="Times New Roman" w:cs="Times New Roman"/>
          <w:sz w:val="20"/>
          <w:szCs w:val="20"/>
        </w:rPr>
      </w:pPr>
      <w:r>
        <w:rPr>
          <w:rFonts w:ascii="Times New Roman" w:eastAsia="Calibri" w:hAnsi="Times New Roman"/>
          <w:sz w:val="24"/>
          <w:szCs w:val="24"/>
        </w:rPr>
        <w:tab/>
      </w:r>
      <w:r>
        <w:rPr>
          <w:rFonts w:ascii="Times New Roman" w:hAnsi="Times New Roman" w:cs="Times New Roman"/>
          <w:sz w:val="20"/>
          <w:szCs w:val="20"/>
        </w:rPr>
        <w:t>Zdroj: VÚEPP, odhad MPRV</w:t>
      </w:r>
    </w:p>
    <w:p w:rsidR="00112AFF" w:rsidRDefault="00112AFF" w:rsidP="00CE5F2C">
      <w:pPr>
        <w:spacing w:after="0" w:line="240" w:lineRule="auto"/>
        <w:jc w:val="both"/>
        <w:rPr>
          <w:rFonts w:ascii="Times New Roman" w:eastAsia="Calibri" w:hAnsi="Times New Roman"/>
          <w:sz w:val="24"/>
          <w:szCs w:val="24"/>
        </w:rPr>
      </w:pPr>
    </w:p>
    <w:p w:rsidR="00CE5F2C" w:rsidRPr="00F8437D" w:rsidRDefault="00CE5F2C" w:rsidP="00CE5F2C">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Prognóza vývoja </w:t>
      </w:r>
      <w:r w:rsidR="00186F31">
        <w:rPr>
          <w:rFonts w:ascii="Times New Roman" w:eastAsia="Calibri" w:hAnsi="Times New Roman"/>
          <w:sz w:val="24"/>
          <w:szCs w:val="24"/>
        </w:rPr>
        <w:t>zberových plôch a</w:t>
      </w:r>
      <w:r w:rsidR="00DE1518">
        <w:rPr>
          <w:rFonts w:ascii="Times New Roman" w:eastAsia="Calibri" w:hAnsi="Times New Roman"/>
          <w:sz w:val="24"/>
          <w:szCs w:val="24"/>
        </w:rPr>
        <w:t> </w:t>
      </w:r>
      <w:r w:rsidR="00186F31">
        <w:rPr>
          <w:rFonts w:ascii="Times New Roman" w:eastAsia="Calibri" w:hAnsi="Times New Roman"/>
          <w:sz w:val="24"/>
          <w:szCs w:val="24"/>
        </w:rPr>
        <w:t>produkcie</w:t>
      </w:r>
      <w:r w:rsidR="00DE1518">
        <w:rPr>
          <w:rFonts w:ascii="Times New Roman" w:eastAsia="Calibri" w:hAnsi="Times New Roman"/>
          <w:sz w:val="24"/>
          <w:szCs w:val="24"/>
        </w:rPr>
        <w:t xml:space="preserve"> </w:t>
      </w:r>
      <w:r w:rsidR="00186F31">
        <w:rPr>
          <w:rFonts w:ascii="Times New Roman" w:eastAsia="Calibri" w:hAnsi="Times New Roman"/>
          <w:sz w:val="24"/>
          <w:szCs w:val="24"/>
        </w:rPr>
        <w:t xml:space="preserve">zeleniny </w:t>
      </w:r>
      <w:r w:rsidR="00453824">
        <w:rPr>
          <w:rFonts w:ascii="Times New Roman" w:eastAsia="Calibri" w:hAnsi="Times New Roman"/>
          <w:sz w:val="24"/>
          <w:szCs w:val="24"/>
        </w:rPr>
        <w:t>do roku 2020</w:t>
      </w:r>
      <w:r>
        <w:rPr>
          <w:rFonts w:ascii="Times New Roman" w:eastAsia="Calibri" w:hAnsi="Times New Roman"/>
          <w:sz w:val="24"/>
          <w:szCs w:val="24"/>
        </w:rPr>
        <w:t xml:space="preserve"> je založená na priemernom </w:t>
      </w:r>
      <w:r w:rsidR="004D1B8B">
        <w:rPr>
          <w:rFonts w:ascii="Times New Roman" w:eastAsia="Calibri" w:hAnsi="Times New Roman"/>
          <w:sz w:val="24"/>
          <w:szCs w:val="24"/>
        </w:rPr>
        <w:t xml:space="preserve">ročnom </w:t>
      </w:r>
      <w:r>
        <w:rPr>
          <w:rFonts w:ascii="Times New Roman" w:eastAsia="Calibri" w:hAnsi="Times New Roman"/>
          <w:sz w:val="24"/>
          <w:szCs w:val="24"/>
        </w:rPr>
        <w:t xml:space="preserve">raste </w:t>
      </w:r>
      <w:r w:rsidR="00186F31">
        <w:rPr>
          <w:rFonts w:ascii="Times New Roman" w:eastAsia="Calibri" w:hAnsi="Times New Roman"/>
          <w:sz w:val="24"/>
          <w:szCs w:val="24"/>
        </w:rPr>
        <w:t xml:space="preserve">zberových plôch </w:t>
      </w:r>
      <w:r w:rsidR="004D1B8B">
        <w:rPr>
          <w:rFonts w:ascii="Times New Roman" w:eastAsia="Calibri" w:hAnsi="Times New Roman"/>
          <w:sz w:val="24"/>
          <w:szCs w:val="24"/>
        </w:rPr>
        <w:t xml:space="preserve">zeleniny na ornej pôde na úrovni 315 ha </w:t>
      </w:r>
      <w:r w:rsidR="00186F31">
        <w:rPr>
          <w:rFonts w:ascii="Times New Roman" w:eastAsia="Calibri" w:hAnsi="Times New Roman"/>
          <w:sz w:val="24"/>
          <w:szCs w:val="24"/>
        </w:rPr>
        <w:t>a</w:t>
      </w:r>
      <w:r w:rsidR="004D1B8B">
        <w:rPr>
          <w:rFonts w:ascii="Times New Roman" w:eastAsia="Calibri" w:hAnsi="Times New Roman"/>
          <w:sz w:val="24"/>
          <w:szCs w:val="24"/>
        </w:rPr>
        <w:t xml:space="preserve"> raste </w:t>
      </w:r>
      <w:r w:rsidR="00186F31">
        <w:rPr>
          <w:rFonts w:ascii="Times New Roman" w:eastAsia="Calibri" w:hAnsi="Times New Roman"/>
          <w:sz w:val="24"/>
          <w:szCs w:val="24"/>
        </w:rPr>
        <w:t>produkcie</w:t>
      </w:r>
      <w:r w:rsidR="00DE1518">
        <w:rPr>
          <w:rFonts w:ascii="Times New Roman" w:eastAsia="Calibri" w:hAnsi="Times New Roman"/>
          <w:sz w:val="24"/>
          <w:szCs w:val="24"/>
        </w:rPr>
        <w:t xml:space="preserve"> </w:t>
      </w:r>
      <w:r w:rsidR="00186F31">
        <w:rPr>
          <w:rFonts w:ascii="Times New Roman" w:eastAsia="Calibri" w:hAnsi="Times New Roman"/>
          <w:sz w:val="24"/>
          <w:szCs w:val="24"/>
        </w:rPr>
        <w:t xml:space="preserve">zeleniny </w:t>
      </w:r>
      <w:r w:rsidR="004D1B8B">
        <w:rPr>
          <w:rFonts w:ascii="Times New Roman" w:eastAsia="Calibri" w:hAnsi="Times New Roman"/>
          <w:sz w:val="24"/>
          <w:szCs w:val="24"/>
        </w:rPr>
        <w:t xml:space="preserve">na ornej pôde na úrovni 17,8 tis. t </w:t>
      </w:r>
      <w:r>
        <w:rPr>
          <w:rFonts w:ascii="Times New Roman" w:eastAsia="Calibri" w:hAnsi="Times New Roman"/>
          <w:sz w:val="24"/>
          <w:szCs w:val="24"/>
        </w:rPr>
        <w:t xml:space="preserve">ročne. Cieľový stav </w:t>
      </w:r>
      <w:r w:rsidR="00186F31">
        <w:rPr>
          <w:rFonts w:ascii="Times New Roman" w:eastAsia="Calibri" w:hAnsi="Times New Roman"/>
          <w:sz w:val="24"/>
          <w:szCs w:val="24"/>
        </w:rPr>
        <w:t>produkcie zeleniny</w:t>
      </w:r>
      <w:r>
        <w:rPr>
          <w:rFonts w:ascii="Times New Roman" w:eastAsia="Calibri" w:hAnsi="Times New Roman"/>
          <w:sz w:val="24"/>
          <w:szCs w:val="24"/>
        </w:rPr>
        <w:t xml:space="preserve"> </w:t>
      </w:r>
      <w:r>
        <w:rPr>
          <w:rFonts w:ascii="Times New Roman" w:eastAsia="Calibri" w:hAnsi="Times New Roman"/>
          <w:sz w:val="24"/>
          <w:szCs w:val="24"/>
        </w:rPr>
        <w:lastRenderedPageBreak/>
        <w:t xml:space="preserve">predstavuje </w:t>
      </w:r>
      <w:r w:rsidR="00186F31">
        <w:rPr>
          <w:rFonts w:ascii="Times New Roman" w:eastAsia="Calibri" w:hAnsi="Times New Roman"/>
          <w:sz w:val="24"/>
          <w:szCs w:val="24"/>
        </w:rPr>
        <w:t>122,67</w:t>
      </w:r>
      <w:r>
        <w:rPr>
          <w:rFonts w:ascii="Times New Roman" w:eastAsia="Calibri" w:hAnsi="Times New Roman"/>
          <w:sz w:val="24"/>
          <w:szCs w:val="24"/>
        </w:rPr>
        <w:t xml:space="preserve"> % z úrovne </w:t>
      </w:r>
      <w:r w:rsidR="00186F31">
        <w:rPr>
          <w:rFonts w:ascii="Times New Roman" w:eastAsia="Calibri" w:hAnsi="Times New Roman"/>
          <w:sz w:val="24"/>
          <w:szCs w:val="24"/>
        </w:rPr>
        <w:t>produkcie</w:t>
      </w:r>
      <w:r>
        <w:rPr>
          <w:rFonts w:ascii="Times New Roman" w:eastAsia="Calibri" w:hAnsi="Times New Roman"/>
          <w:sz w:val="24"/>
          <w:szCs w:val="24"/>
        </w:rPr>
        <w:t xml:space="preserve"> v roku 2002. Dosiahnutím cielených parametrov produkcie </w:t>
      </w:r>
      <w:r w:rsidR="00186F31">
        <w:rPr>
          <w:rFonts w:ascii="Times New Roman" w:eastAsia="Calibri" w:hAnsi="Times New Roman"/>
          <w:sz w:val="24"/>
          <w:szCs w:val="24"/>
        </w:rPr>
        <w:t>zeleniny</w:t>
      </w:r>
      <w:r>
        <w:rPr>
          <w:rFonts w:ascii="Times New Roman" w:eastAsia="Calibri" w:hAnsi="Times New Roman"/>
          <w:sz w:val="24"/>
          <w:szCs w:val="24"/>
        </w:rPr>
        <w:t xml:space="preserve"> vznikne v rámci prvovýroby potreba dodatočných pracovných síl v počte 6</w:t>
      </w:r>
      <w:r w:rsidR="00186F31">
        <w:rPr>
          <w:rFonts w:ascii="Times New Roman" w:eastAsia="Calibri" w:hAnsi="Times New Roman"/>
          <w:sz w:val="24"/>
          <w:szCs w:val="24"/>
        </w:rPr>
        <w:t xml:space="preserve"> 9</w:t>
      </w:r>
      <w:r>
        <w:rPr>
          <w:rFonts w:ascii="Times New Roman" w:eastAsia="Calibri" w:hAnsi="Times New Roman"/>
          <w:sz w:val="24"/>
          <w:szCs w:val="24"/>
        </w:rPr>
        <w:t>00 osôb, pričom tento pred</w:t>
      </w:r>
      <w:r w:rsidR="004D1B8B">
        <w:rPr>
          <w:rFonts w:ascii="Times New Roman" w:eastAsia="Calibri" w:hAnsi="Times New Roman"/>
          <w:sz w:val="24"/>
          <w:szCs w:val="24"/>
        </w:rPr>
        <w:t>poklad je založený na normatíve</w:t>
      </w:r>
      <w:r w:rsidR="00186F31">
        <w:rPr>
          <w:rFonts w:ascii="Times New Roman" w:eastAsia="Calibri" w:hAnsi="Times New Roman"/>
          <w:sz w:val="24"/>
          <w:szCs w:val="24"/>
        </w:rPr>
        <w:t xml:space="preserve"> 2,3</w:t>
      </w:r>
      <w:r>
        <w:rPr>
          <w:rFonts w:ascii="Times New Roman" w:eastAsia="Calibri" w:hAnsi="Times New Roman"/>
          <w:sz w:val="24"/>
          <w:szCs w:val="24"/>
        </w:rPr>
        <w:t xml:space="preserve"> pracovník</w:t>
      </w:r>
      <w:r w:rsidR="00186F31">
        <w:rPr>
          <w:rFonts w:ascii="Times New Roman" w:eastAsia="Calibri" w:hAnsi="Times New Roman"/>
          <w:sz w:val="24"/>
          <w:szCs w:val="24"/>
        </w:rPr>
        <w:t>ov</w:t>
      </w:r>
      <w:r>
        <w:rPr>
          <w:rFonts w:ascii="Times New Roman" w:eastAsia="Calibri" w:hAnsi="Times New Roman"/>
          <w:sz w:val="24"/>
          <w:szCs w:val="24"/>
        </w:rPr>
        <w:t xml:space="preserve"> na </w:t>
      </w:r>
      <w:r w:rsidR="00186F31">
        <w:rPr>
          <w:rFonts w:ascii="Times New Roman" w:eastAsia="Calibri" w:hAnsi="Times New Roman"/>
          <w:sz w:val="24"/>
          <w:szCs w:val="24"/>
        </w:rPr>
        <w:t>1 ha</w:t>
      </w:r>
      <w:r>
        <w:rPr>
          <w:rFonts w:ascii="Times New Roman" w:eastAsia="Calibri" w:hAnsi="Times New Roman"/>
          <w:sz w:val="24"/>
          <w:szCs w:val="24"/>
        </w:rPr>
        <w:t xml:space="preserve">. </w:t>
      </w:r>
    </w:p>
    <w:p w:rsidR="00FC1B37" w:rsidRDefault="00FC1B37" w:rsidP="000F4C53">
      <w:pPr>
        <w:spacing w:after="0" w:line="240" w:lineRule="auto"/>
        <w:jc w:val="both"/>
        <w:rPr>
          <w:rFonts w:ascii="Times New Roman" w:eastAsia="Calibri" w:hAnsi="Times New Roman"/>
          <w:sz w:val="24"/>
          <w:szCs w:val="24"/>
        </w:rPr>
      </w:pPr>
    </w:p>
    <w:p w:rsidR="000F4C53" w:rsidRPr="000F4C53" w:rsidRDefault="00C970F8" w:rsidP="000F4C53">
      <w:pPr>
        <w:tabs>
          <w:tab w:val="left"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t>Tab. č. 60</w:t>
      </w:r>
      <w:r w:rsidR="000F4C53" w:rsidRPr="00A855A4">
        <w:rPr>
          <w:rFonts w:ascii="Times New Roman" w:hAnsi="Times New Roman" w:cs="Times New Roman"/>
          <w:sz w:val="20"/>
          <w:szCs w:val="20"/>
        </w:rPr>
        <w:t xml:space="preserve">: </w:t>
      </w:r>
      <w:r w:rsidR="000F4C53">
        <w:rPr>
          <w:rFonts w:ascii="Times New Roman" w:hAnsi="Times New Roman" w:cs="Times New Roman"/>
          <w:sz w:val="20"/>
          <w:szCs w:val="20"/>
        </w:rPr>
        <w:tab/>
        <w:t>Prognóza dodatočného počtu pracovníkov v prvovýrobe zeleniny</w:t>
      </w:r>
    </w:p>
    <w:tbl>
      <w:tblPr>
        <w:tblW w:w="9072" w:type="dxa"/>
        <w:tblInd w:w="70" w:type="dxa"/>
        <w:tblCellMar>
          <w:left w:w="70" w:type="dxa"/>
          <w:right w:w="70" w:type="dxa"/>
        </w:tblCellMar>
        <w:tblLook w:val="04A0" w:firstRow="1" w:lastRow="0" w:firstColumn="1" w:lastColumn="0" w:noHBand="0" w:noVBand="1"/>
      </w:tblPr>
      <w:tblGrid>
        <w:gridCol w:w="3402"/>
        <w:gridCol w:w="708"/>
        <w:gridCol w:w="709"/>
        <w:gridCol w:w="709"/>
        <w:gridCol w:w="709"/>
        <w:gridCol w:w="709"/>
        <w:gridCol w:w="709"/>
        <w:gridCol w:w="709"/>
        <w:gridCol w:w="708"/>
      </w:tblGrid>
      <w:tr w:rsidR="00453824" w:rsidRPr="00453824" w:rsidTr="00453824">
        <w:trPr>
          <w:trHeight w:val="300"/>
        </w:trPr>
        <w:tc>
          <w:tcPr>
            <w:tcW w:w="3402" w:type="dxa"/>
            <w:tcBorders>
              <w:top w:val="single" w:sz="4" w:space="0" w:color="auto"/>
              <w:left w:val="nil"/>
              <w:bottom w:val="single" w:sz="4" w:space="0" w:color="auto"/>
              <w:right w:val="single" w:sz="4" w:space="0" w:color="auto"/>
            </w:tcBorders>
            <w:shd w:val="clear" w:color="000000" w:fill="D8D8D8"/>
            <w:noWrap/>
            <w:vAlign w:val="bottom"/>
            <w:hideMark/>
          </w:tcPr>
          <w:p w:rsidR="00453824" w:rsidRPr="00453824" w:rsidRDefault="00453824" w:rsidP="00453824">
            <w:pPr>
              <w:spacing w:after="0" w:line="240" w:lineRule="auto"/>
              <w:rPr>
                <w:rFonts w:ascii="Times New Roman" w:eastAsia="Times New Roman" w:hAnsi="Times New Roman" w:cs="Times New Roman"/>
                <w:b/>
                <w:bCs/>
                <w:color w:val="000000"/>
                <w:sz w:val="20"/>
                <w:szCs w:val="20"/>
              </w:rPr>
            </w:pPr>
            <w:r w:rsidRPr="00453824">
              <w:rPr>
                <w:rFonts w:ascii="Times New Roman" w:eastAsia="Times New Roman" w:hAnsi="Times New Roman" w:cs="Times New Roman"/>
                <w:b/>
                <w:bCs/>
                <w:color w:val="000000"/>
                <w:sz w:val="20"/>
                <w:szCs w:val="20"/>
              </w:rPr>
              <w:t> </w:t>
            </w:r>
          </w:p>
        </w:tc>
        <w:tc>
          <w:tcPr>
            <w:tcW w:w="708" w:type="dxa"/>
            <w:tcBorders>
              <w:top w:val="single" w:sz="4" w:space="0" w:color="auto"/>
              <w:left w:val="nil"/>
              <w:bottom w:val="single" w:sz="4" w:space="0" w:color="auto"/>
              <w:right w:val="nil"/>
            </w:tcBorders>
            <w:shd w:val="clear" w:color="000000" w:fill="D8D8D8"/>
            <w:noWrap/>
            <w:vAlign w:val="bottom"/>
            <w:hideMark/>
          </w:tcPr>
          <w:p w:rsidR="00453824" w:rsidRPr="00453824" w:rsidRDefault="00453824" w:rsidP="00453824">
            <w:pPr>
              <w:spacing w:after="0" w:line="240" w:lineRule="auto"/>
              <w:jc w:val="center"/>
              <w:rPr>
                <w:rFonts w:ascii="Times New Roman" w:eastAsia="Times New Roman" w:hAnsi="Times New Roman" w:cs="Times New Roman"/>
                <w:b/>
                <w:bCs/>
                <w:color w:val="000000"/>
                <w:sz w:val="20"/>
                <w:szCs w:val="20"/>
              </w:rPr>
            </w:pPr>
            <w:r w:rsidRPr="00453824">
              <w:rPr>
                <w:rFonts w:ascii="Times New Roman" w:eastAsia="Times New Roman" w:hAnsi="Times New Roman" w:cs="Times New Roman"/>
                <w:b/>
                <w:bCs/>
                <w:color w:val="000000"/>
                <w:sz w:val="20"/>
                <w:szCs w:val="20"/>
              </w:rPr>
              <w:t>2013</w:t>
            </w:r>
          </w:p>
        </w:tc>
        <w:tc>
          <w:tcPr>
            <w:tcW w:w="709" w:type="dxa"/>
            <w:tcBorders>
              <w:top w:val="single" w:sz="4" w:space="0" w:color="auto"/>
              <w:left w:val="nil"/>
              <w:bottom w:val="single" w:sz="4" w:space="0" w:color="auto"/>
              <w:right w:val="nil"/>
            </w:tcBorders>
            <w:shd w:val="clear" w:color="000000" w:fill="D8D8D8"/>
            <w:noWrap/>
            <w:vAlign w:val="bottom"/>
            <w:hideMark/>
          </w:tcPr>
          <w:p w:rsidR="00453824" w:rsidRPr="00453824" w:rsidRDefault="00453824" w:rsidP="00453824">
            <w:pPr>
              <w:spacing w:after="0" w:line="240" w:lineRule="auto"/>
              <w:jc w:val="center"/>
              <w:rPr>
                <w:rFonts w:ascii="Times New Roman" w:eastAsia="Times New Roman" w:hAnsi="Times New Roman" w:cs="Times New Roman"/>
                <w:b/>
                <w:bCs/>
                <w:color w:val="000000"/>
                <w:sz w:val="20"/>
                <w:szCs w:val="20"/>
              </w:rPr>
            </w:pPr>
            <w:r w:rsidRPr="00453824">
              <w:rPr>
                <w:rFonts w:ascii="Times New Roman" w:eastAsia="Times New Roman" w:hAnsi="Times New Roman" w:cs="Times New Roman"/>
                <w:b/>
                <w:bCs/>
                <w:color w:val="000000"/>
                <w:sz w:val="20"/>
                <w:szCs w:val="20"/>
              </w:rPr>
              <w:t>2014</w:t>
            </w:r>
          </w:p>
        </w:tc>
        <w:tc>
          <w:tcPr>
            <w:tcW w:w="709" w:type="dxa"/>
            <w:tcBorders>
              <w:top w:val="single" w:sz="4" w:space="0" w:color="auto"/>
              <w:left w:val="nil"/>
              <w:bottom w:val="single" w:sz="4" w:space="0" w:color="auto"/>
              <w:right w:val="nil"/>
            </w:tcBorders>
            <w:shd w:val="clear" w:color="000000" w:fill="D8D8D8"/>
            <w:noWrap/>
            <w:vAlign w:val="bottom"/>
            <w:hideMark/>
          </w:tcPr>
          <w:p w:rsidR="00453824" w:rsidRPr="00453824" w:rsidRDefault="00453824" w:rsidP="00453824">
            <w:pPr>
              <w:spacing w:after="0" w:line="240" w:lineRule="auto"/>
              <w:jc w:val="center"/>
              <w:rPr>
                <w:rFonts w:ascii="Times New Roman" w:eastAsia="Times New Roman" w:hAnsi="Times New Roman" w:cs="Times New Roman"/>
                <w:b/>
                <w:bCs/>
                <w:color w:val="000000"/>
                <w:sz w:val="20"/>
                <w:szCs w:val="20"/>
              </w:rPr>
            </w:pPr>
            <w:r w:rsidRPr="00453824">
              <w:rPr>
                <w:rFonts w:ascii="Times New Roman" w:eastAsia="Times New Roman" w:hAnsi="Times New Roman" w:cs="Times New Roman"/>
                <w:b/>
                <w:bCs/>
                <w:color w:val="000000"/>
                <w:sz w:val="20"/>
                <w:szCs w:val="20"/>
              </w:rPr>
              <w:t>2015</w:t>
            </w:r>
          </w:p>
        </w:tc>
        <w:tc>
          <w:tcPr>
            <w:tcW w:w="709" w:type="dxa"/>
            <w:tcBorders>
              <w:top w:val="single" w:sz="4" w:space="0" w:color="auto"/>
              <w:left w:val="nil"/>
              <w:bottom w:val="single" w:sz="4" w:space="0" w:color="auto"/>
              <w:right w:val="nil"/>
            </w:tcBorders>
            <w:shd w:val="clear" w:color="000000" w:fill="D8D8D8"/>
            <w:noWrap/>
            <w:vAlign w:val="bottom"/>
            <w:hideMark/>
          </w:tcPr>
          <w:p w:rsidR="00453824" w:rsidRPr="00453824" w:rsidRDefault="00453824" w:rsidP="00453824">
            <w:pPr>
              <w:spacing w:after="0" w:line="240" w:lineRule="auto"/>
              <w:jc w:val="center"/>
              <w:rPr>
                <w:rFonts w:ascii="Times New Roman" w:eastAsia="Times New Roman" w:hAnsi="Times New Roman" w:cs="Times New Roman"/>
                <w:b/>
                <w:bCs/>
                <w:color w:val="000000"/>
                <w:sz w:val="20"/>
                <w:szCs w:val="20"/>
              </w:rPr>
            </w:pPr>
            <w:r w:rsidRPr="00453824">
              <w:rPr>
                <w:rFonts w:ascii="Times New Roman" w:eastAsia="Times New Roman" w:hAnsi="Times New Roman" w:cs="Times New Roman"/>
                <w:b/>
                <w:bCs/>
                <w:color w:val="000000"/>
                <w:sz w:val="20"/>
                <w:szCs w:val="20"/>
              </w:rPr>
              <w:t>2016</w:t>
            </w:r>
          </w:p>
        </w:tc>
        <w:tc>
          <w:tcPr>
            <w:tcW w:w="709" w:type="dxa"/>
            <w:tcBorders>
              <w:top w:val="single" w:sz="4" w:space="0" w:color="auto"/>
              <w:left w:val="nil"/>
              <w:bottom w:val="single" w:sz="4" w:space="0" w:color="auto"/>
              <w:right w:val="nil"/>
            </w:tcBorders>
            <w:shd w:val="clear" w:color="000000" w:fill="D8D8D8"/>
            <w:noWrap/>
            <w:vAlign w:val="bottom"/>
            <w:hideMark/>
          </w:tcPr>
          <w:p w:rsidR="00453824" w:rsidRPr="00453824" w:rsidRDefault="00453824" w:rsidP="00453824">
            <w:pPr>
              <w:spacing w:after="0" w:line="240" w:lineRule="auto"/>
              <w:jc w:val="center"/>
              <w:rPr>
                <w:rFonts w:ascii="Times New Roman" w:eastAsia="Times New Roman" w:hAnsi="Times New Roman" w:cs="Times New Roman"/>
                <w:b/>
                <w:bCs/>
                <w:color w:val="000000"/>
                <w:sz w:val="20"/>
                <w:szCs w:val="20"/>
              </w:rPr>
            </w:pPr>
            <w:r w:rsidRPr="00453824">
              <w:rPr>
                <w:rFonts w:ascii="Times New Roman" w:eastAsia="Times New Roman" w:hAnsi="Times New Roman" w:cs="Times New Roman"/>
                <w:b/>
                <w:bCs/>
                <w:color w:val="000000"/>
                <w:sz w:val="20"/>
                <w:szCs w:val="20"/>
              </w:rPr>
              <w:t>2017</w:t>
            </w:r>
          </w:p>
        </w:tc>
        <w:tc>
          <w:tcPr>
            <w:tcW w:w="709" w:type="dxa"/>
            <w:tcBorders>
              <w:top w:val="single" w:sz="4" w:space="0" w:color="auto"/>
              <w:left w:val="nil"/>
              <w:bottom w:val="single" w:sz="4" w:space="0" w:color="auto"/>
              <w:right w:val="nil"/>
            </w:tcBorders>
            <w:shd w:val="clear" w:color="000000" w:fill="D8D8D8"/>
            <w:noWrap/>
            <w:vAlign w:val="bottom"/>
            <w:hideMark/>
          </w:tcPr>
          <w:p w:rsidR="00453824" w:rsidRPr="00453824" w:rsidRDefault="00453824" w:rsidP="00453824">
            <w:pPr>
              <w:spacing w:after="0" w:line="240" w:lineRule="auto"/>
              <w:jc w:val="center"/>
              <w:rPr>
                <w:rFonts w:ascii="Times New Roman" w:eastAsia="Times New Roman" w:hAnsi="Times New Roman" w:cs="Times New Roman"/>
                <w:b/>
                <w:bCs/>
                <w:color w:val="000000"/>
                <w:sz w:val="20"/>
                <w:szCs w:val="20"/>
              </w:rPr>
            </w:pPr>
            <w:r w:rsidRPr="00453824">
              <w:rPr>
                <w:rFonts w:ascii="Times New Roman" w:eastAsia="Times New Roman" w:hAnsi="Times New Roman" w:cs="Times New Roman"/>
                <w:b/>
                <w:bCs/>
                <w:color w:val="000000"/>
                <w:sz w:val="20"/>
                <w:szCs w:val="20"/>
              </w:rPr>
              <w:t>2018</w:t>
            </w:r>
          </w:p>
        </w:tc>
        <w:tc>
          <w:tcPr>
            <w:tcW w:w="709" w:type="dxa"/>
            <w:tcBorders>
              <w:top w:val="single" w:sz="4" w:space="0" w:color="auto"/>
              <w:left w:val="nil"/>
              <w:bottom w:val="single" w:sz="4" w:space="0" w:color="auto"/>
              <w:right w:val="nil"/>
            </w:tcBorders>
            <w:shd w:val="clear" w:color="000000" w:fill="D8D8D8"/>
            <w:noWrap/>
            <w:vAlign w:val="bottom"/>
            <w:hideMark/>
          </w:tcPr>
          <w:p w:rsidR="00453824" w:rsidRPr="00453824" w:rsidRDefault="00453824" w:rsidP="00453824">
            <w:pPr>
              <w:spacing w:after="0" w:line="240" w:lineRule="auto"/>
              <w:jc w:val="center"/>
              <w:rPr>
                <w:rFonts w:ascii="Times New Roman" w:eastAsia="Times New Roman" w:hAnsi="Times New Roman" w:cs="Times New Roman"/>
                <w:b/>
                <w:bCs/>
                <w:color w:val="000000"/>
                <w:sz w:val="20"/>
                <w:szCs w:val="20"/>
              </w:rPr>
            </w:pPr>
            <w:r w:rsidRPr="00453824">
              <w:rPr>
                <w:rFonts w:ascii="Times New Roman" w:eastAsia="Times New Roman" w:hAnsi="Times New Roman" w:cs="Times New Roman"/>
                <w:b/>
                <w:bCs/>
                <w:color w:val="000000"/>
                <w:sz w:val="20"/>
                <w:szCs w:val="20"/>
              </w:rPr>
              <w:t>2019</w:t>
            </w:r>
          </w:p>
        </w:tc>
        <w:tc>
          <w:tcPr>
            <w:tcW w:w="708" w:type="dxa"/>
            <w:tcBorders>
              <w:top w:val="single" w:sz="4" w:space="0" w:color="auto"/>
              <w:left w:val="nil"/>
              <w:bottom w:val="single" w:sz="4" w:space="0" w:color="auto"/>
              <w:right w:val="nil"/>
            </w:tcBorders>
            <w:shd w:val="clear" w:color="000000" w:fill="D8D8D8"/>
            <w:noWrap/>
            <w:vAlign w:val="bottom"/>
            <w:hideMark/>
          </w:tcPr>
          <w:p w:rsidR="00453824" w:rsidRPr="00453824" w:rsidRDefault="00453824" w:rsidP="00453824">
            <w:pPr>
              <w:spacing w:after="0" w:line="240" w:lineRule="auto"/>
              <w:jc w:val="center"/>
              <w:rPr>
                <w:rFonts w:ascii="Times New Roman" w:eastAsia="Times New Roman" w:hAnsi="Times New Roman" w:cs="Times New Roman"/>
                <w:b/>
                <w:bCs/>
                <w:color w:val="000000"/>
                <w:sz w:val="20"/>
                <w:szCs w:val="20"/>
              </w:rPr>
            </w:pPr>
            <w:r w:rsidRPr="00453824">
              <w:rPr>
                <w:rFonts w:ascii="Times New Roman" w:eastAsia="Times New Roman" w:hAnsi="Times New Roman" w:cs="Times New Roman"/>
                <w:b/>
                <w:bCs/>
                <w:color w:val="000000"/>
                <w:sz w:val="20"/>
                <w:szCs w:val="20"/>
              </w:rPr>
              <w:t>2020</w:t>
            </w:r>
          </w:p>
        </w:tc>
      </w:tr>
      <w:tr w:rsidR="00453824" w:rsidRPr="00453824" w:rsidTr="00453824">
        <w:trPr>
          <w:trHeight w:val="300"/>
        </w:trPr>
        <w:tc>
          <w:tcPr>
            <w:tcW w:w="3402" w:type="dxa"/>
            <w:tcBorders>
              <w:top w:val="nil"/>
              <w:left w:val="nil"/>
              <w:bottom w:val="nil"/>
              <w:right w:val="single" w:sz="4" w:space="0" w:color="auto"/>
            </w:tcBorders>
            <w:shd w:val="clear" w:color="auto" w:fill="auto"/>
            <w:noWrap/>
            <w:vAlign w:val="bottom"/>
            <w:hideMark/>
          </w:tcPr>
          <w:p w:rsidR="00453824" w:rsidRPr="00453824" w:rsidRDefault="00453824" w:rsidP="00453824">
            <w:pPr>
              <w:spacing w:after="0" w:line="240" w:lineRule="auto"/>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medziročné zvýšenie zberových plôch zeleniny na ornej pôde v ha</w:t>
            </w:r>
          </w:p>
        </w:tc>
        <w:tc>
          <w:tcPr>
            <w:tcW w:w="708" w:type="dxa"/>
            <w:tcBorders>
              <w:top w:val="nil"/>
              <w:left w:val="nil"/>
              <w:bottom w:val="nil"/>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62</w:t>
            </w:r>
          </w:p>
        </w:tc>
        <w:tc>
          <w:tcPr>
            <w:tcW w:w="709" w:type="dxa"/>
            <w:tcBorders>
              <w:top w:val="nil"/>
              <w:left w:val="nil"/>
              <w:bottom w:val="nil"/>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926</w:t>
            </w:r>
          </w:p>
        </w:tc>
        <w:tc>
          <w:tcPr>
            <w:tcW w:w="709" w:type="dxa"/>
            <w:tcBorders>
              <w:top w:val="nil"/>
              <w:left w:val="nil"/>
              <w:bottom w:val="nil"/>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636</w:t>
            </w:r>
          </w:p>
        </w:tc>
        <w:tc>
          <w:tcPr>
            <w:tcW w:w="709" w:type="dxa"/>
            <w:tcBorders>
              <w:top w:val="nil"/>
              <w:left w:val="nil"/>
              <w:bottom w:val="nil"/>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65</w:t>
            </w:r>
          </w:p>
        </w:tc>
        <w:tc>
          <w:tcPr>
            <w:tcW w:w="709" w:type="dxa"/>
            <w:tcBorders>
              <w:top w:val="nil"/>
              <w:left w:val="nil"/>
              <w:bottom w:val="nil"/>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65</w:t>
            </w:r>
          </w:p>
        </w:tc>
        <w:tc>
          <w:tcPr>
            <w:tcW w:w="709" w:type="dxa"/>
            <w:tcBorders>
              <w:top w:val="nil"/>
              <w:left w:val="nil"/>
              <w:bottom w:val="nil"/>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65</w:t>
            </w:r>
          </w:p>
        </w:tc>
        <w:tc>
          <w:tcPr>
            <w:tcW w:w="708" w:type="dxa"/>
            <w:tcBorders>
              <w:top w:val="nil"/>
              <w:left w:val="nil"/>
              <w:bottom w:val="nil"/>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703</w:t>
            </w:r>
          </w:p>
        </w:tc>
      </w:tr>
      <w:tr w:rsidR="00695BF0" w:rsidRPr="00453824" w:rsidTr="00453824">
        <w:trPr>
          <w:trHeight w:val="300"/>
        </w:trPr>
        <w:tc>
          <w:tcPr>
            <w:tcW w:w="3402" w:type="dxa"/>
            <w:tcBorders>
              <w:top w:val="nil"/>
              <w:left w:val="nil"/>
              <w:bottom w:val="nil"/>
              <w:right w:val="single" w:sz="4" w:space="0" w:color="auto"/>
            </w:tcBorders>
            <w:shd w:val="clear" w:color="000000" w:fill="F2F2F2"/>
            <w:noWrap/>
            <w:vAlign w:val="bottom"/>
            <w:hideMark/>
          </w:tcPr>
          <w:p w:rsidR="00453824" w:rsidRPr="00453824" w:rsidRDefault="00453824" w:rsidP="00453824">
            <w:pPr>
              <w:spacing w:after="0" w:line="240" w:lineRule="auto"/>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rekonštrukcia existujúcich plôch veľkopestovateľov zeleniny v ha</w:t>
            </w:r>
          </w:p>
        </w:tc>
        <w:tc>
          <w:tcPr>
            <w:tcW w:w="708" w:type="dxa"/>
            <w:tcBorders>
              <w:top w:val="nil"/>
              <w:left w:val="nil"/>
              <w:bottom w:val="nil"/>
              <w:right w:val="nil"/>
            </w:tcBorders>
            <w:shd w:val="clear" w:color="000000" w:fill="F2F2F2"/>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000000" w:fill="F2F2F2"/>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202</w:t>
            </w:r>
          </w:p>
        </w:tc>
        <w:tc>
          <w:tcPr>
            <w:tcW w:w="709" w:type="dxa"/>
            <w:tcBorders>
              <w:top w:val="nil"/>
              <w:left w:val="nil"/>
              <w:bottom w:val="nil"/>
              <w:right w:val="nil"/>
            </w:tcBorders>
            <w:shd w:val="clear" w:color="000000" w:fill="F2F2F2"/>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3 029</w:t>
            </w:r>
          </w:p>
        </w:tc>
        <w:tc>
          <w:tcPr>
            <w:tcW w:w="709" w:type="dxa"/>
            <w:tcBorders>
              <w:top w:val="nil"/>
              <w:left w:val="nil"/>
              <w:bottom w:val="nil"/>
              <w:right w:val="nil"/>
            </w:tcBorders>
            <w:shd w:val="clear" w:color="000000" w:fill="F2F2F2"/>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2 080</w:t>
            </w:r>
          </w:p>
        </w:tc>
        <w:tc>
          <w:tcPr>
            <w:tcW w:w="709" w:type="dxa"/>
            <w:tcBorders>
              <w:top w:val="nil"/>
              <w:left w:val="nil"/>
              <w:bottom w:val="nil"/>
              <w:right w:val="nil"/>
            </w:tcBorders>
            <w:shd w:val="clear" w:color="000000" w:fill="F2F2F2"/>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212</w:t>
            </w:r>
          </w:p>
        </w:tc>
        <w:tc>
          <w:tcPr>
            <w:tcW w:w="709" w:type="dxa"/>
            <w:tcBorders>
              <w:top w:val="nil"/>
              <w:left w:val="nil"/>
              <w:bottom w:val="nil"/>
              <w:right w:val="nil"/>
            </w:tcBorders>
            <w:shd w:val="clear" w:color="000000" w:fill="F2F2F2"/>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213</w:t>
            </w:r>
          </w:p>
        </w:tc>
        <w:tc>
          <w:tcPr>
            <w:tcW w:w="709" w:type="dxa"/>
            <w:tcBorders>
              <w:top w:val="nil"/>
              <w:left w:val="nil"/>
              <w:bottom w:val="nil"/>
              <w:right w:val="nil"/>
            </w:tcBorders>
            <w:shd w:val="clear" w:color="000000" w:fill="F2F2F2"/>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213</w:t>
            </w:r>
          </w:p>
        </w:tc>
        <w:tc>
          <w:tcPr>
            <w:tcW w:w="708" w:type="dxa"/>
            <w:tcBorders>
              <w:top w:val="nil"/>
              <w:left w:val="nil"/>
              <w:bottom w:val="nil"/>
              <w:right w:val="nil"/>
            </w:tcBorders>
            <w:shd w:val="clear" w:color="000000" w:fill="F2F2F2"/>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2 300</w:t>
            </w:r>
          </w:p>
        </w:tc>
      </w:tr>
      <w:tr w:rsidR="00453824" w:rsidRPr="00453824" w:rsidTr="00453824">
        <w:trPr>
          <w:trHeight w:val="300"/>
        </w:trPr>
        <w:tc>
          <w:tcPr>
            <w:tcW w:w="3402" w:type="dxa"/>
            <w:tcBorders>
              <w:top w:val="nil"/>
              <w:left w:val="nil"/>
              <w:bottom w:val="nil"/>
              <w:right w:val="single" w:sz="4" w:space="0" w:color="auto"/>
            </w:tcBorders>
            <w:shd w:val="clear" w:color="auto" w:fill="auto"/>
            <w:noWrap/>
            <w:vAlign w:val="bottom"/>
            <w:hideMark/>
          </w:tcPr>
          <w:p w:rsidR="00453824" w:rsidRPr="00453824" w:rsidRDefault="00453824" w:rsidP="00453824">
            <w:pPr>
              <w:spacing w:after="0" w:line="240" w:lineRule="auto"/>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medziročné zvýšenie produkcie zeleniny v t</w:t>
            </w:r>
          </w:p>
        </w:tc>
        <w:tc>
          <w:tcPr>
            <w:tcW w:w="708" w:type="dxa"/>
            <w:tcBorders>
              <w:top w:val="nil"/>
              <w:left w:val="nil"/>
              <w:bottom w:val="nil"/>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2 417</w:t>
            </w:r>
          </w:p>
        </w:tc>
        <w:tc>
          <w:tcPr>
            <w:tcW w:w="709" w:type="dxa"/>
            <w:tcBorders>
              <w:top w:val="nil"/>
              <w:left w:val="nil"/>
              <w:bottom w:val="nil"/>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6 737</w:t>
            </w:r>
          </w:p>
        </w:tc>
        <w:tc>
          <w:tcPr>
            <w:tcW w:w="709" w:type="dxa"/>
            <w:tcBorders>
              <w:top w:val="nil"/>
              <w:left w:val="nil"/>
              <w:bottom w:val="nil"/>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25 460</w:t>
            </w:r>
          </w:p>
        </w:tc>
        <w:tc>
          <w:tcPr>
            <w:tcW w:w="709" w:type="dxa"/>
            <w:tcBorders>
              <w:top w:val="nil"/>
              <w:left w:val="nil"/>
              <w:bottom w:val="nil"/>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23 987</w:t>
            </w:r>
          </w:p>
        </w:tc>
        <w:tc>
          <w:tcPr>
            <w:tcW w:w="709" w:type="dxa"/>
            <w:tcBorders>
              <w:top w:val="nil"/>
              <w:left w:val="nil"/>
              <w:bottom w:val="nil"/>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18 852</w:t>
            </w:r>
          </w:p>
        </w:tc>
        <w:tc>
          <w:tcPr>
            <w:tcW w:w="709" w:type="dxa"/>
            <w:tcBorders>
              <w:top w:val="nil"/>
              <w:left w:val="nil"/>
              <w:bottom w:val="nil"/>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19 834</w:t>
            </w:r>
          </w:p>
        </w:tc>
        <w:tc>
          <w:tcPr>
            <w:tcW w:w="709" w:type="dxa"/>
            <w:tcBorders>
              <w:top w:val="nil"/>
              <w:left w:val="nil"/>
              <w:bottom w:val="nil"/>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20 867</w:t>
            </w:r>
          </w:p>
        </w:tc>
        <w:tc>
          <w:tcPr>
            <w:tcW w:w="708" w:type="dxa"/>
            <w:tcBorders>
              <w:top w:val="nil"/>
              <w:left w:val="nil"/>
              <w:bottom w:val="nil"/>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24 468</w:t>
            </w:r>
          </w:p>
        </w:tc>
      </w:tr>
      <w:tr w:rsidR="00695BF0" w:rsidRPr="00453824" w:rsidTr="00453824">
        <w:trPr>
          <w:trHeight w:val="300"/>
        </w:trPr>
        <w:tc>
          <w:tcPr>
            <w:tcW w:w="3402" w:type="dxa"/>
            <w:tcBorders>
              <w:top w:val="nil"/>
              <w:left w:val="nil"/>
              <w:bottom w:val="nil"/>
              <w:right w:val="single" w:sz="4" w:space="0" w:color="auto"/>
            </w:tcBorders>
            <w:shd w:val="clear" w:color="000000" w:fill="F2F2F2"/>
            <w:noWrap/>
            <w:vAlign w:val="bottom"/>
            <w:hideMark/>
          </w:tcPr>
          <w:p w:rsidR="00453824" w:rsidRPr="00453824" w:rsidRDefault="00453824" w:rsidP="00453824">
            <w:pPr>
              <w:spacing w:after="0" w:line="240" w:lineRule="auto"/>
              <w:rPr>
                <w:rFonts w:ascii="Times New Roman" w:eastAsia="Times New Roman" w:hAnsi="Times New Roman" w:cs="Times New Roman"/>
                <w:b/>
                <w:color w:val="000000"/>
                <w:sz w:val="20"/>
                <w:szCs w:val="20"/>
              </w:rPr>
            </w:pPr>
            <w:r w:rsidRPr="00453824">
              <w:rPr>
                <w:rFonts w:ascii="Times New Roman" w:eastAsia="Times New Roman" w:hAnsi="Times New Roman" w:cs="Times New Roman"/>
                <w:b/>
                <w:color w:val="000000"/>
                <w:sz w:val="20"/>
                <w:szCs w:val="20"/>
              </w:rPr>
              <w:t>dodatočný počet zamestnancov v osobách</w:t>
            </w:r>
          </w:p>
        </w:tc>
        <w:tc>
          <w:tcPr>
            <w:tcW w:w="708" w:type="dxa"/>
            <w:tcBorders>
              <w:top w:val="nil"/>
              <w:left w:val="nil"/>
              <w:bottom w:val="nil"/>
              <w:right w:val="nil"/>
            </w:tcBorders>
            <w:shd w:val="clear" w:color="000000" w:fill="F2F2F2"/>
            <w:noWrap/>
            <w:vAlign w:val="center"/>
            <w:hideMark/>
          </w:tcPr>
          <w:p w:rsidR="00453824" w:rsidRPr="00453824" w:rsidRDefault="00453824" w:rsidP="00453824">
            <w:pPr>
              <w:spacing w:after="0" w:line="240" w:lineRule="auto"/>
              <w:jc w:val="right"/>
              <w:rPr>
                <w:rFonts w:ascii="Times New Roman" w:eastAsia="Times New Roman" w:hAnsi="Times New Roman" w:cs="Times New Roman"/>
                <w:b/>
                <w:color w:val="000000"/>
                <w:sz w:val="20"/>
                <w:szCs w:val="20"/>
              </w:rPr>
            </w:pPr>
            <w:r w:rsidRPr="00453824">
              <w:rPr>
                <w:rFonts w:ascii="Times New Roman" w:eastAsia="Times New Roman" w:hAnsi="Times New Roman" w:cs="Times New Roman"/>
                <w:b/>
                <w:color w:val="000000"/>
                <w:sz w:val="20"/>
                <w:szCs w:val="20"/>
              </w:rPr>
              <w:t>0</w:t>
            </w:r>
          </w:p>
        </w:tc>
        <w:tc>
          <w:tcPr>
            <w:tcW w:w="709" w:type="dxa"/>
            <w:tcBorders>
              <w:top w:val="nil"/>
              <w:left w:val="nil"/>
              <w:bottom w:val="nil"/>
              <w:right w:val="nil"/>
            </w:tcBorders>
            <w:shd w:val="clear" w:color="000000" w:fill="F2F2F2"/>
            <w:noWrap/>
            <w:vAlign w:val="center"/>
            <w:hideMark/>
          </w:tcPr>
          <w:p w:rsidR="00453824" w:rsidRPr="00453824" w:rsidRDefault="00453824" w:rsidP="00453824">
            <w:pPr>
              <w:spacing w:after="0" w:line="240" w:lineRule="auto"/>
              <w:jc w:val="right"/>
              <w:rPr>
                <w:rFonts w:ascii="Times New Roman" w:eastAsia="Times New Roman" w:hAnsi="Times New Roman" w:cs="Times New Roman"/>
                <w:b/>
                <w:color w:val="000000"/>
                <w:sz w:val="20"/>
                <w:szCs w:val="20"/>
              </w:rPr>
            </w:pPr>
            <w:r w:rsidRPr="00453824">
              <w:rPr>
                <w:rFonts w:ascii="Times New Roman" w:eastAsia="Times New Roman" w:hAnsi="Times New Roman" w:cs="Times New Roman"/>
                <w:b/>
                <w:color w:val="000000"/>
                <w:sz w:val="20"/>
                <w:szCs w:val="20"/>
              </w:rPr>
              <w:t>142</w:t>
            </w:r>
          </w:p>
        </w:tc>
        <w:tc>
          <w:tcPr>
            <w:tcW w:w="709" w:type="dxa"/>
            <w:tcBorders>
              <w:top w:val="nil"/>
              <w:left w:val="nil"/>
              <w:bottom w:val="nil"/>
              <w:right w:val="nil"/>
            </w:tcBorders>
            <w:shd w:val="clear" w:color="000000" w:fill="F2F2F2"/>
            <w:noWrap/>
            <w:vAlign w:val="center"/>
            <w:hideMark/>
          </w:tcPr>
          <w:p w:rsidR="00453824" w:rsidRPr="00453824" w:rsidRDefault="00453824" w:rsidP="00453824">
            <w:pPr>
              <w:spacing w:after="0" w:line="240" w:lineRule="auto"/>
              <w:jc w:val="right"/>
              <w:rPr>
                <w:rFonts w:ascii="Times New Roman" w:eastAsia="Times New Roman" w:hAnsi="Times New Roman" w:cs="Times New Roman"/>
                <w:b/>
                <w:color w:val="000000"/>
                <w:sz w:val="20"/>
                <w:szCs w:val="20"/>
              </w:rPr>
            </w:pPr>
            <w:r w:rsidRPr="00453824">
              <w:rPr>
                <w:rFonts w:ascii="Times New Roman" w:eastAsia="Times New Roman" w:hAnsi="Times New Roman" w:cs="Times New Roman"/>
                <w:b/>
                <w:color w:val="000000"/>
                <w:sz w:val="20"/>
                <w:szCs w:val="20"/>
              </w:rPr>
              <w:t>2 130</w:t>
            </w:r>
          </w:p>
        </w:tc>
        <w:tc>
          <w:tcPr>
            <w:tcW w:w="709" w:type="dxa"/>
            <w:tcBorders>
              <w:top w:val="nil"/>
              <w:left w:val="nil"/>
              <w:bottom w:val="nil"/>
              <w:right w:val="nil"/>
            </w:tcBorders>
            <w:shd w:val="clear" w:color="000000" w:fill="F2F2F2"/>
            <w:noWrap/>
            <w:vAlign w:val="center"/>
            <w:hideMark/>
          </w:tcPr>
          <w:p w:rsidR="00453824" w:rsidRPr="00453824" w:rsidRDefault="00453824" w:rsidP="00453824">
            <w:pPr>
              <w:spacing w:after="0" w:line="240" w:lineRule="auto"/>
              <w:jc w:val="right"/>
              <w:rPr>
                <w:rFonts w:ascii="Times New Roman" w:eastAsia="Times New Roman" w:hAnsi="Times New Roman" w:cs="Times New Roman"/>
                <w:b/>
                <w:color w:val="000000"/>
                <w:sz w:val="20"/>
                <w:szCs w:val="20"/>
              </w:rPr>
            </w:pPr>
            <w:r w:rsidRPr="00453824">
              <w:rPr>
                <w:rFonts w:ascii="Times New Roman" w:eastAsia="Times New Roman" w:hAnsi="Times New Roman" w:cs="Times New Roman"/>
                <w:b/>
                <w:color w:val="000000"/>
                <w:sz w:val="20"/>
                <w:szCs w:val="20"/>
              </w:rPr>
              <w:t>1 463</w:t>
            </w:r>
          </w:p>
        </w:tc>
        <w:tc>
          <w:tcPr>
            <w:tcW w:w="709" w:type="dxa"/>
            <w:tcBorders>
              <w:top w:val="nil"/>
              <w:left w:val="nil"/>
              <w:bottom w:val="nil"/>
              <w:right w:val="nil"/>
            </w:tcBorders>
            <w:shd w:val="clear" w:color="000000" w:fill="F2F2F2"/>
            <w:noWrap/>
            <w:vAlign w:val="center"/>
            <w:hideMark/>
          </w:tcPr>
          <w:p w:rsidR="00453824" w:rsidRPr="00453824" w:rsidRDefault="005808FC" w:rsidP="00453824">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1 248</w:t>
            </w:r>
          </w:p>
        </w:tc>
        <w:tc>
          <w:tcPr>
            <w:tcW w:w="709" w:type="dxa"/>
            <w:tcBorders>
              <w:top w:val="nil"/>
              <w:left w:val="nil"/>
              <w:bottom w:val="nil"/>
              <w:right w:val="nil"/>
            </w:tcBorders>
            <w:shd w:val="clear" w:color="000000" w:fill="F2F2F2"/>
            <w:noWrap/>
            <w:vAlign w:val="center"/>
            <w:hideMark/>
          </w:tcPr>
          <w:p w:rsidR="00453824" w:rsidRPr="00453824" w:rsidRDefault="00453824" w:rsidP="00453824">
            <w:pPr>
              <w:spacing w:after="0" w:line="240" w:lineRule="auto"/>
              <w:jc w:val="right"/>
              <w:rPr>
                <w:rFonts w:ascii="Times New Roman" w:eastAsia="Times New Roman" w:hAnsi="Times New Roman" w:cs="Times New Roman"/>
                <w:b/>
                <w:color w:val="000000"/>
                <w:sz w:val="20"/>
                <w:szCs w:val="20"/>
              </w:rPr>
            </w:pPr>
            <w:r w:rsidRPr="00453824">
              <w:rPr>
                <w:rFonts w:ascii="Times New Roman" w:eastAsia="Times New Roman" w:hAnsi="Times New Roman" w:cs="Times New Roman"/>
                <w:b/>
                <w:color w:val="000000"/>
                <w:sz w:val="20"/>
                <w:szCs w:val="20"/>
              </w:rPr>
              <w:t>150</w:t>
            </w:r>
          </w:p>
        </w:tc>
        <w:tc>
          <w:tcPr>
            <w:tcW w:w="709" w:type="dxa"/>
            <w:tcBorders>
              <w:top w:val="nil"/>
              <w:left w:val="nil"/>
              <w:bottom w:val="nil"/>
              <w:right w:val="nil"/>
            </w:tcBorders>
            <w:shd w:val="clear" w:color="000000" w:fill="F2F2F2"/>
            <w:noWrap/>
            <w:vAlign w:val="center"/>
            <w:hideMark/>
          </w:tcPr>
          <w:p w:rsidR="00453824" w:rsidRPr="00453824" w:rsidRDefault="00453824" w:rsidP="00453824">
            <w:pPr>
              <w:spacing w:after="0" w:line="240" w:lineRule="auto"/>
              <w:jc w:val="right"/>
              <w:rPr>
                <w:rFonts w:ascii="Times New Roman" w:eastAsia="Times New Roman" w:hAnsi="Times New Roman" w:cs="Times New Roman"/>
                <w:b/>
                <w:color w:val="000000"/>
                <w:sz w:val="20"/>
                <w:szCs w:val="20"/>
              </w:rPr>
            </w:pPr>
            <w:r w:rsidRPr="00453824">
              <w:rPr>
                <w:rFonts w:ascii="Times New Roman" w:eastAsia="Times New Roman" w:hAnsi="Times New Roman" w:cs="Times New Roman"/>
                <w:b/>
                <w:color w:val="000000"/>
                <w:sz w:val="20"/>
                <w:szCs w:val="20"/>
              </w:rPr>
              <w:t>150</w:t>
            </w:r>
          </w:p>
        </w:tc>
        <w:tc>
          <w:tcPr>
            <w:tcW w:w="708" w:type="dxa"/>
            <w:tcBorders>
              <w:top w:val="nil"/>
              <w:left w:val="nil"/>
              <w:bottom w:val="nil"/>
              <w:right w:val="nil"/>
            </w:tcBorders>
            <w:shd w:val="clear" w:color="000000" w:fill="F2F2F2"/>
            <w:noWrap/>
            <w:vAlign w:val="center"/>
            <w:hideMark/>
          </w:tcPr>
          <w:p w:rsidR="00453824" w:rsidRPr="00453824" w:rsidRDefault="00453824" w:rsidP="00453824">
            <w:pPr>
              <w:spacing w:after="0" w:line="240" w:lineRule="auto"/>
              <w:jc w:val="right"/>
              <w:rPr>
                <w:rFonts w:ascii="Times New Roman" w:eastAsia="Times New Roman" w:hAnsi="Times New Roman" w:cs="Times New Roman"/>
                <w:b/>
                <w:color w:val="000000"/>
                <w:sz w:val="20"/>
                <w:szCs w:val="20"/>
              </w:rPr>
            </w:pPr>
            <w:r w:rsidRPr="00453824">
              <w:rPr>
                <w:rFonts w:ascii="Times New Roman" w:eastAsia="Times New Roman" w:hAnsi="Times New Roman" w:cs="Times New Roman"/>
                <w:b/>
                <w:color w:val="000000"/>
                <w:sz w:val="20"/>
                <w:szCs w:val="20"/>
              </w:rPr>
              <w:t>1 617</w:t>
            </w:r>
          </w:p>
        </w:tc>
      </w:tr>
      <w:tr w:rsidR="00453824" w:rsidRPr="00453824" w:rsidTr="00453824">
        <w:trPr>
          <w:trHeight w:val="525"/>
        </w:trPr>
        <w:tc>
          <w:tcPr>
            <w:tcW w:w="3402" w:type="dxa"/>
            <w:tcBorders>
              <w:top w:val="nil"/>
              <w:left w:val="nil"/>
              <w:bottom w:val="single" w:sz="4" w:space="0" w:color="auto"/>
              <w:right w:val="single" w:sz="4" w:space="0" w:color="auto"/>
            </w:tcBorders>
            <w:shd w:val="clear" w:color="auto" w:fill="auto"/>
            <w:vAlign w:val="bottom"/>
            <w:hideMark/>
          </w:tcPr>
          <w:p w:rsidR="00453824" w:rsidRPr="00453824" w:rsidRDefault="00453824" w:rsidP="00453824">
            <w:pPr>
              <w:spacing w:after="0" w:line="240" w:lineRule="auto"/>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potreba finančných prostriedkov na výstavbu a rekonštrukciu prvovýrobných kapacít  vrátane technológie v tis. EUR</w:t>
            </w:r>
          </w:p>
        </w:tc>
        <w:tc>
          <w:tcPr>
            <w:tcW w:w="708" w:type="dxa"/>
            <w:tcBorders>
              <w:top w:val="nil"/>
              <w:left w:val="nil"/>
              <w:bottom w:val="single" w:sz="4" w:space="0" w:color="auto"/>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1 053</w:t>
            </w:r>
          </w:p>
        </w:tc>
        <w:tc>
          <w:tcPr>
            <w:tcW w:w="709" w:type="dxa"/>
            <w:tcBorders>
              <w:top w:val="nil"/>
              <w:left w:val="nil"/>
              <w:bottom w:val="single" w:sz="4" w:space="0" w:color="auto"/>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15 823</w:t>
            </w:r>
          </w:p>
        </w:tc>
        <w:tc>
          <w:tcPr>
            <w:tcW w:w="709" w:type="dxa"/>
            <w:tcBorders>
              <w:top w:val="nil"/>
              <w:left w:val="nil"/>
              <w:bottom w:val="single" w:sz="4" w:space="0" w:color="auto"/>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10 865</w:t>
            </w:r>
          </w:p>
        </w:tc>
        <w:tc>
          <w:tcPr>
            <w:tcW w:w="709" w:type="dxa"/>
            <w:tcBorders>
              <w:top w:val="nil"/>
              <w:left w:val="nil"/>
              <w:bottom w:val="single" w:sz="4" w:space="0" w:color="auto"/>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1 108</w:t>
            </w:r>
          </w:p>
        </w:tc>
        <w:tc>
          <w:tcPr>
            <w:tcW w:w="709" w:type="dxa"/>
            <w:tcBorders>
              <w:top w:val="nil"/>
              <w:left w:val="nil"/>
              <w:bottom w:val="single" w:sz="4" w:space="0" w:color="auto"/>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1 110</w:t>
            </w:r>
          </w:p>
        </w:tc>
        <w:tc>
          <w:tcPr>
            <w:tcW w:w="709" w:type="dxa"/>
            <w:tcBorders>
              <w:top w:val="nil"/>
              <w:left w:val="nil"/>
              <w:bottom w:val="single" w:sz="4" w:space="0" w:color="auto"/>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1 113</w:t>
            </w:r>
          </w:p>
        </w:tc>
        <w:tc>
          <w:tcPr>
            <w:tcW w:w="708" w:type="dxa"/>
            <w:tcBorders>
              <w:top w:val="nil"/>
              <w:left w:val="nil"/>
              <w:bottom w:val="single" w:sz="4" w:space="0" w:color="auto"/>
              <w:right w:val="nil"/>
            </w:tcBorders>
            <w:shd w:val="clear" w:color="auto" w:fill="auto"/>
            <w:noWrap/>
            <w:vAlign w:val="center"/>
            <w:hideMark/>
          </w:tcPr>
          <w:p w:rsidR="00453824" w:rsidRPr="00453824" w:rsidRDefault="00453824" w:rsidP="00453824">
            <w:pPr>
              <w:spacing w:after="0" w:line="240" w:lineRule="auto"/>
              <w:jc w:val="right"/>
              <w:rPr>
                <w:rFonts w:ascii="Times New Roman" w:eastAsia="Times New Roman" w:hAnsi="Times New Roman" w:cs="Times New Roman"/>
                <w:color w:val="000000"/>
                <w:sz w:val="20"/>
                <w:szCs w:val="20"/>
              </w:rPr>
            </w:pPr>
            <w:r w:rsidRPr="00453824">
              <w:rPr>
                <w:rFonts w:ascii="Times New Roman" w:eastAsia="Times New Roman" w:hAnsi="Times New Roman" w:cs="Times New Roman"/>
                <w:color w:val="000000"/>
                <w:sz w:val="20"/>
                <w:szCs w:val="20"/>
              </w:rPr>
              <w:t>12 012</w:t>
            </w:r>
          </w:p>
        </w:tc>
      </w:tr>
    </w:tbl>
    <w:p w:rsidR="000F4C53" w:rsidRPr="00C431FF" w:rsidRDefault="000F4C53" w:rsidP="000F4C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odhad MPRV</w:t>
      </w:r>
    </w:p>
    <w:p w:rsidR="000F4C53" w:rsidRDefault="000F4C53" w:rsidP="000F4C53">
      <w:pPr>
        <w:spacing w:after="0" w:line="240" w:lineRule="auto"/>
        <w:jc w:val="both"/>
        <w:rPr>
          <w:rFonts w:ascii="Times New Roman" w:eastAsia="Calibri" w:hAnsi="Times New Roman"/>
          <w:sz w:val="24"/>
          <w:szCs w:val="24"/>
        </w:rPr>
      </w:pPr>
    </w:p>
    <w:p w:rsidR="000F4C53" w:rsidRDefault="000F4C53" w:rsidP="000F4C53">
      <w:pPr>
        <w:spacing w:after="0" w:line="240" w:lineRule="auto"/>
        <w:jc w:val="both"/>
        <w:rPr>
          <w:rFonts w:ascii="Times New Roman" w:eastAsia="Calibri" w:hAnsi="Times New Roman"/>
          <w:sz w:val="24"/>
          <w:szCs w:val="24"/>
        </w:rPr>
      </w:pPr>
      <w:r>
        <w:rPr>
          <w:rFonts w:ascii="Times New Roman" w:eastAsia="Calibri" w:hAnsi="Times New Roman"/>
          <w:sz w:val="24"/>
          <w:szCs w:val="24"/>
        </w:rPr>
        <w:t>Cielené zvýšenie objemu produkcie zeleniny predpokladá preinvestovanie fin</w:t>
      </w:r>
      <w:r w:rsidR="00BF439C">
        <w:rPr>
          <w:rFonts w:ascii="Times New Roman" w:eastAsia="Calibri" w:hAnsi="Times New Roman"/>
          <w:sz w:val="24"/>
          <w:szCs w:val="24"/>
        </w:rPr>
        <w:t>ančných prostriedkov vo výške 43 084</w:t>
      </w:r>
      <w:r>
        <w:rPr>
          <w:rFonts w:ascii="Times New Roman" w:eastAsia="Calibri" w:hAnsi="Times New Roman"/>
          <w:sz w:val="24"/>
          <w:szCs w:val="24"/>
        </w:rPr>
        <w:t xml:space="preserve"> 000 EUR, čo predstavuje náklady na rekonštrukciu existujúcich zberových plôch veľkopestovateľov zeleniny v rozsahu </w:t>
      </w:r>
      <w:r w:rsidR="00453824">
        <w:rPr>
          <w:rFonts w:ascii="Times New Roman" w:eastAsia="Calibri" w:hAnsi="Times New Roman"/>
          <w:sz w:val="24"/>
          <w:szCs w:val="24"/>
        </w:rPr>
        <w:t>8</w:t>
      </w:r>
      <w:r>
        <w:rPr>
          <w:rFonts w:ascii="Times New Roman" w:eastAsia="Calibri" w:hAnsi="Times New Roman"/>
          <w:sz w:val="24"/>
          <w:szCs w:val="24"/>
        </w:rPr>
        <w:t> </w:t>
      </w:r>
      <w:r w:rsidR="00453824">
        <w:rPr>
          <w:rFonts w:ascii="Times New Roman" w:eastAsia="Calibri" w:hAnsi="Times New Roman"/>
          <w:sz w:val="24"/>
          <w:szCs w:val="24"/>
        </w:rPr>
        <w:t>249</w:t>
      </w:r>
      <w:r>
        <w:rPr>
          <w:rFonts w:ascii="Times New Roman" w:eastAsia="Calibri" w:hAnsi="Times New Roman"/>
          <w:sz w:val="24"/>
          <w:szCs w:val="24"/>
        </w:rPr>
        <w:t xml:space="preserve"> ha a založenie novej výsadby zeleniny na ploche </w:t>
      </w:r>
      <w:r w:rsidR="00453824">
        <w:rPr>
          <w:rFonts w:ascii="Times New Roman" w:eastAsia="Calibri" w:hAnsi="Times New Roman"/>
          <w:sz w:val="24"/>
          <w:szCs w:val="24"/>
        </w:rPr>
        <w:t>2</w:t>
      </w:r>
      <w:r>
        <w:rPr>
          <w:rFonts w:ascii="Times New Roman" w:eastAsia="Calibri" w:hAnsi="Times New Roman"/>
          <w:sz w:val="24"/>
          <w:szCs w:val="24"/>
        </w:rPr>
        <w:t> </w:t>
      </w:r>
      <w:r w:rsidR="00453824">
        <w:rPr>
          <w:rFonts w:ascii="Times New Roman" w:eastAsia="Calibri" w:hAnsi="Times New Roman"/>
          <w:sz w:val="24"/>
          <w:szCs w:val="24"/>
        </w:rPr>
        <w:t>522</w:t>
      </w:r>
      <w:r>
        <w:rPr>
          <w:rFonts w:ascii="Times New Roman" w:eastAsia="Calibri" w:hAnsi="Times New Roman"/>
          <w:sz w:val="24"/>
          <w:szCs w:val="24"/>
        </w:rPr>
        <w:t xml:space="preserve"> ha vrátane zodpovedajúcej technológie vo výške </w:t>
      </w:r>
      <w:r w:rsidR="00BC3D78">
        <w:rPr>
          <w:rFonts w:ascii="Times New Roman" w:eastAsia="Calibri" w:hAnsi="Times New Roman"/>
          <w:sz w:val="24"/>
          <w:szCs w:val="24"/>
        </w:rPr>
        <w:t>cca 4 000</w:t>
      </w:r>
      <w:r>
        <w:rPr>
          <w:rFonts w:ascii="Times New Roman" w:eastAsia="Calibri" w:hAnsi="Times New Roman"/>
          <w:sz w:val="24"/>
          <w:szCs w:val="24"/>
        </w:rPr>
        <w:t xml:space="preserve"> EUR na </w:t>
      </w:r>
      <w:r w:rsidR="00BC3D78">
        <w:rPr>
          <w:rFonts w:ascii="Times New Roman" w:eastAsia="Calibri" w:hAnsi="Times New Roman"/>
          <w:sz w:val="24"/>
          <w:szCs w:val="24"/>
        </w:rPr>
        <w:t xml:space="preserve">1 </w:t>
      </w:r>
      <w:r>
        <w:rPr>
          <w:rFonts w:ascii="Times New Roman" w:eastAsia="Calibri" w:hAnsi="Times New Roman"/>
          <w:sz w:val="24"/>
          <w:szCs w:val="24"/>
        </w:rPr>
        <w:t xml:space="preserve">ha. </w:t>
      </w:r>
      <w:r w:rsidR="00453824">
        <w:rPr>
          <w:rFonts w:ascii="Times New Roman" w:eastAsia="Calibri" w:hAnsi="Times New Roman"/>
          <w:sz w:val="24"/>
          <w:szCs w:val="24"/>
        </w:rPr>
        <w:t xml:space="preserve">Prepočet nezahŕňa predpokladaný nárast zberových plôch zeleniny na ornej pôde v roku 2012 na úrovni 478 ha. </w:t>
      </w:r>
    </w:p>
    <w:p w:rsidR="000F4C53" w:rsidRDefault="000F4C53" w:rsidP="000F4C53">
      <w:pPr>
        <w:spacing w:after="0" w:line="240" w:lineRule="auto"/>
        <w:jc w:val="both"/>
        <w:rPr>
          <w:rFonts w:ascii="Times New Roman" w:eastAsia="Calibri" w:hAnsi="Times New Roman"/>
          <w:sz w:val="24"/>
          <w:szCs w:val="24"/>
        </w:rPr>
      </w:pPr>
    </w:p>
    <w:p w:rsidR="000F4C53" w:rsidRDefault="000F4C53" w:rsidP="000F4C53">
      <w:pPr>
        <w:spacing w:after="0" w:line="240" w:lineRule="auto"/>
        <w:jc w:val="both"/>
        <w:rPr>
          <w:rFonts w:ascii="Times New Roman" w:eastAsia="Calibri" w:hAnsi="Times New Roman"/>
          <w:sz w:val="24"/>
          <w:szCs w:val="24"/>
        </w:rPr>
      </w:pPr>
      <w:r>
        <w:rPr>
          <w:rFonts w:ascii="Times New Roman" w:eastAsia="Calibri" w:hAnsi="Times New Roman"/>
          <w:sz w:val="24"/>
          <w:szCs w:val="24"/>
        </w:rPr>
        <w:t>Revitalizáciou</w:t>
      </w:r>
      <w:r w:rsidR="0013245B">
        <w:rPr>
          <w:rFonts w:ascii="Times New Roman" w:eastAsia="Calibri" w:hAnsi="Times New Roman"/>
          <w:sz w:val="24"/>
          <w:szCs w:val="24"/>
        </w:rPr>
        <w:t xml:space="preserve"> ovocných sadov a intenzifikáciou</w:t>
      </w:r>
      <w:r>
        <w:rPr>
          <w:rFonts w:ascii="Times New Roman" w:eastAsia="Calibri" w:hAnsi="Times New Roman"/>
          <w:sz w:val="24"/>
          <w:szCs w:val="24"/>
        </w:rPr>
        <w:t xml:space="preserve"> produkcie ovocia mierneho pásma na priemernú úroveň hektárovej výnosnosti ovocia mierneho pásma vo výške 12,27 t/ha</w:t>
      </w:r>
      <w:r w:rsidR="0013245B">
        <w:rPr>
          <w:rFonts w:ascii="Times New Roman" w:eastAsia="Calibri" w:hAnsi="Times New Roman"/>
          <w:sz w:val="24"/>
          <w:szCs w:val="24"/>
        </w:rPr>
        <w:t xml:space="preserve"> sa zabezpečí </w:t>
      </w:r>
      <w:r w:rsidR="00C678A9">
        <w:rPr>
          <w:rFonts w:ascii="Times New Roman" w:eastAsia="Calibri" w:hAnsi="Times New Roman"/>
          <w:sz w:val="24"/>
          <w:szCs w:val="24"/>
        </w:rPr>
        <w:t xml:space="preserve">dodatočný objem produkcie ovocia mierneho pásma v objeme 56 000 t. </w:t>
      </w:r>
    </w:p>
    <w:p w:rsidR="00B87405" w:rsidRDefault="00B87405" w:rsidP="000F4C53">
      <w:pPr>
        <w:spacing w:after="0" w:line="240" w:lineRule="auto"/>
        <w:jc w:val="both"/>
        <w:rPr>
          <w:rFonts w:ascii="Times New Roman" w:eastAsia="Calibri" w:hAnsi="Times New Roman"/>
          <w:sz w:val="24"/>
          <w:szCs w:val="24"/>
        </w:rPr>
      </w:pPr>
    </w:p>
    <w:p w:rsidR="00B87405" w:rsidRPr="00B87405" w:rsidRDefault="00C970F8" w:rsidP="000F4C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77</w:t>
      </w:r>
      <w:r w:rsidR="00B87405" w:rsidRPr="00155936">
        <w:rPr>
          <w:rFonts w:ascii="Times New Roman" w:hAnsi="Times New Roman" w:cs="Times New Roman"/>
          <w:sz w:val="20"/>
          <w:szCs w:val="20"/>
        </w:rPr>
        <w:t>:</w:t>
      </w:r>
      <w:r w:rsidR="00B87405">
        <w:rPr>
          <w:rFonts w:ascii="Times New Roman" w:hAnsi="Times New Roman" w:cs="Times New Roman"/>
          <w:sz w:val="20"/>
          <w:szCs w:val="20"/>
        </w:rPr>
        <w:t xml:space="preserve"> Prognóza vývoja produkcie a hektárovej výnosnosti v sadoch ov</w:t>
      </w:r>
      <w:r w:rsidR="00BF439C">
        <w:rPr>
          <w:rFonts w:ascii="Times New Roman" w:hAnsi="Times New Roman" w:cs="Times New Roman"/>
          <w:sz w:val="20"/>
          <w:szCs w:val="20"/>
        </w:rPr>
        <w:t>ocia mierneho pásma do roku 2020</w:t>
      </w:r>
    </w:p>
    <w:p w:rsidR="00B87405" w:rsidRDefault="00D4647D" w:rsidP="000F4C53">
      <w:pPr>
        <w:spacing w:after="0" w:line="240" w:lineRule="auto"/>
        <w:jc w:val="both"/>
        <w:rPr>
          <w:rFonts w:ascii="Times New Roman" w:eastAsia="Calibri" w:hAnsi="Times New Roman"/>
          <w:sz w:val="24"/>
          <w:szCs w:val="24"/>
        </w:rPr>
      </w:pPr>
      <w:r w:rsidRPr="00D4647D">
        <w:rPr>
          <w:rFonts w:ascii="Times New Roman" w:eastAsia="Calibri" w:hAnsi="Times New Roman"/>
          <w:noProof/>
          <w:sz w:val="24"/>
          <w:szCs w:val="24"/>
        </w:rPr>
        <w:drawing>
          <wp:inline distT="0" distB="0" distL="0" distR="0" wp14:anchorId="19CE9E03" wp14:editId="26909A94">
            <wp:extent cx="5757062" cy="2618842"/>
            <wp:effectExtent l="0" t="0" r="0" b="0"/>
            <wp:docPr id="289"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B87405" w:rsidRPr="00C431FF" w:rsidRDefault="00B87405" w:rsidP="00B87405">
      <w:pPr>
        <w:spacing w:after="0" w:line="240" w:lineRule="auto"/>
        <w:jc w:val="right"/>
        <w:rPr>
          <w:rFonts w:ascii="Times New Roman" w:hAnsi="Times New Roman" w:cs="Times New Roman"/>
          <w:sz w:val="20"/>
          <w:szCs w:val="20"/>
        </w:rPr>
      </w:pPr>
      <w:r>
        <w:rPr>
          <w:rFonts w:ascii="Times New Roman" w:eastAsia="Calibri" w:hAnsi="Times New Roman"/>
          <w:sz w:val="24"/>
          <w:szCs w:val="24"/>
        </w:rPr>
        <w:tab/>
      </w:r>
      <w:r>
        <w:rPr>
          <w:rFonts w:ascii="Times New Roman" w:hAnsi="Times New Roman" w:cs="Times New Roman"/>
          <w:sz w:val="20"/>
          <w:szCs w:val="20"/>
        </w:rPr>
        <w:t>Zdroj: VÚEPP, odhad MPRV</w:t>
      </w:r>
    </w:p>
    <w:p w:rsidR="0013695C" w:rsidRDefault="0013695C" w:rsidP="0013695C">
      <w:pPr>
        <w:spacing w:after="0" w:line="240" w:lineRule="auto"/>
        <w:jc w:val="both"/>
        <w:rPr>
          <w:rFonts w:ascii="Times New Roman" w:eastAsia="Calibri" w:hAnsi="Times New Roman"/>
          <w:sz w:val="24"/>
          <w:szCs w:val="24"/>
        </w:rPr>
      </w:pPr>
      <w:r>
        <w:rPr>
          <w:rFonts w:ascii="Times New Roman" w:eastAsia="Calibri" w:hAnsi="Times New Roman"/>
          <w:sz w:val="24"/>
          <w:szCs w:val="24"/>
        </w:rPr>
        <w:t>Prognóza vývoja produkcie a hektárovej výnosnosti v produkčných sadoch ov</w:t>
      </w:r>
      <w:r w:rsidR="001D72C3">
        <w:rPr>
          <w:rFonts w:ascii="Times New Roman" w:eastAsia="Calibri" w:hAnsi="Times New Roman"/>
          <w:sz w:val="24"/>
          <w:szCs w:val="24"/>
        </w:rPr>
        <w:t>ocia mierneho pásma do roku 2020</w:t>
      </w:r>
      <w:r>
        <w:rPr>
          <w:rFonts w:ascii="Times New Roman" w:eastAsia="Calibri" w:hAnsi="Times New Roman"/>
          <w:sz w:val="24"/>
          <w:szCs w:val="24"/>
        </w:rPr>
        <w:t xml:space="preserve"> je založená na priemernom raste produkcie</w:t>
      </w:r>
      <w:r w:rsidR="001D72C3">
        <w:rPr>
          <w:rFonts w:ascii="Times New Roman" w:eastAsia="Calibri" w:hAnsi="Times New Roman"/>
          <w:sz w:val="24"/>
          <w:szCs w:val="24"/>
        </w:rPr>
        <w:t xml:space="preserve"> a hektárovej výnosnosti o cca 4</w:t>
      </w:r>
      <w:r>
        <w:rPr>
          <w:rFonts w:ascii="Times New Roman" w:eastAsia="Calibri" w:hAnsi="Times New Roman"/>
          <w:sz w:val="24"/>
          <w:szCs w:val="24"/>
        </w:rPr>
        <w:t xml:space="preserve"> % ročne. Cieľový stav produkcie ovocia mierneho pásma v produkčných sadoch predstavuje 174,68 % z úrovne produkcie v roku 2002. Dosiahnutím cielených parametrov </w:t>
      </w:r>
      <w:r>
        <w:rPr>
          <w:rFonts w:ascii="Times New Roman" w:eastAsia="Calibri" w:hAnsi="Times New Roman"/>
          <w:sz w:val="24"/>
          <w:szCs w:val="24"/>
        </w:rPr>
        <w:lastRenderedPageBreak/>
        <w:t xml:space="preserve">produkcie ovocia mierneho pásma v produkčných sadoch vznikne v rámci prvovýroby potreba dodatočných pracovných síl v počte </w:t>
      </w:r>
      <w:r w:rsidR="008A0331">
        <w:rPr>
          <w:rFonts w:ascii="Times New Roman" w:eastAsia="Calibri" w:hAnsi="Times New Roman"/>
          <w:sz w:val="24"/>
          <w:szCs w:val="24"/>
        </w:rPr>
        <w:t>4 562</w:t>
      </w:r>
      <w:r>
        <w:rPr>
          <w:rFonts w:ascii="Times New Roman" w:eastAsia="Calibri" w:hAnsi="Times New Roman"/>
          <w:sz w:val="24"/>
          <w:szCs w:val="24"/>
        </w:rPr>
        <w:t xml:space="preserve"> osôb, pričom tento predpoklad je založený na normatíve 1 pracovník na 1 ha. </w:t>
      </w:r>
    </w:p>
    <w:p w:rsidR="000479CE" w:rsidRDefault="000479CE" w:rsidP="0013695C">
      <w:pPr>
        <w:spacing w:after="0" w:line="240" w:lineRule="auto"/>
        <w:jc w:val="both"/>
        <w:rPr>
          <w:rFonts w:ascii="Times New Roman" w:eastAsia="Calibri" w:hAnsi="Times New Roman"/>
          <w:sz w:val="24"/>
          <w:szCs w:val="24"/>
        </w:rPr>
      </w:pPr>
    </w:p>
    <w:p w:rsidR="000479CE" w:rsidRPr="000479CE" w:rsidRDefault="00C970F8" w:rsidP="000479CE">
      <w:pPr>
        <w:tabs>
          <w:tab w:val="left"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t>Tab. č. 61</w:t>
      </w:r>
      <w:r w:rsidR="000479CE" w:rsidRPr="00A855A4">
        <w:rPr>
          <w:rFonts w:ascii="Times New Roman" w:hAnsi="Times New Roman" w:cs="Times New Roman"/>
          <w:sz w:val="20"/>
          <w:szCs w:val="20"/>
        </w:rPr>
        <w:t xml:space="preserve">: </w:t>
      </w:r>
      <w:r w:rsidR="000479CE">
        <w:rPr>
          <w:rFonts w:ascii="Times New Roman" w:hAnsi="Times New Roman" w:cs="Times New Roman"/>
          <w:sz w:val="20"/>
          <w:szCs w:val="20"/>
        </w:rPr>
        <w:tab/>
        <w:t>Prognóza dodatočného počtu pracovníkov v prvovýrobe ovocia mierneho pásma</w:t>
      </w:r>
    </w:p>
    <w:tbl>
      <w:tblPr>
        <w:tblW w:w="9073" w:type="dxa"/>
        <w:tblInd w:w="70" w:type="dxa"/>
        <w:tblCellMar>
          <w:left w:w="70" w:type="dxa"/>
          <w:right w:w="70" w:type="dxa"/>
        </w:tblCellMar>
        <w:tblLook w:val="04A0" w:firstRow="1" w:lastRow="0" w:firstColumn="1" w:lastColumn="0" w:noHBand="0" w:noVBand="1"/>
      </w:tblPr>
      <w:tblGrid>
        <w:gridCol w:w="3544"/>
        <w:gridCol w:w="567"/>
        <w:gridCol w:w="709"/>
        <w:gridCol w:w="709"/>
        <w:gridCol w:w="709"/>
        <w:gridCol w:w="708"/>
        <w:gridCol w:w="709"/>
        <w:gridCol w:w="709"/>
        <w:gridCol w:w="709"/>
      </w:tblGrid>
      <w:tr w:rsidR="008A0331" w:rsidRPr="008A0331" w:rsidTr="008A0331">
        <w:trPr>
          <w:trHeight w:val="300"/>
        </w:trPr>
        <w:tc>
          <w:tcPr>
            <w:tcW w:w="3544" w:type="dxa"/>
            <w:tcBorders>
              <w:top w:val="single" w:sz="4" w:space="0" w:color="auto"/>
              <w:left w:val="nil"/>
              <w:bottom w:val="single" w:sz="4" w:space="0" w:color="auto"/>
              <w:right w:val="single" w:sz="4" w:space="0" w:color="auto"/>
            </w:tcBorders>
            <w:shd w:val="clear" w:color="000000" w:fill="D8D8D8"/>
            <w:noWrap/>
            <w:vAlign w:val="bottom"/>
            <w:hideMark/>
          </w:tcPr>
          <w:p w:rsidR="008A0331" w:rsidRPr="008A0331" w:rsidRDefault="008A0331" w:rsidP="008A0331">
            <w:pPr>
              <w:spacing w:after="0" w:line="240" w:lineRule="auto"/>
              <w:rPr>
                <w:rFonts w:ascii="Times New Roman" w:eastAsia="Times New Roman" w:hAnsi="Times New Roman" w:cs="Times New Roman"/>
                <w:b/>
                <w:bCs/>
                <w:color w:val="000000"/>
                <w:sz w:val="20"/>
                <w:szCs w:val="20"/>
              </w:rPr>
            </w:pPr>
            <w:r w:rsidRPr="008A0331">
              <w:rPr>
                <w:rFonts w:ascii="Times New Roman" w:eastAsia="Times New Roman" w:hAnsi="Times New Roman" w:cs="Times New Roman"/>
                <w:b/>
                <w:bCs/>
                <w:color w:val="000000"/>
                <w:sz w:val="20"/>
                <w:szCs w:val="20"/>
              </w:rPr>
              <w:t> </w:t>
            </w:r>
          </w:p>
        </w:tc>
        <w:tc>
          <w:tcPr>
            <w:tcW w:w="567" w:type="dxa"/>
            <w:tcBorders>
              <w:top w:val="single" w:sz="4" w:space="0" w:color="auto"/>
              <w:left w:val="nil"/>
              <w:bottom w:val="single" w:sz="4" w:space="0" w:color="auto"/>
              <w:right w:val="nil"/>
            </w:tcBorders>
            <w:shd w:val="clear" w:color="000000" w:fill="D8D8D8"/>
            <w:noWrap/>
            <w:vAlign w:val="bottom"/>
            <w:hideMark/>
          </w:tcPr>
          <w:p w:rsidR="008A0331" w:rsidRPr="008A0331" w:rsidRDefault="008A0331" w:rsidP="008A0331">
            <w:pPr>
              <w:spacing w:after="0" w:line="240" w:lineRule="auto"/>
              <w:jc w:val="center"/>
              <w:rPr>
                <w:rFonts w:ascii="Times New Roman" w:eastAsia="Times New Roman" w:hAnsi="Times New Roman" w:cs="Times New Roman"/>
                <w:b/>
                <w:bCs/>
                <w:color w:val="000000"/>
                <w:sz w:val="20"/>
                <w:szCs w:val="20"/>
              </w:rPr>
            </w:pPr>
            <w:r w:rsidRPr="008A0331">
              <w:rPr>
                <w:rFonts w:ascii="Times New Roman" w:eastAsia="Times New Roman" w:hAnsi="Times New Roman" w:cs="Times New Roman"/>
                <w:b/>
                <w:bCs/>
                <w:color w:val="000000"/>
                <w:sz w:val="20"/>
                <w:szCs w:val="20"/>
              </w:rPr>
              <w:t>2013</w:t>
            </w:r>
          </w:p>
        </w:tc>
        <w:tc>
          <w:tcPr>
            <w:tcW w:w="709" w:type="dxa"/>
            <w:tcBorders>
              <w:top w:val="single" w:sz="4" w:space="0" w:color="auto"/>
              <w:left w:val="nil"/>
              <w:bottom w:val="single" w:sz="4" w:space="0" w:color="auto"/>
              <w:right w:val="nil"/>
            </w:tcBorders>
            <w:shd w:val="clear" w:color="000000" w:fill="D8D8D8"/>
            <w:noWrap/>
            <w:vAlign w:val="bottom"/>
            <w:hideMark/>
          </w:tcPr>
          <w:p w:rsidR="008A0331" w:rsidRPr="008A0331" w:rsidRDefault="008A0331" w:rsidP="008A0331">
            <w:pPr>
              <w:spacing w:after="0" w:line="240" w:lineRule="auto"/>
              <w:jc w:val="center"/>
              <w:rPr>
                <w:rFonts w:ascii="Times New Roman" w:eastAsia="Times New Roman" w:hAnsi="Times New Roman" w:cs="Times New Roman"/>
                <w:b/>
                <w:bCs/>
                <w:color w:val="000000"/>
                <w:sz w:val="20"/>
                <w:szCs w:val="20"/>
              </w:rPr>
            </w:pPr>
            <w:r w:rsidRPr="008A0331">
              <w:rPr>
                <w:rFonts w:ascii="Times New Roman" w:eastAsia="Times New Roman" w:hAnsi="Times New Roman" w:cs="Times New Roman"/>
                <w:b/>
                <w:bCs/>
                <w:color w:val="000000"/>
                <w:sz w:val="20"/>
                <w:szCs w:val="20"/>
              </w:rPr>
              <w:t>2014</w:t>
            </w:r>
          </w:p>
        </w:tc>
        <w:tc>
          <w:tcPr>
            <w:tcW w:w="709" w:type="dxa"/>
            <w:tcBorders>
              <w:top w:val="single" w:sz="4" w:space="0" w:color="auto"/>
              <w:left w:val="nil"/>
              <w:bottom w:val="single" w:sz="4" w:space="0" w:color="auto"/>
              <w:right w:val="nil"/>
            </w:tcBorders>
            <w:shd w:val="clear" w:color="000000" w:fill="D8D8D8"/>
            <w:noWrap/>
            <w:vAlign w:val="bottom"/>
            <w:hideMark/>
          </w:tcPr>
          <w:p w:rsidR="008A0331" w:rsidRPr="008A0331" w:rsidRDefault="008A0331" w:rsidP="008A0331">
            <w:pPr>
              <w:spacing w:after="0" w:line="240" w:lineRule="auto"/>
              <w:jc w:val="center"/>
              <w:rPr>
                <w:rFonts w:ascii="Times New Roman" w:eastAsia="Times New Roman" w:hAnsi="Times New Roman" w:cs="Times New Roman"/>
                <w:b/>
                <w:bCs/>
                <w:color w:val="000000"/>
                <w:sz w:val="20"/>
                <w:szCs w:val="20"/>
              </w:rPr>
            </w:pPr>
            <w:r w:rsidRPr="008A0331">
              <w:rPr>
                <w:rFonts w:ascii="Times New Roman" w:eastAsia="Times New Roman" w:hAnsi="Times New Roman" w:cs="Times New Roman"/>
                <w:b/>
                <w:bCs/>
                <w:color w:val="000000"/>
                <w:sz w:val="20"/>
                <w:szCs w:val="20"/>
              </w:rPr>
              <w:t>2015</w:t>
            </w:r>
          </w:p>
        </w:tc>
        <w:tc>
          <w:tcPr>
            <w:tcW w:w="709" w:type="dxa"/>
            <w:tcBorders>
              <w:top w:val="single" w:sz="4" w:space="0" w:color="auto"/>
              <w:left w:val="nil"/>
              <w:bottom w:val="single" w:sz="4" w:space="0" w:color="auto"/>
              <w:right w:val="nil"/>
            </w:tcBorders>
            <w:shd w:val="clear" w:color="000000" w:fill="D8D8D8"/>
            <w:noWrap/>
            <w:vAlign w:val="bottom"/>
            <w:hideMark/>
          </w:tcPr>
          <w:p w:rsidR="008A0331" w:rsidRPr="008A0331" w:rsidRDefault="008A0331" w:rsidP="008A0331">
            <w:pPr>
              <w:spacing w:after="0" w:line="240" w:lineRule="auto"/>
              <w:jc w:val="center"/>
              <w:rPr>
                <w:rFonts w:ascii="Times New Roman" w:eastAsia="Times New Roman" w:hAnsi="Times New Roman" w:cs="Times New Roman"/>
                <w:b/>
                <w:bCs/>
                <w:color w:val="000000"/>
                <w:sz w:val="20"/>
                <w:szCs w:val="20"/>
              </w:rPr>
            </w:pPr>
            <w:r w:rsidRPr="008A0331">
              <w:rPr>
                <w:rFonts w:ascii="Times New Roman" w:eastAsia="Times New Roman" w:hAnsi="Times New Roman" w:cs="Times New Roman"/>
                <w:b/>
                <w:bCs/>
                <w:color w:val="000000"/>
                <w:sz w:val="20"/>
                <w:szCs w:val="20"/>
              </w:rPr>
              <w:t>2016</w:t>
            </w:r>
          </w:p>
        </w:tc>
        <w:tc>
          <w:tcPr>
            <w:tcW w:w="708" w:type="dxa"/>
            <w:tcBorders>
              <w:top w:val="single" w:sz="4" w:space="0" w:color="auto"/>
              <w:left w:val="nil"/>
              <w:bottom w:val="single" w:sz="4" w:space="0" w:color="auto"/>
              <w:right w:val="nil"/>
            </w:tcBorders>
            <w:shd w:val="clear" w:color="000000" w:fill="D8D8D8"/>
            <w:noWrap/>
            <w:vAlign w:val="bottom"/>
            <w:hideMark/>
          </w:tcPr>
          <w:p w:rsidR="008A0331" w:rsidRPr="008A0331" w:rsidRDefault="008A0331" w:rsidP="008A0331">
            <w:pPr>
              <w:spacing w:after="0" w:line="240" w:lineRule="auto"/>
              <w:jc w:val="center"/>
              <w:rPr>
                <w:rFonts w:ascii="Times New Roman" w:eastAsia="Times New Roman" w:hAnsi="Times New Roman" w:cs="Times New Roman"/>
                <w:b/>
                <w:bCs/>
                <w:color w:val="000000"/>
                <w:sz w:val="20"/>
                <w:szCs w:val="20"/>
              </w:rPr>
            </w:pPr>
            <w:r w:rsidRPr="008A0331">
              <w:rPr>
                <w:rFonts w:ascii="Times New Roman" w:eastAsia="Times New Roman" w:hAnsi="Times New Roman" w:cs="Times New Roman"/>
                <w:b/>
                <w:bCs/>
                <w:color w:val="000000"/>
                <w:sz w:val="20"/>
                <w:szCs w:val="20"/>
              </w:rPr>
              <w:t>2017</w:t>
            </w:r>
          </w:p>
        </w:tc>
        <w:tc>
          <w:tcPr>
            <w:tcW w:w="709" w:type="dxa"/>
            <w:tcBorders>
              <w:top w:val="single" w:sz="4" w:space="0" w:color="auto"/>
              <w:left w:val="nil"/>
              <w:bottom w:val="single" w:sz="4" w:space="0" w:color="auto"/>
              <w:right w:val="nil"/>
            </w:tcBorders>
            <w:shd w:val="clear" w:color="000000" w:fill="D8D8D8"/>
            <w:noWrap/>
            <w:vAlign w:val="bottom"/>
            <w:hideMark/>
          </w:tcPr>
          <w:p w:rsidR="008A0331" w:rsidRPr="008A0331" w:rsidRDefault="008A0331" w:rsidP="008A0331">
            <w:pPr>
              <w:spacing w:after="0" w:line="240" w:lineRule="auto"/>
              <w:jc w:val="center"/>
              <w:rPr>
                <w:rFonts w:ascii="Times New Roman" w:eastAsia="Times New Roman" w:hAnsi="Times New Roman" w:cs="Times New Roman"/>
                <w:b/>
                <w:bCs/>
                <w:color w:val="000000"/>
                <w:sz w:val="20"/>
                <w:szCs w:val="20"/>
              </w:rPr>
            </w:pPr>
            <w:r w:rsidRPr="008A0331">
              <w:rPr>
                <w:rFonts w:ascii="Times New Roman" w:eastAsia="Times New Roman" w:hAnsi="Times New Roman" w:cs="Times New Roman"/>
                <w:b/>
                <w:bCs/>
                <w:color w:val="000000"/>
                <w:sz w:val="20"/>
                <w:szCs w:val="20"/>
              </w:rPr>
              <w:t>2018</w:t>
            </w:r>
          </w:p>
        </w:tc>
        <w:tc>
          <w:tcPr>
            <w:tcW w:w="709" w:type="dxa"/>
            <w:tcBorders>
              <w:top w:val="single" w:sz="4" w:space="0" w:color="auto"/>
              <w:left w:val="nil"/>
              <w:bottom w:val="single" w:sz="4" w:space="0" w:color="auto"/>
              <w:right w:val="nil"/>
            </w:tcBorders>
            <w:shd w:val="clear" w:color="000000" w:fill="D8D8D8"/>
            <w:noWrap/>
            <w:vAlign w:val="bottom"/>
            <w:hideMark/>
          </w:tcPr>
          <w:p w:rsidR="008A0331" w:rsidRPr="008A0331" w:rsidRDefault="008A0331" w:rsidP="008A0331">
            <w:pPr>
              <w:spacing w:after="0" w:line="240" w:lineRule="auto"/>
              <w:jc w:val="center"/>
              <w:rPr>
                <w:rFonts w:ascii="Times New Roman" w:eastAsia="Times New Roman" w:hAnsi="Times New Roman" w:cs="Times New Roman"/>
                <w:b/>
                <w:bCs/>
                <w:color w:val="000000"/>
                <w:sz w:val="20"/>
                <w:szCs w:val="20"/>
              </w:rPr>
            </w:pPr>
            <w:r w:rsidRPr="008A0331">
              <w:rPr>
                <w:rFonts w:ascii="Times New Roman" w:eastAsia="Times New Roman" w:hAnsi="Times New Roman" w:cs="Times New Roman"/>
                <w:b/>
                <w:bCs/>
                <w:color w:val="000000"/>
                <w:sz w:val="20"/>
                <w:szCs w:val="20"/>
              </w:rPr>
              <w:t>2019</w:t>
            </w:r>
          </w:p>
        </w:tc>
        <w:tc>
          <w:tcPr>
            <w:tcW w:w="709" w:type="dxa"/>
            <w:tcBorders>
              <w:top w:val="single" w:sz="4" w:space="0" w:color="auto"/>
              <w:left w:val="nil"/>
              <w:bottom w:val="single" w:sz="4" w:space="0" w:color="auto"/>
              <w:right w:val="nil"/>
            </w:tcBorders>
            <w:shd w:val="clear" w:color="000000" w:fill="D8D8D8"/>
            <w:noWrap/>
            <w:vAlign w:val="bottom"/>
            <w:hideMark/>
          </w:tcPr>
          <w:p w:rsidR="008A0331" w:rsidRPr="008A0331" w:rsidRDefault="008A0331" w:rsidP="008A0331">
            <w:pPr>
              <w:spacing w:after="0" w:line="240" w:lineRule="auto"/>
              <w:jc w:val="center"/>
              <w:rPr>
                <w:rFonts w:ascii="Times New Roman" w:eastAsia="Times New Roman" w:hAnsi="Times New Roman" w:cs="Times New Roman"/>
                <w:b/>
                <w:bCs/>
                <w:color w:val="000000"/>
                <w:sz w:val="20"/>
                <w:szCs w:val="20"/>
              </w:rPr>
            </w:pPr>
            <w:r w:rsidRPr="008A0331">
              <w:rPr>
                <w:rFonts w:ascii="Times New Roman" w:eastAsia="Times New Roman" w:hAnsi="Times New Roman" w:cs="Times New Roman"/>
                <w:b/>
                <w:bCs/>
                <w:color w:val="000000"/>
                <w:sz w:val="20"/>
                <w:szCs w:val="20"/>
              </w:rPr>
              <w:t>2020</w:t>
            </w:r>
          </w:p>
        </w:tc>
      </w:tr>
      <w:tr w:rsidR="008A0331" w:rsidRPr="008A0331" w:rsidTr="008A0331">
        <w:trPr>
          <w:trHeight w:val="300"/>
        </w:trPr>
        <w:tc>
          <w:tcPr>
            <w:tcW w:w="3544" w:type="dxa"/>
            <w:tcBorders>
              <w:top w:val="nil"/>
              <w:left w:val="nil"/>
              <w:bottom w:val="nil"/>
              <w:right w:val="single" w:sz="4" w:space="0" w:color="auto"/>
            </w:tcBorders>
            <w:shd w:val="clear" w:color="auto" w:fill="auto"/>
            <w:noWrap/>
            <w:vAlign w:val="bottom"/>
            <w:hideMark/>
          </w:tcPr>
          <w:p w:rsidR="008A0331" w:rsidRPr="008A0331" w:rsidRDefault="008A0331" w:rsidP="008A0331">
            <w:pPr>
              <w:spacing w:after="0" w:line="240" w:lineRule="auto"/>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rekonštrukcia existujúcich plôch produkčných sadov ovocia mierneho pásma v ha</w:t>
            </w:r>
          </w:p>
        </w:tc>
        <w:tc>
          <w:tcPr>
            <w:tcW w:w="567" w:type="dxa"/>
            <w:tcBorders>
              <w:top w:val="nil"/>
              <w:left w:val="nil"/>
              <w:bottom w:val="nil"/>
              <w:right w:val="nil"/>
            </w:tcBorders>
            <w:shd w:val="clear" w:color="auto" w:fill="auto"/>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663</w:t>
            </w:r>
          </w:p>
        </w:tc>
        <w:tc>
          <w:tcPr>
            <w:tcW w:w="709" w:type="dxa"/>
            <w:tcBorders>
              <w:top w:val="nil"/>
              <w:left w:val="nil"/>
              <w:bottom w:val="nil"/>
              <w:right w:val="nil"/>
            </w:tcBorders>
            <w:shd w:val="clear" w:color="auto" w:fill="auto"/>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1 126</w:t>
            </w:r>
          </w:p>
        </w:tc>
        <w:tc>
          <w:tcPr>
            <w:tcW w:w="709" w:type="dxa"/>
            <w:tcBorders>
              <w:top w:val="nil"/>
              <w:left w:val="nil"/>
              <w:bottom w:val="nil"/>
              <w:right w:val="nil"/>
            </w:tcBorders>
            <w:shd w:val="clear" w:color="auto" w:fill="auto"/>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955</w:t>
            </w:r>
          </w:p>
        </w:tc>
        <w:tc>
          <w:tcPr>
            <w:tcW w:w="708" w:type="dxa"/>
            <w:tcBorders>
              <w:top w:val="nil"/>
              <w:left w:val="nil"/>
              <w:bottom w:val="nil"/>
              <w:right w:val="nil"/>
            </w:tcBorders>
            <w:shd w:val="clear" w:color="auto" w:fill="auto"/>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584</w:t>
            </w:r>
          </w:p>
        </w:tc>
        <w:tc>
          <w:tcPr>
            <w:tcW w:w="709" w:type="dxa"/>
            <w:tcBorders>
              <w:top w:val="nil"/>
              <w:left w:val="nil"/>
              <w:bottom w:val="nil"/>
              <w:right w:val="nil"/>
            </w:tcBorders>
            <w:shd w:val="clear" w:color="auto" w:fill="auto"/>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304</w:t>
            </w:r>
          </w:p>
        </w:tc>
        <w:tc>
          <w:tcPr>
            <w:tcW w:w="709" w:type="dxa"/>
            <w:tcBorders>
              <w:top w:val="nil"/>
              <w:left w:val="nil"/>
              <w:bottom w:val="nil"/>
              <w:right w:val="nil"/>
            </w:tcBorders>
            <w:shd w:val="clear" w:color="auto" w:fill="auto"/>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465</w:t>
            </w:r>
          </w:p>
        </w:tc>
        <w:tc>
          <w:tcPr>
            <w:tcW w:w="709" w:type="dxa"/>
            <w:tcBorders>
              <w:top w:val="nil"/>
              <w:left w:val="nil"/>
              <w:bottom w:val="nil"/>
              <w:right w:val="nil"/>
            </w:tcBorders>
            <w:shd w:val="clear" w:color="auto" w:fill="auto"/>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466</w:t>
            </w:r>
          </w:p>
        </w:tc>
      </w:tr>
      <w:tr w:rsidR="008A0331" w:rsidRPr="008A0331" w:rsidTr="008A0331">
        <w:trPr>
          <w:trHeight w:val="300"/>
        </w:trPr>
        <w:tc>
          <w:tcPr>
            <w:tcW w:w="3544" w:type="dxa"/>
            <w:tcBorders>
              <w:top w:val="nil"/>
              <w:left w:val="nil"/>
              <w:bottom w:val="nil"/>
              <w:right w:val="single" w:sz="4" w:space="0" w:color="auto"/>
            </w:tcBorders>
            <w:shd w:val="clear" w:color="auto" w:fill="F2F2F2" w:themeFill="background1" w:themeFillShade="F2"/>
            <w:noWrap/>
            <w:vAlign w:val="bottom"/>
            <w:hideMark/>
          </w:tcPr>
          <w:p w:rsidR="008A0331" w:rsidRPr="008A0331" w:rsidRDefault="008A0331" w:rsidP="008A0331">
            <w:pPr>
              <w:spacing w:after="0" w:line="240" w:lineRule="auto"/>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medziročné zvýšenie produkcie ovocia mierneho pásma v t</w:t>
            </w:r>
          </w:p>
        </w:tc>
        <w:tc>
          <w:tcPr>
            <w:tcW w:w="567" w:type="dxa"/>
            <w:tcBorders>
              <w:top w:val="nil"/>
              <w:left w:val="nil"/>
              <w:bottom w:val="nil"/>
              <w:right w:val="nil"/>
            </w:tcBorders>
            <w:shd w:val="clear" w:color="auto" w:fill="F2F2F2" w:themeFill="background1" w:themeFillShade="F2"/>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227</w:t>
            </w:r>
          </w:p>
        </w:tc>
        <w:tc>
          <w:tcPr>
            <w:tcW w:w="709" w:type="dxa"/>
            <w:tcBorders>
              <w:top w:val="nil"/>
              <w:left w:val="nil"/>
              <w:bottom w:val="nil"/>
              <w:right w:val="nil"/>
            </w:tcBorders>
            <w:shd w:val="clear" w:color="auto" w:fill="F2F2F2" w:themeFill="background1" w:themeFillShade="F2"/>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2 032</w:t>
            </w:r>
          </w:p>
        </w:tc>
        <w:tc>
          <w:tcPr>
            <w:tcW w:w="709" w:type="dxa"/>
            <w:tcBorders>
              <w:top w:val="nil"/>
              <w:left w:val="nil"/>
              <w:bottom w:val="nil"/>
              <w:right w:val="nil"/>
            </w:tcBorders>
            <w:shd w:val="clear" w:color="auto" w:fill="F2F2F2" w:themeFill="background1" w:themeFillShade="F2"/>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3 841</w:t>
            </w:r>
          </w:p>
        </w:tc>
        <w:tc>
          <w:tcPr>
            <w:tcW w:w="709" w:type="dxa"/>
            <w:tcBorders>
              <w:top w:val="nil"/>
              <w:left w:val="nil"/>
              <w:bottom w:val="nil"/>
              <w:right w:val="nil"/>
            </w:tcBorders>
            <w:shd w:val="clear" w:color="auto" w:fill="F2F2F2" w:themeFill="background1" w:themeFillShade="F2"/>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3 256</w:t>
            </w:r>
          </w:p>
        </w:tc>
        <w:tc>
          <w:tcPr>
            <w:tcW w:w="708" w:type="dxa"/>
            <w:tcBorders>
              <w:top w:val="nil"/>
              <w:left w:val="nil"/>
              <w:bottom w:val="nil"/>
              <w:right w:val="nil"/>
            </w:tcBorders>
            <w:shd w:val="clear" w:color="auto" w:fill="F2F2F2" w:themeFill="background1" w:themeFillShade="F2"/>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1 991</w:t>
            </w:r>
          </w:p>
        </w:tc>
        <w:tc>
          <w:tcPr>
            <w:tcW w:w="709" w:type="dxa"/>
            <w:tcBorders>
              <w:top w:val="nil"/>
              <w:left w:val="nil"/>
              <w:bottom w:val="nil"/>
              <w:right w:val="nil"/>
            </w:tcBorders>
            <w:shd w:val="clear" w:color="auto" w:fill="F2F2F2" w:themeFill="background1" w:themeFillShade="F2"/>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1 035</w:t>
            </w:r>
          </w:p>
        </w:tc>
        <w:tc>
          <w:tcPr>
            <w:tcW w:w="709" w:type="dxa"/>
            <w:tcBorders>
              <w:top w:val="nil"/>
              <w:left w:val="nil"/>
              <w:bottom w:val="nil"/>
              <w:right w:val="nil"/>
            </w:tcBorders>
            <w:shd w:val="clear" w:color="auto" w:fill="F2F2F2" w:themeFill="background1" w:themeFillShade="F2"/>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1 584</w:t>
            </w:r>
          </w:p>
        </w:tc>
        <w:tc>
          <w:tcPr>
            <w:tcW w:w="709" w:type="dxa"/>
            <w:tcBorders>
              <w:top w:val="nil"/>
              <w:left w:val="nil"/>
              <w:bottom w:val="nil"/>
              <w:right w:val="nil"/>
            </w:tcBorders>
            <w:shd w:val="clear" w:color="auto" w:fill="F2F2F2" w:themeFill="background1" w:themeFillShade="F2"/>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1 588</w:t>
            </w:r>
          </w:p>
        </w:tc>
      </w:tr>
      <w:tr w:rsidR="008A0331" w:rsidRPr="008A0331" w:rsidTr="008A0331">
        <w:trPr>
          <w:trHeight w:val="300"/>
        </w:trPr>
        <w:tc>
          <w:tcPr>
            <w:tcW w:w="3544" w:type="dxa"/>
            <w:tcBorders>
              <w:top w:val="nil"/>
              <w:left w:val="nil"/>
              <w:bottom w:val="nil"/>
              <w:right w:val="single" w:sz="4" w:space="0" w:color="auto"/>
            </w:tcBorders>
            <w:shd w:val="clear" w:color="auto" w:fill="auto"/>
            <w:noWrap/>
            <w:vAlign w:val="bottom"/>
            <w:hideMark/>
          </w:tcPr>
          <w:p w:rsidR="008A0331" w:rsidRPr="008A0331" w:rsidRDefault="008A0331" w:rsidP="008A0331">
            <w:pPr>
              <w:spacing w:after="0" w:line="240" w:lineRule="auto"/>
              <w:rPr>
                <w:rFonts w:ascii="Times New Roman" w:eastAsia="Times New Roman" w:hAnsi="Times New Roman" w:cs="Times New Roman"/>
                <w:b/>
                <w:color w:val="000000"/>
                <w:sz w:val="20"/>
                <w:szCs w:val="20"/>
              </w:rPr>
            </w:pPr>
            <w:r w:rsidRPr="008A0331">
              <w:rPr>
                <w:rFonts w:ascii="Times New Roman" w:eastAsia="Times New Roman" w:hAnsi="Times New Roman" w:cs="Times New Roman"/>
                <w:b/>
                <w:color w:val="000000"/>
                <w:sz w:val="20"/>
                <w:szCs w:val="20"/>
              </w:rPr>
              <w:t>dodatočný počet zamestnancov v osobách</w:t>
            </w:r>
          </w:p>
        </w:tc>
        <w:tc>
          <w:tcPr>
            <w:tcW w:w="567" w:type="dxa"/>
            <w:tcBorders>
              <w:top w:val="nil"/>
              <w:left w:val="nil"/>
              <w:bottom w:val="nil"/>
              <w:right w:val="nil"/>
            </w:tcBorders>
            <w:shd w:val="clear" w:color="auto" w:fill="auto"/>
            <w:noWrap/>
            <w:vAlign w:val="center"/>
            <w:hideMark/>
          </w:tcPr>
          <w:p w:rsidR="008A0331" w:rsidRPr="008A0331" w:rsidRDefault="008A0331" w:rsidP="008A0331">
            <w:pPr>
              <w:spacing w:after="0" w:line="240" w:lineRule="auto"/>
              <w:jc w:val="right"/>
              <w:rPr>
                <w:rFonts w:ascii="Times New Roman" w:eastAsia="Times New Roman" w:hAnsi="Times New Roman" w:cs="Times New Roman"/>
                <w:b/>
                <w:color w:val="000000"/>
                <w:sz w:val="20"/>
                <w:szCs w:val="20"/>
              </w:rPr>
            </w:pPr>
            <w:r w:rsidRPr="008A0331">
              <w:rPr>
                <w:rFonts w:ascii="Times New Roman" w:eastAsia="Times New Roman" w:hAnsi="Times New Roman" w:cs="Times New Roman"/>
                <w:b/>
                <w:color w:val="000000"/>
                <w:sz w:val="20"/>
                <w:szCs w:val="20"/>
              </w:rPr>
              <w:t>0</w:t>
            </w:r>
          </w:p>
        </w:tc>
        <w:tc>
          <w:tcPr>
            <w:tcW w:w="709" w:type="dxa"/>
            <w:tcBorders>
              <w:top w:val="nil"/>
              <w:left w:val="nil"/>
              <w:bottom w:val="nil"/>
              <w:right w:val="nil"/>
            </w:tcBorders>
            <w:shd w:val="clear" w:color="auto" w:fill="auto"/>
            <w:noWrap/>
            <w:vAlign w:val="center"/>
            <w:hideMark/>
          </w:tcPr>
          <w:p w:rsidR="008A0331" w:rsidRPr="008A0331" w:rsidRDefault="008A0331" w:rsidP="008A0331">
            <w:pPr>
              <w:spacing w:after="0" w:line="240" w:lineRule="auto"/>
              <w:jc w:val="right"/>
              <w:rPr>
                <w:rFonts w:ascii="Times New Roman" w:eastAsia="Times New Roman" w:hAnsi="Times New Roman" w:cs="Times New Roman"/>
                <w:b/>
                <w:color w:val="000000"/>
                <w:sz w:val="20"/>
                <w:szCs w:val="20"/>
              </w:rPr>
            </w:pPr>
            <w:r w:rsidRPr="008A0331">
              <w:rPr>
                <w:rFonts w:ascii="Times New Roman" w:eastAsia="Times New Roman" w:hAnsi="Times New Roman" w:cs="Times New Roman"/>
                <w:b/>
                <w:color w:val="000000"/>
                <w:sz w:val="20"/>
                <w:szCs w:val="20"/>
              </w:rPr>
              <w:t>663</w:t>
            </w:r>
          </w:p>
        </w:tc>
        <w:tc>
          <w:tcPr>
            <w:tcW w:w="709" w:type="dxa"/>
            <w:tcBorders>
              <w:top w:val="nil"/>
              <w:left w:val="nil"/>
              <w:bottom w:val="nil"/>
              <w:right w:val="nil"/>
            </w:tcBorders>
            <w:shd w:val="clear" w:color="auto" w:fill="auto"/>
            <w:noWrap/>
            <w:vAlign w:val="center"/>
            <w:hideMark/>
          </w:tcPr>
          <w:p w:rsidR="008A0331" w:rsidRPr="008A0331" w:rsidRDefault="008A0331" w:rsidP="008A0331">
            <w:pPr>
              <w:spacing w:after="0" w:line="240" w:lineRule="auto"/>
              <w:jc w:val="right"/>
              <w:rPr>
                <w:rFonts w:ascii="Times New Roman" w:eastAsia="Times New Roman" w:hAnsi="Times New Roman" w:cs="Times New Roman"/>
                <w:b/>
                <w:color w:val="000000"/>
                <w:sz w:val="20"/>
                <w:szCs w:val="20"/>
              </w:rPr>
            </w:pPr>
            <w:r w:rsidRPr="008A0331">
              <w:rPr>
                <w:rFonts w:ascii="Times New Roman" w:eastAsia="Times New Roman" w:hAnsi="Times New Roman" w:cs="Times New Roman"/>
                <w:b/>
                <w:color w:val="000000"/>
                <w:sz w:val="20"/>
                <w:szCs w:val="20"/>
              </w:rPr>
              <w:t>1 126</w:t>
            </w:r>
          </w:p>
        </w:tc>
        <w:tc>
          <w:tcPr>
            <w:tcW w:w="709" w:type="dxa"/>
            <w:tcBorders>
              <w:top w:val="nil"/>
              <w:left w:val="nil"/>
              <w:bottom w:val="nil"/>
              <w:right w:val="nil"/>
            </w:tcBorders>
            <w:shd w:val="clear" w:color="auto" w:fill="auto"/>
            <w:noWrap/>
            <w:vAlign w:val="center"/>
            <w:hideMark/>
          </w:tcPr>
          <w:p w:rsidR="008A0331" w:rsidRPr="008A0331" w:rsidRDefault="008A0331" w:rsidP="008A0331">
            <w:pPr>
              <w:spacing w:after="0" w:line="240" w:lineRule="auto"/>
              <w:jc w:val="right"/>
              <w:rPr>
                <w:rFonts w:ascii="Times New Roman" w:eastAsia="Times New Roman" w:hAnsi="Times New Roman" w:cs="Times New Roman"/>
                <w:b/>
                <w:color w:val="000000"/>
                <w:sz w:val="20"/>
                <w:szCs w:val="20"/>
              </w:rPr>
            </w:pPr>
            <w:r w:rsidRPr="008A0331">
              <w:rPr>
                <w:rFonts w:ascii="Times New Roman" w:eastAsia="Times New Roman" w:hAnsi="Times New Roman" w:cs="Times New Roman"/>
                <w:b/>
                <w:color w:val="000000"/>
                <w:sz w:val="20"/>
                <w:szCs w:val="20"/>
              </w:rPr>
              <w:t>955</w:t>
            </w:r>
          </w:p>
        </w:tc>
        <w:tc>
          <w:tcPr>
            <w:tcW w:w="708" w:type="dxa"/>
            <w:tcBorders>
              <w:top w:val="nil"/>
              <w:left w:val="nil"/>
              <w:bottom w:val="nil"/>
              <w:right w:val="nil"/>
            </w:tcBorders>
            <w:shd w:val="clear" w:color="auto" w:fill="auto"/>
            <w:noWrap/>
            <w:vAlign w:val="center"/>
            <w:hideMark/>
          </w:tcPr>
          <w:p w:rsidR="008A0331" w:rsidRPr="008A0331" w:rsidRDefault="008A0331" w:rsidP="008A0331">
            <w:pPr>
              <w:spacing w:after="0" w:line="240" w:lineRule="auto"/>
              <w:jc w:val="right"/>
              <w:rPr>
                <w:rFonts w:ascii="Times New Roman" w:eastAsia="Times New Roman" w:hAnsi="Times New Roman" w:cs="Times New Roman"/>
                <w:b/>
                <w:color w:val="000000"/>
                <w:sz w:val="20"/>
                <w:szCs w:val="20"/>
              </w:rPr>
            </w:pPr>
            <w:r w:rsidRPr="008A0331">
              <w:rPr>
                <w:rFonts w:ascii="Times New Roman" w:eastAsia="Times New Roman" w:hAnsi="Times New Roman" w:cs="Times New Roman"/>
                <w:b/>
                <w:color w:val="000000"/>
                <w:sz w:val="20"/>
                <w:szCs w:val="20"/>
              </w:rPr>
              <w:t>584</w:t>
            </w:r>
          </w:p>
        </w:tc>
        <w:tc>
          <w:tcPr>
            <w:tcW w:w="709" w:type="dxa"/>
            <w:tcBorders>
              <w:top w:val="nil"/>
              <w:left w:val="nil"/>
              <w:bottom w:val="nil"/>
              <w:right w:val="nil"/>
            </w:tcBorders>
            <w:shd w:val="clear" w:color="auto" w:fill="auto"/>
            <w:noWrap/>
            <w:vAlign w:val="center"/>
            <w:hideMark/>
          </w:tcPr>
          <w:p w:rsidR="008A0331" w:rsidRPr="008A0331" w:rsidRDefault="008A0331" w:rsidP="008A0331">
            <w:pPr>
              <w:spacing w:after="0" w:line="240" w:lineRule="auto"/>
              <w:jc w:val="right"/>
              <w:rPr>
                <w:rFonts w:ascii="Times New Roman" w:eastAsia="Times New Roman" w:hAnsi="Times New Roman" w:cs="Times New Roman"/>
                <w:b/>
                <w:color w:val="000000"/>
                <w:sz w:val="20"/>
                <w:szCs w:val="20"/>
              </w:rPr>
            </w:pPr>
            <w:r w:rsidRPr="008A0331">
              <w:rPr>
                <w:rFonts w:ascii="Times New Roman" w:eastAsia="Times New Roman" w:hAnsi="Times New Roman" w:cs="Times New Roman"/>
                <w:b/>
                <w:color w:val="000000"/>
                <w:sz w:val="20"/>
                <w:szCs w:val="20"/>
              </w:rPr>
              <w:t>304</w:t>
            </w:r>
          </w:p>
        </w:tc>
        <w:tc>
          <w:tcPr>
            <w:tcW w:w="709" w:type="dxa"/>
            <w:tcBorders>
              <w:top w:val="nil"/>
              <w:left w:val="nil"/>
              <w:bottom w:val="nil"/>
              <w:right w:val="nil"/>
            </w:tcBorders>
            <w:shd w:val="clear" w:color="auto" w:fill="auto"/>
            <w:noWrap/>
            <w:vAlign w:val="center"/>
            <w:hideMark/>
          </w:tcPr>
          <w:p w:rsidR="008A0331" w:rsidRPr="008A0331" w:rsidRDefault="008A0331" w:rsidP="008A0331">
            <w:pPr>
              <w:spacing w:after="0" w:line="240" w:lineRule="auto"/>
              <w:jc w:val="right"/>
              <w:rPr>
                <w:rFonts w:ascii="Times New Roman" w:eastAsia="Times New Roman" w:hAnsi="Times New Roman" w:cs="Times New Roman"/>
                <w:b/>
                <w:color w:val="000000"/>
                <w:sz w:val="20"/>
                <w:szCs w:val="20"/>
              </w:rPr>
            </w:pPr>
            <w:r w:rsidRPr="008A0331">
              <w:rPr>
                <w:rFonts w:ascii="Times New Roman" w:eastAsia="Times New Roman" w:hAnsi="Times New Roman" w:cs="Times New Roman"/>
                <w:b/>
                <w:color w:val="000000"/>
                <w:sz w:val="20"/>
                <w:szCs w:val="20"/>
              </w:rPr>
              <w:t>465</w:t>
            </w:r>
          </w:p>
        </w:tc>
        <w:tc>
          <w:tcPr>
            <w:tcW w:w="709" w:type="dxa"/>
            <w:tcBorders>
              <w:top w:val="nil"/>
              <w:left w:val="nil"/>
              <w:bottom w:val="nil"/>
              <w:right w:val="nil"/>
            </w:tcBorders>
            <w:shd w:val="clear" w:color="auto" w:fill="auto"/>
            <w:noWrap/>
            <w:vAlign w:val="center"/>
            <w:hideMark/>
          </w:tcPr>
          <w:p w:rsidR="008A0331" w:rsidRPr="008A0331" w:rsidRDefault="008A0331" w:rsidP="008A0331">
            <w:pPr>
              <w:spacing w:after="0" w:line="240" w:lineRule="auto"/>
              <w:jc w:val="right"/>
              <w:rPr>
                <w:rFonts w:ascii="Times New Roman" w:eastAsia="Times New Roman" w:hAnsi="Times New Roman" w:cs="Times New Roman"/>
                <w:b/>
                <w:color w:val="000000"/>
                <w:sz w:val="20"/>
                <w:szCs w:val="20"/>
              </w:rPr>
            </w:pPr>
            <w:r w:rsidRPr="008A0331">
              <w:rPr>
                <w:rFonts w:ascii="Times New Roman" w:eastAsia="Times New Roman" w:hAnsi="Times New Roman" w:cs="Times New Roman"/>
                <w:b/>
                <w:color w:val="000000"/>
                <w:sz w:val="20"/>
                <w:szCs w:val="20"/>
              </w:rPr>
              <w:t>466</w:t>
            </w:r>
          </w:p>
        </w:tc>
      </w:tr>
      <w:tr w:rsidR="008A0331" w:rsidRPr="008A0331" w:rsidTr="008A0331">
        <w:trPr>
          <w:trHeight w:val="525"/>
        </w:trPr>
        <w:tc>
          <w:tcPr>
            <w:tcW w:w="3544" w:type="dxa"/>
            <w:tcBorders>
              <w:top w:val="nil"/>
              <w:left w:val="nil"/>
              <w:bottom w:val="single" w:sz="4" w:space="0" w:color="auto"/>
              <w:right w:val="single" w:sz="4" w:space="0" w:color="auto"/>
            </w:tcBorders>
            <w:shd w:val="clear" w:color="auto" w:fill="F2F2F2" w:themeFill="background1" w:themeFillShade="F2"/>
            <w:vAlign w:val="bottom"/>
            <w:hideMark/>
          </w:tcPr>
          <w:p w:rsidR="008A0331" w:rsidRPr="008A0331" w:rsidRDefault="008A0331" w:rsidP="008A0331">
            <w:pPr>
              <w:spacing w:after="0" w:line="240" w:lineRule="auto"/>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potreba finančných prostriedkov na výstavbu a rekonštrukciu prvovýrobných kapacít  vrátane technológie v tis.  EUR</w:t>
            </w:r>
          </w:p>
        </w:tc>
        <w:tc>
          <w:tcPr>
            <w:tcW w:w="567" w:type="dxa"/>
            <w:tcBorders>
              <w:top w:val="nil"/>
              <w:left w:val="nil"/>
              <w:bottom w:val="single" w:sz="4" w:space="0" w:color="auto"/>
              <w:right w:val="nil"/>
            </w:tcBorders>
            <w:shd w:val="clear" w:color="auto" w:fill="F2F2F2" w:themeFill="background1" w:themeFillShade="F2"/>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nil"/>
            </w:tcBorders>
            <w:shd w:val="clear" w:color="auto" w:fill="F2F2F2" w:themeFill="background1" w:themeFillShade="F2"/>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16 568</w:t>
            </w:r>
          </w:p>
        </w:tc>
        <w:tc>
          <w:tcPr>
            <w:tcW w:w="709" w:type="dxa"/>
            <w:tcBorders>
              <w:top w:val="nil"/>
              <w:left w:val="nil"/>
              <w:bottom w:val="single" w:sz="4" w:space="0" w:color="auto"/>
              <w:right w:val="nil"/>
            </w:tcBorders>
            <w:shd w:val="clear" w:color="auto" w:fill="F2F2F2" w:themeFill="background1" w:themeFillShade="F2"/>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28 162</w:t>
            </w:r>
          </w:p>
        </w:tc>
        <w:tc>
          <w:tcPr>
            <w:tcW w:w="709" w:type="dxa"/>
            <w:tcBorders>
              <w:top w:val="nil"/>
              <w:left w:val="nil"/>
              <w:bottom w:val="single" w:sz="4" w:space="0" w:color="auto"/>
              <w:right w:val="nil"/>
            </w:tcBorders>
            <w:shd w:val="clear" w:color="auto" w:fill="F2F2F2" w:themeFill="background1" w:themeFillShade="F2"/>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23 875</w:t>
            </w:r>
          </w:p>
        </w:tc>
        <w:tc>
          <w:tcPr>
            <w:tcW w:w="708" w:type="dxa"/>
            <w:tcBorders>
              <w:top w:val="nil"/>
              <w:left w:val="nil"/>
              <w:bottom w:val="single" w:sz="4" w:space="0" w:color="auto"/>
              <w:right w:val="nil"/>
            </w:tcBorders>
            <w:shd w:val="clear" w:color="auto" w:fill="F2F2F2" w:themeFill="background1" w:themeFillShade="F2"/>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14 598</w:t>
            </w:r>
          </w:p>
        </w:tc>
        <w:tc>
          <w:tcPr>
            <w:tcW w:w="709" w:type="dxa"/>
            <w:tcBorders>
              <w:top w:val="nil"/>
              <w:left w:val="nil"/>
              <w:bottom w:val="single" w:sz="4" w:space="0" w:color="auto"/>
              <w:right w:val="nil"/>
            </w:tcBorders>
            <w:shd w:val="clear" w:color="auto" w:fill="F2F2F2" w:themeFill="background1" w:themeFillShade="F2"/>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7 591</w:t>
            </w:r>
          </w:p>
        </w:tc>
        <w:tc>
          <w:tcPr>
            <w:tcW w:w="709" w:type="dxa"/>
            <w:tcBorders>
              <w:top w:val="nil"/>
              <w:left w:val="nil"/>
              <w:bottom w:val="single" w:sz="4" w:space="0" w:color="auto"/>
              <w:right w:val="nil"/>
            </w:tcBorders>
            <w:shd w:val="clear" w:color="auto" w:fill="F2F2F2" w:themeFill="background1" w:themeFillShade="F2"/>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11 614</w:t>
            </w:r>
          </w:p>
        </w:tc>
        <w:tc>
          <w:tcPr>
            <w:tcW w:w="709" w:type="dxa"/>
            <w:tcBorders>
              <w:top w:val="nil"/>
              <w:left w:val="nil"/>
              <w:bottom w:val="single" w:sz="4" w:space="0" w:color="auto"/>
              <w:right w:val="nil"/>
            </w:tcBorders>
            <w:shd w:val="clear" w:color="auto" w:fill="F2F2F2" w:themeFill="background1" w:themeFillShade="F2"/>
            <w:noWrap/>
            <w:vAlign w:val="center"/>
            <w:hideMark/>
          </w:tcPr>
          <w:p w:rsidR="008A0331" w:rsidRPr="008A0331" w:rsidRDefault="008A0331" w:rsidP="008A0331">
            <w:pPr>
              <w:spacing w:after="0" w:line="240" w:lineRule="auto"/>
              <w:jc w:val="right"/>
              <w:rPr>
                <w:rFonts w:ascii="Times New Roman" w:eastAsia="Times New Roman" w:hAnsi="Times New Roman" w:cs="Times New Roman"/>
                <w:color w:val="000000"/>
                <w:sz w:val="20"/>
                <w:szCs w:val="20"/>
              </w:rPr>
            </w:pPr>
            <w:r w:rsidRPr="008A0331">
              <w:rPr>
                <w:rFonts w:ascii="Times New Roman" w:eastAsia="Times New Roman" w:hAnsi="Times New Roman" w:cs="Times New Roman"/>
                <w:color w:val="000000"/>
                <w:sz w:val="20"/>
                <w:szCs w:val="20"/>
              </w:rPr>
              <w:t>11 640</w:t>
            </w:r>
          </w:p>
        </w:tc>
      </w:tr>
    </w:tbl>
    <w:p w:rsidR="000479CE" w:rsidRPr="00C431FF" w:rsidRDefault="000479CE" w:rsidP="000479C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odhad MPRV</w:t>
      </w:r>
    </w:p>
    <w:p w:rsidR="000479CE" w:rsidRDefault="000479CE" w:rsidP="0013695C">
      <w:pPr>
        <w:spacing w:after="0" w:line="240" w:lineRule="auto"/>
        <w:jc w:val="both"/>
        <w:rPr>
          <w:rFonts w:ascii="Times New Roman" w:eastAsia="Calibri" w:hAnsi="Times New Roman"/>
          <w:sz w:val="24"/>
          <w:szCs w:val="24"/>
        </w:rPr>
      </w:pPr>
    </w:p>
    <w:p w:rsidR="00083204" w:rsidRDefault="00083204" w:rsidP="0013695C">
      <w:pPr>
        <w:spacing w:after="0" w:line="240" w:lineRule="auto"/>
        <w:jc w:val="both"/>
        <w:rPr>
          <w:rFonts w:ascii="Times New Roman" w:eastAsia="Calibri" w:hAnsi="Times New Roman"/>
          <w:sz w:val="24"/>
          <w:szCs w:val="24"/>
        </w:rPr>
      </w:pPr>
      <w:r>
        <w:rPr>
          <w:rFonts w:ascii="Times New Roman" w:eastAsia="Calibri" w:hAnsi="Times New Roman"/>
          <w:sz w:val="24"/>
          <w:szCs w:val="24"/>
        </w:rPr>
        <w:t>Cielené zvýšenie objemu produkcie ovocia mierneho pásma predpokladá preinvestovanie finančný</w:t>
      </w:r>
      <w:r w:rsidR="00A724CE">
        <w:rPr>
          <w:rFonts w:ascii="Times New Roman" w:eastAsia="Calibri" w:hAnsi="Times New Roman"/>
          <w:sz w:val="24"/>
          <w:szCs w:val="24"/>
        </w:rPr>
        <w:t>ch prostriedkov vo výške 114 048</w:t>
      </w:r>
      <w:r>
        <w:rPr>
          <w:rFonts w:ascii="Times New Roman" w:eastAsia="Calibri" w:hAnsi="Times New Roman"/>
          <w:sz w:val="24"/>
          <w:szCs w:val="24"/>
        </w:rPr>
        <w:t xml:space="preserve"> 000 EUR, čo predstavuje náklady na rekonštrukciu existujúcich produkčných ovocných sadov v rozsahu 4 562 ha vrátane zodpovedajúcej technológie vo výške cca 25 000 EUR na 1 ha. </w:t>
      </w:r>
    </w:p>
    <w:p w:rsidR="008626F5" w:rsidRPr="00F8437D" w:rsidRDefault="008626F5" w:rsidP="0013695C">
      <w:pPr>
        <w:spacing w:after="0" w:line="240" w:lineRule="auto"/>
        <w:jc w:val="both"/>
        <w:rPr>
          <w:rFonts w:ascii="Times New Roman" w:eastAsia="Calibri" w:hAnsi="Times New Roman"/>
          <w:sz w:val="24"/>
          <w:szCs w:val="24"/>
        </w:rPr>
      </w:pPr>
    </w:p>
    <w:p w:rsidR="00B87405" w:rsidRDefault="00083204" w:rsidP="000D68DC">
      <w:pPr>
        <w:pStyle w:val="Nadpis2"/>
        <w:numPr>
          <w:ilvl w:val="1"/>
          <w:numId w:val="8"/>
        </w:numPr>
        <w:rPr>
          <w:rFonts w:eastAsia="Calibri"/>
          <w:szCs w:val="24"/>
        </w:rPr>
      </w:pPr>
      <w:bookmarkStart w:id="74" w:name="_Toc359550695"/>
      <w:r>
        <w:rPr>
          <w:rFonts w:eastAsia="Calibri"/>
          <w:szCs w:val="24"/>
        </w:rPr>
        <w:t>Podpora organizácie v rámci potravinového reťazca a riadenie rizík</w:t>
      </w:r>
      <w:bookmarkEnd w:id="74"/>
    </w:p>
    <w:p w:rsidR="00D8589E" w:rsidRDefault="00D8589E" w:rsidP="00D8589E">
      <w:pPr>
        <w:spacing w:after="0" w:line="240" w:lineRule="auto"/>
        <w:jc w:val="both"/>
        <w:rPr>
          <w:rFonts w:ascii="Times New Roman" w:eastAsia="Calibri" w:hAnsi="Times New Roman"/>
          <w:sz w:val="24"/>
          <w:szCs w:val="24"/>
        </w:rPr>
      </w:pPr>
    </w:p>
    <w:p w:rsidR="00BE2683" w:rsidRDefault="00BE2683" w:rsidP="00BE2683">
      <w:pPr>
        <w:spacing w:after="0" w:line="240" w:lineRule="auto"/>
        <w:jc w:val="both"/>
        <w:rPr>
          <w:rFonts w:ascii="Times New Roman" w:eastAsia="Calibri" w:hAnsi="Times New Roman"/>
          <w:sz w:val="24"/>
          <w:szCs w:val="24"/>
        </w:rPr>
      </w:pPr>
      <w:r>
        <w:rPr>
          <w:rFonts w:ascii="Times New Roman" w:eastAsia="Calibri" w:hAnsi="Times New Roman"/>
          <w:sz w:val="24"/>
          <w:szCs w:val="24"/>
        </w:rPr>
        <w:t>V záujme podporiť organizácie v rámci potravinového reťazca je kladený hlavný dôraz na integráciu poľnohospodárskych prvovýrobcov do potravin</w:t>
      </w:r>
      <w:r w:rsidR="003F1577">
        <w:rPr>
          <w:rFonts w:ascii="Times New Roman" w:eastAsia="Calibri" w:hAnsi="Times New Roman"/>
          <w:sz w:val="24"/>
          <w:szCs w:val="24"/>
        </w:rPr>
        <w:t>ového reťazca</w:t>
      </w:r>
      <w:r>
        <w:rPr>
          <w:rFonts w:ascii="Times New Roman" w:eastAsia="Calibri" w:hAnsi="Times New Roman"/>
          <w:sz w:val="24"/>
          <w:szCs w:val="24"/>
        </w:rPr>
        <w:t xml:space="preserve">. </w:t>
      </w:r>
      <w:r w:rsidR="00DF19D8">
        <w:rPr>
          <w:rFonts w:ascii="Times New Roman" w:eastAsia="Calibri" w:hAnsi="Times New Roman"/>
          <w:sz w:val="24"/>
          <w:szCs w:val="24"/>
        </w:rPr>
        <w:t>Taktiež je dôležité podporovať vertikálnu a horizontálnu spoluprácu medzi aktérmi dodávateľského reťazca.</w:t>
      </w:r>
      <w:r w:rsidR="009F619D">
        <w:rPr>
          <w:rFonts w:ascii="Times New Roman" w:eastAsia="Calibri" w:hAnsi="Times New Roman"/>
          <w:sz w:val="24"/>
          <w:szCs w:val="24"/>
        </w:rPr>
        <w:t xml:space="preserve"> Podpora organizácie potravinového reťazca je potrebná predovšetkým z hľadiska vytvorenia predpokladov na zvyšovanie možností odbytu prvovýrobnej produkcie a produkcie spracovateľov na domácom trhu. V tomto zmysle je efektívne aby sa podpora organizácie potravinového reťazca realizovala v dvoch krokoch. Prvým krokom je integrácia prvovýrobcov do spracovania ich produkcie</w:t>
      </w:r>
      <w:r w:rsidR="00E762C3">
        <w:rPr>
          <w:rFonts w:ascii="Times New Roman" w:eastAsia="Calibri" w:hAnsi="Times New Roman"/>
          <w:sz w:val="24"/>
          <w:szCs w:val="24"/>
        </w:rPr>
        <w:t xml:space="preserve"> využitím opatrení popísaných v predchádzajúcej podkapitole, a to za podmienok priemerných výkupných cien zohľadňujúcich vlastné náklady na jednotku prvovýrobnej produkcie a aspoň  minimálnu úroveň ziskovosti. D</w:t>
      </w:r>
      <w:r w:rsidR="009F619D">
        <w:rPr>
          <w:rFonts w:ascii="Times New Roman" w:eastAsia="Calibri" w:hAnsi="Times New Roman"/>
          <w:sz w:val="24"/>
          <w:szCs w:val="24"/>
        </w:rPr>
        <w:t xml:space="preserve">ruhým krokom je výrazné zlepšenie </w:t>
      </w:r>
      <w:r w:rsidR="00E762C3">
        <w:rPr>
          <w:rFonts w:ascii="Times New Roman" w:eastAsia="Calibri" w:hAnsi="Times New Roman"/>
          <w:sz w:val="24"/>
          <w:szCs w:val="24"/>
        </w:rPr>
        <w:t>vyjednávacej pozície</w:t>
      </w:r>
      <w:r w:rsidR="009F619D">
        <w:rPr>
          <w:rFonts w:ascii="Times New Roman" w:eastAsia="Calibri" w:hAnsi="Times New Roman"/>
          <w:sz w:val="24"/>
          <w:szCs w:val="24"/>
        </w:rPr>
        <w:t xml:space="preserve"> </w:t>
      </w:r>
      <w:r w:rsidR="00E762C3">
        <w:rPr>
          <w:rFonts w:ascii="Times New Roman" w:eastAsia="Calibri" w:hAnsi="Times New Roman"/>
          <w:sz w:val="24"/>
          <w:szCs w:val="24"/>
        </w:rPr>
        <w:t xml:space="preserve">prvovýrobcov a spracovateľov voči tretiemu článku potravinovej vertikály. </w:t>
      </w:r>
      <w:r w:rsidR="00DF19D8">
        <w:rPr>
          <w:rFonts w:ascii="Times New Roman" w:eastAsia="Calibri" w:hAnsi="Times New Roman"/>
          <w:sz w:val="24"/>
          <w:szCs w:val="24"/>
        </w:rPr>
        <w:t xml:space="preserve"> </w:t>
      </w:r>
    </w:p>
    <w:p w:rsidR="00E762C3" w:rsidRDefault="00E762C3" w:rsidP="00BE2683">
      <w:pPr>
        <w:spacing w:after="0" w:line="240" w:lineRule="auto"/>
        <w:jc w:val="both"/>
        <w:rPr>
          <w:rFonts w:ascii="Times New Roman" w:eastAsia="Calibri" w:hAnsi="Times New Roman"/>
          <w:sz w:val="24"/>
          <w:szCs w:val="24"/>
        </w:rPr>
      </w:pPr>
    </w:p>
    <w:p w:rsidR="00E762C3" w:rsidRDefault="00E762C3" w:rsidP="00E762C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Opatrenia na dosiahnutie priemerných výkupných cien na úrovni vlastných nákladov prvovýrobnej produkcie sú samé o sebe </w:t>
      </w:r>
      <w:r w:rsidR="00E80D96">
        <w:rPr>
          <w:rFonts w:ascii="Times New Roman" w:eastAsia="Calibri" w:hAnsi="Times New Roman"/>
          <w:sz w:val="24"/>
          <w:szCs w:val="24"/>
        </w:rPr>
        <w:t xml:space="preserve">ťažko </w:t>
      </w:r>
      <w:r>
        <w:rPr>
          <w:rFonts w:ascii="Times New Roman" w:eastAsia="Calibri" w:hAnsi="Times New Roman"/>
          <w:sz w:val="24"/>
          <w:szCs w:val="24"/>
        </w:rPr>
        <w:t>aplikovateľné, nakoľko zo strany štátu existujú len veľmi obmedzené nástroje ovplyvňovať cenotvorbu na voľnom trhu a tak vstupovať do obchodných vzťahov medzi jednotlivými článkami potravinovej vertikály. Je však možné dosiahnuť celkový výnos z realizovania prvovýrobnej pr</w:t>
      </w:r>
      <w:r w:rsidR="00E80D96">
        <w:rPr>
          <w:rFonts w:ascii="Times New Roman" w:eastAsia="Calibri" w:hAnsi="Times New Roman"/>
          <w:sz w:val="24"/>
          <w:szCs w:val="24"/>
        </w:rPr>
        <w:t>odukcie na trhu na úrovni, ktorá, vrátane obvyklých podpôr,</w:t>
      </w:r>
      <w:r>
        <w:rPr>
          <w:rFonts w:ascii="Times New Roman" w:eastAsia="Calibri" w:hAnsi="Times New Roman"/>
          <w:sz w:val="24"/>
          <w:szCs w:val="24"/>
        </w:rPr>
        <w:t xml:space="preserve"> pokrýva náklady prvovýrobnej produkcie. </w:t>
      </w:r>
    </w:p>
    <w:p w:rsidR="00E80D96" w:rsidRDefault="00E80D96" w:rsidP="00E762C3">
      <w:pPr>
        <w:spacing w:after="0" w:line="240" w:lineRule="auto"/>
        <w:jc w:val="both"/>
        <w:rPr>
          <w:rFonts w:ascii="Times New Roman" w:eastAsia="Calibri" w:hAnsi="Times New Roman"/>
          <w:sz w:val="24"/>
          <w:szCs w:val="24"/>
        </w:rPr>
      </w:pPr>
    </w:p>
    <w:p w:rsidR="004D6C7B" w:rsidRPr="004D6C7B" w:rsidRDefault="00E762C3" w:rsidP="004D6C7B">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Základným predpokladom dosiahnutia požadovanej úrovne celkového výnosu z realizácie prvovýrobnej produkcie na trhu je zakladanie odbytových družstiev. Táto forma združovania prvovýrobcov korešponduje aj s princípmi spoločnej poľnohospodárskej politiky, ktorá v rámci programu rozvoja vidieka na nové programové obdobie 2014 </w:t>
      </w:r>
      <w:r w:rsidR="004D6C7B">
        <w:rPr>
          <w:rFonts w:ascii="Times New Roman" w:eastAsia="Calibri" w:hAnsi="Times New Roman"/>
          <w:sz w:val="24"/>
          <w:szCs w:val="24"/>
        </w:rPr>
        <w:t xml:space="preserve">– </w:t>
      </w:r>
      <w:r>
        <w:rPr>
          <w:rFonts w:ascii="Times New Roman" w:eastAsia="Calibri" w:hAnsi="Times New Roman"/>
          <w:sz w:val="24"/>
          <w:szCs w:val="24"/>
        </w:rPr>
        <w:t xml:space="preserve">2020 ako jednu zo svojich priorít vníma zakladanie skupín výrobcov, t.j. odbytové družstvá. </w:t>
      </w:r>
      <w:r w:rsidR="004D6C7B">
        <w:rPr>
          <w:rFonts w:ascii="Times New Roman" w:eastAsia="Calibri" w:hAnsi="Times New Roman"/>
          <w:sz w:val="24"/>
          <w:szCs w:val="24"/>
        </w:rPr>
        <w:t xml:space="preserve">V rámci PRV na </w:t>
      </w:r>
      <w:r w:rsidR="004D6C7B">
        <w:rPr>
          <w:rFonts w:ascii="Times New Roman" w:eastAsia="Calibri" w:hAnsi="Times New Roman"/>
          <w:sz w:val="24"/>
          <w:szCs w:val="24"/>
        </w:rPr>
        <w:lastRenderedPageBreak/>
        <w:t xml:space="preserve">roky 2014 – 2020 sa </w:t>
      </w:r>
      <w:r w:rsidR="004D6C7B" w:rsidRPr="004D6C7B">
        <w:rPr>
          <w:rFonts w:ascii="TimesNewRoman" w:hAnsi="TimesNewRoman" w:cs="TimesNewRoman"/>
          <w:sz w:val="24"/>
          <w:szCs w:val="24"/>
        </w:rPr>
        <w:t xml:space="preserve">podpora </w:t>
      </w:r>
      <w:r w:rsidR="004D6C7B">
        <w:rPr>
          <w:rFonts w:ascii="TimesNewRoman" w:hAnsi="TimesNewRoman" w:cs="TimesNewRoman"/>
          <w:sz w:val="24"/>
          <w:szCs w:val="24"/>
        </w:rPr>
        <w:t>vníma ako prostriedok na</w:t>
      </w:r>
      <w:r w:rsidR="004D6C7B" w:rsidRPr="004D6C7B">
        <w:rPr>
          <w:rFonts w:ascii="TimesNewRoman" w:hAnsi="TimesNewRoman" w:cs="TimesNewRoman"/>
          <w:sz w:val="24"/>
          <w:szCs w:val="24"/>
        </w:rPr>
        <w:t xml:space="preserve"> uľ</w:t>
      </w:r>
      <w:r w:rsidR="004D6C7B">
        <w:rPr>
          <w:rFonts w:ascii="TimesNewRoman" w:hAnsi="TimesNewRoman" w:cs="TimesNewRoman"/>
          <w:sz w:val="24"/>
          <w:szCs w:val="24"/>
        </w:rPr>
        <w:t>ahčenie</w:t>
      </w:r>
      <w:r w:rsidR="004D6C7B" w:rsidRPr="004D6C7B">
        <w:rPr>
          <w:rFonts w:ascii="TimesNewRoman" w:hAnsi="TimesNewRoman" w:cs="TimesNewRoman"/>
          <w:sz w:val="24"/>
          <w:szCs w:val="24"/>
        </w:rPr>
        <w:t xml:space="preserve"> zakladanie skupín výrobcov v sektoroch poľnohospodárstva a lesného hospodárstva na účely:</w:t>
      </w:r>
    </w:p>
    <w:p w:rsidR="004D6C7B" w:rsidRPr="004D6C7B" w:rsidRDefault="004D6C7B" w:rsidP="00C8344F">
      <w:pPr>
        <w:pStyle w:val="Odsekzoznamu"/>
        <w:numPr>
          <w:ilvl w:val="0"/>
          <w:numId w:val="23"/>
        </w:numPr>
        <w:spacing w:after="0" w:line="240" w:lineRule="auto"/>
        <w:jc w:val="both"/>
        <w:rPr>
          <w:rFonts w:ascii="Times New Roman" w:eastAsia="Calibri" w:hAnsi="Times New Roman"/>
          <w:sz w:val="24"/>
          <w:szCs w:val="24"/>
        </w:rPr>
      </w:pPr>
      <w:r w:rsidRPr="004D6C7B">
        <w:rPr>
          <w:rFonts w:ascii="Times New Roman" w:eastAsia="Calibri" w:hAnsi="Times New Roman"/>
          <w:sz w:val="24"/>
          <w:szCs w:val="24"/>
        </w:rPr>
        <w:t>prispôsobenia produkcie a objemu produkcie výrobcov, ktorí sú členmi takýchto organizácií, trhovým požiadavkám;</w:t>
      </w:r>
    </w:p>
    <w:p w:rsidR="004D6C7B" w:rsidRPr="004D6C7B" w:rsidRDefault="004D6C7B" w:rsidP="00C8344F">
      <w:pPr>
        <w:pStyle w:val="Odsekzoznamu"/>
        <w:numPr>
          <w:ilvl w:val="0"/>
          <w:numId w:val="23"/>
        </w:numPr>
        <w:spacing w:after="0" w:line="240" w:lineRule="auto"/>
        <w:jc w:val="both"/>
        <w:rPr>
          <w:rFonts w:ascii="Times New Roman" w:eastAsia="Calibri" w:hAnsi="Times New Roman"/>
          <w:sz w:val="24"/>
          <w:szCs w:val="24"/>
        </w:rPr>
      </w:pPr>
      <w:r w:rsidRPr="004D6C7B">
        <w:rPr>
          <w:rFonts w:ascii="Times New Roman" w:eastAsia="Calibri" w:hAnsi="Times New Roman"/>
          <w:sz w:val="24"/>
          <w:szCs w:val="24"/>
        </w:rPr>
        <w:t>spoločného umiestňovania tovaru na trh vrátane prípravy na predaj,</w:t>
      </w:r>
      <w:r>
        <w:rPr>
          <w:rFonts w:ascii="Times New Roman" w:eastAsia="Calibri" w:hAnsi="Times New Roman"/>
          <w:sz w:val="24"/>
          <w:szCs w:val="24"/>
        </w:rPr>
        <w:t xml:space="preserve"> </w:t>
      </w:r>
      <w:r w:rsidRPr="004D6C7B">
        <w:rPr>
          <w:rFonts w:ascii="Times New Roman" w:eastAsia="Calibri" w:hAnsi="Times New Roman"/>
          <w:sz w:val="24"/>
          <w:szCs w:val="24"/>
        </w:rPr>
        <w:t>centralizácie predaja a dodávok pre veľkoodberateľov,</w:t>
      </w:r>
    </w:p>
    <w:p w:rsidR="004D6C7B" w:rsidRDefault="004D6C7B" w:rsidP="00C8344F">
      <w:pPr>
        <w:pStyle w:val="Odsekzoznamu"/>
        <w:numPr>
          <w:ilvl w:val="0"/>
          <w:numId w:val="23"/>
        </w:numPr>
        <w:spacing w:after="0" w:line="240" w:lineRule="auto"/>
        <w:jc w:val="both"/>
        <w:rPr>
          <w:rFonts w:ascii="Times New Roman" w:eastAsia="Calibri" w:hAnsi="Times New Roman"/>
          <w:sz w:val="24"/>
          <w:szCs w:val="24"/>
        </w:rPr>
      </w:pPr>
      <w:r w:rsidRPr="004D6C7B">
        <w:rPr>
          <w:rFonts w:ascii="Times New Roman" w:eastAsia="Calibri" w:hAnsi="Times New Roman"/>
          <w:sz w:val="24"/>
          <w:szCs w:val="24"/>
        </w:rPr>
        <w:t>vytvorenia spoločných pravidiel pre informácie o produkcii, najmä o zbere úrody a dostupnosti spoločného umiestňovania tovaru na trh</w:t>
      </w:r>
      <w:r>
        <w:rPr>
          <w:rFonts w:ascii="Times New Roman" w:eastAsia="Calibri" w:hAnsi="Times New Roman"/>
          <w:sz w:val="24"/>
          <w:szCs w:val="24"/>
        </w:rPr>
        <w:t>; a</w:t>
      </w:r>
    </w:p>
    <w:p w:rsidR="004D6C7B" w:rsidRPr="004D6C7B" w:rsidRDefault="004D6C7B" w:rsidP="00C8344F">
      <w:pPr>
        <w:pStyle w:val="Odsekzoznamu"/>
        <w:numPr>
          <w:ilvl w:val="0"/>
          <w:numId w:val="23"/>
        </w:numPr>
        <w:spacing w:after="0" w:line="240" w:lineRule="auto"/>
        <w:jc w:val="both"/>
        <w:rPr>
          <w:rFonts w:ascii="Times New Roman" w:eastAsia="Calibri" w:hAnsi="Times New Roman"/>
          <w:sz w:val="24"/>
          <w:szCs w:val="24"/>
        </w:rPr>
      </w:pPr>
      <w:r w:rsidRPr="004D6C7B">
        <w:rPr>
          <w:rFonts w:ascii="Times New Roman" w:eastAsia="Calibri" w:hAnsi="Times New Roman"/>
          <w:sz w:val="24"/>
          <w:szCs w:val="24"/>
        </w:rPr>
        <w:t>iných činností, ktoré môžu vykonávať skupiny výrobcov, napríklad rozvoj obchodných a marketingových zručností a organizácia a uľahčovanie inovačných procesov.</w:t>
      </w:r>
    </w:p>
    <w:p w:rsidR="004D6C7B" w:rsidRDefault="004D6C7B" w:rsidP="004D6C7B">
      <w:pPr>
        <w:autoSpaceDE w:val="0"/>
        <w:autoSpaceDN w:val="0"/>
        <w:adjustRightInd w:val="0"/>
        <w:spacing w:after="0" w:line="240" w:lineRule="auto"/>
        <w:jc w:val="both"/>
        <w:rPr>
          <w:rFonts w:ascii="TimesNewRoman" w:hAnsi="TimesNewRoman" w:cs="TimesNewRoman"/>
          <w:sz w:val="24"/>
          <w:szCs w:val="24"/>
        </w:rPr>
      </w:pPr>
    </w:p>
    <w:p w:rsidR="004D6C7B" w:rsidRPr="004D6C7B" w:rsidRDefault="004D6C7B" w:rsidP="004D6C7B">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P</w:t>
      </w:r>
      <w:r w:rsidRPr="004D6C7B">
        <w:rPr>
          <w:rFonts w:ascii="TimesNewRoman" w:hAnsi="TimesNewRoman" w:cs="TimesNewRoman"/>
          <w:sz w:val="24"/>
          <w:szCs w:val="24"/>
        </w:rPr>
        <w:t>odpora sa poskytuje ako paušálna pomoc v ročných splátkach počas prvých</w:t>
      </w:r>
      <w:r>
        <w:rPr>
          <w:rFonts w:ascii="TimesNewRoman" w:hAnsi="TimesNewRoman" w:cs="TimesNewRoman"/>
          <w:sz w:val="24"/>
          <w:szCs w:val="24"/>
        </w:rPr>
        <w:t xml:space="preserve"> </w:t>
      </w:r>
      <w:r w:rsidRPr="004D6C7B">
        <w:rPr>
          <w:rFonts w:ascii="TimesNewRoman" w:hAnsi="TimesNewRoman" w:cs="TimesNewRoman"/>
          <w:sz w:val="24"/>
          <w:szCs w:val="24"/>
        </w:rPr>
        <w:t>piatich rokov odo dňa, keď bola skupina výrobcov uznaná, a to nasledovne</w:t>
      </w:r>
      <w:r>
        <w:rPr>
          <w:rFonts w:ascii="TimesNewRoman" w:hAnsi="TimesNewRoman" w:cs="TimesNewRoman"/>
          <w:sz w:val="24"/>
          <w:szCs w:val="24"/>
        </w:rPr>
        <w:t xml:space="preserve"> (najviac však do 100 000 EUR za 1 rok pre 1 odbytové družstvo)</w:t>
      </w:r>
      <w:r w:rsidRPr="004D6C7B">
        <w:rPr>
          <w:rFonts w:ascii="TimesNewRoman" w:hAnsi="TimesNewRoman" w:cs="TimesNewRoman"/>
          <w:sz w:val="24"/>
          <w:szCs w:val="24"/>
        </w:rPr>
        <w:t>:</w:t>
      </w:r>
    </w:p>
    <w:p w:rsidR="004D6C7B" w:rsidRDefault="004D6C7B" w:rsidP="004D6C7B">
      <w:pPr>
        <w:autoSpaceDE w:val="0"/>
        <w:autoSpaceDN w:val="0"/>
        <w:adjustRightInd w:val="0"/>
        <w:spacing w:after="0" w:line="240" w:lineRule="auto"/>
        <w:jc w:val="both"/>
        <w:rPr>
          <w:rFonts w:ascii="TimesNewRoman" w:hAnsi="TimesNewRoman" w:cs="TimesNewRoman"/>
          <w:sz w:val="24"/>
          <w:szCs w:val="24"/>
        </w:rPr>
      </w:pPr>
    </w:p>
    <w:p w:rsidR="004D6C7B" w:rsidRPr="004D6C7B" w:rsidRDefault="004D6C7B" w:rsidP="004D6C7B">
      <w:pPr>
        <w:autoSpaceDE w:val="0"/>
        <w:autoSpaceDN w:val="0"/>
        <w:adjustRightInd w:val="0"/>
        <w:spacing w:after="0" w:line="240" w:lineRule="auto"/>
        <w:ind w:left="993"/>
        <w:jc w:val="both"/>
        <w:rPr>
          <w:rFonts w:ascii="TimesNewRoman" w:hAnsi="TimesNewRoman" w:cs="TimesNewRoman"/>
          <w:b/>
          <w:sz w:val="24"/>
          <w:szCs w:val="24"/>
        </w:rPr>
      </w:pPr>
      <w:r w:rsidRPr="004D6C7B">
        <w:rPr>
          <w:rFonts w:ascii="TimesNewRoman" w:hAnsi="TimesNewRoman" w:cs="TimesNewRoman"/>
          <w:b/>
          <w:sz w:val="24"/>
          <w:szCs w:val="24"/>
        </w:rPr>
        <w:t>produkcia do 1 000 000EUR</w:t>
      </w:r>
    </w:p>
    <w:tbl>
      <w:tblPr>
        <w:tblStyle w:val="Mriekatabuky"/>
        <w:tblW w:w="7938" w:type="dxa"/>
        <w:tblInd w:w="1101" w:type="dxa"/>
        <w:tblLook w:val="04A0" w:firstRow="1" w:lastRow="0" w:firstColumn="1" w:lastColumn="0" w:noHBand="0" w:noVBand="1"/>
      </w:tblPr>
      <w:tblGrid>
        <w:gridCol w:w="1951"/>
        <w:gridCol w:w="5987"/>
      </w:tblGrid>
      <w:tr w:rsidR="004D6C7B" w:rsidTr="00AA5B74">
        <w:tc>
          <w:tcPr>
            <w:tcW w:w="1951" w:type="dxa"/>
          </w:tcPr>
          <w:p w:rsidR="004D6C7B" w:rsidRPr="00305695" w:rsidRDefault="004D6C7B" w:rsidP="00C8344F">
            <w:pPr>
              <w:pStyle w:val="Odsekzoznamu"/>
              <w:numPr>
                <w:ilvl w:val="0"/>
                <w:numId w:val="30"/>
              </w:num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rok</w:t>
            </w:r>
          </w:p>
        </w:tc>
        <w:tc>
          <w:tcPr>
            <w:tcW w:w="5987" w:type="dxa"/>
          </w:tcPr>
          <w:p w:rsidR="004D6C7B" w:rsidRDefault="004D6C7B" w:rsidP="00AA5B74">
            <w:pPr>
              <w:autoSpaceDE w:val="0"/>
              <w:autoSpaceDN w:val="0"/>
              <w:adjustRightInd w:val="0"/>
              <w:rPr>
                <w:rFonts w:ascii="TimesNewRoman" w:hAnsi="TimesNewRoman" w:cs="TimesNewRoman"/>
                <w:sz w:val="24"/>
                <w:szCs w:val="24"/>
              </w:rPr>
            </w:pPr>
            <w:r>
              <w:rPr>
                <w:rFonts w:ascii="TimesNewRoman" w:hAnsi="TimesNewRoman" w:cs="TimesNewRoman"/>
                <w:sz w:val="24"/>
                <w:szCs w:val="24"/>
              </w:rPr>
              <w:t>10 % z priemernej ročnej hodnoty produkcie uvedenej na trh jej členmi za tri roky predtým, ako vstúpili do skupiny</w:t>
            </w:r>
          </w:p>
        </w:tc>
      </w:tr>
      <w:tr w:rsidR="004D6C7B" w:rsidTr="00AA5B74">
        <w:tc>
          <w:tcPr>
            <w:tcW w:w="1951" w:type="dxa"/>
          </w:tcPr>
          <w:p w:rsidR="004D6C7B" w:rsidRPr="00305695" w:rsidRDefault="004D6C7B" w:rsidP="00C8344F">
            <w:pPr>
              <w:pStyle w:val="Odsekzoznamu"/>
              <w:numPr>
                <w:ilvl w:val="0"/>
                <w:numId w:val="30"/>
              </w:num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rok</w:t>
            </w:r>
          </w:p>
        </w:tc>
        <w:tc>
          <w:tcPr>
            <w:tcW w:w="5987" w:type="dxa"/>
          </w:tcPr>
          <w:p w:rsidR="004D6C7B" w:rsidRDefault="004D6C7B" w:rsidP="00AA5B7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10 % z ročnej produkcie združenia za 1. rok fungovania</w:t>
            </w:r>
          </w:p>
        </w:tc>
      </w:tr>
      <w:tr w:rsidR="004D6C7B" w:rsidTr="00AA5B74">
        <w:tc>
          <w:tcPr>
            <w:tcW w:w="1951" w:type="dxa"/>
          </w:tcPr>
          <w:p w:rsidR="004D6C7B" w:rsidRPr="00305695" w:rsidRDefault="004D6C7B" w:rsidP="00C8344F">
            <w:pPr>
              <w:pStyle w:val="Odsekzoznamu"/>
              <w:numPr>
                <w:ilvl w:val="0"/>
                <w:numId w:val="30"/>
              </w:num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rok</w:t>
            </w:r>
          </w:p>
        </w:tc>
        <w:tc>
          <w:tcPr>
            <w:tcW w:w="5987" w:type="dxa"/>
          </w:tcPr>
          <w:p w:rsidR="004D6C7B" w:rsidRDefault="004D6C7B" w:rsidP="00AA5B7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8 % z ročnej produkcie združenia za 2. rok fungovania</w:t>
            </w:r>
          </w:p>
        </w:tc>
      </w:tr>
      <w:tr w:rsidR="004D6C7B" w:rsidTr="00AA5B74">
        <w:tc>
          <w:tcPr>
            <w:tcW w:w="1951" w:type="dxa"/>
          </w:tcPr>
          <w:p w:rsidR="004D6C7B" w:rsidRDefault="004D6C7B" w:rsidP="00C8344F">
            <w:pPr>
              <w:pStyle w:val="Odsekzoznamu"/>
              <w:numPr>
                <w:ilvl w:val="0"/>
                <w:numId w:val="30"/>
              </w:num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rok</w:t>
            </w:r>
          </w:p>
        </w:tc>
        <w:tc>
          <w:tcPr>
            <w:tcW w:w="5987" w:type="dxa"/>
          </w:tcPr>
          <w:p w:rsidR="004D6C7B" w:rsidRDefault="004D6C7B" w:rsidP="00AA5B7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6 % z ročnej produkcie združenia za 3. rok fungovania</w:t>
            </w:r>
          </w:p>
        </w:tc>
      </w:tr>
      <w:tr w:rsidR="004D6C7B" w:rsidTr="00AA5B74">
        <w:tc>
          <w:tcPr>
            <w:tcW w:w="1951" w:type="dxa"/>
          </w:tcPr>
          <w:p w:rsidR="004D6C7B" w:rsidRDefault="004D6C7B" w:rsidP="00C8344F">
            <w:pPr>
              <w:pStyle w:val="Odsekzoznamu"/>
              <w:numPr>
                <w:ilvl w:val="0"/>
                <w:numId w:val="30"/>
              </w:num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rok</w:t>
            </w:r>
          </w:p>
        </w:tc>
        <w:tc>
          <w:tcPr>
            <w:tcW w:w="5987" w:type="dxa"/>
          </w:tcPr>
          <w:p w:rsidR="004D6C7B" w:rsidRDefault="004D6C7B" w:rsidP="00AA5B7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4 % z ročnej produkcie združenia za 4. rok fungovania</w:t>
            </w:r>
          </w:p>
        </w:tc>
      </w:tr>
    </w:tbl>
    <w:p w:rsidR="004D6C7B" w:rsidRDefault="004D6C7B" w:rsidP="004D6C7B">
      <w:pPr>
        <w:spacing w:after="0" w:line="240" w:lineRule="auto"/>
        <w:jc w:val="both"/>
        <w:rPr>
          <w:rFonts w:ascii="Times New Roman" w:hAnsi="Times New Roman" w:cs="Times New Roman"/>
          <w:sz w:val="24"/>
          <w:szCs w:val="24"/>
        </w:rPr>
      </w:pPr>
    </w:p>
    <w:p w:rsidR="004D6C7B" w:rsidRPr="004D6C7B" w:rsidRDefault="004D6C7B" w:rsidP="004D6C7B">
      <w:pPr>
        <w:autoSpaceDE w:val="0"/>
        <w:autoSpaceDN w:val="0"/>
        <w:adjustRightInd w:val="0"/>
        <w:spacing w:after="0" w:line="240" w:lineRule="auto"/>
        <w:ind w:left="993"/>
        <w:jc w:val="both"/>
        <w:rPr>
          <w:rFonts w:ascii="TimesNewRoman" w:hAnsi="TimesNewRoman" w:cs="TimesNewRoman"/>
          <w:b/>
          <w:sz w:val="24"/>
          <w:szCs w:val="24"/>
        </w:rPr>
      </w:pPr>
      <w:r w:rsidRPr="004D6C7B">
        <w:rPr>
          <w:rFonts w:ascii="TimesNewRoman" w:hAnsi="TimesNewRoman" w:cs="TimesNewRoman"/>
          <w:b/>
          <w:sz w:val="24"/>
          <w:szCs w:val="24"/>
        </w:rPr>
        <w:t>produkcia nad 1 000 000EUR</w:t>
      </w:r>
    </w:p>
    <w:tbl>
      <w:tblPr>
        <w:tblStyle w:val="Mriekatabuky"/>
        <w:tblW w:w="7938" w:type="dxa"/>
        <w:tblInd w:w="1101" w:type="dxa"/>
        <w:tblLook w:val="04A0" w:firstRow="1" w:lastRow="0" w:firstColumn="1" w:lastColumn="0" w:noHBand="0" w:noVBand="1"/>
      </w:tblPr>
      <w:tblGrid>
        <w:gridCol w:w="1951"/>
        <w:gridCol w:w="5987"/>
      </w:tblGrid>
      <w:tr w:rsidR="004D6C7B" w:rsidTr="00AA5B74">
        <w:tc>
          <w:tcPr>
            <w:tcW w:w="1951" w:type="dxa"/>
          </w:tcPr>
          <w:p w:rsidR="004D6C7B" w:rsidRPr="00305695" w:rsidRDefault="004D6C7B" w:rsidP="00C8344F">
            <w:pPr>
              <w:pStyle w:val="Odsekzoznamu"/>
              <w:numPr>
                <w:ilvl w:val="0"/>
                <w:numId w:val="31"/>
              </w:num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rok</w:t>
            </w:r>
          </w:p>
        </w:tc>
        <w:tc>
          <w:tcPr>
            <w:tcW w:w="5987" w:type="dxa"/>
          </w:tcPr>
          <w:p w:rsidR="004D6C7B" w:rsidRDefault="004D6C7B" w:rsidP="00AA5B74">
            <w:pPr>
              <w:autoSpaceDE w:val="0"/>
              <w:autoSpaceDN w:val="0"/>
              <w:adjustRightInd w:val="0"/>
              <w:rPr>
                <w:rFonts w:ascii="TimesNewRoman" w:hAnsi="TimesNewRoman" w:cs="TimesNewRoman"/>
                <w:sz w:val="24"/>
                <w:szCs w:val="24"/>
              </w:rPr>
            </w:pPr>
            <w:r>
              <w:rPr>
                <w:rFonts w:ascii="TimesNewRoman" w:hAnsi="TimesNewRoman" w:cs="TimesNewRoman"/>
                <w:sz w:val="24"/>
                <w:szCs w:val="24"/>
              </w:rPr>
              <w:t>5 % z priemernej ročnej hodnoty produkcie uvedenej na trh jej členmi za tri roky predtým, ako vstúpili do skupiny</w:t>
            </w:r>
          </w:p>
        </w:tc>
      </w:tr>
      <w:tr w:rsidR="004D6C7B" w:rsidTr="00AA5B74">
        <w:tc>
          <w:tcPr>
            <w:tcW w:w="1951" w:type="dxa"/>
          </w:tcPr>
          <w:p w:rsidR="004D6C7B" w:rsidRPr="00305695" w:rsidRDefault="004D6C7B" w:rsidP="00C8344F">
            <w:pPr>
              <w:pStyle w:val="Odsekzoznamu"/>
              <w:numPr>
                <w:ilvl w:val="0"/>
                <w:numId w:val="31"/>
              </w:num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rok</w:t>
            </w:r>
          </w:p>
        </w:tc>
        <w:tc>
          <w:tcPr>
            <w:tcW w:w="5987" w:type="dxa"/>
          </w:tcPr>
          <w:p w:rsidR="004D6C7B" w:rsidRDefault="004D6C7B" w:rsidP="00AA5B7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5 % z ročnej produkcie združenia za 1. rok fungovania</w:t>
            </w:r>
          </w:p>
        </w:tc>
      </w:tr>
      <w:tr w:rsidR="004D6C7B" w:rsidTr="00AA5B74">
        <w:tc>
          <w:tcPr>
            <w:tcW w:w="1951" w:type="dxa"/>
          </w:tcPr>
          <w:p w:rsidR="004D6C7B" w:rsidRPr="00305695" w:rsidRDefault="004D6C7B" w:rsidP="00C8344F">
            <w:pPr>
              <w:pStyle w:val="Odsekzoznamu"/>
              <w:numPr>
                <w:ilvl w:val="0"/>
                <w:numId w:val="31"/>
              </w:num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rok</w:t>
            </w:r>
          </w:p>
        </w:tc>
        <w:tc>
          <w:tcPr>
            <w:tcW w:w="5987" w:type="dxa"/>
          </w:tcPr>
          <w:p w:rsidR="004D6C7B" w:rsidRDefault="004D6C7B" w:rsidP="00AA5B7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4 % z ročnej produkcie združenia za 2. rok fungovania</w:t>
            </w:r>
          </w:p>
        </w:tc>
      </w:tr>
      <w:tr w:rsidR="004D6C7B" w:rsidTr="00AA5B74">
        <w:tc>
          <w:tcPr>
            <w:tcW w:w="1951" w:type="dxa"/>
          </w:tcPr>
          <w:p w:rsidR="004D6C7B" w:rsidRDefault="004D6C7B" w:rsidP="00C8344F">
            <w:pPr>
              <w:pStyle w:val="Odsekzoznamu"/>
              <w:numPr>
                <w:ilvl w:val="0"/>
                <w:numId w:val="31"/>
              </w:num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rok</w:t>
            </w:r>
          </w:p>
        </w:tc>
        <w:tc>
          <w:tcPr>
            <w:tcW w:w="5987" w:type="dxa"/>
          </w:tcPr>
          <w:p w:rsidR="004D6C7B" w:rsidRDefault="004D6C7B" w:rsidP="00AA5B7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3 % z ročnej produkcie združenia za 3. rok fungovania</w:t>
            </w:r>
          </w:p>
        </w:tc>
      </w:tr>
      <w:tr w:rsidR="004D6C7B" w:rsidTr="00AA5B74">
        <w:tc>
          <w:tcPr>
            <w:tcW w:w="1951" w:type="dxa"/>
          </w:tcPr>
          <w:p w:rsidR="004D6C7B" w:rsidRDefault="004D6C7B" w:rsidP="00C8344F">
            <w:pPr>
              <w:pStyle w:val="Odsekzoznamu"/>
              <w:numPr>
                <w:ilvl w:val="0"/>
                <w:numId w:val="31"/>
              </w:num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rok</w:t>
            </w:r>
          </w:p>
        </w:tc>
        <w:tc>
          <w:tcPr>
            <w:tcW w:w="5987" w:type="dxa"/>
          </w:tcPr>
          <w:p w:rsidR="004D6C7B" w:rsidRDefault="004D6C7B" w:rsidP="00AA5B7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2 % z ročnej produkcie združenia za 4. rok fungovania</w:t>
            </w:r>
          </w:p>
        </w:tc>
      </w:tr>
    </w:tbl>
    <w:p w:rsidR="004D6C7B" w:rsidRDefault="004D6C7B" w:rsidP="00E762C3">
      <w:pPr>
        <w:spacing w:after="0" w:line="240" w:lineRule="auto"/>
        <w:jc w:val="both"/>
        <w:rPr>
          <w:rFonts w:ascii="Times New Roman" w:eastAsia="Calibri" w:hAnsi="Times New Roman"/>
          <w:sz w:val="24"/>
          <w:szCs w:val="24"/>
        </w:rPr>
      </w:pPr>
    </w:p>
    <w:p w:rsidR="00492501" w:rsidRDefault="009F619D" w:rsidP="00D8589E">
      <w:pPr>
        <w:spacing w:after="0" w:line="240" w:lineRule="auto"/>
        <w:jc w:val="both"/>
        <w:rPr>
          <w:rFonts w:ascii="Times New Roman" w:eastAsia="Calibri" w:hAnsi="Times New Roman"/>
          <w:sz w:val="24"/>
          <w:szCs w:val="24"/>
        </w:rPr>
      </w:pPr>
      <w:r>
        <w:rPr>
          <w:rFonts w:ascii="Times New Roman" w:eastAsia="Calibri" w:hAnsi="Times New Roman"/>
          <w:sz w:val="24"/>
          <w:szCs w:val="24"/>
        </w:rPr>
        <w:t>Ako prioritná, z hľadiska cielených parametrov produkcie rastlinnej a živočíš</w:t>
      </w:r>
      <w:r w:rsidR="004D6C7B">
        <w:rPr>
          <w:rFonts w:ascii="Times New Roman" w:eastAsia="Calibri" w:hAnsi="Times New Roman"/>
          <w:sz w:val="24"/>
          <w:szCs w:val="24"/>
        </w:rPr>
        <w:t>nej výroby a podpory ich odbytu</w:t>
      </w:r>
      <w:r>
        <w:rPr>
          <w:rFonts w:ascii="Times New Roman" w:eastAsia="Calibri" w:hAnsi="Times New Roman"/>
          <w:sz w:val="24"/>
          <w:szCs w:val="24"/>
        </w:rPr>
        <w:t>, bola identifikovaná potreba zakladania odbytových združení u producentov týchto komodít:</w:t>
      </w:r>
    </w:p>
    <w:p w:rsidR="004D6C7B" w:rsidRDefault="004D6C7B" w:rsidP="00C8344F">
      <w:pPr>
        <w:pStyle w:val="Odsekzoznamu"/>
        <w:numPr>
          <w:ilvl w:val="0"/>
          <w:numId w:val="32"/>
        </w:numPr>
        <w:spacing w:after="0" w:line="240" w:lineRule="auto"/>
        <w:jc w:val="both"/>
        <w:rPr>
          <w:rFonts w:ascii="Times New Roman" w:eastAsia="Calibri" w:hAnsi="Times New Roman"/>
          <w:sz w:val="24"/>
          <w:szCs w:val="24"/>
        </w:rPr>
      </w:pPr>
      <w:r>
        <w:rPr>
          <w:rFonts w:ascii="Times New Roman" w:eastAsia="Calibri" w:hAnsi="Times New Roman"/>
          <w:sz w:val="24"/>
          <w:szCs w:val="24"/>
        </w:rPr>
        <w:t>hovädzie mäso;</w:t>
      </w:r>
    </w:p>
    <w:p w:rsidR="004D6C7B" w:rsidRDefault="004D6C7B" w:rsidP="00C8344F">
      <w:pPr>
        <w:pStyle w:val="Odsekzoznamu"/>
        <w:numPr>
          <w:ilvl w:val="0"/>
          <w:numId w:val="32"/>
        </w:numPr>
        <w:spacing w:after="0" w:line="240" w:lineRule="auto"/>
        <w:jc w:val="both"/>
        <w:rPr>
          <w:rFonts w:ascii="Times New Roman" w:eastAsia="Calibri" w:hAnsi="Times New Roman"/>
          <w:sz w:val="24"/>
          <w:szCs w:val="24"/>
        </w:rPr>
      </w:pPr>
      <w:r>
        <w:rPr>
          <w:rFonts w:ascii="Times New Roman" w:eastAsia="Calibri" w:hAnsi="Times New Roman"/>
          <w:sz w:val="24"/>
          <w:szCs w:val="24"/>
        </w:rPr>
        <w:t>bravčové mäso;</w:t>
      </w:r>
    </w:p>
    <w:p w:rsidR="004D6C7B" w:rsidRDefault="004D6C7B" w:rsidP="00C8344F">
      <w:pPr>
        <w:pStyle w:val="Odsekzoznamu"/>
        <w:numPr>
          <w:ilvl w:val="0"/>
          <w:numId w:val="32"/>
        </w:numPr>
        <w:spacing w:after="0" w:line="240" w:lineRule="auto"/>
        <w:jc w:val="both"/>
        <w:rPr>
          <w:rFonts w:ascii="Times New Roman" w:eastAsia="Calibri" w:hAnsi="Times New Roman"/>
          <w:sz w:val="24"/>
          <w:szCs w:val="24"/>
        </w:rPr>
      </w:pPr>
      <w:r>
        <w:rPr>
          <w:rFonts w:ascii="Times New Roman" w:eastAsia="Calibri" w:hAnsi="Times New Roman"/>
          <w:sz w:val="24"/>
          <w:szCs w:val="24"/>
        </w:rPr>
        <w:t>hydinové mäso;</w:t>
      </w:r>
      <w:r w:rsidR="00DF289D">
        <w:rPr>
          <w:rFonts w:ascii="Times New Roman" w:eastAsia="Calibri" w:hAnsi="Times New Roman"/>
          <w:sz w:val="24"/>
          <w:szCs w:val="24"/>
        </w:rPr>
        <w:t xml:space="preserve"> </w:t>
      </w:r>
    </w:p>
    <w:p w:rsidR="004D6C7B" w:rsidRDefault="00DF289D" w:rsidP="00C8344F">
      <w:pPr>
        <w:pStyle w:val="Odsekzoznamu"/>
        <w:numPr>
          <w:ilvl w:val="0"/>
          <w:numId w:val="32"/>
        </w:numPr>
        <w:spacing w:after="0" w:line="240" w:lineRule="auto"/>
        <w:jc w:val="both"/>
        <w:rPr>
          <w:rFonts w:ascii="Times New Roman" w:eastAsia="Calibri" w:hAnsi="Times New Roman"/>
          <w:sz w:val="24"/>
          <w:szCs w:val="24"/>
        </w:rPr>
      </w:pPr>
      <w:r>
        <w:rPr>
          <w:rFonts w:ascii="Times New Roman" w:eastAsia="Calibri" w:hAnsi="Times New Roman"/>
          <w:sz w:val="24"/>
          <w:szCs w:val="24"/>
        </w:rPr>
        <w:t>mlieko a mliečne výrobky;</w:t>
      </w:r>
    </w:p>
    <w:p w:rsidR="00DF289D" w:rsidRPr="00F01872" w:rsidRDefault="00DF289D" w:rsidP="00C8344F">
      <w:pPr>
        <w:pStyle w:val="Odsekzoznamu"/>
        <w:numPr>
          <w:ilvl w:val="0"/>
          <w:numId w:val="32"/>
        </w:numPr>
        <w:spacing w:after="0" w:line="240" w:lineRule="auto"/>
        <w:jc w:val="both"/>
        <w:rPr>
          <w:rFonts w:ascii="Times New Roman" w:eastAsia="Calibri" w:hAnsi="Times New Roman"/>
          <w:sz w:val="24"/>
          <w:szCs w:val="24"/>
          <w:highlight w:val="yellow"/>
        </w:rPr>
      </w:pPr>
      <w:r w:rsidRPr="00F01872">
        <w:rPr>
          <w:rFonts w:ascii="Times New Roman" w:eastAsia="Calibri" w:hAnsi="Times New Roman"/>
          <w:sz w:val="24"/>
          <w:szCs w:val="24"/>
          <w:highlight w:val="yellow"/>
        </w:rPr>
        <w:t>zelenina; a</w:t>
      </w:r>
    </w:p>
    <w:p w:rsidR="003748EC" w:rsidRPr="00F01872" w:rsidRDefault="00DF289D" w:rsidP="00DF289D">
      <w:pPr>
        <w:pStyle w:val="Odsekzoznamu"/>
        <w:numPr>
          <w:ilvl w:val="0"/>
          <w:numId w:val="32"/>
        </w:numPr>
        <w:spacing w:after="0" w:line="240" w:lineRule="auto"/>
        <w:jc w:val="both"/>
        <w:rPr>
          <w:rFonts w:ascii="Times New Roman" w:eastAsia="Calibri" w:hAnsi="Times New Roman"/>
          <w:sz w:val="24"/>
          <w:szCs w:val="24"/>
          <w:highlight w:val="yellow"/>
        </w:rPr>
      </w:pPr>
      <w:r w:rsidRPr="00F01872">
        <w:rPr>
          <w:rFonts w:ascii="Times New Roman" w:eastAsia="Calibri" w:hAnsi="Times New Roman"/>
          <w:sz w:val="24"/>
          <w:szCs w:val="24"/>
          <w:highlight w:val="yellow"/>
        </w:rPr>
        <w:t>ovocie mierneho pásma.</w:t>
      </w:r>
    </w:p>
    <w:p w:rsidR="003748EC" w:rsidRDefault="003748EC" w:rsidP="00FD3964">
      <w:pPr>
        <w:tabs>
          <w:tab w:val="left" w:pos="993"/>
        </w:tabs>
        <w:spacing w:after="0" w:line="240" w:lineRule="auto"/>
        <w:jc w:val="both"/>
        <w:rPr>
          <w:rFonts w:ascii="Times New Roman" w:hAnsi="Times New Roman" w:cs="Times New Roman"/>
          <w:sz w:val="20"/>
          <w:szCs w:val="20"/>
        </w:rPr>
      </w:pPr>
    </w:p>
    <w:p w:rsidR="007B5BCA" w:rsidRDefault="007B5BCA" w:rsidP="00FD3964">
      <w:pPr>
        <w:tabs>
          <w:tab w:val="left" w:pos="993"/>
        </w:tabs>
        <w:spacing w:after="0" w:line="240" w:lineRule="auto"/>
        <w:jc w:val="both"/>
        <w:rPr>
          <w:rFonts w:ascii="Times New Roman" w:hAnsi="Times New Roman" w:cs="Times New Roman"/>
          <w:sz w:val="20"/>
          <w:szCs w:val="20"/>
        </w:rPr>
      </w:pPr>
    </w:p>
    <w:p w:rsidR="007B5BCA" w:rsidRDefault="007B5BCA" w:rsidP="00FD3964">
      <w:pPr>
        <w:tabs>
          <w:tab w:val="left" w:pos="993"/>
        </w:tabs>
        <w:spacing w:after="0" w:line="240" w:lineRule="auto"/>
        <w:jc w:val="both"/>
        <w:rPr>
          <w:rFonts w:ascii="Times New Roman" w:hAnsi="Times New Roman" w:cs="Times New Roman"/>
          <w:sz w:val="20"/>
          <w:szCs w:val="20"/>
        </w:rPr>
      </w:pPr>
    </w:p>
    <w:p w:rsidR="007B5BCA" w:rsidRDefault="007B5BCA" w:rsidP="00FD3964">
      <w:pPr>
        <w:tabs>
          <w:tab w:val="left" w:pos="993"/>
        </w:tabs>
        <w:spacing w:after="0" w:line="240" w:lineRule="auto"/>
        <w:jc w:val="both"/>
        <w:rPr>
          <w:rFonts w:ascii="Times New Roman" w:hAnsi="Times New Roman" w:cs="Times New Roman"/>
          <w:sz w:val="20"/>
          <w:szCs w:val="20"/>
        </w:rPr>
      </w:pPr>
    </w:p>
    <w:p w:rsidR="007B5BCA" w:rsidRDefault="007B5BCA" w:rsidP="00FD3964">
      <w:pPr>
        <w:tabs>
          <w:tab w:val="left" w:pos="993"/>
        </w:tabs>
        <w:spacing w:after="0" w:line="240" w:lineRule="auto"/>
        <w:jc w:val="both"/>
        <w:rPr>
          <w:rFonts w:ascii="Times New Roman" w:hAnsi="Times New Roman" w:cs="Times New Roman"/>
          <w:sz w:val="20"/>
          <w:szCs w:val="20"/>
        </w:rPr>
      </w:pPr>
    </w:p>
    <w:p w:rsidR="007B5BCA" w:rsidRDefault="007B5BCA" w:rsidP="00FD3964">
      <w:pPr>
        <w:tabs>
          <w:tab w:val="left" w:pos="993"/>
        </w:tabs>
        <w:spacing w:after="0" w:line="240" w:lineRule="auto"/>
        <w:jc w:val="both"/>
        <w:rPr>
          <w:rFonts w:ascii="Times New Roman" w:hAnsi="Times New Roman" w:cs="Times New Roman"/>
          <w:sz w:val="20"/>
          <w:szCs w:val="20"/>
        </w:rPr>
      </w:pPr>
    </w:p>
    <w:p w:rsidR="007B5BCA" w:rsidRDefault="007B5BCA" w:rsidP="00FD3964">
      <w:pPr>
        <w:tabs>
          <w:tab w:val="left" w:pos="993"/>
        </w:tabs>
        <w:spacing w:after="0" w:line="240" w:lineRule="auto"/>
        <w:jc w:val="both"/>
        <w:rPr>
          <w:rFonts w:ascii="Times New Roman" w:hAnsi="Times New Roman" w:cs="Times New Roman"/>
          <w:sz w:val="20"/>
          <w:szCs w:val="20"/>
        </w:rPr>
      </w:pPr>
    </w:p>
    <w:p w:rsidR="007B5BCA" w:rsidRDefault="007B5BCA" w:rsidP="00FD3964">
      <w:pPr>
        <w:tabs>
          <w:tab w:val="left" w:pos="993"/>
        </w:tabs>
        <w:spacing w:after="0" w:line="240" w:lineRule="auto"/>
        <w:jc w:val="both"/>
        <w:rPr>
          <w:rFonts w:ascii="Times New Roman" w:hAnsi="Times New Roman" w:cs="Times New Roman"/>
          <w:sz w:val="20"/>
          <w:szCs w:val="20"/>
        </w:rPr>
      </w:pPr>
    </w:p>
    <w:p w:rsidR="007B5BCA" w:rsidRDefault="007B5BCA" w:rsidP="00FD3964">
      <w:pPr>
        <w:tabs>
          <w:tab w:val="left" w:pos="993"/>
        </w:tabs>
        <w:spacing w:after="0" w:line="240" w:lineRule="auto"/>
        <w:jc w:val="both"/>
        <w:rPr>
          <w:rFonts w:ascii="Times New Roman" w:hAnsi="Times New Roman" w:cs="Times New Roman"/>
          <w:sz w:val="20"/>
          <w:szCs w:val="20"/>
        </w:rPr>
      </w:pPr>
    </w:p>
    <w:p w:rsidR="00653995" w:rsidRPr="00653995" w:rsidRDefault="00C970F8" w:rsidP="00FD3964">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Tab. č. 62</w:t>
      </w:r>
      <w:r w:rsidR="00653995" w:rsidRPr="00A855A4">
        <w:rPr>
          <w:rFonts w:ascii="Times New Roman" w:hAnsi="Times New Roman" w:cs="Times New Roman"/>
          <w:sz w:val="20"/>
          <w:szCs w:val="20"/>
        </w:rPr>
        <w:t xml:space="preserve">: </w:t>
      </w:r>
      <w:r w:rsidR="00653995">
        <w:rPr>
          <w:rFonts w:ascii="Times New Roman" w:hAnsi="Times New Roman" w:cs="Times New Roman"/>
          <w:sz w:val="20"/>
          <w:szCs w:val="20"/>
        </w:rPr>
        <w:tab/>
        <w:t xml:space="preserve">Výpočet cieleného objemu obratu z realizácie prvovýrobnej produkcie </w:t>
      </w:r>
    </w:p>
    <w:tbl>
      <w:tblPr>
        <w:tblW w:w="9226" w:type="dxa"/>
        <w:tblInd w:w="58" w:type="dxa"/>
        <w:tblCellMar>
          <w:left w:w="70" w:type="dxa"/>
          <w:right w:w="70" w:type="dxa"/>
        </w:tblCellMar>
        <w:tblLook w:val="04A0" w:firstRow="1" w:lastRow="0" w:firstColumn="1" w:lastColumn="0" w:noHBand="0" w:noVBand="1"/>
      </w:tblPr>
      <w:tblGrid>
        <w:gridCol w:w="2139"/>
        <w:gridCol w:w="567"/>
        <w:gridCol w:w="2126"/>
        <w:gridCol w:w="1985"/>
        <w:gridCol w:w="2409"/>
      </w:tblGrid>
      <w:tr w:rsidR="00AA5B74" w:rsidRPr="00AA5B74" w:rsidTr="00DF289D">
        <w:trPr>
          <w:trHeight w:val="765"/>
        </w:trPr>
        <w:tc>
          <w:tcPr>
            <w:tcW w:w="2139" w:type="dxa"/>
            <w:tcBorders>
              <w:top w:val="single" w:sz="4" w:space="0" w:color="auto"/>
              <w:left w:val="nil"/>
              <w:bottom w:val="single" w:sz="4" w:space="0" w:color="auto"/>
              <w:right w:val="single" w:sz="4" w:space="0" w:color="auto"/>
            </w:tcBorders>
            <w:shd w:val="clear" w:color="000000" w:fill="D9D9D9"/>
            <w:noWrap/>
            <w:vAlign w:val="bottom"/>
            <w:hideMark/>
          </w:tcPr>
          <w:p w:rsidR="00AA5B74" w:rsidRPr="00AA5B74" w:rsidRDefault="00AA5B74" w:rsidP="00AA5B74">
            <w:pPr>
              <w:spacing w:after="0" w:line="240" w:lineRule="auto"/>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 </w:t>
            </w:r>
          </w:p>
        </w:tc>
        <w:tc>
          <w:tcPr>
            <w:tcW w:w="567" w:type="dxa"/>
            <w:tcBorders>
              <w:top w:val="single" w:sz="4" w:space="0" w:color="auto"/>
              <w:left w:val="nil"/>
              <w:bottom w:val="single" w:sz="4" w:space="0" w:color="auto"/>
              <w:right w:val="nil"/>
            </w:tcBorders>
            <w:shd w:val="clear" w:color="000000" w:fill="D9D9D9"/>
            <w:noWrap/>
            <w:vAlign w:val="bottom"/>
            <w:hideMark/>
          </w:tcPr>
          <w:p w:rsidR="00AA5B74" w:rsidRPr="00AA5B74" w:rsidRDefault="00AA5B74" w:rsidP="00AA5B74">
            <w:pPr>
              <w:spacing w:after="0" w:line="240" w:lineRule="auto"/>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 </w:t>
            </w:r>
          </w:p>
        </w:tc>
        <w:tc>
          <w:tcPr>
            <w:tcW w:w="2126" w:type="dxa"/>
            <w:tcBorders>
              <w:top w:val="single" w:sz="4" w:space="0" w:color="auto"/>
              <w:left w:val="nil"/>
              <w:bottom w:val="single" w:sz="4" w:space="0" w:color="auto"/>
              <w:right w:val="nil"/>
            </w:tcBorders>
            <w:shd w:val="clear" w:color="000000" w:fill="D9D9D9"/>
            <w:hideMark/>
          </w:tcPr>
          <w:p w:rsidR="00AA5B74" w:rsidRPr="00AA5B74" w:rsidRDefault="00AA5B74" w:rsidP="00AA5B74">
            <w:pPr>
              <w:spacing w:after="0" w:line="240" w:lineRule="auto"/>
              <w:jc w:val="center"/>
              <w:rPr>
                <w:rFonts w:ascii="Times New Roman" w:eastAsia="Times New Roman" w:hAnsi="Times New Roman" w:cs="Times New Roman"/>
                <w:b/>
                <w:bCs/>
                <w:color w:val="000000"/>
                <w:sz w:val="20"/>
                <w:szCs w:val="20"/>
              </w:rPr>
            </w:pPr>
            <w:r w:rsidRPr="00AA5B74">
              <w:rPr>
                <w:rFonts w:ascii="Times New Roman" w:eastAsia="Times New Roman" w:hAnsi="Times New Roman" w:cs="Times New Roman"/>
                <w:b/>
                <w:bCs/>
                <w:color w:val="000000"/>
                <w:sz w:val="20"/>
                <w:szCs w:val="20"/>
              </w:rPr>
              <w:t xml:space="preserve"> objem prvovýrobnej produkcie (stav v roku 2011 + cielené zvýšenie)</w:t>
            </w:r>
          </w:p>
        </w:tc>
        <w:tc>
          <w:tcPr>
            <w:tcW w:w="1985" w:type="dxa"/>
            <w:tcBorders>
              <w:top w:val="single" w:sz="4" w:space="0" w:color="auto"/>
              <w:left w:val="nil"/>
              <w:bottom w:val="single" w:sz="4" w:space="0" w:color="auto"/>
              <w:right w:val="nil"/>
            </w:tcBorders>
            <w:shd w:val="clear" w:color="000000" w:fill="D9D9D9"/>
            <w:hideMark/>
          </w:tcPr>
          <w:p w:rsidR="00AA5B74" w:rsidRPr="00AA5B74" w:rsidRDefault="00AA5B74" w:rsidP="00AA5B74">
            <w:pPr>
              <w:spacing w:after="0" w:line="240" w:lineRule="auto"/>
              <w:jc w:val="center"/>
              <w:rPr>
                <w:rFonts w:ascii="Times New Roman" w:eastAsia="Times New Roman" w:hAnsi="Times New Roman" w:cs="Times New Roman"/>
                <w:b/>
                <w:bCs/>
                <w:color w:val="000000"/>
                <w:sz w:val="20"/>
                <w:szCs w:val="20"/>
              </w:rPr>
            </w:pPr>
            <w:r w:rsidRPr="00AA5B74">
              <w:rPr>
                <w:rFonts w:ascii="Times New Roman" w:eastAsia="Times New Roman" w:hAnsi="Times New Roman" w:cs="Times New Roman"/>
                <w:b/>
                <w:bCs/>
                <w:color w:val="000000"/>
                <w:sz w:val="20"/>
                <w:szCs w:val="20"/>
              </w:rPr>
              <w:t>priemerná výkupná cena za jednotku prvovýrobnej produkcie v EUR</w:t>
            </w:r>
          </w:p>
        </w:tc>
        <w:tc>
          <w:tcPr>
            <w:tcW w:w="2409" w:type="dxa"/>
            <w:tcBorders>
              <w:top w:val="single" w:sz="4" w:space="0" w:color="auto"/>
              <w:left w:val="nil"/>
              <w:bottom w:val="single" w:sz="4" w:space="0" w:color="auto"/>
              <w:right w:val="nil"/>
            </w:tcBorders>
            <w:shd w:val="clear" w:color="000000" w:fill="D9D9D9"/>
            <w:hideMark/>
          </w:tcPr>
          <w:p w:rsidR="00AA5B74" w:rsidRPr="00AA5B74" w:rsidRDefault="00AA5B74" w:rsidP="00AA5B74">
            <w:pPr>
              <w:spacing w:after="0" w:line="240" w:lineRule="auto"/>
              <w:jc w:val="center"/>
              <w:rPr>
                <w:rFonts w:ascii="Times New Roman" w:eastAsia="Times New Roman" w:hAnsi="Times New Roman" w:cs="Times New Roman"/>
                <w:b/>
                <w:bCs/>
                <w:color w:val="000000"/>
                <w:sz w:val="20"/>
                <w:szCs w:val="20"/>
              </w:rPr>
            </w:pPr>
            <w:r w:rsidRPr="00AA5B74">
              <w:rPr>
                <w:rFonts w:ascii="Times New Roman" w:eastAsia="Times New Roman" w:hAnsi="Times New Roman" w:cs="Times New Roman"/>
                <w:b/>
                <w:bCs/>
                <w:color w:val="000000"/>
                <w:sz w:val="20"/>
                <w:szCs w:val="20"/>
              </w:rPr>
              <w:t>predpokladaný obrat z realizácie prvovýrobnej produkcie v EUR</w:t>
            </w:r>
          </w:p>
        </w:tc>
      </w:tr>
      <w:tr w:rsidR="00AA5B74" w:rsidRPr="00AA5B74" w:rsidTr="00DF289D">
        <w:trPr>
          <w:trHeight w:val="300"/>
        </w:trPr>
        <w:tc>
          <w:tcPr>
            <w:tcW w:w="2139" w:type="dxa"/>
            <w:tcBorders>
              <w:top w:val="nil"/>
              <w:left w:val="nil"/>
              <w:bottom w:val="nil"/>
              <w:right w:val="single" w:sz="4" w:space="0" w:color="auto"/>
            </w:tcBorders>
            <w:shd w:val="clear" w:color="auto" w:fill="auto"/>
            <w:noWrap/>
            <w:vAlign w:val="bottom"/>
            <w:hideMark/>
          </w:tcPr>
          <w:p w:rsidR="00AA5B74" w:rsidRPr="00AA5B74" w:rsidRDefault="00AA5B74" w:rsidP="00AA5B74">
            <w:pPr>
              <w:spacing w:after="0" w:line="240" w:lineRule="auto"/>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hovädzie mäso</w:t>
            </w:r>
          </w:p>
        </w:tc>
        <w:tc>
          <w:tcPr>
            <w:tcW w:w="567" w:type="dxa"/>
            <w:tcBorders>
              <w:top w:val="nil"/>
              <w:left w:val="nil"/>
              <w:bottom w:val="nil"/>
              <w:right w:val="nil"/>
            </w:tcBorders>
            <w:shd w:val="clear" w:color="auto" w:fill="auto"/>
            <w:noWrap/>
            <w:vAlign w:val="center"/>
            <w:hideMark/>
          </w:tcPr>
          <w:p w:rsidR="00AA5B74" w:rsidRPr="00AA5B74" w:rsidRDefault="00AA5B74" w:rsidP="00AA5B74">
            <w:pPr>
              <w:spacing w:after="0" w:line="240" w:lineRule="auto"/>
              <w:jc w:val="center"/>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t j. h.</w:t>
            </w:r>
          </w:p>
        </w:tc>
        <w:tc>
          <w:tcPr>
            <w:tcW w:w="2126" w:type="dxa"/>
            <w:tcBorders>
              <w:top w:val="nil"/>
              <w:left w:val="nil"/>
              <w:bottom w:val="nil"/>
              <w:right w:val="nil"/>
            </w:tcBorders>
            <w:shd w:val="clear" w:color="auto" w:fill="auto"/>
            <w:noWrap/>
            <w:vAlign w:val="center"/>
            <w:hideMark/>
          </w:tcPr>
          <w:p w:rsidR="00AA5B74" w:rsidRPr="00AA5B74" w:rsidRDefault="00AA5B74" w:rsidP="00AA5B74">
            <w:pPr>
              <w:spacing w:after="0" w:line="240" w:lineRule="auto"/>
              <w:jc w:val="center"/>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14 912</w:t>
            </w:r>
          </w:p>
        </w:tc>
        <w:tc>
          <w:tcPr>
            <w:tcW w:w="1985" w:type="dxa"/>
            <w:tcBorders>
              <w:top w:val="nil"/>
              <w:left w:val="nil"/>
              <w:bottom w:val="nil"/>
              <w:right w:val="nil"/>
            </w:tcBorders>
            <w:shd w:val="clear" w:color="auto" w:fill="auto"/>
            <w:noWrap/>
            <w:vAlign w:val="center"/>
            <w:hideMark/>
          </w:tcPr>
          <w:p w:rsidR="00AA5B74" w:rsidRPr="00AA5B74" w:rsidRDefault="00AA5B74" w:rsidP="00AA5B74">
            <w:pPr>
              <w:spacing w:after="0" w:line="240" w:lineRule="auto"/>
              <w:jc w:val="center"/>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2 280</w:t>
            </w:r>
          </w:p>
        </w:tc>
        <w:tc>
          <w:tcPr>
            <w:tcW w:w="2409" w:type="dxa"/>
            <w:tcBorders>
              <w:top w:val="nil"/>
              <w:left w:val="nil"/>
              <w:bottom w:val="nil"/>
              <w:right w:val="nil"/>
            </w:tcBorders>
            <w:shd w:val="clear" w:color="auto" w:fill="auto"/>
            <w:noWrap/>
            <w:vAlign w:val="center"/>
            <w:hideMark/>
          </w:tcPr>
          <w:p w:rsidR="00AA5B74" w:rsidRPr="00AA5B74" w:rsidRDefault="00AA5B74" w:rsidP="00AA5B74">
            <w:pPr>
              <w:spacing w:after="0" w:line="240" w:lineRule="auto"/>
              <w:jc w:val="right"/>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33 999 360</w:t>
            </w:r>
          </w:p>
        </w:tc>
      </w:tr>
      <w:tr w:rsidR="00AA5B74" w:rsidRPr="00AA5B74" w:rsidTr="00DF289D">
        <w:trPr>
          <w:trHeight w:val="300"/>
        </w:trPr>
        <w:tc>
          <w:tcPr>
            <w:tcW w:w="2139" w:type="dxa"/>
            <w:tcBorders>
              <w:top w:val="nil"/>
              <w:left w:val="nil"/>
              <w:bottom w:val="nil"/>
              <w:right w:val="single" w:sz="4" w:space="0" w:color="auto"/>
            </w:tcBorders>
            <w:shd w:val="clear" w:color="000000" w:fill="F2F2F2"/>
            <w:noWrap/>
            <w:vAlign w:val="bottom"/>
            <w:hideMark/>
          </w:tcPr>
          <w:p w:rsidR="00AA5B74" w:rsidRPr="00AA5B74" w:rsidRDefault="00AA5B74" w:rsidP="00AA5B74">
            <w:pPr>
              <w:spacing w:after="0" w:line="240" w:lineRule="auto"/>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bravčové mäso</w:t>
            </w:r>
          </w:p>
        </w:tc>
        <w:tc>
          <w:tcPr>
            <w:tcW w:w="567" w:type="dxa"/>
            <w:tcBorders>
              <w:top w:val="nil"/>
              <w:left w:val="nil"/>
              <w:bottom w:val="nil"/>
              <w:right w:val="nil"/>
            </w:tcBorders>
            <w:shd w:val="clear" w:color="000000" w:fill="F2F2F2"/>
            <w:noWrap/>
            <w:vAlign w:val="center"/>
            <w:hideMark/>
          </w:tcPr>
          <w:p w:rsidR="00AA5B74" w:rsidRPr="00AA5B74" w:rsidRDefault="00AA5B74" w:rsidP="00AA5B74">
            <w:pPr>
              <w:spacing w:after="0" w:line="240" w:lineRule="auto"/>
              <w:jc w:val="center"/>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t j. h.</w:t>
            </w:r>
          </w:p>
        </w:tc>
        <w:tc>
          <w:tcPr>
            <w:tcW w:w="2126" w:type="dxa"/>
            <w:tcBorders>
              <w:top w:val="nil"/>
              <w:left w:val="nil"/>
              <w:bottom w:val="nil"/>
              <w:right w:val="nil"/>
            </w:tcBorders>
            <w:shd w:val="clear" w:color="000000" w:fill="F2F2F2"/>
            <w:noWrap/>
            <w:vAlign w:val="center"/>
            <w:hideMark/>
          </w:tcPr>
          <w:p w:rsidR="00AA5B74" w:rsidRPr="00AA5B74" w:rsidRDefault="00AA5B74" w:rsidP="00AA5B74">
            <w:pPr>
              <w:spacing w:after="0" w:line="240" w:lineRule="auto"/>
              <w:jc w:val="center"/>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81 111</w:t>
            </w:r>
          </w:p>
        </w:tc>
        <w:tc>
          <w:tcPr>
            <w:tcW w:w="1985" w:type="dxa"/>
            <w:tcBorders>
              <w:top w:val="nil"/>
              <w:left w:val="nil"/>
              <w:bottom w:val="nil"/>
              <w:right w:val="nil"/>
            </w:tcBorders>
            <w:shd w:val="clear" w:color="000000" w:fill="F2F2F2"/>
            <w:noWrap/>
            <w:vAlign w:val="center"/>
            <w:hideMark/>
          </w:tcPr>
          <w:p w:rsidR="00AA5B74" w:rsidRPr="00AA5B74" w:rsidRDefault="00AA5B74" w:rsidP="00AA5B74">
            <w:pPr>
              <w:spacing w:after="0" w:line="240" w:lineRule="auto"/>
              <w:jc w:val="center"/>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1 520</w:t>
            </w:r>
          </w:p>
        </w:tc>
        <w:tc>
          <w:tcPr>
            <w:tcW w:w="2409" w:type="dxa"/>
            <w:tcBorders>
              <w:top w:val="nil"/>
              <w:left w:val="nil"/>
              <w:bottom w:val="nil"/>
              <w:right w:val="nil"/>
            </w:tcBorders>
            <w:shd w:val="clear" w:color="000000" w:fill="F2F2F2"/>
            <w:noWrap/>
            <w:vAlign w:val="center"/>
            <w:hideMark/>
          </w:tcPr>
          <w:p w:rsidR="00AA5B74" w:rsidRPr="00AA5B74" w:rsidRDefault="00AA5B74" w:rsidP="00AA5B74">
            <w:pPr>
              <w:spacing w:after="0" w:line="240" w:lineRule="auto"/>
              <w:jc w:val="right"/>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123 288 416</w:t>
            </w:r>
          </w:p>
        </w:tc>
      </w:tr>
      <w:tr w:rsidR="00AA5B74" w:rsidRPr="00AA5B74" w:rsidTr="00DF289D">
        <w:trPr>
          <w:trHeight w:val="300"/>
        </w:trPr>
        <w:tc>
          <w:tcPr>
            <w:tcW w:w="2139" w:type="dxa"/>
            <w:tcBorders>
              <w:top w:val="nil"/>
              <w:left w:val="nil"/>
              <w:bottom w:val="nil"/>
              <w:right w:val="single" w:sz="4" w:space="0" w:color="auto"/>
            </w:tcBorders>
            <w:shd w:val="clear" w:color="auto" w:fill="auto"/>
            <w:noWrap/>
            <w:vAlign w:val="bottom"/>
            <w:hideMark/>
          </w:tcPr>
          <w:p w:rsidR="00AA5B74" w:rsidRPr="00AA5B74" w:rsidRDefault="00AA5B74" w:rsidP="00AA5B74">
            <w:pPr>
              <w:spacing w:after="0" w:line="240" w:lineRule="auto"/>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hydinové mäso</w:t>
            </w:r>
          </w:p>
        </w:tc>
        <w:tc>
          <w:tcPr>
            <w:tcW w:w="567" w:type="dxa"/>
            <w:tcBorders>
              <w:top w:val="nil"/>
              <w:left w:val="nil"/>
              <w:bottom w:val="nil"/>
              <w:right w:val="nil"/>
            </w:tcBorders>
            <w:shd w:val="clear" w:color="auto" w:fill="auto"/>
            <w:noWrap/>
            <w:vAlign w:val="center"/>
            <w:hideMark/>
          </w:tcPr>
          <w:p w:rsidR="00AA5B74" w:rsidRPr="00AA5B74" w:rsidRDefault="00AA5B74" w:rsidP="00AA5B74">
            <w:pPr>
              <w:spacing w:after="0" w:line="240" w:lineRule="auto"/>
              <w:jc w:val="center"/>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t j. h.</w:t>
            </w:r>
          </w:p>
        </w:tc>
        <w:tc>
          <w:tcPr>
            <w:tcW w:w="2126" w:type="dxa"/>
            <w:tcBorders>
              <w:top w:val="nil"/>
              <w:left w:val="nil"/>
              <w:bottom w:val="nil"/>
              <w:right w:val="nil"/>
            </w:tcBorders>
            <w:shd w:val="clear" w:color="auto" w:fill="auto"/>
            <w:noWrap/>
            <w:vAlign w:val="center"/>
            <w:hideMark/>
          </w:tcPr>
          <w:p w:rsidR="00AA5B74" w:rsidRPr="00AA5B74" w:rsidRDefault="00AA5B74" w:rsidP="00AA5B74">
            <w:pPr>
              <w:spacing w:after="0" w:line="240" w:lineRule="auto"/>
              <w:jc w:val="center"/>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83 364</w:t>
            </w:r>
          </w:p>
        </w:tc>
        <w:tc>
          <w:tcPr>
            <w:tcW w:w="1985" w:type="dxa"/>
            <w:tcBorders>
              <w:top w:val="nil"/>
              <w:left w:val="nil"/>
              <w:bottom w:val="nil"/>
              <w:right w:val="nil"/>
            </w:tcBorders>
            <w:shd w:val="clear" w:color="auto" w:fill="auto"/>
            <w:noWrap/>
            <w:vAlign w:val="center"/>
            <w:hideMark/>
          </w:tcPr>
          <w:p w:rsidR="00AA5B74" w:rsidRPr="00AA5B74" w:rsidRDefault="00AA5B74" w:rsidP="00AA5B74">
            <w:pPr>
              <w:spacing w:after="0" w:line="240" w:lineRule="auto"/>
              <w:jc w:val="center"/>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910</w:t>
            </w:r>
          </w:p>
        </w:tc>
        <w:tc>
          <w:tcPr>
            <w:tcW w:w="2409" w:type="dxa"/>
            <w:tcBorders>
              <w:top w:val="nil"/>
              <w:left w:val="nil"/>
              <w:bottom w:val="nil"/>
              <w:right w:val="nil"/>
            </w:tcBorders>
            <w:shd w:val="clear" w:color="auto" w:fill="auto"/>
            <w:noWrap/>
            <w:vAlign w:val="center"/>
            <w:hideMark/>
          </w:tcPr>
          <w:p w:rsidR="00AA5B74" w:rsidRPr="00AA5B74" w:rsidRDefault="00AA5B74" w:rsidP="00AA5B74">
            <w:pPr>
              <w:spacing w:after="0" w:line="240" w:lineRule="auto"/>
              <w:jc w:val="right"/>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75 861 058</w:t>
            </w:r>
          </w:p>
        </w:tc>
      </w:tr>
      <w:tr w:rsidR="00AA5B74" w:rsidRPr="00AA5B74" w:rsidTr="00DF289D">
        <w:trPr>
          <w:trHeight w:val="300"/>
        </w:trPr>
        <w:tc>
          <w:tcPr>
            <w:tcW w:w="2139" w:type="dxa"/>
            <w:tcBorders>
              <w:top w:val="nil"/>
              <w:left w:val="nil"/>
              <w:right w:val="single" w:sz="4" w:space="0" w:color="auto"/>
            </w:tcBorders>
            <w:shd w:val="clear" w:color="000000" w:fill="F2F2F2"/>
            <w:noWrap/>
            <w:vAlign w:val="bottom"/>
            <w:hideMark/>
          </w:tcPr>
          <w:p w:rsidR="00AA5B74" w:rsidRPr="00AA5B74" w:rsidRDefault="00AA5B74" w:rsidP="00AA5B74">
            <w:pPr>
              <w:spacing w:after="0" w:line="240" w:lineRule="auto"/>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mlieko a mliečne výrobky</w:t>
            </w:r>
          </w:p>
        </w:tc>
        <w:tc>
          <w:tcPr>
            <w:tcW w:w="567" w:type="dxa"/>
            <w:tcBorders>
              <w:top w:val="nil"/>
              <w:left w:val="nil"/>
              <w:right w:val="nil"/>
            </w:tcBorders>
            <w:shd w:val="clear" w:color="000000" w:fill="F2F2F2"/>
            <w:noWrap/>
            <w:vAlign w:val="center"/>
            <w:hideMark/>
          </w:tcPr>
          <w:p w:rsidR="00AA5B74" w:rsidRPr="00AA5B74" w:rsidRDefault="00AA5B74" w:rsidP="00AA5B74">
            <w:pPr>
              <w:spacing w:after="0" w:line="240" w:lineRule="auto"/>
              <w:jc w:val="center"/>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t</w:t>
            </w:r>
          </w:p>
        </w:tc>
        <w:tc>
          <w:tcPr>
            <w:tcW w:w="2126" w:type="dxa"/>
            <w:tcBorders>
              <w:top w:val="nil"/>
              <w:left w:val="nil"/>
              <w:right w:val="nil"/>
            </w:tcBorders>
            <w:shd w:val="clear" w:color="000000" w:fill="F2F2F2"/>
            <w:noWrap/>
            <w:vAlign w:val="center"/>
            <w:hideMark/>
          </w:tcPr>
          <w:p w:rsidR="00AA5B74" w:rsidRPr="00AA5B74" w:rsidRDefault="00AA5B74" w:rsidP="00AA5B74">
            <w:pPr>
              <w:spacing w:after="0" w:line="240" w:lineRule="auto"/>
              <w:jc w:val="center"/>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928</w:t>
            </w:r>
            <w:r w:rsidR="00200A10">
              <w:rPr>
                <w:rFonts w:ascii="Times New Roman" w:eastAsia="Times New Roman" w:hAnsi="Times New Roman" w:cs="Times New Roman"/>
                <w:color w:val="000000"/>
                <w:sz w:val="20"/>
                <w:szCs w:val="20"/>
              </w:rPr>
              <w:t> </w:t>
            </w:r>
            <w:r w:rsidRPr="00AA5B74">
              <w:rPr>
                <w:rFonts w:ascii="Times New Roman" w:eastAsia="Times New Roman" w:hAnsi="Times New Roman" w:cs="Times New Roman"/>
                <w:color w:val="000000"/>
                <w:sz w:val="20"/>
                <w:szCs w:val="20"/>
              </w:rPr>
              <w:t>315</w:t>
            </w:r>
          </w:p>
        </w:tc>
        <w:tc>
          <w:tcPr>
            <w:tcW w:w="1985" w:type="dxa"/>
            <w:tcBorders>
              <w:top w:val="nil"/>
              <w:left w:val="nil"/>
              <w:right w:val="nil"/>
            </w:tcBorders>
            <w:shd w:val="clear" w:color="000000" w:fill="F2F2F2"/>
            <w:noWrap/>
            <w:vAlign w:val="center"/>
            <w:hideMark/>
          </w:tcPr>
          <w:p w:rsidR="00AA5B74" w:rsidRPr="00AA5B74" w:rsidRDefault="00AA5B74" w:rsidP="00AA5B74">
            <w:pPr>
              <w:spacing w:after="0" w:line="240" w:lineRule="auto"/>
              <w:jc w:val="center"/>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320</w:t>
            </w:r>
          </w:p>
        </w:tc>
        <w:tc>
          <w:tcPr>
            <w:tcW w:w="2409" w:type="dxa"/>
            <w:tcBorders>
              <w:top w:val="nil"/>
              <w:left w:val="nil"/>
              <w:right w:val="nil"/>
            </w:tcBorders>
            <w:shd w:val="clear" w:color="000000" w:fill="F2F2F2"/>
            <w:noWrap/>
            <w:vAlign w:val="center"/>
            <w:hideMark/>
          </w:tcPr>
          <w:p w:rsidR="00AA5B74" w:rsidRPr="00AA5B74" w:rsidRDefault="00AA5B74" w:rsidP="00AA5B74">
            <w:pPr>
              <w:spacing w:after="0" w:line="240" w:lineRule="auto"/>
              <w:jc w:val="right"/>
              <w:rPr>
                <w:rFonts w:ascii="Times New Roman" w:eastAsia="Times New Roman" w:hAnsi="Times New Roman" w:cs="Times New Roman"/>
                <w:color w:val="000000"/>
                <w:sz w:val="20"/>
                <w:szCs w:val="20"/>
              </w:rPr>
            </w:pPr>
            <w:r w:rsidRPr="00AA5B74">
              <w:rPr>
                <w:rFonts w:ascii="Times New Roman" w:eastAsia="Times New Roman" w:hAnsi="Times New Roman" w:cs="Times New Roman"/>
                <w:color w:val="000000"/>
                <w:sz w:val="20"/>
                <w:szCs w:val="20"/>
              </w:rPr>
              <w:t>297 060 800</w:t>
            </w:r>
          </w:p>
        </w:tc>
      </w:tr>
      <w:tr w:rsidR="00200A10" w:rsidRPr="00AA5B74" w:rsidTr="004E0FBB">
        <w:trPr>
          <w:trHeight w:val="300"/>
        </w:trPr>
        <w:tc>
          <w:tcPr>
            <w:tcW w:w="2139" w:type="dxa"/>
            <w:tcBorders>
              <w:top w:val="nil"/>
              <w:left w:val="nil"/>
              <w:right w:val="single" w:sz="4" w:space="0" w:color="auto"/>
            </w:tcBorders>
            <w:shd w:val="clear" w:color="auto" w:fill="auto"/>
            <w:noWrap/>
            <w:vAlign w:val="bottom"/>
          </w:tcPr>
          <w:p w:rsidR="00200A10" w:rsidRPr="004E0FBB" w:rsidRDefault="00200A10" w:rsidP="00AA5B74">
            <w:pPr>
              <w:spacing w:after="0" w:line="240" w:lineRule="auto"/>
              <w:rPr>
                <w:rFonts w:ascii="Times New Roman" w:eastAsia="Times New Roman" w:hAnsi="Times New Roman" w:cs="Times New Roman"/>
                <w:color w:val="000000"/>
                <w:sz w:val="20"/>
                <w:szCs w:val="20"/>
              </w:rPr>
            </w:pPr>
            <w:r w:rsidRPr="004E0FBB">
              <w:rPr>
                <w:rFonts w:ascii="Times New Roman" w:eastAsia="Times New Roman" w:hAnsi="Times New Roman" w:cs="Times New Roman"/>
                <w:color w:val="000000"/>
                <w:sz w:val="20"/>
                <w:szCs w:val="20"/>
              </w:rPr>
              <w:t>zelenina</w:t>
            </w:r>
          </w:p>
        </w:tc>
        <w:tc>
          <w:tcPr>
            <w:tcW w:w="567" w:type="dxa"/>
            <w:tcBorders>
              <w:top w:val="nil"/>
              <w:left w:val="nil"/>
              <w:right w:val="nil"/>
            </w:tcBorders>
            <w:shd w:val="clear" w:color="auto" w:fill="auto"/>
            <w:noWrap/>
            <w:vAlign w:val="center"/>
          </w:tcPr>
          <w:p w:rsidR="00200A10" w:rsidRPr="00AA5B74" w:rsidRDefault="00DF289D" w:rsidP="00AA5B7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2126" w:type="dxa"/>
            <w:tcBorders>
              <w:top w:val="nil"/>
              <w:left w:val="nil"/>
              <w:right w:val="nil"/>
            </w:tcBorders>
            <w:shd w:val="clear" w:color="auto" w:fill="auto"/>
            <w:noWrap/>
            <w:vAlign w:val="center"/>
          </w:tcPr>
          <w:p w:rsidR="00200A10" w:rsidRPr="00AA5B74" w:rsidRDefault="004E0FBB" w:rsidP="00AA5B7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445 860</w:t>
            </w:r>
          </w:p>
        </w:tc>
        <w:tc>
          <w:tcPr>
            <w:tcW w:w="1985" w:type="dxa"/>
            <w:tcBorders>
              <w:top w:val="nil"/>
              <w:left w:val="nil"/>
              <w:right w:val="nil"/>
            </w:tcBorders>
            <w:shd w:val="clear" w:color="auto" w:fill="auto"/>
            <w:noWrap/>
            <w:vAlign w:val="center"/>
          </w:tcPr>
          <w:p w:rsidR="00200A10" w:rsidRPr="00AA5B74" w:rsidRDefault="004E0FBB" w:rsidP="00AA5B7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331</w:t>
            </w:r>
          </w:p>
        </w:tc>
        <w:tc>
          <w:tcPr>
            <w:tcW w:w="2409" w:type="dxa"/>
            <w:tcBorders>
              <w:top w:val="nil"/>
              <w:left w:val="nil"/>
              <w:right w:val="nil"/>
            </w:tcBorders>
            <w:shd w:val="clear" w:color="auto" w:fill="auto"/>
            <w:noWrap/>
            <w:vAlign w:val="center"/>
          </w:tcPr>
          <w:p w:rsidR="00200A10" w:rsidRPr="00AA5B74" w:rsidRDefault="004E0FBB" w:rsidP="00AA5B7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147 579 660</w:t>
            </w:r>
          </w:p>
        </w:tc>
      </w:tr>
      <w:tr w:rsidR="00DF289D" w:rsidRPr="00AA5B74" w:rsidTr="00DF289D">
        <w:trPr>
          <w:trHeight w:val="300"/>
        </w:trPr>
        <w:tc>
          <w:tcPr>
            <w:tcW w:w="2139" w:type="dxa"/>
            <w:tcBorders>
              <w:left w:val="nil"/>
              <w:bottom w:val="single" w:sz="4" w:space="0" w:color="auto"/>
              <w:right w:val="single" w:sz="4" w:space="0" w:color="auto"/>
            </w:tcBorders>
            <w:shd w:val="clear" w:color="000000" w:fill="F2F2F2"/>
            <w:noWrap/>
            <w:vAlign w:val="bottom"/>
          </w:tcPr>
          <w:p w:rsidR="00DF289D" w:rsidRPr="004E0FBB" w:rsidRDefault="00DF289D" w:rsidP="00AA5B74">
            <w:pPr>
              <w:spacing w:after="0" w:line="240" w:lineRule="auto"/>
              <w:rPr>
                <w:rFonts w:ascii="Times New Roman" w:eastAsia="Times New Roman" w:hAnsi="Times New Roman" w:cs="Times New Roman"/>
                <w:color w:val="000000"/>
                <w:sz w:val="20"/>
                <w:szCs w:val="20"/>
              </w:rPr>
            </w:pPr>
            <w:r w:rsidRPr="004E0FBB">
              <w:rPr>
                <w:rFonts w:ascii="Times New Roman" w:eastAsia="Times New Roman" w:hAnsi="Times New Roman" w:cs="Times New Roman"/>
                <w:color w:val="000000"/>
                <w:sz w:val="20"/>
                <w:szCs w:val="20"/>
              </w:rPr>
              <w:t>ovocie mierneho pásma</w:t>
            </w:r>
          </w:p>
        </w:tc>
        <w:tc>
          <w:tcPr>
            <w:tcW w:w="567" w:type="dxa"/>
            <w:tcBorders>
              <w:left w:val="nil"/>
              <w:bottom w:val="single" w:sz="4" w:space="0" w:color="auto"/>
              <w:right w:val="nil"/>
            </w:tcBorders>
            <w:shd w:val="clear" w:color="000000" w:fill="F2F2F2"/>
            <w:noWrap/>
            <w:vAlign w:val="center"/>
          </w:tcPr>
          <w:p w:rsidR="00DF289D" w:rsidRPr="00AA5B74" w:rsidRDefault="00DF289D" w:rsidP="00AA5B7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2126" w:type="dxa"/>
            <w:tcBorders>
              <w:left w:val="nil"/>
              <w:bottom w:val="single" w:sz="4" w:space="0" w:color="auto"/>
              <w:right w:val="nil"/>
            </w:tcBorders>
            <w:shd w:val="clear" w:color="000000" w:fill="F2F2F2"/>
            <w:noWrap/>
            <w:vAlign w:val="center"/>
          </w:tcPr>
          <w:p w:rsidR="00DF289D" w:rsidRPr="00AA5B74" w:rsidRDefault="004E0FBB" w:rsidP="00AA5B7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55 976</w:t>
            </w:r>
          </w:p>
        </w:tc>
        <w:tc>
          <w:tcPr>
            <w:tcW w:w="1985" w:type="dxa"/>
            <w:tcBorders>
              <w:left w:val="nil"/>
              <w:bottom w:val="single" w:sz="4" w:space="0" w:color="auto"/>
              <w:right w:val="nil"/>
            </w:tcBorders>
            <w:shd w:val="clear" w:color="000000" w:fill="F2F2F2"/>
            <w:noWrap/>
            <w:vAlign w:val="center"/>
          </w:tcPr>
          <w:p w:rsidR="00DF289D" w:rsidRPr="00AA5B74" w:rsidRDefault="004E0FBB" w:rsidP="00AA5B7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733</w:t>
            </w:r>
          </w:p>
        </w:tc>
        <w:tc>
          <w:tcPr>
            <w:tcW w:w="2409" w:type="dxa"/>
            <w:tcBorders>
              <w:left w:val="nil"/>
              <w:bottom w:val="single" w:sz="4" w:space="0" w:color="auto"/>
              <w:right w:val="nil"/>
            </w:tcBorders>
            <w:shd w:val="clear" w:color="000000" w:fill="F2F2F2"/>
            <w:noWrap/>
            <w:vAlign w:val="center"/>
          </w:tcPr>
          <w:p w:rsidR="00DF289D" w:rsidRPr="00AA5B74" w:rsidRDefault="004E0FBB" w:rsidP="00AA5B7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41 030 408</w:t>
            </w:r>
          </w:p>
        </w:tc>
      </w:tr>
      <w:tr w:rsidR="00AA5B74" w:rsidRPr="00AA5B74" w:rsidTr="00DF289D">
        <w:trPr>
          <w:trHeight w:val="300"/>
        </w:trPr>
        <w:tc>
          <w:tcPr>
            <w:tcW w:w="2139" w:type="dxa"/>
            <w:tcBorders>
              <w:top w:val="single" w:sz="4" w:space="0" w:color="auto"/>
              <w:left w:val="nil"/>
              <w:bottom w:val="single" w:sz="4" w:space="0" w:color="auto"/>
              <w:right w:val="single" w:sz="4" w:space="0" w:color="auto"/>
            </w:tcBorders>
            <w:shd w:val="clear" w:color="000000" w:fill="D8D8D8"/>
            <w:noWrap/>
            <w:vAlign w:val="bottom"/>
            <w:hideMark/>
          </w:tcPr>
          <w:p w:rsidR="00AA5B74" w:rsidRPr="00AA5B74" w:rsidRDefault="00AA5B74" w:rsidP="00AA5B74">
            <w:pPr>
              <w:spacing w:after="0" w:line="240" w:lineRule="auto"/>
              <w:rPr>
                <w:rFonts w:ascii="Times New Roman" w:eastAsia="Times New Roman" w:hAnsi="Times New Roman" w:cs="Times New Roman"/>
                <w:b/>
                <w:bCs/>
                <w:color w:val="000000"/>
                <w:sz w:val="20"/>
                <w:szCs w:val="20"/>
              </w:rPr>
            </w:pPr>
            <w:r w:rsidRPr="00AA5B74">
              <w:rPr>
                <w:rFonts w:ascii="Times New Roman" w:eastAsia="Times New Roman" w:hAnsi="Times New Roman" w:cs="Times New Roman"/>
                <w:b/>
                <w:bCs/>
                <w:color w:val="000000"/>
                <w:sz w:val="20"/>
                <w:szCs w:val="20"/>
              </w:rPr>
              <w:t>Obrat</w:t>
            </w:r>
          </w:p>
        </w:tc>
        <w:tc>
          <w:tcPr>
            <w:tcW w:w="567" w:type="dxa"/>
            <w:tcBorders>
              <w:top w:val="single" w:sz="4" w:space="0" w:color="auto"/>
              <w:left w:val="nil"/>
              <w:bottom w:val="single" w:sz="4" w:space="0" w:color="auto"/>
              <w:right w:val="nil"/>
            </w:tcBorders>
            <w:shd w:val="clear" w:color="000000" w:fill="D8D8D8"/>
            <w:noWrap/>
            <w:vAlign w:val="bottom"/>
            <w:hideMark/>
          </w:tcPr>
          <w:p w:rsidR="00AA5B74" w:rsidRPr="00AA5B74" w:rsidRDefault="00AA5B74" w:rsidP="00AA5B74">
            <w:pPr>
              <w:spacing w:after="0" w:line="240" w:lineRule="auto"/>
              <w:rPr>
                <w:rFonts w:ascii="Times New Roman" w:eastAsia="Times New Roman" w:hAnsi="Times New Roman" w:cs="Times New Roman"/>
                <w:b/>
                <w:bCs/>
                <w:color w:val="000000"/>
                <w:sz w:val="20"/>
                <w:szCs w:val="20"/>
              </w:rPr>
            </w:pPr>
            <w:r w:rsidRPr="00AA5B74">
              <w:rPr>
                <w:rFonts w:ascii="Times New Roman" w:eastAsia="Times New Roman" w:hAnsi="Times New Roman" w:cs="Times New Roman"/>
                <w:b/>
                <w:bCs/>
                <w:color w:val="000000"/>
                <w:sz w:val="20"/>
                <w:szCs w:val="20"/>
              </w:rPr>
              <w:t> </w:t>
            </w:r>
          </w:p>
        </w:tc>
        <w:tc>
          <w:tcPr>
            <w:tcW w:w="2126" w:type="dxa"/>
            <w:tcBorders>
              <w:top w:val="single" w:sz="4" w:space="0" w:color="auto"/>
              <w:left w:val="nil"/>
              <w:bottom w:val="single" w:sz="4" w:space="0" w:color="auto"/>
              <w:right w:val="nil"/>
            </w:tcBorders>
            <w:shd w:val="clear" w:color="000000" w:fill="D8D8D8"/>
            <w:noWrap/>
            <w:vAlign w:val="center"/>
            <w:hideMark/>
          </w:tcPr>
          <w:p w:rsidR="00AA5B74" w:rsidRPr="00AA5B74" w:rsidRDefault="00AA5B74" w:rsidP="00AA5B74">
            <w:pPr>
              <w:spacing w:after="0" w:line="240" w:lineRule="auto"/>
              <w:jc w:val="right"/>
              <w:rPr>
                <w:rFonts w:ascii="Times New Roman" w:eastAsia="Times New Roman" w:hAnsi="Times New Roman" w:cs="Times New Roman"/>
                <w:b/>
                <w:bCs/>
                <w:color w:val="000000"/>
                <w:sz w:val="20"/>
                <w:szCs w:val="20"/>
              </w:rPr>
            </w:pPr>
            <w:r w:rsidRPr="00AA5B74">
              <w:rPr>
                <w:rFonts w:ascii="Times New Roman" w:eastAsia="Times New Roman" w:hAnsi="Times New Roman" w:cs="Times New Roman"/>
                <w:b/>
                <w:bCs/>
                <w:color w:val="000000"/>
                <w:sz w:val="20"/>
                <w:szCs w:val="20"/>
              </w:rPr>
              <w:t> </w:t>
            </w:r>
          </w:p>
        </w:tc>
        <w:tc>
          <w:tcPr>
            <w:tcW w:w="1985" w:type="dxa"/>
            <w:tcBorders>
              <w:top w:val="single" w:sz="4" w:space="0" w:color="auto"/>
              <w:left w:val="nil"/>
              <w:bottom w:val="single" w:sz="4" w:space="0" w:color="auto"/>
              <w:right w:val="nil"/>
            </w:tcBorders>
            <w:shd w:val="clear" w:color="000000" w:fill="D8D8D8"/>
            <w:noWrap/>
            <w:vAlign w:val="center"/>
            <w:hideMark/>
          </w:tcPr>
          <w:p w:rsidR="00AA5B74" w:rsidRPr="00AA5B74" w:rsidRDefault="00AA5B74" w:rsidP="00AA5B74">
            <w:pPr>
              <w:spacing w:after="0" w:line="240" w:lineRule="auto"/>
              <w:jc w:val="right"/>
              <w:rPr>
                <w:rFonts w:ascii="Times New Roman" w:eastAsia="Times New Roman" w:hAnsi="Times New Roman" w:cs="Times New Roman"/>
                <w:b/>
                <w:bCs/>
                <w:color w:val="000000"/>
                <w:sz w:val="20"/>
                <w:szCs w:val="20"/>
              </w:rPr>
            </w:pPr>
            <w:r w:rsidRPr="00AA5B74">
              <w:rPr>
                <w:rFonts w:ascii="Times New Roman" w:eastAsia="Times New Roman" w:hAnsi="Times New Roman" w:cs="Times New Roman"/>
                <w:b/>
                <w:bCs/>
                <w:color w:val="000000"/>
                <w:sz w:val="20"/>
                <w:szCs w:val="20"/>
              </w:rPr>
              <w:t> </w:t>
            </w:r>
          </w:p>
        </w:tc>
        <w:tc>
          <w:tcPr>
            <w:tcW w:w="2409" w:type="dxa"/>
            <w:tcBorders>
              <w:top w:val="single" w:sz="4" w:space="0" w:color="auto"/>
              <w:left w:val="nil"/>
              <w:bottom w:val="single" w:sz="4" w:space="0" w:color="auto"/>
              <w:right w:val="nil"/>
            </w:tcBorders>
            <w:shd w:val="clear" w:color="000000" w:fill="D8D8D8"/>
            <w:noWrap/>
            <w:vAlign w:val="center"/>
            <w:hideMark/>
          </w:tcPr>
          <w:p w:rsidR="00AA5B74" w:rsidRPr="00AA5B74" w:rsidRDefault="004E0FBB" w:rsidP="004E0FBB">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718</w:t>
            </w:r>
            <w:r w:rsidR="00AA5B74" w:rsidRPr="00AA5B74">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819</w:t>
            </w:r>
            <w:r w:rsidR="003748EC">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702</w:t>
            </w:r>
          </w:p>
        </w:tc>
      </w:tr>
    </w:tbl>
    <w:p w:rsidR="00653995" w:rsidRPr="00C431FF" w:rsidRDefault="00653995" w:rsidP="0065399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výpočty MPRV</w:t>
      </w:r>
    </w:p>
    <w:p w:rsidR="00920F00" w:rsidRDefault="00920F00" w:rsidP="00920F00">
      <w:pPr>
        <w:spacing w:after="0" w:line="240" w:lineRule="auto"/>
        <w:jc w:val="both"/>
        <w:rPr>
          <w:rFonts w:ascii="Times New Roman" w:eastAsia="Calibri" w:hAnsi="Times New Roman"/>
          <w:sz w:val="24"/>
          <w:szCs w:val="24"/>
        </w:rPr>
      </w:pPr>
    </w:p>
    <w:p w:rsidR="00171ED5" w:rsidRDefault="00653995" w:rsidP="00920F00">
      <w:pPr>
        <w:spacing w:after="0" w:line="240" w:lineRule="auto"/>
        <w:jc w:val="both"/>
        <w:rPr>
          <w:rFonts w:ascii="Times New Roman" w:eastAsia="Calibri" w:hAnsi="Times New Roman"/>
          <w:sz w:val="24"/>
          <w:szCs w:val="24"/>
        </w:rPr>
      </w:pPr>
      <w:r>
        <w:rPr>
          <w:rFonts w:ascii="Times New Roman" w:eastAsia="Calibri" w:hAnsi="Times New Roman"/>
          <w:sz w:val="24"/>
          <w:szCs w:val="24"/>
        </w:rPr>
        <w:t>Cielený objem obratu z realizácie prvovýrobnej produkcie</w:t>
      </w:r>
      <w:r w:rsidR="00254AD4">
        <w:rPr>
          <w:rFonts w:ascii="Times New Roman" w:eastAsia="Calibri" w:hAnsi="Times New Roman"/>
          <w:sz w:val="24"/>
          <w:szCs w:val="24"/>
        </w:rPr>
        <w:t>, ktorý tvorí základ pre výpočet celkovej potreby finančných prostriedkov na podporu založenia a prevádzky odbytových združení,</w:t>
      </w:r>
      <w:r>
        <w:rPr>
          <w:rFonts w:ascii="Times New Roman" w:eastAsia="Calibri" w:hAnsi="Times New Roman"/>
          <w:sz w:val="24"/>
          <w:szCs w:val="24"/>
        </w:rPr>
        <w:t xml:space="preserve"> dosahuje za súčasných cenových pomerov na trhu celkovú výšku </w:t>
      </w:r>
      <w:r w:rsidR="00680629">
        <w:rPr>
          <w:rFonts w:ascii="Times New Roman" w:eastAsia="Calibri" w:hAnsi="Times New Roman"/>
          <w:sz w:val="24"/>
          <w:szCs w:val="24"/>
        </w:rPr>
        <w:t xml:space="preserve">cca </w:t>
      </w:r>
      <w:r w:rsidR="00254AD4">
        <w:rPr>
          <w:rFonts w:ascii="Times New Roman" w:eastAsia="Calibri" w:hAnsi="Times New Roman"/>
          <w:sz w:val="24"/>
          <w:szCs w:val="24"/>
        </w:rPr>
        <w:t xml:space="preserve">             </w:t>
      </w:r>
      <w:r w:rsidR="004E0FBB">
        <w:rPr>
          <w:rFonts w:ascii="Times New Roman" w:eastAsia="Calibri" w:hAnsi="Times New Roman"/>
          <w:sz w:val="24"/>
          <w:szCs w:val="24"/>
        </w:rPr>
        <w:t>718</w:t>
      </w:r>
      <w:r w:rsidR="00680629">
        <w:rPr>
          <w:rFonts w:ascii="Times New Roman" w:eastAsia="Calibri" w:hAnsi="Times New Roman"/>
          <w:sz w:val="24"/>
          <w:szCs w:val="24"/>
        </w:rPr>
        <w:t> </w:t>
      </w:r>
      <w:r w:rsidR="004E0FBB">
        <w:rPr>
          <w:rFonts w:ascii="Times New Roman" w:eastAsia="Calibri" w:hAnsi="Times New Roman"/>
          <w:sz w:val="24"/>
          <w:szCs w:val="24"/>
        </w:rPr>
        <w:t>819</w:t>
      </w:r>
      <w:r w:rsidR="003748EC">
        <w:rPr>
          <w:rFonts w:ascii="Times New Roman" w:eastAsia="Calibri" w:hAnsi="Times New Roman"/>
          <w:sz w:val="24"/>
          <w:szCs w:val="24"/>
        </w:rPr>
        <w:t xml:space="preserve"> </w:t>
      </w:r>
      <w:r w:rsidR="004E0FBB">
        <w:rPr>
          <w:rFonts w:ascii="Times New Roman" w:eastAsia="Calibri" w:hAnsi="Times New Roman"/>
          <w:sz w:val="24"/>
          <w:szCs w:val="24"/>
        </w:rPr>
        <w:t>702</w:t>
      </w:r>
      <w:r>
        <w:rPr>
          <w:rFonts w:ascii="Times New Roman" w:eastAsia="Calibri" w:hAnsi="Times New Roman"/>
          <w:sz w:val="24"/>
          <w:szCs w:val="24"/>
        </w:rPr>
        <w:t xml:space="preserve"> EUR. </w:t>
      </w:r>
      <w:r w:rsidR="00680629" w:rsidRPr="00F01872">
        <w:rPr>
          <w:rFonts w:ascii="Times New Roman" w:eastAsia="Calibri" w:hAnsi="Times New Roman"/>
          <w:sz w:val="24"/>
          <w:szCs w:val="24"/>
          <w:highlight w:val="yellow"/>
        </w:rPr>
        <w:t>V zmysle nastavených podmienok f</w:t>
      </w:r>
      <w:r w:rsidR="004E0FBB" w:rsidRPr="00F01872">
        <w:rPr>
          <w:rFonts w:ascii="Times New Roman" w:eastAsia="Calibri" w:hAnsi="Times New Roman"/>
          <w:sz w:val="24"/>
          <w:szCs w:val="24"/>
          <w:highlight w:val="yellow"/>
        </w:rPr>
        <w:t xml:space="preserve">inancovania odbytových združení, </w:t>
      </w:r>
      <w:r w:rsidR="003748EC" w:rsidRPr="00F01872">
        <w:rPr>
          <w:rFonts w:ascii="Times New Roman" w:eastAsia="Calibri" w:hAnsi="Times New Roman"/>
          <w:sz w:val="24"/>
          <w:szCs w:val="24"/>
          <w:highlight w:val="yellow"/>
        </w:rPr>
        <w:t xml:space="preserve">po skúsenostiach z minulého programového obdobia </w:t>
      </w:r>
      <w:r w:rsidR="004E0FBB" w:rsidRPr="00F01872">
        <w:rPr>
          <w:rFonts w:ascii="Times New Roman" w:eastAsia="Calibri" w:hAnsi="Times New Roman"/>
          <w:sz w:val="24"/>
          <w:szCs w:val="24"/>
          <w:highlight w:val="yellow"/>
        </w:rPr>
        <w:t xml:space="preserve">a sledovaním cieľa vytvoriť efektívnu protiváhu </w:t>
      </w:r>
      <w:proofErr w:type="spellStart"/>
      <w:r w:rsidR="004E0FBB" w:rsidRPr="00F01872">
        <w:rPr>
          <w:rFonts w:ascii="Times New Roman" w:eastAsia="Calibri" w:hAnsi="Times New Roman"/>
          <w:sz w:val="24"/>
          <w:szCs w:val="24"/>
          <w:highlight w:val="yellow"/>
        </w:rPr>
        <w:t>oligopolnej</w:t>
      </w:r>
      <w:proofErr w:type="spellEnd"/>
      <w:r w:rsidR="004E0FBB" w:rsidRPr="00F01872">
        <w:rPr>
          <w:rFonts w:ascii="Times New Roman" w:eastAsia="Calibri" w:hAnsi="Times New Roman"/>
          <w:sz w:val="24"/>
          <w:szCs w:val="24"/>
          <w:highlight w:val="yellow"/>
        </w:rPr>
        <w:t xml:space="preserve"> štruktúre obchodu </w:t>
      </w:r>
      <w:r w:rsidR="00680629" w:rsidRPr="00F01872">
        <w:rPr>
          <w:rFonts w:ascii="Times New Roman" w:eastAsia="Calibri" w:hAnsi="Times New Roman"/>
          <w:sz w:val="24"/>
          <w:szCs w:val="24"/>
          <w:highlight w:val="yellow"/>
        </w:rPr>
        <w:t xml:space="preserve">sa javí ako optimálne zakladať odbytové združenia s kumulovaným obratom </w:t>
      </w:r>
      <w:r w:rsidR="003748EC" w:rsidRPr="00F01872">
        <w:rPr>
          <w:rFonts w:ascii="Times New Roman" w:eastAsia="Calibri" w:hAnsi="Times New Roman"/>
          <w:sz w:val="24"/>
          <w:szCs w:val="24"/>
          <w:highlight w:val="yellow"/>
        </w:rPr>
        <w:t>cca</w:t>
      </w:r>
      <w:r w:rsidR="00B54034">
        <w:rPr>
          <w:rFonts w:ascii="Times New Roman" w:eastAsia="Calibri" w:hAnsi="Times New Roman"/>
          <w:sz w:val="24"/>
          <w:szCs w:val="24"/>
          <w:highlight w:val="yellow"/>
        </w:rPr>
        <w:t xml:space="preserve"> 50</w:t>
      </w:r>
      <w:r w:rsidR="00680629" w:rsidRPr="00F01872">
        <w:rPr>
          <w:rFonts w:ascii="Times New Roman" w:eastAsia="Calibri" w:hAnsi="Times New Roman"/>
          <w:sz w:val="24"/>
          <w:szCs w:val="24"/>
          <w:highlight w:val="yellow"/>
        </w:rPr>
        <w:t xml:space="preserve"> mil. EUR</w:t>
      </w:r>
      <w:r w:rsidR="003748EC" w:rsidRPr="00F01872">
        <w:rPr>
          <w:rFonts w:ascii="Times New Roman" w:eastAsia="Calibri" w:hAnsi="Times New Roman"/>
          <w:sz w:val="24"/>
          <w:szCs w:val="24"/>
          <w:highlight w:val="yellow"/>
        </w:rPr>
        <w:t xml:space="preserve"> a v</w:t>
      </w:r>
      <w:r w:rsidR="00B54034">
        <w:rPr>
          <w:rFonts w:ascii="Times New Roman" w:eastAsia="Calibri" w:hAnsi="Times New Roman"/>
          <w:sz w:val="24"/>
          <w:szCs w:val="24"/>
          <w:highlight w:val="yellow"/>
        </w:rPr>
        <w:t>iac s minimálnym počtom členov 2</w:t>
      </w:r>
      <w:r w:rsidR="00F01872" w:rsidRPr="00F01872">
        <w:rPr>
          <w:rFonts w:ascii="Times New Roman" w:eastAsia="Calibri" w:hAnsi="Times New Roman"/>
          <w:sz w:val="24"/>
          <w:szCs w:val="24"/>
          <w:highlight w:val="yellow"/>
        </w:rPr>
        <w:t>0</w:t>
      </w:r>
      <w:r w:rsidR="003748EC" w:rsidRPr="00F01872">
        <w:rPr>
          <w:rFonts w:ascii="Times New Roman" w:eastAsia="Calibri" w:hAnsi="Times New Roman"/>
          <w:sz w:val="24"/>
          <w:szCs w:val="24"/>
          <w:highlight w:val="yellow"/>
        </w:rPr>
        <w:t xml:space="preserve"> s približne rovnakými </w:t>
      </w:r>
      <w:r w:rsidR="004F324D" w:rsidRPr="00F01872">
        <w:rPr>
          <w:rFonts w:ascii="Times New Roman" w:eastAsia="Calibri" w:hAnsi="Times New Roman"/>
          <w:sz w:val="24"/>
          <w:szCs w:val="24"/>
          <w:highlight w:val="yellow"/>
        </w:rPr>
        <w:t>ekonomickými charakteristikami</w:t>
      </w:r>
      <w:r w:rsidR="00B54034">
        <w:rPr>
          <w:rFonts w:ascii="Times New Roman" w:eastAsia="Calibri" w:hAnsi="Times New Roman"/>
          <w:sz w:val="24"/>
          <w:szCs w:val="24"/>
        </w:rPr>
        <w:t xml:space="preserve">, </w:t>
      </w:r>
      <w:r w:rsidR="00FD3964">
        <w:rPr>
          <w:rFonts w:ascii="Times New Roman" w:eastAsia="Calibri" w:hAnsi="Times New Roman"/>
          <w:sz w:val="24"/>
          <w:szCs w:val="24"/>
        </w:rPr>
        <w:t>ktorých podpora, vyplácaná vo forme priamej dotácie  odbytovému združeniu, si vyž</w:t>
      </w:r>
      <w:r w:rsidR="00200A10">
        <w:rPr>
          <w:rFonts w:ascii="Times New Roman" w:eastAsia="Calibri" w:hAnsi="Times New Roman"/>
          <w:sz w:val="24"/>
          <w:szCs w:val="24"/>
        </w:rPr>
        <w:t xml:space="preserve">iada kumulatívne </w:t>
      </w:r>
      <w:r w:rsidR="00FD3964" w:rsidRPr="00200A10">
        <w:rPr>
          <w:rFonts w:ascii="Times New Roman" w:eastAsia="Calibri" w:hAnsi="Times New Roman"/>
          <w:sz w:val="24"/>
          <w:szCs w:val="24"/>
          <w:highlight w:val="yellow"/>
        </w:rPr>
        <w:t> </w:t>
      </w:r>
      <w:r w:rsidR="00B54034">
        <w:rPr>
          <w:rFonts w:ascii="Times New Roman" w:eastAsia="Calibri" w:hAnsi="Times New Roman"/>
          <w:sz w:val="24"/>
          <w:szCs w:val="24"/>
          <w:highlight w:val="yellow"/>
        </w:rPr>
        <w:t>7 5</w:t>
      </w:r>
      <w:r w:rsidR="00FD3964" w:rsidRPr="00200A10">
        <w:rPr>
          <w:rFonts w:ascii="Times New Roman" w:eastAsia="Calibri" w:hAnsi="Times New Roman"/>
          <w:sz w:val="24"/>
          <w:szCs w:val="24"/>
          <w:highlight w:val="yellow"/>
        </w:rPr>
        <w:t>00 000 EUR</w:t>
      </w:r>
      <w:r w:rsidR="00FD3964">
        <w:rPr>
          <w:rFonts w:ascii="Times New Roman" w:eastAsia="Calibri" w:hAnsi="Times New Roman"/>
          <w:sz w:val="24"/>
          <w:szCs w:val="24"/>
        </w:rPr>
        <w:t xml:space="preserve"> (</w:t>
      </w:r>
      <w:r w:rsidR="00B54034">
        <w:rPr>
          <w:rFonts w:ascii="Times New Roman" w:eastAsia="Calibri" w:hAnsi="Times New Roman"/>
          <w:sz w:val="24"/>
          <w:szCs w:val="24"/>
        </w:rPr>
        <w:t>1,</w:t>
      </w:r>
      <w:r w:rsidR="00F01872">
        <w:rPr>
          <w:rFonts w:ascii="Times New Roman" w:eastAsia="Calibri" w:hAnsi="Times New Roman"/>
          <w:sz w:val="24"/>
          <w:szCs w:val="24"/>
        </w:rPr>
        <w:t>5</w:t>
      </w:r>
      <w:r w:rsidR="00FD3964">
        <w:rPr>
          <w:rFonts w:ascii="Times New Roman" w:eastAsia="Calibri" w:hAnsi="Times New Roman"/>
          <w:sz w:val="24"/>
          <w:szCs w:val="24"/>
        </w:rPr>
        <w:t xml:space="preserve"> mil. EUR na každý rok počas 5 rokov fungovania združení). </w:t>
      </w:r>
    </w:p>
    <w:p w:rsidR="00171ED5" w:rsidRDefault="00171ED5" w:rsidP="00920F00">
      <w:pPr>
        <w:spacing w:after="0" w:line="240" w:lineRule="auto"/>
        <w:jc w:val="both"/>
        <w:rPr>
          <w:rFonts w:ascii="Times New Roman" w:eastAsia="Calibri" w:hAnsi="Times New Roman"/>
          <w:sz w:val="24"/>
          <w:szCs w:val="24"/>
        </w:rPr>
      </w:pPr>
    </w:p>
    <w:p w:rsidR="00171ED5" w:rsidRDefault="004F324D" w:rsidP="000D68DC">
      <w:pPr>
        <w:pStyle w:val="Nadpis2"/>
        <w:numPr>
          <w:ilvl w:val="1"/>
          <w:numId w:val="8"/>
        </w:numPr>
        <w:rPr>
          <w:rFonts w:eastAsia="Calibri"/>
          <w:szCs w:val="24"/>
        </w:rPr>
      </w:pPr>
      <w:bookmarkStart w:id="75" w:name="_Toc359550696"/>
      <w:proofErr w:type="spellStart"/>
      <w:r>
        <w:rPr>
          <w:rFonts w:eastAsia="Calibri"/>
          <w:szCs w:val="24"/>
        </w:rPr>
        <w:t>Agro-environmentálne</w:t>
      </w:r>
      <w:proofErr w:type="spellEnd"/>
      <w:r>
        <w:rPr>
          <w:rFonts w:eastAsia="Calibri"/>
          <w:szCs w:val="24"/>
        </w:rPr>
        <w:t xml:space="preserve"> operácie súvisiace s klímou</w:t>
      </w:r>
      <w:bookmarkEnd w:id="75"/>
    </w:p>
    <w:p w:rsidR="00627D5A" w:rsidRDefault="00627D5A" w:rsidP="00627D5A">
      <w:pPr>
        <w:spacing w:after="0" w:line="240" w:lineRule="auto"/>
        <w:jc w:val="both"/>
        <w:rPr>
          <w:rFonts w:ascii="Times New Roman" w:eastAsia="Calibri" w:hAnsi="Times New Roman"/>
          <w:sz w:val="24"/>
          <w:szCs w:val="24"/>
        </w:rPr>
      </w:pPr>
    </w:p>
    <w:p w:rsidR="00A6114A" w:rsidRPr="002C5CF1" w:rsidRDefault="008626F5" w:rsidP="002C5CF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V rámci </w:t>
      </w:r>
      <w:proofErr w:type="spellStart"/>
      <w:r w:rsidR="004F324D">
        <w:rPr>
          <w:rFonts w:ascii="Times New Roman" w:eastAsia="Calibri" w:hAnsi="Times New Roman"/>
          <w:sz w:val="24"/>
          <w:szCs w:val="24"/>
        </w:rPr>
        <w:t>agro</w:t>
      </w:r>
      <w:r w:rsidR="00A6114A">
        <w:rPr>
          <w:rFonts w:ascii="Times New Roman" w:eastAsia="Calibri" w:hAnsi="Times New Roman"/>
          <w:sz w:val="24"/>
          <w:szCs w:val="24"/>
        </w:rPr>
        <w:t>-</w:t>
      </w:r>
      <w:r w:rsidR="004F324D">
        <w:rPr>
          <w:rFonts w:ascii="Times New Roman" w:eastAsia="Calibri" w:hAnsi="Times New Roman"/>
          <w:sz w:val="24"/>
          <w:szCs w:val="24"/>
        </w:rPr>
        <w:t>environmentálnych</w:t>
      </w:r>
      <w:proofErr w:type="spellEnd"/>
      <w:r w:rsidR="004F324D">
        <w:rPr>
          <w:rFonts w:ascii="Times New Roman" w:eastAsia="Calibri" w:hAnsi="Times New Roman"/>
          <w:sz w:val="24"/>
          <w:szCs w:val="24"/>
        </w:rPr>
        <w:t xml:space="preserve"> operácií súvisiacich s klímou</w:t>
      </w:r>
      <w:r>
        <w:rPr>
          <w:rFonts w:ascii="Times New Roman" w:eastAsia="Calibri" w:hAnsi="Times New Roman"/>
          <w:sz w:val="24"/>
          <w:szCs w:val="24"/>
        </w:rPr>
        <w:t xml:space="preserve"> je hlavný dôraz kladený na </w:t>
      </w:r>
      <w:r w:rsidR="00A6114A">
        <w:rPr>
          <w:rFonts w:ascii="Times New Roman" w:eastAsia="Calibri" w:hAnsi="Times New Roman"/>
          <w:sz w:val="24"/>
          <w:szCs w:val="24"/>
        </w:rPr>
        <w:t>podporu</w:t>
      </w:r>
      <w:r w:rsidR="00A6114A" w:rsidRPr="00A6114A">
        <w:rPr>
          <w:rFonts w:ascii="Times New Roman" w:eastAsia="Calibri" w:hAnsi="Times New Roman"/>
          <w:sz w:val="24"/>
          <w:szCs w:val="24"/>
        </w:rPr>
        <w:t xml:space="preserve"> poľnohospodárom alebo skupinám poľnohospodárov ktorí sa dobrovoľne zaviažu vykonávať na poľ</w:t>
      </w:r>
      <w:r w:rsidR="00A6114A">
        <w:rPr>
          <w:rFonts w:ascii="Times New Roman" w:eastAsia="Calibri" w:hAnsi="Times New Roman"/>
          <w:sz w:val="24"/>
          <w:szCs w:val="24"/>
        </w:rPr>
        <w:t xml:space="preserve">nohospodárskej </w:t>
      </w:r>
      <w:r w:rsidR="00A6114A" w:rsidRPr="00A6114A">
        <w:rPr>
          <w:rFonts w:ascii="Times New Roman" w:eastAsia="Calibri" w:hAnsi="Times New Roman"/>
          <w:sz w:val="24"/>
          <w:szCs w:val="24"/>
        </w:rPr>
        <w:t>pôde operácie pozostávajúce z jedného alebo viacerý</w:t>
      </w:r>
      <w:r w:rsidR="00A6114A">
        <w:rPr>
          <w:rFonts w:ascii="Times New Roman" w:eastAsia="Calibri" w:hAnsi="Times New Roman"/>
          <w:sz w:val="24"/>
          <w:szCs w:val="24"/>
        </w:rPr>
        <w:t xml:space="preserve">ch </w:t>
      </w:r>
      <w:proofErr w:type="spellStart"/>
      <w:r w:rsidR="00A6114A">
        <w:rPr>
          <w:rFonts w:ascii="Times New Roman" w:eastAsia="Calibri" w:hAnsi="Times New Roman"/>
          <w:sz w:val="24"/>
          <w:szCs w:val="24"/>
        </w:rPr>
        <w:t>agroenvironmentálnych</w:t>
      </w:r>
      <w:proofErr w:type="spellEnd"/>
      <w:r w:rsidR="00A6114A">
        <w:rPr>
          <w:rFonts w:ascii="Times New Roman" w:eastAsia="Calibri" w:hAnsi="Times New Roman"/>
          <w:sz w:val="24"/>
          <w:szCs w:val="24"/>
        </w:rPr>
        <w:t xml:space="preserve"> </w:t>
      </w:r>
      <w:r w:rsidR="00A6114A" w:rsidRPr="00A6114A">
        <w:rPr>
          <w:rFonts w:ascii="Times New Roman" w:eastAsia="Calibri" w:hAnsi="Times New Roman"/>
          <w:sz w:val="24"/>
          <w:szCs w:val="24"/>
        </w:rPr>
        <w:t>záväzkov súvisiacich s klímou.</w:t>
      </w:r>
      <w:r w:rsidR="00A6114A">
        <w:rPr>
          <w:rFonts w:ascii="Times New Roman" w:eastAsia="Calibri" w:hAnsi="Times New Roman"/>
          <w:sz w:val="24"/>
          <w:szCs w:val="24"/>
        </w:rPr>
        <w:t xml:space="preserve"> </w:t>
      </w:r>
      <w:r w:rsidR="008E4DDE">
        <w:rPr>
          <w:rFonts w:ascii="Times New Roman" w:eastAsia="Calibri" w:hAnsi="Times New Roman"/>
          <w:sz w:val="24"/>
          <w:szCs w:val="24"/>
        </w:rPr>
        <w:t>Pre naplnenie priorít tejto strednodobej koncepcie je dôležitá predovšetkým podpora integrovanej produkcie najmä tý</w:t>
      </w:r>
      <w:r w:rsidR="002C5CF1">
        <w:rPr>
          <w:rFonts w:ascii="Times New Roman" w:eastAsia="Calibri" w:hAnsi="Times New Roman"/>
          <w:sz w:val="24"/>
          <w:szCs w:val="24"/>
        </w:rPr>
        <w:t>chto poľnohospodárskych komodít: zemiaky, zelenina, ovocie, vinič, chmeľ</w:t>
      </w:r>
      <w:r w:rsidR="00A6114A" w:rsidRPr="002C5CF1">
        <w:rPr>
          <w:rFonts w:ascii="Times New Roman" w:eastAsia="Calibri" w:hAnsi="Times New Roman"/>
          <w:sz w:val="24"/>
          <w:szCs w:val="24"/>
        </w:rPr>
        <w:t xml:space="preserve"> a</w:t>
      </w:r>
      <w:r w:rsidR="002C5CF1">
        <w:rPr>
          <w:rFonts w:ascii="Times New Roman" w:eastAsia="Calibri" w:hAnsi="Times New Roman"/>
          <w:sz w:val="24"/>
          <w:szCs w:val="24"/>
        </w:rPr>
        <w:t xml:space="preserve"> </w:t>
      </w:r>
      <w:r w:rsidR="00A6114A" w:rsidRPr="002C5CF1">
        <w:rPr>
          <w:rFonts w:ascii="Times New Roman" w:eastAsia="Calibri" w:hAnsi="Times New Roman"/>
          <w:sz w:val="24"/>
          <w:szCs w:val="24"/>
        </w:rPr>
        <w:t>cukrová repa.</w:t>
      </w:r>
    </w:p>
    <w:p w:rsidR="00017D57" w:rsidRDefault="00017D57" w:rsidP="0019327A">
      <w:pPr>
        <w:spacing w:after="0" w:line="240" w:lineRule="auto"/>
        <w:jc w:val="both"/>
        <w:rPr>
          <w:rFonts w:ascii="Times New Roman" w:eastAsia="Calibri" w:hAnsi="Times New Roman"/>
          <w:sz w:val="24"/>
          <w:szCs w:val="24"/>
        </w:rPr>
      </w:pPr>
    </w:p>
    <w:p w:rsidR="00017D57" w:rsidRPr="00B13618" w:rsidRDefault="00C970F8" w:rsidP="00B13618">
      <w:pPr>
        <w:tabs>
          <w:tab w:val="left" w:pos="993"/>
        </w:tabs>
        <w:spacing w:after="0" w:line="240" w:lineRule="auto"/>
        <w:jc w:val="both"/>
        <w:rPr>
          <w:rFonts w:ascii="Times New Roman" w:hAnsi="Times New Roman" w:cs="Times New Roman"/>
          <w:sz w:val="20"/>
          <w:szCs w:val="20"/>
        </w:rPr>
      </w:pPr>
      <w:r w:rsidRPr="00DC2041">
        <w:rPr>
          <w:rFonts w:ascii="Times New Roman" w:hAnsi="Times New Roman" w:cs="Times New Roman"/>
          <w:sz w:val="20"/>
          <w:szCs w:val="20"/>
          <w:highlight w:val="yellow"/>
        </w:rPr>
        <w:t>Tab. č. 63</w:t>
      </w:r>
      <w:r w:rsidR="00B13618" w:rsidRPr="00A855A4">
        <w:rPr>
          <w:rFonts w:ascii="Times New Roman" w:hAnsi="Times New Roman" w:cs="Times New Roman"/>
          <w:sz w:val="20"/>
          <w:szCs w:val="20"/>
        </w:rPr>
        <w:t xml:space="preserve">: </w:t>
      </w:r>
      <w:r w:rsidR="00B13618">
        <w:rPr>
          <w:rFonts w:ascii="Times New Roman" w:hAnsi="Times New Roman" w:cs="Times New Roman"/>
          <w:sz w:val="20"/>
          <w:szCs w:val="20"/>
        </w:rPr>
        <w:tab/>
        <w:t xml:space="preserve">Výpočet predpokladanej výšky podpory integrovanej produkcie </w:t>
      </w:r>
    </w:p>
    <w:tbl>
      <w:tblPr>
        <w:tblW w:w="9087" w:type="dxa"/>
        <w:tblInd w:w="55" w:type="dxa"/>
        <w:tblCellMar>
          <w:left w:w="70" w:type="dxa"/>
          <w:right w:w="70" w:type="dxa"/>
        </w:tblCellMar>
        <w:tblLook w:val="04A0" w:firstRow="1" w:lastRow="0" w:firstColumn="1" w:lastColumn="0" w:noHBand="0" w:noVBand="1"/>
      </w:tblPr>
      <w:tblGrid>
        <w:gridCol w:w="1291"/>
        <w:gridCol w:w="2370"/>
        <w:gridCol w:w="1441"/>
        <w:gridCol w:w="2284"/>
        <w:gridCol w:w="1701"/>
      </w:tblGrid>
      <w:tr w:rsidR="00DC2041" w:rsidRPr="00DC2041" w:rsidTr="00DC2041">
        <w:trPr>
          <w:trHeight w:val="1332"/>
        </w:trPr>
        <w:tc>
          <w:tcPr>
            <w:tcW w:w="1291" w:type="dxa"/>
            <w:tcBorders>
              <w:top w:val="single" w:sz="8" w:space="0" w:color="auto"/>
              <w:left w:val="nil"/>
              <w:bottom w:val="single" w:sz="8" w:space="0" w:color="auto"/>
              <w:right w:val="nil"/>
            </w:tcBorders>
            <w:shd w:val="clear" w:color="000000" w:fill="D9D9D9"/>
            <w:hideMark/>
          </w:tcPr>
          <w:p w:rsidR="00DC2041" w:rsidRPr="00DC2041" w:rsidRDefault="00DC2041" w:rsidP="00DC2041">
            <w:pPr>
              <w:spacing w:after="0" w:line="240" w:lineRule="auto"/>
              <w:jc w:val="center"/>
              <w:rPr>
                <w:rFonts w:ascii="Times New Roman" w:eastAsia="Times New Roman" w:hAnsi="Times New Roman" w:cs="Times New Roman"/>
                <w:b/>
                <w:bCs/>
                <w:color w:val="000000"/>
                <w:sz w:val="20"/>
                <w:szCs w:val="20"/>
              </w:rPr>
            </w:pPr>
            <w:r w:rsidRPr="00DC2041">
              <w:rPr>
                <w:rFonts w:ascii="Times New Roman" w:eastAsia="Times New Roman" w:hAnsi="Times New Roman" w:cs="Times New Roman"/>
                <w:b/>
                <w:bCs/>
                <w:color w:val="000000"/>
                <w:sz w:val="20"/>
                <w:szCs w:val="20"/>
              </w:rPr>
              <w:t> </w:t>
            </w:r>
          </w:p>
        </w:tc>
        <w:tc>
          <w:tcPr>
            <w:tcW w:w="2370" w:type="dxa"/>
            <w:tcBorders>
              <w:top w:val="single" w:sz="8" w:space="0" w:color="auto"/>
              <w:left w:val="nil"/>
              <w:bottom w:val="single" w:sz="8" w:space="0" w:color="auto"/>
              <w:right w:val="nil"/>
            </w:tcBorders>
            <w:shd w:val="clear" w:color="000000" w:fill="D9D9D9"/>
            <w:hideMark/>
          </w:tcPr>
          <w:p w:rsidR="00DC2041" w:rsidRPr="00DC2041" w:rsidRDefault="00DC2041" w:rsidP="00DC2041">
            <w:pPr>
              <w:spacing w:after="0" w:line="240" w:lineRule="auto"/>
              <w:jc w:val="center"/>
              <w:rPr>
                <w:rFonts w:ascii="Times New Roman" w:eastAsia="Times New Roman" w:hAnsi="Times New Roman" w:cs="Times New Roman"/>
                <w:b/>
                <w:bCs/>
                <w:color w:val="000000"/>
                <w:sz w:val="20"/>
                <w:szCs w:val="20"/>
              </w:rPr>
            </w:pPr>
            <w:r w:rsidRPr="00DC2041">
              <w:rPr>
                <w:rFonts w:ascii="Times New Roman" w:eastAsia="Times New Roman" w:hAnsi="Times New Roman" w:cs="Times New Roman"/>
                <w:b/>
                <w:bCs/>
                <w:color w:val="000000"/>
                <w:sz w:val="20"/>
                <w:szCs w:val="20"/>
              </w:rPr>
              <w:t xml:space="preserve"> predpokladaná priemerná zberová plocha plodín s integrovanou produkciou v ha</w:t>
            </w:r>
          </w:p>
        </w:tc>
        <w:tc>
          <w:tcPr>
            <w:tcW w:w="1441" w:type="dxa"/>
            <w:tcBorders>
              <w:top w:val="single" w:sz="8" w:space="0" w:color="auto"/>
              <w:left w:val="nil"/>
              <w:bottom w:val="single" w:sz="8" w:space="0" w:color="auto"/>
              <w:right w:val="nil"/>
            </w:tcBorders>
            <w:shd w:val="clear" w:color="000000" w:fill="D9D9D9"/>
            <w:hideMark/>
          </w:tcPr>
          <w:p w:rsidR="00DC2041" w:rsidRPr="00DC2041" w:rsidRDefault="00DC2041" w:rsidP="00DC2041">
            <w:pPr>
              <w:spacing w:after="0" w:line="240" w:lineRule="auto"/>
              <w:jc w:val="center"/>
              <w:rPr>
                <w:rFonts w:ascii="Times New Roman" w:eastAsia="Times New Roman" w:hAnsi="Times New Roman" w:cs="Times New Roman"/>
                <w:b/>
                <w:bCs/>
                <w:color w:val="000000"/>
                <w:sz w:val="20"/>
                <w:szCs w:val="20"/>
              </w:rPr>
            </w:pPr>
            <w:r w:rsidRPr="00DC2041">
              <w:rPr>
                <w:rFonts w:ascii="Times New Roman" w:eastAsia="Times New Roman" w:hAnsi="Times New Roman" w:cs="Times New Roman"/>
                <w:b/>
                <w:bCs/>
                <w:color w:val="000000"/>
                <w:sz w:val="20"/>
                <w:szCs w:val="20"/>
              </w:rPr>
              <w:t>predpokladaná výška podpory na ha /rok</w:t>
            </w:r>
          </w:p>
        </w:tc>
        <w:tc>
          <w:tcPr>
            <w:tcW w:w="2284" w:type="dxa"/>
            <w:tcBorders>
              <w:top w:val="single" w:sz="8" w:space="0" w:color="auto"/>
              <w:left w:val="nil"/>
              <w:bottom w:val="single" w:sz="8" w:space="0" w:color="auto"/>
              <w:right w:val="nil"/>
            </w:tcBorders>
            <w:shd w:val="clear" w:color="000000" w:fill="D9D9D9"/>
            <w:hideMark/>
          </w:tcPr>
          <w:p w:rsidR="00DC2041" w:rsidRPr="00DC2041" w:rsidRDefault="00DC2041" w:rsidP="00DC2041">
            <w:pPr>
              <w:spacing w:after="0" w:line="240" w:lineRule="auto"/>
              <w:jc w:val="center"/>
              <w:rPr>
                <w:rFonts w:ascii="Times New Roman" w:eastAsia="Times New Roman" w:hAnsi="Times New Roman" w:cs="Times New Roman"/>
                <w:b/>
                <w:bCs/>
                <w:color w:val="000000"/>
                <w:sz w:val="20"/>
                <w:szCs w:val="20"/>
              </w:rPr>
            </w:pPr>
            <w:r w:rsidRPr="00DC2041">
              <w:rPr>
                <w:rFonts w:ascii="Times New Roman" w:eastAsia="Times New Roman" w:hAnsi="Times New Roman" w:cs="Times New Roman"/>
                <w:b/>
                <w:bCs/>
                <w:color w:val="000000"/>
                <w:sz w:val="20"/>
                <w:szCs w:val="20"/>
              </w:rPr>
              <w:t>predpokladaná ročná výška podpory integrovanej produkcie v EUR</w:t>
            </w:r>
          </w:p>
        </w:tc>
        <w:tc>
          <w:tcPr>
            <w:tcW w:w="1701" w:type="dxa"/>
            <w:tcBorders>
              <w:top w:val="single" w:sz="8" w:space="0" w:color="auto"/>
              <w:left w:val="nil"/>
              <w:bottom w:val="single" w:sz="8" w:space="0" w:color="auto"/>
              <w:right w:val="nil"/>
            </w:tcBorders>
            <w:shd w:val="clear" w:color="000000" w:fill="D9D9D9"/>
            <w:hideMark/>
          </w:tcPr>
          <w:p w:rsidR="00DC2041" w:rsidRPr="00DC2041" w:rsidRDefault="00DC2041" w:rsidP="00DC2041">
            <w:pPr>
              <w:spacing w:after="0" w:line="240" w:lineRule="auto"/>
              <w:jc w:val="center"/>
              <w:rPr>
                <w:rFonts w:ascii="Times New Roman" w:eastAsia="Times New Roman" w:hAnsi="Times New Roman" w:cs="Times New Roman"/>
                <w:b/>
                <w:bCs/>
                <w:color w:val="000000"/>
                <w:sz w:val="20"/>
                <w:szCs w:val="20"/>
              </w:rPr>
            </w:pPr>
            <w:r w:rsidRPr="00DC2041">
              <w:rPr>
                <w:rFonts w:ascii="Times New Roman" w:eastAsia="Times New Roman" w:hAnsi="Times New Roman" w:cs="Times New Roman"/>
                <w:b/>
                <w:bCs/>
                <w:color w:val="000000"/>
                <w:sz w:val="20"/>
                <w:szCs w:val="20"/>
              </w:rPr>
              <w:t>predpokladaná kumulatívna výška podpory integrovanej produkcie v EUR</w:t>
            </w:r>
          </w:p>
        </w:tc>
      </w:tr>
      <w:tr w:rsidR="00DC2041" w:rsidRPr="00DC2041" w:rsidTr="00DC2041">
        <w:trPr>
          <w:trHeight w:val="255"/>
        </w:trPr>
        <w:tc>
          <w:tcPr>
            <w:tcW w:w="1291"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Zemiaky</w:t>
            </w:r>
          </w:p>
        </w:tc>
        <w:tc>
          <w:tcPr>
            <w:tcW w:w="2370"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center"/>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6 500</w:t>
            </w:r>
          </w:p>
        </w:tc>
        <w:tc>
          <w:tcPr>
            <w:tcW w:w="1441"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center"/>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290</w:t>
            </w:r>
          </w:p>
        </w:tc>
        <w:tc>
          <w:tcPr>
            <w:tcW w:w="2284"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right"/>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1 887 877</w:t>
            </w:r>
          </w:p>
        </w:tc>
        <w:tc>
          <w:tcPr>
            <w:tcW w:w="1701"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right"/>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13 215 141</w:t>
            </w:r>
          </w:p>
        </w:tc>
      </w:tr>
      <w:tr w:rsidR="00DC2041" w:rsidRPr="00DC2041" w:rsidTr="00DC2041">
        <w:trPr>
          <w:trHeight w:val="255"/>
        </w:trPr>
        <w:tc>
          <w:tcPr>
            <w:tcW w:w="1291" w:type="dxa"/>
            <w:tcBorders>
              <w:top w:val="nil"/>
              <w:left w:val="nil"/>
              <w:bottom w:val="nil"/>
              <w:right w:val="nil"/>
            </w:tcBorders>
            <w:shd w:val="clear" w:color="000000" w:fill="F2F2F2"/>
            <w:noWrap/>
            <w:vAlign w:val="bottom"/>
            <w:hideMark/>
          </w:tcPr>
          <w:p w:rsidR="00DC2041" w:rsidRPr="00DC2041" w:rsidRDefault="00DC2041" w:rsidP="00DC2041">
            <w:pPr>
              <w:spacing w:after="0" w:line="240" w:lineRule="auto"/>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Zelenina</w:t>
            </w:r>
          </w:p>
        </w:tc>
        <w:tc>
          <w:tcPr>
            <w:tcW w:w="2370"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center"/>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6 500</w:t>
            </w:r>
          </w:p>
        </w:tc>
        <w:tc>
          <w:tcPr>
            <w:tcW w:w="1441"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center"/>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436</w:t>
            </w:r>
          </w:p>
        </w:tc>
        <w:tc>
          <w:tcPr>
            <w:tcW w:w="2284"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right"/>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2 831 816</w:t>
            </w:r>
          </w:p>
        </w:tc>
        <w:tc>
          <w:tcPr>
            <w:tcW w:w="1701"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right"/>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19 822 712</w:t>
            </w:r>
          </w:p>
        </w:tc>
      </w:tr>
      <w:tr w:rsidR="00DC2041" w:rsidRPr="00DC2041" w:rsidTr="00DC2041">
        <w:trPr>
          <w:trHeight w:val="255"/>
        </w:trPr>
        <w:tc>
          <w:tcPr>
            <w:tcW w:w="1291"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 xml:space="preserve">Ovocie </w:t>
            </w:r>
          </w:p>
        </w:tc>
        <w:tc>
          <w:tcPr>
            <w:tcW w:w="2370"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center"/>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3 500</w:t>
            </w:r>
          </w:p>
        </w:tc>
        <w:tc>
          <w:tcPr>
            <w:tcW w:w="1441"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center"/>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532</w:t>
            </w:r>
          </w:p>
        </w:tc>
        <w:tc>
          <w:tcPr>
            <w:tcW w:w="2284"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right"/>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1 863 674</w:t>
            </w:r>
          </w:p>
        </w:tc>
        <w:tc>
          <w:tcPr>
            <w:tcW w:w="1701"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right"/>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13 045 717</w:t>
            </w:r>
          </w:p>
        </w:tc>
      </w:tr>
      <w:tr w:rsidR="00DC2041" w:rsidRPr="00DC2041" w:rsidTr="00DC2041">
        <w:trPr>
          <w:trHeight w:val="255"/>
        </w:trPr>
        <w:tc>
          <w:tcPr>
            <w:tcW w:w="1291" w:type="dxa"/>
            <w:tcBorders>
              <w:top w:val="nil"/>
              <w:left w:val="nil"/>
              <w:bottom w:val="nil"/>
              <w:right w:val="nil"/>
            </w:tcBorders>
            <w:shd w:val="clear" w:color="000000" w:fill="F2F2F2"/>
            <w:noWrap/>
            <w:vAlign w:val="bottom"/>
            <w:hideMark/>
          </w:tcPr>
          <w:p w:rsidR="00DC2041" w:rsidRPr="00DC2041" w:rsidRDefault="00DC2041" w:rsidP="00DC2041">
            <w:pPr>
              <w:spacing w:after="0" w:line="240" w:lineRule="auto"/>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Vinič</w:t>
            </w:r>
          </w:p>
        </w:tc>
        <w:tc>
          <w:tcPr>
            <w:tcW w:w="2370"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center"/>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7 500</w:t>
            </w:r>
          </w:p>
        </w:tc>
        <w:tc>
          <w:tcPr>
            <w:tcW w:w="1441"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center"/>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532</w:t>
            </w:r>
          </w:p>
        </w:tc>
        <w:tc>
          <w:tcPr>
            <w:tcW w:w="2284"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right"/>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3 993 587</w:t>
            </w:r>
          </w:p>
        </w:tc>
        <w:tc>
          <w:tcPr>
            <w:tcW w:w="1701"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right"/>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27 955 107</w:t>
            </w:r>
          </w:p>
        </w:tc>
      </w:tr>
      <w:tr w:rsidR="00DC2041" w:rsidRPr="00DC2041" w:rsidTr="00DC2041">
        <w:trPr>
          <w:trHeight w:val="255"/>
        </w:trPr>
        <w:tc>
          <w:tcPr>
            <w:tcW w:w="1291"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Chmeľ</w:t>
            </w:r>
          </w:p>
        </w:tc>
        <w:tc>
          <w:tcPr>
            <w:tcW w:w="2370"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center"/>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150</w:t>
            </w:r>
          </w:p>
        </w:tc>
        <w:tc>
          <w:tcPr>
            <w:tcW w:w="1441"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center"/>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387</w:t>
            </w:r>
          </w:p>
        </w:tc>
        <w:tc>
          <w:tcPr>
            <w:tcW w:w="2284"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right"/>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58 089</w:t>
            </w:r>
          </w:p>
        </w:tc>
        <w:tc>
          <w:tcPr>
            <w:tcW w:w="1701"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right"/>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406 620</w:t>
            </w:r>
          </w:p>
        </w:tc>
      </w:tr>
      <w:tr w:rsidR="00DC2041" w:rsidRPr="00DC2041" w:rsidTr="00DC2041">
        <w:trPr>
          <w:trHeight w:val="270"/>
        </w:trPr>
        <w:tc>
          <w:tcPr>
            <w:tcW w:w="1291" w:type="dxa"/>
            <w:tcBorders>
              <w:top w:val="nil"/>
              <w:left w:val="nil"/>
              <w:bottom w:val="nil"/>
              <w:right w:val="nil"/>
            </w:tcBorders>
            <w:shd w:val="clear" w:color="000000" w:fill="F2F2F2"/>
            <w:noWrap/>
            <w:vAlign w:val="bottom"/>
            <w:hideMark/>
          </w:tcPr>
          <w:p w:rsidR="00DC2041" w:rsidRPr="00DC2041" w:rsidRDefault="00DC2041" w:rsidP="00DC2041">
            <w:pPr>
              <w:spacing w:after="0" w:line="240" w:lineRule="auto"/>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Cukrová repa</w:t>
            </w:r>
          </w:p>
        </w:tc>
        <w:tc>
          <w:tcPr>
            <w:tcW w:w="2370"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center"/>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17 700</w:t>
            </w:r>
          </w:p>
        </w:tc>
        <w:tc>
          <w:tcPr>
            <w:tcW w:w="1441"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center"/>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145</w:t>
            </w:r>
          </w:p>
        </w:tc>
        <w:tc>
          <w:tcPr>
            <w:tcW w:w="2284"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right"/>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2 570 418</w:t>
            </w:r>
          </w:p>
        </w:tc>
        <w:tc>
          <w:tcPr>
            <w:tcW w:w="1701" w:type="dxa"/>
            <w:tcBorders>
              <w:top w:val="nil"/>
              <w:left w:val="nil"/>
              <w:bottom w:val="nil"/>
              <w:right w:val="nil"/>
            </w:tcBorders>
            <w:shd w:val="clear" w:color="auto" w:fill="auto"/>
            <w:noWrap/>
            <w:vAlign w:val="bottom"/>
            <w:hideMark/>
          </w:tcPr>
          <w:p w:rsidR="00DC2041" w:rsidRPr="00DC2041" w:rsidRDefault="00DC2041" w:rsidP="00DC2041">
            <w:pPr>
              <w:spacing w:after="0" w:line="240" w:lineRule="auto"/>
              <w:jc w:val="right"/>
              <w:rPr>
                <w:rFonts w:ascii="Times New Roman" w:eastAsia="Times New Roman" w:hAnsi="Times New Roman" w:cs="Times New Roman"/>
                <w:color w:val="000000"/>
                <w:sz w:val="20"/>
                <w:szCs w:val="20"/>
              </w:rPr>
            </w:pPr>
            <w:r w:rsidRPr="00DC2041">
              <w:rPr>
                <w:rFonts w:ascii="Times New Roman" w:eastAsia="Times New Roman" w:hAnsi="Times New Roman" w:cs="Times New Roman"/>
                <w:color w:val="000000"/>
                <w:sz w:val="20"/>
                <w:szCs w:val="20"/>
              </w:rPr>
              <w:t>17 992 923</w:t>
            </w:r>
          </w:p>
        </w:tc>
      </w:tr>
      <w:tr w:rsidR="00DC2041" w:rsidRPr="00DC2041" w:rsidTr="00DC2041">
        <w:trPr>
          <w:trHeight w:val="270"/>
        </w:trPr>
        <w:tc>
          <w:tcPr>
            <w:tcW w:w="1291" w:type="dxa"/>
            <w:tcBorders>
              <w:top w:val="single" w:sz="8" w:space="0" w:color="auto"/>
              <w:left w:val="nil"/>
              <w:bottom w:val="single" w:sz="8" w:space="0" w:color="auto"/>
              <w:right w:val="nil"/>
            </w:tcBorders>
            <w:shd w:val="clear" w:color="000000" w:fill="D9D9D9"/>
            <w:noWrap/>
            <w:vAlign w:val="bottom"/>
            <w:hideMark/>
          </w:tcPr>
          <w:p w:rsidR="00DC2041" w:rsidRPr="00DC2041" w:rsidRDefault="00DC2041" w:rsidP="00DC2041">
            <w:pPr>
              <w:spacing w:after="0" w:line="240" w:lineRule="auto"/>
              <w:rPr>
                <w:rFonts w:ascii="Times New Roman" w:eastAsia="Times New Roman" w:hAnsi="Times New Roman" w:cs="Times New Roman"/>
                <w:b/>
                <w:bCs/>
                <w:color w:val="000000"/>
                <w:sz w:val="20"/>
                <w:szCs w:val="20"/>
              </w:rPr>
            </w:pPr>
            <w:r w:rsidRPr="00DC2041">
              <w:rPr>
                <w:rFonts w:ascii="Times New Roman" w:eastAsia="Times New Roman" w:hAnsi="Times New Roman" w:cs="Times New Roman"/>
                <w:b/>
                <w:bCs/>
                <w:color w:val="000000"/>
                <w:sz w:val="20"/>
                <w:szCs w:val="20"/>
              </w:rPr>
              <w:t>Celkom</w:t>
            </w:r>
          </w:p>
        </w:tc>
        <w:tc>
          <w:tcPr>
            <w:tcW w:w="2370" w:type="dxa"/>
            <w:tcBorders>
              <w:top w:val="single" w:sz="8" w:space="0" w:color="auto"/>
              <w:left w:val="nil"/>
              <w:bottom w:val="single" w:sz="8" w:space="0" w:color="auto"/>
              <w:right w:val="nil"/>
            </w:tcBorders>
            <w:shd w:val="clear" w:color="000000" w:fill="D9D9D9"/>
            <w:noWrap/>
            <w:vAlign w:val="bottom"/>
            <w:hideMark/>
          </w:tcPr>
          <w:p w:rsidR="00DC2041" w:rsidRPr="00DC2041" w:rsidRDefault="00DC2041" w:rsidP="00DC2041">
            <w:pPr>
              <w:spacing w:after="0" w:line="240" w:lineRule="auto"/>
              <w:jc w:val="center"/>
              <w:rPr>
                <w:rFonts w:ascii="Times New Roman" w:eastAsia="Times New Roman" w:hAnsi="Times New Roman" w:cs="Times New Roman"/>
                <w:b/>
                <w:bCs/>
                <w:color w:val="000000"/>
                <w:sz w:val="20"/>
                <w:szCs w:val="20"/>
              </w:rPr>
            </w:pPr>
            <w:r w:rsidRPr="00DC2041">
              <w:rPr>
                <w:rFonts w:ascii="Times New Roman" w:eastAsia="Times New Roman" w:hAnsi="Times New Roman" w:cs="Times New Roman"/>
                <w:b/>
                <w:bCs/>
                <w:color w:val="000000"/>
                <w:sz w:val="20"/>
                <w:szCs w:val="20"/>
              </w:rPr>
              <w:t>41 850</w:t>
            </w:r>
          </w:p>
        </w:tc>
        <w:tc>
          <w:tcPr>
            <w:tcW w:w="1441" w:type="dxa"/>
            <w:tcBorders>
              <w:top w:val="single" w:sz="8" w:space="0" w:color="auto"/>
              <w:left w:val="nil"/>
              <w:bottom w:val="single" w:sz="8" w:space="0" w:color="auto"/>
              <w:right w:val="nil"/>
            </w:tcBorders>
            <w:shd w:val="clear" w:color="000000" w:fill="D9D9D9"/>
            <w:noWrap/>
            <w:vAlign w:val="bottom"/>
            <w:hideMark/>
          </w:tcPr>
          <w:p w:rsidR="00DC2041" w:rsidRPr="00DC2041" w:rsidRDefault="00DC2041" w:rsidP="00DC2041">
            <w:pPr>
              <w:spacing w:after="0" w:line="240" w:lineRule="auto"/>
              <w:rPr>
                <w:rFonts w:ascii="Times New Roman" w:eastAsia="Times New Roman" w:hAnsi="Times New Roman" w:cs="Times New Roman"/>
                <w:b/>
                <w:bCs/>
                <w:color w:val="000000"/>
                <w:sz w:val="20"/>
                <w:szCs w:val="20"/>
              </w:rPr>
            </w:pPr>
            <w:r w:rsidRPr="00DC2041">
              <w:rPr>
                <w:rFonts w:ascii="Times New Roman" w:eastAsia="Times New Roman" w:hAnsi="Times New Roman" w:cs="Times New Roman"/>
                <w:b/>
                <w:bCs/>
                <w:color w:val="000000"/>
                <w:sz w:val="20"/>
                <w:szCs w:val="20"/>
              </w:rPr>
              <w:t> </w:t>
            </w:r>
          </w:p>
        </w:tc>
        <w:tc>
          <w:tcPr>
            <w:tcW w:w="2284" w:type="dxa"/>
            <w:tcBorders>
              <w:top w:val="single" w:sz="8" w:space="0" w:color="auto"/>
              <w:left w:val="nil"/>
              <w:bottom w:val="single" w:sz="8" w:space="0" w:color="auto"/>
              <w:right w:val="nil"/>
            </w:tcBorders>
            <w:shd w:val="clear" w:color="000000" w:fill="D9D9D9"/>
            <w:noWrap/>
            <w:vAlign w:val="bottom"/>
            <w:hideMark/>
          </w:tcPr>
          <w:p w:rsidR="00DC2041" w:rsidRPr="00DC2041" w:rsidRDefault="00DC2041" w:rsidP="00DC2041">
            <w:pPr>
              <w:spacing w:after="0" w:line="240" w:lineRule="auto"/>
              <w:jc w:val="right"/>
              <w:rPr>
                <w:rFonts w:ascii="Times New Roman" w:eastAsia="Times New Roman" w:hAnsi="Times New Roman" w:cs="Times New Roman"/>
                <w:b/>
                <w:bCs/>
                <w:color w:val="000000"/>
                <w:sz w:val="20"/>
                <w:szCs w:val="20"/>
              </w:rPr>
            </w:pPr>
            <w:r w:rsidRPr="00DC2041">
              <w:rPr>
                <w:rFonts w:ascii="Times New Roman" w:eastAsia="Times New Roman" w:hAnsi="Times New Roman" w:cs="Times New Roman"/>
                <w:b/>
                <w:bCs/>
                <w:color w:val="000000"/>
                <w:sz w:val="20"/>
                <w:szCs w:val="20"/>
              </w:rPr>
              <w:t>13 205 460</w:t>
            </w:r>
          </w:p>
        </w:tc>
        <w:tc>
          <w:tcPr>
            <w:tcW w:w="1701" w:type="dxa"/>
            <w:tcBorders>
              <w:top w:val="single" w:sz="8" w:space="0" w:color="auto"/>
              <w:left w:val="nil"/>
              <w:bottom w:val="single" w:sz="8" w:space="0" w:color="auto"/>
              <w:right w:val="nil"/>
            </w:tcBorders>
            <w:shd w:val="clear" w:color="000000" w:fill="D9D9D9"/>
            <w:noWrap/>
            <w:vAlign w:val="bottom"/>
            <w:hideMark/>
          </w:tcPr>
          <w:p w:rsidR="00DC2041" w:rsidRPr="00DC2041" w:rsidRDefault="00DC2041" w:rsidP="00DC2041">
            <w:pPr>
              <w:spacing w:after="0" w:line="240" w:lineRule="auto"/>
              <w:jc w:val="right"/>
              <w:rPr>
                <w:rFonts w:ascii="Times New Roman" w:eastAsia="Times New Roman" w:hAnsi="Times New Roman" w:cs="Times New Roman"/>
                <w:b/>
                <w:bCs/>
                <w:color w:val="000000"/>
                <w:sz w:val="20"/>
                <w:szCs w:val="20"/>
              </w:rPr>
            </w:pPr>
            <w:r w:rsidRPr="00DC2041">
              <w:rPr>
                <w:rFonts w:ascii="Times New Roman" w:eastAsia="Times New Roman" w:hAnsi="Times New Roman" w:cs="Times New Roman"/>
                <w:b/>
                <w:bCs/>
                <w:color w:val="000000"/>
                <w:sz w:val="20"/>
                <w:szCs w:val="20"/>
              </w:rPr>
              <w:t>92 438 220</w:t>
            </w:r>
          </w:p>
        </w:tc>
      </w:tr>
    </w:tbl>
    <w:p w:rsidR="00750F3A" w:rsidRPr="0019327A" w:rsidRDefault="00750F3A" w:rsidP="0019327A">
      <w:pPr>
        <w:spacing w:after="0" w:line="240" w:lineRule="auto"/>
        <w:jc w:val="both"/>
        <w:rPr>
          <w:rFonts w:ascii="Times New Roman" w:eastAsia="Calibri" w:hAnsi="Times New Roman"/>
          <w:sz w:val="24"/>
          <w:szCs w:val="24"/>
        </w:rPr>
      </w:pPr>
    </w:p>
    <w:p w:rsidR="00766688" w:rsidRDefault="00B13618" w:rsidP="00766688">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Podpora integrovanej produkcie si vyžiada ročné financovanie na úrovni cca </w:t>
      </w:r>
      <w:r w:rsidR="002C5CF1">
        <w:rPr>
          <w:rFonts w:ascii="Times New Roman" w:eastAsia="Calibri" w:hAnsi="Times New Roman"/>
          <w:sz w:val="24"/>
          <w:szCs w:val="24"/>
        </w:rPr>
        <w:t>10,6</w:t>
      </w:r>
      <w:r>
        <w:rPr>
          <w:rFonts w:ascii="Times New Roman" w:eastAsia="Calibri" w:hAnsi="Times New Roman"/>
          <w:sz w:val="24"/>
          <w:szCs w:val="24"/>
        </w:rPr>
        <w:t xml:space="preserve"> mil. EUR, čo na celé programové obdobie 2014 – 2020 predpokladá vyčleniť z PRV sumu na úrovni </w:t>
      </w:r>
      <w:r w:rsidR="00FB0238">
        <w:rPr>
          <w:rFonts w:ascii="Times New Roman" w:eastAsia="Calibri" w:hAnsi="Times New Roman"/>
          <w:sz w:val="24"/>
          <w:szCs w:val="24"/>
        </w:rPr>
        <w:t>92</w:t>
      </w:r>
      <w:bookmarkStart w:id="76" w:name="_GoBack"/>
      <w:bookmarkEnd w:id="76"/>
      <w:r>
        <w:rPr>
          <w:rFonts w:ascii="Times New Roman" w:eastAsia="Calibri" w:hAnsi="Times New Roman"/>
          <w:sz w:val="24"/>
          <w:szCs w:val="24"/>
        </w:rPr>
        <w:t> </w:t>
      </w:r>
      <w:r w:rsidR="00E24B4A">
        <w:rPr>
          <w:rFonts w:ascii="Times New Roman" w:eastAsia="Calibri" w:hAnsi="Times New Roman"/>
          <w:sz w:val="24"/>
          <w:szCs w:val="24"/>
        </w:rPr>
        <w:t>438</w:t>
      </w:r>
      <w:r w:rsidR="002C5CF1">
        <w:rPr>
          <w:rFonts w:ascii="Times New Roman" w:eastAsia="Calibri" w:hAnsi="Times New Roman"/>
          <w:sz w:val="24"/>
          <w:szCs w:val="24"/>
        </w:rPr>
        <w:t> 22</w:t>
      </w:r>
      <w:r>
        <w:rPr>
          <w:rFonts w:ascii="Times New Roman" w:eastAsia="Calibri" w:hAnsi="Times New Roman"/>
          <w:sz w:val="24"/>
          <w:szCs w:val="24"/>
        </w:rPr>
        <w:t>0 EUR.</w:t>
      </w:r>
    </w:p>
    <w:p w:rsidR="002D28C6" w:rsidRDefault="002D28C6" w:rsidP="00766688">
      <w:pPr>
        <w:spacing w:after="0" w:line="240" w:lineRule="auto"/>
        <w:jc w:val="both"/>
        <w:rPr>
          <w:rFonts w:ascii="Times New Roman" w:eastAsia="Calibri" w:hAnsi="Times New Roman"/>
          <w:sz w:val="24"/>
          <w:szCs w:val="24"/>
        </w:rPr>
      </w:pPr>
    </w:p>
    <w:p w:rsidR="002D28C6" w:rsidRPr="002A0C96" w:rsidRDefault="002D28C6" w:rsidP="002D28C6">
      <w:pPr>
        <w:pStyle w:val="Nadpis2"/>
        <w:numPr>
          <w:ilvl w:val="1"/>
          <w:numId w:val="8"/>
        </w:numPr>
        <w:rPr>
          <w:rFonts w:eastAsia="Calibri"/>
          <w:szCs w:val="24"/>
          <w:highlight w:val="yellow"/>
        </w:rPr>
      </w:pPr>
      <w:bookmarkStart w:id="77" w:name="_Toc359550697"/>
      <w:r w:rsidRPr="002A0C96">
        <w:rPr>
          <w:rFonts w:eastAsia="Calibri"/>
          <w:szCs w:val="24"/>
          <w:highlight w:val="yellow"/>
        </w:rPr>
        <w:t>Dobré životné podmienky zvierat</w:t>
      </w:r>
      <w:bookmarkEnd w:id="77"/>
    </w:p>
    <w:p w:rsidR="002D28C6" w:rsidRPr="002A0C96" w:rsidRDefault="002D28C6" w:rsidP="00766688">
      <w:pPr>
        <w:spacing w:after="0" w:line="240" w:lineRule="auto"/>
        <w:jc w:val="both"/>
        <w:rPr>
          <w:rFonts w:ascii="Times New Roman" w:eastAsia="Calibri" w:hAnsi="Times New Roman"/>
          <w:sz w:val="24"/>
          <w:szCs w:val="24"/>
          <w:highlight w:val="yellow"/>
        </w:rPr>
      </w:pPr>
    </w:p>
    <w:p w:rsidR="002D28C6" w:rsidRPr="002A0C96" w:rsidRDefault="002D28C6" w:rsidP="002D28C6">
      <w:pPr>
        <w:spacing w:after="0" w:line="240" w:lineRule="auto"/>
        <w:jc w:val="both"/>
        <w:rPr>
          <w:rFonts w:ascii="Times New Roman" w:eastAsia="Calibri" w:hAnsi="Times New Roman"/>
          <w:sz w:val="24"/>
          <w:szCs w:val="24"/>
          <w:highlight w:val="yellow"/>
        </w:rPr>
      </w:pPr>
      <w:r w:rsidRPr="002A0C96">
        <w:rPr>
          <w:rFonts w:ascii="Times New Roman" w:eastAsia="Calibri" w:hAnsi="Times New Roman"/>
          <w:sz w:val="24"/>
          <w:szCs w:val="24"/>
          <w:highlight w:val="yellow"/>
        </w:rPr>
        <w:t xml:space="preserve">Platby na dobré životné podmienky zvierat sa poskytujú poľnohospodárom, ktorí dobrovoľne prijímajú záväzky vykonávať operácie pozostávajúce zo záväzkov týkajúcich sa dobrých životných podmienok zvierat. Podpora bude </w:t>
      </w:r>
      <w:proofErr w:type="spellStart"/>
      <w:r w:rsidRPr="002A0C96">
        <w:rPr>
          <w:rFonts w:ascii="Times New Roman" w:eastAsia="Calibri" w:hAnsi="Times New Roman"/>
          <w:sz w:val="24"/>
          <w:szCs w:val="24"/>
          <w:highlight w:val="yellow"/>
        </w:rPr>
        <w:t>stropovaná</w:t>
      </w:r>
      <w:proofErr w:type="spellEnd"/>
      <w:r w:rsidRPr="002A0C96">
        <w:rPr>
          <w:rFonts w:ascii="Times New Roman" w:eastAsia="Calibri" w:hAnsi="Times New Roman"/>
          <w:sz w:val="24"/>
          <w:szCs w:val="24"/>
          <w:highlight w:val="yellow"/>
        </w:rPr>
        <w:t xml:space="preserve"> v závislosti od objemu prijatých záväzkov, ktoré sa budú každoročne obnovovať. </w:t>
      </w:r>
    </w:p>
    <w:p w:rsidR="00D41394" w:rsidRPr="002A0C96" w:rsidRDefault="00D41394" w:rsidP="002D28C6">
      <w:pPr>
        <w:spacing w:after="0" w:line="240" w:lineRule="auto"/>
        <w:jc w:val="both"/>
        <w:rPr>
          <w:rFonts w:ascii="Times New Roman" w:eastAsia="Calibri" w:hAnsi="Times New Roman"/>
          <w:sz w:val="24"/>
          <w:szCs w:val="24"/>
          <w:highlight w:val="yellow"/>
        </w:rPr>
      </w:pPr>
    </w:p>
    <w:p w:rsidR="00D41394" w:rsidRPr="002A0C96" w:rsidRDefault="00D41394" w:rsidP="002D28C6">
      <w:pPr>
        <w:spacing w:after="0" w:line="240" w:lineRule="auto"/>
        <w:jc w:val="both"/>
        <w:rPr>
          <w:rFonts w:ascii="Times New Roman" w:eastAsia="Calibri" w:hAnsi="Times New Roman"/>
          <w:sz w:val="24"/>
          <w:szCs w:val="24"/>
          <w:highlight w:val="yellow"/>
        </w:rPr>
      </w:pPr>
      <w:r w:rsidRPr="002A0C96">
        <w:rPr>
          <w:rFonts w:ascii="Times New Roman" w:eastAsia="Calibri" w:hAnsi="Times New Roman"/>
          <w:sz w:val="24"/>
          <w:szCs w:val="24"/>
          <w:highlight w:val="yellow"/>
        </w:rPr>
        <w:t>Cieľom tohto opatrenia je podporiť predovšetkým chovné postupy, v rámci ktorých sa hospodárskym zvieratám poskytuje zaobchádzanie, ktoré ide nad rámec konvenčného chovu a prináša so sebou zlepšenie kvality živočíšnych produktov.</w:t>
      </w:r>
    </w:p>
    <w:p w:rsidR="00D41394" w:rsidRPr="002A0C96" w:rsidRDefault="00D41394" w:rsidP="002D28C6">
      <w:pPr>
        <w:spacing w:after="0" w:line="240" w:lineRule="auto"/>
        <w:jc w:val="both"/>
        <w:rPr>
          <w:rFonts w:ascii="Times New Roman" w:eastAsia="Calibri" w:hAnsi="Times New Roman"/>
          <w:sz w:val="24"/>
          <w:szCs w:val="24"/>
          <w:highlight w:val="yellow"/>
        </w:rPr>
      </w:pPr>
    </w:p>
    <w:p w:rsidR="00D41394" w:rsidRDefault="00D41394" w:rsidP="002D28C6">
      <w:pPr>
        <w:spacing w:after="0" w:line="240" w:lineRule="auto"/>
        <w:jc w:val="both"/>
        <w:rPr>
          <w:rFonts w:ascii="Times New Roman" w:eastAsia="Calibri" w:hAnsi="Times New Roman"/>
          <w:sz w:val="24"/>
          <w:szCs w:val="24"/>
        </w:rPr>
      </w:pPr>
      <w:r w:rsidRPr="002A0C96">
        <w:rPr>
          <w:rFonts w:ascii="Times New Roman" w:eastAsia="Calibri" w:hAnsi="Times New Roman"/>
          <w:sz w:val="24"/>
          <w:szCs w:val="24"/>
          <w:highlight w:val="yellow"/>
        </w:rPr>
        <w:t xml:space="preserve">Pre účely naplnenia cieľov koncepcie je dôležitá predovšetkým podpora </w:t>
      </w:r>
      <w:proofErr w:type="spellStart"/>
      <w:r w:rsidRPr="002A0C96">
        <w:rPr>
          <w:rFonts w:ascii="Times New Roman" w:eastAsia="Calibri" w:hAnsi="Times New Roman"/>
          <w:sz w:val="24"/>
          <w:szCs w:val="24"/>
          <w:highlight w:val="yellow"/>
        </w:rPr>
        <w:t>monogastrov</w:t>
      </w:r>
      <w:proofErr w:type="spellEnd"/>
      <w:r w:rsidRPr="002A0C96">
        <w:rPr>
          <w:rFonts w:ascii="Times New Roman" w:eastAsia="Calibri" w:hAnsi="Times New Roman"/>
          <w:sz w:val="24"/>
          <w:szCs w:val="24"/>
          <w:highlight w:val="yellow"/>
        </w:rPr>
        <w:t xml:space="preserve"> a dojníc. </w:t>
      </w:r>
      <w:r w:rsidR="00547FBF" w:rsidRPr="002A0C96">
        <w:rPr>
          <w:rFonts w:ascii="Times New Roman" w:eastAsia="Calibri" w:hAnsi="Times New Roman"/>
          <w:sz w:val="24"/>
          <w:szCs w:val="24"/>
          <w:highlight w:val="yellow"/>
        </w:rPr>
        <w:t xml:space="preserve">Celkovo sa predpokladá, že do tohto programu sa zapojí cca 30 % súčasných stavov ošípaných, </w:t>
      </w:r>
      <w:r w:rsidR="00B54034">
        <w:rPr>
          <w:rFonts w:ascii="Times New Roman" w:eastAsia="Calibri" w:hAnsi="Times New Roman"/>
          <w:sz w:val="24"/>
          <w:szCs w:val="24"/>
          <w:highlight w:val="yellow"/>
        </w:rPr>
        <w:t xml:space="preserve">oviec, </w:t>
      </w:r>
      <w:r w:rsidR="00547FBF" w:rsidRPr="002A0C96">
        <w:rPr>
          <w:rFonts w:ascii="Times New Roman" w:eastAsia="Calibri" w:hAnsi="Times New Roman"/>
          <w:sz w:val="24"/>
          <w:szCs w:val="24"/>
          <w:highlight w:val="yellow"/>
        </w:rPr>
        <w:t>hydiny a dojníc a celková alokácia finančný</w:t>
      </w:r>
      <w:r w:rsidR="00B54034">
        <w:rPr>
          <w:rFonts w:ascii="Times New Roman" w:eastAsia="Calibri" w:hAnsi="Times New Roman"/>
          <w:sz w:val="24"/>
          <w:szCs w:val="24"/>
          <w:highlight w:val="yellow"/>
        </w:rPr>
        <w:t>ch prostriedkov dosiahne výšku 42 5</w:t>
      </w:r>
      <w:r w:rsidR="00547FBF" w:rsidRPr="002A0C96">
        <w:rPr>
          <w:rFonts w:ascii="Times New Roman" w:eastAsia="Calibri" w:hAnsi="Times New Roman"/>
          <w:sz w:val="24"/>
          <w:szCs w:val="24"/>
          <w:highlight w:val="yellow"/>
        </w:rPr>
        <w:t>00 000 EUR.</w:t>
      </w:r>
    </w:p>
    <w:p w:rsidR="002D28C6" w:rsidRDefault="002D28C6" w:rsidP="00766688">
      <w:pPr>
        <w:spacing w:after="0" w:line="240" w:lineRule="auto"/>
        <w:jc w:val="both"/>
        <w:rPr>
          <w:rFonts w:ascii="Times New Roman" w:eastAsia="Calibri" w:hAnsi="Times New Roman"/>
          <w:sz w:val="24"/>
          <w:szCs w:val="24"/>
        </w:rPr>
      </w:pPr>
    </w:p>
    <w:p w:rsidR="00ED0162" w:rsidRPr="00ED0162" w:rsidRDefault="00ED0162" w:rsidP="00ED0162">
      <w:pPr>
        <w:pStyle w:val="Nadpis2"/>
        <w:numPr>
          <w:ilvl w:val="1"/>
          <w:numId w:val="8"/>
        </w:numPr>
        <w:rPr>
          <w:rFonts w:eastAsia="Calibri"/>
          <w:szCs w:val="24"/>
        </w:rPr>
      </w:pPr>
      <w:bookmarkStart w:id="78" w:name="_Toc359550698"/>
      <w:r w:rsidRPr="00ED0162">
        <w:rPr>
          <w:rFonts w:eastAsia="Calibri"/>
          <w:szCs w:val="24"/>
        </w:rPr>
        <w:t>Investície do rozvoja lesných oblastí a zlepšenia životaschopnosti lesov</w:t>
      </w:r>
      <w:bookmarkEnd w:id="78"/>
    </w:p>
    <w:p w:rsidR="00ED0162" w:rsidRDefault="00ED0162" w:rsidP="007F7707">
      <w:pPr>
        <w:spacing w:after="0" w:line="240" w:lineRule="auto"/>
        <w:jc w:val="both"/>
        <w:rPr>
          <w:rFonts w:ascii="Times New Roman" w:eastAsia="Calibri" w:hAnsi="Times New Roman"/>
          <w:sz w:val="24"/>
          <w:szCs w:val="24"/>
        </w:rPr>
      </w:pPr>
    </w:p>
    <w:p w:rsidR="007F7707" w:rsidRPr="007A1333" w:rsidRDefault="007F7707" w:rsidP="007A1333">
      <w:pPr>
        <w:autoSpaceDE w:val="0"/>
        <w:autoSpaceDN w:val="0"/>
        <w:adjustRightInd w:val="0"/>
        <w:spacing w:after="0" w:line="240" w:lineRule="auto"/>
        <w:jc w:val="both"/>
        <w:rPr>
          <w:rFonts w:ascii="TimesNewRoman" w:hAnsi="TimesNewRoman" w:cs="TimesNewRoman"/>
          <w:sz w:val="24"/>
          <w:szCs w:val="24"/>
        </w:rPr>
      </w:pPr>
      <w:r>
        <w:rPr>
          <w:rFonts w:ascii="Times New Roman" w:eastAsia="Calibri" w:hAnsi="Times New Roman"/>
          <w:sz w:val="24"/>
          <w:szCs w:val="24"/>
        </w:rPr>
        <w:t xml:space="preserve">V rámci </w:t>
      </w:r>
      <w:r w:rsidR="00ED0162" w:rsidRPr="00ED0162">
        <w:rPr>
          <w:rFonts w:ascii="Times New Roman" w:eastAsia="Calibri" w:hAnsi="Times New Roman"/>
          <w:sz w:val="24"/>
          <w:szCs w:val="24"/>
        </w:rPr>
        <w:t>investícií do rozvoja lesných oblastí a zlepšenia životaschopnosti lesov</w:t>
      </w:r>
      <w:r>
        <w:rPr>
          <w:rFonts w:ascii="Times New Roman" w:eastAsia="Calibri" w:hAnsi="Times New Roman"/>
          <w:sz w:val="24"/>
          <w:szCs w:val="24"/>
        </w:rPr>
        <w:t xml:space="preserve"> je hlavný dôraz kladený na</w:t>
      </w:r>
      <w:r w:rsidR="00ED0162">
        <w:rPr>
          <w:rFonts w:ascii="Times New Roman" w:eastAsia="Calibri" w:hAnsi="Times New Roman"/>
          <w:sz w:val="24"/>
          <w:szCs w:val="24"/>
        </w:rPr>
        <w:t xml:space="preserve"> </w:t>
      </w:r>
      <w:r w:rsidR="00ED0162">
        <w:rPr>
          <w:rFonts w:ascii="TimesNewRoman" w:hAnsi="TimesNewRoman" w:cs="TimesNewRoman"/>
          <w:sz w:val="24"/>
          <w:szCs w:val="24"/>
        </w:rPr>
        <w:t>investície do nových lesníckych technológií a spracovania lesníckych výrobkov a ich uvádzania na trh</w:t>
      </w:r>
      <w:r>
        <w:rPr>
          <w:rFonts w:ascii="Times New Roman" w:eastAsia="Calibri" w:hAnsi="Times New Roman"/>
          <w:sz w:val="24"/>
          <w:szCs w:val="24"/>
        </w:rPr>
        <w:t>. Ako prioritné, z hľadiska naplnenia prioritných úloh poľnohospodárstva a lesníctva, boli identifikované tieto opatrenia:</w:t>
      </w:r>
    </w:p>
    <w:p w:rsidR="007F7707" w:rsidRDefault="007F7707" w:rsidP="007F7707">
      <w:pPr>
        <w:spacing w:after="0" w:line="240" w:lineRule="auto"/>
        <w:jc w:val="both"/>
        <w:rPr>
          <w:rFonts w:ascii="Times New Roman" w:eastAsia="Calibri" w:hAnsi="Times New Roman"/>
          <w:sz w:val="24"/>
          <w:szCs w:val="24"/>
        </w:rPr>
      </w:pPr>
    </w:p>
    <w:p w:rsidR="005E36EB" w:rsidRDefault="005E36EB" w:rsidP="00C8344F">
      <w:pPr>
        <w:pStyle w:val="Odsekzoznamu"/>
        <w:numPr>
          <w:ilvl w:val="0"/>
          <w:numId w:val="24"/>
        </w:numPr>
        <w:spacing w:after="0" w:line="240" w:lineRule="auto"/>
        <w:jc w:val="both"/>
        <w:rPr>
          <w:rFonts w:ascii="Times New Roman" w:eastAsia="Calibri" w:hAnsi="Times New Roman"/>
          <w:sz w:val="24"/>
          <w:szCs w:val="24"/>
        </w:rPr>
      </w:pPr>
      <w:r>
        <w:rPr>
          <w:rFonts w:ascii="Times New Roman" w:eastAsia="Calibri" w:hAnsi="Times New Roman"/>
          <w:sz w:val="24"/>
          <w:szCs w:val="24"/>
        </w:rPr>
        <w:t>príprava techniky a technológií obhospodarovateľov lesov;</w:t>
      </w:r>
    </w:p>
    <w:p w:rsidR="007F7707" w:rsidRDefault="00EC0AD0" w:rsidP="00C8344F">
      <w:pPr>
        <w:pStyle w:val="Odsekzoznamu"/>
        <w:numPr>
          <w:ilvl w:val="0"/>
          <w:numId w:val="24"/>
        </w:numPr>
        <w:spacing w:after="0" w:line="240" w:lineRule="auto"/>
        <w:jc w:val="both"/>
        <w:rPr>
          <w:rFonts w:ascii="Times New Roman" w:eastAsia="Calibri" w:hAnsi="Times New Roman"/>
          <w:sz w:val="24"/>
          <w:szCs w:val="24"/>
        </w:rPr>
      </w:pPr>
      <w:r>
        <w:rPr>
          <w:rFonts w:ascii="Times New Roman" w:eastAsia="Calibri" w:hAnsi="Times New Roman"/>
          <w:sz w:val="24"/>
          <w:szCs w:val="24"/>
        </w:rPr>
        <w:t>podpora využívania lesnej biomasy na výrobu energie;</w:t>
      </w:r>
    </w:p>
    <w:p w:rsidR="005E36EB" w:rsidRDefault="005E36EB" w:rsidP="005E36EB">
      <w:pPr>
        <w:spacing w:after="0" w:line="240" w:lineRule="auto"/>
        <w:jc w:val="both"/>
        <w:rPr>
          <w:rFonts w:ascii="Times New Roman" w:eastAsia="Calibri" w:hAnsi="Times New Roman"/>
          <w:sz w:val="24"/>
          <w:szCs w:val="24"/>
        </w:rPr>
      </w:pPr>
    </w:p>
    <w:p w:rsidR="0089623F" w:rsidRDefault="0089623F" w:rsidP="005E36EB">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Vzhľadom na to, že sa jedná o opatrenia akútneho charakteru a vysokej priority z hľadiska ekonomiky lesného hospodárstva, riešenia dopadov zmeny klímy a trvalo udržateľného obhospodarovania lesa, sú jednotlivé opatrenia navrhované v kratšom časovom rozpätí, t.j.         2014 – 2016 resp. 2014 – 2017. </w:t>
      </w:r>
    </w:p>
    <w:p w:rsidR="0089623F" w:rsidRDefault="0089623F" w:rsidP="005E36EB">
      <w:pPr>
        <w:spacing w:after="0" w:line="240" w:lineRule="auto"/>
        <w:jc w:val="both"/>
        <w:rPr>
          <w:rFonts w:ascii="Times New Roman" w:eastAsia="Calibri" w:hAnsi="Times New Roman"/>
          <w:sz w:val="24"/>
          <w:szCs w:val="24"/>
        </w:rPr>
      </w:pPr>
    </w:p>
    <w:p w:rsidR="00CA6C04" w:rsidRDefault="00CA6C04" w:rsidP="00766688">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Podporou prípravy techniky a technológií obhospodarovateľov lesov, a to partikulárne obstaraním nových mechanizmov s vyššími výkonnostnými parametrami </w:t>
      </w:r>
      <w:r w:rsidR="00AE7E83">
        <w:rPr>
          <w:rFonts w:ascii="Times New Roman" w:eastAsia="Calibri" w:hAnsi="Times New Roman"/>
          <w:sz w:val="24"/>
          <w:szCs w:val="24"/>
        </w:rPr>
        <w:t>na približovanie a odvoz vyťaženého dreva dôjde k zníženiu škôd na životnom prostredí, eliminujú sa úniky škodlivých splodín a znížia sa emisie oxidu uhličitého a oxidov dusíka. Predpokladá sa taktiež pozitívny dosah na hrubú pridanú hodnotu v podporených podnikoch lesného hospodárstva, t.j. zvýši sa produktivita práce v lesníctve meraná ako zmena hrubej pridanej hodnoty vyjadrenej v parite kúpnej sily.</w:t>
      </w:r>
    </w:p>
    <w:p w:rsidR="00B13618" w:rsidRDefault="00B13618" w:rsidP="00766688">
      <w:pPr>
        <w:spacing w:after="0" w:line="240" w:lineRule="auto"/>
        <w:jc w:val="both"/>
        <w:rPr>
          <w:rFonts w:ascii="Times New Roman" w:eastAsia="Calibri" w:hAnsi="Times New Roman"/>
          <w:sz w:val="24"/>
          <w:szCs w:val="24"/>
        </w:rPr>
      </w:pPr>
    </w:p>
    <w:p w:rsidR="007B5BCA" w:rsidRDefault="007B5BCA" w:rsidP="00766688">
      <w:pPr>
        <w:spacing w:after="0" w:line="240" w:lineRule="auto"/>
        <w:jc w:val="both"/>
        <w:rPr>
          <w:rFonts w:ascii="Times New Roman" w:eastAsia="Calibri" w:hAnsi="Times New Roman"/>
          <w:sz w:val="24"/>
          <w:szCs w:val="24"/>
        </w:rPr>
      </w:pPr>
    </w:p>
    <w:p w:rsidR="007B5BCA" w:rsidRDefault="007B5BCA" w:rsidP="00766688">
      <w:pPr>
        <w:spacing w:after="0" w:line="240" w:lineRule="auto"/>
        <w:jc w:val="both"/>
        <w:rPr>
          <w:rFonts w:ascii="Times New Roman" w:eastAsia="Calibri" w:hAnsi="Times New Roman"/>
          <w:sz w:val="24"/>
          <w:szCs w:val="24"/>
        </w:rPr>
      </w:pPr>
    </w:p>
    <w:p w:rsidR="007B5BCA" w:rsidRDefault="007B5BCA" w:rsidP="00766688">
      <w:pPr>
        <w:spacing w:after="0" w:line="240" w:lineRule="auto"/>
        <w:jc w:val="both"/>
        <w:rPr>
          <w:rFonts w:ascii="Times New Roman" w:eastAsia="Calibri" w:hAnsi="Times New Roman"/>
          <w:sz w:val="24"/>
          <w:szCs w:val="24"/>
        </w:rPr>
      </w:pPr>
    </w:p>
    <w:p w:rsidR="007B5BCA" w:rsidRDefault="007B5BCA" w:rsidP="00766688">
      <w:pPr>
        <w:spacing w:after="0" w:line="240" w:lineRule="auto"/>
        <w:jc w:val="both"/>
        <w:rPr>
          <w:rFonts w:ascii="Times New Roman" w:eastAsia="Calibri" w:hAnsi="Times New Roman"/>
          <w:sz w:val="24"/>
          <w:szCs w:val="24"/>
        </w:rPr>
      </w:pPr>
    </w:p>
    <w:p w:rsidR="007B5BCA" w:rsidRDefault="007B5BCA" w:rsidP="00766688">
      <w:pPr>
        <w:spacing w:after="0" w:line="240" w:lineRule="auto"/>
        <w:jc w:val="both"/>
        <w:rPr>
          <w:rFonts w:ascii="Times New Roman" w:eastAsia="Calibri" w:hAnsi="Times New Roman"/>
          <w:sz w:val="24"/>
          <w:szCs w:val="24"/>
        </w:rPr>
      </w:pPr>
    </w:p>
    <w:p w:rsidR="00A45A94" w:rsidRPr="00A45A94" w:rsidRDefault="00A45A94" w:rsidP="00A45A94">
      <w:pPr>
        <w:tabs>
          <w:tab w:val="left"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lastRenderedPageBreak/>
        <w:t xml:space="preserve">Tab. č. </w:t>
      </w:r>
      <w:r w:rsidR="00D530DA">
        <w:rPr>
          <w:rFonts w:ascii="Times New Roman" w:hAnsi="Times New Roman" w:cs="Times New Roman"/>
          <w:sz w:val="20"/>
          <w:szCs w:val="20"/>
        </w:rPr>
        <w:t>6</w:t>
      </w:r>
      <w:r w:rsidR="00C970F8">
        <w:rPr>
          <w:rFonts w:ascii="Times New Roman" w:hAnsi="Times New Roman" w:cs="Times New Roman"/>
          <w:sz w:val="20"/>
          <w:szCs w:val="20"/>
        </w:rPr>
        <w:t>4</w:t>
      </w:r>
      <w:r w:rsidRPr="00A855A4">
        <w:rPr>
          <w:rFonts w:ascii="Times New Roman" w:hAnsi="Times New Roman" w:cs="Times New Roman"/>
          <w:sz w:val="20"/>
          <w:szCs w:val="20"/>
        </w:rPr>
        <w:t xml:space="preserve">: </w:t>
      </w:r>
      <w:r>
        <w:rPr>
          <w:rFonts w:ascii="Times New Roman" w:hAnsi="Times New Roman" w:cs="Times New Roman"/>
          <w:sz w:val="20"/>
          <w:szCs w:val="20"/>
        </w:rPr>
        <w:tab/>
        <w:t>Predpokladaný vplyv prípravy techniky a technológií obhospodarovateľov lesov na produkčné ukazovatele podnikov lesného hospodárstva</w:t>
      </w:r>
    </w:p>
    <w:tbl>
      <w:tblPr>
        <w:tblW w:w="9087" w:type="dxa"/>
        <w:tblInd w:w="55" w:type="dxa"/>
        <w:tblCellMar>
          <w:left w:w="70" w:type="dxa"/>
          <w:right w:w="70" w:type="dxa"/>
        </w:tblCellMar>
        <w:tblLook w:val="04A0" w:firstRow="1" w:lastRow="0" w:firstColumn="1" w:lastColumn="0" w:noHBand="0" w:noVBand="1"/>
      </w:tblPr>
      <w:tblGrid>
        <w:gridCol w:w="3100"/>
        <w:gridCol w:w="1593"/>
        <w:gridCol w:w="960"/>
        <w:gridCol w:w="1218"/>
        <w:gridCol w:w="1108"/>
        <w:gridCol w:w="1108"/>
      </w:tblGrid>
      <w:tr w:rsidR="00AE7E83" w:rsidRPr="00AE7E83" w:rsidTr="00A45A94">
        <w:trPr>
          <w:trHeight w:val="255"/>
        </w:trPr>
        <w:tc>
          <w:tcPr>
            <w:tcW w:w="3100" w:type="dxa"/>
            <w:tcBorders>
              <w:top w:val="nil"/>
              <w:left w:val="nil"/>
              <w:bottom w:val="single" w:sz="4" w:space="0" w:color="auto"/>
              <w:right w:val="nil"/>
            </w:tcBorders>
            <w:shd w:val="clear" w:color="000000" w:fill="D9D9D9"/>
            <w:noWrap/>
            <w:vAlign w:val="bottom"/>
            <w:hideMark/>
          </w:tcPr>
          <w:p w:rsidR="00AE7E83" w:rsidRPr="00AE7E83" w:rsidRDefault="00AE7E83" w:rsidP="00AE7E83">
            <w:pPr>
              <w:spacing w:after="0" w:line="240" w:lineRule="auto"/>
              <w:rPr>
                <w:rFonts w:ascii="Times New Roman" w:eastAsia="Times New Roman" w:hAnsi="Times New Roman" w:cs="Times New Roman"/>
                <w:b/>
                <w:bCs/>
                <w:color w:val="000000"/>
                <w:sz w:val="20"/>
                <w:szCs w:val="20"/>
              </w:rPr>
            </w:pPr>
            <w:r w:rsidRPr="00AE7E83">
              <w:rPr>
                <w:rFonts w:ascii="Times New Roman" w:eastAsia="Times New Roman" w:hAnsi="Times New Roman" w:cs="Times New Roman"/>
                <w:b/>
                <w:bCs/>
                <w:color w:val="000000"/>
                <w:sz w:val="20"/>
                <w:szCs w:val="20"/>
              </w:rPr>
              <w:t> </w:t>
            </w:r>
          </w:p>
        </w:tc>
        <w:tc>
          <w:tcPr>
            <w:tcW w:w="1593" w:type="dxa"/>
            <w:tcBorders>
              <w:top w:val="nil"/>
              <w:left w:val="nil"/>
              <w:bottom w:val="single" w:sz="4" w:space="0" w:color="auto"/>
              <w:right w:val="single" w:sz="4" w:space="0" w:color="auto"/>
            </w:tcBorders>
            <w:shd w:val="clear" w:color="000000" w:fill="D9D9D9"/>
            <w:noWrap/>
            <w:vAlign w:val="bottom"/>
            <w:hideMark/>
          </w:tcPr>
          <w:p w:rsidR="00AE7E83" w:rsidRPr="00AE7E83" w:rsidRDefault="00AE7E83" w:rsidP="00AE7E83">
            <w:pPr>
              <w:spacing w:after="0" w:line="240" w:lineRule="auto"/>
              <w:jc w:val="center"/>
              <w:rPr>
                <w:rFonts w:ascii="Times New Roman" w:eastAsia="Times New Roman" w:hAnsi="Times New Roman" w:cs="Times New Roman"/>
                <w:b/>
                <w:bCs/>
                <w:color w:val="000000"/>
                <w:sz w:val="20"/>
                <w:szCs w:val="20"/>
              </w:rPr>
            </w:pPr>
            <w:r w:rsidRPr="00AE7E83">
              <w:rPr>
                <w:rFonts w:ascii="Times New Roman" w:eastAsia="Times New Roman" w:hAnsi="Times New Roman" w:cs="Times New Roman"/>
                <w:b/>
                <w:bCs/>
                <w:color w:val="000000"/>
                <w:sz w:val="20"/>
                <w:szCs w:val="20"/>
              </w:rPr>
              <w:t>merná jednotka</w:t>
            </w:r>
          </w:p>
        </w:tc>
        <w:tc>
          <w:tcPr>
            <w:tcW w:w="960" w:type="dxa"/>
            <w:tcBorders>
              <w:top w:val="nil"/>
              <w:left w:val="nil"/>
              <w:bottom w:val="single" w:sz="4" w:space="0" w:color="auto"/>
              <w:right w:val="nil"/>
            </w:tcBorders>
            <w:shd w:val="clear" w:color="000000" w:fill="D9D9D9"/>
            <w:noWrap/>
            <w:vAlign w:val="bottom"/>
            <w:hideMark/>
          </w:tcPr>
          <w:p w:rsidR="00AE7E83" w:rsidRPr="00AE7E83" w:rsidRDefault="00AE7E83" w:rsidP="00AE7E83">
            <w:pPr>
              <w:spacing w:after="0" w:line="240" w:lineRule="auto"/>
              <w:jc w:val="center"/>
              <w:rPr>
                <w:rFonts w:ascii="Times New Roman" w:eastAsia="Times New Roman" w:hAnsi="Times New Roman" w:cs="Times New Roman"/>
                <w:b/>
                <w:bCs/>
                <w:color w:val="000000"/>
                <w:sz w:val="20"/>
                <w:szCs w:val="20"/>
              </w:rPr>
            </w:pPr>
            <w:r w:rsidRPr="00AE7E83">
              <w:rPr>
                <w:rFonts w:ascii="Times New Roman" w:eastAsia="Times New Roman" w:hAnsi="Times New Roman" w:cs="Times New Roman"/>
                <w:b/>
                <w:bCs/>
                <w:color w:val="000000"/>
                <w:sz w:val="20"/>
                <w:szCs w:val="20"/>
              </w:rPr>
              <w:t>2014</w:t>
            </w:r>
          </w:p>
        </w:tc>
        <w:tc>
          <w:tcPr>
            <w:tcW w:w="1218" w:type="dxa"/>
            <w:tcBorders>
              <w:top w:val="nil"/>
              <w:left w:val="nil"/>
              <w:bottom w:val="single" w:sz="4" w:space="0" w:color="auto"/>
              <w:right w:val="nil"/>
            </w:tcBorders>
            <w:shd w:val="clear" w:color="000000" w:fill="D9D9D9"/>
            <w:noWrap/>
            <w:vAlign w:val="bottom"/>
            <w:hideMark/>
          </w:tcPr>
          <w:p w:rsidR="00AE7E83" w:rsidRPr="00AE7E83" w:rsidRDefault="00AE7E83" w:rsidP="00AE7E83">
            <w:pPr>
              <w:spacing w:after="0" w:line="240" w:lineRule="auto"/>
              <w:jc w:val="center"/>
              <w:rPr>
                <w:rFonts w:ascii="Times New Roman" w:eastAsia="Times New Roman" w:hAnsi="Times New Roman" w:cs="Times New Roman"/>
                <w:b/>
                <w:bCs/>
                <w:color w:val="000000"/>
                <w:sz w:val="20"/>
                <w:szCs w:val="20"/>
              </w:rPr>
            </w:pPr>
            <w:r w:rsidRPr="00AE7E83">
              <w:rPr>
                <w:rFonts w:ascii="Times New Roman" w:eastAsia="Times New Roman" w:hAnsi="Times New Roman" w:cs="Times New Roman"/>
                <w:b/>
                <w:bCs/>
                <w:color w:val="000000"/>
                <w:sz w:val="20"/>
                <w:szCs w:val="20"/>
              </w:rPr>
              <w:t>2015</w:t>
            </w:r>
          </w:p>
        </w:tc>
        <w:tc>
          <w:tcPr>
            <w:tcW w:w="1108" w:type="dxa"/>
            <w:tcBorders>
              <w:top w:val="nil"/>
              <w:left w:val="nil"/>
              <w:bottom w:val="single" w:sz="4" w:space="0" w:color="auto"/>
              <w:right w:val="nil"/>
            </w:tcBorders>
            <w:shd w:val="clear" w:color="000000" w:fill="D9D9D9"/>
            <w:noWrap/>
            <w:vAlign w:val="bottom"/>
            <w:hideMark/>
          </w:tcPr>
          <w:p w:rsidR="00AE7E83" w:rsidRPr="00AE7E83" w:rsidRDefault="00AE7E83" w:rsidP="00AE7E83">
            <w:pPr>
              <w:spacing w:after="0" w:line="240" w:lineRule="auto"/>
              <w:jc w:val="center"/>
              <w:rPr>
                <w:rFonts w:ascii="Times New Roman" w:eastAsia="Times New Roman" w:hAnsi="Times New Roman" w:cs="Times New Roman"/>
                <w:b/>
                <w:bCs/>
                <w:color w:val="000000"/>
                <w:sz w:val="20"/>
                <w:szCs w:val="20"/>
              </w:rPr>
            </w:pPr>
            <w:r w:rsidRPr="00AE7E83">
              <w:rPr>
                <w:rFonts w:ascii="Times New Roman" w:eastAsia="Times New Roman" w:hAnsi="Times New Roman" w:cs="Times New Roman"/>
                <w:b/>
                <w:bCs/>
                <w:color w:val="000000"/>
                <w:sz w:val="20"/>
                <w:szCs w:val="20"/>
              </w:rPr>
              <w:t>2016</w:t>
            </w:r>
          </w:p>
        </w:tc>
        <w:tc>
          <w:tcPr>
            <w:tcW w:w="1108" w:type="dxa"/>
            <w:tcBorders>
              <w:top w:val="nil"/>
              <w:left w:val="nil"/>
              <w:bottom w:val="single" w:sz="4" w:space="0" w:color="auto"/>
              <w:right w:val="nil"/>
            </w:tcBorders>
            <w:shd w:val="clear" w:color="000000" w:fill="D9D9D9"/>
            <w:noWrap/>
            <w:vAlign w:val="bottom"/>
            <w:hideMark/>
          </w:tcPr>
          <w:p w:rsidR="00AE7E83" w:rsidRPr="00AE7E83" w:rsidRDefault="00AE7E83" w:rsidP="00AE7E83">
            <w:pPr>
              <w:spacing w:after="0" w:line="240" w:lineRule="auto"/>
              <w:jc w:val="center"/>
              <w:rPr>
                <w:rFonts w:ascii="Times New Roman" w:eastAsia="Times New Roman" w:hAnsi="Times New Roman" w:cs="Times New Roman"/>
                <w:b/>
                <w:bCs/>
                <w:color w:val="000000"/>
                <w:sz w:val="20"/>
                <w:szCs w:val="20"/>
              </w:rPr>
            </w:pPr>
            <w:r w:rsidRPr="00AE7E83">
              <w:rPr>
                <w:rFonts w:ascii="Times New Roman" w:eastAsia="Times New Roman" w:hAnsi="Times New Roman" w:cs="Times New Roman"/>
                <w:b/>
                <w:bCs/>
                <w:color w:val="000000"/>
                <w:sz w:val="20"/>
                <w:szCs w:val="20"/>
              </w:rPr>
              <w:t>Celkom</w:t>
            </w:r>
          </w:p>
        </w:tc>
      </w:tr>
      <w:tr w:rsidR="00AE7E83" w:rsidRPr="00AE7E83" w:rsidTr="00415F91">
        <w:trPr>
          <w:trHeight w:val="637"/>
        </w:trPr>
        <w:tc>
          <w:tcPr>
            <w:tcW w:w="3100" w:type="dxa"/>
            <w:tcBorders>
              <w:top w:val="nil"/>
              <w:left w:val="nil"/>
              <w:bottom w:val="nil"/>
              <w:right w:val="nil"/>
            </w:tcBorders>
            <w:shd w:val="clear" w:color="auto" w:fill="auto"/>
            <w:vAlign w:val="center"/>
            <w:hideMark/>
          </w:tcPr>
          <w:p w:rsidR="00AE7E83" w:rsidRPr="00AE7E83" w:rsidRDefault="00AE7E83" w:rsidP="00415F91">
            <w:pPr>
              <w:spacing w:after="0" w:line="240" w:lineRule="auto"/>
              <w:rPr>
                <w:rFonts w:ascii="Times New Roman" w:eastAsia="Times New Roman" w:hAnsi="Times New Roman" w:cs="Times New Roman"/>
                <w:color w:val="000000"/>
                <w:sz w:val="20"/>
                <w:szCs w:val="20"/>
              </w:rPr>
            </w:pPr>
            <w:r w:rsidRPr="00AE7E83">
              <w:rPr>
                <w:rFonts w:ascii="Times New Roman" w:eastAsia="Times New Roman" w:hAnsi="Times New Roman" w:cs="Times New Roman"/>
                <w:color w:val="000000"/>
                <w:sz w:val="20"/>
                <w:szCs w:val="20"/>
              </w:rPr>
              <w:t xml:space="preserve">zmena hrubej pridanej hodnoty v lesnom hospodárstve </w:t>
            </w:r>
          </w:p>
        </w:tc>
        <w:tc>
          <w:tcPr>
            <w:tcW w:w="1593" w:type="dxa"/>
            <w:tcBorders>
              <w:top w:val="nil"/>
              <w:left w:val="nil"/>
              <w:bottom w:val="nil"/>
              <w:right w:val="single" w:sz="4" w:space="0" w:color="auto"/>
            </w:tcBorders>
            <w:shd w:val="clear" w:color="auto" w:fill="auto"/>
            <w:noWrap/>
            <w:vAlign w:val="center"/>
            <w:hideMark/>
          </w:tcPr>
          <w:p w:rsidR="00AE7E83" w:rsidRPr="00AE7E83" w:rsidRDefault="00AE7E83" w:rsidP="00AE7E83">
            <w:pPr>
              <w:spacing w:after="0" w:line="240" w:lineRule="auto"/>
              <w:jc w:val="center"/>
              <w:rPr>
                <w:rFonts w:ascii="Times New Roman" w:eastAsia="Times New Roman" w:hAnsi="Times New Roman" w:cs="Times New Roman"/>
                <w:color w:val="000000"/>
                <w:sz w:val="20"/>
                <w:szCs w:val="20"/>
              </w:rPr>
            </w:pPr>
            <w:r w:rsidRPr="00AE7E83">
              <w:rPr>
                <w:rFonts w:ascii="Times New Roman" w:eastAsia="Times New Roman" w:hAnsi="Times New Roman" w:cs="Times New Roman"/>
                <w:color w:val="000000"/>
                <w:sz w:val="20"/>
                <w:szCs w:val="20"/>
              </w:rPr>
              <w:t>EUR</w:t>
            </w:r>
          </w:p>
        </w:tc>
        <w:tc>
          <w:tcPr>
            <w:tcW w:w="960" w:type="dxa"/>
            <w:tcBorders>
              <w:top w:val="nil"/>
              <w:left w:val="nil"/>
              <w:bottom w:val="nil"/>
              <w:right w:val="nil"/>
            </w:tcBorders>
            <w:shd w:val="clear" w:color="auto" w:fill="auto"/>
            <w:noWrap/>
            <w:vAlign w:val="center"/>
            <w:hideMark/>
          </w:tcPr>
          <w:p w:rsidR="00AE7E83" w:rsidRPr="00AE7E83" w:rsidRDefault="00AE7E83" w:rsidP="00AE7E83">
            <w:pPr>
              <w:spacing w:after="0" w:line="240" w:lineRule="auto"/>
              <w:jc w:val="right"/>
              <w:rPr>
                <w:rFonts w:ascii="Times New Roman" w:eastAsia="Times New Roman" w:hAnsi="Times New Roman" w:cs="Times New Roman"/>
                <w:color w:val="000000"/>
                <w:sz w:val="20"/>
                <w:szCs w:val="20"/>
              </w:rPr>
            </w:pPr>
            <w:r w:rsidRPr="00AE7E83">
              <w:rPr>
                <w:rFonts w:ascii="Times New Roman" w:eastAsia="Times New Roman" w:hAnsi="Times New Roman" w:cs="Times New Roman"/>
                <w:color w:val="000000"/>
                <w:sz w:val="20"/>
                <w:szCs w:val="20"/>
              </w:rPr>
              <w:t>1 830 000</w:t>
            </w:r>
          </w:p>
        </w:tc>
        <w:tc>
          <w:tcPr>
            <w:tcW w:w="1218" w:type="dxa"/>
            <w:tcBorders>
              <w:top w:val="nil"/>
              <w:left w:val="nil"/>
              <w:bottom w:val="nil"/>
              <w:right w:val="nil"/>
            </w:tcBorders>
            <w:shd w:val="clear" w:color="auto" w:fill="auto"/>
            <w:noWrap/>
            <w:vAlign w:val="center"/>
            <w:hideMark/>
          </w:tcPr>
          <w:p w:rsidR="00AE7E83" w:rsidRPr="00AE7E83" w:rsidRDefault="00AE7E83" w:rsidP="00AE7E83">
            <w:pPr>
              <w:spacing w:after="0" w:line="240" w:lineRule="auto"/>
              <w:jc w:val="right"/>
              <w:rPr>
                <w:rFonts w:ascii="Times New Roman" w:eastAsia="Times New Roman" w:hAnsi="Times New Roman" w:cs="Times New Roman"/>
                <w:color w:val="000000"/>
                <w:sz w:val="20"/>
                <w:szCs w:val="20"/>
              </w:rPr>
            </w:pPr>
            <w:r w:rsidRPr="00AE7E83">
              <w:rPr>
                <w:rFonts w:ascii="Times New Roman" w:eastAsia="Times New Roman" w:hAnsi="Times New Roman" w:cs="Times New Roman"/>
                <w:color w:val="000000"/>
                <w:sz w:val="20"/>
                <w:szCs w:val="20"/>
              </w:rPr>
              <w:t>7 320 000</w:t>
            </w:r>
          </w:p>
        </w:tc>
        <w:tc>
          <w:tcPr>
            <w:tcW w:w="1108" w:type="dxa"/>
            <w:tcBorders>
              <w:top w:val="nil"/>
              <w:left w:val="nil"/>
              <w:bottom w:val="nil"/>
              <w:right w:val="nil"/>
            </w:tcBorders>
            <w:shd w:val="clear" w:color="auto" w:fill="auto"/>
            <w:noWrap/>
            <w:vAlign w:val="center"/>
            <w:hideMark/>
          </w:tcPr>
          <w:p w:rsidR="00AE7E83" w:rsidRPr="00AE7E83" w:rsidRDefault="00AE7E83" w:rsidP="00AE7E83">
            <w:pPr>
              <w:spacing w:after="0" w:line="240" w:lineRule="auto"/>
              <w:jc w:val="right"/>
              <w:rPr>
                <w:rFonts w:ascii="Times New Roman" w:eastAsia="Times New Roman" w:hAnsi="Times New Roman" w:cs="Times New Roman"/>
                <w:color w:val="000000"/>
                <w:sz w:val="20"/>
                <w:szCs w:val="20"/>
              </w:rPr>
            </w:pPr>
            <w:r w:rsidRPr="00AE7E83">
              <w:rPr>
                <w:rFonts w:ascii="Times New Roman" w:eastAsia="Times New Roman" w:hAnsi="Times New Roman" w:cs="Times New Roman"/>
                <w:color w:val="000000"/>
                <w:sz w:val="20"/>
                <w:szCs w:val="20"/>
              </w:rPr>
              <w:t>9 150 000</w:t>
            </w:r>
          </w:p>
        </w:tc>
        <w:tc>
          <w:tcPr>
            <w:tcW w:w="1108" w:type="dxa"/>
            <w:tcBorders>
              <w:top w:val="nil"/>
              <w:left w:val="nil"/>
              <w:bottom w:val="nil"/>
              <w:right w:val="nil"/>
            </w:tcBorders>
            <w:shd w:val="clear" w:color="auto" w:fill="auto"/>
            <w:noWrap/>
            <w:vAlign w:val="center"/>
            <w:hideMark/>
          </w:tcPr>
          <w:p w:rsidR="00AE7E83" w:rsidRPr="00AE7E83" w:rsidRDefault="00AE7E83" w:rsidP="00AE7E83">
            <w:pPr>
              <w:spacing w:after="0" w:line="240" w:lineRule="auto"/>
              <w:jc w:val="right"/>
              <w:rPr>
                <w:rFonts w:ascii="Times New Roman" w:eastAsia="Times New Roman" w:hAnsi="Times New Roman" w:cs="Times New Roman"/>
                <w:color w:val="000000"/>
                <w:sz w:val="20"/>
                <w:szCs w:val="20"/>
              </w:rPr>
            </w:pPr>
            <w:r w:rsidRPr="00AE7E83">
              <w:rPr>
                <w:rFonts w:ascii="Times New Roman" w:eastAsia="Times New Roman" w:hAnsi="Times New Roman" w:cs="Times New Roman"/>
                <w:color w:val="000000"/>
                <w:sz w:val="20"/>
                <w:szCs w:val="20"/>
              </w:rPr>
              <w:t>18 300 000</w:t>
            </w:r>
          </w:p>
        </w:tc>
      </w:tr>
      <w:tr w:rsidR="00AE7E83" w:rsidRPr="00AE7E83" w:rsidTr="00415F91">
        <w:trPr>
          <w:trHeight w:val="557"/>
        </w:trPr>
        <w:tc>
          <w:tcPr>
            <w:tcW w:w="3100" w:type="dxa"/>
            <w:tcBorders>
              <w:top w:val="nil"/>
              <w:left w:val="nil"/>
              <w:bottom w:val="nil"/>
              <w:right w:val="nil"/>
            </w:tcBorders>
            <w:shd w:val="clear" w:color="000000" w:fill="F2F2F2"/>
            <w:vAlign w:val="center"/>
            <w:hideMark/>
          </w:tcPr>
          <w:p w:rsidR="00AE7E83" w:rsidRPr="00AE7E83" w:rsidRDefault="00AE7E83" w:rsidP="00415F91">
            <w:pPr>
              <w:spacing w:after="0" w:line="240" w:lineRule="auto"/>
              <w:rPr>
                <w:rFonts w:ascii="Times New Roman" w:eastAsia="Times New Roman" w:hAnsi="Times New Roman" w:cs="Times New Roman"/>
                <w:color w:val="000000"/>
                <w:sz w:val="20"/>
                <w:szCs w:val="20"/>
              </w:rPr>
            </w:pPr>
            <w:r w:rsidRPr="00AE7E83">
              <w:rPr>
                <w:rFonts w:ascii="Times New Roman" w:eastAsia="Times New Roman" w:hAnsi="Times New Roman" w:cs="Times New Roman"/>
                <w:color w:val="000000"/>
                <w:sz w:val="20"/>
                <w:szCs w:val="20"/>
              </w:rPr>
              <w:t>zmena čistej pridanej hodnoty vyjadrenej v parite kúpnej sily</w:t>
            </w:r>
          </w:p>
        </w:tc>
        <w:tc>
          <w:tcPr>
            <w:tcW w:w="1593" w:type="dxa"/>
            <w:tcBorders>
              <w:top w:val="nil"/>
              <w:left w:val="nil"/>
              <w:bottom w:val="nil"/>
              <w:right w:val="single" w:sz="4" w:space="0" w:color="auto"/>
            </w:tcBorders>
            <w:shd w:val="clear" w:color="000000" w:fill="F2F2F2"/>
            <w:noWrap/>
            <w:vAlign w:val="center"/>
            <w:hideMark/>
          </w:tcPr>
          <w:p w:rsidR="00AE7E83" w:rsidRPr="00AE7E83" w:rsidRDefault="00AE7E83" w:rsidP="00AE7E83">
            <w:pPr>
              <w:spacing w:after="0" w:line="240" w:lineRule="auto"/>
              <w:jc w:val="center"/>
              <w:rPr>
                <w:rFonts w:ascii="Times New Roman" w:eastAsia="Times New Roman" w:hAnsi="Times New Roman" w:cs="Times New Roman"/>
                <w:color w:val="000000"/>
                <w:sz w:val="20"/>
                <w:szCs w:val="20"/>
              </w:rPr>
            </w:pPr>
            <w:r w:rsidRPr="00AE7E83">
              <w:rPr>
                <w:rFonts w:ascii="Times New Roman" w:eastAsia="Times New Roman" w:hAnsi="Times New Roman" w:cs="Times New Roman"/>
                <w:color w:val="000000"/>
                <w:sz w:val="20"/>
                <w:szCs w:val="20"/>
              </w:rPr>
              <w:t>EUR</w:t>
            </w:r>
          </w:p>
        </w:tc>
        <w:tc>
          <w:tcPr>
            <w:tcW w:w="960" w:type="dxa"/>
            <w:tcBorders>
              <w:top w:val="nil"/>
              <w:left w:val="nil"/>
              <w:bottom w:val="nil"/>
              <w:right w:val="nil"/>
            </w:tcBorders>
            <w:shd w:val="clear" w:color="000000" w:fill="F2F2F2"/>
            <w:noWrap/>
            <w:vAlign w:val="center"/>
            <w:hideMark/>
          </w:tcPr>
          <w:p w:rsidR="00AE7E83" w:rsidRPr="00AE7E83" w:rsidRDefault="00AE7E83" w:rsidP="00AE7E83">
            <w:pPr>
              <w:spacing w:after="0" w:line="240" w:lineRule="auto"/>
              <w:jc w:val="right"/>
              <w:rPr>
                <w:rFonts w:ascii="Times New Roman" w:eastAsia="Times New Roman" w:hAnsi="Times New Roman" w:cs="Times New Roman"/>
                <w:color w:val="000000"/>
                <w:sz w:val="20"/>
                <w:szCs w:val="20"/>
              </w:rPr>
            </w:pPr>
            <w:r w:rsidRPr="00AE7E83">
              <w:rPr>
                <w:rFonts w:ascii="Times New Roman" w:eastAsia="Times New Roman" w:hAnsi="Times New Roman" w:cs="Times New Roman"/>
                <w:color w:val="000000"/>
                <w:sz w:val="20"/>
                <w:szCs w:val="20"/>
              </w:rPr>
              <w:t>1 570 000</w:t>
            </w:r>
          </w:p>
        </w:tc>
        <w:tc>
          <w:tcPr>
            <w:tcW w:w="1218" w:type="dxa"/>
            <w:tcBorders>
              <w:top w:val="nil"/>
              <w:left w:val="nil"/>
              <w:bottom w:val="nil"/>
              <w:right w:val="nil"/>
            </w:tcBorders>
            <w:shd w:val="clear" w:color="000000" w:fill="F2F2F2"/>
            <w:noWrap/>
            <w:vAlign w:val="center"/>
            <w:hideMark/>
          </w:tcPr>
          <w:p w:rsidR="00AE7E83" w:rsidRPr="00AE7E83" w:rsidRDefault="00AE7E83" w:rsidP="00AE7E83">
            <w:pPr>
              <w:spacing w:after="0" w:line="240" w:lineRule="auto"/>
              <w:jc w:val="right"/>
              <w:rPr>
                <w:rFonts w:ascii="Times New Roman" w:eastAsia="Times New Roman" w:hAnsi="Times New Roman" w:cs="Times New Roman"/>
                <w:color w:val="000000"/>
                <w:sz w:val="20"/>
                <w:szCs w:val="20"/>
              </w:rPr>
            </w:pPr>
            <w:r w:rsidRPr="00AE7E83">
              <w:rPr>
                <w:rFonts w:ascii="Times New Roman" w:eastAsia="Times New Roman" w:hAnsi="Times New Roman" w:cs="Times New Roman"/>
                <w:color w:val="000000"/>
                <w:sz w:val="20"/>
                <w:szCs w:val="20"/>
              </w:rPr>
              <w:t>6 280 000</w:t>
            </w:r>
          </w:p>
        </w:tc>
        <w:tc>
          <w:tcPr>
            <w:tcW w:w="1108" w:type="dxa"/>
            <w:tcBorders>
              <w:top w:val="nil"/>
              <w:left w:val="nil"/>
              <w:bottom w:val="nil"/>
              <w:right w:val="nil"/>
            </w:tcBorders>
            <w:shd w:val="clear" w:color="000000" w:fill="F2F2F2"/>
            <w:noWrap/>
            <w:vAlign w:val="center"/>
            <w:hideMark/>
          </w:tcPr>
          <w:p w:rsidR="00AE7E83" w:rsidRPr="00AE7E83" w:rsidRDefault="00AE7E83" w:rsidP="00AE7E83">
            <w:pPr>
              <w:spacing w:after="0" w:line="240" w:lineRule="auto"/>
              <w:jc w:val="right"/>
              <w:rPr>
                <w:rFonts w:ascii="Times New Roman" w:eastAsia="Times New Roman" w:hAnsi="Times New Roman" w:cs="Times New Roman"/>
                <w:color w:val="000000"/>
                <w:sz w:val="20"/>
                <w:szCs w:val="20"/>
              </w:rPr>
            </w:pPr>
            <w:r w:rsidRPr="00AE7E83">
              <w:rPr>
                <w:rFonts w:ascii="Times New Roman" w:eastAsia="Times New Roman" w:hAnsi="Times New Roman" w:cs="Times New Roman"/>
                <w:color w:val="000000"/>
                <w:sz w:val="20"/>
                <w:szCs w:val="20"/>
              </w:rPr>
              <w:t>7 850 000</w:t>
            </w:r>
          </w:p>
        </w:tc>
        <w:tc>
          <w:tcPr>
            <w:tcW w:w="1108" w:type="dxa"/>
            <w:tcBorders>
              <w:top w:val="nil"/>
              <w:left w:val="nil"/>
              <w:bottom w:val="nil"/>
              <w:right w:val="nil"/>
            </w:tcBorders>
            <w:shd w:val="clear" w:color="000000" w:fill="F2F2F2"/>
            <w:noWrap/>
            <w:vAlign w:val="center"/>
            <w:hideMark/>
          </w:tcPr>
          <w:p w:rsidR="00AE7E83" w:rsidRPr="00AE7E83" w:rsidRDefault="00AE7E83" w:rsidP="00AE7E83">
            <w:pPr>
              <w:spacing w:after="0" w:line="240" w:lineRule="auto"/>
              <w:jc w:val="right"/>
              <w:rPr>
                <w:rFonts w:ascii="Times New Roman" w:eastAsia="Times New Roman" w:hAnsi="Times New Roman" w:cs="Times New Roman"/>
                <w:color w:val="000000"/>
                <w:sz w:val="20"/>
                <w:szCs w:val="20"/>
              </w:rPr>
            </w:pPr>
            <w:r w:rsidRPr="00AE7E83">
              <w:rPr>
                <w:rFonts w:ascii="Times New Roman" w:eastAsia="Times New Roman" w:hAnsi="Times New Roman" w:cs="Times New Roman"/>
                <w:color w:val="000000"/>
                <w:sz w:val="20"/>
                <w:szCs w:val="20"/>
              </w:rPr>
              <w:t>15 700 000</w:t>
            </w:r>
          </w:p>
        </w:tc>
      </w:tr>
      <w:tr w:rsidR="00AE7E83" w:rsidRPr="00AE7E83" w:rsidTr="00415F91">
        <w:trPr>
          <w:trHeight w:val="606"/>
        </w:trPr>
        <w:tc>
          <w:tcPr>
            <w:tcW w:w="3100" w:type="dxa"/>
            <w:tcBorders>
              <w:top w:val="nil"/>
              <w:left w:val="nil"/>
              <w:bottom w:val="single" w:sz="4" w:space="0" w:color="auto"/>
              <w:right w:val="nil"/>
            </w:tcBorders>
            <w:shd w:val="clear" w:color="auto" w:fill="auto"/>
            <w:vAlign w:val="center"/>
            <w:hideMark/>
          </w:tcPr>
          <w:p w:rsidR="00AE7E83" w:rsidRPr="00AE7E83" w:rsidRDefault="00AE7E83" w:rsidP="00415F91">
            <w:pPr>
              <w:spacing w:after="0" w:line="240" w:lineRule="auto"/>
              <w:rPr>
                <w:rFonts w:ascii="Times New Roman" w:eastAsia="Times New Roman" w:hAnsi="Times New Roman" w:cs="Times New Roman"/>
                <w:color w:val="000000"/>
                <w:sz w:val="20"/>
                <w:szCs w:val="20"/>
              </w:rPr>
            </w:pPr>
            <w:r w:rsidRPr="00AE7E83">
              <w:rPr>
                <w:rFonts w:ascii="Times New Roman" w:eastAsia="Times New Roman" w:hAnsi="Times New Roman" w:cs="Times New Roman"/>
                <w:color w:val="000000"/>
                <w:sz w:val="20"/>
                <w:szCs w:val="20"/>
              </w:rPr>
              <w:t>príspevok k rastu produktivity práce na ekvivalent pracovného miesta</w:t>
            </w:r>
          </w:p>
        </w:tc>
        <w:tc>
          <w:tcPr>
            <w:tcW w:w="1593" w:type="dxa"/>
            <w:tcBorders>
              <w:top w:val="nil"/>
              <w:left w:val="nil"/>
              <w:bottom w:val="single" w:sz="4" w:space="0" w:color="auto"/>
              <w:right w:val="single" w:sz="4" w:space="0" w:color="auto"/>
            </w:tcBorders>
            <w:shd w:val="clear" w:color="auto" w:fill="auto"/>
            <w:noWrap/>
            <w:vAlign w:val="center"/>
            <w:hideMark/>
          </w:tcPr>
          <w:p w:rsidR="00AE7E83" w:rsidRPr="00AE7E83" w:rsidRDefault="00AE7E83" w:rsidP="00AE7E83">
            <w:pPr>
              <w:spacing w:after="0" w:line="240" w:lineRule="auto"/>
              <w:jc w:val="center"/>
              <w:rPr>
                <w:rFonts w:ascii="Times New Roman" w:eastAsia="Times New Roman" w:hAnsi="Times New Roman" w:cs="Times New Roman"/>
                <w:color w:val="000000"/>
                <w:sz w:val="20"/>
                <w:szCs w:val="20"/>
              </w:rPr>
            </w:pPr>
            <w:r w:rsidRPr="00AE7E83">
              <w:rPr>
                <w:rFonts w:ascii="Times New Roman" w:eastAsia="Times New Roman" w:hAnsi="Times New Roman" w:cs="Times New Roman"/>
                <w:color w:val="000000"/>
                <w:sz w:val="20"/>
                <w:szCs w:val="20"/>
              </w:rPr>
              <w:t>EUR</w:t>
            </w:r>
          </w:p>
        </w:tc>
        <w:tc>
          <w:tcPr>
            <w:tcW w:w="960" w:type="dxa"/>
            <w:tcBorders>
              <w:top w:val="nil"/>
              <w:left w:val="nil"/>
              <w:bottom w:val="single" w:sz="4" w:space="0" w:color="auto"/>
              <w:right w:val="nil"/>
            </w:tcBorders>
            <w:shd w:val="clear" w:color="auto" w:fill="auto"/>
            <w:noWrap/>
            <w:vAlign w:val="center"/>
            <w:hideMark/>
          </w:tcPr>
          <w:p w:rsidR="00AE7E83" w:rsidRPr="00AE7E83" w:rsidRDefault="00AE7E83" w:rsidP="00AE7E83">
            <w:pPr>
              <w:spacing w:after="0" w:line="240" w:lineRule="auto"/>
              <w:jc w:val="right"/>
              <w:rPr>
                <w:rFonts w:ascii="Times New Roman" w:eastAsia="Times New Roman" w:hAnsi="Times New Roman" w:cs="Times New Roman"/>
                <w:color w:val="000000"/>
                <w:sz w:val="20"/>
                <w:szCs w:val="20"/>
              </w:rPr>
            </w:pPr>
            <w:r w:rsidRPr="00AE7E83">
              <w:rPr>
                <w:rFonts w:ascii="Times New Roman" w:eastAsia="Times New Roman" w:hAnsi="Times New Roman" w:cs="Times New Roman"/>
                <w:color w:val="000000"/>
                <w:sz w:val="20"/>
                <w:szCs w:val="20"/>
              </w:rPr>
              <w:t>590</w:t>
            </w:r>
          </w:p>
        </w:tc>
        <w:tc>
          <w:tcPr>
            <w:tcW w:w="1218" w:type="dxa"/>
            <w:tcBorders>
              <w:top w:val="nil"/>
              <w:left w:val="nil"/>
              <w:bottom w:val="single" w:sz="4" w:space="0" w:color="auto"/>
              <w:right w:val="nil"/>
            </w:tcBorders>
            <w:shd w:val="clear" w:color="auto" w:fill="auto"/>
            <w:noWrap/>
            <w:vAlign w:val="center"/>
            <w:hideMark/>
          </w:tcPr>
          <w:p w:rsidR="00AE7E83" w:rsidRPr="00AE7E83" w:rsidRDefault="00AE7E83" w:rsidP="00AE7E83">
            <w:pPr>
              <w:spacing w:after="0" w:line="240" w:lineRule="auto"/>
              <w:jc w:val="right"/>
              <w:rPr>
                <w:rFonts w:ascii="Times New Roman" w:eastAsia="Times New Roman" w:hAnsi="Times New Roman" w:cs="Times New Roman"/>
                <w:color w:val="000000"/>
                <w:sz w:val="20"/>
                <w:szCs w:val="20"/>
              </w:rPr>
            </w:pPr>
            <w:r w:rsidRPr="00AE7E83">
              <w:rPr>
                <w:rFonts w:ascii="Times New Roman" w:eastAsia="Times New Roman" w:hAnsi="Times New Roman" w:cs="Times New Roman"/>
                <w:color w:val="000000"/>
                <w:sz w:val="20"/>
                <w:szCs w:val="20"/>
              </w:rPr>
              <w:t>2 360</w:t>
            </w:r>
          </w:p>
        </w:tc>
        <w:tc>
          <w:tcPr>
            <w:tcW w:w="1108" w:type="dxa"/>
            <w:tcBorders>
              <w:top w:val="nil"/>
              <w:left w:val="nil"/>
              <w:bottom w:val="single" w:sz="4" w:space="0" w:color="auto"/>
              <w:right w:val="nil"/>
            </w:tcBorders>
            <w:shd w:val="clear" w:color="auto" w:fill="auto"/>
            <w:noWrap/>
            <w:vAlign w:val="center"/>
            <w:hideMark/>
          </w:tcPr>
          <w:p w:rsidR="00AE7E83" w:rsidRPr="00AE7E83" w:rsidRDefault="00AE7E83" w:rsidP="00AE7E83">
            <w:pPr>
              <w:spacing w:after="0" w:line="240" w:lineRule="auto"/>
              <w:jc w:val="right"/>
              <w:rPr>
                <w:rFonts w:ascii="Times New Roman" w:eastAsia="Times New Roman" w:hAnsi="Times New Roman" w:cs="Times New Roman"/>
                <w:color w:val="000000"/>
                <w:sz w:val="20"/>
                <w:szCs w:val="20"/>
              </w:rPr>
            </w:pPr>
            <w:r w:rsidRPr="00AE7E83">
              <w:rPr>
                <w:rFonts w:ascii="Times New Roman" w:eastAsia="Times New Roman" w:hAnsi="Times New Roman" w:cs="Times New Roman"/>
                <w:color w:val="000000"/>
                <w:sz w:val="20"/>
                <w:szCs w:val="20"/>
              </w:rPr>
              <w:t>2 950</w:t>
            </w:r>
          </w:p>
        </w:tc>
        <w:tc>
          <w:tcPr>
            <w:tcW w:w="1108" w:type="dxa"/>
            <w:tcBorders>
              <w:top w:val="nil"/>
              <w:left w:val="nil"/>
              <w:bottom w:val="single" w:sz="4" w:space="0" w:color="auto"/>
              <w:right w:val="nil"/>
            </w:tcBorders>
            <w:shd w:val="clear" w:color="auto" w:fill="auto"/>
            <w:noWrap/>
            <w:vAlign w:val="center"/>
            <w:hideMark/>
          </w:tcPr>
          <w:p w:rsidR="00AE7E83" w:rsidRPr="00AE7E83" w:rsidRDefault="00AE7E83" w:rsidP="00AE7E83">
            <w:pPr>
              <w:spacing w:after="0" w:line="240" w:lineRule="auto"/>
              <w:jc w:val="right"/>
              <w:rPr>
                <w:rFonts w:ascii="Times New Roman" w:eastAsia="Times New Roman" w:hAnsi="Times New Roman" w:cs="Times New Roman"/>
                <w:color w:val="000000"/>
                <w:sz w:val="20"/>
                <w:szCs w:val="20"/>
              </w:rPr>
            </w:pPr>
            <w:r w:rsidRPr="00AE7E83">
              <w:rPr>
                <w:rFonts w:ascii="Times New Roman" w:eastAsia="Times New Roman" w:hAnsi="Times New Roman" w:cs="Times New Roman"/>
                <w:color w:val="000000"/>
                <w:sz w:val="20"/>
                <w:szCs w:val="20"/>
              </w:rPr>
              <w:t>5 900</w:t>
            </w:r>
          </w:p>
        </w:tc>
      </w:tr>
      <w:tr w:rsidR="00AE7E83" w:rsidRPr="00AE7E83" w:rsidTr="00415F91">
        <w:trPr>
          <w:trHeight w:val="420"/>
        </w:trPr>
        <w:tc>
          <w:tcPr>
            <w:tcW w:w="3100" w:type="dxa"/>
            <w:tcBorders>
              <w:top w:val="nil"/>
              <w:left w:val="nil"/>
              <w:bottom w:val="single" w:sz="4" w:space="0" w:color="auto"/>
              <w:right w:val="nil"/>
            </w:tcBorders>
            <w:shd w:val="clear" w:color="000000" w:fill="F2F2F2"/>
            <w:vAlign w:val="center"/>
            <w:hideMark/>
          </w:tcPr>
          <w:p w:rsidR="00AE7E83" w:rsidRPr="00AE7E83" w:rsidRDefault="00AE7E83" w:rsidP="00415F91">
            <w:pPr>
              <w:spacing w:after="0" w:line="240" w:lineRule="auto"/>
              <w:rPr>
                <w:rFonts w:ascii="Times New Roman" w:eastAsia="Times New Roman" w:hAnsi="Times New Roman" w:cs="Times New Roman"/>
                <w:b/>
                <w:color w:val="000000"/>
                <w:sz w:val="20"/>
                <w:szCs w:val="20"/>
              </w:rPr>
            </w:pPr>
            <w:r w:rsidRPr="00AE7E83">
              <w:rPr>
                <w:rFonts w:ascii="Times New Roman" w:eastAsia="Times New Roman" w:hAnsi="Times New Roman" w:cs="Times New Roman"/>
                <w:b/>
                <w:color w:val="000000"/>
                <w:sz w:val="20"/>
                <w:szCs w:val="20"/>
              </w:rPr>
              <w:t>výška financovania</w:t>
            </w:r>
          </w:p>
        </w:tc>
        <w:tc>
          <w:tcPr>
            <w:tcW w:w="1593" w:type="dxa"/>
            <w:tcBorders>
              <w:top w:val="nil"/>
              <w:left w:val="nil"/>
              <w:bottom w:val="single" w:sz="4" w:space="0" w:color="auto"/>
              <w:right w:val="single" w:sz="4" w:space="0" w:color="auto"/>
            </w:tcBorders>
            <w:shd w:val="clear" w:color="000000" w:fill="F2F2F2"/>
            <w:noWrap/>
            <w:vAlign w:val="center"/>
            <w:hideMark/>
          </w:tcPr>
          <w:p w:rsidR="00AE7E83" w:rsidRPr="00AE7E83" w:rsidRDefault="00AE7E83" w:rsidP="00AE7E83">
            <w:pPr>
              <w:spacing w:after="0" w:line="240" w:lineRule="auto"/>
              <w:jc w:val="center"/>
              <w:rPr>
                <w:rFonts w:ascii="Times New Roman" w:eastAsia="Times New Roman" w:hAnsi="Times New Roman" w:cs="Times New Roman"/>
                <w:b/>
                <w:color w:val="000000"/>
                <w:sz w:val="20"/>
                <w:szCs w:val="20"/>
              </w:rPr>
            </w:pPr>
            <w:r w:rsidRPr="00AE7E83">
              <w:rPr>
                <w:rFonts w:ascii="Times New Roman" w:eastAsia="Times New Roman" w:hAnsi="Times New Roman" w:cs="Times New Roman"/>
                <w:b/>
                <w:color w:val="000000"/>
                <w:sz w:val="20"/>
                <w:szCs w:val="20"/>
              </w:rPr>
              <w:t>EUR</w:t>
            </w:r>
          </w:p>
        </w:tc>
        <w:tc>
          <w:tcPr>
            <w:tcW w:w="960" w:type="dxa"/>
            <w:tcBorders>
              <w:top w:val="nil"/>
              <w:left w:val="nil"/>
              <w:bottom w:val="single" w:sz="4" w:space="0" w:color="auto"/>
              <w:right w:val="nil"/>
            </w:tcBorders>
            <w:shd w:val="clear" w:color="000000" w:fill="F2F2F2"/>
            <w:noWrap/>
            <w:vAlign w:val="center"/>
            <w:hideMark/>
          </w:tcPr>
          <w:p w:rsidR="00AE7E83" w:rsidRPr="00AE7E83" w:rsidRDefault="00AE7E83" w:rsidP="00AE7E83">
            <w:pPr>
              <w:spacing w:after="0" w:line="240" w:lineRule="auto"/>
              <w:jc w:val="right"/>
              <w:rPr>
                <w:rFonts w:ascii="Times New Roman" w:eastAsia="Times New Roman" w:hAnsi="Times New Roman" w:cs="Times New Roman"/>
                <w:b/>
                <w:color w:val="000000"/>
                <w:sz w:val="20"/>
                <w:szCs w:val="20"/>
              </w:rPr>
            </w:pPr>
            <w:r w:rsidRPr="00AE7E83">
              <w:rPr>
                <w:rFonts w:ascii="Times New Roman" w:eastAsia="Times New Roman" w:hAnsi="Times New Roman" w:cs="Times New Roman"/>
                <w:b/>
                <w:color w:val="000000"/>
                <w:sz w:val="20"/>
                <w:szCs w:val="20"/>
              </w:rPr>
              <w:t>5 450 000</w:t>
            </w:r>
          </w:p>
        </w:tc>
        <w:tc>
          <w:tcPr>
            <w:tcW w:w="1218" w:type="dxa"/>
            <w:tcBorders>
              <w:top w:val="nil"/>
              <w:left w:val="nil"/>
              <w:bottom w:val="single" w:sz="4" w:space="0" w:color="auto"/>
              <w:right w:val="nil"/>
            </w:tcBorders>
            <w:shd w:val="clear" w:color="000000" w:fill="F2F2F2"/>
            <w:noWrap/>
            <w:vAlign w:val="center"/>
            <w:hideMark/>
          </w:tcPr>
          <w:p w:rsidR="00AE7E83" w:rsidRPr="00AE7E83" w:rsidRDefault="00AE7E83" w:rsidP="00AE7E83">
            <w:pPr>
              <w:spacing w:after="0" w:line="240" w:lineRule="auto"/>
              <w:jc w:val="right"/>
              <w:rPr>
                <w:rFonts w:ascii="Times New Roman" w:eastAsia="Times New Roman" w:hAnsi="Times New Roman" w:cs="Times New Roman"/>
                <w:b/>
                <w:color w:val="000000"/>
                <w:sz w:val="20"/>
                <w:szCs w:val="20"/>
              </w:rPr>
            </w:pPr>
            <w:r w:rsidRPr="00AE7E83">
              <w:rPr>
                <w:rFonts w:ascii="Times New Roman" w:eastAsia="Times New Roman" w:hAnsi="Times New Roman" w:cs="Times New Roman"/>
                <w:b/>
                <w:color w:val="000000"/>
                <w:sz w:val="20"/>
                <w:szCs w:val="20"/>
              </w:rPr>
              <w:t>21 800 000</w:t>
            </w:r>
          </w:p>
        </w:tc>
        <w:tc>
          <w:tcPr>
            <w:tcW w:w="1108" w:type="dxa"/>
            <w:tcBorders>
              <w:top w:val="nil"/>
              <w:left w:val="nil"/>
              <w:bottom w:val="single" w:sz="4" w:space="0" w:color="auto"/>
              <w:right w:val="nil"/>
            </w:tcBorders>
            <w:shd w:val="clear" w:color="000000" w:fill="F2F2F2"/>
            <w:noWrap/>
            <w:vAlign w:val="center"/>
            <w:hideMark/>
          </w:tcPr>
          <w:p w:rsidR="00AE7E83" w:rsidRPr="00AE7E83" w:rsidRDefault="00AE7E83" w:rsidP="00AE7E83">
            <w:pPr>
              <w:spacing w:after="0" w:line="240" w:lineRule="auto"/>
              <w:jc w:val="right"/>
              <w:rPr>
                <w:rFonts w:ascii="Times New Roman" w:eastAsia="Times New Roman" w:hAnsi="Times New Roman" w:cs="Times New Roman"/>
                <w:b/>
                <w:color w:val="000000"/>
                <w:sz w:val="20"/>
                <w:szCs w:val="20"/>
              </w:rPr>
            </w:pPr>
            <w:r w:rsidRPr="00AE7E83">
              <w:rPr>
                <w:rFonts w:ascii="Times New Roman" w:eastAsia="Times New Roman" w:hAnsi="Times New Roman" w:cs="Times New Roman"/>
                <w:b/>
                <w:color w:val="000000"/>
                <w:sz w:val="20"/>
                <w:szCs w:val="20"/>
              </w:rPr>
              <w:t>27 250 000</w:t>
            </w:r>
          </w:p>
        </w:tc>
        <w:tc>
          <w:tcPr>
            <w:tcW w:w="1108" w:type="dxa"/>
            <w:tcBorders>
              <w:top w:val="nil"/>
              <w:left w:val="nil"/>
              <w:bottom w:val="single" w:sz="4" w:space="0" w:color="auto"/>
              <w:right w:val="nil"/>
            </w:tcBorders>
            <w:shd w:val="clear" w:color="000000" w:fill="F2F2F2"/>
            <w:noWrap/>
            <w:vAlign w:val="center"/>
            <w:hideMark/>
          </w:tcPr>
          <w:p w:rsidR="00AE7E83" w:rsidRPr="00AE7E83" w:rsidRDefault="00AE7E83" w:rsidP="00AE7E83">
            <w:pPr>
              <w:spacing w:after="0" w:line="240" w:lineRule="auto"/>
              <w:jc w:val="right"/>
              <w:rPr>
                <w:rFonts w:ascii="Times New Roman" w:eastAsia="Times New Roman" w:hAnsi="Times New Roman" w:cs="Times New Roman"/>
                <w:b/>
                <w:color w:val="000000"/>
                <w:sz w:val="20"/>
                <w:szCs w:val="20"/>
              </w:rPr>
            </w:pPr>
            <w:r w:rsidRPr="00AE7E83">
              <w:rPr>
                <w:rFonts w:ascii="Times New Roman" w:eastAsia="Times New Roman" w:hAnsi="Times New Roman" w:cs="Times New Roman"/>
                <w:b/>
                <w:color w:val="000000"/>
                <w:sz w:val="20"/>
                <w:szCs w:val="20"/>
              </w:rPr>
              <w:t>54 500 000</w:t>
            </w:r>
          </w:p>
        </w:tc>
      </w:tr>
    </w:tbl>
    <w:p w:rsidR="00A45A94" w:rsidRPr="00C431FF" w:rsidRDefault="00A45A94" w:rsidP="00A45A9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odhad MPRV</w:t>
      </w:r>
    </w:p>
    <w:p w:rsidR="00AE7E83" w:rsidRDefault="00AE7E83" w:rsidP="00766688">
      <w:pPr>
        <w:spacing w:after="0" w:line="240" w:lineRule="auto"/>
        <w:jc w:val="both"/>
        <w:rPr>
          <w:rFonts w:ascii="Times New Roman" w:eastAsia="Calibri" w:hAnsi="Times New Roman"/>
          <w:sz w:val="24"/>
          <w:szCs w:val="24"/>
        </w:rPr>
      </w:pPr>
    </w:p>
    <w:p w:rsidR="00766688" w:rsidRDefault="00A45A94" w:rsidP="00766688">
      <w:pPr>
        <w:spacing w:after="0" w:line="240" w:lineRule="auto"/>
        <w:jc w:val="both"/>
        <w:rPr>
          <w:rFonts w:ascii="Times New Roman" w:eastAsia="Calibri" w:hAnsi="Times New Roman"/>
          <w:sz w:val="24"/>
          <w:szCs w:val="24"/>
        </w:rPr>
      </w:pPr>
      <w:r>
        <w:rPr>
          <w:rFonts w:ascii="Times New Roman" w:eastAsia="Calibri" w:hAnsi="Times New Roman"/>
          <w:sz w:val="24"/>
          <w:szCs w:val="24"/>
        </w:rPr>
        <w:t>Podporou využívania lesnej biomasy na výrobu energie Slovenská republika splní svoj záväzok podporovať využívanie obnoviteľných zdrojov energie. Lesná biomasa je popri vodnej energii najvýznamnejší obnoviteľný zdroj energie na Slovensku.</w:t>
      </w:r>
    </w:p>
    <w:p w:rsidR="00ED0162" w:rsidRDefault="00ED0162" w:rsidP="00766688">
      <w:pPr>
        <w:spacing w:after="0" w:line="240" w:lineRule="auto"/>
        <w:jc w:val="both"/>
        <w:rPr>
          <w:rFonts w:ascii="Times New Roman" w:eastAsia="Calibri" w:hAnsi="Times New Roman"/>
          <w:sz w:val="24"/>
          <w:szCs w:val="24"/>
        </w:rPr>
      </w:pPr>
    </w:p>
    <w:p w:rsidR="00415F91" w:rsidRPr="00415F91" w:rsidRDefault="00C970F8" w:rsidP="00415F91">
      <w:pPr>
        <w:tabs>
          <w:tab w:val="left"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t>Tab. č. 65</w:t>
      </w:r>
      <w:r w:rsidR="00415F91" w:rsidRPr="00A855A4">
        <w:rPr>
          <w:rFonts w:ascii="Times New Roman" w:hAnsi="Times New Roman" w:cs="Times New Roman"/>
          <w:sz w:val="20"/>
          <w:szCs w:val="20"/>
        </w:rPr>
        <w:t xml:space="preserve">: </w:t>
      </w:r>
      <w:r w:rsidR="00415F91">
        <w:rPr>
          <w:rFonts w:ascii="Times New Roman" w:hAnsi="Times New Roman" w:cs="Times New Roman"/>
          <w:sz w:val="20"/>
          <w:szCs w:val="20"/>
        </w:rPr>
        <w:tab/>
        <w:t>Predpokladaný vývoj produkčných ukazovateľov pestovania energetických plodín v strednodobom horizonte</w:t>
      </w:r>
    </w:p>
    <w:tbl>
      <w:tblPr>
        <w:tblW w:w="9138" w:type="dxa"/>
        <w:tblInd w:w="55" w:type="dxa"/>
        <w:tblCellMar>
          <w:left w:w="70" w:type="dxa"/>
          <w:right w:w="70" w:type="dxa"/>
        </w:tblCellMar>
        <w:tblLook w:val="04A0" w:firstRow="1" w:lastRow="0" w:firstColumn="1" w:lastColumn="0" w:noHBand="0" w:noVBand="1"/>
      </w:tblPr>
      <w:tblGrid>
        <w:gridCol w:w="3100"/>
        <w:gridCol w:w="2018"/>
        <w:gridCol w:w="960"/>
        <w:gridCol w:w="960"/>
        <w:gridCol w:w="960"/>
        <w:gridCol w:w="1140"/>
      </w:tblGrid>
      <w:tr w:rsidR="00A45A94" w:rsidRPr="00A45A94" w:rsidTr="00415F91">
        <w:trPr>
          <w:trHeight w:val="255"/>
        </w:trPr>
        <w:tc>
          <w:tcPr>
            <w:tcW w:w="3100" w:type="dxa"/>
            <w:tcBorders>
              <w:top w:val="nil"/>
              <w:left w:val="nil"/>
              <w:bottom w:val="single" w:sz="4" w:space="0" w:color="auto"/>
              <w:right w:val="nil"/>
            </w:tcBorders>
            <w:shd w:val="clear" w:color="000000" w:fill="D9D9D9"/>
            <w:noWrap/>
            <w:vAlign w:val="bottom"/>
            <w:hideMark/>
          </w:tcPr>
          <w:p w:rsidR="00A45A94" w:rsidRPr="00A45A94" w:rsidRDefault="00A45A94" w:rsidP="00A45A94">
            <w:pPr>
              <w:spacing w:after="0" w:line="240" w:lineRule="auto"/>
              <w:rPr>
                <w:rFonts w:ascii="Times New Roman" w:eastAsia="Times New Roman" w:hAnsi="Times New Roman" w:cs="Times New Roman"/>
                <w:b/>
                <w:bCs/>
                <w:color w:val="000000"/>
                <w:sz w:val="20"/>
                <w:szCs w:val="20"/>
              </w:rPr>
            </w:pPr>
            <w:r w:rsidRPr="00A45A94">
              <w:rPr>
                <w:rFonts w:ascii="Times New Roman" w:eastAsia="Times New Roman" w:hAnsi="Times New Roman" w:cs="Times New Roman"/>
                <w:b/>
                <w:bCs/>
                <w:color w:val="000000"/>
                <w:sz w:val="20"/>
                <w:szCs w:val="20"/>
              </w:rPr>
              <w:t> </w:t>
            </w:r>
          </w:p>
        </w:tc>
        <w:tc>
          <w:tcPr>
            <w:tcW w:w="2018" w:type="dxa"/>
            <w:tcBorders>
              <w:top w:val="nil"/>
              <w:left w:val="nil"/>
              <w:bottom w:val="single" w:sz="4" w:space="0" w:color="auto"/>
              <w:right w:val="single" w:sz="4" w:space="0" w:color="auto"/>
            </w:tcBorders>
            <w:shd w:val="clear" w:color="000000" w:fill="D9D9D9"/>
            <w:noWrap/>
            <w:vAlign w:val="bottom"/>
            <w:hideMark/>
          </w:tcPr>
          <w:p w:rsidR="00A45A94" w:rsidRPr="00A45A94" w:rsidRDefault="00A45A94" w:rsidP="00A45A94">
            <w:pPr>
              <w:spacing w:after="0" w:line="240" w:lineRule="auto"/>
              <w:jc w:val="center"/>
              <w:rPr>
                <w:rFonts w:ascii="Times New Roman" w:eastAsia="Times New Roman" w:hAnsi="Times New Roman" w:cs="Times New Roman"/>
                <w:b/>
                <w:bCs/>
                <w:color w:val="000000"/>
                <w:sz w:val="20"/>
                <w:szCs w:val="20"/>
              </w:rPr>
            </w:pPr>
            <w:r w:rsidRPr="00A45A94">
              <w:rPr>
                <w:rFonts w:ascii="Times New Roman" w:eastAsia="Times New Roman" w:hAnsi="Times New Roman" w:cs="Times New Roman"/>
                <w:b/>
                <w:bCs/>
                <w:color w:val="000000"/>
                <w:sz w:val="20"/>
                <w:szCs w:val="20"/>
              </w:rPr>
              <w:t>merná jednotka</w:t>
            </w:r>
          </w:p>
        </w:tc>
        <w:tc>
          <w:tcPr>
            <w:tcW w:w="960" w:type="dxa"/>
            <w:tcBorders>
              <w:top w:val="nil"/>
              <w:left w:val="nil"/>
              <w:bottom w:val="single" w:sz="4" w:space="0" w:color="auto"/>
              <w:right w:val="nil"/>
            </w:tcBorders>
            <w:shd w:val="clear" w:color="000000" w:fill="D9D9D9"/>
            <w:noWrap/>
            <w:vAlign w:val="bottom"/>
            <w:hideMark/>
          </w:tcPr>
          <w:p w:rsidR="00A45A94" w:rsidRPr="00A45A94" w:rsidRDefault="00A45A94" w:rsidP="00A45A94">
            <w:pPr>
              <w:spacing w:after="0" w:line="240" w:lineRule="auto"/>
              <w:jc w:val="center"/>
              <w:rPr>
                <w:rFonts w:ascii="Times New Roman" w:eastAsia="Times New Roman" w:hAnsi="Times New Roman" w:cs="Times New Roman"/>
                <w:b/>
                <w:bCs/>
                <w:color w:val="000000"/>
                <w:sz w:val="20"/>
                <w:szCs w:val="20"/>
              </w:rPr>
            </w:pPr>
            <w:r w:rsidRPr="00A45A94">
              <w:rPr>
                <w:rFonts w:ascii="Times New Roman" w:eastAsia="Times New Roman" w:hAnsi="Times New Roman" w:cs="Times New Roman"/>
                <w:b/>
                <w:bCs/>
                <w:color w:val="000000"/>
                <w:sz w:val="20"/>
                <w:szCs w:val="20"/>
              </w:rPr>
              <w:t>2014</w:t>
            </w:r>
          </w:p>
        </w:tc>
        <w:tc>
          <w:tcPr>
            <w:tcW w:w="960" w:type="dxa"/>
            <w:tcBorders>
              <w:top w:val="nil"/>
              <w:left w:val="nil"/>
              <w:bottom w:val="single" w:sz="4" w:space="0" w:color="auto"/>
              <w:right w:val="nil"/>
            </w:tcBorders>
            <w:shd w:val="clear" w:color="000000" w:fill="D9D9D9"/>
            <w:noWrap/>
            <w:vAlign w:val="bottom"/>
            <w:hideMark/>
          </w:tcPr>
          <w:p w:rsidR="00A45A94" w:rsidRPr="00A45A94" w:rsidRDefault="00A45A94" w:rsidP="00A45A94">
            <w:pPr>
              <w:spacing w:after="0" w:line="240" w:lineRule="auto"/>
              <w:jc w:val="center"/>
              <w:rPr>
                <w:rFonts w:ascii="Times New Roman" w:eastAsia="Times New Roman" w:hAnsi="Times New Roman" w:cs="Times New Roman"/>
                <w:b/>
                <w:bCs/>
                <w:color w:val="000000"/>
                <w:sz w:val="20"/>
                <w:szCs w:val="20"/>
              </w:rPr>
            </w:pPr>
            <w:r w:rsidRPr="00A45A94">
              <w:rPr>
                <w:rFonts w:ascii="Times New Roman" w:eastAsia="Times New Roman" w:hAnsi="Times New Roman" w:cs="Times New Roman"/>
                <w:b/>
                <w:bCs/>
                <w:color w:val="000000"/>
                <w:sz w:val="20"/>
                <w:szCs w:val="20"/>
              </w:rPr>
              <w:t>2015</w:t>
            </w:r>
          </w:p>
        </w:tc>
        <w:tc>
          <w:tcPr>
            <w:tcW w:w="960" w:type="dxa"/>
            <w:tcBorders>
              <w:top w:val="nil"/>
              <w:left w:val="nil"/>
              <w:bottom w:val="single" w:sz="4" w:space="0" w:color="auto"/>
              <w:right w:val="nil"/>
            </w:tcBorders>
            <w:shd w:val="clear" w:color="000000" w:fill="D9D9D9"/>
            <w:noWrap/>
            <w:vAlign w:val="bottom"/>
            <w:hideMark/>
          </w:tcPr>
          <w:p w:rsidR="00A45A94" w:rsidRPr="00A45A94" w:rsidRDefault="00A45A94" w:rsidP="00A45A94">
            <w:pPr>
              <w:spacing w:after="0" w:line="240" w:lineRule="auto"/>
              <w:jc w:val="center"/>
              <w:rPr>
                <w:rFonts w:ascii="Times New Roman" w:eastAsia="Times New Roman" w:hAnsi="Times New Roman" w:cs="Times New Roman"/>
                <w:b/>
                <w:bCs/>
                <w:color w:val="000000"/>
                <w:sz w:val="20"/>
                <w:szCs w:val="20"/>
              </w:rPr>
            </w:pPr>
            <w:r w:rsidRPr="00A45A94">
              <w:rPr>
                <w:rFonts w:ascii="Times New Roman" w:eastAsia="Times New Roman" w:hAnsi="Times New Roman" w:cs="Times New Roman"/>
                <w:b/>
                <w:bCs/>
                <w:color w:val="000000"/>
                <w:sz w:val="20"/>
                <w:szCs w:val="20"/>
              </w:rPr>
              <w:t>2016</w:t>
            </w:r>
          </w:p>
        </w:tc>
        <w:tc>
          <w:tcPr>
            <w:tcW w:w="1140" w:type="dxa"/>
            <w:tcBorders>
              <w:top w:val="nil"/>
              <w:left w:val="nil"/>
              <w:bottom w:val="single" w:sz="4" w:space="0" w:color="auto"/>
              <w:right w:val="nil"/>
            </w:tcBorders>
            <w:shd w:val="clear" w:color="000000" w:fill="D9D9D9"/>
            <w:noWrap/>
            <w:vAlign w:val="bottom"/>
            <w:hideMark/>
          </w:tcPr>
          <w:p w:rsidR="00A45A94" w:rsidRPr="00A45A94" w:rsidRDefault="00A45A94" w:rsidP="00A45A94">
            <w:pPr>
              <w:spacing w:after="0" w:line="240" w:lineRule="auto"/>
              <w:jc w:val="center"/>
              <w:rPr>
                <w:rFonts w:ascii="Times New Roman" w:eastAsia="Times New Roman" w:hAnsi="Times New Roman" w:cs="Times New Roman"/>
                <w:b/>
                <w:bCs/>
                <w:color w:val="000000"/>
                <w:sz w:val="20"/>
                <w:szCs w:val="20"/>
              </w:rPr>
            </w:pPr>
            <w:r w:rsidRPr="00A45A94">
              <w:rPr>
                <w:rFonts w:ascii="Times New Roman" w:eastAsia="Times New Roman" w:hAnsi="Times New Roman" w:cs="Times New Roman"/>
                <w:b/>
                <w:bCs/>
                <w:color w:val="000000"/>
                <w:sz w:val="20"/>
                <w:szCs w:val="20"/>
              </w:rPr>
              <w:t>Celkom</w:t>
            </w:r>
          </w:p>
        </w:tc>
      </w:tr>
      <w:tr w:rsidR="00A45A94" w:rsidRPr="00A45A94" w:rsidTr="00415F91">
        <w:trPr>
          <w:trHeight w:val="510"/>
        </w:trPr>
        <w:tc>
          <w:tcPr>
            <w:tcW w:w="3100" w:type="dxa"/>
            <w:tcBorders>
              <w:top w:val="nil"/>
              <w:left w:val="nil"/>
              <w:bottom w:val="nil"/>
              <w:right w:val="nil"/>
            </w:tcBorders>
            <w:shd w:val="clear" w:color="auto" w:fill="auto"/>
            <w:vAlign w:val="bottom"/>
            <w:hideMark/>
          </w:tcPr>
          <w:p w:rsidR="00A45A94" w:rsidRPr="00A45A94" w:rsidRDefault="00A45A94" w:rsidP="00A45A94">
            <w:pPr>
              <w:spacing w:after="0" w:line="240" w:lineRule="auto"/>
              <w:rPr>
                <w:rFonts w:ascii="Times New Roman" w:eastAsia="Times New Roman" w:hAnsi="Times New Roman" w:cs="Times New Roman"/>
                <w:color w:val="000000"/>
                <w:sz w:val="20"/>
                <w:szCs w:val="20"/>
              </w:rPr>
            </w:pPr>
            <w:r w:rsidRPr="00A45A94">
              <w:rPr>
                <w:rFonts w:ascii="Times New Roman" w:eastAsia="Times New Roman" w:hAnsi="Times New Roman" w:cs="Times New Roman"/>
                <w:color w:val="000000"/>
                <w:sz w:val="20"/>
                <w:szCs w:val="20"/>
              </w:rPr>
              <w:t>potenciálna výmera energetických porastov v strednodobom horizonte</w:t>
            </w:r>
          </w:p>
        </w:tc>
        <w:tc>
          <w:tcPr>
            <w:tcW w:w="2018" w:type="dxa"/>
            <w:tcBorders>
              <w:top w:val="nil"/>
              <w:left w:val="nil"/>
              <w:bottom w:val="nil"/>
              <w:right w:val="single" w:sz="4" w:space="0" w:color="auto"/>
            </w:tcBorders>
            <w:shd w:val="clear" w:color="auto" w:fill="auto"/>
            <w:noWrap/>
            <w:vAlign w:val="center"/>
            <w:hideMark/>
          </w:tcPr>
          <w:p w:rsidR="00A45A94" w:rsidRPr="00A45A94" w:rsidRDefault="00A45A94" w:rsidP="00A45A94">
            <w:pPr>
              <w:spacing w:after="0" w:line="240" w:lineRule="auto"/>
              <w:jc w:val="center"/>
              <w:rPr>
                <w:rFonts w:ascii="Times New Roman" w:eastAsia="Times New Roman" w:hAnsi="Times New Roman" w:cs="Times New Roman"/>
                <w:color w:val="000000"/>
                <w:sz w:val="20"/>
                <w:szCs w:val="20"/>
              </w:rPr>
            </w:pPr>
            <w:r w:rsidRPr="00A45A94">
              <w:rPr>
                <w:rFonts w:ascii="Times New Roman" w:eastAsia="Times New Roman" w:hAnsi="Times New Roman" w:cs="Times New Roman"/>
                <w:color w:val="000000"/>
                <w:sz w:val="20"/>
                <w:szCs w:val="20"/>
              </w:rPr>
              <w:t>ha</w:t>
            </w:r>
          </w:p>
        </w:tc>
        <w:tc>
          <w:tcPr>
            <w:tcW w:w="960" w:type="dxa"/>
            <w:tcBorders>
              <w:top w:val="nil"/>
              <w:left w:val="nil"/>
              <w:bottom w:val="nil"/>
              <w:right w:val="nil"/>
            </w:tcBorders>
            <w:shd w:val="clear" w:color="auto" w:fill="auto"/>
            <w:noWrap/>
            <w:vAlign w:val="center"/>
            <w:hideMark/>
          </w:tcPr>
          <w:p w:rsidR="00A45A94" w:rsidRPr="00A45A94" w:rsidRDefault="00A45A94" w:rsidP="00A45A94">
            <w:pPr>
              <w:spacing w:after="0" w:line="240" w:lineRule="auto"/>
              <w:jc w:val="right"/>
              <w:rPr>
                <w:rFonts w:ascii="Times New Roman" w:eastAsia="Times New Roman" w:hAnsi="Times New Roman" w:cs="Times New Roman"/>
                <w:color w:val="000000"/>
                <w:sz w:val="20"/>
                <w:szCs w:val="20"/>
              </w:rPr>
            </w:pPr>
            <w:r w:rsidRPr="00A45A94">
              <w:rPr>
                <w:rFonts w:ascii="Times New Roman" w:eastAsia="Times New Roman" w:hAnsi="Times New Roman" w:cs="Times New Roman"/>
                <w:color w:val="000000"/>
                <w:sz w:val="20"/>
                <w:szCs w:val="20"/>
              </w:rPr>
              <w:t>750</w:t>
            </w:r>
          </w:p>
        </w:tc>
        <w:tc>
          <w:tcPr>
            <w:tcW w:w="960" w:type="dxa"/>
            <w:tcBorders>
              <w:top w:val="nil"/>
              <w:left w:val="nil"/>
              <w:bottom w:val="nil"/>
              <w:right w:val="nil"/>
            </w:tcBorders>
            <w:shd w:val="clear" w:color="auto" w:fill="auto"/>
            <w:noWrap/>
            <w:vAlign w:val="center"/>
            <w:hideMark/>
          </w:tcPr>
          <w:p w:rsidR="00A45A94" w:rsidRPr="00A45A94" w:rsidRDefault="00A45A94" w:rsidP="00A45A94">
            <w:pPr>
              <w:spacing w:after="0" w:line="240" w:lineRule="auto"/>
              <w:jc w:val="right"/>
              <w:rPr>
                <w:rFonts w:ascii="Times New Roman" w:eastAsia="Times New Roman" w:hAnsi="Times New Roman" w:cs="Times New Roman"/>
                <w:color w:val="000000"/>
                <w:sz w:val="20"/>
                <w:szCs w:val="20"/>
              </w:rPr>
            </w:pPr>
            <w:r w:rsidRPr="00A45A94">
              <w:rPr>
                <w:rFonts w:ascii="Times New Roman" w:eastAsia="Times New Roman" w:hAnsi="Times New Roman" w:cs="Times New Roman"/>
                <w:color w:val="000000"/>
                <w:sz w:val="20"/>
                <w:szCs w:val="20"/>
              </w:rPr>
              <w:t>3 000</w:t>
            </w:r>
          </w:p>
        </w:tc>
        <w:tc>
          <w:tcPr>
            <w:tcW w:w="960" w:type="dxa"/>
            <w:tcBorders>
              <w:top w:val="nil"/>
              <w:left w:val="nil"/>
              <w:bottom w:val="nil"/>
              <w:right w:val="nil"/>
            </w:tcBorders>
            <w:shd w:val="clear" w:color="auto" w:fill="auto"/>
            <w:noWrap/>
            <w:vAlign w:val="center"/>
            <w:hideMark/>
          </w:tcPr>
          <w:p w:rsidR="00A45A94" w:rsidRPr="00A45A94" w:rsidRDefault="00A45A94" w:rsidP="00A45A94">
            <w:pPr>
              <w:spacing w:after="0" w:line="240" w:lineRule="auto"/>
              <w:jc w:val="right"/>
              <w:rPr>
                <w:rFonts w:ascii="Times New Roman" w:eastAsia="Times New Roman" w:hAnsi="Times New Roman" w:cs="Times New Roman"/>
                <w:color w:val="000000"/>
                <w:sz w:val="20"/>
                <w:szCs w:val="20"/>
              </w:rPr>
            </w:pPr>
            <w:r w:rsidRPr="00A45A94">
              <w:rPr>
                <w:rFonts w:ascii="Times New Roman" w:eastAsia="Times New Roman" w:hAnsi="Times New Roman" w:cs="Times New Roman"/>
                <w:color w:val="000000"/>
                <w:sz w:val="20"/>
                <w:szCs w:val="20"/>
              </w:rPr>
              <w:t>3 750</w:t>
            </w:r>
          </w:p>
        </w:tc>
        <w:tc>
          <w:tcPr>
            <w:tcW w:w="1140" w:type="dxa"/>
            <w:tcBorders>
              <w:top w:val="nil"/>
              <w:left w:val="nil"/>
              <w:bottom w:val="nil"/>
              <w:right w:val="nil"/>
            </w:tcBorders>
            <w:shd w:val="clear" w:color="auto" w:fill="auto"/>
            <w:noWrap/>
            <w:vAlign w:val="center"/>
            <w:hideMark/>
          </w:tcPr>
          <w:p w:rsidR="00A45A94" w:rsidRPr="00A45A94" w:rsidRDefault="00A45A94" w:rsidP="00A45A94">
            <w:pPr>
              <w:spacing w:after="0" w:line="240" w:lineRule="auto"/>
              <w:jc w:val="right"/>
              <w:rPr>
                <w:rFonts w:ascii="Times New Roman" w:eastAsia="Times New Roman" w:hAnsi="Times New Roman" w:cs="Times New Roman"/>
                <w:color w:val="000000"/>
                <w:sz w:val="20"/>
                <w:szCs w:val="20"/>
              </w:rPr>
            </w:pPr>
            <w:r w:rsidRPr="00A45A94">
              <w:rPr>
                <w:rFonts w:ascii="Times New Roman" w:eastAsia="Times New Roman" w:hAnsi="Times New Roman" w:cs="Times New Roman"/>
                <w:color w:val="000000"/>
                <w:sz w:val="20"/>
                <w:szCs w:val="20"/>
              </w:rPr>
              <w:t>7 500</w:t>
            </w:r>
          </w:p>
        </w:tc>
      </w:tr>
      <w:tr w:rsidR="00A45A94" w:rsidRPr="00A45A94" w:rsidTr="00415F91">
        <w:trPr>
          <w:trHeight w:val="510"/>
        </w:trPr>
        <w:tc>
          <w:tcPr>
            <w:tcW w:w="3100" w:type="dxa"/>
            <w:tcBorders>
              <w:top w:val="nil"/>
              <w:left w:val="nil"/>
              <w:bottom w:val="nil"/>
              <w:right w:val="nil"/>
            </w:tcBorders>
            <w:shd w:val="clear" w:color="000000" w:fill="F2F2F2"/>
            <w:vAlign w:val="bottom"/>
            <w:hideMark/>
          </w:tcPr>
          <w:p w:rsidR="00A45A94" w:rsidRPr="00A45A94" w:rsidRDefault="00A45A94" w:rsidP="00A45A94">
            <w:pPr>
              <w:spacing w:after="0" w:line="240" w:lineRule="auto"/>
              <w:rPr>
                <w:rFonts w:ascii="Times New Roman" w:eastAsia="Times New Roman" w:hAnsi="Times New Roman" w:cs="Times New Roman"/>
                <w:color w:val="000000"/>
                <w:sz w:val="20"/>
                <w:szCs w:val="20"/>
              </w:rPr>
            </w:pPr>
            <w:r w:rsidRPr="00A45A94">
              <w:rPr>
                <w:rFonts w:ascii="Times New Roman" w:eastAsia="Times New Roman" w:hAnsi="Times New Roman" w:cs="Times New Roman"/>
                <w:color w:val="000000"/>
                <w:sz w:val="20"/>
                <w:szCs w:val="20"/>
              </w:rPr>
              <w:t xml:space="preserve">očakávaná ročná produkcia </w:t>
            </w:r>
            <w:proofErr w:type="spellStart"/>
            <w:r w:rsidRPr="00A45A94">
              <w:rPr>
                <w:rFonts w:ascii="Times New Roman" w:eastAsia="Times New Roman" w:hAnsi="Times New Roman" w:cs="Times New Roman"/>
                <w:color w:val="000000"/>
                <w:sz w:val="20"/>
                <w:szCs w:val="20"/>
              </w:rPr>
              <w:t>dendromasy</w:t>
            </w:r>
            <w:proofErr w:type="spellEnd"/>
          </w:p>
        </w:tc>
        <w:tc>
          <w:tcPr>
            <w:tcW w:w="2018" w:type="dxa"/>
            <w:tcBorders>
              <w:top w:val="nil"/>
              <w:left w:val="nil"/>
              <w:bottom w:val="nil"/>
              <w:right w:val="single" w:sz="4" w:space="0" w:color="auto"/>
            </w:tcBorders>
            <w:shd w:val="clear" w:color="000000" w:fill="F2F2F2"/>
            <w:noWrap/>
            <w:vAlign w:val="center"/>
            <w:hideMark/>
          </w:tcPr>
          <w:p w:rsidR="00A45A94" w:rsidRPr="00A45A94" w:rsidRDefault="00A45A94" w:rsidP="00A45A94">
            <w:pPr>
              <w:spacing w:after="0" w:line="240" w:lineRule="auto"/>
              <w:jc w:val="center"/>
              <w:rPr>
                <w:rFonts w:ascii="Times New Roman" w:eastAsia="Times New Roman" w:hAnsi="Times New Roman" w:cs="Times New Roman"/>
                <w:color w:val="000000"/>
                <w:sz w:val="20"/>
                <w:szCs w:val="20"/>
              </w:rPr>
            </w:pPr>
            <w:r w:rsidRPr="00A45A94">
              <w:rPr>
                <w:rFonts w:ascii="Times New Roman" w:eastAsia="Times New Roman" w:hAnsi="Times New Roman" w:cs="Times New Roman"/>
                <w:color w:val="000000"/>
                <w:sz w:val="20"/>
                <w:szCs w:val="20"/>
              </w:rPr>
              <w:t>m</w:t>
            </w:r>
            <w:r w:rsidRPr="00A45A94">
              <w:rPr>
                <w:rFonts w:ascii="Times New Roman" w:eastAsia="Times New Roman" w:hAnsi="Times New Roman" w:cs="Times New Roman"/>
                <w:color w:val="000000"/>
                <w:sz w:val="20"/>
                <w:szCs w:val="20"/>
                <w:vertAlign w:val="superscript"/>
              </w:rPr>
              <w:t>3</w:t>
            </w:r>
          </w:p>
        </w:tc>
        <w:tc>
          <w:tcPr>
            <w:tcW w:w="960" w:type="dxa"/>
            <w:tcBorders>
              <w:top w:val="nil"/>
              <w:left w:val="nil"/>
              <w:bottom w:val="nil"/>
              <w:right w:val="nil"/>
            </w:tcBorders>
            <w:shd w:val="clear" w:color="000000" w:fill="F2F2F2"/>
            <w:noWrap/>
            <w:vAlign w:val="center"/>
            <w:hideMark/>
          </w:tcPr>
          <w:p w:rsidR="00A45A94" w:rsidRPr="00A45A94" w:rsidRDefault="00A45A94" w:rsidP="00A45A94">
            <w:pPr>
              <w:spacing w:after="0" w:line="240" w:lineRule="auto"/>
              <w:jc w:val="right"/>
              <w:rPr>
                <w:rFonts w:ascii="Times New Roman" w:eastAsia="Times New Roman" w:hAnsi="Times New Roman" w:cs="Times New Roman"/>
                <w:color w:val="000000"/>
                <w:sz w:val="20"/>
                <w:szCs w:val="20"/>
              </w:rPr>
            </w:pPr>
            <w:r w:rsidRPr="00A45A94">
              <w:rPr>
                <w:rFonts w:ascii="Times New Roman" w:eastAsia="Times New Roman" w:hAnsi="Times New Roman" w:cs="Times New Roman"/>
                <w:color w:val="000000"/>
                <w:sz w:val="20"/>
                <w:szCs w:val="20"/>
              </w:rPr>
              <w:t>6 250</w:t>
            </w:r>
          </w:p>
        </w:tc>
        <w:tc>
          <w:tcPr>
            <w:tcW w:w="960" w:type="dxa"/>
            <w:tcBorders>
              <w:top w:val="nil"/>
              <w:left w:val="nil"/>
              <w:bottom w:val="nil"/>
              <w:right w:val="nil"/>
            </w:tcBorders>
            <w:shd w:val="clear" w:color="000000" w:fill="F2F2F2"/>
            <w:noWrap/>
            <w:vAlign w:val="center"/>
            <w:hideMark/>
          </w:tcPr>
          <w:p w:rsidR="00A45A94" w:rsidRPr="00A45A94" w:rsidRDefault="00A45A94" w:rsidP="00A45A94">
            <w:pPr>
              <w:spacing w:after="0" w:line="240" w:lineRule="auto"/>
              <w:jc w:val="right"/>
              <w:rPr>
                <w:rFonts w:ascii="Times New Roman" w:eastAsia="Times New Roman" w:hAnsi="Times New Roman" w:cs="Times New Roman"/>
                <w:color w:val="000000"/>
                <w:sz w:val="20"/>
                <w:szCs w:val="20"/>
              </w:rPr>
            </w:pPr>
            <w:r w:rsidRPr="00A45A94">
              <w:rPr>
                <w:rFonts w:ascii="Times New Roman" w:eastAsia="Times New Roman" w:hAnsi="Times New Roman" w:cs="Times New Roman"/>
                <w:color w:val="000000"/>
                <w:sz w:val="20"/>
                <w:szCs w:val="20"/>
              </w:rPr>
              <w:t>25 000</w:t>
            </w:r>
          </w:p>
        </w:tc>
        <w:tc>
          <w:tcPr>
            <w:tcW w:w="960" w:type="dxa"/>
            <w:tcBorders>
              <w:top w:val="nil"/>
              <w:left w:val="nil"/>
              <w:bottom w:val="nil"/>
              <w:right w:val="nil"/>
            </w:tcBorders>
            <w:shd w:val="clear" w:color="000000" w:fill="F2F2F2"/>
            <w:noWrap/>
            <w:vAlign w:val="center"/>
            <w:hideMark/>
          </w:tcPr>
          <w:p w:rsidR="00A45A94" w:rsidRPr="00A45A94" w:rsidRDefault="00A45A94" w:rsidP="00A45A94">
            <w:pPr>
              <w:spacing w:after="0" w:line="240" w:lineRule="auto"/>
              <w:jc w:val="right"/>
              <w:rPr>
                <w:rFonts w:ascii="Times New Roman" w:eastAsia="Times New Roman" w:hAnsi="Times New Roman" w:cs="Times New Roman"/>
                <w:color w:val="000000"/>
                <w:sz w:val="20"/>
                <w:szCs w:val="20"/>
              </w:rPr>
            </w:pPr>
            <w:r w:rsidRPr="00A45A94">
              <w:rPr>
                <w:rFonts w:ascii="Times New Roman" w:eastAsia="Times New Roman" w:hAnsi="Times New Roman" w:cs="Times New Roman"/>
                <w:color w:val="000000"/>
                <w:sz w:val="20"/>
                <w:szCs w:val="20"/>
              </w:rPr>
              <w:t>31 250</w:t>
            </w:r>
          </w:p>
        </w:tc>
        <w:tc>
          <w:tcPr>
            <w:tcW w:w="1140" w:type="dxa"/>
            <w:tcBorders>
              <w:top w:val="nil"/>
              <w:left w:val="nil"/>
              <w:bottom w:val="nil"/>
              <w:right w:val="nil"/>
            </w:tcBorders>
            <w:shd w:val="clear" w:color="000000" w:fill="F2F2F2"/>
            <w:noWrap/>
            <w:vAlign w:val="center"/>
            <w:hideMark/>
          </w:tcPr>
          <w:p w:rsidR="00A45A94" w:rsidRPr="00A45A94" w:rsidRDefault="00A45A94" w:rsidP="00A45A94">
            <w:pPr>
              <w:spacing w:after="0" w:line="240" w:lineRule="auto"/>
              <w:jc w:val="right"/>
              <w:rPr>
                <w:rFonts w:ascii="Times New Roman" w:eastAsia="Times New Roman" w:hAnsi="Times New Roman" w:cs="Times New Roman"/>
                <w:color w:val="000000"/>
                <w:sz w:val="20"/>
                <w:szCs w:val="20"/>
              </w:rPr>
            </w:pPr>
            <w:r w:rsidRPr="00A45A94">
              <w:rPr>
                <w:rFonts w:ascii="Times New Roman" w:eastAsia="Times New Roman" w:hAnsi="Times New Roman" w:cs="Times New Roman"/>
                <w:color w:val="000000"/>
                <w:sz w:val="20"/>
                <w:szCs w:val="20"/>
              </w:rPr>
              <w:t>62 500</w:t>
            </w:r>
          </w:p>
        </w:tc>
      </w:tr>
      <w:tr w:rsidR="00A45A94" w:rsidRPr="00A45A94" w:rsidTr="00415F91">
        <w:trPr>
          <w:trHeight w:val="255"/>
        </w:trPr>
        <w:tc>
          <w:tcPr>
            <w:tcW w:w="3100" w:type="dxa"/>
            <w:tcBorders>
              <w:top w:val="single" w:sz="4" w:space="0" w:color="auto"/>
              <w:left w:val="nil"/>
              <w:bottom w:val="single" w:sz="4" w:space="0" w:color="auto"/>
              <w:right w:val="nil"/>
            </w:tcBorders>
            <w:shd w:val="clear" w:color="auto" w:fill="auto"/>
            <w:vAlign w:val="bottom"/>
            <w:hideMark/>
          </w:tcPr>
          <w:p w:rsidR="00A45A94" w:rsidRPr="00A45A94" w:rsidRDefault="00A45A94" w:rsidP="00A45A94">
            <w:pPr>
              <w:spacing w:after="0" w:line="240" w:lineRule="auto"/>
              <w:rPr>
                <w:rFonts w:ascii="Times New Roman" w:eastAsia="Times New Roman" w:hAnsi="Times New Roman" w:cs="Times New Roman"/>
                <w:b/>
                <w:color w:val="000000"/>
                <w:sz w:val="20"/>
                <w:szCs w:val="20"/>
              </w:rPr>
            </w:pPr>
            <w:r w:rsidRPr="00A45A94">
              <w:rPr>
                <w:rFonts w:ascii="Times New Roman" w:eastAsia="Times New Roman" w:hAnsi="Times New Roman" w:cs="Times New Roman"/>
                <w:b/>
                <w:color w:val="000000"/>
                <w:sz w:val="20"/>
                <w:szCs w:val="20"/>
              </w:rPr>
              <w:t>výška financovania</w:t>
            </w: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rsidR="00A45A94" w:rsidRPr="00A45A94" w:rsidRDefault="00A45A94" w:rsidP="00A45A94">
            <w:pPr>
              <w:spacing w:after="0" w:line="240" w:lineRule="auto"/>
              <w:jc w:val="center"/>
              <w:rPr>
                <w:rFonts w:ascii="Times New Roman" w:eastAsia="Times New Roman" w:hAnsi="Times New Roman" w:cs="Times New Roman"/>
                <w:b/>
                <w:color w:val="000000"/>
                <w:sz w:val="20"/>
                <w:szCs w:val="20"/>
              </w:rPr>
            </w:pPr>
            <w:r w:rsidRPr="00A45A94">
              <w:rPr>
                <w:rFonts w:ascii="Times New Roman" w:eastAsia="Times New Roman" w:hAnsi="Times New Roman" w:cs="Times New Roman"/>
                <w:b/>
                <w:color w:val="000000"/>
                <w:sz w:val="20"/>
                <w:szCs w:val="20"/>
              </w:rPr>
              <w:t>EUR</w:t>
            </w:r>
          </w:p>
        </w:tc>
        <w:tc>
          <w:tcPr>
            <w:tcW w:w="960" w:type="dxa"/>
            <w:tcBorders>
              <w:top w:val="single" w:sz="4" w:space="0" w:color="auto"/>
              <w:left w:val="nil"/>
              <w:bottom w:val="single" w:sz="4" w:space="0" w:color="auto"/>
              <w:right w:val="nil"/>
            </w:tcBorders>
            <w:shd w:val="clear" w:color="auto" w:fill="auto"/>
            <w:noWrap/>
            <w:vAlign w:val="center"/>
            <w:hideMark/>
          </w:tcPr>
          <w:p w:rsidR="00A45A94" w:rsidRPr="00A45A94" w:rsidRDefault="00A45A94" w:rsidP="00A45A94">
            <w:pPr>
              <w:spacing w:after="0" w:line="240" w:lineRule="auto"/>
              <w:jc w:val="right"/>
              <w:rPr>
                <w:rFonts w:ascii="Times New Roman" w:eastAsia="Times New Roman" w:hAnsi="Times New Roman" w:cs="Times New Roman"/>
                <w:b/>
                <w:color w:val="000000"/>
                <w:sz w:val="20"/>
                <w:szCs w:val="20"/>
              </w:rPr>
            </w:pPr>
            <w:r w:rsidRPr="00A45A94">
              <w:rPr>
                <w:rFonts w:ascii="Times New Roman" w:eastAsia="Times New Roman" w:hAnsi="Times New Roman" w:cs="Times New Roman"/>
                <w:b/>
                <w:color w:val="000000"/>
                <w:sz w:val="20"/>
                <w:szCs w:val="20"/>
              </w:rPr>
              <w:t>1 987 500</w:t>
            </w:r>
          </w:p>
        </w:tc>
        <w:tc>
          <w:tcPr>
            <w:tcW w:w="960" w:type="dxa"/>
            <w:tcBorders>
              <w:top w:val="single" w:sz="4" w:space="0" w:color="auto"/>
              <w:left w:val="nil"/>
              <w:bottom w:val="single" w:sz="4" w:space="0" w:color="auto"/>
              <w:right w:val="nil"/>
            </w:tcBorders>
            <w:shd w:val="clear" w:color="auto" w:fill="auto"/>
            <w:noWrap/>
            <w:vAlign w:val="center"/>
            <w:hideMark/>
          </w:tcPr>
          <w:p w:rsidR="00A45A94" w:rsidRPr="00A45A94" w:rsidRDefault="00A45A94" w:rsidP="00A45A94">
            <w:pPr>
              <w:spacing w:after="0" w:line="240" w:lineRule="auto"/>
              <w:jc w:val="right"/>
              <w:rPr>
                <w:rFonts w:ascii="Times New Roman" w:eastAsia="Times New Roman" w:hAnsi="Times New Roman" w:cs="Times New Roman"/>
                <w:b/>
                <w:color w:val="000000"/>
                <w:sz w:val="20"/>
                <w:szCs w:val="20"/>
              </w:rPr>
            </w:pPr>
            <w:r w:rsidRPr="00A45A94">
              <w:rPr>
                <w:rFonts w:ascii="Times New Roman" w:eastAsia="Times New Roman" w:hAnsi="Times New Roman" w:cs="Times New Roman"/>
                <w:b/>
                <w:color w:val="000000"/>
                <w:sz w:val="20"/>
                <w:szCs w:val="20"/>
              </w:rPr>
              <w:t>7 950 000</w:t>
            </w:r>
          </w:p>
        </w:tc>
        <w:tc>
          <w:tcPr>
            <w:tcW w:w="960" w:type="dxa"/>
            <w:tcBorders>
              <w:top w:val="single" w:sz="4" w:space="0" w:color="auto"/>
              <w:left w:val="nil"/>
              <w:bottom w:val="single" w:sz="4" w:space="0" w:color="auto"/>
              <w:right w:val="nil"/>
            </w:tcBorders>
            <w:shd w:val="clear" w:color="auto" w:fill="auto"/>
            <w:noWrap/>
            <w:vAlign w:val="center"/>
            <w:hideMark/>
          </w:tcPr>
          <w:p w:rsidR="00A45A94" w:rsidRPr="00A45A94" w:rsidRDefault="00A45A94" w:rsidP="00A45A94">
            <w:pPr>
              <w:spacing w:after="0" w:line="240" w:lineRule="auto"/>
              <w:jc w:val="right"/>
              <w:rPr>
                <w:rFonts w:ascii="Times New Roman" w:eastAsia="Times New Roman" w:hAnsi="Times New Roman" w:cs="Times New Roman"/>
                <w:b/>
                <w:color w:val="000000"/>
                <w:sz w:val="20"/>
                <w:szCs w:val="20"/>
              </w:rPr>
            </w:pPr>
            <w:r w:rsidRPr="00A45A94">
              <w:rPr>
                <w:rFonts w:ascii="Times New Roman" w:eastAsia="Times New Roman" w:hAnsi="Times New Roman" w:cs="Times New Roman"/>
                <w:b/>
                <w:color w:val="000000"/>
                <w:sz w:val="20"/>
                <w:szCs w:val="20"/>
              </w:rPr>
              <w:t>9 937 500</w:t>
            </w:r>
          </w:p>
        </w:tc>
        <w:tc>
          <w:tcPr>
            <w:tcW w:w="1140" w:type="dxa"/>
            <w:tcBorders>
              <w:top w:val="single" w:sz="4" w:space="0" w:color="auto"/>
              <w:left w:val="nil"/>
              <w:bottom w:val="single" w:sz="4" w:space="0" w:color="auto"/>
              <w:right w:val="nil"/>
            </w:tcBorders>
            <w:shd w:val="clear" w:color="auto" w:fill="auto"/>
            <w:noWrap/>
            <w:vAlign w:val="center"/>
            <w:hideMark/>
          </w:tcPr>
          <w:p w:rsidR="00A45A94" w:rsidRPr="00A45A94" w:rsidRDefault="00A45A94" w:rsidP="00A45A94">
            <w:pPr>
              <w:spacing w:after="0" w:line="240" w:lineRule="auto"/>
              <w:jc w:val="right"/>
              <w:rPr>
                <w:rFonts w:ascii="Times New Roman" w:eastAsia="Times New Roman" w:hAnsi="Times New Roman" w:cs="Times New Roman"/>
                <w:b/>
                <w:color w:val="000000"/>
                <w:sz w:val="20"/>
                <w:szCs w:val="20"/>
              </w:rPr>
            </w:pPr>
            <w:r w:rsidRPr="00A45A94">
              <w:rPr>
                <w:rFonts w:ascii="Times New Roman" w:eastAsia="Times New Roman" w:hAnsi="Times New Roman" w:cs="Times New Roman"/>
                <w:b/>
                <w:color w:val="000000"/>
                <w:sz w:val="20"/>
                <w:szCs w:val="20"/>
              </w:rPr>
              <w:t>19 875 000</w:t>
            </w:r>
          </w:p>
        </w:tc>
      </w:tr>
    </w:tbl>
    <w:p w:rsidR="00415F91" w:rsidRPr="00C431FF" w:rsidRDefault="00415F91" w:rsidP="00415F9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odhad MPRV</w:t>
      </w:r>
    </w:p>
    <w:p w:rsidR="002C5CF1" w:rsidRDefault="002C5CF1" w:rsidP="00766688">
      <w:pPr>
        <w:spacing w:after="0" w:line="240" w:lineRule="auto"/>
        <w:jc w:val="both"/>
        <w:rPr>
          <w:rFonts w:ascii="Times New Roman" w:hAnsi="Times New Roman" w:cs="Times New Roman"/>
          <w:sz w:val="24"/>
          <w:szCs w:val="24"/>
        </w:rPr>
      </w:pPr>
    </w:p>
    <w:p w:rsidR="002C5CF1" w:rsidRPr="002C5CF1" w:rsidRDefault="002C5CF1" w:rsidP="002C5CF1">
      <w:pPr>
        <w:pStyle w:val="Nadpis2"/>
        <w:numPr>
          <w:ilvl w:val="1"/>
          <w:numId w:val="8"/>
        </w:numPr>
        <w:rPr>
          <w:rFonts w:eastAsia="Calibri"/>
          <w:szCs w:val="24"/>
        </w:rPr>
      </w:pPr>
      <w:bookmarkStart w:id="79" w:name="_Toc359550699"/>
      <w:r w:rsidRPr="002C5CF1">
        <w:rPr>
          <w:rFonts w:eastAsia="Calibri"/>
          <w:szCs w:val="24"/>
        </w:rPr>
        <w:t>Obnova potenciálu poľnohospodárskej výroby zničeného prírodnými katastrofami a</w:t>
      </w:r>
      <w:r>
        <w:rPr>
          <w:rFonts w:eastAsia="Calibri"/>
          <w:szCs w:val="24"/>
        </w:rPr>
        <w:t xml:space="preserve"> </w:t>
      </w:r>
      <w:r w:rsidRPr="002C5CF1">
        <w:rPr>
          <w:rFonts w:eastAsia="Calibri"/>
          <w:szCs w:val="24"/>
        </w:rPr>
        <w:t>katastrofickými udalosťami a zavedenie vhodných preventívnych opatrení</w:t>
      </w:r>
      <w:bookmarkEnd w:id="79"/>
    </w:p>
    <w:p w:rsidR="002C5CF1" w:rsidRDefault="002C5CF1" w:rsidP="00ED0162">
      <w:pPr>
        <w:spacing w:after="0" w:line="240" w:lineRule="auto"/>
        <w:jc w:val="both"/>
        <w:rPr>
          <w:rFonts w:ascii="Times New Roman" w:hAnsi="Times New Roman" w:cs="Times New Roman"/>
          <w:sz w:val="24"/>
          <w:szCs w:val="24"/>
        </w:rPr>
      </w:pPr>
    </w:p>
    <w:p w:rsidR="002C5CF1" w:rsidRPr="00ED0162" w:rsidRDefault="002C5CF1" w:rsidP="00ED0162">
      <w:pPr>
        <w:autoSpaceDE w:val="0"/>
        <w:autoSpaceDN w:val="0"/>
        <w:adjustRightInd w:val="0"/>
        <w:spacing w:after="0" w:line="240" w:lineRule="auto"/>
        <w:jc w:val="both"/>
        <w:rPr>
          <w:rFonts w:ascii="TimesNewRoman" w:hAnsi="TimesNewRoman" w:cs="TimesNewRoman"/>
          <w:sz w:val="24"/>
          <w:szCs w:val="24"/>
        </w:rPr>
      </w:pPr>
      <w:r>
        <w:rPr>
          <w:rFonts w:ascii="Times New Roman" w:hAnsi="Times New Roman" w:cs="Times New Roman"/>
          <w:sz w:val="24"/>
          <w:szCs w:val="24"/>
        </w:rPr>
        <w:t xml:space="preserve">V rámci obnovy potenciálu </w:t>
      </w:r>
      <w:r w:rsidRPr="002C5CF1">
        <w:rPr>
          <w:rFonts w:ascii="Times New Roman" w:hAnsi="Times New Roman" w:cs="Times New Roman"/>
          <w:sz w:val="24"/>
          <w:szCs w:val="24"/>
        </w:rPr>
        <w:t>poľnohospodárskej výroby znič</w:t>
      </w:r>
      <w:r>
        <w:rPr>
          <w:rFonts w:ascii="Times New Roman" w:hAnsi="Times New Roman" w:cs="Times New Roman"/>
          <w:sz w:val="24"/>
          <w:szCs w:val="24"/>
        </w:rPr>
        <w:t xml:space="preserve">eného prírodnými katastrofami a </w:t>
      </w:r>
      <w:r w:rsidRPr="002C5CF1">
        <w:rPr>
          <w:rFonts w:ascii="Times New Roman" w:hAnsi="Times New Roman" w:cs="Times New Roman"/>
          <w:sz w:val="24"/>
          <w:szCs w:val="24"/>
        </w:rPr>
        <w:t>katastrofickými udalosť</w:t>
      </w:r>
      <w:r>
        <w:rPr>
          <w:rFonts w:ascii="Times New Roman" w:hAnsi="Times New Roman" w:cs="Times New Roman"/>
          <w:sz w:val="24"/>
          <w:szCs w:val="24"/>
        </w:rPr>
        <w:t>ami a zavedenia</w:t>
      </w:r>
      <w:r w:rsidRPr="002C5CF1">
        <w:rPr>
          <w:rFonts w:ascii="Times New Roman" w:hAnsi="Times New Roman" w:cs="Times New Roman"/>
          <w:sz w:val="24"/>
          <w:szCs w:val="24"/>
        </w:rPr>
        <w:t xml:space="preserve"> vhodných preventívnych opatrení</w:t>
      </w:r>
      <w:r w:rsidR="00ED0162">
        <w:rPr>
          <w:rFonts w:ascii="Times New Roman" w:hAnsi="Times New Roman" w:cs="Times New Roman"/>
          <w:sz w:val="24"/>
          <w:szCs w:val="24"/>
        </w:rPr>
        <w:t xml:space="preserve"> je hlavný dôraz kladený na </w:t>
      </w:r>
      <w:r w:rsidR="00ED0162">
        <w:rPr>
          <w:rFonts w:ascii="TimesNewRoman" w:hAnsi="TimesNewRoman" w:cs="TimesNewRoman"/>
          <w:sz w:val="24"/>
          <w:szCs w:val="24"/>
        </w:rPr>
        <w:t>investície do preventívnych opatrení zameraných na zníženie následkov pravdepodobných prírodných katastrof a katastrofických udalostí.</w:t>
      </w:r>
    </w:p>
    <w:p w:rsidR="002C5CF1" w:rsidRDefault="002C5CF1" w:rsidP="00766688">
      <w:pPr>
        <w:spacing w:after="0" w:line="240" w:lineRule="auto"/>
        <w:jc w:val="both"/>
        <w:rPr>
          <w:rFonts w:ascii="Times New Roman" w:hAnsi="Times New Roman" w:cs="Times New Roman"/>
          <w:sz w:val="24"/>
          <w:szCs w:val="24"/>
        </w:rPr>
      </w:pPr>
    </w:p>
    <w:p w:rsidR="00ED0162" w:rsidRDefault="00ED0162" w:rsidP="00ED0162">
      <w:pPr>
        <w:spacing w:after="0" w:line="240" w:lineRule="auto"/>
        <w:jc w:val="both"/>
        <w:rPr>
          <w:rFonts w:ascii="Times New Roman" w:eastAsia="Calibri" w:hAnsi="Times New Roman"/>
          <w:sz w:val="24"/>
          <w:szCs w:val="24"/>
        </w:rPr>
      </w:pPr>
      <w:r>
        <w:rPr>
          <w:rFonts w:ascii="Times New Roman" w:eastAsia="Calibri" w:hAnsi="Times New Roman"/>
          <w:sz w:val="24"/>
          <w:szCs w:val="24"/>
        </w:rPr>
        <w:t>Ako prioritné, z hľadiska naplnenia prioritných úloh poľnohospodárstva a lesníctva, boli identifikované tieto opatrenia:</w:t>
      </w:r>
    </w:p>
    <w:p w:rsidR="00ED0162" w:rsidRDefault="00ED0162" w:rsidP="00ED0162">
      <w:pPr>
        <w:spacing w:after="0" w:line="240" w:lineRule="auto"/>
        <w:jc w:val="both"/>
        <w:rPr>
          <w:rFonts w:ascii="Times New Roman" w:eastAsia="Calibri" w:hAnsi="Times New Roman"/>
          <w:sz w:val="24"/>
          <w:szCs w:val="24"/>
        </w:rPr>
      </w:pPr>
    </w:p>
    <w:p w:rsidR="00ED0162" w:rsidRDefault="00ED0162" w:rsidP="00ED0162">
      <w:pPr>
        <w:pStyle w:val="Odsekzoznamu"/>
        <w:numPr>
          <w:ilvl w:val="0"/>
          <w:numId w:val="24"/>
        </w:numPr>
        <w:spacing w:after="0" w:line="240" w:lineRule="auto"/>
        <w:jc w:val="both"/>
        <w:rPr>
          <w:rFonts w:ascii="Times New Roman" w:eastAsia="Calibri" w:hAnsi="Times New Roman"/>
          <w:sz w:val="24"/>
          <w:szCs w:val="24"/>
        </w:rPr>
      </w:pPr>
      <w:r>
        <w:rPr>
          <w:rFonts w:ascii="Times New Roman" w:eastAsia="Calibri" w:hAnsi="Times New Roman"/>
          <w:sz w:val="24"/>
          <w:szCs w:val="24"/>
        </w:rPr>
        <w:t>zabezpečenie starostlivosti o drobné vodné toky v správe MPRV SR; a</w:t>
      </w:r>
    </w:p>
    <w:p w:rsidR="00ED0162" w:rsidRDefault="00ED0162" w:rsidP="00ED0162">
      <w:pPr>
        <w:pStyle w:val="Odsekzoznamu"/>
        <w:numPr>
          <w:ilvl w:val="0"/>
          <w:numId w:val="24"/>
        </w:numPr>
        <w:spacing w:after="0" w:line="240" w:lineRule="auto"/>
        <w:jc w:val="both"/>
        <w:rPr>
          <w:rFonts w:ascii="Times New Roman" w:eastAsia="Calibri" w:hAnsi="Times New Roman"/>
          <w:sz w:val="24"/>
          <w:szCs w:val="24"/>
        </w:rPr>
      </w:pPr>
      <w:r>
        <w:rPr>
          <w:rFonts w:ascii="Times New Roman" w:eastAsia="Calibri" w:hAnsi="Times New Roman"/>
          <w:sz w:val="24"/>
          <w:szCs w:val="24"/>
        </w:rPr>
        <w:t>obnova funkcií lesov na plochách postihnutých kalamitou a zvýšenie stability lesných porastov.</w:t>
      </w:r>
    </w:p>
    <w:p w:rsidR="00ED0162" w:rsidRDefault="00ED0162" w:rsidP="00766688">
      <w:pPr>
        <w:spacing w:after="0" w:line="240" w:lineRule="auto"/>
        <w:jc w:val="both"/>
        <w:rPr>
          <w:rFonts w:ascii="Times New Roman" w:hAnsi="Times New Roman" w:cs="Times New Roman"/>
          <w:sz w:val="24"/>
          <w:szCs w:val="24"/>
        </w:rPr>
      </w:pPr>
    </w:p>
    <w:p w:rsidR="00DB5984" w:rsidRDefault="00667762" w:rsidP="00766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Zabezpečením starostlivosti o drobné vodné toky v pôsobnosti MPRV SR</w:t>
      </w:r>
      <w:r w:rsidR="00DB5984">
        <w:rPr>
          <w:rFonts w:ascii="Times New Roman" w:hAnsi="Times New Roman" w:cs="Times New Roman"/>
          <w:sz w:val="24"/>
          <w:szCs w:val="24"/>
        </w:rPr>
        <w:t xml:space="preserve"> sa zabezpečí</w:t>
      </w:r>
      <w:r w:rsidR="00576C75">
        <w:rPr>
          <w:rFonts w:ascii="Times New Roman" w:hAnsi="Times New Roman" w:cs="Times New Roman"/>
          <w:sz w:val="24"/>
          <w:szCs w:val="24"/>
        </w:rPr>
        <w:t xml:space="preserve"> </w:t>
      </w:r>
      <w:r w:rsidR="00DB5984">
        <w:rPr>
          <w:rFonts w:ascii="Times New Roman" w:hAnsi="Times New Roman" w:cs="Times New Roman"/>
          <w:sz w:val="24"/>
          <w:szCs w:val="24"/>
        </w:rPr>
        <w:t>vykonanie</w:t>
      </w:r>
      <w:r>
        <w:rPr>
          <w:rFonts w:ascii="Times New Roman" w:hAnsi="Times New Roman" w:cs="Times New Roman"/>
          <w:sz w:val="24"/>
          <w:szCs w:val="24"/>
        </w:rPr>
        <w:t xml:space="preserve"> úprav a zlepšení odtokových pomerov dr</w:t>
      </w:r>
      <w:r w:rsidR="00DB5984">
        <w:rPr>
          <w:rFonts w:ascii="Times New Roman" w:hAnsi="Times New Roman" w:cs="Times New Roman"/>
          <w:sz w:val="24"/>
          <w:szCs w:val="24"/>
        </w:rPr>
        <w:t>obných vodných tokov a budovanie</w:t>
      </w:r>
      <w:r>
        <w:rPr>
          <w:rFonts w:ascii="Times New Roman" w:hAnsi="Times New Roman" w:cs="Times New Roman"/>
          <w:sz w:val="24"/>
          <w:szCs w:val="24"/>
        </w:rPr>
        <w:t>, ob</w:t>
      </w:r>
      <w:r w:rsidR="00DB5984">
        <w:rPr>
          <w:rFonts w:ascii="Times New Roman" w:hAnsi="Times New Roman" w:cs="Times New Roman"/>
          <w:sz w:val="24"/>
          <w:szCs w:val="24"/>
        </w:rPr>
        <w:t>nova a rekonštrukcia</w:t>
      </w:r>
      <w:r>
        <w:rPr>
          <w:rFonts w:ascii="Times New Roman" w:hAnsi="Times New Roman" w:cs="Times New Roman"/>
          <w:sz w:val="24"/>
          <w:szCs w:val="24"/>
        </w:rPr>
        <w:t xml:space="preserve"> vodných stavieb, brehových porastov a ostatných činností zahrádzania bystrín, </w:t>
      </w:r>
      <w:r w:rsidR="00DB5984">
        <w:rPr>
          <w:rFonts w:ascii="Times New Roman" w:hAnsi="Times New Roman" w:cs="Times New Roman"/>
          <w:sz w:val="24"/>
          <w:szCs w:val="24"/>
        </w:rPr>
        <w:t>a to na celej dĺžke drobných vodných tokov v správe štátnych organizácií v zriaďovateľskej pôsobnosti MPRV SR, t.j. 18 555,93 km.</w:t>
      </w:r>
    </w:p>
    <w:p w:rsidR="00DB5984" w:rsidRDefault="00DB5984" w:rsidP="00766688">
      <w:pPr>
        <w:spacing w:after="0" w:line="240" w:lineRule="auto"/>
        <w:jc w:val="both"/>
        <w:rPr>
          <w:rFonts w:ascii="Times New Roman" w:hAnsi="Times New Roman" w:cs="Times New Roman"/>
          <w:sz w:val="24"/>
          <w:szCs w:val="24"/>
        </w:rPr>
      </w:pPr>
    </w:p>
    <w:p w:rsidR="007B5BCA" w:rsidRDefault="007B5BCA" w:rsidP="00DB5984">
      <w:pPr>
        <w:tabs>
          <w:tab w:val="left" w:pos="993"/>
        </w:tabs>
        <w:spacing w:after="0" w:line="240" w:lineRule="auto"/>
        <w:ind w:left="993" w:hanging="993"/>
        <w:jc w:val="both"/>
        <w:rPr>
          <w:rFonts w:ascii="Times New Roman" w:hAnsi="Times New Roman" w:cs="Times New Roman"/>
          <w:sz w:val="20"/>
          <w:szCs w:val="20"/>
        </w:rPr>
      </w:pPr>
    </w:p>
    <w:p w:rsidR="007B5BCA" w:rsidRDefault="007B5BCA" w:rsidP="00DB5984">
      <w:pPr>
        <w:tabs>
          <w:tab w:val="left" w:pos="993"/>
        </w:tabs>
        <w:spacing w:after="0" w:line="240" w:lineRule="auto"/>
        <w:ind w:left="993" w:hanging="993"/>
        <w:jc w:val="both"/>
        <w:rPr>
          <w:rFonts w:ascii="Times New Roman" w:hAnsi="Times New Roman" w:cs="Times New Roman"/>
          <w:sz w:val="20"/>
          <w:szCs w:val="20"/>
        </w:rPr>
      </w:pPr>
    </w:p>
    <w:p w:rsidR="007B5BCA" w:rsidRDefault="007B5BCA" w:rsidP="00DB5984">
      <w:pPr>
        <w:tabs>
          <w:tab w:val="left" w:pos="993"/>
        </w:tabs>
        <w:spacing w:after="0" w:line="240" w:lineRule="auto"/>
        <w:ind w:left="993" w:hanging="993"/>
        <w:jc w:val="both"/>
        <w:rPr>
          <w:rFonts w:ascii="Times New Roman" w:hAnsi="Times New Roman" w:cs="Times New Roman"/>
          <w:sz w:val="20"/>
          <w:szCs w:val="20"/>
        </w:rPr>
      </w:pPr>
    </w:p>
    <w:p w:rsidR="00DB5984" w:rsidRPr="00DB5984" w:rsidRDefault="00C970F8" w:rsidP="00DB5984">
      <w:pPr>
        <w:tabs>
          <w:tab w:val="left"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lastRenderedPageBreak/>
        <w:t>Tab. č. 66</w:t>
      </w:r>
      <w:r w:rsidR="00DB5984" w:rsidRPr="00A855A4">
        <w:rPr>
          <w:rFonts w:ascii="Times New Roman" w:hAnsi="Times New Roman" w:cs="Times New Roman"/>
          <w:sz w:val="20"/>
          <w:szCs w:val="20"/>
        </w:rPr>
        <w:t xml:space="preserve">: </w:t>
      </w:r>
      <w:r w:rsidR="00DB5984">
        <w:rPr>
          <w:rFonts w:ascii="Times New Roman" w:hAnsi="Times New Roman" w:cs="Times New Roman"/>
          <w:sz w:val="20"/>
          <w:szCs w:val="20"/>
        </w:rPr>
        <w:tab/>
        <w:t>Predpokladaný vplyv zabezpečenia starostlivosti o drobné vodné toky na zamestnanosť</w:t>
      </w:r>
    </w:p>
    <w:tbl>
      <w:tblPr>
        <w:tblW w:w="9087" w:type="dxa"/>
        <w:tblInd w:w="55" w:type="dxa"/>
        <w:tblCellMar>
          <w:left w:w="70" w:type="dxa"/>
          <w:right w:w="70" w:type="dxa"/>
        </w:tblCellMar>
        <w:tblLook w:val="04A0" w:firstRow="1" w:lastRow="0" w:firstColumn="1" w:lastColumn="0" w:noHBand="0" w:noVBand="1"/>
      </w:tblPr>
      <w:tblGrid>
        <w:gridCol w:w="1858"/>
        <w:gridCol w:w="1559"/>
        <w:gridCol w:w="1134"/>
        <w:gridCol w:w="1134"/>
        <w:gridCol w:w="1134"/>
        <w:gridCol w:w="1134"/>
        <w:gridCol w:w="1134"/>
      </w:tblGrid>
      <w:tr w:rsidR="00DB5984" w:rsidRPr="00DB5984" w:rsidTr="00DB5984">
        <w:trPr>
          <w:trHeight w:val="255"/>
        </w:trPr>
        <w:tc>
          <w:tcPr>
            <w:tcW w:w="1858" w:type="dxa"/>
            <w:tcBorders>
              <w:top w:val="nil"/>
              <w:left w:val="nil"/>
              <w:bottom w:val="single" w:sz="4" w:space="0" w:color="auto"/>
              <w:right w:val="nil"/>
            </w:tcBorders>
            <w:shd w:val="clear" w:color="000000" w:fill="D9D9D9"/>
            <w:noWrap/>
            <w:vAlign w:val="bottom"/>
            <w:hideMark/>
          </w:tcPr>
          <w:p w:rsidR="00DB5984" w:rsidRPr="00DB5984" w:rsidRDefault="00DB5984" w:rsidP="00DB5984">
            <w:pPr>
              <w:spacing w:after="0" w:line="240" w:lineRule="auto"/>
              <w:rPr>
                <w:rFonts w:ascii="Times New Roman" w:eastAsia="Times New Roman" w:hAnsi="Times New Roman" w:cs="Times New Roman"/>
                <w:b/>
                <w:bCs/>
                <w:color w:val="000000"/>
                <w:sz w:val="20"/>
                <w:szCs w:val="20"/>
              </w:rPr>
            </w:pPr>
            <w:r w:rsidRPr="00DB5984">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DB5984" w:rsidRPr="00DB5984" w:rsidRDefault="00DB5984" w:rsidP="00DB5984">
            <w:pPr>
              <w:spacing w:after="0" w:line="240" w:lineRule="auto"/>
              <w:jc w:val="center"/>
              <w:rPr>
                <w:rFonts w:ascii="Times New Roman" w:eastAsia="Times New Roman" w:hAnsi="Times New Roman" w:cs="Times New Roman"/>
                <w:b/>
                <w:bCs/>
                <w:color w:val="000000"/>
                <w:sz w:val="20"/>
                <w:szCs w:val="20"/>
              </w:rPr>
            </w:pPr>
            <w:r w:rsidRPr="00DB5984">
              <w:rPr>
                <w:rFonts w:ascii="Times New Roman" w:eastAsia="Times New Roman" w:hAnsi="Times New Roman" w:cs="Times New Roman"/>
                <w:b/>
                <w:bCs/>
                <w:color w:val="000000"/>
                <w:sz w:val="20"/>
                <w:szCs w:val="20"/>
              </w:rPr>
              <w:t>merná jednotka</w:t>
            </w:r>
          </w:p>
        </w:tc>
        <w:tc>
          <w:tcPr>
            <w:tcW w:w="1134" w:type="dxa"/>
            <w:tcBorders>
              <w:top w:val="nil"/>
              <w:left w:val="nil"/>
              <w:bottom w:val="single" w:sz="4" w:space="0" w:color="auto"/>
              <w:right w:val="nil"/>
            </w:tcBorders>
            <w:shd w:val="clear" w:color="000000" w:fill="D9D9D9"/>
            <w:noWrap/>
            <w:vAlign w:val="bottom"/>
            <w:hideMark/>
          </w:tcPr>
          <w:p w:rsidR="00DB5984" w:rsidRPr="00DB5984" w:rsidRDefault="0089623F" w:rsidP="00DB598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2014</w:t>
            </w:r>
          </w:p>
        </w:tc>
        <w:tc>
          <w:tcPr>
            <w:tcW w:w="1134" w:type="dxa"/>
            <w:tcBorders>
              <w:top w:val="nil"/>
              <w:left w:val="nil"/>
              <w:bottom w:val="single" w:sz="4" w:space="0" w:color="auto"/>
              <w:right w:val="nil"/>
            </w:tcBorders>
            <w:shd w:val="clear" w:color="000000" w:fill="D9D9D9"/>
            <w:noWrap/>
            <w:vAlign w:val="bottom"/>
            <w:hideMark/>
          </w:tcPr>
          <w:p w:rsidR="00DB5984" w:rsidRPr="00DB5984" w:rsidRDefault="0089623F" w:rsidP="00DB598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2015</w:t>
            </w:r>
          </w:p>
        </w:tc>
        <w:tc>
          <w:tcPr>
            <w:tcW w:w="1134" w:type="dxa"/>
            <w:tcBorders>
              <w:top w:val="nil"/>
              <w:left w:val="nil"/>
              <w:bottom w:val="single" w:sz="4" w:space="0" w:color="auto"/>
              <w:right w:val="nil"/>
            </w:tcBorders>
            <w:shd w:val="clear" w:color="000000" w:fill="D9D9D9"/>
            <w:noWrap/>
            <w:vAlign w:val="bottom"/>
            <w:hideMark/>
          </w:tcPr>
          <w:p w:rsidR="00DB5984" w:rsidRPr="00DB5984" w:rsidRDefault="0089623F" w:rsidP="00DB598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2016</w:t>
            </w:r>
          </w:p>
        </w:tc>
        <w:tc>
          <w:tcPr>
            <w:tcW w:w="1134" w:type="dxa"/>
            <w:tcBorders>
              <w:top w:val="nil"/>
              <w:left w:val="nil"/>
              <w:bottom w:val="single" w:sz="4" w:space="0" w:color="auto"/>
              <w:right w:val="nil"/>
            </w:tcBorders>
            <w:shd w:val="clear" w:color="000000" w:fill="D9D9D9"/>
            <w:noWrap/>
            <w:vAlign w:val="bottom"/>
            <w:hideMark/>
          </w:tcPr>
          <w:p w:rsidR="00DB5984" w:rsidRPr="00DB5984" w:rsidRDefault="0089623F" w:rsidP="00DB598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2017</w:t>
            </w:r>
          </w:p>
        </w:tc>
        <w:tc>
          <w:tcPr>
            <w:tcW w:w="1134" w:type="dxa"/>
            <w:tcBorders>
              <w:top w:val="nil"/>
              <w:left w:val="nil"/>
              <w:bottom w:val="single" w:sz="4" w:space="0" w:color="auto"/>
              <w:right w:val="nil"/>
            </w:tcBorders>
            <w:shd w:val="clear" w:color="000000" w:fill="D9D9D9"/>
            <w:noWrap/>
            <w:vAlign w:val="bottom"/>
            <w:hideMark/>
          </w:tcPr>
          <w:p w:rsidR="00DB5984" w:rsidRPr="00DB5984" w:rsidRDefault="00DB5984" w:rsidP="00DB5984">
            <w:pPr>
              <w:spacing w:after="0" w:line="240" w:lineRule="auto"/>
              <w:jc w:val="center"/>
              <w:rPr>
                <w:rFonts w:ascii="Times New Roman" w:eastAsia="Times New Roman" w:hAnsi="Times New Roman" w:cs="Times New Roman"/>
                <w:b/>
                <w:bCs/>
                <w:color w:val="000000"/>
                <w:sz w:val="20"/>
                <w:szCs w:val="20"/>
              </w:rPr>
            </w:pPr>
            <w:r w:rsidRPr="00DB5984">
              <w:rPr>
                <w:rFonts w:ascii="Times New Roman" w:eastAsia="Times New Roman" w:hAnsi="Times New Roman" w:cs="Times New Roman"/>
                <w:b/>
                <w:bCs/>
                <w:color w:val="000000"/>
                <w:sz w:val="20"/>
                <w:szCs w:val="20"/>
              </w:rPr>
              <w:t>Celkom</w:t>
            </w:r>
          </w:p>
        </w:tc>
      </w:tr>
      <w:tr w:rsidR="00DB5984" w:rsidRPr="00DB5984" w:rsidTr="00DB5984">
        <w:trPr>
          <w:trHeight w:val="255"/>
        </w:trPr>
        <w:tc>
          <w:tcPr>
            <w:tcW w:w="1858" w:type="dxa"/>
            <w:tcBorders>
              <w:top w:val="nil"/>
              <w:left w:val="nil"/>
              <w:bottom w:val="nil"/>
              <w:right w:val="nil"/>
            </w:tcBorders>
            <w:shd w:val="clear" w:color="auto" w:fill="auto"/>
            <w:vAlign w:val="bottom"/>
            <w:hideMark/>
          </w:tcPr>
          <w:p w:rsidR="00DB5984" w:rsidRPr="00DB5984" w:rsidRDefault="00DB5984" w:rsidP="00DB5984">
            <w:pPr>
              <w:spacing w:after="0" w:line="240" w:lineRule="auto"/>
              <w:rPr>
                <w:rFonts w:ascii="Times New Roman" w:eastAsia="Times New Roman" w:hAnsi="Times New Roman" w:cs="Times New Roman"/>
                <w:color w:val="000000"/>
                <w:sz w:val="20"/>
                <w:szCs w:val="20"/>
              </w:rPr>
            </w:pPr>
            <w:r w:rsidRPr="00DB5984">
              <w:rPr>
                <w:rFonts w:ascii="Times New Roman" w:eastAsia="Times New Roman" w:hAnsi="Times New Roman" w:cs="Times New Roman"/>
                <w:color w:val="000000"/>
                <w:sz w:val="20"/>
                <w:szCs w:val="20"/>
              </w:rPr>
              <w:t>dĺžka upravených vodných tokov</w:t>
            </w:r>
          </w:p>
        </w:tc>
        <w:tc>
          <w:tcPr>
            <w:tcW w:w="1559" w:type="dxa"/>
            <w:tcBorders>
              <w:top w:val="nil"/>
              <w:left w:val="nil"/>
              <w:bottom w:val="nil"/>
              <w:right w:val="single" w:sz="4" w:space="0" w:color="auto"/>
            </w:tcBorders>
            <w:shd w:val="clear" w:color="auto" w:fill="auto"/>
            <w:noWrap/>
            <w:vAlign w:val="center"/>
            <w:hideMark/>
          </w:tcPr>
          <w:p w:rsidR="00DB5984" w:rsidRPr="00DB5984" w:rsidRDefault="00DB5984" w:rsidP="00DB5984">
            <w:pPr>
              <w:spacing w:after="0" w:line="240" w:lineRule="auto"/>
              <w:jc w:val="center"/>
              <w:rPr>
                <w:rFonts w:ascii="Times New Roman" w:eastAsia="Times New Roman" w:hAnsi="Times New Roman" w:cs="Times New Roman"/>
                <w:color w:val="000000"/>
                <w:sz w:val="20"/>
                <w:szCs w:val="20"/>
              </w:rPr>
            </w:pPr>
            <w:r w:rsidRPr="00DB5984">
              <w:rPr>
                <w:rFonts w:ascii="Times New Roman" w:eastAsia="Times New Roman" w:hAnsi="Times New Roman" w:cs="Times New Roman"/>
                <w:color w:val="000000"/>
                <w:sz w:val="20"/>
                <w:szCs w:val="20"/>
              </w:rPr>
              <w:t>km</w:t>
            </w:r>
          </w:p>
        </w:tc>
        <w:tc>
          <w:tcPr>
            <w:tcW w:w="1134" w:type="dxa"/>
            <w:tcBorders>
              <w:top w:val="nil"/>
              <w:left w:val="nil"/>
              <w:bottom w:val="nil"/>
              <w:right w:val="nil"/>
            </w:tcBorders>
            <w:shd w:val="clear" w:color="auto" w:fill="auto"/>
            <w:noWrap/>
            <w:vAlign w:val="center"/>
            <w:hideMark/>
          </w:tcPr>
          <w:p w:rsidR="00DB5984" w:rsidRPr="00DB5984" w:rsidRDefault="00DB5984" w:rsidP="00DB5984">
            <w:pPr>
              <w:spacing w:after="0" w:line="240" w:lineRule="auto"/>
              <w:jc w:val="right"/>
              <w:rPr>
                <w:rFonts w:ascii="Times New Roman" w:eastAsia="Times New Roman" w:hAnsi="Times New Roman" w:cs="Times New Roman"/>
                <w:color w:val="000000"/>
                <w:sz w:val="20"/>
                <w:szCs w:val="20"/>
              </w:rPr>
            </w:pPr>
            <w:r w:rsidRPr="00DB5984">
              <w:rPr>
                <w:rFonts w:ascii="Times New Roman" w:eastAsia="Times New Roman" w:hAnsi="Times New Roman" w:cs="Times New Roman"/>
                <w:color w:val="000000"/>
                <w:sz w:val="20"/>
                <w:szCs w:val="20"/>
              </w:rPr>
              <w:t>4 639</w:t>
            </w:r>
          </w:p>
        </w:tc>
        <w:tc>
          <w:tcPr>
            <w:tcW w:w="1134" w:type="dxa"/>
            <w:tcBorders>
              <w:top w:val="nil"/>
              <w:left w:val="nil"/>
              <w:bottom w:val="nil"/>
              <w:right w:val="nil"/>
            </w:tcBorders>
            <w:shd w:val="clear" w:color="auto" w:fill="auto"/>
            <w:noWrap/>
            <w:vAlign w:val="center"/>
            <w:hideMark/>
          </w:tcPr>
          <w:p w:rsidR="00DB5984" w:rsidRPr="00DB5984" w:rsidRDefault="00DB5984" w:rsidP="00DB5984">
            <w:pPr>
              <w:spacing w:after="0" w:line="240" w:lineRule="auto"/>
              <w:jc w:val="right"/>
              <w:rPr>
                <w:rFonts w:ascii="Times New Roman" w:eastAsia="Times New Roman" w:hAnsi="Times New Roman" w:cs="Times New Roman"/>
                <w:color w:val="000000"/>
                <w:sz w:val="20"/>
                <w:szCs w:val="20"/>
              </w:rPr>
            </w:pPr>
            <w:r w:rsidRPr="00DB5984">
              <w:rPr>
                <w:rFonts w:ascii="Times New Roman" w:eastAsia="Times New Roman" w:hAnsi="Times New Roman" w:cs="Times New Roman"/>
                <w:color w:val="000000"/>
                <w:sz w:val="20"/>
                <w:szCs w:val="20"/>
              </w:rPr>
              <w:t>4 639</w:t>
            </w:r>
          </w:p>
        </w:tc>
        <w:tc>
          <w:tcPr>
            <w:tcW w:w="1134" w:type="dxa"/>
            <w:tcBorders>
              <w:top w:val="nil"/>
              <w:left w:val="nil"/>
              <w:bottom w:val="nil"/>
              <w:right w:val="nil"/>
            </w:tcBorders>
            <w:shd w:val="clear" w:color="auto" w:fill="auto"/>
            <w:noWrap/>
            <w:vAlign w:val="center"/>
            <w:hideMark/>
          </w:tcPr>
          <w:p w:rsidR="00DB5984" w:rsidRPr="00DB5984" w:rsidRDefault="00DB5984" w:rsidP="00DB5984">
            <w:pPr>
              <w:spacing w:after="0" w:line="240" w:lineRule="auto"/>
              <w:jc w:val="right"/>
              <w:rPr>
                <w:rFonts w:ascii="Times New Roman" w:eastAsia="Times New Roman" w:hAnsi="Times New Roman" w:cs="Times New Roman"/>
                <w:color w:val="000000"/>
                <w:sz w:val="20"/>
                <w:szCs w:val="20"/>
              </w:rPr>
            </w:pPr>
            <w:r w:rsidRPr="00DB5984">
              <w:rPr>
                <w:rFonts w:ascii="Times New Roman" w:eastAsia="Times New Roman" w:hAnsi="Times New Roman" w:cs="Times New Roman"/>
                <w:color w:val="000000"/>
                <w:sz w:val="20"/>
                <w:szCs w:val="20"/>
              </w:rPr>
              <w:t>4 639</w:t>
            </w:r>
          </w:p>
        </w:tc>
        <w:tc>
          <w:tcPr>
            <w:tcW w:w="1134" w:type="dxa"/>
            <w:tcBorders>
              <w:top w:val="nil"/>
              <w:left w:val="nil"/>
              <w:bottom w:val="nil"/>
              <w:right w:val="nil"/>
            </w:tcBorders>
            <w:shd w:val="clear" w:color="auto" w:fill="auto"/>
            <w:noWrap/>
            <w:vAlign w:val="center"/>
            <w:hideMark/>
          </w:tcPr>
          <w:p w:rsidR="00DB5984" w:rsidRPr="00DB5984" w:rsidRDefault="00DB5984" w:rsidP="00DB5984">
            <w:pPr>
              <w:spacing w:after="0" w:line="240" w:lineRule="auto"/>
              <w:jc w:val="right"/>
              <w:rPr>
                <w:rFonts w:ascii="Times New Roman" w:eastAsia="Times New Roman" w:hAnsi="Times New Roman" w:cs="Times New Roman"/>
                <w:color w:val="000000"/>
                <w:sz w:val="20"/>
                <w:szCs w:val="20"/>
              </w:rPr>
            </w:pPr>
            <w:r w:rsidRPr="00DB5984">
              <w:rPr>
                <w:rFonts w:ascii="Times New Roman" w:eastAsia="Times New Roman" w:hAnsi="Times New Roman" w:cs="Times New Roman"/>
                <w:color w:val="000000"/>
                <w:sz w:val="20"/>
                <w:szCs w:val="20"/>
              </w:rPr>
              <w:t>4 639</w:t>
            </w:r>
          </w:p>
        </w:tc>
        <w:tc>
          <w:tcPr>
            <w:tcW w:w="1134" w:type="dxa"/>
            <w:tcBorders>
              <w:top w:val="nil"/>
              <w:left w:val="nil"/>
              <w:bottom w:val="nil"/>
              <w:right w:val="nil"/>
            </w:tcBorders>
            <w:shd w:val="clear" w:color="auto" w:fill="auto"/>
            <w:noWrap/>
            <w:vAlign w:val="center"/>
            <w:hideMark/>
          </w:tcPr>
          <w:p w:rsidR="00DB5984" w:rsidRPr="00DB5984" w:rsidRDefault="00DB5984" w:rsidP="00DB5984">
            <w:pPr>
              <w:spacing w:after="0" w:line="240" w:lineRule="auto"/>
              <w:jc w:val="right"/>
              <w:rPr>
                <w:rFonts w:ascii="Times New Roman" w:eastAsia="Times New Roman" w:hAnsi="Times New Roman" w:cs="Times New Roman"/>
                <w:color w:val="000000"/>
                <w:sz w:val="20"/>
                <w:szCs w:val="20"/>
              </w:rPr>
            </w:pPr>
            <w:r w:rsidRPr="00DB5984">
              <w:rPr>
                <w:rFonts w:ascii="Times New Roman" w:eastAsia="Times New Roman" w:hAnsi="Times New Roman" w:cs="Times New Roman"/>
                <w:color w:val="000000"/>
                <w:sz w:val="20"/>
                <w:szCs w:val="20"/>
              </w:rPr>
              <w:t>18 556</w:t>
            </w:r>
          </w:p>
        </w:tc>
      </w:tr>
      <w:tr w:rsidR="00DB5984" w:rsidRPr="00DB5984" w:rsidTr="00DB5984">
        <w:trPr>
          <w:trHeight w:val="255"/>
        </w:trPr>
        <w:tc>
          <w:tcPr>
            <w:tcW w:w="1858" w:type="dxa"/>
            <w:tcBorders>
              <w:top w:val="nil"/>
              <w:left w:val="nil"/>
              <w:bottom w:val="nil"/>
              <w:right w:val="nil"/>
            </w:tcBorders>
            <w:shd w:val="clear" w:color="000000" w:fill="F2F2F2"/>
            <w:vAlign w:val="bottom"/>
            <w:hideMark/>
          </w:tcPr>
          <w:p w:rsidR="00DB5984" w:rsidRPr="00DB5984" w:rsidRDefault="00DB5984" w:rsidP="00DB5984">
            <w:pPr>
              <w:spacing w:after="0" w:line="240" w:lineRule="auto"/>
              <w:rPr>
                <w:rFonts w:ascii="Times New Roman" w:eastAsia="Times New Roman" w:hAnsi="Times New Roman" w:cs="Times New Roman"/>
                <w:color w:val="000000"/>
                <w:sz w:val="20"/>
                <w:szCs w:val="20"/>
              </w:rPr>
            </w:pPr>
            <w:r w:rsidRPr="00DB5984">
              <w:rPr>
                <w:rFonts w:ascii="Times New Roman" w:eastAsia="Times New Roman" w:hAnsi="Times New Roman" w:cs="Times New Roman"/>
                <w:color w:val="000000"/>
                <w:sz w:val="20"/>
                <w:szCs w:val="20"/>
              </w:rPr>
              <w:t xml:space="preserve">vplyv na zamestnanosť </w:t>
            </w:r>
          </w:p>
        </w:tc>
        <w:tc>
          <w:tcPr>
            <w:tcW w:w="1559" w:type="dxa"/>
            <w:tcBorders>
              <w:top w:val="nil"/>
              <w:left w:val="nil"/>
              <w:bottom w:val="nil"/>
              <w:right w:val="single" w:sz="4" w:space="0" w:color="auto"/>
            </w:tcBorders>
            <w:shd w:val="clear" w:color="000000" w:fill="F2F2F2"/>
            <w:noWrap/>
            <w:vAlign w:val="center"/>
            <w:hideMark/>
          </w:tcPr>
          <w:p w:rsidR="00DB5984" w:rsidRPr="00DB5984" w:rsidRDefault="00DB5984" w:rsidP="00DB5984">
            <w:pPr>
              <w:spacing w:after="0" w:line="240" w:lineRule="auto"/>
              <w:jc w:val="center"/>
              <w:rPr>
                <w:rFonts w:ascii="Times New Roman" w:eastAsia="Times New Roman" w:hAnsi="Times New Roman" w:cs="Times New Roman"/>
                <w:color w:val="000000"/>
                <w:sz w:val="20"/>
                <w:szCs w:val="20"/>
              </w:rPr>
            </w:pPr>
            <w:r w:rsidRPr="00DB5984">
              <w:rPr>
                <w:rFonts w:ascii="Times New Roman" w:eastAsia="Times New Roman" w:hAnsi="Times New Roman" w:cs="Times New Roman"/>
                <w:color w:val="000000"/>
                <w:sz w:val="20"/>
                <w:szCs w:val="20"/>
              </w:rPr>
              <w:t>počet osôb</w:t>
            </w:r>
          </w:p>
        </w:tc>
        <w:tc>
          <w:tcPr>
            <w:tcW w:w="1134" w:type="dxa"/>
            <w:tcBorders>
              <w:top w:val="nil"/>
              <w:left w:val="nil"/>
              <w:bottom w:val="nil"/>
              <w:right w:val="nil"/>
            </w:tcBorders>
            <w:shd w:val="clear" w:color="000000" w:fill="F2F2F2"/>
            <w:noWrap/>
            <w:vAlign w:val="center"/>
            <w:hideMark/>
          </w:tcPr>
          <w:p w:rsidR="00DB5984" w:rsidRPr="00DB5984" w:rsidRDefault="00DB5984" w:rsidP="00DB5984">
            <w:pPr>
              <w:spacing w:after="0" w:line="240" w:lineRule="auto"/>
              <w:jc w:val="right"/>
              <w:rPr>
                <w:rFonts w:ascii="Times New Roman" w:eastAsia="Times New Roman" w:hAnsi="Times New Roman" w:cs="Times New Roman"/>
                <w:color w:val="000000"/>
                <w:sz w:val="20"/>
                <w:szCs w:val="20"/>
              </w:rPr>
            </w:pPr>
            <w:r w:rsidRPr="00DB5984">
              <w:rPr>
                <w:rFonts w:ascii="Times New Roman" w:eastAsia="Times New Roman" w:hAnsi="Times New Roman" w:cs="Times New Roman"/>
                <w:color w:val="000000"/>
                <w:sz w:val="20"/>
                <w:szCs w:val="20"/>
              </w:rPr>
              <w:t>1 800</w:t>
            </w:r>
          </w:p>
        </w:tc>
        <w:tc>
          <w:tcPr>
            <w:tcW w:w="1134" w:type="dxa"/>
            <w:tcBorders>
              <w:top w:val="nil"/>
              <w:left w:val="nil"/>
              <w:bottom w:val="nil"/>
              <w:right w:val="nil"/>
            </w:tcBorders>
            <w:shd w:val="clear" w:color="000000" w:fill="F2F2F2"/>
            <w:noWrap/>
            <w:vAlign w:val="center"/>
            <w:hideMark/>
          </w:tcPr>
          <w:p w:rsidR="00DB5984" w:rsidRPr="00DB5984" w:rsidRDefault="00DB5984" w:rsidP="00DB5984">
            <w:pPr>
              <w:spacing w:after="0" w:line="240" w:lineRule="auto"/>
              <w:jc w:val="right"/>
              <w:rPr>
                <w:rFonts w:ascii="Times New Roman" w:eastAsia="Times New Roman" w:hAnsi="Times New Roman" w:cs="Times New Roman"/>
                <w:color w:val="000000"/>
                <w:sz w:val="20"/>
                <w:szCs w:val="20"/>
              </w:rPr>
            </w:pPr>
            <w:r w:rsidRPr="00DB5984">
              <w:rPr>
                <w:rFonts w:ascii="Times New Roman" w:eastAsia="Times New Roman" w:hAnsi="Times New Roman" w:cs="Times New Roman"/>
                <w:color w:val="000000"/>
                <w:sz w:val="20"/>
                <w:szCs w:val="20"/>
              </w:rPr>
              <w:t>1 800</w:t>
            </w:r>
          </w:p>
        </w:tc>
        <w:tc>
          <w:tcPr>
            <w:tcW w:w="1134" w:type="dxa"/>
            <w:tcBorders>
              <w:top w:val="nil"/>
              <w:left w:val="nil"/>
              <w:bottom w:val="nil"/>
              <w:right w:val="nil"/>
            </w:tcBorders>
            <w:shd w:val="clear" w:color="000000" w:fill="F2F2F2"/>
            <w:noWrap/>
            <w:vAlign w:val="center"/>
            <w:hideMark/>
          </w:tcPr>
          <w:p w:rsidR="00DB5984" w:rsidRPr="00DB5984" w:rsidRDefault="00DB5984" w:rsidP="00DB5984">
            <w:pPr>
              <w:spacing w:after="0" w:line="240" w:lineRule="auto"/>
              <w:jc w:val="right"/>
              <w:rPr>
                <w:rFonts w:ascii="Times New Roman" w:eastAsia="Times New Roman" w:hAnsi="Times New Roman" w:cs="Times New Roman"/>
                <w:color w:val="000000"/>
                <w:sz w:val="20"/>
                <w:szCs w:val="20"/>
              </w:rPr>
            </w:pPr>
            <w:r w:rsidRPr="00DB5984">
              <w:rPr>
                <w:rFonts w:ascii="Times New Roman" w:eastAsia="Times New Roman" w:hAnsi="Times New Roman" w:cs="Times New Roman"/>
                <w:color w:val="000000"/>
                <w:sz w:val="20"/>
                <w:szCs w:val="20"/>
              </w:rPr>
              <w:t>1 800</w:t>
            </w:r>
          </w:p>
        </w:tc>
        <w:tc>
          <w:tcPr>
            <w:tcW w:w="1134" w:type="dxa"/>
            <w:tcBorders>
              <w:top w:val="nil"/>
              <w:left w:val="nil"/>
              <w:bottom w:val="nil"/>
              <w:right w:val="nil"/>
            </w:tcBorders>
            <w:shd w:val="clear" w:color="000000" w:fill="F2F2F2"/>
            <w:noWrap/>
            <w:vAlign w:val="center"/>
            <w:hideMark/>
          </w:tcPr>
          <w:p w:rsidR="00DB5984" w:rsidRPr="00DB5984" w:rsidRDefault="00DB5984" w:rsidP="00DB5984">
            <w:pPr>
              <w:spacing w:after="0" w:line="240" w:lineRule="auto"/>
              <w:jc w:val="right"/>
              <w:rPr>
                <w:rFonts w:ascii="Times New Roman" w:eastAsia="Times New Roman" w:hAnsi="Times New Roman" w:cs="Times New Roman"/>
                <w:color w:val="000000"/>
                <w:sz w:val="20"/>
                <w:szCs w:val="20"/>
              </w:rPr>
            </w:pPr>
            <w:r w:rsidRPr="00DB5984">
              <w:rPr>
                <w:rFonts w:ascii="Times New Roman" w:eastAsia="Times New Roman" w:hAnsi="Times New Roman" w:cs="Times New Roman"/>
                <w:color w:val="000000"/>
                <w:sz w:val="20"/>
                <w:szCs w:val="20"/>
              </w:rPr>
              <w:t>1 800</w:t>
            </w:r>
          </w:p>
        </w:tc>
        <w:tc>
          <w:tcPr>
            <w:tcW w:w="1134" w:type="dxa"/>
            <w:tcBorders>
              <w:top w:val="nil"/>
              <w:left w:val="nil"/>
              <w:bottom w:val="nil"/>
              <w:right w:val="nil"/>
            </w:tcBorders>
            <w:shd w:val="clear" w:color="000000" w:fill="F2F2F2"/>
            <w:noWrap/>
            <w:vAlign w:val="center"/>
            <w:hideMark/>
          </w:tcPr>
          <w:p w:rsidR="00DB5984" w:rsidRPr="00DB5984" w:rsidRDefault="00DB5984" w:rsidP="00DB5984">
            <w:pPr>
              <w:spacing w:after="0" w:line="240" w:lineRule="auto"/>
              <w:jc w:val="center"/>
              <w:rPr>
                <w:rFonts w:ascii="Times New Roman" w:eastAsia="Times New Roman" w:hAnsi="Times New Roman" w:cs="Times New Roman"/>
                <w:color w:val="000000"/>
                <w:sz w:val="20"/>
                <w:szCs w:val="20"/>
              </w:rPr>
            </w:pPr>
            <w:r w:rsidRPr="00DB5984">
              <w:rPr>
                <w:rFonts w:ascii="Times New Roman" w:eastAsia="Times New Roman" w:hAnsi="Times New Roman" w:cs="Times New Roman"/>
                <w:color w:val="000000"/>
                <w:sz w:val="20"/>
                <w:szCs w:val="20"/>
              </w:rPr>
              <w:t>-</w:t>
            </w:r>
          </w:p>
        </w:tc>
      </w:tr>
      <w:tr w:rsidR="00DB5984" w:rsidRPr="00DB5984" w:rsidTr="00DB5984">
        <w:trPr>
          <w:trHeight w:val="255"/>
        </w:trPr>
        <w:tc>
          <w:tcPr>
            <w:tcW w:w="1858" w:type="dxa"/>
            <w:tcBorders>
              <w:top w:val="single" w:sz="4" w:space="0" w:color="auto"/>
              <w:left w:val="nil"/>
              <w:bottom w:val="single" w:sz="4" w:space="0" w:color="auto"/>
              <w:right w:val="nil"/>
            </w:tcBorders>
            <w:shd w:val="clear" w:color="auto" w:fill="auto"/>
            <w:vAlign w:val="bottom"/>
            <w:hideMark/>
          </w:tcPr>
          <w:p w:rsidR="00DB5984" w:rsidRPr="00DB5984" w:rsidRDefault="00DB5984" w:rsidP="00DB5984">
            <w:pPr>
              <w:spacing w:after="0" w:line="240" w:lineRule="auto"/>
              <w:rPr>
                <w:rFonts w:ascii="Times New Roman" w:eastAsia="Times New Roman" w:hAnsi="Times New Roman" w:cs="Times New Roman"/>
                <w:b/>
                <w:color w:val="000000"/>
                <w:sz w:val="20"/>
                <w:szCs w:val="20"/>
              </w:rPr>
            </w:pPr>
            <w:r w:rsidRPr="00DB5984">
              <w:rPr>
                <w:rFonts w:ascii="Times New Roman" w:eastAsia="Times New Roman" w:hAnsi="Times New Roman" w:cs="Times New Roman"/>
                <w:b/>
                <w:color w:val="000000"/>
                <w:sz w:val="20"/>
                <w:szCs w:val="20"/>
              </w:rPr>
              <w:t>výška financovania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B5984" w:rsidRPr="00DB5984" w:rsidRDefault="00DB5984" w:rsidP="00DB5984">
            <w:pPr>
              <w:spacing w:after="0" w:line="240" w:lineRule="auto"/>
              <w:jc w:val="center"/>
              <w:rPr>
                <w:rFonts w:ascii="Times New Roman" w:eastAsia="Times New Roman" w:hAnsi="Times New Roman" w:cs="Times New Roman"/>
                <w:b/>
                <w:color w:val="000000"/>
                <w:sz w:val="20"/>
                <w:szCs w:val="20"/>
              </w:rPr>
            </w:pPr>
            <w:r w:rsidRPr="00DB5984">
              <w:rPr>
                <w:rFonts w:ascii="Times New Roman" w:eastAsia="Times New Roman" w:hAnsi="Times New Roman" w:cs="Times New Roman"/>
                <w:b/>
                <w:color w:val="000000"/>
                <w:sz w:val="20"/>
                <w:szCs w:val="20"/>
              </w:rPr>
              <w:t>EUR</w:t>
            </w:r>
          </w:p>
        </w:tc>
        <w:tc>
          <w:tcPr>
            <w:tcW w:w="1134" w:type="dxa"/>
            <w:tcBorders>
              <w:top w:val="single" w:sz="4" w:space="0" w:color="auto"/>
              <w:left w:val="nil"/>
              <w:bottom w:val="single" w:sz="4" w:space="0" w:color="auto"/>
              <w:right w:val="nil"/>
            </w:tcBorders>
            <w:shd w:val="clear" w:color="auto" w:fill="auto"/>
            <w:noWrap/>
            <w:vAlign w:val="center"/>
            <w:hideMark/>
          </w:tcPr>
          <w:p w:rsidR="00DB5984" w:rsidRPr="00DB5984" w:rsidRDefault="00DB5984" w:rsidP="00DB5984">
            <w:pPr>
              <w:spacing w:after="0" w:line="240" w:lineRule="auto"/>
              <w:jc w:val="right"/>
              <w:rPr>
                <w:rFonts w:ascii="Times New Roman" w:eastAsia="Times New Roman" w:hAnsi="Times New Roman" w:cs="Times New Roman"/>
                <w:b/>
                <w:color w:val="000000"/>
                <w:sz w:val="20"/>
                <w:szCs w:val="20"/>
              </w:rPr>
            </w:pPr>
            <w:r w:rsidRPr="00DB5984">
              <w:rPr>
                <w:rFonts w:ascii="Times New Roman" w:eastAsia="Times New Roman" w:hAnsi="Times New Roman" w:cs="Times New Roman"/>
                <w:b/>
                <w:color w:val="000000"/>
                <w:sz w:val="20"/>
                <w:szCs w:val="20"/>
              </w:rPr>
              <w:t xml:space="preserve">10 000 </w:t>
            </w:r>
            <w:proofErr w:type="spellStart"/>
            <w:r w:rsidRPr="00DB5984">
              <w:rPr>
                <w:rFonts w:ascii="Times New Roman" w:eastAsia="Times New Roman" w:hAnsi="Times New Roman" w:cs="Times New Roman"/>
                <w:b/>
                <w:color w:val="000000"/>
                <w:sz w:val="20"/>
                <w:szCs w:val="20"/>
              </w:rPr>
              <w:t>000</w:t>
            </w:r>
            <w:proofErr w:type="spellEnd"/>
          </w:p>
        </w:tc>
        <w:tc>
          <w:tcPr>
            <w:tcW w:w="1134" w:type="dxa"/>
            <w:tcBorders>
              <w:top w:val="single" w:sz="4" w:space="0" w:color="auto"/>
              <w:left w:val="nil"/>
              <w:bottom w:val="single" w:sz="4" w:space="0" w:color="auto"/>
              <w:right w:val="nil"/>
            </w:tcBorders>
            <w:shd w:val="clear" w:color="auto" w:fill="auto"/>
            <w:noWrap/>
            <w:vAlign w:val="center"/>
            <w:hideMark/>
          </w:tcPr>
          <w:p w:rsidR="00DB5984" w:rsidRPr="00DB5984" w:rsidRDefault="00DB5984" w:rsidP="00DB5984">
            <w:pPr>
              <w:spacing w:after="0" w:line="240" w:lineRule="auto"/>
              <w:jc w:val="right"/>
              <w:rPr>
                <w:rFonts w:ascii="Times New Roman" w:eastAsia="Times New Roman" w:hAnsi="Times New Roman" w:cs="Times New Roman"/>
                <w:b/>
                <w:color w:val="000000"/>
                <w:sz w:val="20"/>
                <w:szCs w:val="20"/>
              </w:rPr>
            </w:pPr>
            <w:r w:rsidRPr="00DB5984">
              <w:rPr>
                <w:rFonts w:ascii="Times New Roman" w:eastAsia="Times New Roman" w:hAnsi="Times New Roman" w:cs="Times New Roman"/>
                <w:b/>
                <w:color w:val="000000"/>
                <w:sz w:val="20"/>
                <w:szCs w:val="20"/>
              </w:rPr>
              <w:t xml:space="preserve">10 000 </w:t>
            </w:r>
            <w:proofErr w:type="spellStart"/>
            <w:r w:rsidRPr="00DB5984">
              <w:rPr>
                <w:rFonts w:ascii="Times New Roman" w:eastAsia="Times New Roman" w:hAnsi="Times New Roman" w:cs="Times New Roman"/>
                <w:b/>
                <w:color w:val="000000"/>
                <w:sz w:val="20"/>
                <w:szCs w:val="20"/>
              </w:rPr>
              <w:t>000</w:t>
            </w:r>
            <w:proofErr w:type="spellEnd"/>
          </w:p>
        </w:tc>
        <w:tc>
          <w:tcPr>
            <w:tcW w:w="1134" w:type="dxa"/>
            <w:tcBorders>
              <w:top w:val="single" w:sz="4" w:space="0" w:color="auto"/>
              <w:left w:val="nil"/>
              <w:bottom w:val="single" w:sz="4" w:space="0" w:color="auto"/>
              <w:right w:val="nil"/>
            </w:tcBorders>
            <w:shd w:val="clear" w:color="auto" w:fill="auto"/>
            <w:noWrap/>
            <w:vAlign w:val="center"/>
            <w:hideMark/>
          </w:tcPr>
          <w:p w:rsidR="00DB5984" w:rsidRPr="00DB5984" w:rsidRDefault="00DB5984" w:rsidP="00DB5984">
            <w:pPr>
              <w:spacing w:after="0" w:line="240" w:lineRule="auto"/>
              <w:jc w:val="right"/>
              <w:rPr>
                <w:rFonts w:ascii="Times New Roman" w:eastAsia="Times New Roman" w:hAnsi="Times New Roman" w:cs="Times New Roman"/>
                <w:b/>
                <w:color w:val="000000"/>
                <w:sz w:val="20"/>
                <w:szCs w:val="20"/>
              </w:rPr>
            </w:pPr>
            <w:r w:rsidRPr="00DB5984">
              <w:rPr>
                <w:rFonts w:ascii="Times New Roman" w:eastAsia="Times New Roman" w:hAnsi="Times New Roman" w:cs="Times New Roman"/>
                <w:b/>
                <w:color w:val="000000"/>
                <w:sz w:val="20"/>
                <w:szCs w:val="20"/>
              </w:rPr>
              <w:t xml:space="preserve">10 000 </w:t>
            </w:r>
            <w:proofErr w:type="spellStart"/>
            <w:r w:rsidRPr="00DB5984">
              <w:rPr>
                <w:rFonts w:ascii="Times New Roman" w:eastAsia="Times New Roman" w:hAnsi="Times New Roman" w:cs="Times New Roman"/>
                <w:b/>
                <w:color w:val="000000"/>
                <w:sz w:val="20"/>
                <w:szCs w:val="20"/>
              </w:rPr>
              <w:t>000</w:t>
            </w:r>
            <w:proofErr w:type="spellEnd"/>
          </w:p>
        </w:tc>
        <w:tc>
          <w:tcPr>
            <w:tcW w:w="1134" w:type="dxa"/>
            <w:tcBorders>
              <w:top w:val="single" w:sz="4" w:space="0" w:color="auto"/>
              <w:left w:val="nil"/>
              <w:bottom w:val="single" w:sz="4" w:space="0" w:color="auto"/>
              <w:right w:val="nil"/>
            </w:tcBorders>
            <w:shd w:val="clear" w:color="auto" w:fill="auto"/>
            <w:noWrap/>
            <w:vAlign w:val="center"/>
            <w:hideMark/>
          </w:tcPr>
          <w:p w:rsidR="00DB5984" w:rsidRPr="00DB5984" w:rsidRDefault="00DB5984" w:rsidP="00DB5984">
            <w:pPr>
              <w:spacing w:after="0" w:line="240" w:lineRule="auto"/>
              <w:jc w:val="right"/>
              <w:rPr>
                <w:rFonts w:ascii="Times New Roman" w:eastAsia="Times New Roman" w:hAnsi="Times New Roman" w:cs="Times New Roman"/>
                <w:b/>
                <w:color w:val="000000"/>
                <w:sz w:val="20"/>
                <w:szCs w:val="20"/>
              </w:rPr>
            </w:pPr>
            <w:r w:rsidRPr="00DB5984">
              <w:rPr>
                <w:rFonts w:ascii="Times New Roman" w:eastAsia="Times New Roman" w:hAnsi="Times New Roman" w:cs="Times New Roman"/>
                <w:b/>
                <w:color w:val="000000"/>
                <w:sz w:val="20"/>
                <w:szCs w:val="20"/>
              </w:rPr>
              <w:t xml:space="preserve">10 000 </w:t>
            </w:r>
            <w:proofErr w:type="spellStart"/>
            <w:r w:rsidRPr="00DB5984">
              <w:rPr>
                <w:rFonts w:ascii="Times New Roman" w:eastAsia="Times New Roman" w:hAnsi="Times New Roman" w:cs="Times New Roman"/>
                <w:b/>
                <w:color w:val="000000"/>
                <w:sz w:val="20"/>
                <w:szCs w:val="20"/>
              </w:rPr>
              <w:t>000</w:t>
            </w:r>
            <w:proofErr w:type="spellEnd"/>
          </w:p>
        </w:tc>
        <w:tc>
          <w:tcPr>
            <w:tcW w:w="1134" w:type="dxa"/>
            <w:tcBorders>
              <w:top w:val="single" w:sz="4" w:space="0" w:color="auto"/>
              <w:left w:val="nil"/>
              <w:bottom w:val="single" w:sz="4" w:space="0" w:color="auto"/>
              <w:right w:val="nil"/>
            </w:tcBorders>
            <w:shd w:val="clear" w:color="auto" w:fill="auto"/>
            <w:noWrap/>
            <w:vAlign w:val="center"/>
            <w:hideMark/>
          </w:tcPr>
          <w:p w:rsidR="00DB5984" w:rsidRPr="00DB5984" w:rsidRDefault="00DB5984" w:rsidP="00DB5984">
            <w:pPr>
              <w:spacing w:after="0" w:line="240" w:lineRule="auto"/>
              <w:jc w:val="right"/>
              <w:rPr>
                <w:rFonts w:ascii="Times New Roman" w:eastAsia="Times New Roman" w:hAnsi="Times New Roman" w:cs="Times New Roman"/>
                <w:b/>
                <w:color w:val="000000"/>
                <w:sz w:val="20"/>
                <w:szCs w:val="20"/>
              </w:rPr>
            </w:pPr>
            <w:r w:rsidRPr="00DB5984">
              <w:rPr>
                <w:rFonts w:ascii="Times New Roman" w:eastAsia="Times New Roman" w:hAnsi="Times New Roman" w:cs="Times New Roman"/>
                <w:b/>
                <w:color w:val="000000"/>
                <w:sz w:val="20"/>
                <w:szCs w:val="20"/>
              </w:rPr>
              <w:t xml:space="preserve">40 000 </w:t>
            </w:r>
            <w:proofErr w:type="spellStart"/>
            <w:r w:rsidRPr="00DB5984">
              <w:rPr>
                <w:rFonts w:ascii="Times New Roman" w:eastAsia="Times New Roman" w:hAnsi="Times New Roman" w:cs="Times New Roman"/>
                <w:b/>
                <w:color w:val="000000"/>
                <w:sz w:val="20"/>
                <w:szCs w:val="20"/>
              </w:rPr>
              <w:t>000</w:t>
            </w:r>
            <w:proofErr w:type="spellEnd"/>
          </w:p>
        </w:tc>
      </w:tr>
    </w:tbl>
    <w:p w:rsidR="00DB5984" w:rsidRPr="00C431FF" w:rsidRDefault="00DB5984" w:rsidP="00DB598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odhad MPRV</w:t>
      </w:r>
    </w:p>
    <w:p w:rsidR="00DB5984" w:rsidRDefault="00DB5984" w:rsidP="00766688">
      <w:pPr>
        <w:spacing w:after="0" w:line="240" w:lineRule="auto"/>
        <w:jc w:val="both"/>
        <w:rPr>
          <w:rFonts w:ascii="Times New Roman" w:hAnsi="Times New Roman" w:cs="Times New Roman"/>
          <w:sz w:val="24"/>
          <w:szCs w:val="24"/>
        </w:rPr>
      </w:pPr>
    </w:p>
    <w:p w:rsidR="00DB5984" w:rsidRDefault="00E47270" w:rsidP="00766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Predpokladaný vplyv na zamestnanosť z titulu zabezpečenia starostlivosti o drobné vodné toky má dočasný charakter, ohraničený dobou realizácie projektu.</w:t>
      </w:r>
    </w:p>
    <w:p w:rsidR="00D54362" w:rsidRDefault="00D54362" w:rsidP="00766688">
      <w:pPr>
        <w:spacing w:after="0" w:line="240" w:lineRule="auto"/>
        <w:jc w:val="both"/>
        <w:rPr>
          <w:rFonts w:ascii="Times New Roman" w:hAnsi="Times New Roman" w:cs="Times New Roman"/>
          <w:sz w:val="24"/>
          <w:szCs w:val="24"/>
        </w:rPr>
      </w:pPr>
    </w:p>
    <w:p w:rsidR="00415F91" w:rsidRDefault="00354800" w:rsidP="00766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Podporou obnovy funkcií lesov na plochách postihnutých kalamitou a zvýšením stability lesných porastov sa</w:t>
      </w:r>
      <w:r w:rsidR="0089623F">
        <w:rPr>
          <w:rFonts w:ascii="Times New Roman" w:hAnsi="Times New Roman" w:cs="Times New Roman"/>
          <w:sz w:val="24"/>
          <w:szCs w:val="24"/>
        </w:rPr>
        <w:t xml:space="preserve"> zabezpečí v priebehu rokov 2014 – 2017</w:t>
      </w:r>
      <w:r>
        <w:rPr>
          <w:rFonts w:ascii="Times New Roman" w:hAnsi="Times New Roman" w:cs="Times New Roman"/>
          <w:sz w:val="24"/>
          <w:szCs w:val="24"/>
        </w:rPr>
        <w:t xml:space="preserve"> rozsah obnovy lesov vo výmere 120 000 ha primeraným objemom zabezpečeného lesného porastu a vykonajú sa prebierky a </w:t>
      </w:r>
      <w:proofErr w:type="spellStart"/>
      <w:r>
        <w:rPr>
          <w:rFonts w:ascii="Times New Roman" w:hAnsi="Times New Roman" w:cs="Times New Roman"/>
          <w:sz w:val="24"/>
          <w:szCs w:val="24"/>
        </w:rPr>
        <w:t>prečistky</w:t>
      </w:r>
      <w:proofErr w:type="spellEnd"/>
      <w:r>
        <w:rPr>
          <w:rFonts w:ascii="Times New Roman" w:hAnsi="Times New Roman" w:cs="Times New Roman"/>
          <w:sz w:val="24"/>
          <w:szCs w:val="24"/>
        </w:rPr>
        <w:t xml:space="preserve"> na rozlohe 100 000 ha lesov.</w:t>
      </w:r>
    </w:p>
    <w:p w:rsidR="00ED0162" w:rsidRDefault="00ED0162" w:rsidP="00766688">
      <w:pPr>
        <w:spacing w:after="0" w:line="240" w:lineRule="auto"/>
        <w:jc w:val="both"/>
        <w:rPr>
          <w:rFonts w:ascii="Times New Roman" w:hAnsi="Times New Roman" w:cs="Times New Roman"/>
          <w:sz w:val="24"/>
          <w:szCs w:val="24"/>
        </w:rPr>
      </w:pPr>
    </w:p>
    <w:p w:rsidR="00FA3428" w:rsidRPr="00FA3428" w:rsidRDefault="00C970F8" w:rsidP="00FA3428">
      <w:pPr>
        <w:tabs>
          <w:tab w:val="left"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t>Tab. č. 67</w:t>
      </w:r>
      <w:r w:rsidR="00FA3428" w:rsidRPr="00A855A4">
        <w:rPr>
          <w:rFonts w:ascii="Times New Roman" w:hAnsi="Times New Roman" w:cs="Times New Roman"/>
          <w:sz w:val="20"/>
          <w:szCs w:val="20"/>
        </w:rPr>
        <w:t xml:space="preserve">: </w:t>
      </w:r>
      <w:r w:rsidR="00FA3428">
        <w:rPr>
          <w:rFonts w:ascii="Times New Roman" w:hAnsi="Times New Roman" w:cs="Times New Roman"/>
          <w:sz w:val="20"/>
          <w:szCs w:val="20"/>
        </w:rPr>
        <w:tab/>
        <w:t>Predpokladaný vplyv podpory obnovy funkcií lesov na zamestnanosť</w:t>
      </w:r>
    </w:p>
    <w:tbl>
      <w:tblPr>
        <w:tblW w:w="9087" w:type="dxa"/>
        <w:tblInd w:w="55" w:type="dxa"/>
        <w:tblCellMar>
          <w:left w:w="70" w:type="dxa"/>
          <w:right w:w="70" w:type="dxa"/>
        </w:tblCellMar>
        <w:tblLook w:val="04A0" w:firstRow="1" w:lastRow="0" w:firstColumn="1" w:lastColumn="0" w:noHBand="0" w:noVBand="1"/>
      </w:tblPr>
      <w:tblGrid>
        <w:gridCol w:w="2709"/>
        <w:gridCol w:w="1400"/>
        <w:gridCol w:w="960"/>
        <w:gridCol w:w="960"/>
        <w:gridCol w:w="960"/>
        <w:gridCol w:w="960"/>
        <w:gridCol w:w="1138"/>
      </w:tblGrid>
      <w:tr w:rsidR="00BC7C07" w:rsidRPr="00BC7C07" w:rsidTr="00FA3428">
        <w:trPr>
          <w:trHeight w:val="255"/>
        </w:trPr>
        <w:tc>
          <w:tcPr>
            <w:tcW w:w="2709" w:type="dxa"/>
            <w:tcBorders>
              <w:top w:val="nil"/>
              <w:left w:val="nil"/>
              <w:bottom w:val="single" w:sz="4" w:space="0" w:color="auto"/>
              <w:right w:val="nil"/>
            </w:tcBorders>
            <w:shd w:val="clear" w:color="000000" w:fill="D9D9D9"/>
            <w:noWrap/>
            <w:vAlign w:val="bottom"/>
            <w:hideMark/>
          </w:tcPr>
          <w:p w:rsidR="00BC7C07" w:rsidRPr="00BC7C07" w:rsidRDefault="00BC7C07" w:rsidP="00BC7C07">
            <w:pPr>
              <w:spacing w:after="0" w:line="240" w:lineRule="auto"/>
              <w:rPr>
                <w:rFonts w:ascii="Times New Roman" w:eastAsia="Times New Roman" w:hAnsi="Times New Roman" w:cs="Times New Roman"/>
                <w:b/>
                <w:bCs/>
                <w:color w:val="000000"/>
                <w:sz w:val="20"/>
                <w:szCs w:val="20"/>
              </w:rPr>
            </w:pPr>
            <w:r w:rsidRPr="00BC7C07">
              <w:rPr>
                <w:rFonts w:ascii="Times New Roman" w:eastAsia="Times New Roman" w:hAnsi="Times New Roman" w:cs="Times New Roman"/>
                <w:b/>
                <w:bCs/>
                <w:color w:val="000000"/>
                <w:sz w:val="20"/>
                <w:szCs w:val="20"/>
              </w:rPr>
              <w:t> </w:t>
            </w:r>
          </w:p>
        </w:tc>
        <w:tc>
          <w:tcPr>
            <w:tcW w:w="1400" w:type="dxa"/>
            <w:tcBorders>
              <w:top w:val="nil"/>
              <w:left w:val="nil"/>
              <w:bottom w:val="single" w:sz="4" w:space="0" w:color="auto"/>
              <w:right w:val="single" w:sz="4" w:space="0" w:color="auto"/>
            </w:tcBorders>
            <w:shd w:val="clear" w:color="000000" w:fill="D9D9D9"/>
            <w:noWrap/>
            <w:vAlign w:val="bottom"/>
            <w:hideMark/>
          </w:tcPr>
          <w:p w:rsidR="00BC7C07" w:rsidRPr="00BC7C07" w:rsidRDefault="00BC7C07" w:rsidP="00BC7C07">
            <w:pPr>
              <w:spacing w:after="0" w:line="240" w:lineRule="auto"/>
              <w:jc w:val="center"/>
              <w:rPr>
                <w:rFonts w:ascii="Times New Roman" w:eastAsia="Times New Roman" w:hAnsi="Times New Roman" w:cs="Times New Roman"/>
                <w:b/>
                <w:bCs/>
                <w:color w:val="000000"/>
                <w:sz w:val="20"/>
                <w:szCs w:val="20"/>
              </w:rPr>
            </w:pPr>
            <w:r w:rsidRPr="00BC7C07">
              <w:rPr>
                <w:rFonts w:ascii="Times New Roman" w:eastAsia="Times New Roman" w:hAnsi="Times New Roman" w:cs="Times New Roman"/>
                <w:b/>
                <w:bCs/>
                <w:color w:val="000000"/>
                <w:sz w:val="20"/>
                <w:szCs w:val="20"/>
              </w:rPr>
              <w:t>merná jednotka</w:t>
            </w:r>
          </w:p>
        </w:tc>
        <w:tc>
          <w:tcPr>
            <w:tcW w:w="960" w:type="dxa"/>
            <w:tcBorders>
              <w:top w:val="nil"/>
              <w:left w:val="nil"/>
              <w:bottom w:val="single" w:sz="4" w:space="0" w:color="auto"/>
              <w:right w:val="nil"/>
            </w:tcBorders>
            <w:shd w:val="clear" w:color="000000" w:fill="D9D9D9"/>
            <w:noWrap/>
            <w:vAlign w:val="bottom"/>
            <w:hideMark/>
          </w:tcPr>
          <w:p w:rsidR="00BC7C07" w:rsidRPr="00BC7C07" w:rsidRDefault="0089623F" w:rsidP="00BC7C0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2014</w:t>
            </w:r>
          </w:p>
        </w:tc>
        <w:tc>
          <w:tcPr>
            <w:tcW w:w="960" w:type="dxa"/>
            <w:tcBorders>
              <w:top w:val="nil"/>
              <w:left w:val="nil"/>
              <w:bottom w:val="single" w:sz="4" w:space="0" w:color="auto"/>
              <w:right w:val="nil"/>
            </w:tcBorders>
            <w:shd w:val="clear" w:color="000000" w:fill="D9D9D9"/>
            <w:noWrap/>
            <w:vAlign w:val="bottom"/>
            <w:hideMark/>
          </w:tcPr>
          <w:p w:rsidR="0089623F" w:rsidRPr="00BC7C07" w:rsidRDefault="0089623F" w:rsidP="0089623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2015</w:t>
            </w:r>
          </w:p>
        </w:tc>
        <w:tc>
          <w:tcPr>
            <w:tcW w:w="960" w:type="dxa"/>
            <w:tcBorders>
              <w:top w:val="nil"/>
              <w:left w:val="nil"/>
              <w:bottom w:val="single" w:sz="4" w:space="0" w:color="auto"/>
              <w:right w:val="nil"/>
            </w:tcBorders>
            <w:shd w:val="clear" w:color="000000" w:fill="D9D9D9"/>
            <w:noWrap/>
            <w:vAlign w:val="bottom"/>
            <w:hideMark/>
          </w:tcPr>
          <w:p w:rsidR="00BC7C07" w:rsidRPr="00BC7C07" w:rsidRDefault="0089623F" w:rsidP="00BC7C0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2016</w:t>
            </w:r>
          </w:p>
        </w:tc>
        <w:tc>
          <w:tcPr>
            <w:tcW w:w="960" w:type="dxa"/>
            <w:tcBorders>
              <w:top w:val="nil"/>
              <w:left w:val="nil"/>
              <w:bottom w:val="single" w:sz="4" w:space="0" w:color="auto"/>
              <w:right w:val="nil"/>
            </w:tcBorders>
            <w:shd w:val="clear" w:color="000000" w:fill="D9D9D9"/>
            <w:noWrap/>
            <w:vAlign w:val="bottom"/>
            <w:hideMark/>
          </w:tcPr>
          <w:p w:rsidR="00BC7C07" w:rsidRPr="00BC7C07" w:rsidRDefault="0089623F" w:rsidP="00BC7C0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2017</w:t>
            </w:r>
          </w:p>
        </w:tc>
        <w:tc>
          <w:tcPr>
            <w:tcW w:w="1138" w:type="dxa"/>
            <w:tcBorders>
              <w:top w:val="nil"/>
              <w:left w:val="nil"/>
              <w:bottom w:val="single" w:sz="4" w:space="0" w:color="auto"/>
              <w:right w:val="nil"/>
            </w:tcBorders>
            <w:shd w:val="clear" w:color="000000" w:fill="D9D9D9"/>
            <w:noWrap/>
            <w:vAlign w:val="bottom"/>
            <w:hideMark/>
          </w:tcPr>
          <w:p w:rsidR="00BC7C07" w:rsidRPr="00BC7C07" w:rsidRDefault="00BC7C07" w:rsidP="00BC7C07">
            <w:pPr>
              <w:spacing w:after="0" w:line="240" w:lineRule="auto"/>
              <w:jc w:val="center"/>
              <w:rPr>
                <w:rFonts w:ascii="Times New Roman" w:eastAsia="Times New Roman" w:hAnsi="Times New Roman" w:cs="Times New Roman"/>
                <w:b/>
                <w:bCs/>
                <w:color w:val="000000"/>
                <w:sz w:val="20"/>
                <w:szCs w:val="20"/>
              </w:rPr>
            </w:pPr>
            <w:r w:rsidRPr="00BC7C07">
              <w:rPr>
                <w:rFonts w:ascii="Times New Roman" w:eastAsia="Times New Roman" w:hAnsi="Times New Roman" w:cs="Times New Roman"/>
                <w:b/>
                <w:bCs/>
                <w:color w:val="000000"/>
                <w:sz w:val="20"/>
                <w:szCs w:val="20"/>
              </w:rPr>
              <w:t>Celkom</w:t>
            </w:r>
          </w:p>
        </w:tc>
      </w:tr>
      <w:tr w:rsidR="00BC7C07" w:rsidRPr="00BC7C07" w:rsidTr="00FA3428">
        <w:trPr>
          <w:trHeight w:val="255"/>
        </w:trPr>
        <w:tc>
          <w:tcPr>
            <w:tcW w:w="2709" w:type="dxa"/>
            <w:tcBorders>
              <w:top w:val="nil"/>
              <w:left w:val="nil"/>
              <w:bottom w:val="nil"/>
              <w:right w:val="nil"/>
            </w:tcBorders>
            <w:shd w:val="clear" w:color="auto" w:fill="auto"/>
            <w:vAlign w:val="bottom"/>
            <w:hideMark/>
          </w:tcPr>
          <w:p w:rsidR="00BC7C07" w:rsidRPr="00BC7C07" w:rsidRDefault="00BC7C07" w:rsidP="00BC7C07">
            <w:pPr>
              <w:spacing w:after="0" w:line="240" w:lineRule="auto"/>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vykonaný rozsah obnovy lesa</w:t>
            </w:r>
          </w:p>
        </w:tc>
        <w:tc>
          <w:tcPr>
            <w:tcW w:w="1400" w:type="dxa"/>
            <w:tcBorders>
              <w:top w:val="nil"/>
              <w:left w:val="nil"/>
              <w:bottom w:val="nil"/>
              <w:right w:val="single" w:sz="4" w:space="0" w:color="auto"/>
            </w:tcBorders>
            <w:shd w:val="clear" w:color="auto" w:fill="auto"/>
            <w:noWrap/>
            <w:vAlign w:val="center"/>
            <w:hideMark/>
          </w:tcPr>
          <w:p w:rsidR="00BC7C07" w:rsidRPr="00BC7C07" w:rsidRDefault="00BC7C07" w:rsidP="00BC7C07">
            <w:pPr>
              <w:spacing w:after="0" w:line="240" w:lineRule="auto"/>
              <w:jc w:val="center"/>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ha</w:t>
            </w:r>
          </w:p>
        </w:tc>
        <w:tc>
          <w:tcPr>
            <w:tcW w:w="960" w:type="dxa"/>
            <w:tcBorders>
              <w:top w:val="nil"/>
              <w:left w:val="nil"/>
              <w:bottom w:val="nil"/>
              <w:right w:val="nil"/>
            </w:tcBorders>
            <w:shd w:val="clear" w:color="auto" w:fill="auto"/>
            <w:noWrap/>
            <w:vAlign w:val="center"/>
            <w:hideMark/>
          </w:tcPr>
          <w:p w:rsidR="00BC7C07" w:rsidRPr="00BC7C07" w:rsidRDefault="00BC7C07" w:rsidP="00BC7C07">
            <w:pPr>
              <w:spacing w:after="0" w:line="240" w:lineRule="auto"/>
              <w:jc w:val="right"/>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30 000</w:t>
            </w:r>
          </w:p>
        </w:tc>
        <w:tc>
          <w:tcPr>
            <w:tcW w:w="960" w:type="dxa"/>
            <w:tcBorders>
              <w:top w:val="nil"/>
              <w:left w:val="nil"/>
              <w:bottom w:val="nil"/>
              <w:right w:val="nil"/>
            </w:tcBorders>
            <w:shd w:val="clear" w:color="auto" w:fill="auto"/>
            <w:noWrap/>
            <w:vAlign w:val="center"/>
            <w:hideMark/>
          </w:tcPr>
          <w:p w:rsidR="00BC7C07" w:rsidRPr="00BC7C07" w:rsidRDefault="00BC7C07" w:rsidP="00BC7C07">
            <w:pPr>
              <w:spacing w:after="0" w:line="240" w:lineRule="auto"/>
              <w:jc w:val="right"/>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30 000</w:t>
            </w:r>
          </w:p>
        </w:tc>
        <w:tc>
          <w:tcPr>
            <w:tcW w:w="960" w:type="dxa"/>
            <w:tcBorders>
              <w:top w:val="nil"/>
              <w:left w:val="nil"/>
              <w:bottom w:val="nil"/>
              <w:right w:val="nil"/>
            </w:tcBorders>
            <w:shd w:val="clear" w:color="auto" w:fill="auto"/>
            <w:noWrap/>
            <w:vAlign w:val="center"/>
            <w:hideMark/>
          </w:tcPr>
          <w:p w:rsidR="00BC7C07" w:rsidRPr="00BC7C07" w:rsidRDefault="00BC7C07" w:rsidP="00BC7C07">
            <w:pPr>
              <w:spacing w:after="0" w:line="240" w:lineRule="auto"/>
              <w:jc w:val="right"/>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30 000</w:t>
            </w:r>
          </w:p>
        </w:tc>
        <w:tc>
          <w:tcPr>
            <w:tcW w:w="960" w:type="dxa"/>
            <w:tcBorders>
              <w:top w:val="nil"/>
              <w:left w:val="nil"/>
              <w:bottom w:val="nil"/>
              <w:right w:val="nil"/>
            </w:tcBorders>
            <w:shd w:val="clear" w:color="auto" w:fill="auto"/>
            <w:noWrap/>
            <w:vAlign w:val="center"/>
            <w:hideMark/>
          </w:tcPr>
          <w:p w:rsidR="00BC7C07" w:rsidRPr="00BC7C07" w:rsidRDefault="00BC7C07" w:rsidP="00BC7C07">
            <w:pPr>
              <w:spacing w:after="0" w:line="240" w:lineRule="auto"/>
              <w:jc w:val="right"/>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30 000</w:t>
            </w:r>
          </w:p>
        </w:tc>
        <w:tc>
          <w:tcPr>
            <w:tcW w:w="1138" w:type="dxa"/>
            <w:tcBorders>
              <w:top w:val="nil"/>
              <w:left w:val="nil"/>
              <w:bottom w:val="nil"/>
              <w:right w:val="nil"/>
            </w:tcBorders>
            <w:shd w:val="clear" w:color="auto" w:fill="auto"/>
            <w:noWrap/>
            <w:vAlign w:val="center"/>
            <w:hideMark/>
          </w:tcPr>
          <w:p w:rsidR="00BC7C07" w:rsidRPr="00BC7C07" w:rsidRDefault="00BC7C07" w:rsidP="00BC7C07">
            <w:pPr>
              <w:spacing w:after="0" w:line="240" w:lineRule="auto"/>
              <w:jc w:val="right"/>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120 000</w:t>
            </w:r>
          </w:p>
        </w:tc>
      </w:tr>
      <w:tr w:rsidR="00BC7C07" w:rsidRPr="00BC7C07" w:rsidTr="00FA3428">
        <w:trPr>
          <w:trHeight w:val="510"/>
        </w:trPr>
        <w:tc>
          <w:tcPr>
            <w:tcW w:w="2709" w:type="dxa"/>
            <w:tcBorders>
              <w:top w:val="nil"/>
              <w:left w:val="nil"/>
              <w:bottom w:val="nil"/>
              <w:right w:val="nil"/>
            </w:tcBorders>
            <w:shd w:val="clear" w:color="auto" w:fill="auto"/>
            <w:vAlign w:val="bottom"/>
            <w:hideMark/>
          </w:tcPr>
          <w:p w:rsidR="00BC7C07" w:rsidRPr="00BC7C07" w:rsidRDefault="00BC7C07" w:rsidP="00BC7C07">
            <w:pPr>
              <w:spacing w:after="0" w:line="240" w:lineRule="auto"/>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 xml:space="preserve">vykonaný rozsah </w:t>
            </w:r>
            <w:proofErr w:type="spellStart"/>
            <w:r w:rsidRPr="00BC7C07">
              <w:rPr>
                <w:rFonts w:ascii="Times New Roman" w:eastAsia="Times New Roman" w:hAnsi="Times New Roman" w:cs="Times New Roman"/>
                <w:color w:val="000000"/>
                <w:sz w:val="20"/>
                <w:szCs w:val="20"/>
              </w:rPr>
              <w:t>prečistiek</w:t>
            </w:r>
            <w:proofErr w:type="spellEnd"/>
            <w:r w:rsidRPr="00BC7C07">
              <w:rPr>
                <w:rFonts w:ascii="Times New Roman" w:eastAsia="Times New Roman" w:hAnsi="Times New Roman" w:cs="Times New Roman"/>
                <w:color w:val="000000"/>
                <w:sz w:val="20"/>
                <w:szCs w:val="20"/>
              </w:rPr>
              <w:t xml:space="preserve"> a prebierok</w:t>
            </w:r>
          </w:p>
        </w:tc>
        <w:tc>
          <w:tcPr>
            <w:tcW w:w="1400" w:type="dxa"/>
            <w:tcBorders>
              <w:top w:val="nil"/>
              <w:left w:val="nil"/>
              <w:bottom w:val="nil"/>
              <w:right w:val="single" w:sz="4" w:space="0" w:color="auto"/>
            </w:tcBorders>
            <w:shd w:val="clear" w:color="auto" w:fill="auto"/>
            <w:noWrap/>
            <w:vAlign w:val="center"/>
            <w:hideMark/>
          </w:tcPr>
          <w:p w:rsidR="00BC7C07" w:rsidRPr="00BC7C07" w:rsidRDefault="00BC7C07" w:rsidP="00BC7C07">
            <w:pPr>
              <w:spacing w:after="0" w:line="240" w:lineRule="auto"/>
              <w:jc w:val="center"/>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ha</w:t>
            </w:r>
          </w:p>
        </w:tc>
        <w:tc>
          <w:tcPr>
            <w:tcW w:w="960" w:type="dxa"/>
            <w:tcBorders>
              <w:top w:val="nil"/>
              <w:left w:val="nil"/>
              <w:bottom w:val="nil"/>
              <w:right w:val="nil"/>
            </w:tcBorders>
            <w:shd w:val="clear" w:color="auto" w:fill="auto"/>
            <w:noWrap/>
            <w:vAlign w:val="center"/>
            <w:hideMark/>
          </w:tcPr>
          <w:p w:rsidR="00BC7C07" w:rsidRPr="00BC7C07" w:rsidRDefault="00BC7C07" w:rsidP="00BC7C07">
            <w:pPr>
              <w:spacing w:after="0" w:line="240" w:lineRule="auto"/>
              <w:jc w:val="right"/>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25 000</w:t>
            </w:r>
          </w:p>
        </w:tc>
        <w:tc>
          <w:tcPr>
            <w:tcW w:w="960" w:type="dxa"/>
            <w:tcBorders>
              <w:top w:val="nil"/>
              <w:left w:val="nil"/>
              <w:bottom w:val="nil"/>
              <w:right w:val="nil"/>
            </w:tcBorders>
            <w:shd w:val="clear" w:color="auto" w:fill="auto"/>
            <w:noWrap/>
            <w:vAlign w:val="center"/>
            <w:hideMark/>
          </w:tcPr>
          <w:p w:rsidR="00BC7C07" w:rsidRPr="00BC7C07" w:rsidRDefault="00BC7C07" w:rsidP="00BC7C07">
            <w:pPr>
              <w:spacing w:after="0" w:line="240" w:lineRule="auto"/>
              <w:jc w:val="right"/>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25 000</w:t>
            </w:r>
          </w:p>
        </w:tc>
        <w:tc>
          <w:tcPr>
            <w:tcW w:w="960" w:type="dxa"/>
            <w:tcBorders>
              <w:top w:val="nil"/>
              <w:left w:val="nil"/>
              <w:bottom w:val="nil"/>
              <w:right w:val="nil"/>
            </w:tcBorders>
            <w:shd w:val="clear" w:color="auto" w:fill="auto"/>
            <w:noWrap/>
            <w:vAlign w:val="center"/>
            <w:hideMark/>
          </w:tcPr>
          <w:p w:rsidR="00BC7C07" w:rsidRPr="00BC7C07" w:rsidRDefault="00BC7C07" w:rsidP="00BC7C07">
            <w:pPr>
              <w:spacing w:after="0" w:line="240" w:lineRule="auto"/>
              <w:jc w:val="right"/>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25 000</w:t>
            </w:r>
          </w:p>
        </w:tc>
        <w:tc>
          <w:tcPr>
            <w:tcW w:w="960" w:type="dxa"/>
            <w:tcBorders>
              <w:top w:val="nil"/>
              <w:left w:val="nil"/>
              <w:bottom w:val="nil"/>
              <w:right w:val="nil"/>
            </w:tcBorders>
            <w:shd w:val="clear" w:color="auto" w:fill="auto"/>
            <w:noWrap/>
            <w:vAlign w:val="center"/>
            <w:hideMark/>
          </w:tcPr>
          <w:p w:rsidR="00BC7C07" w:rsidRPr="00BC7C07" w:rsidRDefault="00BC7C07" w:rsidP="00BC7C07">
            <w:pPr>
              <w:spacing w:after="0" w:line="240" w:lineRule="auto"/>
              <w:jc w:val="right"/>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25 000</w:t>
            </w:r>
          </w:p>
        </w:tc>
        <w:tc>
          <w:tcPr>
            <w:tcW w:w="1138" w:type="dxa"/>
            <w:tcBorders>
              <w:top w:val="nil"/>
              <w:left w:val="nil"/>
              <w:bottom w:val="nil"/>
              <w:right w:val="nil"/>
            </w:tcBorders>
            <w:shd w:val="clear" w:color="auto" w:fill="auto"/>
            <w:noWrap/>
            <w:vAlign w:val="center"/>
            <w:hideMark/>
          </w:tcPr>
          <w:p w:rsidR="00BC7C07" w:rsidRPr="00BC7C07" w:rsidRDefault="00BC7C07" w:rsidP="00BC7C07">
            <w:pPr>
              <w:spacing w:after="0" w:line="240" w:lineRule="auto"/>
              <w:jc w:val="right"/>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100 000</w:t>
            </w:r>
          </w:p>
        </w:tc>
      </w:tr>
      <w:tr w:rsidR="00BC7C07" w:rsidRPr="00BC7C07" w:rsidTr="00FA3428">
        <w:trPr>
          <w:trHeight w:val="255"/>
        </w:trPr>
        <w:tc>
          <w:tcPr>
            <w:tcW w:w="2709" w:type="dxa"/>
            <w:tcBorders>
              <w:top w:val="nil"/>
              <w:left w:val="nil"/>
              <w:bottom w:val="nil"/>
              <w:right w:val="nil"/>
            </w:tcBorders>
            <w:shd w:val="clear" w:color="000000" w:fill="F2F2F2"/>
            <w:vAlign w:val="bottom"/>
            <w:hideMark/>
          </w:tcPr>
          <w:p w:rsidR="00BC7C07" w:rsidRPr="00BC7C07" w:rsidRDefault="00BC7C07" w:rsidP="00BC7C07">
            <w:pPr>
              <w:spacing w:after="0" w:line="240" w:lineRule="auto"/>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 xml:space="preserve">vplyv na zamestnanosť </w:t>
            </w:r>
          </w:p>
        </w:tc>
        <w:tc>
          <w:tcPr>
            <w:tcW w:w="1400" w:type="dxa"/>
            <w:tcBorders>
              <w:top w:val="nil"/>
              <w:left w:val="nil"/>
              <w:bottom w:val="nil"/>
              <w:right w:val="single" w:sz="4" w:space="0" w:color="auto"/>
            </w:tcBorders>
            <w:shd w:val="clear" w:color="000000" w:fill="F2F2F2"/>
            <w:noWrap/>
            <w:vAlign w:val="center"/>
            <w:hideMark/>
          </w:tcPr>
          <w:p w:rsidR="00BC7C07" w:rsidRPr="00BC7C07" w:rsidRDefault="00BC7C07" w:rsidP="00BC7C07">
            <w:pPr>
              <w:spacing w:after="0" w:line="240" w:lineRule="auto"/>
              <w:jc w:val="center"/>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počet osôb</w:t>
            </w:r>
          </w:p>
        </w:tc>
        <w:tc>
          <w:tcPr>
            <w:tcW w:w="960" w:type="dxa"/>
            <w:tcBorders>
              <w:top w:val="nil"/>
              <w:left w:val="nil"/>
              <w:bottom w:val="nil"/>
              <w:right w:val="nil"/>
            </w:tcBorders>
            <w:shd w:val="clear" w:color="000000" w:fill="F2F2F2"/>
            <w:noWrap/>
            <w:vAlign w:val="center"/>
            <w:hideMark/>
          </w:tcPr>
          <w:p w:rsidR="00BC7C07" w:rsidRPr="00BC7C07" w:rsidRDefault="00BC7C07" w:rsidP="00BC7C07">
            <w:pPr>
              <w:spacing w:after="0" w:line="240" w:lineRule="auto"/>
              <w:jc w:val="right"/>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1 885</w:t>
            </w:r>
          </w:p>
        </w:tc>
        <w:tc>
          <w:tcPr>
            <w:tcW w:w="960" w:type="dxa"/>
            <w:tcBorders>
              <w:top w:val="nil"/>
              <w:left w:val="nil"/>
              <w:bottom w:val="nil"/>
              <w:right w:val="nil"/>
            </w:tcBorders>
            <w:shd w:val="clear" w:color="000000" w:fill="F2F2F2"/>
            <w:noWrap/>
            <w:vAlign w:val="center"/>
            <w:hideMark/>
          </w:tcPr>
          <w:p w:rsidR="00BC7C07" w:rsidRPr="00BC7C07" w:rsidRDefault="00BC7C07" w:rsidP="00BC7C07">
            <w:pPr>
              <w:spacing w:after="0" w:line="240" w:lineRule="auto"/>
              <w:jc w:val="right"/>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1 885</w:t>
            </w:r>
          </w:p>
        </w:tc>
        <w:tc>
          <w:tcPr>
            <w:tcW w:w="960" w:type="dxa"/>
            <w:tcBorders>
              <w:top w:val="nil"/>
              <w:left w:val="nil"/>
              <w:bottom w:val="nil"/>
              <w:right w:val="nil"/>
            </w:tcBorders>
            <w:shd w:val="clear" w:color="000000" w:fill="F2F2F2"/>
            <w:noWrap/>
            <w:vAlign w:val="center"/>
            <w:hideMark/>
          </w:tcPr>
          <w:p w:rsidR="00BC7C07" w:rsidRPr="00BC7C07" w:rsidRDefault="00BC7C07" w:rsidP="00BC7C07">
            <w:pPr>
              <w:spacing w:after="0" w:line="240" w:lineRule="auto"/>
              <w:jc w:val="right"/>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1 885</w:t>
            </w:r>
          </w:p>
        </w:tc>
        <w:tc>
          <w:tcPr>
            <w:tcW w:w="960" w:type="dxa"/>
            <w:tcBorders>
              <w:top w:val="nil"/>
              <w:left w:val="nil"/>
              <w:bottom w:val="nil"/>
              <w:right w:val="nil"/>
            </w:tcBorders>
            <w:shd w:val="clear" w:color="000000" w:fill="F2F2F2"/>
            <w:noWrap/>
            <w:vAlign w:val="center"/>
            <w:hideMark/>
          </w:tcPr>
          <w:p w:rsidR="00BC7C07" w:rsidRPr="00BC7C07" w:rsidRDefault="00BC7C07" w:rsidP="00BC7C07">
            <w:pPr>
              <w:spacing w:after="0" w:line="240" w:lineRule="auto"/>
              <w:jc w:val="right"/>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1 885</w:t>
            </w:r>
          </w:p>
        </w:tc>
        <w:tc>
          <w:tcPr>
            <w:tcW w:w="1138" w:type="dxa"/>
            <w:tcBorders>
              <w:top w:val="nil"/>
              <w:left w:val="nil"/>
              <w:bottom w:val="nil"/>
              <w:right w:val="nil"/>
            </w:tcBorders>
            <w:shd w:val="clear" w:color="000000" w:fill="F2F2F2"/>
            <w:noWrap/>
            <w:vAlign w:val="center"/>
            <w:hideMark/>
          </w:tcPr>
          <w:p w:rsidR="00BC7C07" w:rsidRPr="00BC7C07" w:rsidRDefault="00BC7C07" w:rsidP="00BC7C07">
            <w:pPr>
              <w:spacing w:after="0" w:line="240" w:lineRule="auto"/>
              <w:jc w:val="center"/>
              <w:rPr>
                <w:rFonts w:ascii="Times New Roman" w:eastAsia="Times New Roman" w:hAnsi="Times New Roman" w:cs="Times New Roman"/>
                <w:color w:val="000000"/>
                <w:sz w:val="20"/>
                <w:szCs w:val="20"/>
              </w:rPr>
            </w:pPr>
            <w:r w:rsidRPr="00BC7C07">
              <w:rPr>
                <w:rFonts w:ascii="Times New Roman" w:eastAsia="Times New Roman" w:hAnsi="Times New Roman" w:cs="Times New Roman"/>
                <w:color w:val="000000"/>
                <w:sz w:val="20"/>
                <w:szCs w:val="20"/>
              </w:rPr>
              <w:t>-</w:t>
            </w:r>
          </w:p>
        </w:tc>
      </w:tr>
      <w:tr w:rsidR="00BC7C07" w:rsidRPr="00BC7C07" w:rsidTr="00FA3428">
        <w:trPr>
          <w:trHeight w:val="255"/>
        </w:trPr>
        <w:tc>
          <w:tcPr>
            <w:tcW w:w="2709" w:type="dxa"/>
            <w:tcBorders>
              <w:top w:val="single" w:sz="4" w:space="0" w:color="auto"/>
              <w:left w:val="nil"/>
              <w:bottom w:val="single" w:sz="4" w:space="0" w:color="auto"/>
              <w:right w:val="nil"/>
            </w:tcBorders>
            <w:shd w:val="clear" w:color="auto" w:fill="auto"/>
            <w:vAlign w:val="bottom"/>
            <w:hideMark/>
          </w:tcPr>
          <w:p w:rsidR="00BC7C07" w:rsidRPr="00BC7C07" w:rsidRDefault="00BC7C07" w:rsidP="00BC7C07">
            <w:pPr>
              <w:spacing w:after="0" w:line="240" w:lineRule="auto"/>
              <w:rPr>
                <w:rFonts w:ascii="Times New Roman" w:eastAsia="Times New Roman" w:hAnsi="Times New Roman" w:cs="Times New Roman"/>
                <w:b/>
                <w:color w:val="000000"/>
                <w:sz w:val="20"/>
                <w:szCs w:val="20"/>
              </w:rPr>
            </w:pPr>
            <w:r w:rsidRPr="00BC7C07">
              <w:rPr>
                <w:rFonts w:ascii="Times New Roman" w:eastAsia="Times New Roman" w:hAnsi="Times New Roman" w:cs="Times New Roman"/>
                <w:b/>
                <w:color w:val="000000"/>
                <w:sz w:val="20"/>
                <w:szCs w:val="20"/>
              </w:rPr>
              <w:t>výška financovania</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C7C07" w:rsidRPr="00BC7C07" w:rsidRDefault="00BC7C07" w:rsidP="00BC7C07">
            <w:pPr>
              <w:spacing w:after="0" w:line="240" w:lineRule="auto"/>
              <w:jc w:val="center"/>
              <w:rPr>
                <w:rFonts w:ascii="Times New Roman" w:eastAsia="Times New Roman" w:hAnsi="Times New Roman" w:cs="Times New Roman"/>
                <w:b/>
                <w:color w:val="000000"/>
                <w:sz w:val="20"/>
                <w:szCs w:val="20"/>
              </w:rPr>
            </w:pPr>
            <w:r w:rsidRPr="00BC7C07">
              <w:rPr>
                <w:rFonts w:ascii="Times New Roman" w:eastAsia="Times New Roman" w:hAnsi="Times New Roman" w:cs="Times New Roman"/>
                <w:b/>
                <w:color w:val="000000"/>
                <w:sz w:val="20"/>
                <w:szCs w:val="20"/>
              </w:rPr>
              <w:t>EUR</w:t>
            </w:r>
          </w:p>
        </w:tc>
        <w:tc>
          <w:tcPr>
            <w:tcW w:w="960" w:type="dxa"/>
            <w:tcBorders>
              <w:top w:val="single" w:sz="4" w:space="0" w:color="auto"/>
              <w:left w:val="nil"/>
              <w:bottom w:val="single" w:sz="4" w:space="0" w:color="auto"/>
              <w:right w:val="nil"/>
            </w:tcBorders>
            <w:shd w:val="clear" w:color="auto" w:fill="auto"/>
            <w:noWrap/>
            <w:vAlign w:val="center"/>
            <w:hideMark/>
          </w:tcPr>
          <w:p w:rsidR="00BC7C07" w:rsidRPr="00BC7C07" w:rsidRDefault="00BC7C07" w:rsidP="00BC7C07">
            <w:pPr>
              <w:spacing w:after="0" w:line="240" w:lineRule="auto"/>
              <w:jc w:val="right"/>
              <w:rPr>
                <w:rFonts w:ascii="Times New Roman" w:eastAsia="Times New Roman" w:hAnsi="Times New Roman" w:cs="Times New Roman"/>
                <w:b/>
                <w:color w:val="000000"/>
                <w:sz w:val="20"/>
                <w:szCs w:val="20"/>
              </w:rPr>
            </w:pPr>
            <w:r w:rsidRPr="00BC7C07">
              <w:rPr>
                <w:rFonts w:ascii="Times New Roman" w:eastAsia="Times New Roman" w:hAnsi="Times New Roman" w:cs="Times New Roman"/>
                <w:b/>
                <w:color w:val="000000"/>
                <w:sz w:val="20"/>
                <w:szCs w:val="20"/>
              </w:rPr>
              <w:t>3 500 000</w:t>
            </w:r>
          </w:p>
        </w:tc>
        <w:tc>
          <w:tcPr>
            <w:tcW w:w="960" w:type="dxa"/>
            <w:tcBorders>
              <w:top w:val="single" w:sz="4" w:space="0" w:color="auto"/>
              <w:left w:val="nil"/>
              <w:bottom w:val="single" w:sz="4" w:space="0" w:color="auto"/>
              <w:right w:val="nil"/>
            </w:tcBorders>
            <w:shd w:val="clear" w:color="auto" w:fill="auto"/>
            <w:noWrap/>
            <w:vAlign w:val="center"/>
            <w:hideMark/>
          </w:tcPr>
          <w:p w:rsidR="00BC7C07" w:rsidRPr="00BC7C07" w:rsidRDefault="00BC7C07" w:rsidP="00BC7C07">
            <w:pPr>
              <w:spacing w:after="0" w:line="240" w:lineRule="auto"/>
              <w:jc w:val="right"/>
              <w:rPr>
                <w:rFonts w:ascii="Times New Roman" w:eastAsia="Times New Roman" w:hAnsi="Times New Roman" w:cs="Times New Roman"/>
                <w:b/>
                <w:color w:val="000000"/>
                <w:sz w:val="20"/>
                <w:szCs w:val="20"/>
              </w:rPr>
            </w:pPr>
            <w:r w:rsidRPr="00BC7C07">
              <w:rPr>
                <w:rFonts w:ascii="Times New Roman" w:eastAsia="Times New Roman" w:hAnsi="Times New Roman" w:cs="Times New Roman"/>
                <w:b/>
                <w:color w:val="000000"/>
                <w:sz w:val="20"/>
                <w:szCs w:val="20"/>
              </w:rPr>
              <w:t>3 500 000</w:t>
            </w:r>
          </w:p>
        </w:tc>
        <w:tc>
          <w:tcPr>
            <w:tcW w:w="960" w:type="dxa"/>
            <w:tcBorders>
              <w:top w:val="single" w:sz="4" w:space="0" w:color="auto"/>
              <w:left w:val="nil"/>
              <w:bottom w:val="single" w:sz="4" w:space="0" w:color="auto"/>
              <w:right w:val="nil"/>
            </w:tcBorders>
            <w:shd w:val="clear" w:color="auto" w:fill="auto"/>
            <w:noWrap/>
            <w:vAlign w:val="center"/>
            <w:hideMark/>
          </w:tcPr>
          <w:p w:rsidR="00BC7C07" w:rsidRPr="00BC7C07" w:rsidRDefault="00BC7C07" w:rsidP="00BC7C07">
            <w:pPr>
              <w:spacing w:after="0" w:line="240" w:lineRule="auto"/>
              <w:jc w:val="right"/>
              <w:rPr>
                <w:rFonts w:ascii="Times New Roman" w:eastAsia="Times New Roman" w:hAnsi="Times New Roman" w:cs="Times New Roman"/>
                <w:b/>
                <w:color w:val="000000"/>
                <w:sz w:val="20"/>
                <w:szCs w:val="20"/>
              </w:rPr>
            </w:pPr>
            <w:r w:rsidRPr="00BC7C07">
              <w:rPr>
                <w:rFonts w:ascii="Times New Roman" w:eastAsia="Times New Roman" w:hAnsi="Times New Roman" w:cs="Times New Roman"/>
                <w:b/>
                <w:color w:val="000000"/>
                <w:sz w:val="20"/>
                <w:szCs w:val="20"/>
              </w:rPr>
              <w:t>3 500 000</w:t>
            </w:r>
          </w:p>
        </w:tc>
        <w:tc>
          <w:tcPr>
            <w:tcW w:w="960" w:type="dxa"/>
            <w:tcBorders>
              <w:top w:val="single" w:sz="4" w:space="0" w:color="auto"/>
              <w:left w:val="nil"/>
              <w:bottom w:val="single" w:sz="4" w:space="0" w:color="auto"/>
              <w:right w:val="nil"/>
            </w:tcBorders>
            <w:shd w:val="clear" w:color="auto" w:fill="auto"/>
            <w:noWrap/>
            <w:vAlign w:val="center"/>
            <w:hideMark/>
          </w:tcPr>
          <w:p w:rsidR="00BC7C07" w:rsidRPr="00BC7C07" w:rsidRDefault="00BC7C07" w:rsidP="00BC7C07">
            <w:pPr>
              <w:spacing w:after="0" w:line="240" w:lineRule="auto"/>
              <w:jc w:val="right"/>
              <w:rPr>
                <w:rFonts w:ascii="Times New Roman" w:eastAsia="Times New Roman" w:hAnsi="Times New Roman" w:cs="Times New Roman"/>
                <w:b/>
                <w:color w:val="000000"/>
                <w:sz w:val="20"/>
                <w:szCs w:val="20"/>
              </w:rPr>
            </w:pPr>
            <w:r w:rsidRPr="00BC7C07">
              <w:rPr>
                <w:rFonts w:ascii="Times New Roman" w:eastAsia="Times New Roman" w:hAnsi="Times New Roman" w:cs="Times New Roman"/>
                <w:b/>
                <w:color w:val="000000"/>
                <w:sz w:val="20"/>
                <w:szCs w:val="20"/>
              </w:rPr>
              <w:t>3 500 000</w:t>
            </w:r>
          </w:p>
        </w:tc>
        <w:tc>
          <w:tcPr>
            <w:tcW w:w="1138" w:type="dxa"/>
            <w:tcBorders>
              <w:top w:val="single" w:sz="4" w:space="0" w:color="auto"/>
              <w:left w:val="nil"/>
              <w:bottom w:val="single" w:sz="4" w:space="0" w:color="auto"/>
              <w:right w:val="nil"/>
            </w:tcBorders>
            <w:shd w:val="clear" w:color="auto" w:fill="auto"/>
            <w:noWrap/>
            <w:vAlign w:val="center"/>
            <w:hideMark/>
          </w:tcPr>
          <w:p w:rsidR="00BC7C07" w:rsidRPr="00BC7C07" w:rsidRDefault="00BC7C07" w:rsidP="00BC7C07">
            <w:pPr>
              <w:spacing w:after="0" w:line="240" w:lineRule="auto"/>
              <w:jc w:val="right"/>
              <w:rPr>
                <w:rFonts w:ascii="Times New Roman" w:eastAsia="Times New Roman" w:hAnsi="Times New Roman" w:cs="Times New Roman"/>
                <w:b/>
                <w:color w:val="000000"/>
                <w:sz w:val="20"/>
                <w:szCs w:val="20"/>
              </w:rPr>
            </w:pPr>
            <w:r w:rsidRPr="00BC7C07">
              <w:rPr>
                <w:rFonts w:ascii="Times New Roman" w:eastAsia="Times New Roman" w:hAnsi="Times New Roman" w:cs="Times New Roman"/>
                <w:b/>
                <w:color w:val="000000"/>
                <w:sz w:val="20"/>
                <w:szCs w:val="20"/>
              </w:rPr>
              <w:t xml:space="preserve">14 000 </w:t>
            </w:r>
            <w:proofErr w:type="spellStart"/>
            <w:r w:rsidRPr="00BC7C07">
              <w:rPr>
                <w:rFonts w:ascii="Times New Roman" w:eastAsia="Times New Roman" w:hAnsi="Times New Roman" w:cs="Times New Roman"/>
                <w:b/>
                <w:color w:val="000000"/>
                <w:sz w:val="20"/>
                <w:szCs w:val="20"/>
              </w:rPr>
              <w:t>000</w:t>
            </w:r>
            <w:proofErr w:type="spellEnd"/>
          </w:p>
        </w:tc>
      </w:tr>
    </w:tbl>
    <w:p w:rsidR="00FA3428" w:rsidRPr="00C431FF" w:rsidRDefault="00FA3428" w:rsidP="00FA34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odhad MPRV</w:t>
      </w:r>
    </w:p>
    <w:p w:rsidR="00BC7C07" w:rsidRDefault="00BC7C07" w:rsidP="00766688">
      <w:pPr>
        <w:spacing w:after="0" w:line="240" w:lineRule="auto"/>
        <w:jc w:val="both"/>
        <w:rPr>
          <w:rFonts w:ascii="Times New Roman" w:hAnsi="Times New Roman" w:cs="Times New Roman"/>
          <w:sz w:val="24"/>
          <w:szCs w:val="24"/>
        </w:rPr>
      </w:pPr>
    </w:p>
    <w:p w:rsidR="0049143F" w:rsidRDefault="00FA3428" w:rsidP="006E7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Predpokladaný vplyv na zamestnanosť z titulu zabezpečenia obnovy funkcií lesov na plochách postihnutých kalamitou a zvýšenia stability lesných porastov má dočasný charakter, ohraničený dobou realizácie projektu.</w:t>
      </w:r>
    </w:p>
    <w:p w:rsidR="002A0C96" w:rsidRDefault="002A0C96" w:rsidP="006E743A">
      <w:pPr>
        <w:spacing w:after="0" w:line="240" w:lineRule="auto"/>
        <w:jc w:val="both"/>
        <w:rPr>
          <w:rFonts w:ascii="Times New Roman" w:hAnsi="Times New Roman" w:cs="Times New Roman"/>
          <w:sz w:val="24"/>
          <w:szCs w:val="24"/>
        </w:rPr>
      </w:pPr>
    </w:p>
    <w:p w:rsidR="009933A0" w:rsidRPr="009933A0" w:rsidRDefault="009933A0" w:rsidP="009933A0">
      <w:pPr>
        <w:pStyle w:val="Nadpis2"/>
        <w:numPr>
          <w:ilvl w:val="1"/>
          <w:numId w:val="8"/>
        </w:numPr>
        <w:jc w:val="both"/>
        <w:rPr>
          <w:rFonts w:cs="Times New Roman"/>
          <w:szCs w:val="24"/>
        </w:rPr>
      </w:pPr>
      <w:bookmarkStart w:id="80" w:name="_Toc359550700"/>
      <w:r w:rsidRPr="009933A0">
        <w:rPr>
          <w:rFonts w:cs="Times New Roman"/>
          <w:szCs w:val="24"/>
        </w:rPr>
        <w:t xml:space="preserve">Podporné opatrenia </w:t>
      </w:r>
      <w:r w:rsidR="000E603F">
        <w:rPr>
          <w:rFonts w:cs="Times New Roman"/>
          <w:szCs w:val="24"/>
        </w:rPr>
        <w:t xml:space="preserve">národného záujmu </w:t>
      </w:r>
      <w:r w:rsidRPr="009933A0">
        <w:rPr>
          <w:rFonts w:cs="Times New Roman"/>
          <w:szCs w:val="24"/>
        </w:rPr>
        <w:t>na realizáciu priorít koncepcie</w:t>
      </w:r>
      <w:bookmarkEnd w:id="80"/>
      <w:r w:rsidR="000E603F">
        <w:rPr>
          <w:rFonts w:cs="Times New Roman"/>
          <w:szCs w:val="24"/>
        </w:rPr>
        <w:t xml:space="preserve"> </w:t>
      </w:r>
    </w:p>
    <w:p w:rsidR="009933A0" w:rsidRDefault="009933A0" w:rsidP="006E743A">
      <w:pPr>
        <w:spacing w:after="0" w:line="240" w:lineRule="auto"/>
        <w:jc w:val="both"/>
        <w:rPr>
          <w:rFonts w:ascii="Times New Roman" w:eastAsia="Calibri" w:hAnsi="Times New Roman"/>
          <w:sz w:val="24"/>
          <w:szCs w:val="24"/>
        </w:rPr>
      </w:pPr>
    </w:p>
    <w:p w:rsidR="009933A0" w:rsidRDefault="00455250" w:rsidP="006E743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Ako prioritné boli v tejto oblasti identifikované </w:t>
      </w:r>
      <w:r w:rsidR="009933A0">
        <w:rPr>
          <w:rFonts w:ascii="Times New Roman" w:eastAsia="Calibri" w:hAnsi="Times New Roman"/>
          <w:sz w:val="24"/>
          <w:szCs w:val="24"/>
        </w:rPr>
        <w:t xml:space="preserve">tieto podporné </w:t>
      </w:r>
      <w:r>
        <w:rPr>
          <w:rFonts w:ascii="Times New Roman" w:eastAsia="Calibri" w:hAnsi="Times New Roman"/>
          <w:sz w:val="24"/>
          <w:szCs w:val="24"/>
        </w:rPr>
        <w:t>opatrenia</w:t>
      </w:r>
      <w:r w:rsidR="009933A0">
        <w:rPr>
          <w:rFonts w:ascii="Times New Roman" w:eastAsia="Calibri" w:hAnsi="Times New Roman"/>
          <w:sz w:val="24"/>
          <w:szCs w:val="24"/>
        </w:rPr>
        <w:t>:</w:t>
      </w:r>
      <w:r>
        <w:rPr>
          <w:rFonts w:ascii="Times New Roman" w:eastAsia="Calibri" w:hAnsi="Times New Roman"/>
          <w:sz w:val="24"/>
          <w:szCs w:val="24"/>
        </w:rPr>
        <w:t xml:space="preserve"> </w:t>
      </w:r>
    </w:p>
    <w:p w:rsidR="00721F7D" w:rsidRPr="00721F7D" w:rsidRDefault="000E603F" w:rsidP="00721F7D">
      <w:pPr>
        <w:pStyle w:val="Odsekzoznamu"/>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podpora financovania nákupu poľnohospodárskej pôdy;</w:t>
      </w:r>
    </w:p>
    <w:p w:rsidR="009933A0" w:rsidRDefault="009933A0" w:rsidP="00C8344F">
      <w:pPr>
        <w:pStyle w:val="Odsekzoznamu"/>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podpora produkcie a odbytu tradičnej slovenskej bryndze s podielom ovčej hrudky najmenej vo výške 50 %</w:t>
      </w:r>
      <w:r w:rsidR="00B003B0">
        <w:rPr>
          <w:rFonts w:ascii="Times New Roman" w:hAnsi="Times New Roman" w:cs="Times New Roman"/>
          <w:sz w:val="24"/>
          <w:szCs w:val="24"/>
        </w:rPr>
        <w:t xml:space="preserve"> a ďalších výrobkov z ovčieho mlieka s chráneným označením pôvodu</w:t>
      </w:r>
      <w:r>
        <w:rPr>
          <w:rFonts w:ascii="Times New Roman" w:hAnsi="Times New Roman" w:cs="Times New Roman"/>
          <w:sz w:val="24"/>
          <w:szCs w:val="24"/>
        </w:rPr>
        <w:t>;</w:t>
      </w:r>
    </w:p>
    <w:p w:rsidR="00721F7D" w:rsidRPr="00721F7D" w:rsidRDefault="00721F7D" w:rsidP="00C8344F">
      <w:pPr>
        <w:pStyle w:val="Odsekzoznamu"/>
        <w:numPr>
          <w:ilvl w:val="0"/>
          <w:numId w:val="34"/>
        </w:numPr>
        <w:spacing w:after="0" w:line="240" w:lineRule="auto"/>
        <w:jc w:val="both"/>
        <w:rPr>
          <w:rFonts w:ascii="Times New Roman" w:hAnsi="Times New Roman" w:cs="Times New Roman"/>
          <w:sz w:val="24"/>
          <w:szCs w:val="24"/>
          <w:highlight w:val="yellow"/>
        </w:rPr>
      </w:pPr>
      <w:r w:rsidRPr="00721F7D">
        <w:rPr>
          <w:rFonts w:ascii="Times New Roman" w:hAnsi="Times New Roman" w:cs="Times New Roman"/>
          <w:sz w:val="24"/>
          <w:szCs w:val="24"/>
          <w:highlight w:val="yellow"/>
        </w:rPr>
        <w:t>podpora ozdravovacích programov  v chovoch hospodárskych zvierat;</w:t>
      </w:r>
    </w:p>
    <w:p w:rsidR="009933A0" w:rsidRPr="009933A0" w:rsidRDefault="009933A0" w:rsidP="00C8344F">
      <w:pPr>
        <w:pStyle w:val="Odsekzoznamu"/>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posilnenie domáceho rybného genofondu riadeným dovozom generačných rýb a podpora predaja produktov </w:t>
      </w:r>
      <w:proofErr w:type="spellStart"/>
      <w:r>
        <w:rPr>
          <w:rFonts w:ascii="Times New Roman" w:hAnsi="Times New Roman" w:cs="Times New Roman"/>
          <w:sz w:val="24"/>
          <w:szCs w:val="24"/>
        </w:rPr>
        <w:t>akvakultúry</w:t>
      </w:r>
      <w:proofErr w:type="spellEnd"/>
      <w:r>
        <w:rPr>
          <w:rFonts w:ascii="Times New Roman" w:hAnsi="Times New Roman" w:cs="Times New Roman"/>
          <w:sz w:val="24"/>
          <w:szCs w:val="24"/>
        </w:rPr>
        <w:t xml:space="preserve"> priamo na farme v živom a/alebo upravenom stave;</w:t>
      </w:r>
    </w:p>
    <w:p w:rsidR="009933A0" w:rsidRDefault="009933A0" w:rsidP="00C8344F">
      <w:pPr>
        <w:pStyle w:val="Odsekzoznamu"/>
        <w:numPr>
          <w:ilvl w:val="0"/>
          <w:numId w:val="34"/>
        </w:numPr>
        <w:spacing w:after="0" w:line="240" w:lineRule="auto"/>
        <w:jc w:val="both"/>
        <w:rPr>
          <w:rFonts w:ascii="Times New Roman" w:eastAsia="Calibri" w:hAnsi="Times New Roman"/>
          <w:sz w:val="24"/>
          <w:szCs w:val="24"/>
        </w:rPr>
      </w:pPr>
      <w:r>
        <w:rPr>
          <w:rFonts w:ascii="Times New Roman" w:eastAsia="Calibri" w:hAnsi="Times New Roman"/>
          <w:sz w:val="24"/>
          <w:szCs w:val="24"/>
        </w:rPr>
        <w:t>podpora</w:t>
      </w:r>
      <w:r w:rsidR="00455250" w:rsidRPr="009933A0">
        <w:rPr>
          <w:rFonts w:ascii="Times New Roman" w:eastAsia="Calibri" w:hAnsi="Times New Roman"/>
          <w:sz w:val="24"/>
          <w:szCs w:val="24"/>
        </w:rPr>
        <w:t xml:space="preserve"> usporiadania vlastníckych a užívacích práv k lesným </w:t>
      </w:r>
      <w:r>
        <w:rPr>
          <w:rFonts w:ascii="Times New Roman" w:eastAsia="Calibri" w:hAnsi="Times New Roman"/>
          <w:sz w:val="24"/>
          <w:szCs w:val="24"/>
        </w:rPr>
        <w:t>nehnuteľnostiam;</w:t>
      </w:r>
    </w:p>
    <w:p w:rsidR="00ED0162" w:rsidRDefault="00ED0162" w:rsidP="00ED0162">
      <w:pPr>
        <w:pStyle w:val="Odsekzoznamu"/>
        <w:numPr>
          <w:ilvl w:val="0"/>
          <w:numId w:val="34"/>
        </w:numPr>
        <w:spacing w:after="0" w:line="240" w:lineRule="auto"/>
        <w:jc w:val="both"/>
        <w:rPr>
          <w:rFonts w:ascii="Times New Roman" w:eastAsia="Calibri" w:hAnsi="Times New Roman"/>
          <w:sz w:val="24"/>
          <w:szCs w:val="24"/>
        </w:rPr>
      </w:pPr>
      <w:r>
        <w:rPr>
          <w:rFonts w:ascii="Times New Roman" w:eastAsia="Calibri" w:hAnsi="Times New Roman"/>
          <w:sz w:val="24"/>
          <w:szCs w:val="24"/>
        </w:rPr>
        <w:t>podpora ochrany a trvalého využívania genetických zdrojov lesných drevín;</w:t>
      </w:r>
    </w:p>
    <w:p w:rsidR="00491179" w:rsidRDefault="00ED0162" w:rsidP="00C8344F">
      <w:pPr>
        <w:pStyle w:val="Odsekzoznamu"/>
        <w:numPr>
          <w:ilvl w:val="0"/>
          <w:numId w:val="34"/>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podpora </w:t>
      </w:r>
      <w:r w:rsidRPr="0049143F">
        <w:rPr>
          <w:rFonts w:ascii="Times New Roman" w:eastAsia="Calibri" w:hAnsi="Times New Roman"/>
          <w:sz w:val="24"/>
          <w:szCs w:val="24"/>
        </w:rPr>
        <w:t>diverzifikácia činností obhospodarovateľov lesa smerom k nelesníckym aktivitám, ktoré podporia cestovný ruch v lesnícky významných miestach</w:t>
      </w:r>
      <w:r w:rsidRPr="009933A0">
        <w:rPr>
          <w:rFonts w:ascii="Times New Roman" w:eastAsia="Calibri" w:hAnsi="Times New Roman"/>
          <w:sz w:val="24"/>
          <w:szCs w:val="24"/>
        </w:rPr>
        <w:t xml:space="preserve"> </w:t>
      </w:r>
    </w:p>
    <w:p w:rsidR="009933A0" w:rsidRDefault="00A9154D" w:rsidP="00C8344F">
      <w:pPr>
        <w:pStyle w:val="Odsekzoznamu"/>
        <w:numPr>
          <w:ilvl w:val="0"/>
          <w:numId w:val="34"/>
        </w:numPr>
        <w:spacing w:after="0" w:line="240" w:lineRule="auto"/>
        <w:jc w:val="both"/>
        <w:rPr>
          <w:rFonts w:ascii="Times New Roman" w:eastAsia="Calibri" w:hAnsi="Times New Roman"/>
          <w:sz w:val="24"/>
          <w:szCs w:val="24"/>
        </w:rPr>
      </w:pPr>
      <w:r w:rsidRPr="009933A0">
        <w:rPr>
          <w:rFonts w:ascii="Times New Roman" w:eastAsia="Calibri" w:hAnsi="Times New Roman"/>
          <w:sz w:val="24"/>
          <w:szCs w:val="24"/>
        </w:rPr>
        <w:t>podpora práce s verejnosťou a lesnej pedagogiky</w:t>
      </w:r>
      <w:r w:rsidR="009933A0">
        <w:rPr>
          <w:rFonts w:ascii="Times New Roman" w:eastAsia="Calibri" w:hAnsi="Times New Roman"/>
          <w:sz w:val="24"/>
          <w:szCs w:val="24"/>
        </w:rPr>
        <w:t>;</w:t>
      </w:r>
      <w:r w:rsidRPr="009933A0">
        <w:rPr>
          <w:rFonts w:ascii="Times New Roman" w:eastAsia="Calibri" w:hAnsi="Times New Roman"/>
          <w:sz w:val="24"/>
          <w:szCs w:val="24"/>
        </w:rPr>
        <w:t xml:space="preserve"> a </w:t>
      </w:r>
    </w:p>
    <w:p w:rsidR="009933A0" w:rsidRDefault="00A9154D" w:rsidP="00C8344F">
      <w:pPr>
        <w:pStyle w:val="Odsekzoznamu"/>
        <w:numPr>
          <w:ilvl w:val="0"/>
          <w:numId w:val="34"/>
        </w:numPr>
        <w:spacing w:after="0" w:line="240" w:lineRule="auto"/>
        <w:jc w:val="both"/>
        <w:rPr>
          <w:rFonts w:ascii="Times New Roman" w:eastAsia="Calibri" w:hAnsi="Times New Roman"/>
          <w:sz w:val="24"/>
          <w:szCs w:val="24"/>
        </w:rPr>
      </w:pPr>
      <w:r w:rsidRPr="009933A0">
        <w:rPr>
          <w:rFonts w:ascii="Times New Roman" w:eastAsia="Calibri" w:hAnsi="Times New Roman"/>
          <w:sz w:val="24"/>
          <w:szCs w:val="24"/>
        </w:rPr>
        <w:t xml:space="preserve">podpora existujúcich kultúrnych a historických pamiatok spojených s lesným hospodárstvom a poľovníctvom. </w:t>
      </w:r>
    </w:p>
    <w:p w:rsidR="009933A0" w:rsidRDefault="009933A0" w:rsidP="009933A0">
      <w:pPr>
        <w:spacing w:after="0" w:line="240" w:lineRule="auto"/>
        <w:jc w:val="both"/>
        <w:rPr>
          <w:rFonts w:ascii="Times New Roman" w:eastAsia="Calibri" w:hAnsi="Times New Roman"/>
          <w:sz w:val="24"/>
          <w:szCs w:val="24"/>
        </w:rPr>
      </w:pPr>
    </w:p>
    <w:p w:rsidR="00A9154D" w:rsidRPr="009933A0" w:rsidRDefault="00A9154D" w:rsidP="009933A0">
      <w:pPr>
        <w:spacing w:after="0" w:line="240" w:lineRule="auto"/>
        <w:jc w:val="both"/>
        <w:rPr>
          <w:rFonts w:ascii="Times New Roman" w:eastAsia="Calibri" w:hAnsi="Times New Roman"/>
          <w:sz w:val="24"/>
          <w:szCs w:val="24"/>
        </w:rPr>
      </w:pPr>
      <w:r w:rsidRPr="009933A0">
        <w:rPr>
          <w:rFonts w:ascii="Times New Roman" w:eastAsia="Calibri" w:hAnsi="Times New Roman"/>
          <w:sz w:val="24"/>
          <w:szCs w:val="24"/>
        </w:rPr>
        <w:lastRenderedPageBreak/>
        <w:t>Kumulatívne predstavujú predpokladané náklady na financova</w:t>
      </w:r>
      <w:r w:rsidR="009933A0">
        <w:rPr>
          <w:rFonts w:ascii="Times New Roman" w:eastAsia="Calibri" w:hAnsi="Times New Roman"/>
          <w:sz w:val="24"/>
          <w:szCs w:val="24"/>
        </w:rPr>
        <w:t>nie týchto opatrení na roky 2013 – 2020</w:t>
      </w:r>
      <w:r w:rsidR="00ED0162">
        <w:rPr>
          <w:rFonts w:ascii="Times New Roman" w:eastAsia="Calibri" w:hAnsi="Times New Roman"/>
          <w:sz w:val="24"/>
          <w:szCs w:val="24"/>
        </w:rPr>
        <w:t xml:space="preserve"> objem </w:t>
      </w:r>
      <w:r w:rsidR="00102CF3">
        <w:rPr>
          <w:rFonts w:ascii="Times New Roman" w:eastAsia="Calibri" w:hAnsi="Times New Roman"/>
          <w:sz w:val="24"/>
          <w:szCs w:val="24"/>
        </w:rPr>
        <w:t>13 4</w:t>
      </w:r>
      <w:r w:rsidR="0069312E">
        <w:rPr>
          <w:rFonts w:ascii="Times New Roman" w:eastAsia="Calibri" w:hAnsi="Times New Roman"/>
          <w:sz w:val="24"/>
          <w:szCs w:val="24"/>
        </w:rPr>
        <w:t>2</w:t>
      </w:r>
      <w:r w:rsidRPr="009933A0">
        <w:rPr>
          <w:rFonts w:ascii="Times New Roman" w:eastAsia="Calibri" w:hAnsi="Times New Roman"/>
          <w:sz w:val="24"/>
          <w:szCs w:val="24"/>
        </w:rPr>
        <w:t xml:space="preserve">0 000 EUR, pričom ich realizácia predpokladá </w:t>
      </w:r>
      <w:r w:rsidR="0069312E">
        <w:rPr>
          <w:rFonts w:ascii="Times New Roman" w:eastAsia="Calibri" w:hAnsi="Times New Roman"/>
          <w:sz w:val="24"/>
          <w:szCs w:val="24"/>
        </w:rPr>
        <w:t>priame finančné vplyvy</w:t>
      </w:r>
      <w:r w:rsidRPr="009933A0">
        <w:rPr>
          <w:rFonts w:ascii="Times New Roman" w:eastAsia="Calibri" w:hAnsi="Times New Roman"/>
          <w:sz w:val="24"/>
          <w:szCs w:val="24"/>
        </w:rPr>
        <w:t xml:space="preserve"> na štátny rozpočet. </w:t>
      </w:r>
    </w:p>
    <w:p w:rsidR="00A9154D" w:rsidRDefault="00A9154D" w:rsidP="006E743A">
      <w:pPr>
        <w:spacing w:after="0" w:line="240" w:lineRule="auto"/>
        <w:jc w:val="both"/>
        <w:rPr>
          <w:rFonts w:ascii="Times New Roman" w:eastAsia="Calibri" w:hAnsi="Times New Roman"/>
          <w:sz w:val="24"/>
          <w:szCs w:val="24"/>
        </w:rPr>
      </w:pPr>
    </w:p>
    <w:p w:rsidR="00F124FA" w:rsidRPr="00F124FA" w:rsidRDefault="00F124FA" w:rsidP="00F124FA">
      <w:pPr>
        <w:pStyle w:val="Odsekzoznamu"/>
        <w:spacing w:after="0" w:line="240" w:lineRule="auto"/>
        <w:ind w:left="0"/>
        <w:jc w:val="both"/>
        <w:rPr>
          <w:rFonts w:ascii="Times New Roman" w:hAnsi="Times New Roman"/>
          <w:sz w:val="24"/>
          <w:szCs w:val="24"/>
        </w:rPr>
      </w:pPr>
      <w:r>
        <w:rPr>
          <w:rFonts w:ascii="Times New Roman" w:hAnsi="Times New Roman"/>
          <w:sz w:val="24"/>
          <w:szCs w:val="24"/>
        </w:rPr>
        <w:t xml:space="preserve">Podpora financovania nákupu poľnohospodárskej pôdy má za cieľ zvýhodniť </w:t>
      </w:r>
      <w:r w:rsidRPr="002615EF">
        <w:rPr>
          <w:rFonts w:ascii="Times New Roman" w:hAnsi="Times New Roman"/>
          <w:sz w:val="24"/>
          <w:szCs w:val="24"/>
        </w:rPr>
        <w:t>financovanie odkúpenia produkčne potenciálnej pôdy evidovanej v katastri nehnuteľností, ako orná pôda, chmeľnice, vinice, ovocné sady, záhrady a trvalé trávnaté porasty, a pod.</w:t>
      </w:r>
      <w:r>
        <w:rPr>
          <w:rFonts w:ascii="Times New Roman" w:hAnsi="Times New Roman"/>
          <w:sz w:val="24"/>
          <w:szCs w:val="24"/>
        </w:rPr>
        <w:t xml:space="preserve"> a </w:t>
      </w:r>
      <w:r w:rsidRPr="002615EF">
        <w:rPr>
          <w:rFonts w:ascii="Times New Roman" w:hAnsi="Times New Roman"/>
          <w:sz w:val="24"/>
          <w:szCs w:val="24"/>
        </w:rPr>
        <w:t>financovanie kúpy zastavaných pozemkov pod nehnuteľnosťami (</w:t>
      </w:r>
      <w:r>
        <w:rPr>
          <w:rFonts w:ascii="Times New Roman" w:hAnsi="Times New Roman"/>
          <w:sz w:val="24"/>
          <w:szCs w:val="24"/>
        </w:rPr>
        <w:t>napr. hospodárskymi</w:t>
      </w:r>
      <w:r w:rsidRPr="002615EF">
        <w:rPr>
          <w:rFonts w:ascii="Times New Roman" w:hAnsi="Times New Roman"/>
          <w:sz w:val="24"/>
          <w:szCs w:val="24"/>
        </w:rPr>
        <w:t xml:space="preserve"> budovami)</w:t>
      </w:r>
      <w:r>
        <w:rPr>
          <w:rFonts w:ascii="Times New Roman" w:hAnsi="Times New Roman"/>
          <w:sz w:val="24"/>
          <w:szCs w:val="24"/>
        </w:rPr>
        <w:t>. Podporí sa tak kúpa</w:t>
      </w:r>
      <w:r w:rsidRPr="002615EF">
        <w:rPr>
          <w:rFonts w:ascii="Times New Roman" w:hAnsi="Times New Roman"/>
          <w:sz w:val="24"/>
          <w:szCs w:val="24"/>
        </w:rPr>
        <w:t xml:space="preserve"> samostatných parciel</w:t>
      </w:r>
      <w:r>
        <w:rPr>
          <w:rFonts w:ascii="Times New Roman" w:hAnsi="Times New Roman"/>
          <w:sz w:val="24"/>
          <w:szCs w:val="24"/>
        </w:rPr>
        <w:t>, ako aj kúpa</w:t>
      </w:r>
      <w:r w:rsidRPr="002615EF">
        <w:rPr>
          <w:rFonts w:ascii="Times New Roman" w:hAnsi="Times New Roman"/>
          <w:sz w:val="24"/>
          <w:szCs w:val="24"/>
        </w:rPr>
        <w:t xml:space="preserve"> spoluvlastníckeho podielu k</w:t>
      </w:r>
      <w:r>
        <w:rPr>
          <w:rFonts w:ascii="Times New Roman" w:hAnsi="Times New Roman"/>
          <w:sz w:val="24"/>
          <w:szCs w:val="24"/>
        </w:rPr>
        <w:t> </w:t>
      </w:r>
      <w:r w:rsidRPr="002615EF">
        <w:rPr>
          <w:rFonts w:ascii="Times New Roman" w:hAnsi="Times New Roman"/>
          <w:sz w:val="24"/>
          <w:szCs w:val="24"/>
        </w:rPr>
        <w:t>pozemku</w:t>
      </w:r>
      <w:r>
        <w:rPr>
          <w:rFonts w:ascii="Times New Roman" w:hAnsi="Times New Roman"/>
          <w:sz w:val="24"/>
          <w:szCs w:val="24"/>
        </w:rPr>
        <w:t xml:space="preserve">, a to formou nového úverového produktu, pre poľnohospodárske subjekty </w:t>
      </w:r>
      <w:r w:rsidRPr="00F124FA">
        <w:rPr>
          <w:rFonts w:ascii="Times New Roman" w:hAnsi="Times New Roman"/>
          <w:sz w:val="24"/>
          <w:szCs w:val="24"/>
        </w:rPr>
        <w:t xml:space="preserve">zriadené v súlade s vnútroštátnym  právnym poriadkom Slovenskej republiky, </w:t>
      </w:r>
      <w:r>
        <w:rPr>
          <w:rFonts w:ascii="Times New Roman" w:hAnsi="Times New Roman"/>
          <w:sz w:val="24"/>
          <w:szCs w:val="24"/>
        </w:rPr>
        <w:t xml:space="preserve">podnikajúce súčasne v oblasti živočíšnej a rastlinnej výroby alebo </w:t>
      </w:r>
      <w:r w:rsidRPr="00F124FA">
        <w:rPr>
          <w:rFonts w:ascii="Times New Roman" w:hAnsi="Times New Roman"/>
          <w:sz w:val="24"/>
          <w:szCs w:val="24"/>
        </w:rPr>
        <w:t>podnikajúce len v oblasti rastlinnej výroby, pričom platí, že špecializovaná rastlinná výroba sa musí vykonávať minimálne na výmere 10 % z celkovej výmery, na ktorej poľnohospodársky subjekt vykonáva svoj predmet činnosti.</w:t>
      </w:r>
      <w:r>
        <w:rPr>
          <w:rFonts w:ascii="Times New Roman" w:hAnsi="Times New Roman"/>
          <w:sz w:val="24"/>
          <w:szCs w:val="24"/>
        </w:rPr>
        <w:t xml:space="preserve"> Týmto úverovým produktom sa podporí nákup 20 – 30 000 ha poľnohospodárskej pôdy, a to bez dopadu na štátny rozpočet.</w:t>
      </w:r>
    </w:p>
    <w:p w:rsidR="000E603F" w:rsidRDefault="000E603F" w:rsidP="0049143F">
      <w:pPr>
        <w:spacing w:after="0" w:line="240" w:lineRule="auto"/>
        <w:jc w:val="both"/>
        <w:rPr>
          <w:rFonts w:ascii="Times New Roman" w:hAnsi="Times New Roman" w:cs="Times New Roman"/>
          <w:sz w:val="24"/>
          <w:szCs w:val="24"/>
        </w:rPr>
      </w:pPr>
    </w:p>
    <w:p w:rsidR="0049143F" w:rsidRDefault="0049143F" w:rsidP="00491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Podporou produkcie a odbytu tradičnej slovenskej bryndze s podielom ovčej hrudky najmenej vo výške 50 % </w:t>
      </w:r>
      <w:r w:rsidR="00B003B0">
        <w:rPr>
          <w:rFonts w:ascii="Times New Roman" w:hAnsi="Times New Roman" w:cs="Times New Roman"/>
          <w:sz w:val="24"/>
          <w:szCs w:val="24"/>
        </w:rPr>
        <w:t xml:space="preserve">a ďalších výrobkov z ovčieho mlieka s chráneným označením pôvodu </w:t>
      </w:r>
      <w:r>
        <w:rPr>
          <w:rFonts w:ascii="Times New Roman" w:hAnsi="Times New Roman" w:cs="Times New Roman"/>
          <w:sz w:val="24"/>
          <w:szCs w:val="24"/>
        </w:rPr>
        <w:t>sa zabezpečí zvýšenie pridanej hodnoty v špecializovanej živočíšnej výrobe na Slovensku a zachráni sa dnes už</w:t>
      </w:r>
      <w:r w:rsidR="00B003B0">
        <w:rPr>
          <w:rFonts w:ascii="Times New Roman" w:hAnsi="Times New Roman" w:cs="Times New Roman"/>
          <w:sz w:val="24"/>
          <w:szCs w:val="24"/>
        </w:rPr>
        <w:t xml:space="preserve"> stagnujúca produkcia tradičných slovenských výrobkov</w:t>
      </w:r>
      <w:r>
        <w:rPr>
          <w:rFonts w:ascii="Times New Roman" w:hAnsi="Times New Roman" w:cs="Times New Roman"/>
          <w:sz w:val="24"/>
          <w:szCs w:val="24"/>
        </w:rPr>
        <w:t>. T</w:t>
      </w:r>
      <w:r w:rsidR="00B003B0">
        <w:rPr>
          <w:rFonts w:ascii="Times New Roman" w:hAnsi="Times New Roman" w:cs="Times New Roman"/>
          <w:sz w:val="24"/>
          <w:szCs w:val="24"/>
        </w:rPr>
        <w:t>radičné slovenské</w:t>
      </w:r>
      <w:r>
        <w:rPr>
          <w:rFonts w:ascii="Times New Roman" w:hAnsi="Times New Roman" w:cs="Times New Roman"/>
          <w:sz w:val="24"/>
          <w:szCs w:val="24"/>
        </w:rPr>
        <w:t xml:space="preserve"> </w:t>
      </w:r>
      <w:r w:rsidR="00B003B0">
        <w:rPr>
          <w:rFonts w:ascii="Times New Roman" w:hAnsi="Times New Roman" w:cs="Times New Roman"/>
          <w:sz w:val="24"/>
          <w:szCs w:val="24"/>
        </w:rPr>
        <w:t>výrobky z ovčieho mlieka</w:t>
      </w:r>
      <w:r>
        <w:rPr>
          <w:rFonts w:ascii="Times New Roman" w:hAnsi="Times New Roman" w:cs="Times New Roman"/>
          <w:sz w:val="24"/>
          <w:szCs w:val="24"/>
        </w:rPr>
        <w:t xml:space="preserve"> si svoj dopyt nachádza hlavne vo zvýšenom príleve zahraničných i domácich turistov, teda samotná podpora jej produkcie je nepriamo naviazaná na tempo rozvoja cestovného ruchu na Slovensku. Vzhľadom k tomu, že ceny ovčieho mlieka strednodobo stúpajú a dopyt je za rovnaké obdobie stabilný nie je dôvod obávať sa zániku ovčiarstva na Slovensku z dôvodu stagnujúceho dopytu po </w:t>
      </w:r>
      <w:r w:rsidR="00B003B0">
        <w:rPr>
          <w:rFonts w:ascii="Times New Roman" w:hAnsi="Times New Roman" w:cs="Times New Roman"/>
          <w:sz w:val="24"/>
          <w:szCs w:val="24"/>
        </w:rPr>
        <w:t>tradičných slovenských výrobkoch</w:t>
      </w:r>
      <w:r w:rsidR="00B003B0" w:rsidRPr="00B003B0">
        <w:rPr>
          <w:rFonts w:ascii="Times New Roman" w:hAnsi="Times New Roman" w:cs="Times New Roman"/>
          <w:sz w:val="24"/>
          <w:szCs w:val="24"/>
        </w:rPr>
        <w:t xml:space="preserve"> z ovčieho mlieka</w:t>
      </w:r>
      <w:r>
        <w:rPr>
          <w:rFonts w:ascii="Times New Roman" w:hAnsi="Times New Roman" w:cs="Times New Roman"/>
          <w:sz w:val="24"/>
          <w:szCs w:val="24"/>
        </w:rPr>
        <w:t xml:space="preserve">. Z tohto dôvodu nie je nutné prezentovať produkčne orientované opatrenia na </w:t>
      </w:r>
      <w:r w:rsidR="00B003B0">
        <w:rPr>
          <w:rFonts w:ascii="Times New Roman" w:hAnsi="Times New Roman" w:cs="Times New Roman"/>
          <w:sz w:val="24"/>
          <w:szCs w:val="24"/>
        </w:rPr>
        <w:t>ich</w:t>
      </w:r>
      <w:r>
        <w:rPr>
          <w:rFonts w:ascii="Times New Roman" w:hAnsi="Times New Roman" w:cs="Times New Roman"/>
          <w:sz w:val="24"/>
          <w:szCs w:val="24"/>
        </w:rPr>
        <w:t xml:space="preserve"> podporu. Je potrebné sústrediť sa najmä na podporu odbytu </w:t>
      </w:r>
      <w:r w:rsidR="00B003B0">
        <w:rPr>
          <w:rFonts w:ascii="Times New Roman" w:hAnsi="Times New Roman" w:cs="Times New Roman"/>
          <w:sz w:val="24"/>
          <w:szCs w:val="24"/>
        </w:rPr>
        <w:t>tradičných slovenských výrobkoch</w:t>
      </w:r>
      <w:r w:rsidR="00B003B0" w:rsidRPr="00B003B0">
        <w:rPr>
          <w:rFonts w:ascii="Times New Roman" w:hAnsi="Times New Roman" w:cs="Times New Roman"/>
          <w:sz w:val="24"/>
          <w:szCs w:val="24"/>
        </w:rPr>
        <w:t xml:space="preserve"> z ovčieho mlieka</w:t>
      </w:r>
      <w:r>
        <w:rPr>
          <w:rFonts w:ascii="Times New Roman" w:hAnsi="Times New Roman" w:cs="Times New Roman"/>
          <w:sz w:val="24"/>
          <w:szCs w:val="24"/>
        </w:rPr>
        <w:t xml:space="preserve">, ktorá by sa mala orientovať na </w:t>
      </w:r>
      <w:r w:rsidR="00B003B0">
        <w:rPr>
          <w:rFonts w:ascii="Times New Roman" w:hAnsi="Times New Roman" w:cs="Times New Roman"/>
          <w:sz w:val="24"/>
          <w:szCs w:val="24"/>
        </w:rPr>
        <w:t>ich</w:t>
      </w:r>
      <w:r>
        <w:rPr>
          <w:rFonts w:ascii="Times New Roman" w:hAnsi="Times New Roman" w:cs="Times New Roman"/>
          <w:sz w:val="24"/>
          <w:szCs w:val="24"/>
        </w:rPr>
        <w:t xml:space="preserve"> dôslednú a cielenú propagáciu doma i v zahraničí. Z hľadiska vyššie uvedeného, si naplnenia tohto opatrenia vyžaduje financovanie, v rokoch 2014 – 2020</w:t>
      </w:r>
      <w:r w:rsidR="00F124FA">
        <w:rPr>
          <w:rFonts w:ascii="Times New Roman" w:hAnsi="Times New Roman" w:cs="Times New Roman"/>
          <w:sz w:val="24"/>
          <w:szCs w:val="24"/>
        </w:rPr>
        <w:t>, kumulatívne vo výške 7</w:t>
      </w:r>
      <w:r>
        <w:rPr>
          <w:rFonts w:ascii="Times New Roman" w:hAnsi="Times New Roman" w:cs="Times New Roman"/>
          <w:sz w:val="24"/>
          <w:szCs w:val="24"/>
        </w:rPr>
        <w:t xml:space="preserve">00 000 EUR. Týmto sa zabezpečí dôsledná a cielená propagácia </w:t>
      </w:r>
      <w:r w:rsidR="00B003B0">
        <w:rPr>
          <w:rFonts w:ascii="Times New Roman" w:hAnsi="Times New Roman" w:cs="Times New Roman"/>
          <w:sz w:val="24"/>
          <w:szCs w:val="24"/>
        </w:rPr>
        <w:t>tradičných slovenských výrobkoch</w:t>
      </w:r>
      <w:r w:rsidR="00B003B0" w:rsidRPr="00B003B0">
        <w:rPr>
          <w:rFonts w:ascii="Times New Roman" w:hAnsi="Times New Roman" w:cs="Times New Roman"/>
          <w:sz w:val="24"/>
          <w:szCs w:val="24"/>
        </w:rPr>
        <w:t xml:space="preserve"> z ovčieho mlieka</w:t>
      </w:r>
      <w:r w:rsidR="00B003B0">
        <w:rPr>
          <w:rFonts w:ascii="Times New Roman" w:hAnsi="Times New Roman" w:cs="Times New Roman"/>
          <w:sz w:val="24"/>
          <w:szCs w:val="24"/>
        </w:rPr>
        <w:t xml:space="preserve"> </w:t>
      </w:r>
      <w:r w:rsidR="000E603F">
        <w:rPr>
          <w:rFonts w:ascii="Times New Roman" w:hAnsi="Times New Roman" w:cs="Times New Roman"/>
          <w:sz w:val="24"/>
          <w:szCs w:val="24"/>
        </w:rPr>
        <w:t>doma i v zahraničí.</w:t>
      </w:r>
    </w:p>
    <w:p w:rsidR="001C7485" w:rsidRDefault="001C7485" w:rsidP="0049143F">
      <w:pPr>
        <w:spacing w:after="0" w:line="240" w:lineRule="auto"/>
        <w:jc w:val="both"/>
        <w:rPr>
          <w:rFonts w:ascii="Times New Roman" w:hAnsi="Times New Roman" w:cs="Times New Roman"/>
          <w:sz w:val="24"/>
          <w:szCs w:val="24"/>
        </w:rPr>
      </w:pPr>
    </w:p>
    <w:p w:rsidR="002A0C96" w:rsidRDefault="002A0C96" w:rsidP="0049143F">
      <w:pPr>
        <w:spacing w:after="0" w:line="240" w:lineRule="auto"/>
        <w:jc w:val="both"/>
        <w:rPr>
          <w:rFonts w:ascii="Times New Roman" w:hAnsi="Times New Roman" w:cs="Times New Roman"/>
          <w:sz w:val="24"/>
          <w:szCs w:val="24"/>
        </w:rPr>
      </w:pPr>
      <w:r w:rsidRPr="002A0C96">
        <w:rPr>
          <w:rFonts w:ascii="Times New Roman" w:hAnsi="Times New Roman" w:cs="Times New Roman"/>
          <w:sz w:val="24"/>
          <w:szCs w:val="24"/>
          <w:highlight w:val="yellow"/>
        </w:rPr>
        <w:t>Ozdravením chovov sa zlepší zdravotný stav u zvierat, znížia sa straty na produkcii, odbúrajú sa obchodné prekážky v domácom ako aj zahraničnom obchode. Na Slovensku majú ozdravovacie programy dlhoročnú tradíciu. Práve celoplošným vyu</w:t>
      </w:r>
      <w:r w:rsidR="00102CF3">
        <w:rPr>
          <w:rFonts w:ascii="Times New Roman" w:hAnsi="Times New Roman" w:cs="Times New Roman"/>
          <w:sz w:val="24"/>
          <w:szCs w:val="24"/>
          <w:highlight w:val="yellow"/>
        </w:rPr>
        <w:t>žívaním ozdravovacích programov</w:t>
      </w:r>
      <w:r w:rsidRPr="002A0C96">
        <w:rPr>
          <w:rFonts w:ascii="Times New Roman" w:hAnsi="Times New Roman" w:cs="Times New Roman"/>
          <w:sz w:val="24"/>
          <w:szCs w:val="24"/>
          <w:highlight w:val="yellow"/>
        </w:rPr>
        <w:t xml:space="preserve"> spôsobom je možné docieliť stabilizáciu nákazovej situácie na Slovensku, zároveň sa predchádza zvýšeným výdavkom zo stranu poľnohospodárskych subjektov, ako aj štátnych prostriedkov pri následnej likvidácii chorôb.</w:t>
      </w:r>
      <w:r w:rsidR="00102CF3">
        <w:rPr>
          <w:rFonts w:ascii="Times New Roman" w:hAnsi="Times New Roman" w:cs="Times New Roman"/>
          <w:sz w:val="24"/>
          <w:szCs w:val="24"/>
        </w:rPr>
        <w:t xml:space="preserve"> Financovanie tohto opatrenia predpokladáme kumulatívne na úrovni 500 000 EUR.</w:t>
      </w:r>
    </w:p>
    <w:p w:rsidR="0049143F" w:rsidRDefault="0049143F" w:rsidP="0049143F">
      <w:pPr>
        <w:spacing w:after="0" w:line="240" w:lineRule="auto"/>
        <w:jc w:val="both"/>
        <w:rPr>
          <w:rFonts w:ascii="Times New Roman" w:hAnsi="Times New Roman" w:cs="Times New Roman"/>
          <w:sz w:val="24"/>
          <w:szCs w:val="24"/>
        </w:rPr>
      </w:pPr>
    </w:p>
    <w:p w:rsidR="0049143F" w:rsidRDefault="0049143F" w:rsidP="00491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Posilnením domáceho rybného genofondu riadeným dovozom generačných rýb a podporou predaja produktov </w:t>
      </w:r>
      <w:proofErr w:type="spellStart"/>
      <w:r>
        <w:rPr>
          <w:rFonts w:ascii="Times New Roman" w:hAnsi="Times New Roman" w:cs="Times New Roman"/>
          <w:sz w:val="24"/>
          <w:szCs w:val="24"/>
        </w:rPr>
        <w:t>akvakultúry</w:t>
      </w:r>
      <w:proofErr w:type="spellEnd"/>
      <w:r>
        <w:rPr>
          <w:rFonts w:ascii="Times New Roman" w:hAnsi="Times New Roman" w:cs="Times New Roman"/>
          <w:sz w:val="24"/>
          <w:szCs w:val="24"/>
        </w:rPr>
        <w:t xml:space="preserve"> priamo na farme v živom a/alebo upravenom stave zabezpečíme dostatočnú ponuku produktov </w:t>
      </w:r>
      <w:proofErr w:type="spellStart"/>
      <w:r>
        <w:rPr>
          <w:rFonts w:ascii="Times New Roman" w:hAnsi="Times New Roman" w:cs="Times New Roman"/>
          <w:sz w:val="24"/>
          <w:szCs w:val="24"/>
        </w:rPr>
        <w:t>akvakultúry</w:t>
      </w:r>
      <w:proofErr w:type="spellEnd"/>
      <w:r>
        <w:rPr>
          <w:rFonts w:ascii="Times New Roman" w:hAnsi="Times New Roman" w:cs="Times New Roman"/>
          <w:sz w:val="24"/>
          <w:szCs w:val="24"/>
        </w:rPr>
        <w:t xml:space="preserve"> a tým naplníme spotrebiteľské preferencie v tomto produkte špecializovanej živočíšnej výroby. Vzhľadom na to, že toto opatrenie nie je možné priamo prepojiť na merateľný ukazovateľ výstupu, nie je možné zodpovedne kvantifikovať jeho hlavné produkčné ukazovatele a má takto len nepriamy vplyv na zamestnanosť. Na realizáciu týchto činností predpokladáme kumulatívny objem </w:t>
      </w:r>
      <w:r>
        <w:rPr>
          <w:rFonts w:ascii="Times New Roman" w:hAnsi="Times New Roman" w:cs="Times New Roman"/>
          <w:sz w:val="24"/>
          <w:szCs w:val="24"/>
        </w:rPr>
        <w:lastRenderedPageBreak/>
        <w:t>financovania na roky 2013 – 2020</w:t>
      </w:r>
      <w:r w:rsidR="000E603F">
        <w:rPr>
          <w:rFonts w:ascii="Times New Roman" w:hAnsi="Times New Roman" w:cs="Times New Roman"/>
          <w:sz w:val="24"/>
          <w:szCs w:val="24"/>
        </w:rPr>
        <w:t xml:space="preserve"> vo výške 1 4</w:t>
      </w:r>
      <w:r>
        <w:rPr>
          <w:rFonts w:ascii="Times New Roman" w:hAnsi="Times New Roman" w:cs="Times New Roman"/>
          <w:sz w:val="24"/>
          <w:szCs w:val="24"/>
        </w:rPr>
        <w:t>00 000 EUR, t.j. 200 000 EUR ročne, pričom nepredpokladáme negatívny vplyv na štátny rozpočet.</w:t>
      </w:r>
    </w:p>
    <w:p w:rsidR="000E603F" w:rsidRDefault="000E603F" w:rsidP="0049143F">
      <w:pPr>
        <w:spacing w:after="0" w:line="240" w:lineRule="auto"/>
        <w:jc w:val="both"/>
        <w:rPr>
          <w:rFonts w:ascii="Times New Roman" w:hAnsi="Times New Roman" w:cs="Times New Roman"/>
          <w:sz w:val="24"/>
          <w:szCs w:val="24"/>
        </w:rPr>
      </w:pPr>
    </w:p>
    <w:p w:rsidR="00A9154D" w:rsidRDefault="00D960DE" w:rsidP="006E743A">
      <w:pPr>
        <w:spacing w:after="0" w:line="240" w:lineRule="auto"/>
        <w:jc w:val="both"/>
        <w:rPr>
          <w:rFonts w:ascii="Times New Roman" w:hAnsi="Times New Roman" w:cs="Times New Roman"/>
          <w:sz w:val="24"/>
          <w:szCs w:val="24"/>
        </w:rPr>
      </w:pPr>
      <w:r>
        <w:rPr>
          <w:rFonts w:ascii="Times New Roman" w:eastAsia="Calibri" w:hAnsi="Times New Roman"/>
          <w:sz w:val="24"/>
          <w:szCs w:val="24"/>
        </w:rPr>
        <w:t xml:space="preserve">Urýchlené usporiadanie vlastníckych a užívacích práv k lesným pozemkom vo vlastníctve neštátnych subjektov a súčasne v obhospodarovaní štátnych organizácií lesného hospodárstva je potrebné nakoľko obhospodarovaním tohto lesného majetku vznikajú štátnym organizáciám lesného hospodárstva vysoké vynútené náklady, spojené najmä s výkonom nevyhnutných činností z hľadiska trvalo udržateľného obhospodarovania lesných pozemkov a vysokou vynútenou daňovou povinnosťou. </w:t>
      </w:r>
      <w:r w:rsidR="00F124FA">
        <w:rPr>
          <w:rFonts w:ascii="Times New Roman" w:hAnsi="Times New Roman" w:cs="Times New Roman"/>
          <w:sz w:val="24"/>
          <w:szCs w:val="24"/>
        </w:rPr>
        <w:t>Financovanie tohto opatrenia v rokoch 2013 – 2020  predpokladáme kumulatívne vo výške 2 500 000 EUR.</w:t>
      </w:r>
    </w:p>
    <w:p w:rsidR="00ED0162" w:rsidRDefault="00ED0162" w:rsidP="006E743A">
      <w:pPr>
        <w:spacing w:after="0" w:line="240" w:lineRule="auto"/>
        <w:jc w:val="both"/>
        <w:rPr>
          <w:rFonts w:ascii="Times New Roman" w:eastAsia="Calibri" w:hAnsi="Times New Roman"/>
          <w:sz w:val="24"/>
          <w:szCs w:val="24"/>
        </w:rPr>
      </w:pPr>
    </w:p>
    <w:p w:rsidR="00ED0162" w:rsidRDefault="00ED0162" w:rsidP="00ED01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Včasné zabezpečenie dostatku genetických zdrojov lesných drevín zachovaním a vhodným rozšírením existujúceho genofondu má priamy vplyv na produkciu dreva ako suroviny pre drevospracujúci priemysel. Vzhľadom na to, že toto opatrenie nie je možné priamo prepojiť na merateľný ukazovateľ výstupu, nie je možné zodpovedne kvantifikovať jeho hlavné produkčné ukazovatele a má takto len nepriamy vplyv na zamestnanosť. Kumulatívne si jeho naplnenie vyžaduje v rokoch 2014 – 2016 financovanie na úrovni cca 400 000 EUR, t.j. 133 333 EUR ročne, pričom nepredpokladáme negatívny vplyv na štátny rozpočet.</w:t>
      </w:r>
    </w:p>
    <w:p w:rsidR="00ED0162" w:rsidRDefault="00ED0162" w:rsidP="00ED0162">
      <w:pPr>
        <w:spacing w:after="0" w:line="240" w:lineRule="auto"/>
        <w:jc w:val="both"/>
        <w:rPr>
          <w:rFonts w:ascii="Times New Roman" w:hAnsi="Times New Roman" w:cs="Times New Roman"/>
          <w:sz w:val="24"/>
          <w:szCs w:val="24"/>
        </w:rPr>
      </w:pPr>
    </w:p>
    <w:p w:rsidR="00D960DE" w:rsidRDefault="00ED0162" w:rsidP="006E7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Podporou </w:t>
      </w:r>
      <w:r>
        <w:rPr>
          <w:rFonts w:ascii="Times New Roman" w:eastAsia="Calibri" w:hAnsi="Times New Roman"/>
          <w:sz w:val="24"/>
          <w:szCs w:val="24"/>
        </w:rPr>
        <w:t xml:space="preserve">diverzifikácie činností obhospodarovateľov lesa smerom k nelesníckym aktivitám, ktoré podporia cestovný ruch v lesnícky významných miestach sa zabezpečí obnova 30 nosných objektov lesníckej turistiky, pričom sa bude klásť dôraz hlavne na rekonštrukciu existujúcich lesníckych stavieb, ktorých opodstatnenosť v čase pominula. </w:t>
      </w:r>
      <w:r>
        <w:rPr>
          <w:rFonts w:ascii="Times New Roman" w:hAnsi="Times New Roman" w:cs="Times New Roman"/>
          <w:sz w:val="24"/>
          <w:szCs w:val="24"/>
        </w:rPr>
        <w:t>Vzhľadom na to, že toto opatrenie nie je možné priamo prepojiť na merateľný ukazovateľ výstupu, a to z dôvodu jeho projektového charakteru nie je možné zodpovedne kvantifikovať jeho hlavné produkčné ukazovatele a má takto len nepriamy vplyv na zamestnanosť. Kumulatívne si jeho naplnenie vyžaduje v rokoch 2014 – 2020 financovanie na úrovni cca 7 000 </w:t>
      </w:r>
      <w:proofErr w:type="spellStart"/>
      <w:r>
        <w:rPr>
          <w:rFonts w:ascii="Times New Roman" w:hAnsi="Times New Roman" w:cs="Times New Roman"/>
          <w:sz w:val="24"/>
          <w:szCs w:val="24"/>
        </w:rPr>
        <w:t>000</w:t>
      </w:r>
      <w:proofErr w:type="spellEnd"/>
      <w:r>
        <w:rPr>
          <w:rFonts w:ascii="Times New Roman" w:hAnsi="Times New Roman" w:cs="Times New Roman"/>
          <w:sz w:val="24"/>
          <w:szCs w:val="24"/>
        </w:rPr>
        <w:t xml:space="preserve"> EUR.</w:t>
      </w:r>
    </w:p>
    <w:p w:rsidR="00ED0162" w:rsidRDefault="00ED0162" w:rsidP="006E743A">
      <w:pPr>
        <w:spacing w:after="0" w:line="240" w:lineRule="auto"/>
        <w:jc w:val="both"/>
        <w:rPr>
          <w:rFonts w:ascii="Times New Roman" w:eastAsia="Calibri" w:hAnsi="Times New Roman"/>
          <w:sz w:val="24"/>
          <w:szCs w:val="24"/>
        </w:rPr>
      </w:pPr>
    </w:p>
    <w:p w:rsidR="00D960DE" w:rsidRDefault="00D960DE" w:rsidP="006E743A">
      <w:pPr>
        <w:spacing w:after="0" w:line="240" w:lineRule="auto"/>
        <w:jc w:val="both"/>
        <w:rPr>
          <w:rFonts w:ascii="Times New Roman" w:eastAsia="Calibri" w:hAnsi="Times New Roman"/>
          <w:sz w:val="24"/>
          <w:szCs w:val="24"/>
        </w:rPr>
      </w:pPr>
      <w:r>
        <w:rPr>
          <w:rFonts w:ascii="Times New Roman" w:eastAsia="Calibri" w:hAnsi="Times New Roman"/>
          <w:sz w:val="24"/>
          <w:szCs w:val="24"/>
        </w:rPr>
        <w:t>Podporou práce s verejnosťou a lesnej pedagogiky sa zabezpečia predovšetkým činnosti v oblasti zabezpečenia tréningových programov, zameraných na podporu mediálnej komunikácie zamestnancov lesníckych organizácií s verejnosťou, príprava odborných textových podkladov, propagačná a osvetová činnosť a spolupráca s organizáciami v sústave škôl a školských zariadení.</w:t>
      </w:r>
      <w:r w:rsidR="00F124FA">
        <w:rPr>
          <w:rFonts w:ascii="Times New Roman" w:eastAsia="Calibri" w:hAnsi="Times New Roman"/>
          <w:sz w:val="24"/>
          <w:szCs w:val="24"/>
        </w:rPr>
        <w:t xml:space="preserve"> </w:t>
      </w:r>
      <w:r w:rsidR="00F124FA">
        <w:rPr>
          <w:rFonts w:ascii="Times New Roman" w:hAnsi="Times New Roman" w:cs="Times New Roman"/>
          <w:sz w:val="24"/>
          <w:szCs w:val="24"/>
        </w:rPr>
        <w:t>Financovanie tohto opatrenia v rokoch 2013 – 2020  predpokladáme kumulatívne vo výške 420 000 EUR.</w:t>
      </w:r>
    </w:p>
    <w:p w:rsidR="00D960DE" w:rsidRDefault="00D960DE" w:rsidP="006E743A">
      <w:pPr>
        <w:spacing w:after="0" w:line="240" w:lineRule="auto"/>
        <w:jc w:val="both"/>
        <w:rPr>
          <w:rFonts w:ascii="Times New Roman" w:eastAsia="Calibri" w:hAnsi="Times New Roman"/>
          <w:sz w:val="24"/>
          <w:szCs w:val="24"/>
        </w:rPr>
      </w:pPr>
    </w:p>
    <w:p w:rsidR="00D960DE" w:rsidRDefault="00D960DE" w:rsidP="006E743A">
      <w:pPr>
        <w:spacing w:after="0" w:line="240" w:lineRule="auto"/>
        <w:jc w:val="both"/>
        <w:rPr>
          <w:rFonts w:ascii="Times New Roman" w:eastAsia="Calibri" w:hAnsi="Times New Roman"/>
          <w:sz w:val="24"/>
          <w:szCs w:val="24"/>
        </w:rPr>
      </w:pPr>
      <w:r>
        <w:rPr>
          <w:rFonts w:ascii="Times New Roman" w:eastAsia="Calibri" w:hAnsi="Times New Roman"/>
          <w:sz w:val="24"/>
          <w:szCs w:val="24"/>
        </w:rPr>
        <w:t>Podporou existujúcich kultúrnych a historických pamiatok spojených s lesným hospodárstvom a poľovníctvom sa zabezpečia predovšetkým opravy múzejných exponátov a nákup nových múzejných exponátov a zabezpečí sa vybavenie dielní a opravy technických pamiatok.</w:t>
      </w:r>
      <w:r w:rsidR="00F124FA">
        <w:rPr>
          <w:rFonts w:ascii="Times New Roman" w:eastAsia="Calibri" w:hAnsi="Times New Roman"/>
          <w:sz w:val="24"/>
          <w:szCs w:val="24"/>
        </w:rPr>
        <w:t xml:space="preserve"> </w:t>
      </w:r>
      <w:r w:rsidR="00F124FA">
        <w:rPr>
          <w:rFonts w:ascii="Times New Roman" w:hAnsi="Times New Roman" w:cs="Times New Roman"/>
          <w:sz w:val="24"/>
          <w:szCs w:val="24"/>
        </w:rPr>
        <w:t>Financovanie tohto opatrenia v rokoch 2013 – 2020  predpokl</w:t>
      </w:r>
      <w:r w:rsidR="00B51797">
        <w:rPr>
          <w:rFonts w:ascii="Times New Roman" w:hAnsi="Times New Roman" w:cs="Times New Roman"/>
          <w:sz w:val="24"/>
          <w:szCs w:val="24"/>
        </w:rPr>
        <w:t>adáme kumulatívne vo výške  5</w:t>
      </w:r>
      <w:r w:rsidR="00F124FA">
        <w:rPr>
          <w:rFonts w:ascii="Times New Roman" w:hAnsi="Times New Roman" w:cs="Times New Roman"/>
          <w:sz w:val="24"/>
          <w:szCs w:val="24"/>
        </w:rPr>
        <w:t>00 000 EUR.</w:t>
      </w:r>
    </w:p>
    <w:p w:rsidR="00B003B0" w:rsidRDefault="00B003B0" w:rsidP="006E743A">
      <w:pPr>
        <w:spacing w:after="0" w:line="240" w:lineRule="auto"/>
        <w:jc w:val="both"/>
        <w:rPr>
          <w:rFonts w:ascii="Times New Roman" w:eastAsia="Calibri" w:hAnsi="Times New Roman"/>
          <w:sz w:val="24"/>
          <w:szCs w:val="24"/>
        </w:rPr>
      </w:pPr>
    </w:p>
    <w:p w:rsidR="00102CF3" w:rsidRDefault="00102CF3" w:rsidP="006E743A">
      <w:pPr>
        <w:spacing w:after="0" w:line="240" w:lineRule="auto"/>
        <w:jc w:val="both"/>
        <w:rPr>
          <w:rFonts w:ascii="Times New Roman" w:eastAsia="Calibri" w:hAnsi="Times New Roman"/>
          <w:sz w:val="24"/>
          <w:szCs w:val="24"/>
        </w:rPr>
      </w:pPr>
    </w:p>
    <w:p w:rsidR="00DC6C3C" w:rsidRDefault="00DC6C3C" w:rsidP="000D68DC">
      <w:pPr>
        <w:pStyle w:val="Nadpis2"/>
        <w:numPr>
          <w:ilvl w:val="1"/>
          <w:numId w:val="8"/>
        </w:numPr>
        <w:rPr>
          <w:rFonts w:eastAsia="Calibri"/>
          <w:szCs w:val="24"/>
        </w:rPr>
      </w:pPr>
      <w:bookmarkStart w:id="81" w:name="_Toc359550701"/>
      <w:r>
        <w:rPr>
          <w:rFonts w:eastAsia="Calibri"/>
          <w:szCs w:val="24"/>
        </w:rPr>
        <w:t>Identifikácia vplyvov navrhovaných opatrení a prioritných úloh na štátny rozpočet</w:t>
      </w:r>
      <w:bookmarkEnd w:id="81"/>
    </w:p>
    <w:p w:rsidR="00DC6C3C" w:rsidRPr="00DC6C3C" w:rsidRDefault="00DC6C3C" w:rsidP="00DC6C3C">
      <w:pPr>
        <w:spacing w:after="0" w:line="240" w:lineRule="auto"/>
        <w:jc w:val="both"/>
        <w:rPr>
          <w:rFonts w:ascii="Times New Roman" w:eastAsia="Calibri" w:hAnsi="Times New Roman"/>
          <w:sz w:val="24"/>
          <w:szCs w:val="24"/>
        </w:rPr>
      </w:pPr>
    </w:p>
    <w:p w:rsidR="00F140CA" w:rsidRDefault="00F140CA" w:rsidP="00DC6C3C">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Navrhované opatrenia a prioritné úlohy sú navrhnuté s cieľom čo najefektívnejšie prispieť napĺňaniu strategických zámerov a cieľov spoločnej poľnohospodárskej politiky a programu rozvoja vidieka na budúce programové obdobie 2014 – 2020. Súčasne plne reflektujú priority vlády Slovenskej republiky definované v rámci jej programového vyhlásenia na roky        2012 – 2016. Sú navrhnuté so strategickým úmyslom Ministerstva pôdohospodárstva </w:t>
      </w:r>
      <w:r>
        <w:rPr>
          <w:rFonts w:ascii="Times New Roman" w:eastAsia="Calibri" w:hAnsi="Times New Roman"/>
          <w:sz w:val="24"/>
          <w:szCs w:val="24"/>
        </w:rPr>
        <w:lastRenderedPageBreak/>
        <w:t xml:space="preserve">a rozvoja vidieka </w:t>
      </w:r>
      <w:r w:rsidR="00D74EF5">
        <w:rPr>
          <w:rFonts w:ascii="Times New Roman" w:eastAsia="Calibri" w:hAnsi="Times New Roman"/>
          <w:sz w:val="24"/>
          <w:szCs w:val="24"/>
        </w:rPr>
        <w:t xml:space="preserve">SR </w:t>
      </w:r>
      <w:r w:rsidR="00E80D96">
        <w:rPr>
          <w:rFonts w:ascii="Times New Roman" w:eastAsia="Calibri" w:hAnsi="Times New Roman"/>
          <w:sz w:val="24"/>
          <w:szCs w:val="24"/>
        </w:rPr>
        <w:t>optimálne</w:t>
      </w:r>
      <w:r w:rsidR="00D74EF5">
        <w:rPr>
          <w:rFonts w:ascii="Times New Roman" w:eastAsia="Calibri" w:hAnsi="Times New Roman"/>
          <w:sz w:val="24"/>
          <w:szCs w:val="24"/>
        </w:rPr>
        <w:t xml:space="preserve"> čerpať zdrojové prostriedky z fondov EÚ a zároveň čo najlepšie pripraviť slovenské poľnohospodárstvo a lesníctvo na blížiace sa výzvy zefektívňovania produkcie a potreby poskytnúť spotrebiteľovi čo najvyššiu pridanú hodnotu.</w:t>
      </w:r>
    </w:p>
    <w:p w:rsidR="00D74EF5" w:rsidRDefault="00D74EF5" w:rsidP="00DC6C3C">
      <w:pPr>
        <w:spacing w:after="0" w:line="240" w:lineRule="auto"/>
        <w:jc w:val="both"/>
        <w:rPr>
          <w:rFonts w:ascii="Times New Roman" w:eastAsia="Calibri" w:hAnsi="Times New Roman"/>
          <w:sz w:val="24"/>
          <w:szCs w:val="24"/>
        </w:rPr>
      </w:pPr>
    </w:p>
    <w:p w:rsidR="00E80D96" w:rsidRDefault="00D74EF5" w:rsidP="00E80D9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Z hľadiska vplyvov navrhovaných opatrení a prioritných úloh na štátny rozpočet, tieto plne rešpektujú pokračujúcu konsolidáciu verejných financií a spolu s požiadavkami na štátny rozpočet </w:t>
      </w:r>
      <w:r w:rsidR="00E80D96">
        <w:rPr>
          <w:rFonts w:ascii="Times New Roman" w:eastAsia="Calibri" w:hAnsi="Times New Roman"/>
          <w:sz w:val="24"/>
          <w:szCs w:val="24"/>
        </w:rPr>
        <w:t xml:space="preserve">a </w:t>
      </w:r>
      <w:r>
        <w:rPr>
          <w:rFonts w:ascii="Times New Roman" w:eastAsia="Calibri" w:hAnsi="Times New Roman"/>
          <w:sz w:val="24"/>
          <w:szCs w:val="24"/>
        </w:rPr>
        <w:t xml:space="preserve">zároveň identifikujú pozitívne vplyvy na hospodárstvo Slovenskej republiky, najmä v oblasti zabezpečenia bezpečnosti a kvality potravín a zamestnanosti. </w:t>
      </w:r>
    </w:p>
    <w:p w:rsidR="00E80D96" w:rsidRDefault="00E80D96" w:rsidP="00E80D96">
      <w:pPr>
        <w:spacing w:after="0" w:line="240" w:lineRule="auto"/>
        <w:jc w:val="both"/>
        <w:rPr>
          <w:rFonts w:ascii="Times New Roman" w:eastAsia="Calibri" w:hAnsi="Times New Roman"/>
          <w:sz w:val="24"/>
          <w:szCs w:val="24"/>
        </w:rPr>
      </w:pPr>
    </w:p>
    <w:p w:rsidR="00F140CA" w:rsidRDefault="00E80D96" w:rsidP="00E80D96">
      <w:pPr>
        <w:spacing w:after="0" w:line="240" w:lineRule="auto"/>
        <w:jc w:val="both"/>
        <w:rPr>
          <w:rFonts w:ascii="Times New Roman" w:eastAsia="Calibri" w:hAnsi="Times New Roman"/>
          <w:sz w:val="24"/>
          <w:szCs w:val="24"/>
        </w:rPr>
      </w:pPr>
      <w:r w:rsidRPr="00E80D96">
        <w:rPr>
          <w:rFonts w:ascii="Times New Roman" w:eastAsia="Calibri" w:hAnsi="Times New Roman"/>
          <w:sz w:val="24"/>
          <w:szCs w:val="24"/>
        </w:rPr>
        <w:t xml:space="preserve">Vyčíslením celkovej potreby financovania nástrojov na splnenie cieľov koncepcie sme identifikovali minimálnu výšku </w:t>
      </w:r>
      <w:r>
        <w:rPr>
          <w:rFonts w:ascii="Times New Roman" w:eastAsia="Calibri" w:hAnsi="Times New Roman"/>
          <w:sz w:val="24"/>
          <w:szCs w:val="24"/>
        </w:rPr>
        <w:t xml:space="preserve">financovania priorít koncepcie. </w:t>
      </w:r>
      <w:r w:rsidRPr="00E80D96">
        <w:rPr>
          <w:rFonts w:ascii="Times New Roman" w:eastAsia="Calibri" w:hAnsi="Times New Roman"/>
          <w:sz w:val="24"/>
          <w:szCs w:val="24"/>
        </w:rPr>
        <w:t>Toto vyčíslenie teda plní úlohu výlučne orientačného stanovenia minimálneho zdrojového zabezpečenia priorít Programu rozvoja vidieka SR na roky 2014 – 2020.</w:t>
      </w:r>
    </w:p>
    <w:p w:rsidR="00ED0162" w:rsidRDefault="00ED0162" w:rsidP="00DC6C3C">
      <w:pPr>
        <w:spacing w:after="0" w:line="240" w:lineRule="auto"/>
        <w:jc w:val="both"/>
        <w:rPr>
          <w:rFonts w:ascii="Times New Roman" w:eastAsia="Calibri" w:hAnsi="Times New Roman"/>
          <w:sz w:val="24"/>
          <w:szCs w:val="24"/>
        </w:rPr>
      </w:pPr>
    </w:p>
    <w:p w:rsidR="0029681D" w:rsidRPr="0029681D" w:rsidRDefault="00D530DA" w:rsidP="00D74EF5">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Tab. č. 6</w:t>
      </w:r>
      <w:r w:rsidR="00C970F8">
        <w:rPr>
          <w:rFonts w:ascii="Times New Roman" w:hAnsi="Times New Roman" w:cs="Times New Roman"/>
          <w:sz w:val="20"/>
          <w:szCs w:val="20"/>
        </w:rPr>
        <w:t>8</w:t>
      </w:r>
      <w:r w:rsidR="0029681D" w:rsidRPr="00A855A4">
        <w:rPr>
          <w:rFonts w:ascii="Times New Roman" w:hAnsi="Times New Roman" w:cs="Times New Roman"/>
          <w:sz w:val="20"/>
          <w:szCs w:val="20"/>
        </w:rPr>
        <w:t xml:space="preserve">: </w:t>
      </w:r>
      <w:r w:rsidR="0029681D">
        <w:rPr>
          <w:rFonts w:ascii="Times New Roman" w:hAnsi="Times New Roman" w:cs="Times New Roman"/>
          <w:sz w:val="20"/>
          <w:szCs w:val="20"/>
        </w:rPr>
        <w:tab/>
      </w:r>
      <w:r w:rsidR="0041527F">
        <w:rPr>
          <w:rFonts w:ascii="Times New Roman" w:hAnsi="Times New Roman" w:cs="Times New Roman"/>
          <w:sz w:val="20"/>
          <w:szCs w:val="20"/>
        </w:rPr>
        <w:t>Návrh zabezpečenia</w:t>
      </w:r>
      <w:r w:rsidR="0029681D">
        <w:rPr>
          <w:rFonts w:ascii="Times New Roman" w:hAnsi="Times New Roman" w:cs="Times New Roman"/>
          <w:sz w:val="20"/>
          <w:szCs w:val="20"/>
        </w:rPr>
        <w:t xml:space="preserve"> financovania navrhovaných opatrení a prioritných úloh </w:t>
      </w:r>
    </w:p>
    <w:tbl>
      <w:tblPr>
        <w:tblW w:w="9085" w:type="dxa"/>
        <w:tblInd w:w="58" w:type="dxa"/>
        <w:tblLayout w:type="fixed"/>
        <w:tblCellMar>
          <w:left w:w="70" w:type="dxa"/>
          <w:right w:w="70" w:type="dxa"/>
        </w:tblCellMar>
        <w:tblLook w:val="04A0" w:firstRow="1" w:lastRow="0" w:firstColumn="1" w:lastColumn="0" w:noHBand="0" w:noVBand="1"/>
      </w:tblPr>
      <w:tblGrid>
        <w:gridCol w:w="2139"/>
        <w:gridCol w:w="3118"/>
        <w:gridCol w:w="851"/>
        <w:gridCol w:w="949"/>
        <w:gridCol w:w="893"/>
        <w:gridCol w:w="1135"/>
      </w:tblGrid>
      <w:tr w:rsidR="00C37B4A" w:rsidRPr="00C37B4A" w:rsidTr="00ED0162">
        <w:trPr>
          <w:trHeight w:val="300"/>
        </w:trPr>
        <w:tc>
          <w:tcPr>
            <w:tcW w:w="2139" w:type="dxa"/>
            <w:vMerge w:val="restart"/>
            <w:tcBorders>
              <w:top w:val="single" w:sz="4" w:space="0" w:color="auto"/>
              <w:left w:val="nil"/>
              <w:bottom w:val="nil"/>
              <w:right w:val="nil"/>
            </w:tcBorders>
            <w:shd w:val="clear" w:color="000000" w:fill="D8D8D8"/>
            <w:vAlign w:val="bottom"/>
            <w:hideMark/>
          </w:tcPr>
          <w:p w:rsidR="00C37B4A" w:rsidRPr="00C37B4A" w:rsidRDefault="00C37B4A" w:rsidP="00C37B4A">
            <w:pPr>
              <w:spacing w:after="0" w:line="240" w:lineRule="auto"/>
              <w:jc w:val="center"/>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 </w:t>
            </w:r>
          </w:p>
        </w:tc>
        <w:tc>
          <w:tcPr>
            <w:tcW w:w="3118" w:type="dxa"/>
            <w:tcBorders>
              <w:top w:val="single" w:sz="4" w:space="0" w:color="auto"/>
              <w:left w:val="nil"/>
              <w:bottom w:val="nil"/>
              <w:right w:val="single" w:sz="4" w:space="0" w:color="auto"/>
            </w:tcBorders>
            <w:shd w:val="clear" w:color="000000" w:fill="D8D8D8"/>
            <w:vAlign w:val="bottom"/>
            <w:hideMark/>
          </w:tcPr>
          <w:p w:rsidR="00C37B4A" w:rsidRPr="00C37B4A" w:rsidRDefault="00C37B4A" w:rsidP="00C37B4A">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 </w:t>
            </w:r>
          </w:p>
        </w:tc>
        <w:tc>
          <w:tcPr>
            <w:tcW w:w="3828" w:type="dxa"/>
            <w:gridSpan w:val="4"/>
            <w:tcBorders>
              <w:top w:val="single" w:sz="4" w:space="0" w:color="auto"/>
              <w:left w:val="nil"/>
              <w:bottom w:val="single" w:sz="4" w:space="0" w:color="auto"/>
              <w:right w:val="nil"/>
            </w:tcBorders>
            <w:shd w:val="clear" w:color="000000" w:fill="D8D8D8"/>
            <w:vAlign w:val="bottom"/>
            <w:hideMark/>
          </w:tcPr>
          <w:p w:rsidR="00C37B4A" w:rsidRPr="00C37B4A" w:rsidRDefault="00C37B4A" w:rsidP="00C37B4A">
            <w:pPr>
              <w:spacing w:after="0" w:line="240" w:lineRule="auto"/>
              <w:jc w:val="center"/>
              <w:rPr>
                <w:rFonts w:ascii="Times New Roman" w:eastAsia="Times New Roman" w:hAnsi="Times New Roman" w:cs="Times New Roman"/>
                <w:b/>
                <w:bCs/>
                <w:color w:val="000000"/>
                <w:sz w:val="20"/>
                <w:szCs w:val="20"/>
              </w:rPr>
            </w:pPr>
            <w:r w:rsidRPr="00C37B4A">
              <w:rPr>
                <w:rFonts w:ascii="Times New Roman" w:eastAsia="Times New Roman" w:hAnsi="Times New Roman" w:cs="Times New Roman"/>
                <w:b/>
                <w:bCs/>
                <w:color w:val="000000"/>
                <w:sz w:val="20"/>
                <w:szCs w:val="20"/>
              </w:rPr>
              <w:t>Zabezpečenie financovania (v tis. EUR)</w:t>
            </w:r>
          </w:p>
        </w:tc>
      </w:tr>
      <w:tr w:rsidR="00C37B4A" w:rsidRPr="00C37B4A" w:rsidTr="00C37B4A">
        <w:trPr>
          <w:trHeight w:val="765"/>
        </w:trPr>
        <w:tc>
          <w:tcPr>
            <w:tcW w:w="2139" w:type="dxa"/>
            <w:vMerge/>
            <w:tcBorders>
              <w:top w:val="nil"/>
              <w:left w:val="nil"/>
              <w:bottom w:val="nil"/>
              <w:right w:val="nil"/>
            </w:tcBorders>
            <w:vAlign w:val="center"/>
            <w:hideMark/>
          </w:tcPr>
          <w:p w:rsidR="00C37B4A" w:rsidRPr="00C37B4A" w:rsidRDefault="00C37B4A" w:rsidP="00C37B4A">
            <w:pPr>
              <w:spacing w:after="0" w:line="240" w:lineRule="auto"/>
              <w:rPr>
                <w:rFonts w:ascii="Times New Roman" w:eastAsia="Times New Roman" w:hAnsi="Times New Roman" w:cs="Times New Roman"/>
                <w:color w:val="000000"/>
                <w:sz w:val="20"/>
                <w:szCs w:val="20"/>
              </w:rPr>
            </w:pPr>
          </w:p>
        </w:tc>
        <w:tc>
          <w:tcPr>
            <w:tcW w:w="3118" w:type="dxa"/>
            <w:tcBorders>
              <w:top w:val="nil"/>
              <w:left w:val="nil"/>
              <w:bottom w:val="nil"/>
              <w:right w:val="nil"/>
            </w:tcBorders>
            <w:shd w:val="clear" w:color="000000" w:fill="D8D8D8"/>
            <w:hideMark/>
          </w:tcPr>
          <w:p w:rsidR="00C37B4A" w:rsidRPr="00C37B4A" w:rsidRDefault="00C37B4A" w:rsidP="00C37B4A">
            <w:pPr>
              <w:spacing w:after="0" w:line="240" w:lineRule="auto"/>
              <w:jc w:val="center"/>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 </w:t>
            </w:r>
          </w:p>
        </w:tc>
        <w:tc>
          <w:tcPr>
            <w:tcW w:w="851" w:type="dxa"/>
            <w:tcBorders>
              <w:top w:val="nil"/>
              <w:left w:val="single" w:sz="4" w:space="0" w:color="auto"/>
              <w:bottom w:val="nil"/>
              <w:right w:val="single" w:sz="4" w:space="0" w:color="auto"/>
            </w:tcBorders>
            <w:shd w:val="clear" w:color="000000" w:fill="D8D8D8"/>
            <w:hideMark/>
          </w:tcPr>
          <w:p w:rsidR="00C37B4A" w:rsidRPr="00C37B4A" w:rsidRDefault="00C37B4A" w:rsidP="00C37B4A">
            <w:pPr>
              <w:spacing w:after="0" w:line="240" w:lineRule="auto"/>
              <w:jc w:val="center"/>
              <w:rPr>
                <w:rFonts w:ascii="Times New Roman" w:eastAsia="Times New Roman" w:hAnsi="Times New Roman" w:cs="Times New Roman"/>
                <w:b/>
                <w:bCs/>
                <w:color w:val="000000"/>
                <w:sz w:val="20"/>
                <w:szCs w:val="20"/>
              </w:rPr>
            </w:pPr>
            <w:r w:rsidRPr="00C37B4A">
              <w:rPr>
                <w:rFonts w:ascii="Times New Roman" w:eastAsia="Times New Roman" w:hAnsi="Times New Roman" w:cs="Times New Roman"/>
                <w:b/>
                <w:bCs/>
                <w:color w:val="000000"/>
                <w:sz w:val="20"/>
                <w:szCs w:val="20"/>
              </w:rPr>
              <w:t>Celkom</w:t>
            </w:r>
          </w:p>
        </w:tc>
        <w:tc>
          <w:tcPr>
            <w:tcW w:w="949" w:type="dxa"/>
            <w:tcBorders>
              <w:top w:val="nil"/>
              <w:left w:val="nil"/>
              <w:bottom w:val="nil"/>
              <w:right w:val="nil"/>
            </w:tcBorders>
            <w:shd w:val="clear" w:color="000000" w:fill="D8D8D8"/>
            <w:hideMark/>
          </w:tcPr>
          <w:p w:rsidR="00C37B4A" w:rsidRPr="00C37B4A" w:rsidRDefault="00C37B4A" w:rsidP="00C37B4A">
            <w:pPr>
              <w:spacing w:after="0" w:line="240" w:lineRule="auto"/>
              <w:jc w:val="center"/>
              <w:rPr>
                <w:rFonts w:ascii="Times New Roman" w:eastAsia="Times New Roman" w:hAnsi="Times New Roman" w:cs="Times New Roman"/>
                <w:b/>
                <w:bCs/>
                <w:color w:val="000000"/>
                <w:sz w:val="20"/>
                <w:szCs w:val="20"/>
              </w:rPr>
            </w:pPr>
            <w:r w:rsidRPr="00C37B4A">
              <w:rPr>
                <w:rFonts w:ascii="Times New Roman" w:eastAsia="Times New Roman" w:hAnsi="Times New Roman" w:cs="Times New Roman"/>
                <w:b/>
                <w:bCs/>
                <w:color w:val="000000"/>
                <w:sz w:val="20"/>
                <w:szCs w:val="20"/>
              </w:rPr>
              <w:t>Zdroje štátneho rozpočtu</w:t>
            </w:r>
          </w:p>
        </w:tc>
        <w:tc>
          <w:tcPr>
            <w:tcW w:w="893" w:type="dxa"/>
            <w:tcBorders>
              <w:top w:val="nil"/>
              <w:left w:val="nil"/>
              <w:bottom w:val="nil"/>
              <w:right w:val="nil"/>
            </w:tcBorders>
            <w:shd w:val="clear" w:color="000000" w:fill="D8D8D8"/>
            <w:hideMark/>
          </w:tcPr>
          <w:p w:rsidR="00C37B4A" w:rsidRPr="00C37B4A" w:rsidRDefault="00C37B4A" w:rsidP="00C37B4A">
            <w:pPr>
              <w:spacing w:after="0" w:line="240" w:lineRule="auto"/>
              <w:jc w:val="center"/>
              <w:rPr>
                <w:rFonts w:ascii="Times New Roman" w:eastAsia="Times New Roman" w:hAnsi="Times New Roman" w:cs="Times New Roman"/>
                <w:b/>
                <w:bCs/>
                <w:color w:val="000000"/>
                <w:sz w:val="20"/>
                <w:szCs w:val="20"/>
              </w:rPr>
            </w:pPr>
            <w:r w:rsidRPr="00C37B4A">
              <w:rPr>
                <w:rFonts w:ascii="Times New Roman" w:eastAsia="Times New Roman" w:hAnsi="Times New Roman" w:cs="Times New Roman"/>
                <w:b/>
                <w:bCs/>
                <w:color w:val="000000"/>
                <w:sz w:val="20"/>
                <w:szCs w:val="20"/>
              </w:rPr>
              <w:t>Fondy EÚ</w:t>
            </w:r>
          </w:p>
        </w:tc>
        <w:tc>
          <w:tcPr>
            <w:tcW w:w="1135" w:type="dxa"/>
            <w:tcBorders>
              <w:top w:val="nil"/>
              <w:left w:val="nil"/>
              <w:bottom w:val="nil"/>
              <w:right w:val="nil"/>
            </w:tcBorders>
            <w:shd w:val="clear" w:color="000000" w:fill="D8D8D8"/>
            <w:hideMark/>
          </w:tcPr>
          <w:p w:rsidR="00C37B4A" w:rsidRPr="00C37B4A" w:rsidRDefault="00C37B4A" w:rsidP="00C37B4A">
            <w:pPr>
              <w:spacing w:after="0" w:line="240" w:lineRule="auto"/>
              <w:jc w:val="center"/>
              <w:rPr>
                <w:rFonts w:ascii="Times New Roman" w:eastAsia="Times New Roman" w:hAnsi="Times New Roman" w:cs="Times New Roman"/>
                <w:b/>
                <w:bCs/>
                <w:color w:val="000000"/>
                <w:sz w:val="20"/>
                <w:szCs w:val="20"/>
              </w:rPr>
            </w:pPr>
            <w:r w:rsidRPr="00C37B4A">
              <w:rPr>
                <w:rFonts w:ascii="Times New Roman" w:eastAsia="Times New Roman" w:hAnsi="Times New Roman" w:cs="Times New Roman"/>
                <w:b/>
                <w:bCs/>
                <w:color w:val="000000"/>
                <w:sz w:val="20"/>
                <w:szCs w:val="20"/>
              </w:rPr>
              <w:t>Spolufinancovanie zo strany žiadateľov</w:t>
            </w:r>
          </w:p>
        </w:tc>
      </w:tr>
      <w:tr w:rsidR="00C37B4A" w:rsidRPr="00C37B4A" w:rsidTr="002F2162">
        <w:trPr>
          <w:trHeight w:val="1218"/>
        </w:trPr>
        <w:tc>
          <w:tcPr>
            <w:tcW w:w="2139" w:type="dxa"/>
            <w:tcBorders>
              <w:top w:val="single" w:sz="4" w:space="0" w:color="auto"/>
              <w:left w:val="nil"/>
              <w:bottom w:val="nil"/>
              <w:right w:val="single" w:sz="4" w:space="0" w:color="auto"/>
            </w:tcBorders>
            <w:shd w:val="clear" w:color="auto" w:fill="auto"/>
            <w:hideMark/>
          </w:tcPr>
          <w:p w:rsidR="00C37B4A" w:rsidRPr="00C37B4A" w:rsidRDefault="00C37B4A" w:rsidP="00C37B4A">
            <w:pPr>
              <w:spacing w:after="0" w:line="240" w:lineRule="auto"/>
              <w:rPr>
                <w:rFonts w:ascii="Times New Roman" w:eastAsia="Times New Roman" w:hAnsi="Times New Roman" w:cs="Times New Roman"/>
                <w:b/>
                <w:bCs/>
                <w:color w:val="000000"/>
                <w:sz w:val="20"/>
                <w:szCs w:val="20"/>
              </w:rPr>
            </w:pPr>
            <w:r w:rsidRPr="00C37B4A">
              <w:rPr>
                <w:rFonts w:ascii="Times New Roman" w:eastAsia="Times New Roman" w:hAnsi="Times New Roman" w:cs="Times New Roman"/>
                <w:b/>
                <w:bCs/>
                <w:color w:val="000000"/>
                <w:sz w:val="20"/>
                <w:szCs w:val="20"/>
              </w:rPr>
              <w:t>Zvýšenie konkurencieschopnosti všetkých typov poľnohospodárstva a životaschopnosti fariem</w:t>
            </w:r>
          </w:p>
        </w:tc>
        <w:tc>
          <w:tcPr>
            <w:tcW w:w="3118" w:type="dxa"/>
            <w:tcBorders>
              <w:top w:val="single" w:sz="4" w:space="0" w:color="auto"/>
              <w:left w:val="nil"/>
              <w:bottom w:val="single" w:sz="4" w:space="0" w:color="auto"/>
              <w:right w:val="nil"/>
            </w:tcBorders>
            <w:shd w:val="clear" w:color="auto" w:fill="auto"/>
            <w:hideMark/>
          </w:tcPr>
          <w:p w:rsidR="00C37B4A" w:rsidRPr="00C37B4A" w:rsidRDefault="00C37B4A" w:rsidP="00C37B4A">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podpora zvýšenia počtu prasníc na 70 000 ks so súčasným zvýšením miery ich reprodukčnej úžitkovosti na úroveň 20 – 21 odstavčiat na 1 prasnicu</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B4A" w:rsidRPr="00C37B4A" w:rsidRDefault="00C37B4A"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7 767</w:t>
            </w:r>
          </w:p>
        </w:tc>
        <w:tc>
          <w:tcPr>
            <w:tcW w:w="949" w:type="dxa"/>
            <w:tcBorders>
              <w:top w:val="single" w:sz="4" w:space="0" w:color="auto"/>
              <w:left w:val="nil"/>
              <w:bottom w:val="single" w:sz="4" w:space="0" w:color="auto"/>
              <w:right w:val="nil"/>
            </w:tcBorders>
            <w:shd w:val="clear" w:color="auto" w:fill="auto"/>
            <w:noWrap/>
            <w:vAlign w:val="center"/>
            <w:hideMark/>
          </w:tcPr>
          <w:p w:rsidR="00C37B4A" w:rsidRPr="00C37B4A" w:rsidRDefault="00C37B4A"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893" w:type="dxa"/>
            <w:tcBorders>
              <w:top w:val="single" w:sz="4" w:space="0" w:color="auto"/>
              <w:left w:val="nil"/>
              <w:bottom w:val="single" w:sz="4" w:space="0" w:color="auto"/>
              <w:right w:val="nil"/>
            </w:tcBorders>
            <w:shd w:val="clear" w:color="auto" w:fill="auto"/>
            <w:noWrap/>
            <w:vAlign w:val="center"/>
            <w:hideMark/>
          </w:tcPr>
          <w:p w:rsidR="00C37B4A" w:rsidRPr="00C37B4A" w:rsidRDefault="00C37B4A"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3 884</w:t>
            </w:r>
          </w:p>
        </w:tc>
        <w:tc>
          <w:tcPr>
            <w:tcW w:w="1135" w:type="dxa"/>
            <w:tcBorders>
              <w:top w:val="single" w:sz="4" w:space="0" w:color="auto"/>
              <w:left w:val="nil"/>
              <w:bottom w:val="single" w:sz="4" w:space="0" w:color="auto"/>
              <w:right w:val="nil"/>
            </w:tcBorders>
            <w:shd w:val="clear" w:color="auto" w:fill="auto"/>
            <w:noWrap/>
            <w:vAlign w:val="center"/>
            <w:hideMark/>
          </w:tcPr>
          <w:p w:rsidR="00C37B4A" w:rsidRPr="00C37B4A" w:rsidRDefault="00851E26" w:rsidP="00C37B4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3 883</w:t>
            </w:r>
          </w:p>
        </w:tc>
      </w:tr>
      <w:tr w:rsidR="00C37B4A" w:rsidRPr="00C37B4A" w:rsidTr="00C37B4A">
        <w:trPr>
          <w:trHeight w:val="765"/>
        </w:trPr>
        <w:tc>
          <w:tcPr>
            <w:tcW w:w="2139" w:type="dxa"/>
            <w:tcBorders>
              <w:top w:val="nil"/>
              <w:left w:val="nil"/>
              <w:bottom w:val="nil"/>
              <w:right w:val="single" w:sz="4" w:space="0" w:color="auto"/>
            </w:tcBorders>
            <w:shd w:val="clear" w:color="auto" w:fill="auto"/>
            <w:hideMark/>
          </w:tcPr>
          <w:p w:rsidR="00C37B4A" w:rsidRPr="00C37B4A" w:rsidRDefault="00C37B4A" w:rsidP="00C37B4A">
            <w:pPr>
              <w:spacing w:after="0" w:line="240" w:lineRule="auto"/>
              <w:rPr>
                <w:rFonts w:ascii="Times New Roman" w:eastAsia="Times New Roman" w:hAnsi="Times New Roman" w:cs="Times New Roman"/>
                <w:b/>
                <w:bCs/>
                <w:color w:val="000000"/>
                <w:sz w:val="20"/>
                <w:szCs w:val="20"/>
              </w:rPr>
            </w:pPr>
          </w:p>
        </w:tc>
        <w:tc>
          <w:tcPr>
            <w:tcW w:w="3118" w:type="dxa"/>
            <w:tcBorders>
              <w:top w:val="nil"/>
              <w:left w:val="nil"/>
              <w:bottom w:val="nil"/>
              <w:right w:val="nil"/>
            </w:tcBorders>
            <w:shd w:val="clear" w:color="auto" w:fill="auto"/>
            <w:hideMark/>
          </w:tcPr>
          <w:p w:rsidR="00C37B4A" w:rsidRPr="00C37B4A" w:rsidRDefault="00C37B4A" w:rsidP="00C37B4A">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podpora zvýšenia početnosti hydiny (stavy v chove) minimálne o 885 737 ks (5 314 423 ks pri                             6 turnusoch ročne)</w:t>
            </w:r>
          </w:p>
        </w:tc>
        <w:tc>
          <w:tcPr>
            <w:tcW w:w="851" w:type="dxa"/>
            <w:tcBorders>
              <w:top w:val="nil"/>
              <w:left w:val="single" w:sz="4" w:space="0" w:color="auto"/>
              <w:bottom w:val="nil"/>
              <w:right w:val="single" w:sz="4" w:space="0" w:color="auto"/>
            </w:tcBorders>
            <w:shd w:val="clear" w:color="auto" w:fill="auto"/>
            <w:noWrap/>
            <w:vAlign w:val="center"/>
            <w:hideMark/>
          </w:tcPr>
          <w:p w:rsidR="00C37B4A" w:rsidRPr="00C37B4A" w:rsidRDefault="0043012F" w:rsidP="00C37B4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32 2</w:t>
            </w:r>
            <w:r w:rsidR="00851E26">
              <w:rPr>
                <w:rFonts w:ascii="Times New Roman" w:eastAsia="Times New Roman" w:hAnsi="Times New Roman" w:cs="Times New Roman"/>
                <w:color w:val="000000"/>
                <w:sz w:val="20"/>
                <w:szCs w:val="20"/>
              </w:rPr>
              <w:t>09</w:t>
            </w:r>
          </w:p>
        </w:tc>
        <w:tc>
          <w:tcPr>
            <w:tcW w:w="949" w:type="dxa"/>
            <w:tcBorders>
              <w:top w:val="nil"/>
              <w:left w:val="nil"/>
              <w:bottom w:val="nil"/>
              <w:right w:val="nil"/>
            </w:tcBorders>
            <w:shd w:val="clear" w:color="auto" w:fill="auto"/>
            <w:noWrap/>
            <w:vAlign w:val="center"/>
            <w:hideMark/>
          </w:tcPr>
          <w:p w:rsidR="00C37B4A" w:rsidRPr="00C37B4A" w:rsidRDefault="00C37B4A"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893" w:type="dxa"/>
            <w:tcBorders>
              <w:top w:val="nil"/>
              <w:left w:val="nil"/>
              <w:bottom w:val="nil"/>
              <w:right w:val="nil"/>
            </w:tcBorders>
            <w:shd w:val="clear" w:color="auto" w:fill="auto"/>
            <w:noWrap/>
            <w:vAlign w:val="center"/>
            <w:hideMark/>
          </w:tcPr>
          <w:p w:rsidR="00C37B4A" w:rsidRPr="00C37B4A" w:rsidRDefault="00C37B4A"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16 105</w:t>
            </w:r>
          </w:p>
        </w:tc>
        <w:tc>
          <w:tcPr>
            <w:tcW w:w="1135" w:type="dxa"/>
            <w:tcBorders>
              <w:top w:val="nil"/>
              <w:left w:val="nil"/>
              <w:bottom w:val="nil"/>
              <w:right w:val="nil"/>
            </w:tcBorders>
            <w:shd w:val="clear" w:color="auto" w:fill="auto"/>
            <w:noWrap/>
            <w:vAlign w:val="center"/>
            <w:hideMark/>
          </w:tcPr>
          <w:p w:rsidR="00C37B4A" w:rsidRPr="00C37B4A" w:rsidRDefault="00851E26" w:rsidP="00C37B4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16 104</w:t>
            </w:r>
          </w:p>
        </w:tc>
      </w:tr>
      <w:tr w:rsidR="00C37B4A" w:rsidRPr="00C37B4A" w:rsidTr="007A1333">
        <w:trPr>
          <w:trHeight w:val="1275"/>
        </w:trPr>
        <w:tc>
          <w:tcPr>
            <w:tcW w:w="2139" w:type="dxa"/>
            <w:tcBorders>
              <w:top w:val="nil"/>
              <w:left w:val="nil"/>
              <w:bottom w:val="nil"/>
              <w:right w:val="single" w:sz="4" w:space="0" w:color="auto"/>
            </w:tcBorders>
            <w:shd w:val="clear" w:color="auto" w:fill="auto"/>
            <w:hideMark/>
          </w:tcPr>
          <w:p w:rsidR="00C37B4A" w:rsidRPr="00C37B4A" w:rsidRDefault="00C37B4A" w:rsidP="00C37B4A">
            <w:pPr>
              <w:spacing w:after="0" w:line="240" w:lineRule="auto"/>
              <w:rPr>
                <w:rFonts w:ascii="Times New Roman" w:eastAsia="Times New Roman" w:hAnsi="Times New Roman" w:cs="Times New Roman"/>
                <w:b/>
                <w:bCs/>
                <w:color w:val="000000"/>
                <w:sz w:val="20"/>
                <w:szCs w:val="20"/>
              </w:rPr>
            </w:pPr>
            <w:r w:rsidRPr="00C37B4A">
              <w:rPr>
                <w:rFonts w:ascii="Times New Roman" w:eastAsia="Times New Roman" w:hAnsi="Times New Roman" w:cs="Times New Roman"/>
                <w:b/>
                <w:bCs/>
                <w:color w:val="000000"/>
                <w:sz w:val="20"/>
                <w:szCs w:val="20"/>
              </w:rPr>
              <w:t> </w:t>
            </w:r>
          </w:p>
        </w:tc>
        <w:tc>
          <w:tcPr>
            <w:tcW w:w="3118" w:type="dxa"/>
            <w:tcBorders>
              <w:top w:val="single" w:sz="4" w:space="0" w:color="auto"/>
              <w:left w:val="nil"/>
              <w:bottom w:val="single" w:sz="4" w:space="0" w:color="auto"/>
              <w:right w:val="nil"/>
            </w:tcBorders>
            <w:shd w:val="clear" w:color="auto" w:fill="auto"/>
            <w:hideMark/>
          </w:tcPr>
          <w:p w:rsidR="00C37B4A" w:rsidRPr="00C37B4A" w:rsidRDefault="00C37B4A" w:rsidP="00DF289D">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 xml:space="preserve">podpora zvýšenia produkčnej výkonnosti spracovateľského mäsopriemyslu na Slovensku, formou </w:t>
            </w:r>
            <w:r w:rsidR="00DF289D">
              <w:rPr>
                <w:rFonts w:ascii="Times New Roman" w:eastAsia="Times New Roman" w:hAnsi="Times New Roman" w:cs="Times New Roman"/>
                <w:color w:val="000000"/>
                <w:sz w:val="20"/>
                <w:szCs w:val="20"/>
              </w:rPr>
              <w:t>rekonštrukcie existujúcich a výstavby nových bitúnkov</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B4A" w:rsidRPr="00C37B4A" w:rsidRDefault="00C37B4A"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19 600</w:t>
            </w:r>
          </w:p>
        </w:tc>
        <w:tc>
          <w:tcPr>
            <w:tcW w:w="949" w:type="dxa"/>
            <w:tcBorders>
              <w:top w:val="single" w:sz="4" w:space="0" w:color="auto"/>
              <w:left w:val="nil"/>
              <w:bottom w:val="single" w:sz="4" w:space="0" w:color="auto"/>
              <w:right w:val="nil"/>
            </w:tcBorders>
            <w:shd w:val="clear" w:color="auto" w:fill="auto"/>
            <w:noWrap/>
            <w:vAlign w:val="center"/>
            <w:hideMark/>
          </w:tcPr>
          <w:p w:rsidR="00C37B4A" w:rsidRPr="00C37B4A" w:rsidRDefault="00C37B4A"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893" w:type="dxa"/>
            <w:tcBorders>
              <w:top w:val="single" w:sz="4" w:space="0" w:color="auto"/>
              <w:left w:val="nil"/>
              <w:bottom w:val="single" w:sz="4" w:space="0" w:color="auto"/>
              <w:right w:val="nil"/>
            </w:tcBorders>
            <w:shd w:val="clear" w:color="auto" w:fill="auto"/>
            <w:noWrap/>
            <w:vAlign w:val="center"/>
            <w:hideMark/>
          </w:tcPr>
          <w:p w:rsidR="00C37B4A" w:rsidRPr="00C37B4A" w:rsidRDefault="00C37B4A"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9 800</w:t>
            </w:r>
          </w:p>
        </w:tc>
        <w:tc>
          <w:tcPr>
            <w:tcW w:w="1135" w:type="dxa"/>
            <w:tcBorders>
              <w:top w:val="single" w:sz="4" w:space="0" w:color="auto"/>
              <w:left w:val="nil"/>
              <w:bottom w:val="single" w:sz="4" w:space="0" w:color="auto"/>
              <w:right w:val="nil"/>
            </w:tcBorders>
            <w:shd w:val="clear" w:color="auto" w:fill="auto"/>
            <w:noWrap/>
            <w:vAlign w:val="center"/>
            <w:hideMark/>
          </w:tcPr>
          <w:p w:rsidR="00C37B4A" w:rsidRPr="00C37B4A" w:rsidRDefault="00C37B4A"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9 800</w:t>
            </w:r>
          </w:p>
        </w:tc>
      </w:tr>
      <w:tr w:rsidR="00C37B4A" w:rsidRPr="00C37B4A" w:rsidTr="007A1333">
        <w:trPr>
          <w:trHeight w:val="510"/>
        </w:trPr>
        <w:tc>
          <w:tcPr>
            <w:tcW w:w="2139" w:type="dxa"/>
            <w:tcBorders>
              <w:top w:val="nil"/>
              <w:left w:val="nil"/>
              <w:bottom w:val="nil"/>
              <w:right w:val="single" w:sz="4" w:space="0" w:color="auto"/>
            </w:tcBorders>
            <w:shd w:val="clear" w:color="auto" w:fill="auto"/>
            <w:hideMark/>
          </w:tcPr>
          <w:p w:rsidR="00C37B4A" w:rsidRPr="00C37B4A" w:rsidRDefault="00C37B4A" w:rsidP="00C37B4A">
            <w:pPr>
              <w:spacing w:after="0" w:line="240" w:lineRule="auto"/>
              <w:rPr>
                <w:rFonts w:ascii="Times New Roman" w:eastAsia="Times New Roman" w:hAnsi="Times New Roman" w:cs="Times New Roman"/>
                <w:b/>
                <w:bCs/>
                <w:color w:val="000000"/>
                <w:sz w:val="20"/>
                <w:szCs w:val="20"/>
              </w:rPr>
            </w:pPr>
            <w:r w:rsidRPr="00C37B4A">
              <w:rPr>
                <w:rFonts w:ascii="Times New Roman" w:eastAsia="Times New Roman" w:hAnsi="Times New Roman" w:cs="Times New Roman"/>
                <w:b/>
                <w:bCs/>
                <w:color w:val="000000"/>
                <w:sz w:val="20"/>
                <w:szCs w:val="20"/>
              </w:rPr>
              <w:t> </w:t>
            </w:r>
          </w:p>
        </w:tc>
        <w:tc>
          <w:tcPr>
            <w:tcW w:w="3118" w:type="dxa"/>
            <w:tcBorders>
              <w:top w:val="single" w:sz="4" w:space="0" w:color="auto"/>
              <w:left w:val="nil"/>
              <w:bottom w:val="single" w:sz="4" w:space="0" w:color="auto"/>
              <w:right w:val="nil"/>
            </w:tcBorders>
            <w:shd w:val="clear" w:color="auto" w:fill="auto"/>
            <w:hideMark/>
          </w:tcPr>
          <w:p w:rsidR="00C37B4A" w:rsidRDefault="00C37B4A" w:rsidP="00C37B4A">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 xml:space="preserve"> podpora zvýšenia produkčnej výkonnosti produkcie rastlinných jedlých tukov a</w:t>
            </w:r>
            <w:r w:rsidR="00102CF3">
              <w:rPr>
                <w:rFonts w:ascii="Times New Roman" w:eastAsia="Times New Roman" w:hAnsi="Times New Roman" w:cs="Times New Roman"/>
                <w:color w:val="000000"/>
                <w:sz w:val="20"/>
                <w:szCs w:val="20"/>
              </w:rPr>
              <w:t> </w:t>
            </w:r>
            <w:r w:rsidRPr="00C37B4A">
              <w:rPr>
                <w:rFonts w:ascii="Times New Roman" w:eastAsia="Times New Roman" w:hAnsi="Times New Roman" w:cs="Times New Roman"/>
                <w:color w:val="000000"/>
                <w:sz w:val="20"/>
                <w:szCs w:val="20"/>
              </w:rPr>
              <w:t>olejov</w:t>
            </w:r>
          </w:p>
          <w:p w:rsidR="00102CF3" w:rsidRPr="00C37B4A" w:rsidRDefault="00102CF3" w:rsidP="00C37B4A">
            <w:pPr>
              <w:spacing w:after="0" w:line="240" w:lineRule="auto"/>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B4A" w:rsidRPr="00C37B4A" w:rsidRDefault="00C37B4A"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2 000</w:t>
            </w:r>
          </w:p>
        </w:tc>
        <w:tc>
          <w:tcPr>
            <w:tcW w:w="949" w:type="dxa"/>
            <w:tcBorders>
              <w:top w:val="single" w:sz="4" w:space="0" w:color="auto"/>
              <w:left w:val="nil"/>
              <w:bottom w:val="single" w:sz="4" w:space="0" w:color="auto"/>
              <w:right w:val="nil"/>
            </w:tcBorders>
            <w:shd w:val="clear" w:color="auto" w:fill="auto"/>
            <w:noWrap/>
            <w:vAlign w:val="center"/>
            <w:hideMark/>
          </w:tcPr>
          <w:p w:rsidR="00C37B4A" w:rsidRPr="00C37B4A" w:rsidRDefault="00C37B4A"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893" w:type="dxa"/>
            <w:tcBorders>
              <w:top w:val="single" w:sz="4" w:space="0" w:color="auto"/>
              <w:left w:val="nil"/>
              <w:bottom w:val="single" w:sz="4" w:space="0" w:color="auto"/>
              <w:right w:val="nil"/>
            </w:tcBorders>
            <w:shd w:val="clear" w:color="auto" w:fill="auto"/>
            <w:noWrap/>
            <w:vAlign w:val="center"/>
            <w:hideMark/>
          </w:tcPr>
          <w:p w:rsidR="00C37B4A" w:rsidRPr="00C37B4A" w:rsidRDefault="00C37B4A"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1 000</w:t>
            </w:r>
          </w:p>
        </w:tc>
        <w:tc>
          <w:tcPr>
            <w:tcW w:w="1135" w:type="dxa"/>
            <w:tcBorders>
              <w:top w:val="single" w:sz="4" w:space="0" w:color="auto"/>
              <w:left w:val="nil"/>
              <w:bottom w:val="single" w:sz="4" w:space="0" w:color="auto"/>
              <w:right w:val="nil"/>
            </w:tcBorders>
            <w:shd w:val="clear" w:color="auto" w:fill="auto"/>
            <w:noWrap/>
            <w:vAlign w:val="center"/>
            <w:hideMark/>
          </w:tcPr>
          <w:p w:rsidR="00C37B4A" w:rsidRPr="00C37B4A" w:rsidRDefault="00C37B4A"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1 000</w:t>
            </w:r>
          </w:p>
        </w:tc>
      </w:tr>
      <w:tr w:rsidR="00C37B4A" w:rsidRPr="00C37B4A" w:rsidTr="002F2162">
        <w:trPr>
          <w:trHeight w:val="765"/>
        </w:trPr>
        <w:tc>
          <w:tcPr>
            <w:tcW w:w="2139" w:type="dxa"/>
            <w:tcBorders>
              <w:top w:val="nil"/>
              <w:left w:val="nil"/>
              <w:bottom w:val="nil"/>
              <w:right w:val="single" w:sz="4" w:space="0" w:color="auto"/>
            </w:tcBorders>
            <w:shd w:val="clear" w:color="auto" w:fill="auto"/>
            <w:hideMark/>
          </w:tcPr>
          <w:p w:rsidR="00C37B4A" w:rsidRPr="00C37B4A" w:rsidRDefault="00C37B4A" w:rsidP="00C37B4A">
            <w:pPr>
              <w:spacing w:after="0" w:line="240" w:lineRule="auto"/>
              <w:rPr>
                <w:rFonts w:ascii="Times New Roman" w:eastAsia="Times New Roman" w:hAnsi="Times New Roman" w:cs="Times New Roman"/>
                <w:b/>
                <w:bCs/>
                <w:color w:val="000000"/>
                <w:sz w:val="20"/>
                <w:szCs w:val="20"/>
              </w:rPr>
            </w:pPr>
            <w:r w:rsidRPr="00C37B4A">
              <w:rPr>
                <w:rFonts w:ascii="Times New Roman" w:eastAsia="Times New Roman" w:hAnsi="Times New Roman" w:cs="Times New Roman"/>
                <w:b/>
                <w:bCs/>
                <w:color w:val="000000"/>
                <w:sz w:val="20"/>
                <w:szCs w:val="20"/>
              </w:rPr>
              <w:t> </w:t>
            </w:r>
          </w:p>
        </w:tc>
        <w:tc>
          <w:tcPr>
            <w:tcW w:w="3118" w:type="dxa"/>
            <w:tcBorders>
              <w:top w:val="single" w:sz="4" w:space="0" w:color="auto"/>
              <w:left w:val="nil"/>
              <w:bottom w:val="single" w:sz="4" w:space="0" w:color="auto"/>
              <w:right w:val="nil"/>
            </w:tcBorders>
            <w:shd w:val="clear" w:color="auto" w:fill="auto"/>
            <w:hideMark/>
          </w:tcPr>
          <w:p w:rsidR="00C37B4A" w:rsidRPr="00C37B4A" w:rsidRDefault="00C37B4A" w:rsidP="00C37B4A">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podpora zvýšenia výsadby zemiakov v poľnohospodársky znevýhodnených oblastiach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B4A" w:rsidRPr="00C37B4A" w:rsidRDefault="00C37B4A"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5 541</w:t>
            </w:r>
          </w:p>
        </w:tc>
        <w:tc>
          <w:tcPr>
            <w:tcW w:w="949" w:type="dxa"/>
            <w:tcBorders>
              <w:top w:val="single" w:sz="4" w:space="0" w:color="auto"/>
              <w:left w:val="nil"/>
              <w:bottom w:val="single" w:sz="4" w:space="0" w:color="auto"/>
              <w:right w:val="nil"/>
            </w:tcBorders>
            <w:shd w:val="clear" w:color="auto" w:fill="auto"/>
            <w:noWrap/>
            <w:vAlign w:val="center"/>
            <w:hideMark/>
          </w:tcPr>
          <w:p w:rsidR="00C37B4A" w:rsidRPr="00C37B4A" w:rsidRDefault="00C37B4A"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893" w:type="dxa"/>
            <w:tcBorders>
              <w:top w:val="single" w:sz="4" w:space="0" w:color="auto"/>
              <w:left w:val="nil"/>
              <w:bottom w:val="single" w:sz="4" w:space="0" w:color="auto"/>
              <w:right w:val="nil"/>
            </w:tcBorders>
            <w:shd w:val="clear" w:color="auto" w:fill="auto"/>
            <w:noWrap/>
            <w:vAlign w:val="center"/>
            <w:hideMark/>
          </w:tcPr>
          <w:p w:rsidR="00C37B4A" w:rsidRPr="00C37B4A" w:rsidRDefault="00C37B4A"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2 771</w:t>
            </w:r>
          </w:p>
        </w:tc>
        <w:tc>
          <w:tcPr>
            <w:tcW w:w="1135" w:type="dxa"/>
            <w:tcBorders>
              <w:top w:val="single" w:sz="4" w:space="0" w:color="auto"/>
              <w:left w:val="nil"/>
              <w:bottom w:val="single" w:sz="4" w:space="0" w:color="auto"/>
              <w:right w:val="nil"/>
            </w:tcBorders>
            <w:shd w:val="clear" w:color="auto" w:fill="auto"/>
            <w:noWrap/>
            <w:vAlign w:val="center"/>
            <w:hideMark/>
          </w:tcPr>
          <w:p w:rsidR="00C37B4A" w:rsidRPr="00C37B4A" w:rsidRDefault="00851E26" w:rsidP="00C37B4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2 770</w:t>
            </w:r>
          </w:p>
        </w:tc>
      </w:tr>
      <w:tr w:rsidR="000C3DB2" w:rsidRPr="00C37B4A" w:rsidTr="00AA2FAA">
        <w:trPr>
          <w:trHeight w:val="1020"/>
        </w:trPr>
        <w:tc>
          <w:tcPr>
            <w:tcW w:w="2139" w:type="dxa"/>
            <w:tcBorders>
              <w:top w:val="nil"/>
              <w:left w:val="nil"/>
              <w:right w:val="single" w:sz="4" w:space="0" w:color="auto"/>
            </w:tcBorders>
            <w:shd w:val="clear" w:color="auto" w:fill="auto"/>
            <w:hideMark/>
          </w:tcPr>
          <w:p w:rsidR="000C3DB2" w:rsidRPr="00C37B4A" w:rsidRDefault="000C3DB2" w:rsidP="00AA2FAA">
            <w:pPr>
              <w:spacing w:after="0" w:line="240" w:lineRule="auto"/>
              <w:rPr>
                <w:rFonts w:ascii="Times New Roman" w:eastAsia="Times New Roman" w:hAnsi="Times New Roman" w:cs="Times New Roman"/>
                <w:b/>
                <w:bCs/>
                <w:color w:val="000000"/>
                <w:sz w:val="20"/>
                <w:szCs w:val="20"/>
              </w:rPr>
            </w:pPr>
            <w:r w:rsidRPr="00C37B4A">
              <w:rPr>
                <w:rFonts w:ascii="Times New Roman" w:eastAsia="Times New Roman" w:hAnsi="Times New Roman" w:cs="Times New Roman"/>
                <w:b/>
                <w:bCs/>
                <w:color w:val="000000"/>
                <w:sz w:val="20"/>
                <w:szCs w:val="20"/>
              </w:rPr>
              <w:t> </w:t>
            </w:r>
          </w:p>
        </w:tc>
        <w:tc>
          <w:tcPr>
            <w:tcW w:w="3118" w:type="dxa"/>
            <w:tcBorders>
              <w:top w:val="single" w:sz="4" w:space="0" w:color="auto"/>
              <w:left w:val="nil"/>
              <w:bottom w:val="single" w:sz="4" w:space="0" w:color="auto"/>
              <w:right w:val="nil"/>
            </w:tcBorders>
            <w:shd w:val="clear" w:color="auto" w:fill="auto"/>
            <w:hideMark/>
          </w:tcPr>
          <w:p w:rsidR="000C3DB2" w:rsidRDefault="000C3DB2" w:rsidP="00B003B0">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podpora zvýšenia zberovej plochy zeleniny na ornej pôde o 3 000 ha a intenzifikácia produkcie  zeleniny na priemernú úroveň jej he</w:t>
            </w:r>
            <w:r>
              <w:rPr>
                <w:rFonts w:ascii="Times New Roman" w:eastAsia="Times New Roman" w:hAnsi="Times New Roman" w:cs="Times New Roman"/>
                <w:color w:val="000000"/>
                <w:sz w:val="20"/>
                <w:szCs w:val="20"/>
              </w:rPr>
              <w:t>ktárovej výnosnosti vo výške 20</w:t>
            </w:r>
            <w:r w:rsidRPr="00C37B4A">
              <w:rPr>
                <w:rFonts w:ascii="Times New Roman" w:eastAsia="Times New Roman" w:hAnsi="Times New Roman" w:cs="Times New Roman"/>
                <w:color w:val="000000"/>
                <w:sz w:val="20"/>
                <w:szCs w:val="20"/>
              </w:rPr>
              <w:t>t/ha</w:t>
            </w:r>
          </w:p>
          <w:p w:rsidR="00102CF3" w:rsidRPr="00C37B4A" w:rsidRDefault="00102CF3" w:rsidP="00B003B0">
            <w:pPr>
              <w:spacing w:after="0" w:line="240" w:lineRule="auto"/>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DB2" w:rsidRPr="00C37B4A" w:rsidRDefault="000C3DB2" w:rsidP="00AA2FA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43 084</w:t>
            </w:r>
          </w:p>
        </w:tc>
        <w:tc>
          <w:tcPr>
            <w:tcW w:w="949" w:type="dxa"/>
            <w:tcBorders>
              <w:top w:val="single" w:sz="4" w:space="0" w:color="auto"/>
              <w:left w:val="nil"/>
              <w:bottom w:val="single" w:sz="4" w:space="0" w:color="auto"/>
              <w:right w:val="nil"/>
            </w:tcBorders>
            <w:shd w:val="clear" w:color="auto" w:fill="auto"/>
            <w:noWrap/>
            <w:vAlign w:val="center"/>
            <w:hideMark/>
          </w:tcPr>
          <w:p w:rsidR="000C3DB2" w:rsidRPr="00C37B4A" w:rsidRDefault="000C3DB2" w:rsidP="00AA2FA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893" w:type="dxa"/>
            <w:tcBorders>
              <w:top w:val="single" w:sz="4" w:space="0" w:color="auto"/>
              <w:left w:val="nil"/>
              <w:bottom w:val="single" w:sz="4" w:space="0" w:color="auto"/>
              <w:right w:val="nil"/>
            </w:tcBorders>
            <w:shd w:val="clear" w:color="auto" w:fill="auto"/>
            <w:noWrap/>
            <w:vAlign w:val="center"/>
            <w:hideMark/>
          </w:tcPr>
          <w:p w:rsidR="000C3DB2" w:rsidRPr="00C37B4A" w:rsidRDefault="000C3DB2" w:rsidP="00AA2FA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21 542</w:t>
            </w:r>
          </w:p>
        </w:tc>
        <w:tc>
          <w:tcPr>
            <w:tcW w:w="1135" w:type="dxa"/>
            <w:tcBorders>
              <w:top w:val="single" w:sz="4" w:space="0" w:color="auto"/>
              <w:left w:val="nil"/>
              <w:bottom w:val="single" w:sz="4" w:space="0" w:color="auto"/>
              <w:right w:val="nil"/>
            </w:tcBorders>
            <w:shd w:val="clear" w:color="auto" w:fill="auto"/>
            <w:noWrap/>
            <w:vAlign w:val="center"/>
            <w:hideMark/>
          </w:tcPr>
          <w:p w:rsidR="000C3DB2" w:rsidRPr="00C37B4A" w:rsidRDefault="000C3DB2" w:rsidP="00AA2FA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21 542</w:t>
            </w:r>
          </w:p>
        </w:tc>
      </w:tr>
      <w:tr w:rsidR="00102CF3" w:rsidRPr="00C37B4A" w:rsidTr="00AA2FAA">
        <w:trPr>
          <w:trHeight w:val="1020"/>
        </w:trPr>
        <w:tc>
          <w:tcPr>
            <w:tcW w:w="2139" w:type="dxa"/>
            <w:tcBorders>
              <w:top w:val="nil"/>
              <w:left w:val="nil"/>
              <w:right w:val="single" w:sz="4" w:space="0" w:color="auto"/>
            </w:tcBorders>
            <w:shd w:val="clear" w:color="auto" w:fill="auto"/>
          </w:tcPr>
          <w:p w:rsidR="00102CF3" w:rsidRPr="00C37B4A" w:rsidRDefault="00102CF3" w:rsidP="005F6E4B">
            <w:pPr>
              <w:spacing w:after="0" w:line="240" w:lineRule="auto"/>
              <w:rPr>
                <w:rFonts w:ascii="Times New Roman" w:eastAsia="Times New Roman" w:hAnsi="Times New Roman" w:cs="Times New Roman"/>
                <w:b/>
                <w:bCs/>
                <w:color w:val="000000"/>
                <w:sz w:val="20"/>
                <w:szCs w:val="20"/>
              </w:rPr>
            </w:pPr>
            <w:r w:rsidRPr="00C37B4A">
              <w:rPr>
                <w:rFonts w:ascii="Times New Roman" w:eastAsia="Times New Roman" w:hAnsi="Times New Roman" w:cs="Times New Roman"/>
                <w:b/>
                <w:bCs/>
                <w:color w:val="000000"/>
                <w:sz w:val="20"/>
                <w:szCs w:val="20"/>
              </w:rPr>
              <w:t> </w:t>
            </w:r>
          </w:p>
        </w:tc>
        <w:tc>
          <w:tcPr>
            <w:tcW w:w="3118" w:type="dxa"/>
            <w:tcBorders>
              <w:top w:val="single" w:sz="4" w:space="0" w:color="auto"/>
              <w:left w:val="nil"/>
              <w:bottom w:val="single" w:sz="4" w:space="0" w:color="auto"/>
              <w:right w:val="nil"/>
            </w:tcBorders>
            <w:shd w:val="clear" w:color="auto" w:fill="auto"/>
          </w:tcPr>
          <w:p w:rsidR="00102CF3" w:rsidRDefault="00102CF3" w:rsidP="005F6E4B">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revitalizácia ovocných sadov a intenzifikácia produkcie ovocia mierneho pásma na priemernú úroveň hektárovej výnosnosti ovocia mierneho pásma vo výške 12,27 t/ha</w:t>
            </w:r>
          </w:p>
          <w:p w:rsidR="00102CF3" w:rsidRPr="00C37B4A" w:rsidRDefault="00102CF3" w:rsidP="005F6E4B">
            <w:pPr>
              <w:spacing w:after="0" w:line="240" w:lineRule="auto"/>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CF3" w:rsidRPr="00C37B4A" w:rsidRDefault="00102CF3" w:rsidP="005F6E4B">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114 048</w:t>
            </w:r>
          </w:p>
        </w:tc>
        <w:tc>
          <w:tcPr>
            <w:tcW w:w="949" w:type="dxa"/>
            <w:tcBorders>
              <w:top w:val="single" w:sz="4" w:space="0" w:color="auto"/>
              <w:left w:val="nil"/>
              <w:bottom w:val="single" w:sz="4" w:space="0" w:color="auto"/>
              <w:right w:val="nil"/>
            </w:tcBorders>
            <w:shd w:val="clear" w:color="auto" w:fill="auto"/>
            <w:noWrap/>
            <w:vAlign w:val="center"/>
          </w:tcPr>
          <w:p w:rsidR="00102CF3" w:rsidRPr="00C37B4A" w:rsidRDefault="00102CF3" w:rsidP="005F6E4B">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893" w:type="dxa"/>
            <w:tcBorders>
              <w:top w:val="single" w:sz="4" w:space="0" w:color="auto"/>
              <w:left w:val="nil"/>
              <w:bottom w:val="single" w:sz="4" w:space="0" w:color="auto"/>
              <w:right w:val="nil"/>
            </w:tcBorders>
            <w:shd w:val="clear" w:color="auto" w:fill="auto"/>
            <w:noWrap/>
            <w:vAlign w:val="center"/>
          </w:tcPr>
          <w:p w:rsidR="00102CF3" w:rsidRPr="00C37B4A" w:rsidRDefault="00102CF3" w:rsidP="005F6E4B">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57 024</w:t>
            </w:r>
          </w:p>
        </w:tc>
        <w:tc>
          <w:tcPr>
            <w:tcW w:w="1135" w:type="dxa"/>
            <w:tcBorders>
              <w:top w:val="single" w:sz="4" w:space="0" w:color="auto"/>
              <w:left w:val="nil"/>
              <w:bottom w:val="single" w:sz="4" w:space="0" w:color="auto"/>
              <w:right w:val="nil"/>
            </w:tcBorders>
            <w:shd w:val="clear" w:color="auto" w:fill="auto"/>
            <w:noWrap/>
            <w:vAlign w:val="center"/>
          </w:tcPr>
          <w:p w:rsidR="00102CF3" w:rsidRPr="00C37B4A" w:rsidRDefault="00102CF3" w:rsidP="005F6E4B">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57 024</w:t>
            </w:r>
          </w:p>
        </w:tc>
      </w:tr>
      <w:tr w:rsidR="00102CF3" w:rsidRPr="00C37B4A" w:rsidTr="0027556D">
        <w:trPr>
          <w:trHeight w:val="269"/>
        </w:trPr>
        <w:tc>
          <w:tcPr>
            <w:tcW w:w="5257" w:type="dxa"/>
            <w:gridSpan w:val="2"/>
            <w:vMerge w:val="restart"/>
            <w:tcBorders>
              <w:top w:val="single" w:sz="4" w:space="0" w:color="auto"/>
              <w:left w:val="nil"/>
              <w:right w:val="single" w:sz="4" w:space="0" w:color="auto"/>
            </w:tcBorders>
            <w:shd w:val="clear" w:color="auto" w:fill="D9D9D9" w:themeFill="background1" w:themeFillShade="D9"/>
            <w:vAlign w:val="bottom"/>
          </w:tcPr>
          <w:p w:rsidR="00102CF3" w:rsidRPr="00C37B4A" w:rsidRDefault="00102CF3" w:rsidP="00647B60">
            <w:pPr>
              <w:spacing w:after="0" w:line="240" w:lineRule="auto"/>
              <w:jc w:val="center"/>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lastRenderedPageBreak/>
              <w:t> </w:t>
            </w:r>
          </w:p>
          <w:p w:rsidR="00102CF3" w:rsidRPr="00C37B4A" w:rsidRDefault="00102CF3" w:rsidP="00647B60">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 </w:t>
            </w:r>
          </w:p>
          <w:p w:rsidR="00102CF3" w:rsidRPr="00C37B4A" w:rsidRDefault="00102CF3" w:rsidP="00647B60">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 </w:t>
            </w:r>
          </w:p>
        </w:tc>
        <w:tc>
          <w:tcPr>
            <w:tcW w:w="3828" w:type="dxa"/>
            <w:gridSpan w:val="4"/>
            <w:tcBorders>
              <w:top w:val="single" w:sz="4" w:space="0" w:color="auto"/>
              <w:left w:val="single" w:sz="4" w:space="0" w:color="auto"/>
              <w:bottom w:val="single" w:sz="4" w:space="0" w:color="auto"/>
            </w:tcBorders>
            <w:shd w:val="clear" w:color="auto" w:fill="D9D9D9" w:themeFill="background1" w:themeFillShade="D9"/>
            <w:noWrap/>
            <w:vAlign w:val="bottom"/>
          </w:tcPr>
          <w:p w:rsidR="00102CF3" w:rsidRPr="00C37B4A" w:rsidRDefault="00102CF3" w:rsidP="00647B60">
            <w:pPr>
              <w:spacing w:after="0" w:line="240" w:lineRule="auto"/>
              <w:jc w:val="center"/>
              <w:rPr>
                <w:rFonts w:ascii="Times New Roman" w:eastAsia="Times New Roman" w:hAnsi="Times New Roman" w:cs="Times New Roman"/>
                <w:b/>
                <w:bCs/>
                <w:color w:val="000000"/>
                <w:sz w:val="20"/>
                <w:szCs w:val="20"/>
              </w:rPr>
            </w:pPr>
            <w:r w:rsidRPr="00C37B4A">
              <w:rPr>
                <w:rFonts w:ascii="Times New Roman" w:eastAsia="Times New Roman" w:hAnsi="Times New Roman" w:cs="Times New Roman"/>
                <w:b/>
                <w:bCs/>
                <w:color w:val="000000"/>
                <w:sz w:val="20"/>
                <w:szCs w:val="20"/>
              </w:rPr>
              <w:t>Zabezpečenie financovania (v tis. EUR)</w:t>
            </w:r>
          </w:p>
        </w:tc>
      </w:tr>
      <w:tr w:rsidR="00102CF3" w:rsidRPr="00C37B4A" w:rsidTr="00003E91">
        <w:trPr>
          <w:trHeight w:val="1020"/>
        </w:trPr>
        <w:tc>
          <w:tcPr>
            <w:tcW w:w="5257" w:type="dxa"/>
            <w:gridSpan w:val="2"/>
            <w:vMerge/>
            <w:tcBorders>
              <w:left w:val="nil"/>
              <w:bottom w:val="single" w:sz="4" w:space="0" w:color="auto"/>
              <w:right w:val="single" w:sz="4" w:space="0" w:color="auto"/>
            </w:tcBorders>
            <w:shd w:val="clear" w:color="auto" w:fill="D9D9D9" w:themeFill="background1" w:themeFillShade="D9"/>
            <w:vAlign w:val="center"/>
          </w:tcPr>
          <w:p w:rsidR="00102CF3" w:rsidRPr="00C37B4A" w:rsidRDefault="00102CF3" w:rsidP="00C37B4A">
            <w:pPr>
              <w:spacing w:after="0" w:line="240" w:lineRule="auto"/>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b/>
                <w:bCs/>
                <w:color w:val="000000"/>
                <w:sz w:val="20"/>
                <w:szCs w:val="20"/>
              </w:rPr>
              <w:t>Celkom</w:t>
            </w:r>
          </w:p>
        </w:tc>
        <w:tc>
          <w:tcPr>
            <w:tcW w:w="949" w:type="dxa"/>
            <w:tcBorders>
              <w:top w:val="single" w:sz="4" w:space="0" w:color="auto"/>
              <w:left w:val="nil"/>
              <w:bottom w:val="single" w:sz="4" w:space="0" w:color="auto"/>
              <w:right w:val="nil"/>
            </w:tcBorders>
            <w:shd w:val="clear" w:color="auto" w:fill="D9D9D9" w:themeFill="background1" w:themeFillShade="D9"/>
            <w:noWrap/>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b/>
                <w:bCs/>
                <w:color w:val="000000"/>
                <w:sz w:val="20"/>
                <w:szCs w:val="20"/>
              </w:rPr>
              <w:t>Zdroje štátneho rozpočtu</w:t>
            </w:r>
          </w:p>
        </w:tc>
        <w:tc>
          <w:tcPr>
            <w:tcW w:w="893" w:type="dxa"/>
            <w:tcBorders>
              <w:top w:val="single" w:sz="4" w:space="0" w:color="auto"/>
              <w:left w:val="nil"/>
              <w:bottom w:val="single" w:sz="4" w:space="0" w:color="auto"/>
              <w:right w:val="nil"/>
            </w:tcBorders>
            <w:shd w:val="clear" w:color="auto" w:fill="D9D9D9" w:themeFill="background1" w:themeFillShade="D9"/>
            <w:noWrap/>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b/>
                <w:bCs/>
                <w:color w:val="000000"/>
                <w:sz w:val="20"/>
                <w:szCs w:val="20"/>
              </w:rPr>
              <w:t>Fondy EÚ</w:t>
            </w:r>
          </w:p>
        </w:tc>
        <w:tc>
          <w:tcPr>
            <w:tcW w:w="1135" w:type="dxa"/>
            <w:tcBorders>
              <w:top w:val="single" w:sz="4" w:space="0" w:color="auto"/>
              <w:left w:val="nil"/>
              <w:bottom w:val="single" w:sz="4" w:space="0" w:color="auto"/>
              <w:right w:val="nil"/>
            </w:tcBorders>
            <w:shd w:val="clear" w:color="auto" w:fill="D9D9D9" w:themeFill="background1" w:themeFillShade="D9"/>
            <w:noWrap/>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b/>
                <w:bCs/>
                <w:color w:val="000000"/>
                <w:sz w:val="20"/>
                <w:szCs w:val="20"/>
              </w:rPr>
              <w:t>Spolufinancovanie zo strany žiadateľov</w:t>
            </w:r>
          </w:p>
        </w:tc>
      </w:tr>
      <w:tr w:rsidR="00102CF3" w:rsidRPr="00C37B4A" w:rsidTr="00102CF3">
        <w:trPr>
          <w:trHeight w:val="765"/>
        </w:trPr>
        <w:tc>
          <w:tcPr>
            <w:tcW w:w="2139" w:type="dxa"/>
            <w:tcBorders>
              <w:top w:val="single" w:sz="4" w:space="0" w:color="auto"/>
              <w:left w:val="nil"/>
              <w:bottom w:val="single" w:sz="4" w:space="0" w:color="auto"/>
              <w:right w:val="single" w:sz="4" w:space="0" w:color="auto"/>
            </w:tcBorders>
            <w:shd w:val="clear" w:color="auto" w:fill="F2F2F2" w:themeFill="background1" w:themeFillShade="F2"/>
            <w:hideMark/>
          </w:tcPr>
          <w:p w:rsidR="00102CF3" w:rsidRPr="00C37B4A" w:rsidRDefault="00102CF3" w:rsidP="00C37B4A">
            <w:pPr>
              <w:spacing w:after="0" w:line="240" w:lineRule="auto"/>
              <w:rPr>
                <w:rFonts w:ascii="Times New Roman" w:eastAsia="Times New Roman" w:hAnsi="Times New Roman" w:cs="Times New Roman"/>
                <w:b/>
                <w:bCs/>
                <w:color w:val="000000"/>
                <w:sz w:val="20"/>
                <w:szCs w:val="20"/>
              </w:rPr>
            </w:pPr>
            <w:r w:rsidRPr="00C37B4A">
              <w:rPr>
                <w:rFonts w:ascii="Times New Roman" w:eastAsia="Times New Roman" w:hAnsi="Times New Roman" w:cs="Times New Roman"/>
                <w:b/>
                <w:bCs/>
                <w:color w:val="000000"/>
                <w:sz w:val="20"/>
                <w:szCs w:val="20"/>
              </w:rPr>
              <w:t>Podpora organizácie v rámci potravinového reťazca a riadenie rizík</w:t>
            </w:r>
          </w:p>
        </w:tc>
        <w:tc>
          <w:tcPr>
            <w:tcW w:w="3118" w:type="dxa"/>
            <w:tcBorders>
              <w:top w:val="single" w:sz="4" w:space="0" w:color="auto"/>
              <w:left w:val="nil"/>
              <w:bottom w:val="single" w:sz="4" w:space="0" w:color="auto"/>
              <w:right w:val="nil"/>
            </w:tcBorders>
            <w:shd w:val="clear" w:color="auto" w:fill="F2F2F2" w:themeFill="background1" w:themeFillShade="F2"/>
            <w:hideMark/>
          </w:tcPr>
          <w:p w:rsidR="00102CF3" w:rsidRPr="00C37B4A" w:rsidRDefault="00102CF3" w:rsidP="00C37B4A">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podpora odbytových možností skupín prvovýrobcov</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7 5</w:t>
            </w:r>
            <w:r w:rsidRPr="00C37B4A">
              <w:rPr>
                <w:rFonts w:ascii="Times New Roman" w:eastAsia="Times New Roman" w:hAnsi="Times New Roman" w:cs="Times New Roman"/>
                <w:color w:val="000000"/>
                <w:sz w:val="20"/>
                <w:szCs w:val="20"/>
              </w:rPr>
              <w:t>00</w:t>
            </w:r>
          </w:p>
        </w:tc>
        <w:tc>
          <w:tcPr>
            <w:tcW w:w="949" w:type="dxa"/>
            <w:tcBorders>
              <w:top w:val="nil"/>
              <w:left w:val="nil"/>
              <w:bottom w:val="single" w:sz="4" w:space="0" w:color="auto"/>
              <w:right w:val="nil"/>
            </w:tcBorders>
            <w:shd w:val="clear" w:color="auto" w:fill="F2F2F2" w:themeFill="background1" w:themeFillShade="F2"/>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893" w:type="dxa"/>
            <w:tcBorders>
              <w:top w:val="nil"/>
              <w:left w:val="nil"/>
              <w:bottom w:val="single" w:sz="4" w:space="0" w:color="auto"/>
              <w:right w:val="nil"/>
            </w:tcBorders>
            <w:shd w:val="clear" w:color="auto" w:fill="F2F2F2" w:themeFill="background1" w:themeFillShade="F2"/>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7 5</w:t>
            </w:r>
            <w:r w:rsidRPr="00C37B4A">
              <w:rPr>
                <w:rFonts w:ascii="Times New Roman" w:eastAsia="Times New Roman" w:hAnsi="Times New Roman" w:cs="Times New Roman"/>
                <w:color w:val="000000"/>
                <w:sz w:val="20"/>
                <w:szCs w:val="20"/>
              </w:rPr>
              <w:t>00</w:t>
            </w:r>
          </w:p>
        </w:tc>
        <w:tc>
          <w:tcPr>
            <w:tcW w:w="1135" w:type="dxa"/>
            <w:tcBorders>
              <w:top w:val="nil"/>
              <w:left w:val="nil"/>
              <w:bottom w:val="single" w:sz="4" w:space="0" w:color="auto"/>
              <w:right w:val="nil"/>
            </w:tcBorders>
            <w:shd w:val="clear" w:color="auto" w:fill="F2F2F2" w:themeFill="background1" w:themeFillShade="F2"/>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r>
      <w:tr w:rsidR="00102CF3" w:rsidRPr="00C37B4A" w:rsidTr="00102CF3">
        <w:trPr>
          <w:trHeight w:val="1020"/>
        </w:trPr>
        <w:tc>
          <w:tcPr>
            <w:tcW w:w="2139" w:type="dxa"/>
            <w:tcBorders>
              <w:top w:val="nil"/>
              <w:left w:val="nil"/>
              <w:bottom w:val="single" w:sz="4" w:space="0" w:color="auto"/>
              <w:right w:val="single" w:sz="4" w:space="0" w:color="auto"/>
            </w:tcBorders>
            <w:shd w:val="clear" w:color="auto" w:fill="auto"/>
            <w:hideMark/>
          </w:tcPr>
          <w:p w:rsidR="00102CF3" w:rsidRPr="00C37B4A" w:rsidRDefault="00102CF3" w:rsidP="00C37B4A">
            <w:pPr>
              <w:spacing w:after="0" w:line="240" w:lineRule="auto"/>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Agro-environmentálne</w:t>
            </w:r>
            <w:proofErr w:type="spellEnd"/>
            <w:r>
              <w:rPr>
                <w:rFonts w:ascii="Times New Roman" w:eastAsia="Times New Roman" w:hAnsi="Times New Roman" w:cs="Times New Roman"/>
                <w:b/>
                <w:bCs/>
                <w:color w:val="000000"/>
                <w:sz w:val="20"/>
                <w:szCs w:val="20"/>
              </w:rPr>
              <w:t xml:space="preserve"> operácie súvisiace s klímou</w:t>
            </w:r>
          </w:p>
        </w:tc>
        <w:tc>
          <w:tcPr>
            <w:tcW w:w="3118" w:type="dxa"/>
            <w:tcBorders>
              <w:top w:val="nil"/>
              <w:left w:val="nil"/>
              <w:bottom w:val="single" w:sz="4" w:space="0" w:color="auto"/>
              <w:right w:val="nil"/>
            </w:tcBorders>
            <w:shd w:val="clear" w:color="auto" w:fill="auto"/>
            <w:hideMark/>
          </w:tcPr>
          <w:p w:rsidR="00102CF3" w:rsidRPr="00C37B4A" w:rsidRDefault="00102CF3" w:rsidP="007A1333">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 xml:space="preserve">podpora integrovanej produkcie zemiakov, zeleniny, ovocia, </w:t>
            </w:r>
            <w:r>
              <w:rPr>
                <w:rFonts w:ascii="Times New Roman" w:eastAsia="Times New Roman" w:hAnsi="Times New Roman" w:cs="Times New Roman"/>
                <w:color w:val="000000"/>
                <w:sz w:val="20"/>
                <w:szCs w:val="20"/>
              </w:rPr>
              <w:t>viniča,</w:t>
            </w:r>
            <w:r w:rsidRPr="00C37B4A">
              <w:rPr>
                <w:rFonts w:ascii="Times New Roman" w:eastAsia="Times New Roman" w:hAnsi="Times New Roman" w:cs="Times New Roman"/>
                <w:color w:val="000000"/>
                <w:sz w:val="20"/>
                <w:szCs w:val="20"/>
              </w:rPr>
              <w:t xml:space="preserve"> chmeľu</w:t>
            </w:r>
            <w:r>
              <w:rPr>
                <w:rFonts w:ascii="Times New Roman" w:eastAsia="Times New Roman" w:hAnsi="Times New Roman" w:cs="Times New Roman"/>
                <w:color w:val="000000"/>
                <w:sz w:val="20"/>
                <w:szCs w:val="20"/>
              </w:rPr>
              <w:t xml:space="preserve"> a cukrovej repy</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02CF3" w:rsidRPr="00C37B4A" w:rsidRDefault="00102CF3" w:rsidP="007A133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w:t>
            </w:r>
            <w:r w:rsidRPr="00C37B4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438</w:t>
            </w:r>
          </w:p>
        </w:tc>
        <w:tc>
          <w:tcPr>
            <w:tcW w:w="949" w:type="dxa"/>
            <w:tcBorders>
              <w:top w:val="nil"/>
              <w:left w:val="nil"/>
              <w:bottom w:val="single" w:sz="4" w:space="0" w:color="auto"/>
              <w:right w:val="nil"/>
            </w:tcBorders>
            <w:shd w:val="clear" w:color="auto" w:fill="auto"/>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893" w:type="dxa"/>
            <w:tcBorders>
              <w:top w:val="nil"/>
              <w:left w:val="nil"/>
              <w:bottom w:val="single" w:sz="4" w:space="0" w:color="auto"/>
              <w:right w:val="nil"/>
            </w:tcBorders>
            <w:shd w:val="clear" w:color="auto" w:fill="auto"/>
            <w:noWrap/>
            <w:vAlign w:val="center"/>
            <w:hideMark/>
          </w:tcPr>
          <w:p w:rsidR="00102CF3" w:rsidRPr="00C37B4A" w:rsidRDefault="00102CF3" w:rsidP="007A133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w:t>
            </w:r>
            <w:r w:rsidRPr="00C37B4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438</w:t>
            </w:r>
          </w:p>
        </w:tc>
        <w:tc>
          <w:tcPr>
            <w:tcW w:w="1135" w:type="dxa"/>
            <w:tcBorders>
              <w:top w:val="nil"/>
              <w:left w:val="nil"/>
              <w:bottom w:val="single" w:sz="4" w:space="0" w:color="auto"/>
              <w:right w:val="nil"/>
            </w:tcBorders>
            <w:shd w:val="clear" w:color="auto" w:fill="auto"/>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r>
      <w:tr w:rsidR="00102CF3" w:rsidRPr="00C37B4A" w:rsidTr="00102CF3">
        <w:trPr>
          <w:trHeight w:val="1020"/>
        </w:trPr>
        <w:tc>
          <w:tcPr>
            <w:tcW w:w="2139" w:type="dxa"/>
            <w:tcBorders>
              <w:top w:val="single" w:sz="4" w:space="0" w:color="auto"/>
              <w:left w:val="nil"/>
              <w:bottom w:val="single" w:sz="4" w:space="0" w:color="auto"/>
              <w:right w:val="single" w:sz="4" w:space="0" w:color="auto"/>
            </w:tcBorders>
            <w:shd w:val="clear" w:color="auto" w:fill="F2F2F2" w:themeFill="background1" w:themeFillShade="F2"/>
          </w:tcPr>
          <w:p w:rsidR="00102CF3" w:rsidRDefault="00102CF3" w:rsidP="00C37B4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Dobré životné podmienky zvierat</w:t>
            </w:r>
          </w:p>
        </w:tc>
        <w:tc>
          <w:tcPr>
            <w:tcW w:w="3118" w:type="dxa"/>
            <w:tcBorders>
              <w:top w:val="single" w:sz="4" w:space="0" w:color="auto"/>
              <w:left w:val="nil"/>
              <w:bottom w:val="single" w:sz="4" w:space="0" w:color="auto"/>
              <w:right w:val="nil"/>
            </w:tcBorders>
            <w:shd w:val="clear" w:color="auto" w:fill="F2F2F2" w:themeFill="background1" w:themeFillShade="F2"/>
          </w:tcPr>
          <w:p w:rsidR="00102CF3" w:rsidRPr="00C37B4A" w:rsidRDefault="00102CF3" w:rsidP="007A1333">
            <w:pPr>
              <w:spacing w:after="0" w:line="240" w:lineRule="auto"/>
              <w:rPr>
                <w:rFonts w:ascii="Times New Roman" w:eastAsia="Times New Roman" w:hAnsi="Times New Roman" w:cs="Times New Roman"/>
                <w:color w:val="000000"/>
                <w:sz w:val="20"/>
                <w:szCs w:val="20"/>
              </w:rPr>
            </w:pPr>
            <w:r w:rsidRPr="000C3DB2">
              <w:rPr>
                <w:rFonts w:ascii="Times New Roman" w:eastAsia="Times New Roman" w:hAnsi="Times New Roman" w:cs="Times New Roman"/>
                <w:color w:val="000000"/>
                <w:sz w:val="20"/>
                <w:szCs w:val="20"/>
              </w:rPr>
              <w:t xml:space="preserve">podpora </w:t>
            </w:r>
            <w:r>
              <w:rPr>
                <w:rFonts w:ascii="Times New Roman" w:eastAsia="Times New Roman" w:hAnsi="Times New Roman" w:cs="Times New Roman"/>
                <w:color w:val="000000"/>
                <w:sz w:val="20"/>
                <w:szCs w:val="20"/>
              </w:rPr>
              <w:t xml:space="preserve">dobrých životných podmienok </w:t>
            </w:r>
            <w:proofErr w:type="spellStart"/>
            <w:r w:rsidRPr="000C3DB2">
              <w:rPr>
                <w:rFonts w:ascii="Times New Roman" w:eastAsia="Times New Roman" w:hAnsi="Times New Roman" w:cs="Times New Roman"/>
                <w:color w:val="000000"/>
                <w:sz w:val="20"/>
                <w:szCs w:val="20"/>
              </w:rPr>
              <w:t>monogastrov</w:t>
            </w:r>
            <w:proofErr w:type="spellEnd"/>
            <w:r w:rsidRPr="000C3DB2">
              <w:rPr>
                <w:rFonts w:ascii="Times New Roman" w:eastAsia="Times New Roman" w:hAnsi="Times New Roman" w:cs="Times New Roman"/>
                <w:color w:val="000000"/>
                <w:sz w:val="20"/>
                <w:szCs w:val="20"/>
              </w:rPr>
              <w:t xml:space="preserve"> a dojníc</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02CF3" w:rsidRDefault="00102CF3" w:rsidP="007A133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42 500</w:t>
            </w:r>
          </w:p>
        </w:tc>
        <w:tc>
          <w:tcPr>
            <w:tcW w:w="949" w:type="dxa"/>
            <w:tcBorders>
              <w:top w:val="single" w:sz="4" w:space="0" w:color="auto"/>
              <w:left w:val="nil"/>
              <w:bottom w:val="single" w:sz="4" w:space="0" w:color="auto"/>
              <w:right w:val="nil"/>
            </w:tcBorders>
            <w:shd w:val="clear" w:color="auto" w:fill="F2F2F2" w:themeFill="background1" w:themeFillShade="F2"/>
            <w:noWrap/>
            <w:vAlign w:val="center"/>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93" w:type="dxa"/>
            <w:tcBorders>
              <w:top w:val="single" w:sz="4" w:space="0" w:color="auto"/>
              <w:left w:val="nil"/>
              <w:bottom w:val="single" w:sz="4" w:space="0" w:color="auto"/>
              <w:right w:val="nil"/>
            </w:tcBorders>
            <w:shd w:val="clear" w:color="auto" w:fill="F2F2F2" w:themeFill="background1" w:themeFillShade="F2"/>
            <w:noWrap/>
            <w:vAlign w:val="center"/>
          </w:tcPr>
          <w:p w:rsidR="00102CF3" w:rsidRDefault="00102CF3" w:rsidP="007A133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42 500</w:t>
            </w:r>
          </w:p>
        </w:tc>
        <w:tc>
          <w:tcPr>
            <w:tcW w:w="1135" w:type="dxa"/>
            <w:tcBorders>
              <w:top w:val="single" w:sz="4" w:space="0" w:color="auto"/>
              <w:left w:val="nil"/>
              <w:bottom w:val="single" w:sz="4" w:space="0" w:color="auto"/>
              <w:right w:val="nil"/>
            </w:tcBorders>
            <w:shd w:val="clear" w:color="auto" w:fill="F2F2F2" w:themeFill="background1" w:themeFillShade="F2"/>
            <w:noWrap/>
            <w:vAlign w:val="center"/>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102CF3" w:rsidRPr="00C37B4A" w:rsidTr="00102CF3">
        <w:trPr>
          <w:trHeight w:val="510"/>
        </w:trPr>
        <w:tc>
          <w:tcPr>
            <w:tcW w:w="2139" w:type="dxa"/>
            <w:vMerge w:val="restart"/>
            <w:tcBorders>
              <w:top w:val="single" w:sz="4" w:space="0" w:color="auto"/>
              <w:left w:val="nil"/>
              <w:right w:val="single" w:sz="4" w:space="0" w:color="auto"/>
            </w:tcBorders>
            <w:shd w:val="clear" w:color="auto" w:fill="auto"/>
            <w:hideMark/>
          </w:tcPr>
          <w:p w:rsidR="00102CF3" w:rsidRDefault="00102CF3" w:rsidP="00C37B4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Investície do rozvoja lesných oblastí</w:t>
            </w:r>
          </w:p>
          <w:p w:rsidR="00102CF3" w:rsidRDefault="00102CF3" w:rsidP="00C37B4A">
            <w:pPr>
              <w:spacing w:after="0" w:line="240" w:lineRule="auto"/>
              <w:rPr>
                <w:rFonts w:ascii="Times New Roman" w:eastAsia="Times New Roman" w:hAnsi="Times New Roman" w:cs="Times New Roman"/>
                <w:color w:val="000000"/>
                <w:sz w:val="20"/>
                <w:szCs w:val="20"/>
              </w:rPr>
            </w:pPr>
          </w:p>
          <w:p w:rsidR="00102CF3" w:rsidRPr="00C37B4A" w:rsidRDefault="00102CF3" w:rsidP="00C37B4A">
            <w:pPr>
              <w:spacing w:after="0" w:line="240" w:lineRule="auto"/>
              <w:rPr>
                <w:rFonts w:ascii="Times New Roman" w:eastAsia="Times New Roman" w:hAnsi="Times New Roman" w:cs="Times New Roman"/>
                <w:b/>
                <w:bCs/>
                <w:color w:val="000000"/>
                <w:sz w:val="20"/>
                <w:szCs w:val="20"/>
              </w:rPr>
            </w:pPr>
          </w:p>
        </w:tc>
        <w:tc>
          <w:tcPr>
            <w:tcW w:w="3118" w:type="dxa"/>
            <w:tcBorders>
              <w:top w:val="single" w:sz="4" w:space="0" w:color="auto"/>
              <w:left w:val="nil"/>
              <w:bottom w:val="single" w:sz="4" w:space="0" w:color="auto"/>
              <w:right w:val="nil"/>
            </w:tcBorders>
            <w:shd w:val="clear" w:color="auto" w:fill="auto"/>
            <w:hideMark/>
          </w:tcPr>
          <w:p w:rsidR="00102CF3" w:rsidRPr="00C37B4A" w:rsidRDefault="00102CF3" w:rsidP="00C37B4A">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príprava techniky a technológií obhospodarovateľov lesov</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54 500</w:t>
            </w:r>
          </w:p>
        </w:tc>
        <w:tc>
          <w:tcPr>
            <w:tcW w:w="949" w:type="dxa"/>
            <w:tcBorders>
              <w:top w:val="single" w:sz="4" w:space="0" w:color="auto"/>
              <w:left w:val="nil"/>
              <w:bottom w:val="single" w:sz="4" w:space="0" w:color="auto"/>
              <w:right w:val="nil"/>
            </w:tcBorders>
            <w:shd w:val="clear" w:color="auto" w:fill="auto"/>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893" w:type="dxa"/>
            <w:tcBorders>
              <w:top w:val="single" w:sz="4" w:space="0" w:color="auto"/>
              <w:left w:val="nil"/>
              <w:bottom w:val="single" w:sz="4" w:space="0" w:color="auto"/>
              <w:right w:val="nil"/>
            </w:tcBorders>
            <w:shd w:val="clear" w:color="auto" w:fill="auto"/>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27 250</w:t>
            </w:r>
          </w:p>
        </w:tc>
        <w:tc>
          <w:tcPr>
            <w:tcW w:w="1135" w:type="dxa"/>
            <w:tcBorders>
              <w:top w:val="single" w:sz="4" w:space="0" w:color="auto"/>
              <w:left w:val="nil"/>
              <w:bottom w:val="single" w:sz="4" w:space="0" w:color="auto"/>
              <w:right w:val="nil"/>
            </w:tcBorders>
            <w:shd w:val="clear" w:color="auto" w:fill="auto"/>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27 250</w:t>
            </w:r>
          </w:p>
        </w:tc>
      </w:tr>
      <w:tr w:rsidR="00102CF3" w:rsidRPr="00C37B4A" w:rsidTr="00102CF3">
        <w:trPr>
          <w:trHeight w:val="510"/>
        </w:trPr>
        <w:tc>
          <w:tcPr>
            <w:tcW w:w="2139" w:type="dxa"/>
            <w:vMerge/>
            <w:tcBorders>
              <w:left w:val="nil"/>
              <w:bottom w:val="single" w:sz="4" w:space="0" w:color="000000"/>
              <w:right w:val="single" w:sz="4" w:space="0" w:color="auto"/>
            </w:tcBorders>
            <w:shd w:val="clear" w:color="auto" w:fill="auto"/>
            <w:vAlign w:val="center"/>
            <w:hideMark/>
          </w:tcPr>
          <w:p w:rsidR="00102CF3" w:rsidRPr="00C37B4A" w:rsidRDefault="00102CF3" w:rsidP="00C37B4A">
            <w:pPr>
              <w:spacing w:after="0" w:line="240" w:lineRule="auto"/>
              <w:rPr>
                <w:rFonts w:ascii="Times New Roman" w:eastAsia="Times New Roman" w:hAnsi="Times New Roman" w:cs="Times New Roman"/>
                <w:b/>
                <w:bCs/>
                <w:color w:val="000000"/>
                <w:sz w:val="20"/>
                <w:szCs w:val="20"/>
              </w:rPr>
            </w:pPr>
          </w:p>
        </w:tc>
        <w:tc>
          <w:tcPr>
            <w:tcW w:w="3118" w:type="dxa"/>
            <w:tcBorders>
              <w:top w:val="nil"/>
              <w:left w:val="nil"/>
              <w:bottom w:val="nil"/>
              <w:right w:val="nil"/>
            </w:tcBorders>
            <w:shd w:val="clear" w:color="auto" w:fill="auto"/>
            <w:hideMark/>
          </w:tcPr>
          <w:p w:rsidR="00102CF3" w:rsidRPr="00C37B4A" w:rsidRDefault="00102CF3" w:rsidP="00C37B4A">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podpora využívania lesnej biomasy na výrobu energie</w:t>
            </w:r>
          </w:p>
        </w:tc>
        <w:tc>
          <w:tcPr>
            <w:tcW w:w="851" w:type="dxa"/>
            <w:tcBorders>
              <w:top w:val="nil"/>
              <w:left w:val="single" w:sz="4" w:space="0" w:color="auto"/>
              <w:bottom w:val="nil"/>
              <w:right w:val="single" w:sz="4" w:space="0" w:color="auto"/>
            </w:tcBorders>
            <w:shd w:val="clear" w:color="auto" w:fill="auto"/>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19 875</w:t>
            </w:r>
          </w:p>
        </w:tc>
        <w:tc>
          <w:tcPr>
            <w:tcW w:w="949" w:type="dxa"/>
            <w:tcBorders>
              <w:top w:val="nil"/>
              <w:left w:val="nil"/>
              <w:bottom w:val="nil"/>
              <w:right w:val="nil"/>
            </w:tcBorders>
            <w:shd w:val="clear" w:color="auto" w:fill="auto"/>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893" w:type="dxa"/>
            <w:tcBorders>
              <w:top w:val="nil"/>
              <w:left w:val="nil"/>
              <w:bottom w:val="nil"/>
              <w:right w:val="nil"/>
            </w:tcBorders>
            <w:shd w:val="clear" w:color="auto" w:fill="auto"/>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9 938</w:t>
            </w:r>
          </w:p>
        </w:tc>
        <w:tc>
          <w:tcPr>
            <w:tcW w:w="1135" w:type="dxa"/>
            <w:tcBorders>
              <w:top w:val="nil"/>
              <w:left w:val="nil"/>
              <w:bottom w:val="nil"/>
              <w:right w:val="nil"/>
            </w:tcBorders>
            <w:shd w:val="clear" w:color="auto" w:fill="auto"/>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9 937</w:t>
            </w:r>
          </w:p>
        </w:tc>
      </w:tr>
      <w:tr w:rsidR="00102CF3" w:rsidRPr="00C37B4A" w:rsidTr="00102CF3">
        <w:trPr>
          <w:trHeight w:val="510"/>
        </w:trPr>
        <w:tc>
          <w:tcPr>
            <w:tcW w:w="2139" w:type="dxa"/>
            <w:vMerge w:val="restart"/>
            <w:tcBorders>
              <w:top w:val="single" w:sz="4" w:space="0" w:color="auto"/>
              <w:left w:val="nil"/>
              <w:right w:val="single" w:sz="4" w:space="0" w:color="auto"/>
            </w:tcBorders>
            <w:shd w:val="clear" w:color="auto" w:fill="F2F2F2" w:themeFill="background1" w:themeFillShade="F2"/>
            <w:vAlign w:val="center"/>
            <w:hideMark/>
          </w:tcPr>
          <w:p w:rsidR="00102CF3" w:rsidRPr="00C37B4A" w:rsidRDefault="00102CF3" w:rsidP="00C37B4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Obnova</w:t>
            </w:r>
            <w:r w:rsidRPr="007A1333">
              <w:rPr>
                <w:rFonts w:ascii="Times New Roman" w:eastAsia="Times New Roman" w:hAnsi="Times New Roman" w:cs="Times New Roman"/>
                <w:b/>
                <w:bCs/>
                <w:color w:val="000000"/>
                <w:sz w:val="20"/>
                <w:szCs w:val="20"/>
              </w:rPr>
              <w:t xml:space="preserve"> potenciálu poľnohospodárskej výroby zničeného prírodnými katastrofami a katastrofickými udalosťami a zavedeni</w:t>
            </w:r>
            <w:r>
              <w:rPr>
                <w:rFonts w:ascii="Times New Roman" w:eastAsia="Times New Roman" w:hAnsi="Times New Roman" w:cs="Times New Roman"/>
                <w:b/>
                <w:bCs/>
                <w:color w:val="000000"/>
                <w:sz w:val="20"/>
                <w:szCs w:val="20"/>
              </w:rPr>
              <w:t>e</w:t>
            </w:r>
            <w:r w:rsidRPr="007A1333">
              <w:rPr>
                <w:rFonts w:ascii="Times New Roman" w:eastAsia="Times New Roman" w:hAnsi="Times New Roman" w:cs="Times New Roman"/>
                <w:b/>
                <w:bCs/>
                <w:color w:val="000000"/>
                <w:sz w:val="20"/>
                <w:szCs w:val="20"/>
              </w:rPr>
              <w:t xml:space="preserve"> vhodných preventívnych opatrení</w:t>
            </w:r>
          </w:p>
        </w:tc>
        <w:tc>
          <w:tcPr>
            <w:tcW w:w="3118" w:type="dxa"/>
            <w:tcBorders>
              <w:top w:val="single" w:sz="4" w:space="0" w:color="auto"/>
              <w:left w:val="nil"/>
              <w:bottom w:val="single" w:sz="4" w:space="0" w:color="auto"/>
              <w:right w:val="nil"/>
            </w:tcBorders>
            <w:shd w:val="clear" w:color="auto" w:fill="F2F2F2" w:themeFill="background1" w:themeFillShade="F2"/>
            <w:hideMark/>
          </w:tcPr>
          <w:p w:rsidR="00102CF3" w:rsidRPr="00C37B4A" w:rsidRDefault="00102CF3" w:rsidP="00C37B4A">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zabezpečenie starostlivosti o drobné vodné toky v správe MPRV SR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40 000</w:t>
            </w:r>
          </w:p>
        </w:tc>
        <w:tc>
          <w:tcPr>
            <w:tcW w:w="949" w:type="dxa"/>
            <w:tcBorders>
              <w:top w:val="single" w:sz="4" w:space="0" w:color="auto"/>
              <w:left w:val="nil"/>
              <w:bottom w:val="single" w:sz="4" w:space="0" w:color="auto"/>
              <w:right w:val="nil"/>
            </w:tcBorders>
            <w:shd w:val="clear" w:color="auto" w:fill="F2F2F2" w:themeFill="background1" w:themeFillShade="F2"/>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893" w:type="dxa"/>
            <w:tcBorders>
              <w:top w:val="single" w:sz="4" w:space="0" w:color="auto"/>
              <w:left w:val="nil"/>
              <w:bottom w:val="single" w:sz="4" w:space="0" w:color="auto"/>
              <w:right w:val="nil"/>
            </w:tcBorders>
            <w:shd w:val="clear" w:color="auto" w:fill="F2F2F2" w:themeFill="background1" w:themeFillShade="F2"/>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20 000</w:t>
            </w:r>
          </w:p>
        </w:tc>
        <w:tc>
          <w:tcPr>
            <w:tcW w:w="1135" w:type="dxa"/>
            <w:tcBorders>
              <w:top w:val="single" w:sz="4" w:space="0" w:color="auto"/>
              <w:left w:val="nil"/>
              <w:bottom w:val="single" w:sz="4" w:space="0" w:color="auto"/>
              <w:right w:val="nil"/>
            </w:tcBorders>
            <w:shd w:val="clear" w:color="auto" w:fill="F2F2F2" w:themeFill="background1" w:themeFillShade="F2"/>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20 000</w:t>
            </w:r>
          </w:p>
        </w:tc>
      </w:tr>
      <w:tr w:rsidR="00102CF3" w:rsidRPr="00C37B4A" w:rsidTr="00102CF3">
        <w:trPr>
          <w:trHeight w:val="1800"/>
        </w:trPr>
        <w:tc>
          <w:tcPr>
            <w:tcW w:w="2139" w:type="dxa"/>
            <w:vMerge/>
            <w:tcBorders>
              <w:left w:val="nil"/>
              <w:bottom w:val="single" w:sz="4" w:space="0" w:color="000000"/>
              <w:right w:val="single" w:sz="4" w:space="0" w:color="auto"/>
            </w:tcBorders>
            <w:shd w:val="clear" w:color="auto" w:fill="F2F2F2" w:themeFill="background1" w:themeFillShade="F2"/>
            <w:vAlign w:val="center"/>
            <w:hideMark/>
          </w:tcPr>
          <w:p w:rsidR="00102CF3" w:rsidRPr="00C37B4A" w:rsidRDefault="00102CF3" w:rsidP="00C37B4A">
            <w:pPr>
              <w:spacing w:after="0" w:line="240" w:lineRule="auto"/>
              <w:rPr>
                <w:rFonts w:ascii="Times New Roman" w:eastAsia="Times New Roman" w:hAnsi="Times New Roman" w:cs="Times New Roman"/>
                <w:b/>
                <w:bCs/>
                <w:color w:val="000000"/>
                <w:sz w:val="20"/>
                <w:szCs w:val="20"/>
              </w:rPr>
            </w:pPr>
          </w:p>
        </w:tc>
        <w:tc>
          <w:tcPr>
            <w:tcW w:w="3118" w:type="dxa"/>
            <w:tcBorders>
              <w:top w:val="single" w:sz="4" w:space="0" w:color="auto"/>
              <w:left w:val="nil"/>
              <w:bottom w:val="single" w:sz="4" w:space="0" w:color="auto"/>
              <w:right w:val="nil"/>
            </w:tcBorders>
            <w:shd w:val="clear" w:color="auto" w:fill="F2F2F2" w:themeFill="background1" w:themeFillShade="F2"/>
            <w:hideMark/>
          </w:tcPr>
          <w:p w:rsidR="00102CF3" w:rsidRPr="00C37B4A" w:rsidRDefault="00102CF3" w:rsidP="00C37B4A">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obnova funkcií lesov na plochách postihnutých kalamitou a zvýšenie stability lesných porastov</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02CF3" w:rsidRPr="00C37B4A" w:rsidRDefault="00102CF3" w:rsidP="009E6361">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14 000</w:t>
            </w:r>
          </w:p>
        </w:tc>
        <w:tc>
          <w:tcPr>
            <w:tcW w:w="949" w:type="dxa"/>
            <w:tcBorders>
              <w:top w:val="single" w:sz="4" w:space="0" w:color="auto"/>
              <w:left w:val="nil"/>
              <w:bottom w:val="single" w:sz="4" w:space="0" w:color="auto"/>
              <w:right w:val="nil"/>
            </w:tcBorders>
            <w:shd w:val="clear" w:color="auto" w:fill="F2F2F2" w:themeFill="background1" w:themeFillShade="F2"/>
            <w:noWrap/>
            <w:vAlign w:val="center"/>
            <w:hideMark/>
          </w:tcPr>
          <w:p w:rsidR="00102CF3" w:rsidRPr="00C37B4A" w:rsidRDefault="00102CF3" w:rsidP="009E6361">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893" w:type="dxa"/>
            <w:tcBorders>
              <w:top w:val="single" w:sz="4" w:space="0" w:color="auto"/>
              <w:left w:val="nil"/>
              <w:bottom w:val="single" w:sz="4" w:space="0" w:color="auto"/>
              <w:right w:val="nil"/>
            </w:tcBorders>
            <w:shd w:val="clear" w:color="auto" w:fill="F2F2F2" w:themeFill="background1" w:themeFillShade="F2"/>
            <w:noWrap/>
            <w:vAlign w:val="center"/>
            <w:hideMark/>
          </w:tcPr>
          <w:p w:rsidR="00102CF3" w:rsidRPr="00C37B4A" w:rsidRDefault="00102CF3" w:rsidP="009E6361">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7 000</w:t>
            </w:r>
          </w:p>
        </w:tc>
        <w:tc>
          <w:tcPr>
            <w:tcW w:w="1135" w:type="dxa"/>
            <w:tcBorders>
              <w:top w:val="single" w:sz="4" w:space="0" w:color="auto"/>
              <w:left w:val="nil"/>
              <w:bottom w:val="single" w:sz="4" w:space="0" w:color="auto"/>
              <w:right w:val="nil"/>
            </w:tcBorders>
            <w:shd w:val="clear" w:color="auto" w:fill="F2F2F2" w:themeFill="background1" w:themeFillShade="F2"/>
            <w:noWrap/>
            <w:vAlign w:val="center"/>
            <w:hideMark/>
          </w:tcPr>
          <w:p w:rsidR="00102CF3" w:rsidRPr="00C37B4A" w:rsidRDefault="00102CF3" w:rsidP="009E6361">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7 000</w:t>
            </w:r>
          </w:p>
        </w:tc>
      </w:tr>
      <w:tr w:rsidR="00102CF3" w:rsidRPr="00C37B4A" w:rsidTr="00102CF3">
        <w:trPr>
          <w:trHeight w:val="1117"/>
        </w:trPr>
        <w:tc>
          <w:tcPr>
            <w:tcW w:w="2139" w:type="dxa"/>
            <w:tcBorders>
              <w:top w:val="nil"/>
              <w:left w:val="nil"/>
              <w:bottom w:val="single" w:sz="4" w:space="0" w:color="auto"/>
              <w:right w:val="single" w:sz="4" w:space="0" w:color="auto"/>
            </w:tcBorders>
            <w:shd w:val="clear" w:color="auto" w:fill="auto"/>
            <w:vAlign w:val="center"/>
          </w:tcPr>
          <w:p w:rsidR="00102CF3" w:rsidRPr="0027556D" w:rsidRDefault="00102CF3" w:rsidP="0027556D">
            <w:pPr>
              <w:spacing w:after="0" w:line="240" w:lineRule="auto"/>
              <w:rPr>
                <w:rFonts w:ascii="Times New Roman" w:eastAsia="Times New Roman" w:hAnsi="Times New Roman" w:cs="Times New Roman"/>
                <w:b/>
                <w:bCs/>
                <w:caps/>
                <w:color w:val="000000"/>
                <w:sz w:val="20"/>
                <w:szCs w:val="20"/>
              </w:rPr>
            </w:pPr>
            <w:r w:rsidRPr="0027556D">
              <w:rPr>
                <w:rFonts w:ascii="Times New Roman" w:eastAsia="Times New Roman" w:hAnsi="Times New Roman" w:cs="Times New Roman"/>
                <w:b/>
                <w:bCs/>
                <w:caps/>
                <w:color w:val="000000"/>
                <w:sz w:val="20"/>
                <w:szCs w:val="20"/>
              </w:rPr>
              <w:t>Projektová podpora z fondov EÚ celkom</w:t>
            </w:r>
          </w:p>
        </w:tc>
        <w:tc>
          <w:tcPr>
            <w:tcW w:w="3118" w:type="dxa"/>
            <w:tcBorders>
              <w:top w:val="nil"/>
              <w:left w:val="nil"/>
              <w:bottom w:val="single" w:sz="4" w:space="0" w:color="auto"/>
              <w:right w:val="nil"/>
            </w:tcBorders>
            <w:shd w:val="clear" w:color="auto" w:fill="auto"/>
          </w:tcPr>
          <w:p w:rsidR="00102CF3" w:rsidRPr="00C37B4A" w:rsidRDefault="00102CF3" w:rsidP="00C37B4A">
            <w:pPr>
              <w:spacing w:after="0" w:line="240" w:lineRule="auto"/>
              <w:rPr>
                <w:rFonts w:ascii="Times New Roman" w:eastAsia="Times New Roman" w:hAnsi="Times New Roman" w:cs="Times New Roman"/>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02CF3" w:rsidRPr="0027556D" w:rsidRDefault="00102CF3" w:rsidP="00C37B4A">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495 062</w:t>
            </w:r>
          </w:p>
        </w:tc>
        <w:tc>
          <w:tcPr>
            <w:tcW w:w="949" w:type="dxa"/>
            <w:tcBorders>
              <w:top w:val="nil"/>
              <w:left w:val="nil"/>
              <w:bottom w:val="single" w:sz="4" w:space="0" w:color="auto"/>
              <w:right w:val="nil"/>
            </w:tcBorders>
            <w:shd w:val="clear" w:color="auto" w:fill="auto"/>
            <w:noWrap/>
            <w:vAlign w:val="center"/>
          </w:tcPr>
          <w:p w:rsidR="00102CF3" w:rsidRPr="0027556D" w:rsidRDefault="00102CF3" w:rsidP="00C37B4A">
            <w:pPr>
              <w:spacing w:after="0" w:line="240" w:lineRule="auto"/>
              <w:jc w:val="right"/>
              <w:rPr>
                <w:rFonts w:ascii="Times New Roman" w:eastAsia="Times New Roman" w:hAnsi="Times New Roman" w:cs="Times New Roman"/>
                <w:b/>
                <w:color w:val="000000"/>
                <w:sz w:val="20"/>
                <w:szCs w:val="20"/>
              </w:rPr>
            </w:pPr>
            <w:r w:rsidRPr="0027556D">
              <w:rPr>
                <w:rFonts w:ascii="Times New Roman" w:eastAsia="Times New Roman" w:hAnsi="Times New Roman" w:cs="Times New Roman"/>
                <w:b/>
                <w:color w:val="000000"/>
                <w:sz w:val="20"/>
                <w:szCs w:val="20"/>
              </w:rPr>
              <w:t>0</w:t>
            </w:r>
          </w:p>
        </w:tc>
        <w:tc>
          <w:tcPr>
            <w:tcW w:w="893" w:type="dxa"/>
            <w:tcBorders>
              <w:top w:val="nil"/>
              <w:left w:val="nil"/>
              <w:bottom w:val="single" w:sz="4" w:space="0" w:color="auto"/>
              <w:right w:val="nil"/>
            </w:tcBorders>
            <w:shd w:val="clear" w:color="auto" w:fill="auto"/>
            <w:noWrap/>
            <w:vAlign w:val="center"/>
          </w:tcPr>
          <w:p w:rsidR="00102CF3" w:rsidRPr="002F2162" w:rsidRDefault="00102CF3" w:rsidP="0027556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318 </w:t>
            </w:r>
            <w:r w:rsidRPr="002F2162">
              <w:rPr>
                <w:rFonts w:ascii="Times New Roman" w:hAnsi="Times New Roman" w:cs="Times New Roman"/>
                <w:b/>
                <w:sz w:val="20"/>
                <w:szCs w:val="20"/>
              </w:rPr>
              <w:t>7</w:t>
            </w:r>
            <w:r>
              <w:rPr>
                <w:rFonts w:ascii="Times New Roman" w:hAnsi="Times New Roman" w:cs="Times New Roman"/>
                <w:b/>
                <w:sz w:val="20"/>
                <w:szCs w:val="20"/>
              </w:rPr>
              <w:t>52</w:t>
            </w:r>
          </w:p>
        </w:tc>
        <w:tc>
          <w:tcPr>
            <w:tcW w:w="1135" w:type="dxa"/>
            <w:tcBorders>
              <w:top w:val="nil"/>
              <w:left w:val="nil"/>
              <w:bottom w:val="single" w:sz="4" w:space="0" w:color="auto"/>
              <w:right w:val="nil"/>
            </w:tcBorders>
            <w:shd w:val="clear" w:color="auto" w:fill="auto"/>
            <w:noWrap/>
            <w:vAlign w:val="center"/>
          </w:tcPr>
          <w:p w:rsidR="00102CF3" w:rsidRPr="002F2162" w:rsidRDefault="00102CF3" w:rsidP="0027556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176 310</w:t>
            </w:r>
          </w:p>
        </w:tc>
      </w:tr>
      <w:tr w:rsidR="00102CF3" w:rsidRPr="00C37B4A" w:rsidTr="00003E91">
        <w:trPr>
          <w:trHeight w:val="510"/>
        </w:trPr>
        <w:tc>
          <w:tcPr>
            <w:tcW w:w="2139" w:type="dxa"/>
            <w:vMerge w:val="restart"/>
            <w:tcBorders>
              <w:top w:val="single" w:sz="4" w:space="0" w:color="auto"/>
              <w:left w:val="nil"/>
              <w:bottom w:val="nil"/>
              <w:right w:val="single" w:sz="4" w:space="0" w:color="auto"/>
            </w:tcBorders>
            <w:shd w:val="clear" w:color="auto" w:fill="FFFFFF" w:themeFill="background1"/>
            <w:hideMark/>
          </w:tcPr>
          <w:p w:rsidR="00102CF3" w:rsidRPr="00C37B4A" w:rsidRDefault="00102CF3" w:rsidP="00C37B4A">
            <w:pPr>
              <w:spacing w:after="0" w:line="240" w:lineRule="auto"/>
              <w:rPr>
                <w:rFonts w:ascii="Times New Roman" w:eastAsia="Times New Roman" w:hAnsi="Times New Roman" w:cs="Times New Roman"/>
                <w:b/>
                <w:bCs/>
                <w:color w:val="000000"/>
                <w:sz w:val="20"/>
                <w:szCs w:val="20"/>
              </w:rPr>
            </w:pPr>
            <w:r w:rsidRPr="00C37B4A">
              <w:rPr>
                <w:rFonts w:ascii="Times New Roman" w:eastAsia="Times New Roman" w:hAnsi="Times New Roman" w:cs="Times New Roman"/>
                <w:b/>
                <w:bCs/>
                <w:color w:val="000000"/>
                <w:sz w:val="20"/>
                <w:szCs w:val="20"/>
              </w:rPr>
              <w:t>Podporné opatrenia národného záujmu na realizáciu priorít koncepcie</w:t>
            </w:r>
          </w:p>
        </w:tc>
        <w:tc>
          <w:tcPr>
            <w:tcW w:w="3118" w:type="dxa"/>
            <w:tcBorders>
              <w:top w:val="single" w:sz="4" w:space="0" w:color="auto"/>
              <w:left w:val="nil"/>
              <w:bottom w:val="nil"/>
              <w:right w:val="nil"/>
            </w:tcBorders>
            <w:shd w:val="clear" w:color="auto" w:fill="FFFFFF" w:themeFill="background1"/>
            <w:hideMark/>
          </w:tcPr>
          <w:p w:rsidR="00102CF3" w:rsidRPr="00C37B4A" w:rsidRDefault="00102CF3" w:rsidP="00C37B4A">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podpora financovania nákupu poľnohospodárskej pôdy</w:t>
            </w:r>
          </w:p>
        </w:tc>
        <w:tc>
          <w:tcPr>
            <w:tcW w:w="851" w:type="dxa"/>
            <w:tcBorders>
              <w:top w:val="single" w:sz="4" w:space="0" w:color="auto"/>
              <w:left w:val="single" w:sz="4" w:space="0" w:color="auto"/>
              <w:bottom w:val="nil"/>
              <w:right w:val="single" w:sz="4" w:space="0" w:color="auto"/>
            </w:tcBorders>
            <w:shd w:val="clear" w:color="auto" w:fill="FFFFFF" w:themeFill="background1"/>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949" w:type="dxa"/>
            <w:tcBorders>
              <w:top w:val="single" w:sz="4" w:space="0" w:color="auto"/>
              <w:left w:val="nil"/>
              <w:bottom w:val="nil"/>
              <w:right w:val="nil"/>
            </w:tcBorders>
            <w:shd w:val="clear" w:color="auto" w:fill="FFFFFF" w:themeFill="background1"/>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893" w:type="dxa"/>
            <w:tcBorders>
              <w:top w:val="single" w:sz="4" w:space="0" w:color="auto"/>
              <w:left w:val="nil"/>
              <w:bottom w:val="nil"/>
              <w:right w:val="nil"/>
            </w:tcBorders>
            <w:shd w:val="clear" w:color="auto" w:fill="FFFFFF" w:themeFill="background1"/>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1135" w:type="dxa"/>
            <w:tcBorders>
              <w:top w:val="single" w:sz="4" w:space="0" w:color="auto"/>
              <w:left w:val="nil"/>
              <w:bottom w:val="nil"/>
              <w:right w:val="nil"/>
            </w:tcBorders>
            <w:shd w:val="clear" w:color="auto" w:fill="FFFFFF" w:themeFill="background1"/>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r>
      <w:tr w:rsidR="00102CF3" w:rsidRPr="00C37B4A" w:rsidTr="0078595B">
        <w:trPr>
          <w:trHeight w:val="765"/>
        </w:trPr>
        <w:tc>
          <w:tcPr>
            <w:tcW w:w="2139" w:type="dxa"/>
            <w:vMerge/>
            <w:tcBorders>
              <w:top w:val="nil"/>
              <w:left w:val="nil"/>
              <w:bottom w:val="nil"/>
              <w:right w:val="single" w:sz="4" w:space="0" w:color="auto"/>
            </w:tcBorders>
            <w:shd w:val="clear" w:color="auto" w:fill="FFFFFF" w:themeFill="background1"/>
            <w:vAlign w:val="center"/>
            <w:hideMark/>
          </w:tcPr>
          <w:p w:rsidR="00102CF3" w:rsidRPr="00C37B4A" w:rsidRDefault="00102CF3" w:rsidP="00C37B4A">
            <w:pPr>
              <w:spacing w:after="0" w:line="240" w:lineRule="auto"/>
              <w:rPr>
                <w:rFonts w:ascii="Times New Roman" w:eastAsia="Times New Roman" w:hAnsi="Times New Roman" w:cs="Times New Roman"/>
                <w:b/>
                <w:bCs/>
                <w:color w:val="000000"/>
                <w:sz w:val="20"/>
                <w:szCs w:val="20"/>
              </w:rPr>
            </w:pPr>
          </w:p>
        </w:tc>
        <w:tc>
          <w:tcPr>
            <w:tcW w:w="3118" w:type="dxa"/>
            <w:tcBorders>
              <w:top w:val="single" w:sz="4" w:space="0" w:color="auto"/>
              <w:left w:val="nil"/>
              <w:bottom w:val="single" w:sz="4" w:space="0" w:color="auto"/>
              <w:right w:val="nil"/>
            </w:tcBorders>
            <w:shd w:val="clear" w:color="auto" w:fill="FFFFFF" w:themeFill="background1"/>
            <w:hideMark/>
          </w:tcPr>
          <w:p w:rsidR="00102CF3" w:rsidRPr="00C37B4A" w:rsidRDefault="00102CF3" w:rsidP="00342C7E">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podpora produkcie a odbytu</w:t>
            </w:r>
            <w:r>
              <w:rPr>
                <w:rFonts w:ascii="Times New Roman" w:eastAsia="Times New Roman" w:hAnsi="Times New Roman" w:cs="Times New Roman"/>
                <w:color w:val="000000"/>
                <w:sz w:val="20"/>
                <w:szCs w:val="20"/>
              </w:rPr>
              <w:t xml:space="preserve"> tradičnej slovenskej bryndze a ďalších výrobkov z ovčieho syra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700</w:t>
            </w:r>
          </w:p>
        </w:tc>
        <w:tc>
          <w:tcPr>
            <w:tcW w:w="949" w:type="dxa"/>
            <w:tcBorders>
              <w:top w:val="single" w:sz="4" w:space="0" w:color="auto"/>
              <w:left w:val="nil"/>
              <w:bottom w:val="single" w:sz="4" w:space="0" w:color="auto"/>
              <w:right w:val="nil"/>
            </w:tcBorders>
            <w:shd w:val="clear" w:color="auto" w:fill="FFFFFF" w:themeFill="background1"/>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700</w:t>
            </w:r>
          </w:p>
        </w:tc>
        <w:tc>
          <w:tcPr>
            <w:tcW w:w="893" w:type="dxa"/>
            <w:tcBorders>
              <w:top w:val="single" w:sz="4" w:space="0" w:color="auto"/>
              <w:left w:val="nil"/>
              <w:bottom w:val="single" w:sz="4" w:space="0" w:color="auto"/>
              <w:right w:val="nil"/>
            </w:tcBorders>
            <w:shd w:val="clear" w:color="auto" w:fill="FFFFFF" w:themeFill="background1"/>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1135" w:type="dxa"/>
            <w:tcBorders>
              <w:top w:val="single" w:sz="4" w:space="0" w:color="auto"/>
              <w:left w:val="nil"/>
              <w:bottom w:val="single" w:sz="4" w:space="0" w:color="auto"/>
              <w:right w:val="nil"/>
            </w:tcBorders>
            <w:shd w:val="clear" w:color="auto" w:fill="FFFFFF" w:themeFill="background1"/>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r>
      <w:tr w:rsidR="00102CF3" w:rsidRPr="00C37B4A" w:rsidTr="00342C7E">
        <w:trPr>
          <w:trHeight w:val="548"/>
        </w:trPr>
        <w:tc>
          <w:tcPr>
            <w:tcW w:w="2139" w:type="dxa"/>
            <w:tcBorders>
              <w:top w:val="nil"/>
              <w:left w:val="nil"/>
              <w:right w:val="single" w:sz="4" w:space="0" w:color="auto"/>
            </w:tcBorders>
            <w:shd w:val="clear" w:color="auto" w:fill="FFFFFF" w:themeFill="background1"/>
            <w:hideMark/>
          </w:tcPr>
          <w:p w:rsidR="00102CF3" w:rsidRPr="00C37B4A" w:rsidRDefault="00102CF3" w:rsidP="00C37B4A">
            <w:pPr>
              <w:spacing w:after="0" w:line="240" w:lineRule="auto"/>
              <w:rPr>
                <w:rFonts w:ascii="Times New Roman" w:eastAsia="Times New Roman" w:hAnsi="Times New Roman" w:cs="Times New Roman"/>
                <w:b/>
                <w:bCs/>
                <w:color w:val="000000"/>
                <w:sz w:val="20"/>
                <w:szCs w:val="20"/>
              </w:rPr>
            </w:pPr>
            <w:r w:rsidRPr="00C37B4A">
              <w:rPr>
                <w:rFonts w:ascii="Times New Roman" w:eastAsia="Times New Roman" w:hAnsi="Times New Roman" w:cs="Times New Roman"/>
                <w:b/>
                <w:bCs/>
                <w:color w:val="000000"/>
                <w:sz w:val="20"/>
                <w:szCs w:val="20"/>
              </w:rPr>
              <w:t> </w:t>
            </w:r>
          </w:p>
        </w:tc>
        <w:tc>
          <w:tcPr>
            <w:tcW w:w="3118" w:type="dxa"/>
            <w:tcBorders>
              <w:top w:val="single" w:sz="4" w:space="0" w:color="auto"/>
              <w:left w:val="nil"/>
              <w:bottom w:val="single" w:sz="4" w:space="0" w:color="auto"/>
              <w:right w:val="nil"/>
            </w:tcBorders>
            <w:shd w:val="clear" w:color="auto" w:fill="FFFFFF" w:themeFill="background1"/>
            <w:hideMark/>
          </w:tcPr>
          <w:p w:rsidR="00102CF3" w:rsidRPr="00342C7E" w:rsidRDefault="00102CF3" w:rsidP="00342C7E">
            <w:pPr>
              <w:spacing w:after="0" w:line="240" w:lineRule="auto"/>
              <w:rPr>
                <w:rFonts w:ascii="Times New Roman" w:eastAsia="Times New Roman" w:hAnsi="Times New Roman" w:cs="Times New Roman"/>
                <w:color w:val="000000"/>
                <w:sz w:val="20"/>
                <w:szCs w:val="20"/>
              </w:rPr>
            </w:pPr>
            <w:r w:rsidRPr="000C3DB2">
              <w:rPr>
                <w:rFonts w:ascii="Times New Roman" w:eastAsia="Times New Roman" w:hAnsi="Times New Roman" w:cs="Times New Roman"/>
                <w:color w:val="000000"/>
                <w:sz w:val="20"/>
                <w:szCs w:val="20"/>
              </w:rPr>
              <w:t>podpora ozdravovacích programov  v chovoch hospodárskych zvierat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C37B4A">
              <w:rPr>
                <w:rFonts w:ascii="Times New Roman" w:eastAsia="Times New Roman" w:hAnsi="Times New Roman" w:cs="Times New Roman"/>
                <w:color w:val="000000"/>
                <w:sz w:val="20"/>
                <w:szCs w:val="20"/>
              </w:rPr>
              <w:t>00</w:t>
            </w:r>
          </w:p>
        </w:tc>
        <w:tc>
          <w:tcPr>
            <w:tcW w:w="949" w:type="dxa"/>
            <w:tcBorders>
              <w:top w:val="single" w:sz="4" w:space="0" w:color="auto"/>
              <w:left w:val="nil"/>
              <w:bottom w:val="single" w:sz="4" w:space="0" w:color="auto"/>
              <w:right w:val="nil"/>
            </w:tcBorders>
            <w:shd w:val="clear" w:color="auto" w:fill="FFFFFF" w:themeFill="background1"/>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C37B4A">
              <w:rPr>
                <w:rFonts w:ascii="Times New Roman" w:eastAsia="Times New Roman" w:hAnsi="Times New Roman" w:cs="Times New Roman"/>
                <w:color w:val="000000"/>
                <w:sz w:val="20"/>
                <w:szCs w:val="20"/>
              </w:rPr>
              <w:t>00</w:t>
            </w:r>
          </w:p>
        </w:tc>
        <w:tc>
          <w:tcPr>
            <w:tcW w:w="893" w:type="dxa"/>
            <w:tcBorders>
              <w:top w:val="single" w:sz="4" w:space="0" w:color="auto"/>
              <w:left w:val="nil"/>
              <w:bottom w:val="single" w:sz="4" w:space="0" w:color="auto"/>
              <w:right w:val="nil"/>
            </w:tcBorders>
            <w:shd w:val="clear" w:color="auto" w:fill="FFFFFF" w:themeFill="background1"/>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1135" w:type="dxa"/>
            <w:tcBorders>
              <w:top w:val="single" w:sz="4" w:space="0" w:color="auto"/>
              <w:left w:val="nil"/>
              <w:bottom w:val="single" w:sz="4" w:space="0" w:color="auto"/>
              <w:right w:val="nil"/>
            </w:tcBorders>
            <w:shd w:val="clear" w:color="auto" w:fill="FFFFFF" w:themeFill="background1"/>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r>
      <w:tr w:rsidR="00102CF3" w:rsidRPr="00C37B4A" w:rsidTr="00342C7E">
        <w:trPr>
          <w:trHeight w:val="548"/>
        </w:trPr>
        <w:tc>
          <w:tcPr>
            <w:tcW w:w="2139" w:type="dxa"/>
            <w:tcBorders>
              <w:top w:val="nil"/>
              <w:left w:val="nil"/>
              <w:right w:val="single" w:sz="4" w:space="0" w:color="auto"/>
            </w:tcBorders>
            <w:shd w:val="clear" w:color="auto" w:fill="FFFFFF" w:themeFill="background1"/>
          </w:tcPr>
          <w:p w:rsidR="00102CF3" w:rsidRPr="00C37B4A" w:rsidRDefault="00102CF3" w:rsidP="00C37B4A">
            <w:pPr>
              <w:spacing w:after="0" w:line="240" w:lineRule="auto"/>
              <w:rPr>
                <w:rFonts w:ascii="Times New Roman" w:eastAsia="Times New Roman" w:hAnsi="Times New Roman" w:cs="Times New Roman"/>
                <w:b/>
                <w:bCs/>
                <w:color w:val="000000"/>
                <w:sz w:val="20"/>
                <w:szCs w:val="20"/>
              </w:rPr>
            </w:pPr>
          </w:p>
        </w:tc>
        <w:tc>
          <w:tcPr>
            <w:tcW w:w="3118" w:type="dxa"/>
            <w:tcBorders>
              <w:top w:val="single" w:sz="4" w:space="0" w:color="auto"/>
              <w:left w:val="nil"/>
              <w:bottom w:val="single" w:sz="4" w:space="0" w:color="auto"/>
              <w:right w:val="nil"/>
            </w:tcBorders>
            <w:shd w:val="clear" w:color="auto" w:fill="FFFFFF" w:themeFill="background1"/>
          </w:tcPr>
          <w:p w:rsidR="00102CF3" w:rsidRPr="00C37B4A" w:rsidRDefault="00102CF3" w:rsidP="005F6E4B">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 xml:space="preserve">posilnenie domáceho rybného genofondu riadeným dovozom generačných rýb a podpora predaja produktov </w:t>
            </w:r>
            <w:proofErr w:type="spellStart"/>
            <w:r w:rsidRPr="00C37B4A">
              <w:rPr>
                <w:rFonts w:ascii="Times New Roman" w:eastAsia="Times New Roman" w:hAnsi="Times New Roman" w:cs="Times New Roman"/>
                <w:color w:val="000000"/>
                <w:sz w:val="20"/>
                <w:szCs w:val="20"/>
              </w:rPr>
              <w:t>akvakultúry</w:t>
            </w:r>
            <w:proofErr w:type="spellEnd"/>
            <w:r w:rsidRPr="00C37B4A">
              <w:rPr>
                <w:rFonts w:ascii="Times New Roman" w:eastAsia="Times New Roman" w:hAnsi="Times New Roman" w:cs="Times New Roman"/>
                <w:color w:val="000000"/>
                <w:sz w:val="20"/>
                <w:szCs w:val="20"/>
              </w:rPr>
              <w:t xml:space="preserve"> priamo na farme v živom a/alebo upravenom stave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02CF3" w:rsidRPr="00C37B4A" w:rsidRDefault="00102CF3" w:rsidP="005F6E4B">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1 400</w:t>
            </w:r>
          </w:p>
        </w:tc>
        <w:tc>
          <w:tcPr>
            <w:tcW w:w="949" w:type="dxa"/>
            <w:tcBorders>
              <w:top w:val="single" w:sz="4" w:space="0" w:color="auto"/>
              <w:left w:val="nil"/>
              <w:bottom w:val="single" w:sz="4" w:space="0" w:color="auto"/>
              <w:right w:val="nil"/>
            </w:tcBorders>
            <w:shd w:val="clear" w:color="auto" w:fill="FFFFFF" w:themeFill="background1"/>
            <w:noWrap/>
            <w:vAlign w:val="center"/>
          </w:tcPr>
          <w:p w:rsidR="00102CF3" w:rsidRPr="00C37B4A" w:rsidRDefault="00102CF3" w:rsidP="005F6E4B">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1 400</w:t>
            </w:r>
          </w:p>
        </w:tc>
        <w:tc>
          <w:tcPr>
            <w:tcW w:w="893" w:type="dxa"/>
            <w:tcBorders>
              <w:top w:val="single" w:sz="4" w:space="0" w:color="auto"/>
              <w:left w:val="nil"/>
              <w:bottom w:val="single" w:sz="4" w:space="0" w:color="auto"/>
              <w:right w:val="nil"/>
            </w:tcBorders>
            <w:shd w:val="clear" w:color="auto" w:fill="FFFFFF" w:themeFill="background1"/>
            <w:noWrap/>
            <w:vAlign w:val="center"/>
          </w:tcPr>
          <w:p w:rsidR="00102CF3" w:rsidRPr="00C37B4A" w:rsidRDefault="00102CF3" w:rsidP="005F6E4B">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1135" w:type="dxa"/>
            <w:tcBorders>
              <w:top w:val="single" w:sz="4" w:space="0" w:color="auto"/>
              <w:left w:val="nil"/>
              <w:bottom w:val="single" w:sz="4" w:space="0" w:color="auto"/>
              <w:right w:val="nil"/>
            </w:tcBorders>
            <w:shd w:val="clear" w:color="auto" w:fill="FFFFFF" w:themeFill="background1"/>
            <w:noWrap/>
            <w:vAlign w:val="center"/>
          </w:tcPr>
          <w:p w:rsidR="00102CF3" w:rsidRPr="00C37B4A" w:rsidRDefault="00102CF3" w:rsidP="005F6E4B">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r>
      <w:tr w:rsidR="00102CF3" w:rsidRPr="00C37B4A" w:rsidTr="005F6E4B">
        <w:trPr>
          <w:trHeight w:val="628"/>
        </w:trPr>
        <w:tc>
          <w:tcPr>
            <w:tcW w:w="2139" w:type="dxa"/>
            <w:tcBorders>
              <w:top w:val="nil"/>
              <w:left w:val="nil"/>
              <w:right w:val="single" w:sz="4" w:space="0" w:color="auto"/>
            </w:tcBorders>
            <w:shd w:val="clear" w:color="auto" w:fill="FFFFFF" w:themeFill="background1"/>
          </w:tcPr>
          <w:p w:rsidR="00102CF3" w:rsidRPr="00C37B4A" w:rsidRDefault="00102CF3" w:rsidP="005F6E4B">
            <w:pPr>
              <w:spacing w:after="0" w:line="240" w:lineRule="auto"/>
              <w:rPr>
                <w:rFonts w:ascii="Times New Roman" w:eastAsia="Times New Roman" w:hAnsi="Times New Roman" w:cs="Times New Roman"/>
                <w:b/>
                <w:bCs/>
                <w:color w:val="000000"/>
                <w:sz w:val="20"/>
                <w:szCs w:val="20"/>
              </w:rPr>
            </w:pPr>
          </w:p>
        </w:tc>
        <w:tc>
          <w:tcPr>
            <w:tcW w:w="3118" w:type="dxa"/>
            <w:tcBorders>
              <w:top w:val="single" w:sz="4" w:space="0" w:color="auto"/>
              <w:left w:val="nil"/>
              <w:bottom w:val="single" w:sz="4" w:space="0" w:color="auto"/>
              <w:right w:val="nil"/>
            </w:tcBorders>
            <w:shd w:val="clear" w:color="auto" w:fill="FFFFFF" w:themeFill="background1"/>
          </w:tcPr>
          <w:p w:rsidR="00102CF3" w:rsidRPr="00C37B4A" w:rsidRDefault="00102CF3" w:rsidP="005F6E4B">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podpora usporiadania vlastníckych a užívacích práv k lesným nehnuteľnostiam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02CF3" w:rsidRPr="00C37B4A" w:rsidRDefault="00102CF3" w:rsidP="005F6E4B">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2 500</w:t>
            </w:r>
          </w:p>
        </w:tc>
        <w:tc>
          <w:tcPr>
            <w:tcW w:w="949" w:type="dxa"/>
            <w:tcBorders>
              <w:top w:val="single" w:sz="4" w:space="0" w:color="auto"/>
              <w:left w:val="nil"/>
              <w:bottom w:val="single" w:sz="4" w:space="0" w:color="auto"/>
              <w:right w:val="nil"/>
            </w:tcBorders>
            <w:shd w:val="clear" w:color="auto" w:fill="FFFFFF" w:themeFill="background1"/>
            <w:noWrap/>
            <w:vAlign w:val="center"/>
          </w:tcPr>
          <w:p w:rsidR="00102CF3" w:rsidRPr="00C37B4A" w:rsidRDefault="00102CF3" w:rsidP="005F6E4B">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2 500</w:t>
            </w:r>
          </w:p>
        </w:tc>
        <w:tc>
          <w:tcPr>
            <w:tcW w:w="893" w:type="dxa"/>
            <w:tcBorders>
              <w:top w:val="single" w:sz="4" w:space="0" w:color="auto"/>
              <w:left w:val="nil"/>
              <w:bottom w:val="single" w:sz="4" w:space="0" w:color="auto"/>
              <w:right w:val="nil"/>
            </w:tcBorders>
            <w:shd w:val="clear" w:color="auto" w:fill="FFFFFF" w:themeFill="background1"/>
            <w:noWrap/>
            <w:vAlign w:val="center"/>
          </w:tcPr>
          <w:p w:rsidR="00102CF3" w:rsidRPr="00C37B4A" w:rsidRDefault="00102CF3" w:rsidP="005F6E4B">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1135" w:type="dxa"/>
            <w:tcBorders>
              <w:top w:val="single" w:sz="4" w:space="0" w:color="auto"/>
              <w:left w:val="nil"/>
              <w:bottom w:val="single" w:sz="4" w:space="0" w:color="auto"/>
              <w:right w:val="nil"/>
            </w:tcBorders>
            <w:shd w:val="clear" w:color="auto" w:fill="FFFFFF" w:themeFill="background1"/>
            <w:noWrap/>
            <w:vAlign w:val="center"/>
          </w:tcPr>
          <w:p w:rsidR="00102CF3" w:rsidRPr="00C37B4A" w:rsidRDefault="00102CF3" w:rsidP="005F6E4B">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r>
      <w:tr w:rsidR="00102CF3" w:rsidRPr="00C37B4A" w:rsidTr="005F6E4B">
        <w:trPr>
          <w:trHeight w:val="831"/>
        </w:trPr>
        <w:tc>
          <w:tcPr>
            <w:tcW w:w="2139" w:type="dxa"/>
            <w:tcBorders>
              <w:left w:val="nil"/>
              <w:right w:val="single" w:sz="4" w:space="0" w:color="auto"/>
            </w:tcBorders>
            <w:shd w:val="clear" w:color="auto" w:fill="FFFFFF" w:themeFill="background1"/>
            <w:vAlign w:val="bottom"/>
          </w:tcPr>
          <w:p w:rsidR="00102CF3" w:rsidRPr="00C37B4A" w:rsidRDefault="00102CF3" w:rsidP="005F6E4B">
            <w:pPr>
              <w:spacing w:after="0" w:line="240" w:lineRule="auto"/>
              <w:rPr>
                <w:rFonts w:ascii="Calibri" w:eastAsia="Times New Roman" w:hAnsi="Calibri" w:cs="Times New Roman"/>
                <w:color w:val="000000"/>
              </w:rPr>
            </w:pPr>
          </w:p>
        </w:tc>
        <w:tc>
          <w:tcPr>
            <w:tcW w:w="3118" w:type="dxa"/>
            <w:tcBorders>
              <w:top w:val="single" w:sz="4" w:space="0" w:color="auto"/>
              <w:left w:val="nil"/>
              <w:bottom w:val="single" w:sz="4" w:space="0" w:color="auto"/>
              <w:right w:val="nil"/>
            </w:tcBorders>
            <w:shd w:val="clear" w:color="auto" w:fill="FFFFFF" w:themeFill="background1"/>
          </w:tcPr>
          <w:p w:rsidR="00102CF3" w:rsidRPr="00C37B4A" w:rsidRDefault="00102CF3" w:rsidP="005F6E4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podpora ochrany a trvalého využívania genetických zdrojov lesných drevín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02CF3" w:rsidRPr="00C37B4A" w:rsidRDefault="00102CF3" w:rsidP="005F6E4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949" w:type="dxa"/>
            <w:tcBorders>
              <w:top w:val="single" w:sz="4" w:space="0" w:color="auto"/>
              <w:left w:val="nil"/>
              <w:bottom w:val="single" w:sz="4" w:space="0" w:color="auto"/>
              <w:right w:val="nil"/>
            </w:tcBorders>
            <w:shd w:val="clear" w:color="auto" w:fill="FFFFFF" w:themeFill="background1"/>
            <w:noWrap/>
            <w:vAlign w:val="center"/>
          </w:tcPr>
          <w:p w:rsidR="00102CF3" w:rsidRPr="00C37B4A" w:rsidRDefault="00102CF3" w:rsidP="005F6E4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893" w:type="dxa"/>
            <w:tcBorders>
              <w:top w:val="single" w:sz="4" w:space="0" w:color="auto"/>
              <w:left w:val="nil"/>
              <w:bottom w:val="single" w:sz="4" w:space="0" w:color="auto"/>
              <w:right w:val="nil"/>
            </w:tcBorders>
            <w:shd w:val="clear" w:color="auto" w:fill="FFFFFF" w:themeFill="background1"/>
            <w:noWrap/>
            <w:vAlign w:val="center"/>
          </w:tcPr>
          <w:p w:rsidR="00102CF3" w:rsidRPr="00C37B4A" w:rsidRDefault="00102CF3" w:rsidP="005F6E4B">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1135" w:type="dxa"/>
            <w:tcBorders>
              <w:top w:val="single" w:sz="4" w:space="0" w:color="auto"/>
              <w:left w:val="nil"/>
              <w:bottom w:val="single" w:sz="4" w:space="0" w:color="auto"/>
              <w:right w:val="nil"/>
            </w:tcBorders>
            <w:shd w:val="clear" w:color="auto" w:fill="FFFFFF" w:themeFill="background1"/>
            <w:noWrap/>
            <w:vAlign w:val="center"/>
          </w:tcPr>
          <w:p w:rsidR="00102CF3" w:rsidRPr="00C37B4A" w:rsidRDefault="00102CF3" w:rsidP="005F6E4B">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r>
      <w:tr w:rsidR="00102CF3" w:rsidRPr="00C37B4A" w:rsidTr="0078595B">
        <w:trPr>
          <w:trHeight w:val="411"/>
        </w:trPr>
        <w:tc>
          <w:tcPr>
            <w:tcW w:w="2139" w:type="dxa"/>
            <w:vMerge w:val="restart"/>
            <w:tcBorders>
              <w:top w:val="single" w:sz="4" w:space="0" w:color="auto"/>
              <w:left w:val="nil"/>
            </w:tcBorders>
            <w:shd w:val="clear" w:color="auto" w:fill="D9D9D9" w:themeFill="background1" w:themeFillShade="D9"/>
            <w:noWrap/>
            <w:vAlign w:val="bottom"/>
          </w:tcPr>
          <w:p w:rsidR="00102CF3" w:rsidRPr="00C37B4A" w:rsidRDefault="00102CF3" w:rsidP="00C37B4A">
            <w:pPr>
              <w:spacing w:after="0" w:line="240" w:lineRule="auto"/>
              <w:rPr>
                <w:rFonts w:ascii="Calibri" w:eastAsia="Times New Roman" w:hAnsi="Calibri" w:cs="Times New Roman"/>
                <w:color w:val="000000"/>
              </w:rPr>
            </w:pPr>
          </w:p>
        </w:tc>
        <w:tc>
          <w:tcPr>
            <w:tcW w:w="3118" w:type="dxa"/>
            <w:vMerge w:val="restart"/>
            <w:tcBorders>
              <w:top w:val="single" w:sz="4" w:space="0" w:color="auto"/>
              <w:right w:val="single" w:sz="4" w:space="0" w:color="auto"/>
            </w:tcBorders>
            <w:shd w:val="clear" w:color="auto" w:fill="D9D9D9" w:themeFill="background1" w:themeFillShade="D9"/>
          </w:tcPr>
          <w:p w:rsidR="00102CF3" w:rsidRPr="00491179" w:rsidRDefault="00102CF3" w:rsidP="00491179">
            <w:pPr>
              <w:spacing w:after="0" w:line="240" w:lineRule="auto"/>
              <w:rPr>
                <w:rFonts w:ascii="Times New Roman" w:eastAsia="Times New Roman" w:hAnsi="Times New Roman" w:cs="Times New Roman"/>
                <w:color w:val="000000"/>
                <w:sz w:val="20"/>
                <w:szCs w:val="20"/>
              </w:rPr>
            </w:pPr>
          </w:p>
        </w:tc>
        <w:tc>
          <w:tcPr>
            <w:tcW w:w="3828" w:type="dxa"/>
            <w:gridSpan w:val="4"/>
            <w:tcBorders>
              <w:top w:val="single" w:sz="4" w:space="0" w:color="auto"/>
              <w:left w:val="single" w:sz="4" w:space="0" w:color="auto"/>
              <w:bottom w:val="single" w:sz="4" w:space="0" w:color="auto"/>
            </w:tcBorders>
            <w:shd w:val="clear" w:color="auto" w:fill="D9D9D9" w:themeFill="background1" w:themeFillShade="D9"/>
            <w:noWrap/>
            <w:vAlign w:val="center"/>
          </w:tcPr>
          <w:p w:rsidR="00102CF3" w:rsidRPr="00C37B4A" w:rsidRDefault="00102CF3" w:rsidP="0027556D">
            <w:pPr>
              <w:spacing w:after="0" w:line="240" w:lineRule="auto"/>
              <w:jc w:val="center"/>
              <w:rPr>
                <w:rFonts w:ascii="Times New Roman" w:eastAsia="Times New Roman" w:hAnsi="Times New Roman" w:cs="Times New Roman"/>
                <w:b/>
                <w:bCs/>
                <w:color w:val="000000"/>
                <w:sz w:val="20"/>
                <w:szCs w:val="20"/>
              </w:rPr>
            </w:pPr>
            <w:r w:rsidRPr="00C37B4A">
              <w:rPr>
                <w:rFonts w:ascii="Times New Roman" w:eastAsia="Times New Roman" w:hAnsi="Times New Roman" w:cs="Times New Roman"/>
                <w:b/>
                <w:bCs/>
                <w:color w:val="000000"/>
                <w:sz w:val="20"/>
                <w:szCs w:val="20"/>
              </w:rPr>
              <w:t>Zabezpečenie financovania (v tis. EUR)</w:t>
            </w:r>
          </w:p>
        </w:tc>
      </w:tr>
      <w:tr w:rsidR="00102CF3" w:rsidRPr="00C37B4A" w:rsidTr="0027556D">
        <w:trPr>
          <w:trHeight w:val="744"/>
        </w:trPr>
        <w:tc>
          <w:tcPr>
            <w:tcW w:w="2139" w:type="dxa"/>
            <w:vMerge/>
            <w:tcBorders>
              <w:left w:val="nil"/>
              <w:bottom w:val="single" w:sz="4" w:space="0" w:color="auto"/>
            </w:tcBorders>
            <w:shd w:val="clear" w:color="auto" w:fill="D9D9D9" w:themeFill="background1" w:themeFillShade="D9"/>
            <w:noWrap/>
            <w:vAlign w:val="bottom"/>
          </w:tcPr>
          <w:p w:rsidR="00102CF3" w:rsidRPr="00C37B4A" w:rsidRDefault="00102CF3" w:rsidP="00C37B4A">
            <w:pPr>
              <w:spacing w:after="0" w:line="240" w:lineRule="auto"/>
              <w:rPr>
                <w:rFonts w:ascii="Calibri" w:eastAsia="Times New Roman" w:hAnsi="Calibri" w:cs="Times New Roman"/>
                <w:color w:val="000000"/>
              </w:rPr>
            </w:pPr>
          </w:p>
        </w:tc>
        <w:tc>
          <w:tcPr>
            <w:tcW w:w="3118" w:type="dxa"/>
            <w:vMerge/>
            <w:tcBorders>
              <w:bottom w:val="single" w:sz="4" w:space="0" w:color="auto"/>
              <w:right w:val="single" w:sz="4" w:space="0" w:color="auto"/>
            </w:tcBorders>
            <w:shd w:val="clear" w:color="auto" w:fill="D9D9D9" w:themeFill="background1" w:themeFillShade="D9"/>
          </w:tcPr>
          <w:p w:rsidR="00102CF3" w:rsidRPr="00491179" w:rsidRDefault="00102CF3" w:rsidP="00491179">
            <w:pPr>
              <w:spacing w:after="0" w:line="240" w:lineRule="auto"/>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102CF3" w:rsidRPr="00C37B4A" w:rsidRDefault="00102CF3" w:rsidP="00647B60">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b/>
                <w:bCs/>
                <w:color w:val="000000"/>
                <w:sz w:val="20"/>
                <w:szCs w:val="20"/>
              </w:rPr>
              <w:t>Celkom</w:t>
            </w:r>
          </w:p>
        </w:tc>
        <w:tc>
          <w:tcPr>
            <w:tcW w:w="949" w:type="dxa"/>
            <w:tcBorders>
              <w:top w:val="single" w:sz="4" w:space="0" w:color="auto"/>
              <w:left w:val="single" w:sz="4" w:space="0" w:color="auto"/>
              <w:bottom w:val="single" w:sz="4" w:space="0" w:color="auto"/>
            </w:tcBorders>
            <w:shd w:val="clear" w:color="auto" w:fill="D9D9D9" w:themeFill="background1" w:themeFillShade="D9"/>
            <w:noWrap/>
          </w:tcPr>
          <w:p w:rsidR="00102CF3" w:rsidRPr="00C37B4A" w:rsidRDefault="00102CF3" w:rsidP="00647B60">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b/>
                <w:bCs/>
                <w:color w:val="000000"/>
                <w:sz w:val="20"/>
                <w:szCs w:val="20"/>
              </w:rPr>
              <w:t>Zdroje štátneho rozpočtu</w:t>
            </w:r>
          </w:p>
        </w:tc>
        <w:tc>
          <w:tcPr>
            <w:tcW w:w="893" w:type="dxa"/>
            <w:tcBorders>
              <w:top w:val="single" w:sz="4" w:space="0" w:color="auto"/>
              <w:bottom w:val="single" w:sz="4" w:space="0" w:color="auto"/>
            </w:tcBorders>
            <w:shd w:val="clear" w:color="auto" w:fill="D9D9D9" w:themeFill="background1" w:themeFillShade="D9"/>
            <w:noWrap/>
          </w:tcPr>
          <w:p w:rsidR="00102CF3" w:rsidRPr="00C37B4A" w:rsidRDefault="00102CF3" w:rsidP="00647B60">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b/>
                <w:bCs/>
                <w:color w:val="000000"/>
                <w:sz w:val="20"/>
                <w:szCs w:val="20"/>
              </w:rPr>
              <w:t>Fondy EÚ</w:t>
            </w:r>
          </w:p>
        </w:tc>
        <w:tc>
          <w:tcPr>
            <w:tcW w:w="1135" w:type="dxa"/>
            <w:tcBorders>
              <w:top w:val="single" w:sz="4" w:space="0" w:color="auto"/>
              <w:bottom w:val="single" w:sz="4" w:space="0" w:color="auto"/>
              <w:right w:val="nil"/>
            </w:tcBorders>
            <w:shd w:val="clear" w:color="auto" w:fill="D9D9D9" w:themeFill="background1" w:themeFillShade="D9"/>
            <w:noWrap/>
          </w:tcPr>
          <w:p w:rsidR="00102CF3" w:rsidRPr="00C37B4A" w:rsidRDefault="00102CF3" w:rsidP="00647B60">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b/>
                <w:bCs/>
                <w:color w:val="000000"/>
                <w:sz w:val="20"/>
                <w:szCs w:val="20"/>
              </w:rPr>
              <w:t>Spolufinancovanie zo strany žiadateľov</w:t>
            </w:r>
          </w:p>
        </w:tc>
      </w:tr>
      <w:tr w:rsidR="00102CF3" w:rsidRPr="00C37B4A" w:rsidTr="00342C7E">
        <w:trPr>
          <w:trHeight w:val="744"/>
        </w:trPr>
        <w:tc>
          <w:tcPr>
            <w:tcW w:w="2139" w:type="dxa"/>
            <w:tcBorders>
              <w:left w:val="nil"/>
              <w:bottom w:val="nil"/>
              <w:right w:val="single" w:sz="4" w:space="0" w:color="auto"/>
            </w:tcBorders>
            <w:shd w:val="clear" w:color="auto" w:fill="FFFFFF" w:themeFill="background1"/>
            <w:noWrap/>
            <w:vAlign w:val="bottom"/>
          </w:tcPr>
          <w:p w:rsidR="00102CF3" w:rsidRPr="00C37B4A" w:rsidRDefault="00102CF3" w:rsidP="001C7485">
            <w:pPr>
              <w:spacing w:after="0" w:line="240" w:lineRule="auto"/>
              <w:rPr>
                <w:rFonts w:ascii="Calibri" w:eastAsia="Times New Roman" w:hAnsi="Calibri" w:cs="Times New Roman"/>
                <w:color w:val="000000"/>
              </w:rPr>
            </w:pPr>
            <w:r w:rsidRPr="00C37B4A">
              <w:rPr>
                <w:rFonts w:ascii="Calibri" w:eastAsia="Times New Roman" w:hAnsi="Calibri" w:cs="Times New Roman"/>
                <w:color w:val="000000"/>
              </w:rPr>
              <w:t> </w:t>
            </w:r>
          </w:p>
        </w:tc>
        <w:tc>
          <w:tcPr>
            <w:tcW w:w="3118" w:type="dxa"/>
            <w:tcBorders>
              <w:top w:val="single" w:sz="4" w:space="0" w:color="auto"/>
              <w:left w:val="nil"/>
              <w:bottom w:val="single" w:sz="4" w:space="0" w:color="auto"/>
              <w:right w:val="nil"/>
            </w:tcBorders>
            <w:shd w:val="clear" w:color="auto" w:fill="FFFFFF" w:themeFill="background1"/>
          </w:tcPr>
          <w:p w:rsidR="00102CF3" w:rsidRPr="00C37B4A" w:rsidRDefault="00102CF3" w:rsidP="001C748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podpora diverzifikácie činností obhospodarovateľov lesa smerom k nelesníckym aktivitám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02CF3" w:rsidRPr="00C37B4A" w:rsidRDefault="00102CF3" w:rsidP="001C748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7 0</w:t>
            </w:r>
            <w:r w:rsidRPr="00C37B4A">
              <w:rPr>
                <w:rFonts w:ascii="Times New Roman" w:eastAsia="Times New Roman" w:hAnsi="Times New Roman" w:cs="Times New Roman"/>
                <w:color w:val="000000"/>
                <w:sz w:val="20"/>
                <w:szCs w:val="20"/>
              </w:rPr>
              <w:t>00</w:t>
            </w:r>
          </w:p>
        </w:tc>
        <w:tc>
          <w:tcPr>
            <w:tcW w:w="949" w:type="dxa"/>
            <w:tcBorders>
              <w:top w:val="single" w:sz="4" w:space="0" w:color="auto"/>
              <w:left w:val="nil"/>
              <w:bottom w:val="single" w:sz="4" w:space="0" w:color="auto"/>
              <w:right w:val="nil"/>
            </w:tcBorders>
            <w:shd w:val="clear" w:color="auto" w:fill="FFFFFF" w:themeFill="background1"/>
            <w:noWrap/>
            <w:vAlign w:val="center"/>
          </w:tcPr>
          <w:p w:rsidR="00102CF3" w:rsidRPr="00C37B4A" w:rsidRDefault="00102CF3" w:rsidP="001C748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7 0</w:t>
            </w:r>
            <w:r w:rsidRPr="00C37B4A">
              <w:rPr>
                <w:rFonts w:ascii="Times New Roman" w:eastAsia="Times New Roman" w:hAnsi="Times New Roman" w:cs="Times New Roman"/>
                <w:color w:val="000000"/>
                <w:sz w:val="20"/>
                <w:szCs w:val="20"/>
              </w:rPr>
              <w:t>00</w:t>
            </w:r>
          </w:p>
        </w:tc>
        <w:tc>
          <w:tcPr>
            <w:tcW w:w="893" w:type="dxa"/>
            <w:tcBorders>
              <w:top w:val="single" w:sz="4" w:space="0" w:color="auto"/>
              <w:left w:val="nil"/>
              <w:bottom w:val="single" w:sz="4" w:space="0" w:color="auto"/>
              <w:right w:val="nil"/>
            </w:tcBorders>
            <w:shd w:val="clear" w:color="auto" w:fill="FFFFFF" w:themeFill="background1"/>
            <w:noWrap/>
            <w:vAlign w:val="center"/>
          </w:tcPr>
          <w:p w:rsidR="00102CF3" w:rsidRPr="00C37B4A" w:rsidRDefault="00102CF3" w:rsidP="001C7485">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1135" w:type="dxa"/>
            <w:tcBorders>
              <w:top w:val="single" w:sz="4" w:space="0" w:color="auto"/>
              <w:left w:val="nil"/>
              <w:bottom w:val="single" w:sz="4" w:space="0" w:color="auto"/>
              <w:right w:val="nil"/>
            </w:tcBorders>
            <w:shd w:val="clear" w:color="auto" w:fill="FFFFFF" w:themeFill="background1"/>
            <w:noWrap/>
            <w:vAlign w:val="center"/>
          </w:tcPr>
          <w:p w:rsidR="00102CF3" w:rsidRPr="00C37B4A" w:rsidRDefault="00102CF3" w:rsidP="001C7485">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r>
      <w:tr w:rsidR="00102CF3" w:rsidRPr="00C37B4A" w:rsidTr="00003E91">
        <w:trPr>
          <w:trHeight w:val="765"/>
        </w:trPr>
        <w:tc>
          <w:tcPr>
            <w:tcW w:w="2139" w:type="dxa"/>
            <w:tcBorders>
              <w:top w:val="nil"/>
              <w:left w:val="nil"/>
              <w:bottom w:val="nil"/>
              <w:right w:val="single" w:sz="4" w:space="0" w:color="auto"/>
            </w:tcBorders>
            <w:shd w:val="clear" w:color="auto" w:fill="FFFFFF" w:themeFill="background1"/>
            <w:noWrap/>
            <w:vAlign w:val="bottom"/>
          </w:tcPr>
          <w:p w:rsidR="00102CF3" w:rsidRPr="00C37B4A" w:rsidRDefault="00102CF3" w:rsidP="001C7485">
            <w:pPr>
              <w:spacing w:after="0" w:line="240" w:lineRule="auto"/>
              <w:rPr>
                <w:rFonts w:ascii="Calibri" w:eastAsia="Times New Roman" w:hAnsi="Calibri" w:cs="Times New Roman"/>
                <w:color w:val="000000"/>
              </w:rPr>
            </w:pPr>
            <w:r w:rsidRPr="00C37B4A">
              <w:rPr>
                <w:rFonts w:ascii="Calibri" w:eastAsia="Times New Roman" w:hAnsi="Calibri" w:cs="Times New Roman"/>
                <w:color w:val="000000"/>
              </w:rPr>
              <w:t> </w:t>
            </w:r>
          </w:p>
        </w:tc>
        <w:tc>
          <w:tcPr>
            <w:tcW w:w="3118" w:type="dxa"/>
            <w:tcBorders>
              <w:top w:val="single" w:sz="4" w:space="0" w:color="auto"/>
              <w:left w:val="nil"/>
              <w:bottom w:val="single" w:sz="4" w:space="0" w:color="auto"/>
              <w:right w:val="nil"/>
            </w:tcBorders>
            <w:shd w:val="clear" w:color="auto" w:fill="FFFFFF" w:themeFill="background1"/>
          </w:tcPr>
          <w:p w:rsidR="00102CF3" w:rsidRDefault="00102CF3" w:rsidP="001C7485">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podpora práce s verejnosťou a lesnej pedagogiky</w:t>
            </w:r>
          </w:p>
          <w:p w:rsidR="00102CF3" w:rsidRPr="00C37B4A" w:rsidRDefault="00102CF3" w:rsidP="001C7485">
            <w:pPr>
              <w:spacing w:after="0" w:line="240" w:lineRule="auto"/>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02CF3" w:rsidRPr="00C37B4A" w:rsidRDefault="00102CF3" w:rsidP="001C7485">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420</w:t>
            </w:r>
          </w:p>
        </w:tc>
        <w:tc>
          <w:tcPr>
            <w:tcW w:w="949" w:type="dxa"/>
            <w:tcBorders>
              <w:top w:val="single" w:sz="4" w:space="0" w:color="auto"/>
              <w:left w:val="nil"/>
              <w:bottom w:val="single" w:sz="4" w:space="0" w:color="auto"/>
              <w:right w:val="nil"/>
            </w:tcBorders>
            <w:shd w:val="clear" w:color="auto" w:fill="FFFFFF" w:themeFill="background1"/>
            <w:noWrap/>
            <w:vAlign w:val="center"/>
          </w:tcPr>
          <w:p w:rsidR="00102CF3" w:rsidRPr="00C37B4A" w:rsidRDefault="00102CF3" w:rsidP="001C7485">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420</w:t>
            </w:r>
          </w:p>
        </w:tc>
        <w:tc>
          <w:tcPr>
            <w:tcW w:w="893" w:type="dxa"/>
            <w:tcBorders>
              <w:top w:val="single" w:sz="4" w:space="0" w:color="auto"/>
              <w:left w:val="nil"/>
              <w:bottom w:val="single" w:sz="4" w:space="0" w:color="auto"/>
              <w:right w:val="nil"/>
            </w:tcBorders>
            <w:shd w:val="clear" w:color="auto" w:fill="FFFFFF" w:themeFill="background1"/>
            <w:noWrap/>
            <w:vAlign w:val="center"/>
          </w:tcPr>
          <w:p w:rsidR="00102CF3" w:rsidRPr="00C37B4A" w:rsidRDefault="00102CF3" w:rsidP="001C7485">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1135" w:type="dxa"/>
            <w:tcBorders>
              <w:top w:val="single" w:sz="4" w:space="0" w:color="auto"/>
              <w:left w:val="nil"/>
              <w:bottom w:val="single" w:sz="4" w:space="0" w:color="auto"/>
              <w:right w:val="nil"/>
            </w:tcBorders>
            <w:shd w:val="clear" w:color="auto" w:fill="FFFFFF" w:themeFill="background1"/>
            <w:noWrap/>
            <w:vAlign w:val="center"/>
          </w:tcPr>
          <w:p w:rsidR="00102CF3" w:rsidRPr="00C37B4A" w:rsidRDefault="00102CF3" w:rsidP="001C7485">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r>
      <w:tr w:rsidR="00102CF3" w:rsidRPr="00C37B4A" w:rsidTr="00003E91">
        <w:trPr>
          <w:trHeight w:val="765"/>
        </w:trPr>
        <w:tc>
          <w:tcPr>
            <w:tcW w:w="2139" w:type="dxa"/>
            <w:tcBorders>
              <w:top w:val="nil"/>
              <w:left w:val="nil"/>
              <w:bottom w:val="nil"/>
              <w:right w:val="single" w:sz="4" w:space="0" w:color="auto"/>
            </w:tcBorders>
            <w:shd w:val="clear" w:color="auto" w:fill="FFFFFF" w:themeFill="background1"/>
            <w:noWrap/>
            <w:vAlign w:val="bottom"/>
            <w:hideMark/>
          </w:tcPr>
          <w:p w:rsidR="00102CF3" w:rsidRPr="00C37B4A" w:rsidRDefault="00102CF3" w:rsidP="00C37B4A">
            <w:pPr>
              <w:spacing w:after="0" w:line="240" w:lineRule="auto"/>
              <w:rPr>
                <w:rFonts w:ascii="Calibri" w:eastAsia="Times New Roman" w:hAnsi="Calibri" w:cs="Times New Roman"/>
                <w:color w:val="000000"/>
              </w:rPr>
            </w:pPr>
            <w:r w:rsidRPr="00C37B4A">
              <w:rPr>
                <w:rFonts w:ascii="Calibri" w:eastAsia="Times New Roman" w:hAnsi="Calibri" w:cs="Times New Roman"/>
                <w:color w:val="000000"/>
              </w:rPr>
              <w:t> </w:t>
            </w:r>
          </w:p>
        </w:tc>
        <w:tc>
          <w:tcPr>
            <w:tcW w:w="3118" w:type="dxa"/>
            <w:tcBorders>
              <w:top w:val="single" w:sz="4" w:space="0" w:color="auto"/>
              <w:left w:val="nil"/>
              <w:bottom w:val="single" w:sz="4" w:space="0" w:color="auto"/>
              <w:right w:val="nil"/>
            </w:tcBorders>
            <w:shd w:val="clear" w:color="auto" w:fill="FFFFFF" w:themeFill="background1"/>
            <w:hideMark/>
          </w:tcPr>
          <w:p w:rsidR="00102CF3" w:rsidRPr="00C37B4A" w:rsidRDefault="00102CF3" w:rsidP="00C37B4A">
            <w:pPr>
              <w:spacing w:after="0" w:line="240" w:lineRule="auto"/>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podpora existujúcich kultúrnych a historických pamiatok spojených s lesným hospodárstvom a poľovníctvom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5</w:t>
            </w:r>
            <w:r w:rsidRPr="00C37B4A">
              <w:rPr>
                <w:rFonts w:ascii="Times New Roman" w:eastAsia="Times New Roman" w:hAnsi="Times New Roman" w:cs="Times New Roman"/>
                <w:color w:val="000000"/>
                <w:sz w:val="20"/>
                <w:szCs w:val="20"/>
              </w:rPr>
              <w:t>00</w:t>
            </w:r>
          </w:p>
        </w:tc>
        <w:tc>
          <w:tcPr>
            <w:tcW w:w="949" w:type="dxa"/>
            <w:tcBorders>
              <w:top w:val="single" w:sz="4" w:space="0" w:color="auto"/>
              <w:left w:val="nil"/>
              <w:bottom w:val="single" w:sz="4" w:space="0" w:color="auto"/>
              <w:right w:val="nil"/>
            </w:tcBorders>
            <w:shd w:val="clear" w:color="auto" w:fill="FFFFFF" w:themeFill="background1"/>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5</w:t>
            </w:r>
            <w:r w:rsidRPr="00C37B4A">
              <w:rPr>
                <w:rFonts w:ascii="Times New Roman" w:eastAsia="Times New Roman" w:hAnsi="Times New Roman" w:cs="Times New Roman"/>
                <w:color w:val="000000"/>
                <w:sz w:val="20"/>
                <w:szCs w:val="20"/>
              </w:rPr>
              <w:t>00</w:t>
            </w:r>
          </w:p>
        </w:tc>
        <w:tc>
          <w:tcPr>
            <w:tcW w:w="893" w:type="dxa"/>
            <w:tcBorders>
              <w:top w:val="single" w:sz="4" w:space="0" w:color="auto"/>
              <w:left w:val="nil"/>
              <w:bottom w:val="single" w:sz="4" w:space="0" w:color="auto"/>
              <w:right w:val="nil"/>
            </w:tcBorders>
            <w:shd w:val="clear" w:color="auto" w:fill="FFFFFF" w:themeFill="background1"/>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c>
          <w:tcPr>
            <w:tcW w:w="1135" w:type="dxa"/>
            <w:tcBorders>
              <w:top w:val="single" w:sz="4" w:space="0" w:color="auto"/>
              <w:left w:val="nil"/>
              <w:bottom w:val="single" w:sz="4" w:space="0" w:color="auto"/>
              <w:right w:val="nil"/>
            </w:tcBorders>
            <w:shd w:val="clear" w:color="auto" w:fill="FFFFFF" w:themeFill="background1"/>
            <w:noWrap/>
            <w:vAlign w:val="center"/>
            <w:hideMark/>
          </w:tcPr>
          <w:p w:rsidR="00102CF3" w:rsidRPr="00C37B4A" w:rsidRDefault="00102CF3" w:rsidP="00C37B4A">
            <w:pPr>
              <w:spacing w:after="0" w:line="240" w:lineRule="auto"/>
              <w:jc w:val="right"/>
              <w:rPr>
                <w:rFonts w:ascii="Times New Roman" w:eastAsia="Times New Roman" w:hAnsi="Times New Roman" w:cs="Times New Roman"/>
                <w:color w:val="000000"/>
                <w:sz w:val="20"/>
                <w:szCs w:val="20"/>
              </w:rPr>
            </w:pPr>
            <w:r w:rsidRPr="00C37B4A">
              <w:rPr>
                <w:rFonts w:ascii="Times New Roman" w:eastAsia="Times New Roman" w:hAnsi="Times New Roman" w:cs="Times New Roman"/>
                <w:color w:val="000000"/>
                <w:sz w:val="20"/>
                <w:szCs w:val="20"/>
              </w:rPr>
              <w:t>0</w:t>
            </w:r>
          </w:p>
        </w:tc>
      </w:tr>
      <w:tr w:rsidR="00102CF3" w:rsidRPr="00C37B4A" w:rsidTr="0027556D">
        <w:trPr>
          <w:trHeight w:val="300"/>
        </w:trPr>
        <w:tc>
          <w:tcPr>
            <w:tcW w:w="2139"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02CF3" w:rsidRPr="0027556D" w:rsidRDefault="00102CF3" w:rsidP="00C37B4A">
            <w:pPr>
              <w:spacing w:after="0" w:line="240" w:lineRule="auto"/>
              <w:rPr>
                <w:rFonts w:ascii="Times New Roman" w:eastAsia="Times New Roman" w:hAnsi="Times New Roman" w:cs="Times New Roman"/>
                <w:b/>
                <w:bCs/>
                <w:caps/>
                <w:color w:val="000000"/>
                <w:sz w:val="20"/>
                <w:szCs w:val="20"/>
              </w:rPr>
            </w:pPr>
            <w:r w:rsidRPr="0027556D">
              <w:rPr>
                <w:rFonts w:ascii="Times New Roman" w:eastAsia="Times New Roman" w:hAnsi="Times New Roman" w:cs="Times New Roman"/>
                <w:b/>
                <w:bCs/>
                <w:caps/>
                <w:color w:val="000000"/>
                <w:sz w:val="20"/>
                <w:szCs w:val="20"/>
              </w:rPr>
              <w:t>Projektová podpora zo štátneho rozpočtu celkom</w:t>
            </w:r>
          </w:p>
        </w:tc>
        <w:tc>
          <w:tcPr>
            <w:tcW w:w="3118" w:type="dxa"/>
            <w:tcBorders>
              <w:top w:val="nil"/>
              <w:left w:val="nil"/>
              <w:bottom w:val="single" w:sz="4" w:space="0" w:color="auto"/>
              <w:right w:val="nil"/>
            </w:tcBorders>
            <w:shd w:val="clear" w:color="auto" w:fill="F2F2F2" w:themeFill="background1" w:themeFillShade="F2"/>
            <w:noWrap/>
            <w:vAlign w:val="bottom"/>
          </w:tcPr>
          <w:p w:rsidR="00102CF3" w:rsidRPr="00C37B4A" w:rsidRDefault="00102CF3" w:rsidP="00C37B4A">
            <w:pPr>
              <w:spacing w:after="0" w:line="240" w:lineRule="auto"/>
              <w:rPr>
                <w:rFonts w:ascii="Times New Roman" w:eastAsia="Times New Roman" w:hAnsi="Times New Roman" w:cs="Times New Roman"/>
                <w:b/>
                <w:bCs/>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02CF3" w:rsidRPr="002F2162" w:rsidRDefault="00102CF3" w:rsidP="0027556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13 420</w:t>
            </w:r>
          </w:p>
        </w:tc>
        <w:tc>
          <w:tcPr>
            <w:tcW w:w="949" w:type="dxa"/>
            <w:tcBorders>
              <w:top w:val="nil"/>
              <w:left w:val="nil"/>
              <w:bottom w:val="single" w:sz="4" w:space="0" w:color="auto"/>
              <w:right w:val="nil"/>
            </w:tcBorders>
            <w:shd w:val="clear" w:color="auto" w:fill="F2F2F2" w:themeFill="background1" w:themeFillShade="F2"/>
            <w:noWrap/>
            <w:vAlign w:val="center"/>
          </w:tcPr>
          <w:p w:rsidR="00102CF3" w:rsidRPr="002F2162" w:rsidRDefault="00102CF3" w:rsidP="0027556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13 420</w:t>
            </w:r>
          </w:p>
        </w:tc>
        <w:tc>
          <w:tcPr>
            <w:tcW w:w="893" w:type="dxa"/>
            <w:tcBorders>
              <w:top w:val="nil"/>
              <w:left w:val="nil"/>
              <w:bottom w:val="single" w:sz="4" w:space="0" w:color="auto"/>
              <w:right w:val="nil"/>
            </w:tcBorders>
            <w:shd w:val="clear" w:color="auto" w:fill="F2F2F2" w:themeFill="background1" w:themeFillShade="F2"/>
            <w:noWrap/>
            <w:vAlign w:val="center"/>
          </w:tcPr>
          <w:p w:rsidR="00102CF3" w:rsidRPr="002F2162" w:rsidRDefault="00102CF3" w:rsidP="0027556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tc>
        <w:tc>
          <w:tcPr>
            <w:tcW w:w="1135" w:type="dxa"/>
            <w:tcBorders>
              <w:top w:val="nil"/>
              <w:left w:val="nil"/>
              <w:bottom w:val="single" w:sz="4" w:space="0" w:color="auto"/>
              <w:right w:val="nil"/>
            </w:tcBorders>
            <w:shd w:val="clear" w:color="auto" w:fill="F2F2F2" w:themeFill="background1" w:themeFillShade="F2"/>
            <w:noWrap/>
            <w:vAlign w:val="center"/>
          </w:tcPr>
          <w:p w:rsidR="00102CF3" w:rsidRPr="002F2162" w:rsidRDefault="00102CF3" w:rsidP="0027556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tc>
      </w:tr>
      <w:tr w:rsidR="00102CF3" w:rsidRPr="0027556D" w:rsidTr="00763591">
        <w:trPr>
          <w:trHeight w:val="1010"/>
        </w:trPr>
        <w:tc>
          <w:tcPr>
            <w:tcW w:w="2139" w:type="dxa"/>
            <w:tcBorders>
              <w:top w:val="single" w:sz="4" w:space="0" w:color="auto"/>
              <w:left w:val="nil"/>
              <w:bottom w:val="single" w:sz="4" w:space="0" w:color="auto"/>
              <w:right w:val="single" w:sz="4" w:space="0" w:color="auto"/>
            </w:tcBorders>
            <w:shd w:val="clear" w:color="000000" w:fill="D8D8D8"/>
            <w:noWrap/>
            <w:vAlign w:val="center"/>
            <w:hideMark/>
          </w:tcPr>
          <w:p w:rsidR="00102CF3" w:rsidRPr="0027556D" w:rsidRDefault="00102CF3" w:rsidP="00763591">
            <w:pPr>
              <w:spacing w:after="0" w:line="240" w:lineRule="auto"/>
              <w:rPr>
                <w:rFonts w:ascii="Times New Roman" w:eastAsia="Times New Roman" w:hAnsi="Times New Roman" w:cs="Times New Roman"/>
                <w:b/>
                <w:bCs/>
                <w:caps/>
                <w:color w:val="000000"/>
                <w:sz w:val="20"/>
                <w:szCs w:val="20"/>
              </w:rPr>
            </w:pPr>
            <w:r w:rsidRPr="0027556D">
              <w:rPr>
                <w:rFonts w:ascii="Times New Roman" w:eastAsia="Times New Roman" w:hAnsi="Times New Roman" w:cs="Times New Roman"/>
                <w:b/>
                <w:bCs/>
                <w:caps/>
                <w:color w:val="000000"/>
                <w:sz w:val="20"/>
                <w:szCs w:val="20"/>
              </w:rPr>
              <w:t>Zdrojové zabezpečenie celkom</w:t>
            </w:r>
          </w:p>
        </w:tc>
        <w:tc>
          <w:tcPr>
            <w:tcW w:w="3118" w:type="dxa"/>
            <w:tcBorders>
              <w:top w:val="nil"/>
              <w:left w:val="nil"/>
              <w:bottom w:val="single" w:sz="4" w:space="0" w:color="auto"/>
              <w:right w:val="nil"/>
            </w:tcBorders>
            <w:shd w:val="clear" w:color="000000" w:fill="D8D8D8"/>
            <w:noWrap/>
            <w:vAlign w:val="center"/>
            <w:hideMark/>
          </w:tcPr>
          <w:p w:rsidR="00102CF3" w:rsidRPr="0027556D" w:rsidRDefault="00102CF3" w:rsidP="00763591">
            <w:pPr>
              <w:spacing w:after="0" w:line="240" w:lineRule="auto"/>
              <w:jc w:val="center"/>
              <w:rPr>
                <w:rFonts w:ascii="Times New Roman" w:eastAsia="Times New Roman" w:hAnsi="Times New Roman" w:cs="Times New Roman"/>
                <w:b/>
                <w:bCs/>
                <w:caps/>
                <w:color w:val="000000"/>
                <w:sz w:val="20"/>
                <w:szCs w:val="20"/>
              </w:rPr>
            </w:pPr>
          </w:p>
        </w:tc>
        <w:tc>
          <w:tcPr>
            <w:tcW w:w="851" w:type="dxa"/>
            <w:tcBorders>
              <w:top w:val="nil"/>
              <w:left w:val="single" w:sz="4" w:space="0" w:color="auto"/>
              <w:bottom w:val="single" w:sz="4" w:space="0" w:color="auto"/>
              <w:right w:val="single" w:sz="4" w:space="0" w:color="auto"/>
            </w:tcBorders>
            <w:shd w:val="clear" w:color="000000" w:fill="D8D8D8"/>
            <w:noWrap/>
            <w:vAlign w:val="center"/>
            <w:hideMark/>
          </w:tcPr>
          <w:p w:rsidR="00102CF3" w:rsidRPr="0027556D" w:rsidRDefault="00102CF3" w:rsidP="00763591">
            <w:pPr>
              <w:spacing w:after="0" w:line="240" w:lineRule="auto"/>
              <w:jc w:val="right"/>
              <w:rPr>
                <w:rFonts w:ascii="Times New Roman" w:hAnsi="Times New Roman" w:cs="Times New Roman"/>
                <w:b/>
                <w:caps/>
                <w:sz w:val="20"/>
                <w:szCs w:val="20"/>
              </w:rPr>
            </w:pPr>
            <w:r>
              <w:rPr>
                <w:rFonts w:ascii="Times New Roman" w:hAnsi="Times New Roman" w:cs="Times New Roman"/>
                <w:b/>
                <w:caps/>
                <w:sz w:val="20"/>
                <w:szCs w:val="20"/>
              </w:rPr>
              <w:t>508 482</w:t>
            </w:r>
          </w:p>
        </w:tc>
        <w:tc>
          <w:tcPr>
            <w:tcW w:w="949" w:type="dxa"/>
            <w:tcBorders>
              <w:top w:val="nil"/>
              <w:left w:val="nil"/>
              <w:bottom w:val="single" w:sz="4" w:space="0" w:color="auto"/>
              <w:right w:val="nil"/>
            </w:tcBorders>
            <w:shd w:val="clear" w:color="000000" w:fill="D8D8D8"/>
            <w:noWrap/>
            <w:vAlign w:val="center"/>
            <w:hideMark/>
          </w:tcPr>
          <w:p w:rsidR="00102CF3" w:rsidRPr="0027556D" w:rsidRDefault="00102CF3" w:rsidP="00763591">
            <w:pPr>
              <w:spacing w:after="0" w:line="240" w:lineRule="auto"/>
              <w:jc w:val="right"/>
              <w:rPr>
                <w:rFonts w:ascii="Times New Roman" w:hAnsi="Times New Roman" w:cs="Times New Roman"/>
                <w:b/>
                <w:caps/>
                <w:sz w:val="20"/>
                <w:szCs w:val="20"/>
              </w:rPr>
            </w:pPr>
            <w:r w:rsidRPr="0027556D">
              <w:rPr>
                <w:rFonts w:ascii="Times New Roman" w:hAnsi="Times New Roman" w:cs="Times New Roman"/>
                <w:b/>
                <w:caps/>
                <w:sz w:val="20"/>
                <w:szCs w:val="20"/>
              </w:rPr>
              <w:t>13 420</w:t>
            </w:r>
          </w:p>
        </w:tc>
        <w:tc>
          <w:tcPr>
            <w:tcW w:w="893" w:type="dxa"/>
            <w:tcBorders>
              <w:top w:val="nil"/>
              <w:left w:val="nil"/>
              <w:bottom w:val="single" w:sz="4" w:space="0" w:color="auto"/>
              <w:right w:val="nil"/>
            </w:tcBorders>
            <w:shd w:val="clear" w:color="000000" w:fill="D8D8D8"/>
            <w:noWrap/>
            <w:vAlign w:val="center"/>
            <w:hideMark/>
          </w:tcPr>
          <w:p w:rsidR="00102CF3" w:rsidRPr="0027556D" w:rsidRDefault="00102CF3" w:rsidP="0043012F">
            <w:pPr>
              <w:spacing w:after="0" w:line="240" w:lineRule="auto"/>
              <w:jc w:val="right"/>
              <w:rPr>
                <w:rFonts w:ascii="Times New Roman" w:hAnsi="Times New Roman" w:cs="Times New Roman"/>
                <w:b/>
                <w:caps/>
                <w:sz w:val="20"/>
                <w:szCs w:val="20"/>
              </w:rPr>
            </w:pPr>
            <w:r>
              <w:rPr>
                <w:rFonts w:ascii="Times New Roman" w:hAnsi="Times New Roman" w:cs="Times New Roman"/>
                <w:b/>
                <w:caps/>
                <w:sz w:val="20"/>
                <w:szCs w:val="20"/>
              </w:rPr>
              <w:t xml:space="preserve">318 </w:t>
            </w:r>
            <w:r w:rsidRPr="0027556D">
              <w:rPr>
                <w:rFonts w:ascii="Times New Roman" w:hAnsi="Times New Roman" w:cs="Times New Roman"/>
                <w:b/>
                <w:caps/>
                <w:sz w:val="20"/>
                <w:szCs w:val="20"/>
              </w:rPr>
              <w:t>7</w:t>
            </w:r>
            <w:r>
              <w:rPr>
                <w:rFonts w:ascii="Times New Roman" w:hAnsi="Times New Roman" w:cs="Times New Roman"/>
                <w:b/>
                <w:caps/>
                <w:sz w:val="20"/>
                <w:szCs w:val="20"/>
              </w:rPr>
              <w:t>52</w:t>
            </w:r>
          </w:p>
        </w:tc>
        <w:tc>
          <w:tcPr>
            <w:tcW w:w="1135" w:type="dxa"/>
            <w:tcBorders>
              <w:top w:val="nil"/>
              <w:left w:val="nil"/>
              <w:bottom w:val="single" w:sz="4" w:space="0" w:color="auto"/>
              <w:right w:val="nil"/>
            </w:tcBorders>
            <w:shd w:val="clear" w:color="000000" w:fill="D8D8D8"/>
            <w:noWrap/>
            <w:vAlign w:val="center"/>
            <w:hideMark/>
          </w:tcPr>
          <w:p w:rsidR="00102CF3" w:rsidRPr="0027556D" w:rsidRDefault="00102CF3" w:rsidP="00763591">
            <w:pPr>
              <w:spacing w:after="0" w:line="240" w:lineRule="auto"/>
              <w:jc w:val="right"/>
              <w:rPr>
                <w:rFonts w:ascii="Times New Roman" w:hAnsi="Times New Roman" w:cs="Times New Roman"/>
                <w:b/>
                <w:caps/>
                <w:sz w:val="20"/>
                <w:szCs w:val="20"/>
              </w:rPr>
            </w:pPr>
            <w:r>
              <w:rPr>
                <w:rFonts w:ascii="Times New Roman" w:hAnsi="Times New Roman" w:cs="Times New Roman"/>
                <w:b/>
                <w:caps/>
                <w:sz w:val="20"/>
                <w:szCs w:val="20"/>
              </w:rPr>
              <w:t>176 310</w:t>
            </w:r>
          </w:p>
        </w:tc>
      </w:tr>
    </w:tbl>
    <w:p w:rsidR="00763591" w:rsidRDefault="00763591" w:rsidP="00DC6C3C">
      <w:pPr>
        <w:spacing w:after="0" w:line="240" w:lineRule="auto"/>
        <w:jc w:val="both"/>
        <w:rPr>
          <w:rFonts w:ascii="Times New Roman" w:eastAsia="Calibri" w:hAnsi="Times New Roman"/>
          <w:sz w:val="24"/>
          <w:szCs w:val="24"/>
        </w:rPr>
      </w:pPr>
    </w:p>
    <w:p w:rsidR="00DB3AF9" w:rsidRDefault="002F2162" w:rsidP="00DC6C3C">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Na základe kvantifikácie náročnosti navrhovaných opatrení v rámci Koncepcie rozvoja pôdohospodárstva na roky 2013 – 2020  na zabezpečenie financovania ich realizácie sú predpokladané vplyvy na štátny rozpočet v rokoch 2013 – 2020 v celkovej výške      13 420 000 EUR. Celkové náklady na realizáciu navrhovaných opatrení a prioritných úloh sú vo výške </w:t>
      </w:r>
      <w:r w:rsidR="00AC2345">
        <w:rPr>
          <w:rFonts w:ascii="Times New Roman" w:eastAsia="Calibri" w:hAnsi="Times New Roman"/>
          <w:sz w:val="24"/>
          <w:szCs w:val="24"/>
        </w:rPr>
        <w:t>508 482</w:t>
      </w:r>
      <w:r>
        <w:rPr>
          <w:rFonts w:ascii="Times New Roman" w:eastAsia="Calibri" w:hAnsi="Times New Roman"/>
          <w:sz w:val="24"/>
          <w:szCs w:val="24"/>
        </w:rPr>
        <w:t xml:space="preserve"> 000 EUR. </w:t>
      </w:r>
      <w:r w:rsidR="00BF23F9">
        <w:rPr>
          <w:rFonts w:ascii="Times New Roman" w:eastAsia="Calibri" w:hAnsi="Times New Roman"/>
          <w:sz w:val="24"/>
          <w:szCs w:val="24"/>
        </w:rPr>
        <w:t xml:space="preserve">Požiadavky na štátny rozpočet v nasledujúcom strednodobom horizonte, kumulatívne vo výške </w:t>
      </w:r>
      <w:r>
        <w:rPr>
          <w:rFonts w:ascii="Times New Roman" w:eastAsia="Calibri" w:hAnsi="Times New Roman"/>
          <w:sz w:val="24"/>
          <w:szCs w:val="24"/>
        </w:rPr>
        <w:t>13</w:t>
      </w:r>
      <w:r w:rsidR="00BF23F9">
        <w:rPr>
          <w:rFonts w:ascii="Times New Roman" w:eastAsia="Calibri" w:hAnsi="Times New Roman"/>
          <w:sz w:val="24"/>
          <w:szCs w:val="24"/>
        </w:rPr>
        <w:t> </w:t>
      </w:r>
      <w:r>
        <w:rPr>
          <w:rFonts w:ascii="Times New Roman" w:eastAsia="Calibri" w:hAnsi="Times New Roman"/>
          <w:sz w:val="24"/>
          <w:szCs w:val="24"/>
        </w:rPr>
        <w:t>4</w:t>
      </w:r>
      <w:r w:rsidR="00C37B4A">
        <w:rPr>
          <w:rFonts w:ascii="Times New Roman" w:eastAsia="Calibri" w:hAnsi="Times New Roman"/>
          <w:sz w:val="24"/>
          <w:szCs w:val="24"/>
        </w:rPr>
        <w:t>20</w:t>
      </w:r>
      <w:r w:rsidR="00BF23F9">
        <w:rPr>
          <w:rFonts w:ascii="Times New Roman" w:eastAsia="Calibri" w:hAnsi="Times New Roman"/>
          <w:sz w:val="24"/>
          <w:szCs w:val="24"/>
        </w:rPr>
        <w:t xml:space="preserve"> 000 EUR, je potrebné posudzovať aj z hľadiska pozitívnych vplyvov </w:t>
      </w:r>
      <w:r w:rsidR="00FA22B3">
        <w:rPr>
          <w:rFonts w:ascii="Times New Roman" w:eastAsia="Calibri" w:hAnsi="Times New Roman"/>
          <w:sz w:val="24"/>
          <w:szCs w:val="24"/>
        </w:rPr>
        <w:t xml:space="preserve">na hospodárstvo </w:t>
      </w:r>
      <w:r w:rsidR="003609DC">
        <w:rPr>
          <w:rFonts w:ascii="Times New Roman" w:eastAsia="Calibri" w:hAnsi="Times New Roman"/>
          <w:sz w:val="24"/>
          <w:szCs w:val="24"/>
        </w:rPr>
        <w:t xml:space="preserve">a verejné financie </w:t>
      </w:r>
      <w:r w:rsidR="00FA22B3">
        <w:rPr>
          <w:rFonts w:ascii="Times New Roman" w:eastAsia="Calibri" w:hAnsi="Times New Roman"/>
          <w:sz w:val="24"/>
          <w:szCs w:val="24"/>
        </w:rPr>
        <w:t xml:space="preserve">Slovenskej republiky. </w:t>
      </w:r>
    </w:p>
    <w:p w:rsidR="00DB3AF9" w:rsidRDefault="00DB3AF9" w:rsidP="00DC6C3C">
      <w:pPr>
        <w:spacing w:after="0" w:line="240" w:lineRule="auto"/>
        <w:jc w:val="both"/>
        <w:rPr>
          <w:rFonts w:ascii="Times New Roman" w:eastAsia="Calibri" w:hAnsi="Times New Roman"/>
          <w:sz w:val="24"/>
          <w:szCs w:val="24"/>
        </w:rPr>
      </w:pPr>
    </w:p>
    <w:p w:rsidR="00D74EF5" w:rsidRDefault="00FA22B3" w:rsidP="00DC6C3C">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Z tohto pohľadu je správne povedať, že investíciou vo výške cca </w:t>
      </w:r>
      <w:r w:rsidR="00950A9A">
        <w:rPr>
          <w:rFonts w:ascii="Times New Roman" w:eastAsia="Calibri" w:hAnsi="Times New Roman"/>
          <w:sz w:val="24"/>
          <w:szCs w:val="24"/>
        </w:rPr>
        <w:t>13,4</w:t>
      </w:r>
      <w:r>
        <w:rPr>
          <w:rFonts w:ascii="Times New Roman" w:eastAsia="Calibri" w:hAnsi="Times New Roman"/>
          <w:sz w:val="24"/>
          <w:szCs w:val="24"/>
        </w:rPr>
        <w:t xml:space="preserve"> mil. EUR</w:t>
      </w:r>
      <w:r w:rsidR="000B0D07">
        <w:rPr>
          <w:rFonts w:ascii="Times New Roman" w:eastAsia="Calibri" w:hAnsi="Times New Roman"/>
          <w:sz w:val="24"/>
          <w:szCs w:val="24"/>
        </w:rPr>
        <w:t xml:space="preserve"> a </w:t>
      </w:r>
      <w:r w:rsidR="00950A9A">
        <w:rPr>
          <w:rFonts w:ascii="Times New Roman" w:eastAsia="Calibri" w:hAnsi="Times New Roman"/>
          <w:sz w:val="24"/>
          <w:szCs w:val="24"/>
        </w:rPr>
        <w:t>efektívnym</w:t>
      </w:r>
      <w:r w:rsidR="000B0D07">
        <w:rPr>
          <w:rFonts w:ascii="Times New Roman" w:eastAsia="Calibri" w:hAnsi="Times New Roman"/>
          <w:sz w:val="24"/>
          <w:szCs w:val="24"/>
        </w:rPr>
        <w:t xml:space="preserve"> čerpaním európskych prostriedkov</w:t>
      </w:r>
      <w:r>
        <w:rPr>
          <w:rFonts w:ascii="Times New Roman" w:eastAsia="Calibri" w:hAnsi="Times New Roman"/>
          <w:sz w:val="24"/>
          <w:szCs w:val="24"/>
        </w:rPr>
        <w:t xml:space="preserve">, Slovenská republika vytvorí, kumulatívne do </w:t>
      </w:r>
      <w:r w:rsidR="00C37B4A">
        <w:rPr>
          <w:rFonts w:ascii="Times New Roman" w:eastAsia="Calibri" w:hAnsi="Times New Roman"/>
          <w:sz w:val="24"/>
          <w:szCs w:val="24"/>
        </w:rPr>
        <w:t>roku 2020</w:t>
      </w:r>
      <w:r>
        <w:rPr>
          <w:rFonts w:ascii="Times New Roman" w:eastAsia="Calibri" w:hAnsi="Times New Roman"/>
          <w:sz w:val="24"/>
          <w:szCs w:val="24"/>
        </w:rPr>
        <w:t xml:space="preserve">, </w:t>
      </w:r>
      <w:r w:rsidR="003A44A0">
        <w:rPr>
          <w:rFonts w:ascii="Times New Roman" w:eastAsia="Calibri" w:hAnsi="Times New Roman"/>
          <w:sz w:val="24"/>
          <w:szCs w:val="24"/>
        </w:rPr>
        <w:t>18 674</w:t>
      </w:r>
      <w:r>
        <w:rPr>
          <w:rFonts w:ascii="Times New Roman" w:eastAsia="Calibri" w:hAnsi="Times New Roman"/>
          <w:sz w:val="24"/>
          <w:szCs w:val="24"/>
        </w:rPr>
        <w:t xml:space="preserve"> pracovných miest.</w:t>
      </w:r>
      <w:r w:rsidR="009933A0">
        <w:rPr>
          <w:rFonts w:ascii="Times New Roman" w:eastAsia="Calibri" w:hAnsi="Times New Roman"/>
          <w:sz w:val="24"/>
          <w:szCs w:val="24"/>
        </w:rPr>
        <w:t xml:space="preserve"> </w:t>
      </w:r>
      <w:r w:rsidR="000B0D07">
        <w:rPr>
          <w:rFonts w:ascii="Times New Roman" w:eastAsia="Calibri" w:hAnsi="Times New Roman"/>
          <w:sz w:val="24"/>
          <w:szCs w:val="24"/>
        </w:rPr>
        <w:t xml:space="preserve">Pri priemernej mesačnej mzde v sektore </w:t>
      </w:r>
      <w:r w:rsidR="00DB3AF9">
        <w:rPr>
          <w:rFonts w:ascii="Times New Roman" w:eastAsia="Calibri" w:hAnsi="Times New Roman"/>
          <w:sz w:val="24"/>
          <w:szCs w:val="24"/>
        </w:rPr>
        <w:t>poľnohospodárstva, lesníctva</w:t>
      </w:r>
      <w:r w:rsidR="000B0D07">
        <w:rPr>
          <w:rFonts w:ascii="Times New Roman" w:eastAsia="Calibri" w:hAnsi="Times New Roman"/>
          <w:sz w:val="24"/>
          <w:szCs w:val="24"/>
        </w:rPr>
        <w:t xml:space="preserve"> a</w:t>
      </w:r>
      <w:r w:rsidR="009933A0">
        <w:rPr>
          <w:rFonts w:ascii="Times New Roman" w:eastAsia="Calibri" w:hAnsi="Times New Roman"/>
          <w:sz w:val="24"/>
          <w:szCs w:val="24"/>
        </w:rPr>
        <w:t> </w:t>
      </w:r>
      <w:r w:rsidR="000B0D07">
        <w:rPr>
          <w:rFonts w:ascii="Times New Roman" w:eastAsia="Calibri" w:hAnsi="Times New Roman"/>
          <w:sz w:val="24"/>
          <w:szCs w:val="24"/>
        </w:rPr>
        <w:t>rybolov</w:t>
      </w:r>
      <w:r w:rsidR="00DB3AF9">
        <w:rPr>
          <w:rFonts w:ascii="Times New Roman" w:eastAsia="Calibri" w:hAnsi="Times New Roman"/>
          <w:sz w:val="24"/>
          <w:szCs w:val="24"/>
        </w:rPr>
        <w:t>u</w:t>
      </w:r>
      <w:r w:rsidR="009933A0">
        <w:rPr>
          <w:rFonts w:ascii="Times New Roman" w:eastAsia="Calibri" w:hAnsi="Times New Roman"/>
          <w:sz w:val="24"/>
          <w:szCs w:val="24"/>
        </w:rPr>
        <w:t xml:space="preserve"> </w:t>
      </w:r>
      <w:r w:rsidR="003609DC">
        <w:rPr>
          <w:rFonts w:ascii="Times New Roman" w:eastAsia="Calibri" w:hAnsi="Times New Roman"/>
          <w:sz w:val="24"/>
          <w:szCs w:val="24"/>
        </w:rPr>
        <w:t>vo výške 602 EUR, vytvorenie</w:t>
      </w:r>
      <w:r w:rsidR="00C37B4A">
        <w:rPr>
          <w:rFonts w:ascii="Times New Roman" w:eastAsia="Calibri" w:hAnsi="Times New Roman"/>
          <w:sz w:val="24"/>
          <w:szCs w:val="24"/>
        </w:rPr>
        <w:t xml:space="preserve"> 18 674</w:t>
      </w:r>
      <w:r w:rsidR="003609DC">
        <w:rPr>
          <w:rFonts w:ascii="Times New Roman" w:eastAsia="Calibri" w:hAnsi="Times New Roman"/>
          <w:sz w:val="24"/>
          <w:szCs w:val="24"/>
        </w:rPr>
        <w:t xml:space="preserve"> pracovných miest znamená:</w:t>
      </w:r>
    </w:p>
    <w:p w:rsidR="003609DC" w:rsidRDefault="003609DC" w:rsidP="00DC6C3C">
      <w:pPr>
        <w:spacing w:after="0" w:line="240" w:lineRule="auto"/>
        <w:jc w:val="both"/>
        <w:rPr>
          <w:rFonts w:ascii="Times New Roman" w:eastAsia="Calibri" w:hAnsi="Times New Roman"/>
          <w:sz w:val="24"/>
          <w:szCs w:val="24"/>
        </w:rPr>
      </w:pPr>
    </w:p>
    <w:p w:rsidR="003609DC" w:rsidRDefault="003609DC" w:rsidP="00C8344F">
      <w:pPr>
        <w:pStyle w:val="Odsekzoznamu"/>
        <w:numPr>
          <w:ilvl w:val="0"/>
          <w:numId w:val="25"/>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ročný príjem do štátneho rozpočtu na dani z príjmov vo výške cca </w:t>
      </w:r>
      <w:r w:rsidR="00C37B4A">
        <w:rPr>
          <w:rFonts w:ascii="Times New Roman" w:eastAsia="Calibri" w:hAnsi="Times New Roman"/>
          <w:sz w:val="24"/>
          <w:szCs w:val="24"/>
        </w:rPr>
        <w:t>12,8</w:t>
      </w:r>
      <w:r>
        <w:rPr>
          <w:rFonts w:ascii="Times New Roman" w:eastAsia="Calibri" w:hAnsi="Times New Roman"/>
          <w:sz w:val="24"/>
          <w:szCs w:val="24"/>
        </w:rPr>
        <w:t xml:space="preserve"> mil. EUR;</w:t>
      </w:r>
    </w:p>
    <w:p w:rsidR="003609DC" w:rsidRDefault="003609DC" w:rsidP="00C8344F">
      <w:pPr>
        <w:pStyle w:val="Odsekzoznamu"/>
        <w:numPr>
          <w:ilvl w:val="0"/>
          <w:numId w:val="25"/>
        </w:numPr>
        <w:spacing w:after="0" w:line="240" w:lineRule="auto"/>
        <w:jc w:val="both"/>
        <w:rPr>
          <w:rFonts w:ascii="Times New Roman" w:eastAsia="Calibri" w:hAnsi="Times New Roman"/>
          <w:sz w:val="24"/>
          <w:szCs w:val="24"/>
        </w:rPr>
      </w:pPr>
      <w:r>
        <w:rPr>
          <w:rFonts w:ascii="Times New Roman" w:eastAsia="Calibri" w:hAnsi="Times New Roman"/>
          <w:sz w:val="24"/>
          <w:szCs w:val="24"/>
        </w:rPr>
        <w:t>ročný príjem do štátneho rozpočtu z titulu platenia odvodov</w:t>
      </w:r>
      <w:r w:rsidR="00C37B4A">
        <w:rPr>
          <w:rFonts w:ascii="Times New Roman" w:eastAsia="Calibri" w:hAnsi="Times New Roman"/>
          <w:sz w:val="24"/>
          <w:szCs w:val="24"/>
        </w:rPr>
        <w:t xml:space="preserve"> zamestnávateľom vo výške cca </w:t>
      </w:r>
      <w:r w:rsidR="003702F6">
        <w:rPr>
          <w:rFonts w:ascii="Times New Roman" w:eastAsia="Calibri" w:hAnsi="Times New Roman"/>
          <w:sz w:val="24"/>
          <w:szCs w:val="24"/>
        </w:rPr>
        <w:t>30</w:t>
      </w:r>
      <w:r>
        <w:rPr>
          <w:rFonts w:ascii="Times New Roman" w:eastAsia="Calibri" w:hAnsi="Times New Roman"/>
          <w:sz w:val="24"/>
          <w:szCs w:val="24"/>
        </w:rPr>
        <w:t xml:space="preserve"> mil. EUR;</w:t>
      </w:r>
    </w:p>
    <w:p w:rsidR="003609DC" w:rsidRDefault="003609DC" w:rsidP="00C8344F">
      <w:pPr>
        <w:pStyle w:val="Odsekzoznamu"/>
        <w:numPr>
          <w:ilvl w:val="0"/>
          <w:numId w:val="25"/>
        </w:numPr>
        <w:spacing w:after="0" w:line="240" w:lineRule="auto"/>
        <w:jc w:val="both"/>
        <w:rPr>
          <w:rFonts w:ascii="Times New Roman" w:eastAsia="Calibri" w:hAnsi="Times New Roman"/>
          <w:sz w:val="24"/>
          <w:szCs w:val="24"/>
        </w:rPr>
      </w:pPr>
      <w:r>
        <w:rPr>
          <w:rFonts w:ascii="Times New Roman" w:eastAsia="Calibri" w:hAnsi="Times New Roman"/>
          <w:sz w:val="24"/>
          <w:szCs w:val="24"/>
        </w:rPr>
        <w:t>ročný príjem z titulu platenia odvod</w:t>
      </w:r>
      <w:r w:rsidR="00C37B4A">
        <w:rPr>
          <w:rFonts w:ascii="Times New Roman" w:eastAsia="Calibri" w:hAnsi="Times New Roman"/>
          <w:sz w:val="24"/>
          <w:szCs w:val="24"/>
        </w:rPr>
        <w:t>ov zamestnancov vo výške cca 18</w:t>
      </w:r>
      <w:r>
        <w:rPr>
          <w:rFonts w:ascii="Times New Roman" w:eastAsia="Calibri" w:hAnsi="Times New Roman"/>
          <w:sz w:val="24"/>
          <w:szCs w:val="24"/>
        </w:rPr>
        <w:t xml:space="preserve"> mil. EUR;</w:t>
      </w:r>
    </w:p>
    <w:p w:rsidR="00D83473" w:rsidRDefault="00DB3AF9" w:rsidP="00B7617C">
      <w:pPr>
        <w:pStyle w:val="Odsekzoznamu"/>
        <w:numPr>
          <w:ilvl w:val="0"/>
          <w:numId w:val="25"/>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ročnú úsporu výdavkov štátu na dávkach v hmotnej núdzi, ak predpokladáme, že všetkých </w:t>
      </w:r>
      <w:r w:rsidR="00C37B4A">
        <w:rPr>
          <w:rFonts w:ascii="Times New Roman" w:eastAsia="Calibri" w:hAnsi="Times New Roman"/>
          <w:sz w:val="24"/>
          <w:szCs w:val="24"/>
        </w:rPr>
        <w:t>18</w:t>
      </w:r>
      <w:r>
        <w:rPr>
          <w:rFonts w:ascii="Times New Roman" w:eastAsia="Calibri" w:hAnsi="Times New Roman"/>
          <w:sz w:val="24"/>
          <w:szCs w:val="24"/>
        </w:rPr>
        <w:t> </w:t>
      </w:r>
      <w:r w:rsidR="00C37B4A">
        <w:rPr>
          <w:rFonts w:ascii="Times New Roman" w:eastAsia="Calibri" w:hAnsi="Times New Roman"/>
          <w:sz w:val="24"/>
          <w:szCs w:val="24"/>
        </w:rPr>
        <w:t>674</w:t>
      </w:r>
      <w:r>
        <w:rPr>
          <w:rFonts w:ascii="Times New Roman" w:eastAsia="Calibri" w:hAnsi="Times New Roman"/>
          <w:sz w:val="24"/>
          <w:szCs w:val="24"/>
        </w:rPr>
        <w:t xml:space="preserve"> pracovníkov bolo na ne odkázaných počas celého roka, vo výške cca  </w:t>
      </w:r>
      <w:r w:rsidR="003702F6">
        <w:rPr>
          <w:rFonts w:ascii="Times New Roman" w:eastAsia="Calibri" w:hAnsi="Times New Roman"/>
          <w:sz w:val="24"/>
          <w:szCs w:val="24"/>
        </w:rPr>
        <w:t>32</w:t>
      </w:r>
      <w:r>
        <w:rPr>
          <w:rFonts w:ascii="Times New Roman" w:eastAsia="Calibri" w:hAnsi="Times New Roman"/>
          <w:sz w:val="24"/>
          <w:szCs w:val="24"/>
        </w:rPr>
        <w:t xml:space="preserve"> mil. EUR.</w:t>
      </w:r>
    </w:p>
    <w:p w:rsidR="00102CF3" w:rsidRDefault="00102CF3" w:rsidP="00102CF3">
      <w:pPr>
        <w:spacing w:after="0" w:line="240" w:lineRule="auto"/>
        <w:jc w:val="both"/>
        <w:rPr>
          <w:rFonts w:ascii="Times New Roman" w:eastAsia="Calibri" w:hAnsi="Times New Roman"/>
          <w:sz w:val="24"/>
          <w:szCs w:val="24"/>
        </w:rPr>
      </w:pPr>
    </w:p>
    <w:p w:rsidR="00102CF3" w:rsidRDefault="00102CF3" w:rsidP="00102CF3">
      <w:pPr>
        <w:spacing w:after="0" w:line="240" w:lineRule="auto"/>
        <w:jc w:val="both"/>
        <w:rPr>
          <w:rFonts w:ascii="Times New Roman" w:eastAsia="Calibri" w:hAnsi="Times New Roman"/>
          <w:sz w:val="24"/>
          <w:szCs w:val="24"/>
        </w:rPr>
      </w:pPr>
    </w:p>
    <w:p w:rsidR="00102CF3" w:rsidRPr="00102CF3" w:rsidRDefault="00102CF3" w:rsidP="00102CF3">
      <w:pPr>
        <w:spacing w:after="0" w:line="240" w:lineRule="auto"/>
        <w:jc w:val="both"/>
        <w:rPr>
          <w:rFonts w:ascii="Times New Roman" w:eastAsia="Calibri" w:hAnsi="Times New Roman"/>
          <w:sz w:val="24"/>
          <w:szCs w:val="24"/>
        </w:rPr>
      </w:pPr>
    </w:p>
    <w:p w:rsidR="004947E6" w:rsidRPr="00762F10" w:rsidRDefault="004947E6" w:rsidP="00D83473">
      <w:pPr>
        <w:pStyle w:val="Nadpis1"/>
        <w:numPr>
          <w:ilvl w:val="0"/>
          <w:numId w:val="8"/>
        </w:numPr>
        <w:rPr>
          <w:highlight w:val="red"/>
        </w:rPr>
      </w:pPr>
      <w:bookmarkStart w:id="82" w:name="_Toc359550702"/>
      <w:r w:rsidRPr="00762F10">
        <w:rPr>
          <w:highlight w:val="red"/>
        </w:rPr>
        <w:lastRenderedPageBreak/>
        <w:t>Prognózy budúceho vývoja</w:t>
      </w:r>
      <w:bookmarkEnd w:id="82"/>
    </w:p>
    <w:p w:rsidR="00674524" w:rsidRPr="00674524" w:rsidRDefault="00674524" w:rsidP="00674524">
      <w:pPr>
        <w:spacing w:after="0" w:line="240" w:lineRule="auto"/>
        <w:jc w:val="both"/>
        <w:rPr>
          <w:rFonts w:ascii="Times New Roman" w:eastAsia="Calibri" w:hAnsi="Times New Roman"/>
          <w:sz w:val="24"/>
          <w:szCs w:val="24"/>
        </w:rPr>
      </w:pPr>
    </w:p>
    <w:p w:rsidR="00B7617C" w:rsidRDefault="00473CE3" w:rsidP="00473CE3">
      <w:pPr>
        <w:spacing w:after="0" w:line="240" w:lineRule="auto"/>
        <w:jc w:val="both"/>
        <w:rPr>
          <w:rFonts w:ascii="Times New Roman" w:eastAsia="Calibri" w:hAnsi="Times New Roman"/>
          <w:sz w:val="24"/>
          <w:szCs w:val="24"/>
        </w:rPr>
      </w:pPr>
      <w:r w:rsidRPr="00473CE3">
        <w:rPr>
          <w:rFonts w:ascii="Times New Roman" w:eastAsia="Calibri" w:hAnsi="Times New Roman"/>
          <w:sz w:val="24"/>
          <w:szCs w:val="24"/>
        </w:rPr>
        <w:t xml:space="preserve">Účelom </w:t>
      </w:r>
      <w:r>
        <w:rPr>
          <w:rFonts w:ascii="Times New Roman" w:eastAsia="Calibri" w:hAnsi="Times New Roman"/>
          <w:sz w:val="24"/>
          <w:szCs w:val="24"/>
        </w:rPr>
        <w:t>tejto časti</w:t>
      </w:r>
      <w:r w:rsidRPr="00473CE3">
        <w:rPr>
          <w:rFonts w:ascii="Times New Roman" w:eastAsia="Calibri" w:hAnsi="Times New Roman"/>
          <w:sz w:val="24"/>
          <w:szCs w:val="24"/>
        </w:rPr>
        <w:t xml:space="preserve"> je </w:t>
      </w:r>
      <w:r w:rsidR="00B7617C">
        <w:rPr>
          <w:rFonts w:ascii="Times New Roman" w:eastAsia="Calibri" w:hAnsi="Times New Roman"/>
          <w:sz w:val="24"/>
          <w:szCs w:val="24"/>
        </w:rPr>
        <w:t xml:space="preserve">vytvorenie východiska pre pozíciu </w:t>
      </w:r>
      <w:r w:rsidRPr="00473CE3">
        <w:rPr>
          <w:rFonts w:ascii="Times New Roman" w:eastAsia="Calibri" w:hAnsi="Times New Roman"/>
          <w:sz w:val="24"/>
          <w:szCs w:val="24"/>
        </w:rPr>
        <w:t xml:space="preserve">Slovenska pri spolurozhodovaní o </w:t>
      </w:r>
      <w:r w:rsidR="00B7617C">
        <w:rPr>
          <w:rFonts w:ascii="Times New Roman" w:eastAsia="Calibri" w:hAnsi="Times New Roman"/>
          <w:sz w:val="24"/>
          <w:szCs w:val="24"/>
        </w:rPr>
        <w:t xml:space="preserve">implementácii Spoločnej poľnohospodárskej </w:t>
      </w:r>
      <w:r w:rsidRPr="00473CE3">
        <w:rPr>
          <w:rFonts w:ascii="Times New Roman" w:eastAsia="Calibri" w:hAnsi="Times New Roman"/>
          <w:sz w:val="24"/>
          <w:szCs w:val="24"/>
        </w:rPr>
        <w:t>politiky EÚ</w:t>
      </w:r>
      <w:r w:rsidR="00B7617C">
        <w:rPr>
          <w:rFonts w:ascii="Times New Roman" w:eastAsia="Calibri" w:hAnsi="Times New Roman"/>
          <w:sz w:val="24"/>
          <w:szCs w:val="24"/>
        </w:rPr>
        <w:t xml:space="preserve"> na roky 2014 – 2020, a to v priamej súvislosti s potrebou špecifikácie miery naplnenia vízie, zámerov a cieľov koncepcie v závislosti od možných zmien v ich predpokladanom financovaní. </w:t>
      </w:r>
      <w:r w:rsidR="001E10F7">
        <w:rPr>
          <w:rFonts w:ascii="Times New Roman" w:eastAsia="Calibri" w:hAnsi="Times New Roman"/>
          <w:sz w:val="24"/>
          <w:szCs w:val="24"/>
        </w:rPr>
        <w:t>Ako najviac pravdepodobné boli identifikované tri scenáre možného vývoja. Je však potrebné poznamenať, že na základe súčasného stavu rokovaní nemusí dôjsť k naplneniu ani jedného z nich, pričom v takejto situácii si MPRV SR vyhradzuje právo postupovať operatívne v zmysle definitívnej podoby Spoločnej poľnohospodárskej politiky na roky 2014 – 2020.</w:t>
      </w:r>
    </w:p>
    <w:p w:rsidR="00B7617C" w:rsidRDefault="00B7617C" w:rsidP="00473CE3">
      <w:pPr>
        <w:spacing w:after="0" w:line="240" w:lineRule="auto"/>
        <w:jc w:val="both"/>
        <w:rPr>
          <w:rFonts w:ascii="Times New Roman" w:eastAsia="Calibri" w:hAnsi="Times New Roman"/>
          <w:sz w:val="24"/>
          <w:szCs w:val="24"/>
        </w:rPr>
      </w:pPr>
    </w:p>
    <w:p w:rsidR="00B7617C" w:rsidRDefault="00B7617C" w:rsidP="00473CE3">
      <w:pPr>
        <w:spacing w:after="0" w:line="240" w:lineRule="auto"/>
        <w:jc w:val="both"/>
        <w:rPr>
          <w:rFonts w:ascii="Times New Roman" w:eastAsia="Calibri" w:hAnsi="Times New Roman"/>
          <w:sz w:val="24"/>
          <w:szCs w:val="24"/>
        </w:rPr>
      </w:pPr>
    </w:p>
    <w:p w:rsidR="00B7617C" w:rsidRDefault="00B7617C" w:rsidP="00B7617C">
      <w:pPr>
        <w:pStyle w:val="Nadpis2"/>
        <w:numPr>
          <w:ilvl w:val="1"/>
          <w:numId w:val="8"/>
        </w:numPr>
        <w:rPr>
          <w:rFonts w:eastAsia="Calibri"/>
          <w:szCs w:val="24"/>
        </w:rPr>
      </w:pPr>
      <w:bookmarkStart w:id="83" w:name="_Toc359550703"/>
      <w:r>
        <w:rPr>
          <w:rFonts w:eastAsia="Calibri"/>
          <w:szCs w:val="24"/>
        </w:rPr>
        <w:t>Základný scenár</w:t>
      </w:r>
      <w:bookmarkEnd w:id="83"/>
    </w:p>
    <w:p w:rsidR="00B7617C" w:rsidRDefault="00B7617C" w:rsidP="00473CE3">
      <w:pPr>
        <w:spacing w:after="0" w:line="240" w:lineRule="auto"/>
        <w:jc w:val="both"/>
        <w:rPr>
          <w:rFonts w:ascii="Times New Roman" w:eastAsia="Calibri" w:hAnsi="Times New Roman"/>
          <w:sz w:val="24"/>
          <w:szCs w:val="24"/>
        </w:rPr>
      </w:pPr>
    </w:p>
    <w:tbl>
      <w:tblPr>
        <w:tblStyle w:val="Mriekatabuky"/>
        <w:tblW w:w="0" w:type="auto"/>
        <w:tblInd w:w="108" w:type="dxa"/>
        <w:tblLook w:val="04A0" w:firstRow="1" w:lastRow="0" w:firstColumn="1" w:lastColumn="0" w:noHBand="0" w:noVBand="1"/>
      </w:tblPr>
      <w:tblGrid>
        <w:gridCol w:w="2235"/>
        <w:gridCol w:w="6837"/>
      </w:tblGrid>
      <w:tr w:rsidR="00AD55AD" w:rsidTr="009314A4">
        <w:tc>
          <w:tcPr>
            <w:tcW w:w="2235" w:type="dxa"/>
            <w:vMerge w:val="restart"/>
          </w:tcPr>
          <w:p w:rsidR="00AD55AD" w:rsidRPr="009314A4" w:rsidRDefault="002003A5" w:rsidP="00473CE3">
            <w:pPr>
              <w:jc w:val="both"/>
              <w:rPr>
                <w:rFonts w:ascii="Times New Roman" w:eastAsia="Calibri" w:hAnsi="Times New Roman"/>
                <w:b/>
                <w:sz w:val="24"/>
                <w:szCs w:val="24"/>
              </w:rPr>
            </w:pPr>
            <w:r>
              <w:rPr>
                <w:rFonts w:ascii="Times New Roman" w:eastAsia="Calibri" w:hAnsi="Times New Roman"/>
                <w:b/>
                <w:sz w:val="24"/>
                <w:szCs w:val="24"/>
              </w:rPr>
              <w:t>Základné p</w:t>
            </w:r>
            <w:r w:rsidR="00AD55AD" w:rsidRPr="009314A4">
              <w:rPr>
                <w:rFonts w:ascii="Times New Roman" w:eastAsia="Calibri" w:hAnsi="Times New Roman"/>
                <w:b/>
                <w:sz w:val="24"/>
                <w:szCs w:val="24"/>
              </w:rPr>
              <w:t>redpoklady:</w:t>
            </w:r>
          </w:p>
        </w:tc>
        <w:tc>
          <w:tcPr>
            <w:tcW w:w="6837" w:type="dxa"/>
          </w:tcPr>
          <w:p w:rsidR="00AD55AD" w:rsidRDefault="00AD55AD" w:rsidP="009314A4">
            <w:pPr>
              <w:jc w:val="both"/>
              <w:rPr>
                <w:rFonts w:ascii="Times New Roman" w:eastAsia="Calibri" w:hAnsi="Times New Roman"/>
                <w:sz w:val="24"/>
                <w:szCs w:val="24"/>
              </w:rPr>
            </w:pPr>
            <w:r>
              <w:rPr>
                <w:rFonts w:ascii="Times New Roman" w:eastAsia="Calibri" w:hAnsi="Times New Roman"/>
                <w:sz w:val="24"/>
                <w:szCs w:val="24"/>
              </w:rPr>
              <w:t xml:space="preserve">dobrovoľne viazaná podpora v rámci I. piliera na otvorený zoznam sektorov </w:t>
            </w:r>
          </w:p>
        </w:tc>
      </w:tr>
      <w:tr w:rsidR="00AD55AD" w:rsidTr="009314A4">
        <w:tc>
          <w:tcPr>
            <w:tcW w:w="2235" w:type="dxa"/>
            <w:vMerge/>
          </w:tcPr>
          <w:p w:rsidR="00AD55AD" w:rsidRDefault="00AD55AD" w:rsidP="00473CE3">
            <w:pPr>
              <w:jc w:val="both"/>
              <w:rPr>
                <w:rFonts w:ascii="Times New Roman" w:eastAsia="Calibri" w:hAnsi="Times New Roman"/>
                <w:sz w:val="24"/>
                <w:szCs w:val="24"/>
              </w:rPr>
            </w:pPr>
          </w:p>
        </w:tc>
        <w:tc>
          <w:tcPr>
            <w:tcW w:w="6837" w:type="dxa"/>
          </w:tcPr>
          <w:p w:rsidR="00AD55AD" w:rsidRDefault="00AD55AD" w:rsidP="00473CE3">
            <w:pPr>
              <w:jc w:val="both"/>
              <w:rPr>
                <w:rFonts w:ascii="Times New Roman" w:eastAsia="Calibri" w:hAnsi="Times New Roman"/>
                <w:sz w:val="24"/>
                <w:szCs w:val="24"/>
              </w:rPr>
            </w:pPr>
            <w:r>
              <w:rPr>
                <w:rFonts w:ascii="Times New Roman" w:eastAsia="Calibri" w:hAnsi="Times New Roman"/>
                <w:sz w:val="24"/>
                <w:szCs w:val="24"/>
              </w:rPr>
              <w:t>strop dobrovoľne viazanej platby do 12 % obálky priamych platieb</w:t>
            </w:r>
          </w:p>
        </w:tc>
      </w:tr>
      <w:tr w:rsidR="00AD55AD" w:rsidTr="009314A4">
        <w:tc>
          <w:tcPr>
            <w:tcW w:w="2235" w:type="dxa"/>
            <w:vMerge/>
          </w:tcPr>
          <w:p w:rsidR="00AD55AD" w:rsidRDefault="00AD55AD" w:rsidP="00473CE3">
            <w:pPr>
              <w:jc w:val="both"/>
              <w:rPr>
                <w:rFonts w:ascii="Times New Roman" w:eastAsia="Calibri" w:hAnsi="Times New Roman"/>
                <w:sz w:val="24"/>
                <w:szCs w:val="24"/>
              </w:rPr>
            </w:pPr>
          </w:p>
        </w:tc>
        <w:tc>
          <w:tcPr>
            <w:tcW w:w="6837" w:type="dxa"/>
          </w:tcPr>
          <w:p w:rsidR="00AD55AD" w:rsidRDefault="00AD55AD" w:rsidP="00473CE3">
            <w:pPr>
              <w:jc w:val="both"/>
              <w:rPr>
                <w:rFonts w:ascii="Times New Roman" w:eastAsia="Calibri" w:hAnsi="Times New Roman"/>
                <w:sz w:val="24"/>
                <w:szCs w:val="24"/>
              </w:rPr>
            </w:pPr>
            <w:r>
              <w:rPr>
                <w:rFonts w:ascii="Times New Roman" w:eastAsia="Calibri" w:hAnsi="Times New Roman"/>
                <w:sz w:val="24"/>
                <w:szCs w:val="24"/>
              </w:rPr>
              <w:t>presun 25 % finančných prostriedkov z II. do I. piliera</w:t>
            </w:r>
          </w:p>
        </w:tc>
      </w:tr>
      <w:tr w:rsidR="00AD55AD" w:rsidTr="009314A4">
        <w:tc>
          <w:tcPr>
            <w:tcW w:w="2235" w:type="dxa"/>
            <w:vMerge/>
          </w:tcPr>
          <w:p w:rsidR="00AD55AD" w:rsidRDefault="00AD55AD" w:rsidP="00473CE3">
            <w:pPr>
              <w:jc w:val="both"/>
              <w:rPr>
                <w:rFonts w:ascii="Times New Roman" w:eastAsia="Calibri" w:hAnsi="Times New Roman"/>
                <w:sz w:val="24"/>
                <w:szCs w:val="24"/>
              </w:rPr>
            </w:pPr>
          </w:p>
        </w:tc>
        <w:tc>
          <w:tcPr>
            <w:tcW w:w="6837" w:type="dxa"/>
          </w:tcPr>
          <w:p w:rsidR="00AD55AD" w:rsidRDefault="00AD55AD" w:rsidP="00473CE3">
            <w:pPr>
              <w:jc w:val="both"/>
              <w:rPr>
                <w:rFonts w:ascii="Times New Roman" w:eastAsia="Calibri" w:hAnsi="Times New Roman"/>
                <w:sz w:val="24"/>
                <w:szCs w:val="24"/>
              </w:rPr>
            </w:pPr>
            <w:r>
              <w:rPr>
                <w:rFonts w:ascii="Times New Roman" w:eastAsia="Calibri" w:hAnsi="Times New Roman"/>
                <w:sz w:val="24"/>
                <w:szCs w:val="24"/>
              </w:rPr>
              <w:t>zabezpečenie financovania národných doplatkov z ušetrených finančných prostriedkov zníženého objemu spolufinancovania podpôr v rámci PRV SR na roky 2014 – 2020</w:t>
            </w:r>
          </w:p>
        </w:tc>
      </w:tr>
      <w:tr w:rsidR="00AD55AD" w:rsidTr="009314A4">
        <w:tc>
          <w:tcPr>
            <w:tcW w:w="2235" w:type="dxa"/>
            <w:vMerge/>
          </w:tcPr>
          <w:p w:rsidR="00AD55AD" w:rsidRDefault="00AD55AD" w:rsidP="00473CE3">
            <w:pPr>
              <w:jc w:val="both"/>
              <w:rPr>
                <w:rFonts w:ascii="Times New Roman" w:eastAsia="Calibri" w:hAnsi="Times New Roman"/>
                <w:sz w:val="24"/>
                <w:szCs w:val="24"/>
              </w:rPr>
            </w:pPr>
          </w:p>
        </w:tc>
        <w:tc>
          <w:tcPr>
            <w:tcW w:w="6837" w:type="dxa"/>
          </w:tcPr>
          <w:p w:rsidR="00AD55AD" w:rsidRDefault="00AD55AD" w:rsidP="00473CE3">
            <w:pPr>
              <w:jc w:val="both"/>
              <w:rPr>
                <w:rFonts w:ascii="Times New Roman" w:eastAsia="Calibri" w:hAnsi="Times New Roman"/>
                <w:sz w:val="24"/>
                <w:szCs w:val="24"/>
              </w:rPr>
            </w:pPr>
            <w:r>
              <w:rPr>
                <w:rFonts w:ascii="Times New Roman" w:eastAsia="Calibri" w:hAnsi="Times New Roman"/>
                <w:sz w:val="24"/>
                <w:szCs w:val="24"/>
              </w:rPr>
              <w:t>zabezpečenie financovania podporných opatrení národného záujmu na realizáciu priorít koncepcie</w:t>
            </w:r>
          </w:p>
        </w:tc>
      </w:tr>
    </w:tbl>
    <w:p w:rsidR="009314A4" w:rsidRDefault="009314A4" w:rsidP="00473CE3">
      <w:pPr>
        <w:spacing w:after="0" w:line="240" w:lineRule="auto"/>
        <w:jc w:val="both"/>
        <w:rPr>
          <w:rFonts w:ascii="Times New Roman" w:eastAsia="Calibri" w:hAnsi="Times New Roman"/>
          <w:sz w:val="24"/>
          <w:szCs w:val="24"/>
        </w:rPr>
      </w:pPr>
    </w:p>
    <w:p w:rsidR="00D847B1" w:rsidRPr="00D847B1" w:rsidRDefault="00D847B1" w:rsidP="00D847B1">
      <w:pPr>
        <w:spacing w:after="0" w:line="240" w:lineRule="auto"/>
        <w:jc w:val="both"/>
        <w:rPr>
          <w:rFonts w:ascii="Times New Roman" w:eastAsia="Calibri" w:hAnsi="Times New Roman"/>
          <w:sz w:val="24"/>
          <w:szCs w:val="24"/>
        </w:rPr>
      </w:pPr>
      <w:r>
        <w:rPr>
          <w:rFonts w:ascii="Times New Roman" w:eastAsia="Calibri" w:hAnsi="Times New Roman"/>
          <w:sz w:val="24"/>
          <w:szCs w:val="24"/>
        </w:rPr>
        <w:t>V</w:t>
      </w:r>
      <w:r w:rsidR="009314A4" w:rsidRPr="00D847B1">
        <w:rPr>
          <w:rFonts w:ascii="Times New Roman" w:eastAsia="Calibri" w:hAnsi="Times New Roman"/>
          <w:sz w:val="24"/>
          <w:szCs w:val="24"/>
        </w:rPr>
        <w:t xml:space="preserve"> prípade tohto scenára </w:t>
      </w:r>
      <w:r w:rsidRPr="00D847B1">
        <w:rPr>
          <w:rFonts w:ascii="Times New Roman" w:eastAsia="Calibri" w:hAnsi="Times New Roman"/>
          <w:sz w:val="24"/>
          <w:szCs w:val="24"/>
        </w:rPr>
        <w:t xml:space="preserve">Slovenská republika </w:t>
      </w:r>
    </w:p>
    <w:p w:rsidR="00D847B1" w:rsidRDefault="00D847B1" w:rsidP="00D847B1">
      <w:pPr>
        <w:pStyle w:val="Odsekzoznamu"/>
        <w:numPr>
          <w:ilvl w:val="0"/>
          <w:numId w:val="41"/>
        </w:numPr>
        <w:spacing w:after="0" w:line="240" w:lineRule="auto"/>
        <w:jc w:val="both"/>
        <w:rPr>
          <w:rFonts w:ascii="Times New Roman" w:eastAsia="Calibri" w:hAnsi="Times New Roman"/>
          <w:sz w:val="24"/>
          <w:szCs w:val="24"/>
        </w:rPr>
      </w:pPr>
      <w:r w:rsidRPr="00D847B1">
        <w:rPr>
          <w:rFonts w:ascii="Times New Roman" w:eastAsia="Calibri" w:hAnsi="Times New Roman"/>
          <w:sz w:val="24"/>
          <w:szCs w:val="24"/>
        </w:rPr>
        <w:t>uplatní svoje právo rozšíriť zoznam hospodárskych zvierat, ktoré budú podporované v rámci dobrovoľne viazaných platieb o</w:t>
      </w:r>
      <w:r w:rsidR="003118EC">
        <w:rPr>
          <w:rFonts w:ascii="Times New Roman" w:eastAsia="Calibri" w:hAnsi="Times New Roman"/>
          <w:sz w:val="24"/>
          <w:szCs w:val="24"/>
        </w:rPr>
        <w:t> </w:t>
      </w:r>
      <w:proofErr w:type="spellStart"/>
      <w:r w:rsidR="003118EC">
        <w:rPr>
          <w:rFonts w:ascii="Times New Roman" w:eastAsia="Calibri" w:hAnsi="Times New Roman"/>
          <w:sz w:val="24"/>
          <w:szCs w:val="24"/>
        </w:rPr>
        <w:t>monogastrické</w:t>
      </w:r>
      <w:proofErr w:type="spellEnd"/>
      <w:r w:rsidR="003118EC">
        <w:rPr>
          <w:rFonts w:ascii="Times New Roman" w:eastAsia="Calibri" w:hAnsi="Times New Roman"/>
          <w:sz w:val="24"/>
          <w:szCs w:val="24"/>
        </w:rPr>
        <w:t xml:space="preserve"> zvieratá</w:t>
      </w:r>
      <w:r w:rsidRPr="00D847B1">
        <w:rPr>
          <w:rFonts w:ascii="Times New Roman" w:eastAsia="Calibri" w:hAnsi="Times New Roman"/>
          <w:sz w:val="24"/>
          <w:szCs w:val="24"/>
        </w:rPr>
        <w:t>, t.j. ošípané a hydinu</w:t>
      </w:r>
      <w:r>
        <w:rPr>
          <w:rFonts w:ascii="Times New Roman" w:eastAsia="Calibri" w:hAnsi="Times New Roman"/>
          <w:sz w:val="24"/>
          <w:szCs w:val="24"/>
        </w:rPr>
        <w:t>;</w:t>
      </w:r>
    </w:p>
    <w:p w:rsidR="002003A5" w:rsidRDefault="002003A5" w:rsidP="00D847B1">
      <w:pPr>
        <w:pStyle w:val="Odsekzoznamu"/>
        <w:numPr>
          <w:ilvl w:val="0"/>
          <w:numId w:val="41"/>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v rámci dobrovoľne viazaných platieb podporí </w:t>
      </w:r>
      <w:r w:rsidR="00184366">
        <w:rPr>
          <w:rFonts w:ascii="Times New Roman" w:eastAsia="Calibri" w:hAnsi="Times New Roman"/>
          <w:sz w:val="24"/>
          <w:szCs w:val="24"/>
        </w:rPr>
        <w:t xml:space="preserve">predovšetkým </w:t>
      </w:r>
      <w:r>
        <w:rPr>
          <w:rFonts w:ascii="Times New Roman" w:eastAsia="Calibri" w:hAnsi="Times New Roman"/>
          <w:sz w:val="24"/>
          <w:szCs w:val="24"/>
        </w:rPr>
        <w:t xml:space="preserve">pestovanie </w:t>
      </w:r>
      <w:r w:rsidR="00980583">
        <w:rPr>
          <w:rFonts w:ascii="Times New Roman" w:eastAsia="Calibri" w:hAnsi="Times New Roman"/>
          <w:sz w:val="24"/>
          <w:szCs w:val="24"/>
        </w:rPr>
        <w:t>ovocia, zeleniny, cukrovej repy a chmeľu;</w:t>
      </w:r>
      <w:r>
        <w:rPr>
          <w:rFonts w:ascii="Times New Roman" w:eastAsia="Calibri" w:hAnsi="Times New Roman"/>
          <w:sz w:val="24"/>
          <w:szCs w:val="24"/>
        </w:rPr>
        <w:t xml:space="preserve"> </w:t>
      </w:r>
    </w:p>
    <w:p w:rsidR="00980583" w:rsidRDefault="00980583" w:rsidP="00D847B1">
      <w:pPr>
        <w:pStyle w:val="Odsekzoznamu"/>
        <w:numPr>
          <w:ilvl w:val="0"/>
          <w:numId w:val="41"/>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v rámci podpory integrovanej produkcie podporí </w:t>
      </w:r>
      <w:r w:rsidR="00184366">
        <w:rPr>
          <w:rFonts w:ascii="Times New Roman" w:eastAsia="Calibri" w:hAnsi="Times New Roman"/>
          <w:sz w:val="24"/>
          <w:szCs w:val="24"/>
        </w:rPr>
        <w:t xml:space="preserve">predovšetkým </w:t>
      </w:r>
      <w:r>
        <w:rPr>
          <w:rFonts w:ascii="Times New Roman" w:eastAsia="Calibri" w:hAnsi="Times New Roman"/>
          <w:sz w:val="24"/>
          <w:szCs w:val="24"/>
        </w:rPr>
        <w:t>pestovanie zemiakov, zeleniny, ovocia, viniča, chmeľu a cukrovej repy;</w:t>
      </w:r>
    </w:p>
    <w:p w:rsidR="003118EC" w:rsidRPr="00D847B1" w:rsidRDefault="003118EC" w:rsidP="00D847B1">
      <w:pPr>
        <w:pStyle w:val="Odsekzoznamu"/>
        <w:numPr>
          <w:ilvl w:val="0"/>
          <w:numId w:val="41"/>
        </w:numPr>
        <w:spacing w:after="0" w:line="240" w:lineRule="auto"/>
        <w:jc w:val="both"/>
        <w:rPr>
          <w:rFonts w:ascii="Times New Roman" w:eastAsia="Calibri" w:hAnsi="Times New Roman"/>
          <w:sz w:val="24"/>
          <w:szCs w:val="24"/>
        </w:rPr>
      </w:pPr>
      <w:r>
        <w:rPr>
          <w:rFonts w:ascii="Times New Roman" w:eastAsia="Calibri" w:hAnsi="Times New Roman"/>
          <w:sz w:val="24"/>
          <w:szCs w:val="24"/>
        </w:rPr>
        <w:t>presunie 25 % finančných prostriedkov z II. do I. piliera;</w:t>
      </w:r>
    </w:p>
    <w:p w:rsidR="00D847B1" w:rsidRPr="00D847B1" w:rsidRDefault="00D847B1" w:rsidP="00D847B1">
      <w:pPr>
        <w:pStyle w:val="Odsekzoznamu"/>
        <w:numPr>
          <w:ilvl w:val="0"/>
          <w:numId w:val="41"/>
        </w:numPr>
        <w:spacing w:after="0" w:line="240" w:lineRule="auto"/>
        <w:jc w:val="both"/>
        <w:rPr>
          <w:rFonts w:ascii="Times New Roman" w:eastAsia="Calibri" w:hAnsi="Times New Roman"/>
          <w:sz w:val="24"/>
          <w:szCs w:val="24"/>
        </w:rPr>
      </w:pPr>
      <w:r w:rsidRPr="00D847B1">
        <w:rPr>
          <w:rFonts w:ascii="Times New Roman" w:eastAsia="Calibri" w:hAnsi="Times New Roman"/>
          <w:sz w:val="24"/>
          <w:szCs w:val="24"/>
        </w:rPr>
        <w:t xml:space="preserve">uplatní maximálnu výšku stropu dobrovoľne viazanej platby z obálky </w:t>
      </w:r>
      <w:r>
        <w:rPr>
          <w:rFonts w:ascii="Times New Roman" w:eastAsia="Calibri" w:hAnsi="Times New Roman"/>
          <w:sz w:val="24"/>
          <w:szCs w:val="24"/>
        </w:rPr>
        <w:t>priamych platieb, t.j. 12 %;</w:t>
      </w:r>
      <w:r w:rsidRPr="00D847B1">
        <w:rPr>
          <w:rFonts w:ascii="Times New Roman" w:eastAsia="Calibri" w:hAnsi="Times New Roman"/>
          <w:sz w:val="24"/>
          <w:szCs w:val="24"/>
        </w:rPr>
        <w:t xml:space="preserve"> </w:t>
      </w:r>
    </w:p>
    <w:p w:rsidR="00D847B1" w:rsidRPr="00D847B1" w:rsidRDefault="00D847B1" w:rsidP="00D847B1">
      <w:pPr>
        <w:pStyle w:val="Odsekzoznamu"/>
        <w:numPr>
          <w:ilvl w:val="0"/>
          <w:numId w:val="41"/>
        </w:numPr>
        <w:spacing w:after="0" w:line="240" w:lineRule="auto"/>
        <w:jc w:val="both"/>
        <w:rPr>
          <w:rFonts w:ascii="Times New Roman" w:eastAsia="Calibri" w:hAnsi="Times New Roman"/>
          <w:sz w:val="24"/>
          <w:szCs w:val="24"/>
        </w:rPr>
      </w:pPr>
      <w:r>
        <w:rPr>
          <w:rFonts w:ascii="Times New Roman" w:eastAsia="Calibri" w:hAnsi="Times New Roman"/>
          <w:sz w:val="24"/>
          <w:szCs w:val="24"/>
        </w:rPr>
        <w:t>dodrží stabilitu</w:t>
      </w:r>
      <w:r w:rsidRPr="00D847B1">
        <w:rPr>
          <w:rFonts w:ascii="Times New Roman" w:eastAsia="Calibri" w:hAnsi="Times New Roman"/>
          <w:sz w:val="24"/>
          <w:szCs w:val="24"/>
        </w:rPr>
        <w:t xml:space="preserve"> výšky dobrovoľne viazaných platieb na jednotlivé kategórie hospodárskych zvierat v rámci I. piliera po</w:t>
      </w:r>
      <w:r>
        <w:rPr>
          <w:rFonts w:ascii="Times New Roman" w:eastAsia="Calibri" w:hAnsi="Times New Roman"/>
          <w:sz w:val="24"/>
          <w:szCs w:val="24"/>
        </w:rPr>
        <w:t>čas celého programového obdobia;</w:t>
      </w:r>
      <w:r w:rsidRPr="00D847B1">
        <w:rPr>
          <w:rFonts w:ascii="Times New Roman" w:eastAsia="Calibri" w:hAnsi="Times New Roman"/>
          <w:sz w:val="24"/>
          <w:szCs w:val="24"/>
        </w:rPr>
        <w:t xml:space="preserve"> </w:t>
      </w:r>
    </w:p>
    <w:p w:rsidR="00D847B1" w:rsidRDefault="00D847B1" w:rsidP="00D847B1">
      <w:pPr>
        <w:pStyle w:val="Odsekzoznamu"/>
        <w:numPr>
          <w:ilvl w:val="0"/>
          <w:numId w:val="41"/>
        </w:numPr>
        <w:spacing w:after="0" w:line="240" w:lineRule="auto"/>
        <w:jc w:val="both"/>
        <w:rPr>
          <w:rFonts w:ascii="Times New Roman" w:eastAsia="Calibri" w:hAnsi="Times New Roman"/>
          <w:sz w:val="24"/>
          <w:szCs w:val="24"/>
        </w:rPr>
      </w:pPr>
      <w:r>
        <w:rPr>
          <w:rFonts w:ascii="Times New Roman" w:eastAsia="Calibri" w:hAnsi="Times New Roman"/>
          <w:sz w:val="24"/>
          <w:szCs w:val="24"/>
        </w:rPr>
        <w:t>dodrží financovanie projektových podpôr</w:t>
      </w:r>
      <w:r w:rsidR="003118EC">
        <w:rPr>
          <w:rFonts w:ascii="Times New Roman" w:eastAsia="Calibri" w:hAnsi="Times New Roman"/>
          <w:sz w:val="24"/>
          <w:szCs w:val="24"/>
        </w:rPr>
        <w:t>, a to</w:t>
      </w:r>
      <w:r>
        <w:rPr>
          <w:rFonts w:ascii="Times New Roman" w:eastAsia="Calibri" w:hAnsi="Times New Roman"/>
          <w:sz w:val="24"/>
          <w:szCs w:val="24"/>
        </w:rPr>
        <w:t xml:space="preserve"> v objemoch identifikovaných v</w:t>
      </w:r>
      <w:r w:rsidR="003118EC">
        <w:rPr>
          <w:rFonts w:ascii="Times New Roman" w:eastAsia="Calibri" w:hAnsi="Times New Roman"/>
          <w:sz w:val="24"/>
          <w:szCs w:val="24"/>
        </w:rPr>
        <w:t> kapitole 7. Štúdia realizovateľnosti pre naplnenie stanovených cieľov a prioritných úloh</w:t>
      </w:r>
      <w:r>
        <w:rPr>
          <w:rFonts w:ascii="Times New Roman" w:eastAsia="Calibri" w:hAnsi="Times New Roman"/>
          <w:sz w:val="24"/>
          <w:szCs w:val="24"/>
        </w:rPr>
        <w:t>;</w:t>
      </w:r>
    </w:p>
    <w:p w:rsidR="00D847B1" w:rsidRPr="00D847B1" w:rsidRDefault="003118EC" w:rsidP="00D847B1">
      <w:pPr>
        <w:pStyle w:val="Odsekzoznamu"/>
        <w:numPr>
          <w:ilvl w:val="0"/>
          <w:numId w:val="41"/>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v rámci II. piliera, konkrétne opatrením „Dobré životné podmienky zvierat“ podporí </w:t>
      </w:r>
      <w:r w:rsidR="00184366">
        <w:rPr>
          <w:rFonts w:ascii="Times New Roman" w:eastAsia="Calibri" w:hAnsi="Times New Roman"/>
          <w:sz w:val="24"/>
          <w:szCs w:val="24"/>
        </w:rPr>
        <w:t xml:space="preserve">predovšetkým </w:t>
      </w:r>
      <w:r>
        <w:rPr>
          <w:rFonts w:ascii="Times New Roman" w:eastAsia="Calibri" w:hAnsi="Times New Roman"/>
          <w:sz w:val="24"/>
          <w:szCs w:val="24"/>
        </w:rPr>
        <w:t>chov dojníc, ošípaných a hydiny.</w:t>
      </w:r>
    </w:p>
    <w:p w:rsidR="00D847B1" w:rsidRDefault="00D847B1" w:rsidP="00473CE3">
      <w:pPr>
        <w:spacing w:after="0" w:line="240" w:lineRule="auto"/>
        <w:jc w:val="both"/>
        <w:rPr>
          <w:rFonts w:ascii="Times New Roman" w:eastAsia="Calibri" w:hAnsi="Times New Roman"/>
          <w:sz w:val="24"/>
          <w:szCs w:val="24"/>
        </w:rPr>
      </w:pPr>
    </w:p>
    <w:p w:rsidR="003118EC" w:rsidRDefault="003118EC" w:rsidP="00473CE3">
      <w:pPr>
        <w:spacing w:after="0" w:line="240" w:lineRule="auto"/>
        <w:jc w:val="both"/>
        <w:rPr>
          <w:rFonts w:ascii="Times New Roman" w:eastAsia="Calibri" w:hAnsi="Times New Roman"/>
          <w:sz w:val="24"/>
          <w:szCs w:val="24"/>
        </w:rPr>
      </w:pPr>
      <w:r>
        <w:rPr>
          <w:rFonts w:ascii="Times New Roman" w:eastAsia="Calibri" w:hAnsi="Times New Roman"/>
          <w:sz w:val="24"/>
          <w:szCs w:val="24"/>
        </w:rPr>
        <w:t>Dôsledky uplatnenia postupu:</w:t>
      </w:r>
    </w:p>
    <w:p w:rsidR="003118EC" w:rsidRDefault="003118EC" w:rsidP="003118EC">
      <w:pPr>
        <w:pStyle w:val="Odsekzoznamu"/>
        <w:numPr>
          <w:ilvl w:val="0"/>
          <w:numId w:val="42"/>
        </w:numPr>
        <w:spacing w:after="0" w:line="240" w:lineRule="auto"/>
        <w:jc w:val="both"/>
        <w:rPr>
          <w:rFonts w:ascii="Times New Roman" w:eastAsia="Calibri" w:hAnsi="Times New Roman"/>
          <w:sz w:val="24"/>
          <w:szCs w:val="24"/>
        </w:rPr>
      </w:pPr>
      <w:r>
        <w:rPr>
          <w:rFonts w:ascii="Times New Roman" w:eastAsia="Calibri" w:hAnsi="Times New Roman"/>
          <w:sz w:val="24"/>
          <w:szCs w:val="24"/>
        </w:rPr>
        <w:t>vytvorenie vhodného podnikateľského prostredia pre stabilizáciu živočíšnej výroby</w:t>
      </w:r>
      <w:r w:rsidR="00980583">
        <w:rPr>
          <w:rFonts w:ascii="Times New Roman" w:eastAsia="Calibri" w:hAnsi="Times New Roman"/>
          <w:sz w:val="24"/>
          <w:szCs w:val="24"/>
        </w:rPr>
        <w:t xml:space="preserve"> a špecializovanej rastlinnej výroby</w:t>
      </w:r>
      <w:r>
        <w:rPr>
          <w:rFonts w:ascii="Times New Roman" w:eastAsia="Calibri" w:hAnsi="Times New Roman"/>
          <w:sz w:val="24"/>
          <w:szCs w:val="24"/>
        </w:rPr>
        <w:t xml:space="preserve"> a zabezpečenie predpokladov </w:t>
      </w:r>
      <w:r w:rsidR="00980583">
        <w:rPr>
          <w:rFonts w:ascii="Times New Roman" w:eastAsia="Calibri" w:hAnsi="Times New Roman"/>
          <w:sz w:val="24"/>
          <w:szCs w:val="24"/>
        </w:rPr>
        <w:t>ich</w:t>
      </w:r>
      <w:r>
        <w:rPr>
          <w:rFonts w:ascii="Times New Roman" w:eastAsia="Calibri" w:hAnsi="Times New Roman"/>
          <w:sz w:val="24"/>
          <w:szCs w:val="24"/>
        </w:rPr>
        <w:t xml:space="preserve"> ďalšieho rozvoja;</w:t>
      </w:r>
    </w:p>
    <w:p w:rsidR="003118EC" w:rsidRDefault="00AD55AD" w:rsidP="003118EC">
      <w:pPr>
        <w:pStyle w:val="Odsekzoznamu"/>
        <w:numPr>
          <w:ilvl w:val="0"/>
          <w:numId w:val="42"/>
        </w:numPr>
        <w:spacing w:after="0" w:line="240" w:lineRule="auto"/>
        <w:jc w:val="both"/>
        <w:rPr>
          <w:rFonts w:ascii="Times New Roman" w:eastAsia="Calibri" w:hAnsi="Times New Roman"/>
          <w:sz w:val="24"/>
          <w:szCs w:val="24"/>
        </w:rPr>
      </w:pPr>
      <w:r>
        <w:rPr>
          <w:rFonts w:ascii="Times New Roman" w:eastAsia="Calibri" w:hAnsi="Times New Roman"/>
          <w:sz w:val="24"/>
          <w:szCs w:val="24"/>
        </w:rPr>
        <w:t>efektívne zvyšovanie produkčnej výkonnosti slovenského poľnohospodárstva podľa projektovaného vývoja v kapitole 7. Štúdia realizovateľnosti pre naplnenie stanovených cieľov a prioritných úloh;</w:t>
      </w:r>
    </w:p>
    <w:p w:rsidR="00AD55AD" w:rsidRDefault="00AD55AD" w:rsidP="003118EC">
      <w:pPr>
        <w:pStyle w:val="Odsekzoznamu"/>
        <w:numPr>
          <w:ilvl w:val="0"/>
          <w:numId w:val="42"/>
        </w:num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zabezpečenie trvalej udržateľnosti obhospodarovania lesov a dodržanie vyváženosti financovania jeho troch aspektov;</w:t>
      </w:r>
    </w:p>
    <w:p w:rsidR="00AD55AD" w:rsidRPr="003118EC" w:rsidRDefault="00AD55AD" w:rsidP="003118EC">
      <w:pPr>
        <w:pStyle w:val="Odsekzoznamu"/>
        <w:numPr>
          <w:ilvl w:val="0"/>
          <w:numId w:val="42"/>
        </w:numPr>
        <w:spacing w:after="0" w:line="240" w:lineRule="auto"/>
        <w:jc w:val="both"/>
        <w:rPr>
          <w:rFonts w:ascii="Times New Roman" w:eastAsia="Calibri" w:hAnsi="Times New Roman"/>
          <w:sz w:val="24"/>
          <w:szCs w:val="24"/>
        </w:rPr>
      </w:pPr>
      <w:r>
        <w:rPr>
          <w:rFonts w:ascii="Times New Roman" w:eastAsia="Calibri" w:hAnsi="Times New Roman"/>
          <w:sz w:val="24"/>
          <w:szCs w:val="24"/>
        </w:rPr>
        <w:t>vytvorenie predpokladov na projektované zvyšovanie zamestnanosti.</w:t>
      </w:r>
    </w:p>
    <w:p w:rsidR="003118EC" w:rsidRDefault="003118EC" w:rsidP="00473CE3">
      <w:pPr>
        <w:spacing w:after="0" w:line="240" w:lineRule="auto"/>
        <w:jc w:val="both"/>
        <w:rPr>
          <w:rFonts w:ascii="Times New Roman" w:eastAsia="Calibri" w:hAnsi="Times New Roman"/>
          <w:sz w:val="24"/>
          <w:szCs w:val="24"/>
        </w:rPr>
      </w:pPr>
    </w:p>
    <w:p w:rsidR="00980583" w:rsidRDefault="00980583" w:rsidP="00473CE3">
      <w:pPr>
        <w:spacing w:after="0" w:line="240" w:lineRule="auto"/>
        <w:jc w:val="both"/>
        <w:rPr>
          <w:rFonts w:ascii="Times New Roman" w:eastAsia="Calibri" w:hAnsi="Times New Roman"/>
          <w:sz w:val="24"/>
          <w:szCs w:val="24"/>
        </w:rPr>
      </w:pPr>
    </w:p>
    <w:p w:rsidR="003118EC" w:rsidRDefault="003118EC" w:rsidP="003118EC">
      <w:pPr>
        <w:pStyle w:val="Nadpis2"/>
        <w:numPr>
          <w:ilvl w:val="1"/>
          <w:numId w:val="8"/>
        </w:numPr>
        <w:rPr>
          <w:rFonts w:eastAsia="Calibri"/>
          <w:szCs w:val="24"/>
        </w:rPr>
      </w:pPr>
      <w:bookmarkStart w:id="84" w:name="_Toc359550704"/>
      <w:r>
        <w:rPr>
          <w:rFonts w:eastAsia="Calibri"/>
          <w:szCs w:val="24"/>
        </w:rPr>
        <w:t>Pesimistický scenár</w:t>
      </w:r>
      <w:bookmarkEnd w:id="84"/>
    </w:p>
    <w:p w:rsidR="003118EC" w:rsidRDefault="003118EC" w:rsidP="003118EC">
      <w:pPr>
        <w:spacing w:after="0" w:line="240" w:lineRule="auto"/>
        <w:jc w:val="both"/>
        <w:rPr>
          <w:rFonts w:ascii="Times New Roman" w:eastAsia="Calibri" w:hAnsi="Times New Roman"/>
          <w:sz w:val="24"/>
          <w:szCs w:val="24"/>
        </w:rPr>
      </w:pPr>
    </w:p>
    <w:tbl>
      <w:tblPr>
        <w:tblStyle w:val="Mriekatabuky"/>
        <w:tblW w:w="0" w:type="auto"/>
        <w:tblInd w:w="108" w:type="dxa"/>
        <w:tblLook w:val="04A0" w:firstRow="1" w:lastRow="0" w:firstColumn="1" w:lastColumn="0" w:noHBand="0" w:noVBand="1"/>
      </w:tblPr>
      <w:tblGrid>
        <w:gridCol w:w="2235"/>
        <w:gridCol w:w="6837"/>
      </w:tblGrid>
      <w:tr w:rsidR="00AD55AD" w:rsidTr="00980583">
        <w:tc>
          <w:tcPr>
            <w:tcW w:w="2235" w:type="dxa"/>
            <w:vMerge w:val="restart"/>
          </w:tcPr>
          <w:p w:rsidR="00AD55AD" w:rsidRPr="009314A4" w:rsidRDefault="002003A5" w:rsidP="00980583">
            <w:pPr>
              <w:jc w:val="both"/>
              <w:rPr>
                <w:rFonts w:ascii="Times New Roman" w:eastAsia="Calibri" w:hAnsi="Times New Roman"/>
                <w:b/>
                <w:sz w:val="24"/>
                <w:szCs w:val="24"/>
              </w:rPr>
            </w:pPr>
            <w:r>
              <w:rPr>
                <w:rFonts w:ascii="Times New Roman" w:eastAsia="Calibri" w:hAnsi="Times New Roman"/>
                <w:b/>
                <w:sz w:val="24"/>
                <w:szCs w:val="24"/>
              </w:rPr>
              <w:t>Základné p</w:t>
            </w:r>
            <w:r w:rsidR="00AD55AD" w:rsidRPr="009314A4">
              <w:rPr>
                <w:rFonts w:ascii="Times New Roman" w:eastAsia="Calibri" w:hAnsi="Times New Roman"/>
                <w:b/>
                <w:sz w:val="24"/>
                <w:szCs w:val="24"/>
              </w:rPr>
              <w:t>redpoklady:</w:t>
            </w:r>
          </w:p>
        </w:tc>
        <w:tc>
          <w:tcPr>
            <w:tcW w:w="6837" w:type="dxa"/>
          </w:tcPr>
          <w:p w:rsidR="00AD55AD" w:rsidRDefault="00AD55AD" w:rsidP="003118EC">
            <w:pPr>
              <w:jc w:val="both"/>
              <w:rPr>
                <w:rFonts w:ascii="Times New Roman" w:eastAsia="Calibri" w:hAnsi="Times New Roman"/>
                <w:sz w:val="24"/>
                <w:szCs w:val="24"/>
              </w:rPr>
            </w:pPr>
            <w:r>
              <w:rPr>
                <w:rFonts w:ascii="Times New Roman" w:eastAsia="Calibri" w:hAnsi="Times New Roman"/>
                <w:sz w:val="24"/>
                <w:szCs w:val="24"/>
              </w:rPr>
              <w:t xml:space="preserve">dobrovoľne viazaná podpora v rámci I. piliera na uzavretý zoznam sektorov </w:t>
            </w:r>
          </w:p>
        </w:tc>
      </w:tr>
      <w:tr w:rsidR="00AD55AD" w:rsidTr="00980583">
        <w:tc>
          <w:tcPr>
            <w:tcW w:w="2235" w:type="dxa"/>
            <w:vMerge/>
          </w:tcPr>
          <w:p w:rsidR="00AD55AD" w:rsidRDefault="00AD55AD" w:rsidP="00980583">
            <w:pPr>
              <w:jc w:val="both"/>
              <w:rPr>
                <w:rFonts w:ascii="Times New Roman" w:eastAsia="Calibri" w:hAnsi="Times New Roman"/>
                <w:sz w:val="24"/>
                <w:szCs w:val="24"/>
              </w:rPr>
            </w:pPr>
          </w:p>
        </w:tc>
        <w:tc>
          <w:tcPr>
            <w:tcW w:w="6837" w:type="dxa"/>
          </w:tcPr>
          <w:p w:rsidR="00AD55AD" w:rsidRDefault="00AD55AD" w:rsidP="00980583">
            <w:pPr>
              <w:jc w:val="both"/>
              <w:rPr>
                <w:rFonts w:ascii="Times New Roman" w:eastAsia="Calibri" w:hAnsi="Times New Roman"/>
                <w:sz w:val="24"/>
                <w:szCs w:val="24"/>
              </w:rPr>
            </w:pPr>
            <w:r>
              <w:rPr>
                <w:rFonts w:ascii="Times New Roman" w:eastAsia="Calibri" w:hAnsi="Times New Roman"/>
                <w:sz w:val="24"/>
                <w:szCs w:val="24"/>
              </w:rPr>
              <w:t>strop dobrovoľne viazanej platby do 10 % obálky priamych platieb</w:t>
            </w:r>
          </w:p>
        </w:tc>
      </w:tr>
      <w:tr w:rsidR="00AD55AD" w:rsidTr="00980583">
        <w:tc>
          <w:tcPr>
            <w:tcW w:w="2235" w:type="dxa"/>
            <w:vMerge/>
          </w:tcPr>
          <w:p w:rsidR="00AD55AD" w:rsidRDefault="00AD55AD" w:rsidP="00980583">
            <w:pPr>
              <w:jc w:val="both"/>
              <w:rPr>
                <w:rFonts w:ascii="Times New Roman" w:eastAsia="Calibri" w:hAnsi="Times New Roman"/>
                <w:sz w:val="24"/>
                <w:szCs w:val="24"/>
              </w:rPr>
            </w:pPr>
          </w:p>
        </w:tc>
        <w:tc>
          <w:tcPr>
            <w:tcW w:w="6837" w:type="dxa"/>
          </w:tcPr>
          <w:p w:rsidR="00AD55AD" w:rsidRDefault="00AD55AD" w:rsidP="00980583">
            <w:pPr>
              <w:jc w:val="both"/>
              <w:rPr>
                <w:rFonts w:ascii="Times New Roman" w:eastAsia="Calibri" w:hAnsi="Times New Roman"/>
                <w:sz w:val="24"/>
                <w:szCs w:val="24"/>
              </w:rPr>
            </w:pPr>
            <w:r>
              <w:rPr>
                <w:rFonts w:ascii="Times New Roman" w:eastAsia="Calibri" w:hAnsi="Times New Roman"/>
                <w:sz w:val="24"/>
                <w:szCs w:val="24"/>
              </w:rPr>
              <w:t>presun 25 % finančných prostriedkov z II. do I. piliera</w:t>
            </w:r>
          </w:p>
        </w:tc>
      </w:tr>
      <w:tr w:rsidR="00AD55AD" w:rsidTr="00980583">
        <w:tc>
          <w:tcPr>
            <w:tcW w:w="2235" w:type="dxa"/>
            <w:vMerge/>
          </w:tcPr>
          <w:p w:rsidR="00AD55AD" w:rsidRDefault="00AD55AD" w:rsidP="00980583">
            <w:pPr>
              <w:jc w:val="both"/>
              <w:rPr>
                <w:rFonts w:ascii="Times New Roman" w:eastAsia="Calibri" w:hAnsi="Times New Roman"/>
                <w:sz w:val="24"/>
                <w:szCs w:val="24"/>
              </w:rPr>
            </w:pPr>
          </w:p>
        </w:tc>
        <w:tc>
          <w:tcPr>
            <w:tcW w:w="6837" w:type="dxa"/>
          </w:tcPr>
          <w:p w:rsidR="00AD55AD" w:rsidRDefault="00AD55AD" w:rsidP="00AD55AD">
            <w:pPr>
              <w:jc w:val="both"/>
              <w:rPr>
                <w:rFonts w:ascii="Times New Roman" w:eastAsia="Calibri" w:hAnsi="Times New Roman"/>
                <w:sz w:val="24"/>
                <w:szCs w:val="24"/>
              </w:rPr>
            </w:pPr>
            <w:r>
              <w:rPr>
                <w:rFonts w:ascii="Times New Roman" w:eastAsia="Calibri" w:hAnsi="Times New Roman"/>
                <w:sz w:val="24"/>
                <w:szCs w:val="24"/>
              </w:rPr>
              <w:t>možnosti štátneho rozpočtu nedovolia financovanie národných doplatkov z ušetrených finančných prostriedkov zníženého objemu spolufinancovania podpôr v rámci PRV SR na roky 2014 – 2020</w:t>
            </w:r>
          </w:p>
        </w:tc>
      </w:tr>
      <w:tr w:rsidR="00AD55AD" w:rsidTr="00980583">
        <w:tc>
          <w:tcPr>
            <w:tcW w:w="2235" w:type="dxa"/>
            <w:vMerge/>
          </w:tcPr>
          <w:p w:rsidR="00AD55AD" w:rsidRDefault="00AD55AD" w:rsidP="00980583">
            <w:pPr>
              <w:jc w:val="both"/>
              <w:rPr>
                <w:rFonts w:ascii="Times New Roman" w:eastAsia="Calibri" w:hAnsi="Times New Roman"/>
                <w:sz w:val="24"/>
                <w:szCs w:val="24"/>
              </w:rPr>
            </w:pPr>
          </w:p>
        </w:tc>
        <w:tc>
          <w:tcPr>
            <w:tcW w:w="6837" w:type="dxa"/>
          </w:tcPr>
          <w:p w:rsidR="00AD55AD" w:rsidRDefault="00AD55AD" w:rsidP="00AD55AD">
            <w:pPr>
              <w:jc w:val="both"/>
              <w:rPr>
                <w:rFonts w:ascii="Times New Roman" w:eastAsia="Calibri" w:hAnsi="Times New Roman"/>
                <w:sz w:val="24"/>
                <w:szCs w:val="24"/>
              </w:rPr>
            </w:pPr>
            <w:r>
              <w:rPr>
                <w:rFonts w:ascii="Times New Roman" w:eastAsia="Calibri" w:hAnsi="Times New Roman"/>
                <w:sz w:val="24"/>
                <w:szCs w:val="24"/>
              </w:rPr>
              <w:t>možnosti štátneho rozpočtu nedovolia financovania podporných opatrení národného záujmu na realizáciu priorít koncepcie</w:t>
            </w:r>
          </w:p>
        </w:tc>
      </w:tr>
    </w:tbl>
    <w:p w:rsidR="003118EC" w:rsidRDefault="003118EC" w:rsidP="003118EC">
      <w:pPr>
        <w:spacing w:after="0" w:line="240" w:lineRule="auto"/>
        <w:jc w:val="both"/>
        <w:rPr>
          <w:rFonts w:ascii="Times New Roman" w:eastAsia="Calibri" w:hAnsi="Times New Roman"/>
          <w:sz w:val="24"/>
          <w:szCs w:val="24"/>
        </w:rPr>
      </w:pPr>
    </w:p>
    <w:p w:rsidR="003118EC" w:rsidRPr="00D847B1" w:rsidRDefault="003118EC" w:rsidP="003118EC">
      <w:pPr>
        <w:spacing w:after="0" w:line="240" w:lineRule="auto"/>
        <w:jc w:val="both"/>
        <w:rPr>
          <w:rFonts w:ascii="Times New Roman" w:eastAsia="Calibri" w:hAnsi="Times New Roman"/>
          <w:sz w:val="24"/>
          <w:szCs w:val="24"/>
        </w:rPr>
      </w:pPr>
      <w:r>
        <w:rPr>
          <w:rFonts w:ascii="Times New Roman" w:eastAsia="Calibri" w:hAnsi="Times New Roman"/>
          <w:sz w:val="24"/>
          <w:szCs w:val="24"/>
        </w:rPr>
        <w:t>V</w:t>
      </w:r>
      <w:r w:rsidRPr="00D847B1">
        <w:rPr>
          <w:rFonts w:ascii="Times New Roman" w:eastAsia="Calibri" w:hAnsi="Times New Roman"/>
          <w:sz w:val="24"/>
          <w:szCs w:val="24"/>
        </w:rPr>
        <w:t xml:space="preserve"> prípade tohto scenára Slovenská republika </w:t>
      </w:r>
    </w:p>
    <w:p w:rsidR="003118EC" w:rsidRDefault="00AD55AD" w:rsidP="003118EC">
      <w:pPr>
        <w:pStyle w:val="Odsekzoznamu"/>
        <w:numPr>
          <w:ilvl w:val="0"/>
          <w:numId w:val="41"/>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nerozšíri zoznam podporovaných hospodárskych zvierat a </w:t>
      </w:r>
      <w:r w:rsidRPr="00D847B1">
        <w:rPr>
          <w:rFonts w:ascii="Times New Roman" w:eastAsia="Calibri" w:hAnsi="Times New Roman"/>
          <w:sz w:val="24"/>
          <w:szCs w:val="24"/>
        </w:rPr>
        <w:t xml:space="preserve">v rámci dobrovoľne viazaných platieb </w:t>
      </w:r>
      <w:r w:rsidR="003118EC" w:rsidRPr="00D847B1">
        <w:rPr>
          <w:rFonts w:ascii="Times New Roman" w:eastAsia="Calibri" w:hAnsi="Times New Roman"/>
          <w:sz w:val="24"/>
          <w:szCs w:val="24"/>
        </w:rPr>
        <w:t xml:space="preserve">budú podporované </w:t>
      </w:r>
      <w:r>
        <w:rPr>
          <w:rFonts w:ascii="Times New Roman" w:eastAsia="Calibri" w:hAnsi="Times New Roman"/>
          <w:sz w:val="24"/>
          <w:szCs w:val="24"/>
        </w:rPr>
        <w:t>len</w:t>
      </w:r>
      <w:r w:rsidR="003118EC" w:rsidRPr="00D847B1">
        <w:rPr>
          <w:rFonts w:ascii="Times New Roman" w:eastAsia="Calibri" w:hAnsi="Times New Roman"/>
          <w:sz w:val="24"/>
          <w:szCs w:val="24"/>
        </w:rPr>
        <w:t> </w:t>
      </w:r>
      <w:proofErr w:type="spellStart"/>
      <w:r>
        <w:rPr>
          <w:rFonts w:ascii="Times New Roman" w:eastAsia="Calibri" w:hAnsi="Times New Roman"/>
          <w:sz w:val="24"/>
          <w:szCs w:val="24"/>
        </w:rPr>
        <w:t>polygastrické</w:t>
      </w:r>
      <w:proofErr w:type="spellEnd"/>
      <w:r>
        <w:rPr>
          <w:rFonts w:ascii="Times New Roman" w:eastAsia="Calibri" w:hAnsi="Times New Roman"/>
          <w:sz w:val="24"/>
          <w:szCs w:val="24"/>
        </w:rPr>
        <w:t xml:space="preserve"> zvieratá</w:t>
      </w:r>
      <w:r w:rsidR="003118EC">
        <w:rPr>
          <w:rFonts w:ascii="Times New Roman" w:eastAsia="Calibri" w:hAnsi="Times New Roman"/>
          <w:sz w:val="24"/>
          <w:szCs w:val="24"/>
        </w:rPr>
        <w:t>;</w:t>
      </w:r>
    </w:p>
    <w:p w:rsidR="00980583" w:rsidRDefault="00980583" w:rsidP="00980583">
      <w:pPr>
        <w:pStyle w:val="Odsekzoznamu"/>
        <w:numPr>
          <w:ilvl w:val="0"/>
          <w:numId w:val="41"/>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v rámci dobrovoľne viazaných platieb podporí </w:t>
      </w:r>
      <w:r w:rsidR="00184366">
        <w:rPr>
          <w:rFonts w:ascii="Times New Roman" w:eastAsia="Calibri" w:hAnsi="Times New Roman"/>
          <w:sz w:val="24"/>
          <w:szCs w:val="24"/>
        </w:rPr>
        <w:t xml:space="preserve">predovšetkým </w:t>
      </w:r>
      <w:r>
        <w:rPr>
          <w:rFonts w:ascii="Times New Roman" w:eastAsia="Calibri" w:hAnsi="Times New Roman"/>
          <w:sz w:val="24"/>
          <w:szCs w:val="24"/>
        </w:rPr>
        <w:t xml:space="preserve">pestovanie cukrovej repy a chmeľu; </w:t>
      </w:r>
    </w:p>
    <w:p w:rsidR="00980583" w:rsidRPr="00980583" w:rsidRDefault="00980583" w:rsidP="00980583">
      <w:pPr>
        <w:pStyle w:val="Odsekzoznamu"/>
        <w:numPr>
          <w:ilvl w:val="0"/>
          <w:numId w:val="41"/>
        </w:numPr>
        <w:spacing w:after="0" w:line="240" w:lineRule="auto"/>
        <w:jc w:val="both"/>
        <w:rPr>
          <w:rFonts w:ascii="Times New Roman" w:eastAsia="Calibri" w:hAnsi="Times New Roman"/>
          <w:sz w:val="24"/>
          <w:szCs w:val="24"/>
        </w:rPr>
      </w:pPr>
      <w:r>
        <w:rPr>
          <w:rFonts w:ascii="Times New Roman" w:eastAsia="Calibri" w:hAnsi="Times New Roman"/>
          <w:sz w:val="24"/>
          <w:szCs w:val="24"/>
        </w:rPr>
        <w:t>v rámci podpory integrovanej produkcie podporí pestovanie ovocia, zeleniny a viniča;</w:t>
      </w:r>
    </w:p>
    <w:p w:rsidR="00AD55AD" w:rsidRDefault="00AD55AD" w:rsidP="003118EC">
      <w:pPr>
        <w:pStyle w:val="Odsekzoznamu"/>
        <w:numPr>
          <w:ilvl w:val="0"/>
          <w:numId w:val="41"/>
        </w:numPr>
        <w:spacing w:after="0" w:line="240" w:lineRule="auto"/>
        <w:jc w:val="both"/>
        <w:rPr>
          <w:rFonts w:ascii="Times New Roman" w:eastAsia="Calibri" w:hAnsi="Times New Roman"/>
          <w:sz w:val="24"/>
          <w:szCs w:val="24"/>
        </w:rPr>
      </w:pPr>
      <w:r>
        <w:rPr>
          <w:rFonts w:ascii="Times New Roman" w:eastAsia="Calibri" w:hAnsi="Times New Roman"/>
          <w:sz w:val="24"/>
          <w:szCs w:val="24"/>
        </w:rPr>
        <w:t>nepresunie 25 % finančných prostriedkov z II. do I. piliera;</w:t>
      </w:r>
    </w:p>
    <w:p w:rsidR="003118EC" w:rsidRPr="00D847B1" w:rsidRDefault="003118EC" w:rsidP="003118EC">
      <w:pPr>
        <w:pStyle w:val="Odsekzoznamu"/>
        <w:numPr>
          <w:ilvl w:val="0"/>
          <w:numId w:val="41"/>
        </w:numPr>
        <w:spacing w:after="0" w:line="240" w:lineRule="auto"/>
        <w:jc w:val="both"/>
        <w:rPr>
          <w:rFonts w:ascii="Times New Roman" w:eastAsia="Calibri" w:hAnsi="Times New Roman"/>
          <w:sz w:val="24"/>
          <w:szCs w:val="24"/>
        </w:rPr>
      </w:pPr>
      <w:r w:rsidRPr="00D847B1">
        <w:rPr>
          <w:rFonts w:ascii="Times New Roman" w:eastAsia="Calibri" w:hAnsi="Times New Roman"/>
          <w:sz w:val="24"/>
          <w:szCs w:val="24"/>
        </w:rPr>
        <w:t xml:space="preserve">uplatní maximálnu výšku stropu dobrovoľne viazanej platby z obálky </w:t>
      </w:r>
      <w:r w:rsidR="00AD55AD">
        <w:rPr>
          <w:rFonts w:ascii="Times New Roman" w:eastAsia="Calibri" w:hAnsi="Times New Roman"/>
          <w:sz w:val="24"/>
          <w:szCs w:val="24"/>
        </w:rPr>
        <w:t>priamych platieb, t.j. 10</w:t>
      </w:r>
      <w:r>
        <w:rPr>
          <w:rFonts w:ascii="Times New Roman" w:eastAsia="Calibri" w:hAnsi="Times New Roman"/>
          <w:sz w:val="24"/>
          <w:szCs w:val="24"/>
        </w:rPr>
        <w:t xml:space="preserve"> %;</w:t>
      </w:r>
      <w:r w:rsidRPr="00D847B1">
        <w:rPr>
          <w:rFonts w:ascii="Times New Roman" w:eastAsia="Calibri" w:hAnsi="Times New Roman"/>
          <w:sz w:val="24"/>
          <w:szCs w:val="24"/>
        </w:rPr>
        <w:t xml:space="preserve"> </w:t>
      </w:r>
    </w:p>
    <w:p w:rsidR="003118EC" w:rsidRPr="00D847B1" w:rsidRDefault="00AD55AD" w:rsidP="003118EC">
      <w:pPr>
        <w:pStyle w:val="Odsekzoznamu"/>
        <w:numPr>
          <w:ilvl w:val="0"/>
          <w:numId w:val="41"/>
        </w:numPr>
        <w:spacing w:after="0" w:line="240" w:lineRule="auto"/>
        <w:jc w:val="both"/>
        <w:rPr>
          <w:rFonts w:ascii="Times New Roman" w:eastAsia="Calibri" w:hAnsi="Times New Roman"/>
          <w:sz w:val="24"/>
          <w:szCs w:val="24"/>
        </w:rPr>
      </w:pPr>
      <w:r>
        <w:rPr>
          <w:rFonts w:ascii="Times New Roman" w:eastAsia="Calibri" w:hAnsi="Times New Roman"/>
          <w:sz w:val="24"/>
          <w:szCs w:val="24"/>
        </w:rPr>
        <w:t>ne</w:t>
      </w:r>
      <w:r w:rsidR="003118EC">
        <w:rPr>
          <w:rFonts w:ascii="Times New Roman" w:eastAsia="Calibri" w:hAnsi="Times New Roman"/>
          <w:sz w:val="24"/>
          <w:szCs w:val="24"/>
        </w:rPr>
        <w:t>dodrží stabilitu</w:t>
      </w:r>
      <w:r w:rsidR="003118EC" w:rsidRPr="00D847B1">
        <w:rPr>
          <w:rFonts w:ascii="Times New Roman" w:eastAsia="Calibri" w:hAnsi="Times New Roman"/>
          <w:sz w:val="24"/>
          <w:szCs w:val="24"/>
        </w:rPr>
        <w:t xml:space="preserve"> výšky dobrovoľne viazaných platieb na jednotlivé kategórie hospodárskych zvierat v rámci I. piliera po</w:t>
      </w:r>
      <w:r w:rsidR="003118EC">
        <w:rPr>
          <w:rFonts w:ascii="Times New Roman" w:eastAsia="Calibri" w:hAnsi="Times New Roman"/>
          <w:sz w:val="24"/>
          <w:szCs w:val="24"/>
        </w:rPr>
        <w:t>čas celého programového obdobia;</w:t>
      </w:r>
      <w:r w:rsidR="003118EC" w:rsidRPr="00D847B1">
        <w:rPr>
          <w:rFonts w:ascii="Times New Roman" w:eastAsia="Calibri" w:hAnsi="Times New Roman"/>
          <w:sz w:val="24"/>
          <w:szCs w:val="24"/>
        </w:rPr>
        <w:t xml:space="preserve"> </w:t>
      </w:r>
    </w:p>
    <w:p w:rsidR="003118EC" w:rsidRDefault="00AD55AD" w:rsidP="003118EC">
      <w:pPr>
        <w:pStyle w:val="Odsekzoznamu"/>
        <w:numPr>
          <w:ilvl w:val="0"/>
          <w:numId w:val="41"/>
        </w:numPr>
        <w:spacing w:after="0" w:line="240" w:lineRule="auto"/>
        <w:jc w:val="both"/>
        <w:rPr>
          <w:rFonts w:ascii="Times New Roman" w:eastAsia="Calibri" w:hAnsi="Times New Roman"/>
          <w:sz w:val="24"/>
          <w:szCs w:val="24"/>
        </w:rPr>
      </w:pPr>
      <w:r>
        <w:rPr>
          <w:rFonts w:ascii="Times New Roman" w:eastAsia="Calibri" w:hAnsi="Times New Roman"/>
          <w:sz w:val="24"/>
          <w:szCs w:val="24"/>
        </w:rPr>
        <w:t>pravdepodobne ne</w:t>
      </w:r>
      <w:r w:rsidR="003118EC">
        <w:rPr>
          <w:rFonts w:ascii="Times New Roman" w:eastAsia="Calibri" w:hAnsi="Times New Roman"/>
          <w:sz w:val="24"/>
          <w:szCs w:val="24"/>
        </w:rPr>
        <w:t>dodrží financovanie projektových podpôr, v objemoch identifikovaných v kapitole 7. Štúdia realizovateľnosti pre naplnenie stanovených cieľov a prioritných úloh;</w:t>
      </w:r>
    </w:p>
    <w:p w:rsidR="003118EC" w:rsidRPr="00D847B1" w:rsidRDefault="003118EC" w:rsidP="003118EC">
      <w:pPr>
        <w:pStyle w:val="Odsekzoznamu"/>
        <w:numPr>
          <w:ilvl w:val="0"/>
          <w:numId w:val="41"/>
        </w:numPr>
        <w:spacing w:after="0" w:line="240" w:lineRule="auto"/>
        <w:jc w:val="both"/>
        <w:rPr>
          <w:rFonts w:ascii="Times New Roman" w:eastAsia="Calibri" w:hAnsi="Times New Roman"/>
          <w:sz w:val="24"/>
          <w:szCs w:val="24"/>
        </w:rPr>
      </w:pPr>
      <w:r>
        <w:rPr>
          <w:rFonts w:ascii="Times New Roman" w:eastAsia="Calibri" w:hAnsi="Times New Roman"/>
          <w:sz w:val="24"/>
          <w:szCs w:val="24"/>
        </w:rPr>
        <w:t>v rámci II. piliera, konkrétne opatrením „Dobré životné podmienky zvierat“ podporí predovšetkým chov dojníc</w:t>
      </w:r>
      <w:r w:rsidR="00AD55AD">
        <w:rPr>
          <w:rFonts w:ascii="Times New Roman" w:eastAsia="Calibri" w:hAnsi="Times New Roman"/>
          <w:sz w:val="24"/>
          <w:szCs w:val="24"/>
        </w:rPr>
        <w:t xml:space="preserve"> a</w:t>
      </w:r>
      <w:r>
        <w:rPr>
          <w:rFonts w:ascii="Times New Roman" w:eastAsia="Calibri" w:hAnsi="Times New Roman"/>
          <w:sz w:val="24"/>
          <w:szCs w:val="24"/>
        </w:rPr>
        <w:t xml:space="preserve"> ošípaných</w:t>
      </w:r>
      <w:r w:rsidR="00AD55AD">
        <w:rPr>
          <w:rFonts w:ascii="Times New Roman" w:eastAsia="Calibri" w:hAnsi="Times New Roman"/>
          <w:sz w:val="24"/>
          <w:szCs w:val="24"/>
        </w:rPr>
        <w:t>.</w:t>
      </w:r>
    </w:p>
    <w:p w:rsidR="003118EC" w:rsidRDefault="003118EC" w:rsidP="00473CE3">
      <w:pPr>
        <w:spacing w:after="0" w:line="240" w:lineRule="auto"/>
        <w:jc w:val="both"/>
        <w:rPr>
          <w:rFonts w:ascii="Times New Roman" w:eastAsia="Calibri" w:hAnsi="Times New Roman"/>
          <w:sz w:val="24"/>
          <w:szCs w:val="24"/>
        </w:rPr>
      </w:pPr>
    </w:p>
    <w:p w:rsidR="00AD55AD" w:rsidRDefault="00AD55AD" w:rsidP="00AD55AD">
      <w:pPr>
        <w:spacing w:after="0" w:line="240" w:lineRule="auto"/>
        <w:jc w:val="both"/>
        <w:rPr>
          <w:rFonts w:ascii="Times New Roman" w:eastAsia="Calibri" w:hAnsi="Times New Roman"/>
          <w:sz w:val="24"/>
          <w:szCs w:val="24"/>
        </w:rPr>
      </w:pPr>
      <w:r>
        <w:rPr>
          <w:rFonts w:ascii="Times New Roman" w:eastAsia="Calibri" w:hAnsi="Times New Roman"/>
          <w:sz w:val="24"/>
          <w:szCs w:val="24"/>
        </w:rPr>
        <w:t>Dôsledky uplatnenia postupu:</w:t>
      </w:r>
    </w:p>
    <w:p w:rsidR="00AD55AD" w:rsidRDefault="002003A5" w:rsidP="00AD55AD">
      <w:pPr>
        <w:pStyle w:val="Odsekzoznamu"/>
        <w:numPr>
          <w:ilvl w:val="0"/>
          <w:numId w:val="42"/>
        </w:numPr>
        <w:spacing w:after="0" w:line="240" w:lineRule="auto"/>
        <w:jc w:val="both"/>
        <w:rPr>
          <w:rFonts w:ascii="Times New Roman" w:eastAsia="Calibri" w:hAnsi="Times New Roman"/>
          <w:sz w:val="24"/>
          <w:szCs w:val="24"/>
        </w:rPr>
      </w:pPr>
      <w:r>
        <w:rPr>
          <w:rFonts w:ascii="Times New Roman" w:eastAsia="Calibri" w:hAnsi="Times New Roman"/>
          <w:sz w:val="24"/>
          <w:szCs w:val="24"/>
        </w:rPr>
        <w:t>postupný zánik</w:t>
      </w:r>
      <w:r w:rsidR="00AD55AD">
        <w:rPr>
          <w:rFonts w:ascii="Times New Roman" w:eastAsia="Calibri" w:hAnsi="Times New Roman"/>
          <w:sz w:val="24"/>
          <w:szCs w:val="24"/>
        </w:rPr>
        <w:t xml:space="preserve"> živočíšnej výroby</w:t>
      </w:r>
      <w:r w:rsidR="00980583">
        <w:rPr>
          <w:rFonts w:ascii="Times New Roman" w:eastAsia="Calibri" w:hAnsi="Times New Roman"/>
          <w:sz w:val="24"/>
          <w:szCs w:val="24"/>
        </w:rPr>
        <w:t xml:space="preserve"> a špecializovanej rastlinnej výroby</w:t>
      </w:r>
      <w:r w:rsidR="00AD55AD">
        <w:rPr>
          <w:rFonts w:ascii="Times New Roman" w:eastAsia="Calibri" w:hAnsi="Times New Roman"/>
          <w:sz w:val="24"/>
          <w:szCs w:val="24"/>
        </w:rPr>
        <w:t>;</w:t>
      </w:r>
    </w:p>
    <w:p w:rsidR="00AD55AD" w:rsidRDefault="002003A5" w:rsidP="00AD55AD">
      <w:pPr>
        <w:pStyle w:val="Odsekzoznamu"/>
        <w:numPr>
          <w:ilvl w:val="0"/>
          <w:numId w:val="42"/>
        </w:numPr>
        <w:spacing w:after="0" w:line="240" w:lineRule="auto"/>
        <w:jc w:val="both"/>
        <w:rPr>
          <w:rFonts w:ascii="Times New Roman" w:eastAsia="Calibri" w:hAnsi="Times New Roman"/>
          <w:sz w:val="24"/>
          <w:szCs w:val="24"/>
        </w:rPr>
      </w:pPr>
      <w:r>
        <w:rPr>
          <w:rFonts w:ascii="Times New Roman" w:eastAsia="Calibri" w:hAnsi="Times New Roman"/>
          <w:sz w:val="24"/>
          <w:szCs w:val="24"/>
        </w:rPr>
        <w:t>minimálne ohrozenie zvyšovania</w:t>
      </w:r>
      <w:r w:rsidR="00AD55AD">
        <w:rPr>
          <w:rFonts w:ascii="Times New Roman" w:eastAsia="Calibri" w:hAnsi="Times New Roman"/>
          <w:sz w:val="24"/>
          <w:szCs w:val="24"/>
        </w:rPr>
        <w:t xml:space="preserve"> produkčnej výkonnosti slovenského poľnohospodárstva podľa projektovaného vývoja v kapitole 7. Štúdia realizovateľnosti pre naplnenie stanovených cieľov a prioritných úloh;</w:t>
      </w:r>
    </w:p>
    <w:p w:rsidR="00AD55AD" w:rsidRDefault="002003A5" w:rsidP="00AD55AD">
      <w:pPr>
        <w:pStyle w:val="Odsekzoznamu"/>
        <w:numPr>
          <w:ilvl w:val="0"/>
          <w:numId w:val="42"/>
        </w:numPr>
        <w:spacing w:after="0" w:line="240" w:lineRule="auto"/>
        <w:jc w:val="both"/>
        <w:rPr>
          <w:rFonts w:ascii="Times New Roman" w:eastAsia="Calibri" w:hAnsi="Times New Roman"/>
          <w:sz w:val="24"/>
          <w:szCs w:val="24"/>
        </w:rPr>
      </w:pPr>
      <w:r>
        <w:rPr>
          <w:rFonts w:ascii="Times New Roman" w:eastAsia="Calibri" w:hAnsi="Times New Roman"/>
          <w:sz w:val="24"/>
          <w:szCs w:val="24"/>
        </w:rPr>
        <w:t>v rámci priorít financovania</w:t>
      </w:r>
      <w:r w:rsidR="00AD55AD">
        <w:rPr>
          <w:rFonts w:ascii="Times New Roman" w:eastAsia="Calibri" w:hAnsi="Times New Roman"/>
          <w:sz w:val="24"/>
          <w:szCs w:val="24"/>
        </w:rPr>
        <w:t xml:space="preserve"> trvalej udržateľnosti obhospodarovania lesov </w:t>
      </w:r>
      <w:r>
        <w:rPr>
          <w:rFonts w:ascii="Times New Roman" w:eastAsia="Calibri" w:hAnsi="Times New Roman"/>
          <w:sz w:val="24"/>
          <w:szCs w:val="24"/>
        </w:rPr>
        <w:t>sa uplatní predovšetkým financovanie starostlivosti o drobné vodné toky a financovanie obnovy funkcií lesov na plochách postihnutých kalamitou a zvýšenia stability lesných porastov</w:t>
      </w:r>
      <w:r w:rsidR="00AD55AD">
        <w:rPr>
          <w:rFonts w:ascii="Times New Roman" w:eastAsia="Calibri" w:hAnsi="Times New Roman"/>
          <w:sz w:val="24"/>
          <w:szCs w:val="24"/>
        </w:rPr>
        <w:t>;</w:t>
      </w:r>
    </w:p>
    <w:p w:rsidR="00AD55AD" w:rsidRPr="003118EC" w:rsidRDefault="00AD55AD" w:rsidP="00AD55AD">
      <w:pPr>
        <w:pStyle w:val="Odsekzoznamu"/>
        <w:numPr>
          <w:ilvl w:val="0"/>
          <w:numId w:val="42"/>
        </w:numPr>
        <w:spacing w:after="0" w:line="240" w:lineRule="auto"/>
        <w:jc w:val="both"/>
        <w:rPr>
          <w:rFonts w:ascii="Times New Roman" w:eastAsia="Calibri" w:hAnsi="Times New Roman"/>
          <w:sz w:val="24"/>
          <w:szCs w:val="24"/>
        </w:rPr>
      </w:pPr>
      <w:r>
        <w:rPr>
          <w:rFonts w:ascii="Times New Roman" w:eastAsia="Calibri" w:hAnsi="Times New Roman"/>
          <w:sz w:val="24"/>
          <w:szCs w:val="24"/>
        </w:rPr>
        <w:t>projekto</w:t>
      </w:r>
      <w:r w:rsidR="002003A5">
        <w:rPr>
          <w:rFonts w:ascii="Times New Roman" w:eastAsia="Calibri" w:hAnsi="Times New Roman"/>
          <w:sz w:val="24"/>
          <w:szCs w:val="24"/>
        </w:rPr>
        <w:t>vané zvyšovanie zamestnanosti s</w:t>
      </w:r>
      <w:r w:rsidR="00980583">
        <w:rPr>
          <w:rFonts w:ascii="Times New Roman" w:eastAsia="Calibri" w:hAnsi="Times New Roman"/>
          <w:sz w:val="24"/>
          <w:szCs w:val="24"/>
        </w:rPr>
        <w:t>a</w:t>
      </w:r>
      <w:r w:rsidR="002003A5">
        <w:rPr>
          <w:rFonts w:ascii="Times New Roman" w:eastAsia="Calibri" w:hAnsi="Times New Roman"/>
          <w:sz w:val="24"/>
          <w:szCs w:val="24"/>
        </w:rPr>
        <w:t xml:space="preserve"> nenaplní. </w:t>
      </w:r>
    </w:p>
    <w:p w:rsidR="003118EC" w:rsidRDefault="003118EC" w:rsidP="00473CE3">
      <w:pPr>
        <w:spacing w:after="0" w:line="240" w:lineRule="auto"/>
        <w:jc w:val="both"/>
        <w:rPr>
          <w:rFonts w:ascii="Times New Roman" w:eastAsia="Calibri" w:hAnsi="Times New Roman"/>
          <w:sz w:val="24"/>
          <w:szCs w:val="24"/>
        </w:rPr>
      </w:pPr>
    </w:p>
    <w:p w:rsidR="00980583" w:rsidRDefault="00980583" w:rsidP="00473CE3">
      <w:pPr>
        <w:spacing w:after="0" w:line="240" w:lineRule="auto"/>
        <w:jc w:val="both"/>
        <w:rPr>
          <w:rFonts w:ascii="Times New Roman" w:eastAsia="Calibri" w:hAnsi="Times New Roman"/>
          <w:sz w:val="24"/>
          <w:szCs w:val="24"/>
        </w:rPr>
      </w:pPr>
    </w:p>
    <w:p w:rsidR="00980583" w:rsidRDefault="00980583" w:rsidP="00473CE3">
      <w:pPr>
        <w:spacing w:after="0" w:line="240" w:lineRule="auto"/>
        <w:jc w:val="both"/>
        <w:rPr>
          <w:rFonts w:ascii="Times New Roman" w:eastAsia="Calibri" w:hAnsi="Times New Roman"/>
          <w:sz w:val="24"/>
          <w:szCs w:val="24"/>
        </w:rPr>
      </w:pPr>
    </w:p>
    <w:p w:rsidR="00980583" w:rsidRDefault="00980583" w:rsidP="00473CE3">
      <w:pPr>
        <w:spacing w:after="0" w:line="240" w:lineRule="auto"/>
        <w:jc w:val="both"/>
        <w:rPr>
          <w:rFonts w:ascii="Times New Roman" w:eastAsia="Calibri" w:hAnsi="Times New Roman"/>
          <w:sz w:val="24"/>
          <w:szCs w:val="24"/>
        </w:rPr>
      </w:pPr>
    </w:p>
    <w:p w:rsidR="003118EC" w:rsidRDefault="003118EC" w:rsidP="00473CE3">
      <w:pPr>
        <w:spacing w:after="0" w:line="240" w:lineRule="auto"/>
        <w:jc w:val="both"/>
        <w:rPr>
          <w:rFonts w:ascii="Times New Roman" w:eastAsia="Calibri" w:hAnsi="Times New Roman"/>
          <w:sz w:val="24"/>
          <w:szCs w:val="24"/>
        </w:rPr>
      </w:pPr>
    </w:p>
    <w:p w:rsidR="002003A5" w:rsidRDefault="002003A5" w:rsidP="002003A5">
      <w:pPr>
        <w:pStyle w:val="Nadpis2"/>
        <w:numPr>
          <w:ilvl w:val="1"/>
          <w:numId w:val="8"/>
        </w:numPr>
        <w:rPr>
          <w:rFonts w:eastAsia="Calibri"/>
          <w:szCs w:val="24"/>
        </w:rPr>
      </w:pPr>
      <w:bookmarkStart w:id="85" w:name="_Toc359550705"/>
      <w:r>
        <w:rPr>
          <w:rFonts w:eastAsia="Calibri"/>
          <w:szCs w:val="24"/>
        </w:rPr>
        <w:lastRenderedPageBreak/>
        <w:t>Optimistický scenár</w:t>
      </w:r>
      <w:bookmarkEnd w:id="85"/>
    </w:p>
    <w:p w:rsidR="002003A5" w:rsidRDefault="002003A5" w:rsidP="002003A5">
      <w:pPr>
        <w:spacing w:after="0" w:line="240" w:lineRule="auto"/>
        <w:jc w:val="both"/>
        <w:rPr>
          <w:rFonts w:ascii="Times New Roman" w:eastAsia="Calibri" w:hAnsi="Times New Roman"/>
          <w:sz w:val="24"/>
          <w:szCs w:val="24"/>
        </w:rPr>
      </w:pPr>
    </w:p>
    <w:tbl>
      <w:tblPr>
        <w:tblStyle w:val="Mriekatabuky"/>
        <w:tblW w:w="0" w:type="auto"/>
        <w:tblInd w:w="108" w:type="dxa"/>
        <w:tblLook w:val="04A0" w:firstRow="1" w:lastRow="0" w:firstColumn="1" w:lastColumn="0" w:noHBand="0" w:noVBand="1"/>
      </w:tblPr>
      <w:tblGrid>
        <w:gridCol w:w="2235"/>
        <w:gridCol w:w="6837"/>
      </w:tblGrid>
      <w:tr w:rsidR="002003A5" w:rsidTr="00980583">
        <w:tc>
          <w:tcPr>
            <w:tcW w:w="2235" w:type="dxa"/>
            <w:vMerge w:val="restart"/>
          </w:tcPr>
          <w:p w:rsidR="002003A5" w:rsidRPr="009314A4" w:rsidRDefault="002003A5" w:rsidP="00980583">
            <w:pPr>
              <w:jc w:val="both"/>
              <w:rPr>
                <w:rFonts w:ascii="Times New Roman" w:eastAsia="Calibri" w:hAnsi="Times New Roman"/>
                <w:b/>
                <w:sz w:val="24"/>
                <w:szCs w:val="24"/>
              </w:rPr>
            </w:pPr>
            <w:r>
              <w:rPr>
                <w:rFonts w:ascii="Times New Roman" w:eastAsia="Calibri" w:hAnsi="Times New Roman"/>
                <w:b/>
                <w:sz w:val="24"/>
                <w:szCs w:val="24"/>
              </w:rPr>
              <w:t>Základné p</w:t>
            </w:r>
            <w:r w:rsidRPr="009314A4">
              <w:rPr>
                <w:rFonts w:ascii="Times New Roman" w:eastAsia="Calibri" w:hAnsi="Times New Roman"/>
                <w:b/>
                <w:sz w:val="24"/>
                <w:szCs w:val="24"/>
              </w:rPr>
              <w:t>redpoklady:</w:t>
            </w:r>
          </w:p>
        </w:tc>
        <w:tc>
          <w:tcPr>
            <w:tcW w:w="6837" w:type="dxa"/>
          </w:tcPr>
          <w:p w:rsidR="002003A5" w:rsidRDefault="002003A5" w:rsidP="00980583">
            <w:pPr>
              <w:jc w:val="both"/>
              <w:rPr>
                <w:rFonts w:ascii="Times New Roman" w:eastAsia="Calibri" w:hAnsi="Times New Roman"/>
                <w:sz w:val="24"/>
                <w:szCs w:val="24"/>
              </w:rPr>
            </w:pPr>
            <w:r>
              <w:rPr>
                <w:rFonts w:ascii="Times New Roman" w:eastAsia="Calibri" w:hAnsi="Times New Roman"/>
                <w:sz w:val="24"/>
                <w:szCs w:val="24"/>
              </w:rPr>
              <w:t xml:space="preserve">dobrovoľne viazaná podpora v rámci I. piliera na otvorený zoznam sektorov </w:t>
            </w:r>
          </w:p>
        </w:tc>
      </w:tr>
      <w:tr w:rsidR="002003A5" w:rsidTr="00980583">
        <w:tc>
          <w:tcPr>
            <w:tcW w:w="2235" w:type="dxa"/>
            <w:vMerge/>
          </w:tcPr>
          <w:p w:rsidR="002003A5" w:rsidRDefault="002003A5" w:rsidP="00980583">
            <w:pPr>
              <w:jc w:val="both"/>
              <w:rPr>
                <w:rFonts w:ascii="Times New Roman" w:eastAsia="Calibri" w:hAnsi="Times New Roman"/>
                <w:sz w:val="24"/>
                <w:szCs w:val="24"/>
              </w:rPr>
            </w:pPr>
          </w:p>
        </w:tc>
        <w:tc>
          <w:tcPr>
            <w:tcW w:w="6837" w:type="dxa"/>
          </w:tcPr>
          <w:p w:rsidR="002003A5" w:rsidRDefault="002003A5" w:rsidP="00980583">
            <w:pPr>
              <w:jc w:val="both"/>
              <w:rPr>
                <w:rFonts w:ascii="Times New Roman" w:eastAsia="Calibri" w:hAnsi="Times New Roman"/>
                <w:sz w:val="24"/>
                <w:szCs w:val="24"/>
              </w:rPr>
            </w:pPr>
            <w:r>
              <w:rPr>
                <w:rFonts w:ascii="Times New Roman" w:eastAsia="Calibri" w:hAnsi="Times New Roman"/>
                <w:sz w:val="24"/>
                <w:szCs w:val="24"/>
              </w:rPr>
              <w:t xml:space="preserve">strop dobrovoľne viazanej platby </w:t>
            </w:r>
            <w:r w:rsidR="00980583">
              <w:rPr>
                <w:rFonts w:ascii="Times New Roman" w:eastAsia="Calibri" w:hAnsi="Times New Roman"/>
                <w:sz w:val="24"/>
                <w:szCs w:val="24"/>
              </w:rPr>
              <w:t>v rozmedzí</w:t>
            </w:r>
            <w:r>
              <w:rPr>
                <w:rFonts w:ascii="Times New Roman" w:eastAsia="Calibri" w:hAnsi="Times New Roman"/>
                <w:sz w:val="24"/>
                <w:szCs w:val="24"/>
              </w:rPr>
              <w:t xml:space="preserve"> 1</w:t>
            </w:r>
            <w:r w:rsidR="00980583">
              <w:rPr>
                <w:rFonts w:ascii="Times New Roman" w:eastAsia="Calibri" w:hAnsi="Times New Roman"/>
                <w:sz w:val="24"/>
                <w:szCs w:val="24"/>
              </w:rPr>
              <w:t>3 - 18</w:t>
            </w:r>
            <w:r>
              <w:rPr>
                <w:rFonts w:ascii="Times New Roman" w:eastAsia="Calibri" w:hAnsi="Times New Roman"/>
                <w:sz w:val="24"/>
                <w:szCs w:val="24"/>
              </w:rPr>
              <w:t xml:space="preserve"> % obálky priamych platieb</w:t>
            </w:r>
          </w:p>
        </w:tc>
      </w:tr>
      <w:tr w:rsidR="002003A5" w:rsidTr="00980583">
        <w:tc>
          <w:tcPr>
            <w:tcW w:w="2235" w:type="dxa"/>
            <w:vMerge/>
          </w:tcPr>
          <w:p w:rsidR="002003A5" w:rsidRDefault="002003A5" w:rsidP="00980583">
            <w:pPr>
              <w:jc w:val="both"/>
              <w:rPr>
                <w:rFonts w:ascii="Times New Roman" w:eastAsia="Calibri" w:hAnsi="Times New Roman"/>
                <w:sz w:val="24"/>
                <w:szCs w:val="24"/>
              </w:rPr>
            </w:pPr>
          </w:p>
        </w:tc>
        <w:tc>
          <w:tcPr>
            <w:tcW w:w="6837" w:type="dxa"/>
          </w:tcPr>
          <w:p w:rsidR="002003A5" w:rsidRDefault="002003A5" w:rsidP="00980583">
            <w:pPr>
              <w:jc w:val="both"/>
              <w:rPr>
                <w:rFonts w:ascii="Times New Roman" w:eastAsia="Calibri" w:hAnsi="Times New Roman"/>
                <w:sz w:val="24"/>
                <w:szCs w:val="24"/>
              </w:rPr>
            </w:pPr>
            <w:r>
              <w:rPr>
                <w:rFonts w:ascii="Times New Roman" w:eastAsia="Calibri" w:hAnsi="Times New Roman"/>
                <w:sz w:val="24"/>
                <w:szCs w:val="24"/>
              </w:rPr>
              <w:t>presun 25 % finančných prostriedkov z II. do I. piliera</w:t>
            </w:r>
          </w:p>
        </w:tc>
      </w:tr>
      <w:tr w:rsidR="002003A5" w:rsidTr="00980583">
        <w:tc>
          <w:tcPr>
            <w:tcW w:w="2235" w:type="dxa"/>
            <w:vMerge/>
          </w:tcPr>
          <w:p w:rsidR="002003A5" w:rsidRDefault="002003A5" w:rsidP="00980583">
            <w:pPr>
              <w:jc w:val="both"/>
              <w:rPr>
                <w:rFonts w:ascii="Times New Roman" w:eastAsia="Calibri" w:hAnsi="Times New Roman"/>
                <w:sz w:val="24"/>
                <w:szCs w:val="24"/>
              </w:rPr>
            </w:pPr>
          </w:p>
        </w:tc>
        <w:tc>
          <w:tcPr>
            <w:tcW w:w="6837" w:type="dxa"/>
          </w:tcPr>
          <w:p w:rsidR="002003A5" w:rsidRDefault="002003A5" w:rsidP="00980583">
            <w:pPr>
              <w:jc w:val="both"/>
              <w:rPr>
                <w:rFonts w:ascii="Times New Roman" w:eastAsia="Calibri" w:hAnsi="Times New Roman"/>
                <w:sz w:val="24"/>
                <w:szCs w:val="24"/>
              </w:rPr>
            </w:pPr>
            <w:r>
              <w:rPr>
                <w:rFonts w:ascii="Times New Roman" w:eastAsia="Calibri" w:hAnsi="Times New Roman"/>
                <w:sz w:val="24"/>
                <w:szCs w:val="24"/>
              </w:rPr>
              <w:t>zabezpečenie financovania národných doplatkov z ušetrených finančných prostriedkov zníženého objemu spolufinancovania podpôr v rámci PRV SR na roky 2014 – 2020</w:t>
            </w:r>
          </w:p>
        </w:tc>
      </w:tr>
      <w:tr w:rsidR="002003A5" w:rsidTr="00980583">
        <w:tc>
          <w:tcPr>
            <w:tcW w:w="2235" w:type="dxa"/>
            <w:vMerge/>
          </w:tcPr>
          <w:p w:rsidR="002003A5" w:rsidRDefault="002003A5" w:rsidP="00980583">
            <w:pPr>
              <w:jc w:val="both"/>
              <w:rPr>
                <w:rFonts w:ascii="Times New Roman" w:eastAsia="Calibri" w:hAnsi="Times New Roman"/>
                <w:sz w:val="24"/>
                <w:szCs w:val="24"/>
              </w:rPr>
            </w:pPr>
          </w:p>
        </w:tc>
        <w:tc>
          <w:tcPr>
            <w:tcW w:w="6837" w:type="dxa"/>
          </w:tcPr>
          <w:p w:rsidR="002003A5" w:rsidRDefault="002003A5" w:rsidP="00980583">
            <w:pPr>
              <w:jc w:val="both"/>
              <w:rPr>
                <w:rFonts w:ascii="Times New Roman" w:eastAsia="Calibri" w:hAnsi="Times New Roman"/>
                <w:sz w:val="24"/>
                <w:szCs w:val="24"/>
              </w:rPr>
            </w:pPr>
            <w:r>
              <w:rPr>
                <w:rFonts w:ascii="Times New Roman" w:eastAsia="Calibri" w:hAnsi="Times New Roman"/>
                <w:sz w:val="24"/>
                <w:szCs w:val="24"/>
              </w:rPr>
              <w:t>zabezpečenie financovania podporných opatrení národného záujmu na realizáciu priorít koncepcie</w:t>
            </w:r>
          </w:p>
        </w:tc>
      </w:tr>
    </w:tbl>
    <w:p w:rsidR="00980583" w:rsidRDefault="00980583" w:rsidP="002003A5">
      <w:pPr>
        <w:spacing w:after="0" w:line="240" w:lineRule="auto"/>
        <w:jc w:val="both"/>
        <w:rPr>
          <w:rFonts w:ascii="Times New Roman" w:eastAsia="Calibri" w:hAnsi="Times New Roman"/>
          <w:sz w:val="24"/>
          <w:szCs w:val="24"/>
        </w:rPr>
      </w:pPr>
    </w:p>
    <w:p w:rsidR="002003A5" w:rsidRPr="00D847B1" w:rsidRDefault="002003A5" w:rsidP="002003A5">
      <w:pPr>
        <w:spacing w:after="0" w:line="240" w:lineRule="auto"/>
        <w:jc w:val="both"/>
        <w:rPr>
          <w:rFonts w:ascii="Times New Roman" w:eastAsia="Calibri" w:hAnsi="Times New Roman"/>
          <w:sz w:val="24"/>
          <w:szCs w:val="24"/>
        </w:rPr>
      </w:pPr>
      <w:r>
        <w:rPr>
          <w:rFonts w:ascii="Times New Roman" w:eastAsia="Calibri" w:hAnsi="Times New Roman"/>
          <w:sz w:val="24"/>
          <w:szCs w:val="24"/>
        </w:rPr>
        <w:t>V</w:t>
      </w:r>
      <w:r w:rsidRPr="00D847B1">
        <w:rPr>
          <w:rFonts w:ascii="Times New Roman" w:eastAsia="Calibri" w:hAnsi="Times New Roman"/>
          <w:sz w:val="24"/>
          <w:szCs w:val="24"/>
        </w:rPr>
        <w:t xml:space="preserve"> prípade tohto scenára Slovenská republika </w:t>
      </w:r>
    </w:p>
    <w:p w:rsidR="002003A5" w:rsidRDefault="002003A5" w:rsidP="002003A5">
      <w:pPr>
        <w:pStyle w:val="Odsekzoznamu"/>
        <w:numPr>
          <w:ilvl w:val="0"/>
          <w:numId w:val="41"/>
        </w:numPr>
        <w:spacing w:after="0" w:line="240" w:lineRule="auto"/>
        <w:jc w:val="both"/>
        <w:rPr>
          <w:rFonts w:ascii="Times New Roman" w:eastAsia="Calibri" w:hAnsi="Times New Roman"/>
          <w:sz w:val="24"/>
          <w:szCs w:val="24"/>
        </w:rPr>
      </w:pPr>
      <w:r w:rsidRPr="00D847B1">
        <w:rPr>
          <w:rFonts w:ascii="Times New Roman" w:eastAsia="Calibri" w:hAnsi="Times New Roman"/>
          <w:sz w:val="24"/>
          <w:szCs w:val="24"/>
        </w:rPr>
        <w:t>uplatní svoje právo rozšíriť zoznam hospodárskych zvierat, ktoré budú podporované v rámci dobrovoľne viazaných platieb o</w:t>
      </w:r>
      <w:r>
        <w:rPr>
          <w:rFonts w:ascii="Times New Roman" w:eastAsia="Calibri" w:hAnsi="Times New Roman"/>
          <w:sz w:val="24"/>
          <w:szCs w:val="24"/>
        </w:rPr>
        <w:t> </w:t>
      </w:r>
      <w:proofErr w:type="spellStart"/>
      <w:r>
        <w:rPr>
          <w:rFonts w:ascii="Times New Roman" w:eastAsia="Calibri" w:hAnsi="Times New Roman"/>
          <w:sz w:val="24"/>
          <w:szCs w:val="24"/>
        </w:rPr>
        <w:t>monogastrické</w:t>
      </w:r>
      <w:proofErr w:type="spellEnd"/>
      <w:r>
        <w:rPr>
          <w:rFonts w:ascii="Times New Roman" w:eastAsia="Calibri" w:hAnsi="Times New Roman"/>
          <w:sz w:val="24"/>
          <w:szCs w:val="24"/>
        </w:rPr>
        <w:t xml:space="preserve"> zvieratá</w:t>
      </w:r>
      <w:r w:rsidRPr="00D847B1">
        <w:rPr>
          <w:rFonts w:ascii="Times New Roman" w:eastAsia="Calibri" w:hAnsi="Times New Roman"/>
          <w:sz w:val="24"/>
          <w:szCs w:val="24"/>
        </w:rPr>
        <w:t>, t.j. ošípané a hydinu</w:t>
      </w:r>
      <w:r>
        <w:rPr>
          <w:rFonts w:ascii="Times New Roman" w:eastAsia="Calibri" w:hAnsi="Times New Roman"/>
          <w:sz w:val="24"/>
          <w:szCs w:val="24"/>
        </w:rPr>
        <w:t>;</w:t>
      </w:r>
    </w:p>
    <w:p w:rsidR="00980583" w:rsidRDefault="00980583" w:rsidP="00980583">
      <w:pPr>
        <w:pStyle w:val="Odsekzoznamu"/>
        <w:numPr>
          <w:ilvl w:val="0"/>
          <w:numId w:val="41"/>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v rámci dobrovoľne viazaných platieb podporí </w:t>
      </w:r>
      <w:r w:rsidR="00184366">
        <w:rPr>
          <w:rFonts w:ascii="Times New Roman" w:eastAsia="Calibri" w:hAnsi="Times New Roman"/>
          <w:sz w:val="24"/>
          <w:szCs w:val="24"/>
        </w:rPr>
        <w:t xml:space="preserve">predovšetkým </w:t>
      </w:r>
      <w:r>
        <w:rPr>
          <w:rFonts w:ascii="Times New Roman" w:eastAsia="Calibri" w:hAnsi="Times New Roman"/>
          <w:sz w:val="24"/>
          <w:szCs w:val="24"/>
        </w:rPr>
        <w:t xml:space="preserve">pestovanie ovocia, zeleniny, cukrovej repy a chmeľu; </w:t>
      </w:r>
    </w:p>
    <w:p w:rsidR="00980583" w:rsidRPr="00980583" w:rsidRDefault="00980583" w:rsidP="00980583">
      <w:pPr>
        <w:pStyle w:val="Odsekzoznamu"/>
        <w:numPr>
          <w:ilvl w:val="0"/>
          <w:numId w:val="41"/>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v rámci podpory integrovanej produkcie podporí </w:t>
      </w:r>
      <w:r w:rsidR="00184366">
        <w:rPr>
          <w:rFonts w:ascii="Times New Roman" w:eastAsia="Calibri" w:hAnsi="Times New Roman"/>
          <w:sz w:val="24"/>
          <w:szCs w:val="24"/>
        </w:rPr>
        <w:t xml:space="preserve">predovšetkým </w:t>
      </w:r>
      <w:r>
        <w:rPr>
          <w:rFonts w:ascii="Times New Roman" w:eastAsia="Calibri" w:hAnsi="Times New Roman"/>
          <w:sz w:val="24"/>
          <w:szCs w:val="24"/>
        </w:rPr>
        <w:t>pestovanie zemiakov, zeleniny, ovocia, viniča, chmeľu a cukrovej repy;</w:t>
      </w:r>
    </w:p>
    <w:p w:rsidR="002003A5" w:rsidRPr="00D847B1" w:rsidRDefault="002003A5" w:rsidP="002003A5">
      <w:pPr>
        <w:pStyle w:val="Odsekzoznamu"/>
        <w:numPr>
          <w:ilvl w:val="0"/>
          <w:numId w:val="41"/>
        </w:numPr>
        <w:spacing w:after="0" w:line="240" w:lineRule="auto"/>
        <w:jc w:val="both"/>
        <w:rPr>
          <w:rFonts w:ascii="Times New Roman" w:eastAsia="Calibri" w:hAnsi="Times New Roman"/>
          <w:sz w:val="24"/>
          <w:szCs w:val="24"/>
        </w:rPr>
      </w:pPr>
      <w:r>
        <w:rPr>
          <w:rFonts w:ascii="Times New Roman" w:eastAsia="Calibri" w:hAnsi="Times New Roman"/>
          <w:sz w:val="24"/>
          <w:szCs w:val="24"/>
        </w:rPr>
        <w:t>presunie 25 % finančných prostriedkov z II. do I. piliera;</w:t>
      </w:r>
    </w:p>
    <w:p w:rsidR="002003A5" w:rsidRPr="00D847B1" w:rsidRDefault="002003A5" w:rsidP="002003A5">
      <w:pPr>
        <w:pStyle w:val="Odsekzoznamu"/>
        <w:numPr>
          <w:ilvl w:val="0"/>
          <w:numId w:val="41"/>
        </w:numPr>
        <w:spacing w:after="0" w:line="240" w:lineRule="auto"/>
        <w:jc w:val="both"/>
        <w:rPr>
          <w:rFonts w:ascii="Times New Roman" w:eastAsia="Calibri" w:hAnsi="Times New Roman"/>
          <w:sz w:val="24"/>
          <w:szCs w:val="24"/>
        </w:rPr>
      </w:pPr>
      <w:r w:rsidRPr="00D847B1">
        <w:rPr>
          <w:rFonts w:ascii="Times New Roman" w:eastAsia="Calibri" w:hAnsi="Times New Roman"/>
          <w:sz w:val="24"/>
          <w:szCs w:val="24"/>
        </w:rPr>
        <w:t xml:space="preserve">uplatní maximálnu výšku stropu dobrovoľne viazanej platby z obálky </w:t>
      </w:r>
      <w:r>
        <w:rPr>
          <w:rFonts w:ascii="Times New Roman" w:eastAsia="Calibri" w:hAnsi="Times New Roman"/>
          <w:sz w:val="24"/>
          <w:szCs w:val="24"/>
        </w:rPr>
        <w:t xml:space="preserve">priamych platieb, t.j. </w:t>
      </w:r>
      <w:r w:rsidR="00980583">
        <w:rPr>
          <w:rFonts w:ascii="Times New Roman" w:eastAsia="Calibri" w:hAnsi="Times New Roman"/>
          <w:sz w:val="24"/>
          <w:szCs w:val="24"/>
        </w:rPr>
        <w:t>13 - 18</w:t>
      </w:r>
      <w:r>
        <w:rPr>
          <w:rFonts w:ascii="Times New Roman" w:eastAsia="Calibri" w:hAnsi="Times New Roman"/>
          <w:sz w:val="24"/>
          <w:szCs w:val="24"/>
        </w:rPr>
        <w:t xml:space="preserve"> %;</w:t>
      </w:r>
      <w:r w:rsidRPr="00D847B1">
        <w:rPr>
          <w:rFonts w:ascii="Times New Roman" w:eastAsia="Calibri" w:hAnsi="Times New Roman"/>
          <w:sz w:val="24"/>
          <w:szCs w:val="24"/>
        </w:rPr>
        <w:t xml:space="preserve"> </w:t>
      </w:r>
    </w:p>
    <w:p w:rsidR="002003A5" w:rsidRPr="00D847B1" w:rsidRDefault="002003A5" w:rsidP="002003A5">
      <w:pPr>
        <w:pStyle w:val="Odsekzoznamu"/>
        <w:numPr>
          <w:ilvl w:val="0"/>
          <w:numId w:val="41"/>
        </w:numPr>
        <w:spacing w:after="0" w:line="240" w:lineRule="auto"/>
        <w:jc w:val="both"/>
        <w:rPr>
          <w:rFonts w:ascii="Times New Roman" w:eastAsia="Calibri" w:hAnsi="Times New Roman"/>
          <w:sz w:val="24"/>
          <w:szCs w:val="24"/>
        </w:rPr>
      </w:pPr>
      <w:r>
        <w:rPr>
          <w:rFonts w:ascii="Times New Roman" w:eastAsia="Calibri" w:hAnsi="Times New Roman"/>
          <w:sz w:val="24"/>
          <w:szCs w:val="24"/>
        </w:rPr>
        <w:t>dodrží stabilitu</w:t>
      </w:r>
      <w:r w:rsidRPr="00D847B1">
        <w:rPr>
          <w:rFonts w:ascii="Times New Roman" w:eastAsia="Calibri" w:hAnsi="Times New Roman"/>
          <w:sz w:val="24"/>
          <w:szCs w:val="24"/>
        </w:rPr>
        <w:t xml:space="preserve"> výšky dobrovoľne viazaných platieb na jednotlivé kategórie hospodárskych zvierat v rámci I. piliera po</w:t>
      </w:r>
      <w:r>
        <w:rPr>
          <w:rFonts w:ascii="Times New Roman" w:eastAsia="Calibri" w:hAnsi="Times New Roman"/>
          <w:sz w:val="24"/>
          <w:szCs w:val="24"/>
        </w:rPr>
        <w:t>čas celého programového obdobia;</w:t>
      </w:r>
      <w:r w:rsidRPr="00D847B1">
        <w:rPr>
          <w:rFonts w:ascii="Times New Roman" w:eastAsia="Calibri" w:hAnsi="Times New Roman"/>
          <w:sz w:val="24"/>
          <w:szCs w:val="24"/>
        </w:rPr>
        <w:t xml:space="preserve"> </w:t>
      </w:r>
    </w:p>
    <w:p w:rsidR="002003A5" w:rsidRDefault="002003A5" w:rsidP="002003A5">
      <w:pPr>
        <w:pStyle w:val="Odsekzoznamu"/>
        <w:numPr>
          <w:ilvl w:val="0"/>
          <w:numId w:val="41"/>
        </w:numPr>
        <w:spacing w:after="0" w:line="240" w:lineRule="auto"/>
        <w:jc w:val="both"/>
        <w:rPr>
          <w:rFonts w:ascii="Times New Roman" w:eastAsia="Calibri" w:hAnsi="Times New Roman"/>
          <w:sz w:val="24"/>
          <w:szCs w:val="24"/>
        </w:rPr>
      </w:pPr>
      <w:r>
        <w:rPr>
          <w:rFonts w:ascii="Times New Roman" w:eastAsia="Calibri" w:hAnsi="Times New Roman"/>
          <w:sz w:val="24"/>
          <w:szCs w:val="24"/>
        </w:rPr>
        <w:t>dodrží financovanie projektových podpôr, a to minimálne v objemoch identifikovaných v kapitole 7. Štúdia realizovateľnosti pre naplnenie stanovených cieľov a prioritných úloh;</w:t>
      </w:r>
    </w:p>
    <w:p w:rsidR="002003A5" w:rsidRPr="00D847B1" w:rsidRDefault="002003A5" w:rsidP="002003A5">
      <w:pPr>
        <w:pStyle w:val="Odsekzoznamu"/>
        <w:numPr>
          <w:ilvl w:val="0"/>
          <w:numId w:val="41"/>
        </w:numPr>
        <w:spacing w:after="0" w:line="240" w:lineRule="auto"/>
        <w:jc w:val="both"/>
        <w:rPr>
          <w:rFonts w:ascii="Times New Roman" w:eastAsia="Calibri" w:hAnsi="Times New Roman"/>
          <w:sz w:val="24"/>
          <w:szCs w:val="24"/>
        </w:rPr>
      </w:pPr>
      <w:r>
        <w:rPr>
          <w:rFonts w:ascii="Times New Roman" w:eastAsia="Calibri" w:hAnsi="Times New Roman"/>
          <w:sz w:val="24"/>
          <w:szCs w:val="24"/>
        </w:rPr>
        <w:t>v rámci II. piliera, konkrétne opatrením „Dobré životné podmienky zvierat“ podporí predovšetkým chov dojníc, ošípaných a hydiny.</w:t>
      </w:r>
    </w:p>
    <w:p w:rsidR="002003A5" w:rsidRDefault="002003A5" w:rsidP="002003A5">
      <w:pPr>
        <w:spacing w:after="0" w:line="240" w:lineRule="auto"/>
        <w:jc w:val="both"/>
        <w:rPr>
          <w:rFonts w:ascii="Times New Roman" w:eastAsia="Calibri" w:hAnsi="Times New Roman"/>
          <w:sz w:val="24"/>
          <w:szCs w:val="24"/>
        </w:rPr>
      </w:pPr>
    </w:p>
    <w:p w:rsidR="002003A5" w:rsidRDefault="002003A5" w:rsidP="002003A5">
      <w:pPr>
        <w:spacing w:after="0" w:line="240" w:lineRule="auto"/>
        <w:jc w:val="both"/>
        <w:rPr>
          <w:rFonts w:ascii="Times New Roman" w:eastAsia="Calibri" w:hAnsi="Times New Roman"/>
          <w:sz w:val="24"/>
          <w:szCs w:val="24"/>
        </w:rPr>
      </w:pPr>
      <w:r>
        <w:rPr>
          <w:rFonts w:ascii="Times New Roman" w:eastAsia="Calibri" w:hAnsi="Times New Roman"/>
          <w:sz w:val="24"/>
          <w:szCs w:val="24"/>
        </w:rPr>
        <w:t>Dôsledky uplatnenia postupu:</w:t>
      </w:r>
    </w:p>
    <w:p w:rsidR="002003A5" w:rsidRDefault="002003A5" w:rsidP="002003A5">
      <w:pPr>
        <w:pStyle w:val="Odsekzoznamu"/>
        <w:numPr>
          <w:ilvl w:val="0"/>
          <w:numId w:val="42"/>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vytvorenie vhodného podnikateľského prostredia pre </w:t>
      </w:r>
      <w:r w:rsidR="00980583">
        <w:rPr>
          <w:rFonts w:ascii="Times New Roman" w:eastAsia="Calibri" w:hAnsi="Times New Roman"/>
          <w:sz w:val="24"/>
          <w:szCs w:val="24"/>
        </w:rPr>
        <w:t>rozvoj</w:t>
      </w:r>
      <w:r>
        <w:rPr>
          <w:rFonts w:ascii="Times New Roman" w:eastAsia="Calibri" w:hAnsi="Times New Roman"/>
          <w:sz w:val="24"/>
          <w:szCs w:val="24"/>
        </w:rPr>
        <w:t xml:space="preserve"> živočíšnej výroby</w:t>
      </w:r>
      <w:r w:rsidR="00980583">
        <w:rPr>
          <w:rFonts w:ascii="Times New Roman" w:eastAsia="Calibri" w:hAnsi="Times New Roman"/>
          <w:sz w:val="24"/>
          <w:szCs w:val="24"/>
        </w:rPr>
        <w:t xml:space="preserve"> a špecializovanej rastlinnej výroby</w:t>
      </w:r>
      <w:r>
        <w:rPr>
          <w:rFonts w:ascii="Times New Roman" w:eastAsia="Calibri" w:hAnsi="Times New Roman"/>
          <w:sz w:val="24"/>
          <w:szCs w:val="24"/>
        </w:rPr>
        <w:t>;</w:t>
      </w:r>
    </w:p>
    <w:p w:rsidR="002003A5" w:rsidRDefault="002003A5" w:rsidP="002003A5">
      <w:pPr>
        <w:pStyle w:val="Odsekzoznamu"/>
        <w:numPr>
          <w:ilvl w:val="0"/>
          <w:numId w:val="42"/>
        </w:numPr>
        <w:spacing w:after="0" w:line="240" w:lineRule="auto"/>
        <w:jc w:val="both"/>
        <w:rPr>
          <w:rFonts w:ascii="Times New Roman" w:eastAsia="Calibri" w:hAnsi="Times New Roman"/>
          <w:sz w:val="24"/>
          <w:szCs w:val="24"/>
        </w:rPr>
      </w:pPr>
      <w:r>
        <w:rPr>
          <w:rFonts w:ascii="Times New Roman" w:eastAsia="Calibri" w:hAnsi="Times New Roman"/>
          <w:sz w:val="24"/>
          <w:szCs w:val="24"/>
        </w:rPr>
        <w:t>efektívne zvyšovanie produkčnej výkonnosti slovenského poľnohospodárstva podľa projektovaného vývoja v kapitole 7. Štúdia realizovateľnosti pre naplnenie stanovených cieľov a prioritných úloh;</w:t>
      </w:r>
    </w:p>
    <w:p w:rsidR="002003A5" w:rsidRDefault="002003A5" w:rsidP="002003A5">
      <w:pPr>
        <w:pStyle w:val="Odsekzoznamu"/>
        <w:numPr>
          <w:ilvl w:val="0"/>
          <w:numId w:val="42"/>
        </w:numPr>
        <w:spacing w:after="0" w:line="240" w:lineRule="auto"/>
        <w:jc w:val="both"/>
        <w:rPr>
          <w:rFonts w:ascii="Times New Roman" w:eastAsia="Calibri" w:hAnsi="Times New Roman"/>
          <w:sz w:val="24"/>
          <w:szCs w:val="24"/>
        </w:rPr>
      </w:pPr>
      <w:r>
        <w:rPr>
          <w:rFonts w:ascii="Times New Roman" w:eastAsia="Calibri" w:hAnsi="Times New Roman"/>
          <w:sz w:val="24"/>
          <w:szCs w:val="24"/>
        </w:rPr>
        <w:t>zabezpečenie trvalej udržateľnosti obhospodarovania lesov a dodržanie vyváženosti financovania jeho troch aspektov;</w:t>
      </w:r>
    </w:p>
    <w:p w:rsidR="002003A5" w:rsidRPr="003118EC" w:rsidRDefault="002003A5" w:rsidP="002003A5">
      <w:pPr>
        <w:pStyle w:val="Odsekzoznamu"/>
        <w:numPr>
          <w:ilvl w:val="0"/>
          <w:numId w:val="42"/>
        </w:numPr>
        <w:spacing w:after="0" w:line="240" w:lineRule="auto"/>
        <w:jc w:val="both"/>
        <w:rPr>
          <w:rFonts w:ascii="Times New Roman" w:eastAsia="Calibri" w:hAnsi="Times New Roman"/>
          <w:sz w:val="24"/>
          <w:szCs w:val="24"/>
        </w:rPr>
      </w:pPr>
      <w:r>
        <w:rPr>
          <w:rFonts w:ascii="Times New Roman" w:eastAsia="Calibri" w:hAnsi="Times New Roman"/>
          <w:sz w:val="24"/>
          <w:szCs w:val="24"/>
        </w:rPr>
        <w:t>projektované zvyšovanie zamestnanosti</w:t>
      </w:r>
      <w:r w:rsidR="00AF1E12">
        <w:rPr>
          <w:rFonts w:ascii="Times New Roman" w:eastAsia="Calibri" w:hAnsi="Times New Roman"/>
          <w:sz w:val="24"/>
          <w:szCs w:val="24"/>
        </w:rPr>
        <w:t xml:space="preserve"> sa s najväčšou pravdepodobnosťou naplní</w:t>
      </w:r>
      <w:r>
        <w:rPr>
          <w:rFonts w:ascii="Times New Roman" w:eastAsia="Calibri" w:hAnsi="Times New Roman"/>
          <w:sz w:val="24"/>
          <w:szCs w:val="24"/>
        </w:rPr>
        <w:t>.</w:t>
      </w:r>
    </w:p>
    <w:p w:rsidR="003118EC" w:rsidRDefault="003118EC" w:rsidP="00473CE3">
      <w:pPr>
        <w:spacing w:after="0" w:line="240" w:lineRule="auto"/>
        <w:jc w:val="both"/>
        <w:rPr>
          <w:rFonts w:ascii="Times New Roman" w:eastAsia="Calibri" w:hAnsi="Times New Roman"/>
          <w:sz w:val="24"/>
          <w:szCs w:val="24"/>
        </w:rPr>
      </w:pPr>
    </w:p>
    <w:p w:rsidR="003118EC" w:rsidRDefault="003118EC" w:rsidP="00473CE3">
      <w:pPr>
        <w:spacing w:after="0" w:line="240" w:lineRule="auto"/>
        <w:jc w:val="both"/>
        <w:rPr>
          <w:rFonts w:ascii="Times New Roman" w:eastAsia="Calibri" w:hAnsi="Times New Roman"/>
          <w:sz w:val="24"/>
          <w:szCs w:val="24"/>
        </w:rPr>
      </w:pPr>
    </w:p>
    <w:p w:rsidR="003118EC" w:rsidRDefault="003118EC" w:rsidP="00473CE3">
      <w:pPr>
        <w:spacing w:after="0" w:line="240" w:lineRule="auto"/>
        <w:jc w:val="both"/>
        <w:rPr>
          <w:rFonts w:ascii="Times New Roman" w:eastAsia="Calibri" w:hAnsi="Times New Roman"/>
          <w:sz w:val="24"/>
          <w:szCs w:val="24"/>
        </w:rPr>
      </w:pPr>
    </w:p>
    <w:p w:rsidR="00980583" w:rsidRDefault="00980583" w:rsidP="00473CE3">
      <w:pPr>
        <w:spacing w:after="0" w:line="240" w:lineRule="auto"/>
        <w:jc w:val="both"/>
        <w:rPr>
          <w:rFonts w:ascii="Times New Roman" w:eastAsia="Calibri" w:hAnsi="Times New Roman"/>
          <w:sz w:val="24"/>
          <w:szCs w:val="24"/>
        </w:rPr>
      </w:pPr>
    </w:p>
    <w:p w:rsidR="00980583" w:rsidRDefault="00980583" w:rsidP="00473CE3">
      <w:pPr>
        <w:spacing w:after="0" w:line="240" w:lineRule="auto"/>
        <w:jc w:val="both"/>
        <w:rPr>
          <w:rFonts w:ascii="Times New Roman" w:eastAsia="Calibri" w:hAnsi="Times New Roman"/>
          <w:sz w:val="24"/>
          <w:szCs w:val="24"/>
        </w:rPr>
      </w:pPr>
    </w:p>
    <w:p w:rsidR="00980583" w:rsidRDefault="00980583" w:rsidP="00473CE3">
      <w:pPr>
        <w:spacing w:after="0" w:line="240" w:lineRule="auto"/>
        <w:jc w:val="both"/>
        <w:rPr>
          <w:rFonts w:ascii="Times New Roman" w:eastAsia="Calibri" w:hAnsi="Times New Roman"/>
          <w:sz w:val="24"/>
          <w:szCs w:val="24"/>
        </w:rPr>
      </w:pPr>
    </w:p>
    <w:p w:rsidR="00D83473" w:rsidRDefault="004947E6" w:rsidP="00D83473">
      <w:pPr>
        <w:pStyle w:val="Nadpis1"/>
        <w:numPr>
          <w:ilvl w:val="0"/>
          <w:numId w:val="8"/>
        </w:numPr>
      </w:pPr>
      <w:bookmarkStart w:id="86" w:name="_Toc359550706"/>
      <w:r>
        <w:lastRenderedPageBreak/>
        <w:t>Závery a vyhlásenia</w:t>
      </w:r>
      <w:bookmarkEnd w:id="86"/>
    </w:p>
    <w:p w:rsidR="009E6361" w:rsidRDefault="009E6361" w:rsidP="009E6361">
      <w:pPr>
        <w:spacing w:after="0" w:line="240" w:lineRule="auto"/>
        <w:rPr>
          <w:rFonts w:ascii="Times New Roman" w:eastAsia="Calibri" w:hAnsi="Times New Roman"/>
          <w:sz w:val="24"/>
          <w:szCs w:val="24"/>
        </w:rPr>
      </w:pPr>
    </w:p>
    <w:p w:rsidR="009E6361" w:rsidRDefault="009E6361" w:rsidP="009E6361">
      <w:pPr>
        <w:spacing w:after="0" w:line="240" w:lineRule="auto"/>
        <w:rPr>
          <w:rFonts w:ascii="Times New Roman" w:eastAsia="Calibri" w:hAnsi="Times New Roman"/>
          <w:sz w:val="24"/>
          <w:szCs w:val="24"/>
        </w:rPr>
      </w:pPr>
    </w:p>
    <w:p w:rsidR="00F01D6D" w:rsidRDefault="00F01D6D" w:rsidP="00F01D6D">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Projekcia </w:t>
      </w:r>
      <w:r w:rsidR="00900892">
        <w:rPr>
          <w:rFonts w:ascii="Times New Roman" w:eastAsia="Calibri" w:hAnsi="Times New Roman"/>
          <w:sz w:val="24"/>
          <w:szCs w:val="24"/>
        </w:rPr>
        <w:t>napĺňania vízie, zámerov a cieľov koncepcie ako aj všetky výroky s týmto spojené</w:t>
      </w:r>
      <w:r>
        <w:rPr>
          <w:rFonts w:ascii="Times New Roman" w:eastAsia="Calibri" w:hAnsi="Times New Roman"/>
          <w:sz w:val="24"/>
          <w:szCs w:val="24"/>
        </w:rPr>
        <w:t xml:space="preserve"> </w:t>
      </w:r>
      <w:r w:rsidR="00900892">
        <w:rPr>
          <w:rFonts w:ascii="Times New Roman" w:eastAsia="Calibri" w:hAnsi="Times New Roman"/>
          <w:sz w:val="24"/>
          <w:szCs w:val="24"/>
        </w:rPr>
        <w:t>sú založené</w:t>
      </w:r>
      <w:r>
        <w:rPr>
          <w:rFonts w:ascii="Times New Roman" w:eastAsia="Calibri" w:hAnsi="Times New Roman"/>
          <w:sz w:val="24"/>
          <w:szCs w:val="24"/>
        </w:rPr>
        <w:t xml:space="preserve"> na princípe vzácnosti výrobných faktorov a hospodárnosti ich využívania, t.j. podnikateľský subjekt v pôdohospodárstve kombinuje svoje výrobné faktory s ohľadom na ich požadovaný výstup tak aby vstupy minimalizoval a výstupy maximalizoval, na princípe finančnej rovnováhy, t.j. podnik sa sústreďuje na zachovanie svojej platobnej schopnosti a solventnosti, na princípe súkromného vlastníctva</w:t>
      </w:r>
      <w:r w:rsidR="003B3313">
        <w:rPr>
          <w:rFonts w:ascii="Times New Roman" w:eastAsia="Calibri" w:hAnsi="Times New Roman"/>
          <w:sz w:val="24"/>
          <w:szCs w:val="24"/>
        </w:rPr>
        <w:t xml:space="preserve"> a rozhodovacej autonómii</w:t>
      </w:r>
      <w:r>
        <w:rPr>
          <w:rFonts w:ascii="Times New Roman" w:eastAsia="Calibri" w:hAnsi="Times New Roman"/>
          <w:sz w:val="24"/>
          <w:szCs w:val="24"/>
        </w:rPr>
        <w:t>, t.j. podnik v pôdohospodárstve sa autonómne rozhoduje o svojej podnikovej stratégii</w:t>
      </w:r>
      <w:r w:rsidR="003B3313">
        <w:rPr>
          <w:rFonts w:ascii="Times New Roman" w:eastAsia="Calibri" w:hAnsi="Times New Roman"/>
          <w:sz w:val="24"/>
          <w:szCs w:val="24"/>
        </w:rPr>
        <w:t xml:space="preserve"> a štát v konečnom dôsledku nenesie bremeno dôsledkov jeho zlých strategických rozhodnutí</w:t>
      </w:r>
      <w:r w:rsidR="001B2AAA">
        <w:rPr>
          <w:rFonts w:ascii="Times New Roman" w:eastAsia="Calibri" w:hAnsi="Times New Roman"/>
          <w:sz w:val="24"/>
          <w:szCs w:val="24"/>
        </w:rPr>
        <w:t>,</w:t>
      </w:r>
      <w:r w:rsidR="003B3313">
        <w:rPr>
          <w:rFonts w:ascii="Times New Roman" w:eastAsia="Calibri" w:hAnsi="Times New Roman"/>
          <w:sz w:val="24"/>
          <w:szCs w:val="24"/>
        </w:rPr>
        <w:t xml:space="preserve"> a na princípe maximalizácie ziskovosti.</w:t>
      </w:r>
    </w:p>
    <w:p w:rsidR="00D87052" w:rsidRDefault="00D87052" w:rsidP="001B2AAA">
      <w:pPr>
        <w:spacing w:after="0" w:line="240" w:lineRule="auto"/>
        <w:jc w:val="both"/>
        <w:rPr>
          <w:rFonts w:ascii="Times New Roman" w:eastAsia="Calibri" w:hAnsi="Times New Roman"/>
          <w:sz w:val="24"/>
          <w:szCs w:val="24"/>
        </w:rPr>
      </w:pPr>
    </w:p>
    <w:p w:rsidR="001B2AAA" w:rsidRDefault="001B2AAA" w:rsidP="001B2AAA">
      <w:pPr>
        <w:spacing w:after="0" w:line="240" w:lineRule="auto"/>
        <w:jc w:val="both"/>
        <w:rPr>
          <w:rFonts w:ascii="Times New Roman" w:eastAsia="Calibri" w:hAnsi="Times New Roman"/>
          <w:sz w:val="24"/>
          <w:szCs w:val="24"/>
        </w:rPr>
      </w:pPr>
      <w:r w:rsidRPr="001B2AAA">
        <w:rPr>
          <w:rFonts w:ascii="Times New Roman" w:eastAsia="Calibri" w:hAnsi="Times New Roman"/>
          <w:sz w:val="24"/>
          <w:szCs w:val="24"/>
        </w:rPr>
        <w:t xml:space="preserve">Súčasný nelichotivý stav sektoru </w:t>
      </w:r>
      <w:r>
        <w:rPr>
          <w:rFonts w:ascii="Times New Roman" w:eastAsia="Calibri" w:hAnsi="Times New Roman"/>
          <w:sz w:val="24"/>
          <w:szCs w:val="24"/>
        </w:rPr>
        <w:t>pôdohospodárstva</w:t>
      </w:r>
      <w:r w:rsidRPr="001B2AAA">
        <w:rPr>
          <w:rFonts w:ascii="Times New Roman" w:eastAsia="Calibri" w:hAnsi="Times New Roman"/>
          <w:sz w:val="24"/>
          <w:szCs w:val="24"/>
        </w:rPr>
        <w:t xml:space="preserve"> odzrkadľuje dlhodobý nekoncepčný prístup k jeho rozvoju a absenciu koncepčnej analýzy, ktorá by identifikovala jeho skutočné silné a slabé stránky, upriamila pozornosť na príležitosti a varovala pred hrozbami jeho ďalšieho vývoja. </w:t>
      </w:r>
      <w:r w:rsidR="00D87052">
        <w:rPr>
          <w:rFonts w:ascii="Times New Roman" w:eastAsia="Calibri" w:hAnsi="Times New Roman"/>
          <w:sz w:val="24"/>
          <w:szCs w:val="24"/>
        </w:rPr>
        <w:t xml:space="preserve">Vývoj sektora súvisí s prepojením poľnohospodárskej prvovýroby na potravinársky priemysel, kde kladieme dôraz na skracovanie výrobno-odbytových vertikál. </w:t>
      </w:r>
      <w:r w:rsidR="00D00A51">
        <w:rPr>
          <w:rFonts w:ascii="Times New Roman" w:eastAsia="Calibri" w:hAnsi="Times New Roman"/>
          <w:sz w:val="24"/>
          <w:szCs w:val="24"/>
        </w:rPr>
        <w:t>Naplnenie cieľov koncepcie bude zabezpečené len aktívnou podporou p</w:t>
      </w:r>
      <w:r w:rsidR="00D87052">
        <w:rPr>
          <w:rFonts w:ascii="Times New Roman" w:eastAsia="Calibri" w:hAnsi="Times New Roman"/>
          <w:sz w:val="24"/>
          <w:szCs w:val="24"/>
        </w:rPr>
        <w:t>redaj</w:t>
      </w:r>
      <w:r w:rsidR="00D00A51">
        <w:rPr>
          <w:rFonts w:ascii="Times New Roman" w:eastAsia="Calibri" w:hAnsi="Times New Roman"/>
          <w:sz w:val="24"/>
          <w:szCs w:val="24"/>
        </w:rPr>
        <w:t>a</w:t>
      </w:r>
      <w:r w:rsidR="00D87052">
        <w:rPr>
          <w:rFonts w:ascii="Times New Roman" w:eastAsia="Calibri" w:hAnsi="Times New Roman"/>
          <w:sz w:val="24"/>
          <w:szCs w:val="24"/>
        </w:rPr>
        <w:t xml:space="preserve"> domácich výrobkov, ich odbyt</w:t>
      </w:r>
      <w:r w:rsidR="00D00A51">
        <w:rPr>
          <w:rFonts w:ascii="Times New Roman" w:eastAsia="Calibri" w:hAnsi="Times New Roman"/>
          <w:sz w:val="24"/>
          <w:szCs w:val="24"/>
        </w:rPr>
        <w:t>u</w:t>
      </w:r>
      <w:r w:rsidR="00D87052">
        <w:rPr>
          <w:rFonts w:ascii="Times New Roman" w:eastAsia="Calibri" w:hAnsi="Times New Roman"/>
          <w:sz w:val="24"/>
          <w:szCs w:val="24"/>
        </w:rPr>
        <w:t xml:space="preserve">, </w:t>
      </w:r>
      <w:r w:rsidR="00D00A51">
        <w:rPr>
          <w:rFonts w:ascii="Times New Roman" w:eastAsia="Calibri" w:hAnsi="Times New Roman"/>
          <w:sz w:val="24"/>
          <w:szCs w:val="24"/>
        </w:rPr>
        <w:t xml:space="preserve">vybudovaním </w:t>
      </w:r>
      <w:r w:rsidR="00D87052">
        <w:rPr>
          <w:rFonts w:ascii="Times New Roman" w:eastAsia="Calibri" w:hAnsi="Times New Roman"/>
          <w:sz w:val="24"/>
          <w:szCs w:val="24"/>
        </w:rPr>
        <w:t>systém</w:t>
      </w:r>
      <w:r w:rsidR="00D00A51">
        <w:rPr>
          <w:rFonts w:ascii="Times New Roman" w:eastAsia="Calibri" w:hAnsi="Times New Roman"/>
          <w:sz w:val="24"/>
          <w:szCs w:val="24"/>
        </w:rPr>
        <w:t>u</w:t>
      </w:r>
      <w:r w:rsidR="00D87052">
        <w:rPr>
          <w:rFonts w:ascii="Times New Roman" w:eastAsia="Calibri" w:hAnsi="Times New Roman"/>
          <w:sz w:val="24"/>
          <w:szCs w:val="24"/>
        </w:rPr>
        <w:t xml:space="preserve"> práce so spotrebiteľmi a ich </w:t>
      </w:r>
      <w:r w:rsidR="00D00A51">
        <w:rPr>
          <w:rFonts w:ascii="Times New Roman" w:eastAsia="Calibri" w:hAnsi="Times New Roman"/>
          <w:sz w:val="24"/>
          <w:szCs w:val="24"/>
        </w:rPr>
        <w:t>výchovou</w:t>
      </w:r>
      <w:r w:rsidR="00D87052">
        <w:rPr>
          <w:rFonts w:ascii="Times New Roman" w:eastAsia="Calibri" w:hAnsi="Times New Roman"/>
          <w:sz w:val="24"/>
          <w:szCs w:val="24"/>
        </w:rPr>
        <w:t xml:space="preserve"> so zameraním na zdravú výživu a kvalitné </w:t>
      </w:r>
      <w:r w:rsidR="00D00A51">
        <w:rPr>
          <w:rFonts w:ascii="Times New Roman" w:eastAsia="Calibri" w:hAnsi="Times New Roman"/>
          <w:sz w:val="24"/>
          <w:szCs w:val="24"/>
        </w:rPr>
        <w:t>domáce výrobky.</w:t>
      </w:r>
    </w:p>
    <w:p w:rsidR="001B2AAA" w:rsidRDefault="001B2AAA" w:rsidP="001B2AAA">
      <w:pPr>
        <w:spacing w:after="0" w:line="240" w:lineRule="auto"/>
        <w:jc w:val="both"/>
        <w:rPr>
          <w:rFonts w:ascii="Times New Roman" w:eastAsia="Calibri" w:hAnsi="Times New Roman"/>
          <w:sz w:val="24"/>
          <w:szCs w:val="24"/>
        </w:rPr>
      </w:pPr>
    </w:p>
    <w:p w:rsidR="001B2AAA" w:rsidRDefault="001B2AAA" w:rsidP="001B2AAA">
      <w:pPr>
        <w:spacing w:after="0" w:line="240" w:lineRule="auto"/>
        <w:jc w:val="both"/>
        <w:rPr>
          <w:rFonts w:ascii="Times New Roman" w:eastAsia="Calibri" w:hAnsi="Times New Roman"/>
          <w:sz w:val="24"/>
          <w:szCs w:val="24"/>
        </w:rPr>
      </w:pPr>
      <w:r>
        <w:rPr>
          <w:rFonts w:ascii="Times New Roman" w:eastAsia="Calibri" w:hAnsi="Times New Roman"/>
          <w:sz w:val="24"/>
          <w:szCs w:val="24"/>
        </w:rPr>
        <w:t>Tak ako bolo konštatované a preukázané v úvode, poľnohospodársky pôdny fond SR čelí dlhodobo úbytku jeho výmery v prospech urbanistickej zástavby a rozširovaniu intravilánov obcí a miest. Cieleným ukazovateľom koncepcie v tomto ohľade je zastavenie tohto úbytku a zastabilizovanie celkovej výmery všetkých typov pôd v rámci poľnohospodárskeho pôdneho fondu na súčasnej úrovni. Tento rozsah poľnohospodárskeho pôdneho fondu s ohľadom na zvýšenie intenzity jeho využívania zabezpečí naplnenie produkčných cieľov koncepcie a cielenej miery zvýšenia zamestnanosti v sektore pôdohospodárstva. Z pohľadu vyššej intenzity súčasného rozsahu poľnohospodárskych pôd predpokladáme zvyšovanie zberových pôd najmä u</w:t>
      </w:r>
      <w:r w:rsidR="003A44A0">
        <w:rPr>
          <w:rFonts w:ascii="Times New Roman" w:eastAsia="Calibri" w:hAnsi="Times New Roman"/>
          <w:sz w:val="24"/>
          <w:szCs w:val="24"/>
        </w:rPr>
        <w:t xml:space="preserve"> plodín </w:t>
      </w:r>
      <w:r>
        <w:rPr>
          <w:rFonts w:ascii="Times New Roman" w:eastAsia="Calibri" w:hAnsi="Times New Roman"/>
          <w:sz w:val="24"/>
          <w:szCs w:val="24"/>
        </w:rPr>
        <w:t>zemiaky</w:t>
      </w:r>
      <w:r w:rsidR="003A44A0">
        <w:rPr>
          <w:rFonts w:ascii="Times New Roman" w:eastAsia="Calibri" w:hAnsi="Times New Roman"/>
          <w:sz w:val="24"/>
          <w:szCs w:val="24"/>
        </w:rPr>
        <w:t xml:space="preserve"> a zelenina a zvýšenie intenzifikácie pestovania najmä u plodín zemiaky, zelenina a ovocie mierneho pásma. Čo sa týka ozelenenia, koncepcia nepredpokladá potrebu rozširovania zelených plôch na úkor poľnohospodárskej produkcie a má za to, že súčasný rozsah je dostatočný a spĺňa parametre stanovené v rámci spoločnej poľnohospodárskej politiky.</w:t>
      </w:r>
    </w:p>
    <w:p w:rsidR="001B2AAA" w:rsidRDefault="001B2AAA" w:rsidP="001B2AAA">
      <w:pPr>
        <w:spacing w:after="0" w:line="240" w:lineRule="auto"/>
        <w:jc w:val="both"/>
        <w:rPr>
          <w:rFonts w:ascii="Times New Roman" w:eastAsia="Calibri" w:hAnsi="Times New Roman"/>
          <w:sz w:val="24"/>
          <w:szCs w:val="24"/>
        </w:rPr>
      </w:pPr>
    </w:p>
    <w:p w:rsidR="000D3756" w:rsidRDefault="001B2AAA" w:rsidP="00812EB3">
      <w:pPr>
        <w:spacing w:after="0" w:line="240" w:lineRule="auto"/>
        <w:jc w:val="both"/>
        <w:rPr>
          <w:rFonts w:ascii="Times New Roman" w:eastAsia="Calibri" w:hAnsi="Times New Roman"/>
          <w:sz w:val="24"/>
          <w:szCs w:val="24"/>
        </w:rPr>
      </w:pPr>
      <w:r w:rsidRPr="001B2AAA">
        <w:rPr>
          <w:rFonts w:ascii="Times New Roman" w:eastAsia="Calibri" w:hAnsi="Times New Roman"/>
          <w:sz w:val="24"/>
          <w:szCs w:val="24"/>
        </w:rPr>
        <w:t xml:space="preserve">Z pohľadu zamestnanosti a rozvoja vidieka je výsledkom nekoncepčného postoja k  ďalšiemu rozvoju pôdohospodárstva rapídny prepad celkovej zamestnanosti, v porovnaní s obdobím začiatku transformačného procesu v našej ekonomike, a to agregátne až o cca 80 %. </w:t>
      </w:r>
      <w:r w:rsidR="003A44A0">
        <w:rPr>
          <w:rFonts w:ascii="Times New Roman" w:eastAsia="Calibri" w:hAnsi="Times New Roman"/>
          <w:sz w:val="24"/>
          <w:szCs w:val="24"/>
        </w:rPr>
        <w:t xml:space="preserve">Koncepcia predpokladá, že realizáciou opatrení na zvýšenie produkčných ukazovateľov rastlinnej a živočíšnej výroby </w:t>
      </w:r>
      <w:r w:rsidR="000D3756">
        <w:rPr>
          <w:rFonts w:ascii="Times New Roman" w:eastAsia="Calibri" w:hAnsi="Times New Roman"/>
          <w:sz w:val="24"/>
          <w:szCs w:val="24"/>
        </w:rPr>
        <w:t xml:space="preserve">a na obnovu funkcií lesa </w:t>
      </w:r>
      <w:r w:rsidR="003A44A0">
        <w:rPr>
          <w:rFonts w:ascii="Times New Roman" w:eastAsia="Calibri" w:hAnsi="Times New Roman"/>
          <w:sz w:val="24"/>
          <w:szCs w:val="24"/>
        </w:rPr>
        <w:t xml:space="preserve">dôjde k zvýšeniu zamestnanosti v poľnohospodárstve, potravinárstve a lesníctve kumulatívne o 18 674 </w:t>
      </w:r>
      <w:r w:rsidR="000D3756">
        <w:rPr>
          <w:rFonts w:ascii="Times New Roman" w:eastAsia="Calibri" w:hAnsi="Times New Roman"/>
          <w:sz w:val="24"/>
          <w:szCs w:val="24"/>
        </w:rPr>
        <w:t xml:space="preserve">pracovných miest (do celkového počtu nárastu pracovných miest je vypočítaný aj nárast zamestnanosti z dôvodu zvýšenia početnosti hydiny v roku 2012). Pracovné miesta vytvorené v lesníctve sú aktuálne po dobu realizácie projektov (2014 – 2017). </w:t>
      </w:r>
      <w:r w:rsidR="00812EB3" w:rsidRPr="00812EB3">
        <w:rPr>
          <w:rFonts w:ascii="Times New Roman" w:eastAsia="Calibri" w:hAnsi="Times New Roman"/>
          <w:sz w:val="24"/>
          <w:szCs w:val="24"/>
        </w:rPr>
        <w:t xml:space="preserve">Rast zamestnanosti </w:t>
      </w:r>
      <w:r w:rsidR="00812EB3">
        <w:rPr>
          <w:rFonts w:ascii="Times New Roman" w:eastAsia="Calibri" w:hAnsi="Times New Roman"/>
          <w:sz w:val="24"/>
          <w:szCs w:val="24"/>
        </w:rPr>
        <w:t xml:space="preserve">v ostatných oblastiach </w:t>
      </w:r>
      <w:r w:rsidR="00812EB3" w:rsidRPr="00812EB3">
        <w:rPr>
          <w:rFonts w:ascii="Times New Roman" w:eastAsia="Calibri" w:hAnsi="Times New Roman"/>
          <w:sz w:val="24"/>
          <w:szCs w:val="24"/>
        </w:rPr>
        <w:t xml:space="preserve">pokladáme za pozitívny efekt zlepšujúcich sa produkčných ukazovateľov poľnohospodárskej </w:t>
      </w:r>
      <w:r w:rsidR="00812EB3">
        <w:rPr>
          <w:rFonts w:ascii="Times New Roman" w:eastAsia="Calibri" w:hAnsi="Times New Roman"/>
          <w:sz w:val="24"/>
          <w:szCs w:val="24"/>
        </w:rPr>
        <w:t>prvo</w:t>
      </w:r>
      <w:r w:rsidR="00812EB3" w:rsidRPr="00812EB3">
        <w:rPr>
          <w:rFonts w:ascii="Times New Roman" w:eastAsia="Calibri" w:hAnsi="Times New Roman"/>
          <w:sz w:val="24"/>
          <w:szCs w:val="24"/>
        </w:rPr>
        <w:t>výroby</w:t>
      </w:r>
      <w:r w:rsidR="00812EB3">
        <w:rPr>
          <w:rFonts w:ascii="Times New Roman" w:eastAsia="Calibri" w:hAnsi="Times New Roman"/>
          <w:sz w:val="24"/>
          <w:szCs w:val="24"/>
        </w:rPr>
        <w:t xml:space="preserve"> a spracovateľského priemyslu.</w:t>
      </w:r>
      <w:r w:rsidR="00812EB3" w:rsidRPr="00812EB3">
        <w:rPr>
          <w:rFonts w:ascii="Times New Roman" w:eastAsia="Calibri" w:hAnsi="Times New Roman"/>
          <w:sz w:val="24"/>
          <w:szCs w:val="24"/>
        </w:rPr>
        <w:t xml:space="preserve"> </w:t>
      </w:r>
      <w:r w:rsidR="00812EB3">
        <w:rPr>
          <w:rFonts w:ascii="Times New Roman" w:eastAsia="Calibri" w:hAnsi="Times New Roman"/>
          <w:sz w:val="24"/>
          <w:szCs w:val="24"/>
        </w:rPr>
        <w:t xml:space="preserve">Máme za to, že rast celkovej zamestnanosti v pôdohospodárstve bude najviac ovplyvnený relatívnou protichodnosťou cieľov v oblasti jednotlivých sektorov pôdohospodárstva. Na jednej strane požadujeme rast produkčných </w:t>
      </w:r>
      <w:r w:rsidR="00812EB3">
        <w:rPr>
          <w:rFonts w:ascii="Times New Roman" w:eastAsia="Calibri" w:hAnsi="Times New Roman"/>
          <w:sz w:val="24"/>
          <w:szCs w:val="24"/>
        </w:rPr>
        <w:lastRenderedPageBreak/>
        <w:t xml:space="preserve">ukazovateľov, ktorých hlavným parametrom je rast produktivity práce, na strane druhej požadujeme rast zamestnanosti. Je teda zrejmé, že projektovaný nárast zamestnanosti reprezentuje prírastok produkčných parametrov, ktorý nie je možné vykryť rastom produktivity práce. </w:t>
      </w:r>
    </w:p>
    <w:p w:rsidR="00812EB3" w:rsidRPr="00812EB3" w:rsidRDefault="00812EB3" w:rsidP="00812EB3">
      <w:pPr>
        <w:spacing w:after="0" w:line="240" w:lineRule="auto"/>
        <w:jc w:val="both"/>
        <w:rPr>
          <w:rFonts w:ascii="Times New Roman" w:eastAsia="Calibri" w:hAnsi="Times New Roman"/>
          <w:sz w:val="24"/>
          <w:szCs w:val="24"/>
        </w:rPr>
      </w:pPr>
    </w:p>
    <w:p w:rsidR="000D3756" w:rsidRPr="000D3756" w:rsidRDefault="00C970F8" w:rsidP="000D37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Graf č. 78</w:t>
      </w:r>
      <w:r w:rsidR="000D3756" w:rsidRPr="00155936">
        <w:rPr>
          <w:rFonts w:ascii="Times New Roman" w:hAnsi="Times New Roman" w:cs="Times New Roman"/>
          <w:sz w:val="20"/>
          <w:szCs w:val="20"/>
        </w:rPr>
        <w:t>:</w:t>
      </w:r>
      <w:r w:rsidR="000D3756">
        <w:rPr>
          <w:rFonts w:ascii="Times New Roman" w:hAnsi="Times New Roman" w:cs="Times New Roman"/>
          <w:sz w:val="20"/>
          <w:szCs w:val="20"/>
        </w:rPr>
        <w:t xml:space="preserve"> Prognózovaný medziročný nárast zamestnanosti v pôdohospodárstve</w:t>
      </w:r>
    </w:p>
    <w:p w:rsidR="000D3756" w:rsidRDefault="000D3756" w:rsidP="001B2AAA">
      <w:pPr>
        <w:jc w:val="both"/>
      </w:pPr>
      <w:r>
        <w:rPr>
          <w:noProof/>
        </w:rPr>
        <w:drawing>
          <wp:inline distT="0" distB="0" distL="0" distR="0" wp14:anchorId="1486F02B" wp14:editId="17B85147">
            <wp:extent cx="5757062" cy="1623975"/>
            <wp:effectExtent l="0" t="0" r="0" b="0"/>
            <wp:docPr id="290" name="Graf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0D3756" w:rsidRPr="000D3756" w:rsidRDefault="000D3756" w:rsidP="000D375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Zdroj: o</w:t>
      </w:r>
      <w:r w:rsidRPr="000D3756">
        <w:rPr>
          <w:rFonts w:ascii="Times New Roman" w:hAnsi="Times New Roman" w:cs="Times New Roman"/>
          <w:sz w:val="20"/>
          <w:szCs w:val="20"/>
        </w:rPr>
        <w:t>dhad MPRV SR</w:t>
      </w:r>
    </w:p>
    <w:p w:rsidR="00812EB3" w:rsidRDefault="00812EB3" w:rsidP="000D3756">
      <w:pPr>
        <w:spacing w:after="0" w:line="240" w:lineRule="auto"/>
        <w:jc w:val="both"/>
      </w:pPr>
    </w:p>
    <w:p w:rsidR="000D3756" w:rsidRDefault="000D3756" w:rsidP="000D3756">
      <w:pPr>
        <w:spacing w:after="0" w:line="240" w:lineRule="auto"/>
        <w:jc w:val="both"/>
        <w:rPr>
          <w:rFonts w:ascii="Times New Roman" w:eastAsia="Calibri" w:hAnsi="Times New Roman"/>
          <w:sz w:val="24"/>
          <w:szCs w:val="24"/>
        </w:rPr>
      </w:pPr>
      <w:r w:rsidRPr="000D3756">
        <w:rPr>
          <w:rFonts w:ascii="Times New Roman" w:eastAsia="Calibri" w:hAnsi="Times New Roman"/>
          <w:sz w:val="24"/>
          <w:szCs w:val="24"/>
        </w:rPr>
        <w:t>Z pohľadu kapitálovej vybavenosti</w:t>
      </w:r>
      <w:r w:rsidR="00812EB3">
        <w:rPr>
          <w:rFonts w:ascii="Times New Roman" w:eastAsia="Calibri" w:hAnsi="Times New Roman"/>
          <w:sz w:val="24"/>
          <w:szCs w:val="24"/>
        </w:rPr>
        <w:t xml:space="preserve"> poľnohospodárskych subjektov </w:t>
      </w:r>
      <w:r w:rsidR="006F3B92">
        <w:rPr>
          <w:rFonts w:ascii="Times New Roman" w:eastAsia="Calibri" w:hAnsi="Times New Roman"/>
          <w:sz w:val="24"/>
          <w:szCs w:val="24"/>
        </w:rPr>
        <w:t>si koncepcia dáva za cieľ zmeniť súčasný stav, kedy v</w:t>
      </w:r>
      <w:r w:rsidR="006F3B92" w:rsidRPr="000D3756">
        <w:rPr>
          <w:rFonts w:ascii="Times New Roman" w:eastAsia="Calibri" w:hAnsi="Times New Roman"/>
          <w:sz w:val="24"/>
          <w:szCs w:val="24"/>
        </w:rPr>
        <w:t xml:space="preserve">ysoká koncentrácia poľnohospodárskej výroby vedie v podmienkach Slovenska ku kumulácii vyše </w:t>
      </w:r>
      <w:r w:rsidR="00007A00">
        <w:rPr>
          <w:rFonts w:ascii="Times New Roman" w:eastAsia="Calibri" w:hAnsi="Times New Roman"/>
          <w:sz w:val="24"/>
          <w:szCs w:val="24"/>
        </w:rPr>
        <w:t>väčšiny</w:t>
      </w:r>
      <w:r w:rsidR="006F3B92" w:rsidRPr="000D3756">
        <w:rPr>
          <w:rFonts w:ascii="Times New Roman" w:eastAsia="Calibri" w:hAnsi="Times New Roman"/>
          <w:sz w:val="24"/>
          <w:szCs w:val="24"/>
        </w:rPr>
        <w:t xml:space="preserve"> dotačných peňazí </w:t>
      </w:r>
      <w:r w:rsidR="00007A00">
        <w:rPr>
          <w:rFonts w:ascii="Times New Roman" w:eastAsia="Calibri" w:hAnsi="Times New Roman"/>
          <w:sz w:val="24"/>
          <w:szCs w:val="24"/>
        </w:rPr>
        <w:t xml:space="preserve">EÚ </w:t>
      </w:r>
      <w:r w:rsidR="006F3B92" w:rsidRPr="000D3756">
        <w:rPr>
          <w:rFonts w:ascii="Times New Roman" w:eastAsia="Calibri" w:hAnsi="Times New Roman"/>
          <w:sz w:val="24"/>
          <w:szCs w:val="24"/>
        </w:rPr>
        <w:t xml:space="preserve">do rúk </w:t>
      </w:r>
      <w:r w:rsidR="00007A00">
        <w:rPr>
          <w:rFonts w:ascii="Times New Roman" w:eastAsia="Calibri" w:hAnsi="Times New Roman"/>
          <w:sz w:val="24"/>
          <w:szCs w:val="24"/>
        </w:rPr>
        <w:t>výraznej menšiny</w:t>
      </w:r>
      <w:r w:rsidR="006F3B92" w:rsidRPr="000D3756">
        <w:rPr>
          <w:rFonts w:ascii="Times New Roman" w:eastAsia="Calibri" w:hAnsi="Times New Roman"/>
          <w:sz w:val="24"/>
          <w:szCs w:val="24"/>
        </w:rPr>
        <w:t xml:space="preserve"> žiadateľov o</w:t>
      </w:r>
      <w:r w:rsidR="006F3B92">
        <w:rPr>
          <w:rFonts w:ascii="Times New Roman" w:eastAsia="Calibri" w:hAnsi="Times New Roman"/>
          <w:sz w:val="24"/>
          <w:szCs w:val="24"/>
        </w:rPr>
        <w:t> </w:t>
      </w:r>
      <w:r w:rsidR="006F3B92" w:rsidRPr="000D3756">
        <w:rPr>
          <w:rFonts w:ascii="Times New Roman" w:eastAsia="Calibri" w:hAnsi="Times New Roman"/>
          <w:sz w:val="24"/>
          <w:szCs w:val="24"/>
        </w:rPr>
        <w:t>ne</w:t>
      </w:r>
      <w:r w:rsidR="006F3B92">
        <w:rPr>
          <w:rFonts w:ascii="Times New Roman" w:eastAsia="Calibri" w:hAnsi="Times New Roman"/>
          <w:sz w:val="24"/>
          <w:szCs w:val="24"/>
        </w:rPr>
        <w:t xml:space="preserve">. Nástrojom na túto zmenu bude prechod spôsobu vyplácania priamych platieb v rámci I. piliera spoločnej poľnohospodárskej politiky na </w:t>
      </w:r>
      <w:r w:rsidR="003702F6">
        <w:rPr>
          <w:rFonts w:ascii="Times New Roman" w:eastAsia="Calibri" w:hAnsi="Times New Roman"/>
          <w:sz w:val="24"/>
          <w:szCs w:val="24"/>
        </w:rPr>
        <w:t>formu modifikovaného záslužného systému priamych platieb s dobrovoľne viazanou podporou</w:t>
      </w:r>
      <w:r w:rsidR="006F3B92">
        <w:rPr>
          <w:rFonts w:ascii="Times New Roman" w:eastAsia="Calibri" w:hAnsi="Times New Roman"/>
          <w:sz w:val="24"/>
          <w:szCs w:val="24"/>
        </w:rPr>
        <w:t xml:space="preserve">. </w:t>
      </w:r>
      <w:r w:rsidR="00DF6DE9">
        <w:rPr>
          <w:rFonts w:ascii="Times New Roman" w:eastAsia="Calibri" w:hAnsi="Times New Roman"/>
          <w:sz w:val="24"/>
          <w:szCs w:val="24"/>
        </w:rPr>
        <w:t>Zároveň, pri prideľovaní dotačných peňazí, bude jedným z hlavných kritérií výkonnosť poľnohospodárskych subjektov</w:t>
      </w:r>
      <w:r w:rsidR="00F20D4A">
        <w:rPr>
          <w:rFonts w:ascii="Times New Roman" w:eastAsia="Calibri" w:hAnsi="Times New Roman"/>
          <w:sz w:val="24"/>
          <w:szCs w:val="24"/>
        </w:rPr>
        <w:t xml:space="preserve"> a hospodárenie v závislosti od prírodných podmienok</w:t>
      </w:r>
      <w:r w:rsidR="00DF6DE9">
        <w:rPr>
          <w:rFonts w:ascii="Times New Roman" w:eastAsia="Calibri" w:hAnsi="Times New Roman"/>
          <w:sz w:val="24"/>
          <w:szCs w:val="24"/>
        </w:rPr>
        <w:t xml:space="preserve">. </w:t>
      </w:r>
      <w:r w:rsidR="006F3B92">
        <w:rPr>
          <w:rFonts w:ascii="Times New Roman" w:eastAsia="Calibri" w:hAnsi="Times New Roman"/>
          <w:sz w:val="24"/>
          <w:szCs w:val="24"/>
        </w:rPr>
        <w:t xml:space="preserve">Celkové zabezpečenie kapitálovej vybavenosti </w:t>
      </w:r>
      <w:r w:rsidR="00E752A9">
        <w:rPr>
          <w:rFonts w:ascii="Times New Roman" w:eastAsia="Calibri" w:hAnsi="Times New Roman"/>
          <w:sz w:val="24"/>
          <w:szCs w:val="24"/>
        </w:rPr>
        <w:t xml:space="preserve">sektoru pôdohospodárstva </w:t>
      </w:r>
      <w:r w:rsidR="006F3B92">
        <w:rPr>
          <w:rFonts w:ascii="Times New Roman" w:eastAsia="Calibri" w:hAnsi="Times New Roman"/>
          <w:sz w:val="24"/>
          <w:szCs w:val="24"/>
        </w:rPr>
        <w:t xml:space="preserve">z pohľadu fondových prostriedkov EÚ a štátneho rozpočtu </w:t>
      </w:r>
      <w:r w:rsidR="00E752A9">
        <w:rPr>
          <w:rFonts w:ascii="Times New Roman" w:eastAsia="Calibri" w:hAnsi="Times New Roman"/>
          <w:sz w:val="24"/>
          <w:szCs w:val="24"/>
        </w:rPr>
        <w:t>predpokladáme</w:t>
      </w:r>
      <w:r w:rsidR="006F3B92">
        <w:rPr>
          <w:rFonts w:ascii="Times New Roman" w:eastAsia="Calibri" w:hAnsi="Times New Roman"/>
          <w:sz w:val="24"/>
          <w:szCs w:val="24"/>
        </w:rPr>
        <w:t xml:space="preserve"> v takejto štruktúre:</w:t>
      </w:r>
    </w:p>
    <w:p w:rsidR="006F3B92" w:rsidRDefault="006F3B92" w:rsidP="000D3756">
      <w:pPr>
        <w:spacing w:after="0" w:line="240" w:lineRule="auto"/>
        <w:jc w:val="both"/>
        <w:rPr>
          <w:rFonts w:ascii="Times New Roman" w:eastAsia="Calibri" w:hAnsi="Times New Roman"/>
          <w:sz w:val="24"/>
          <w:szCs w:val="24"/>
        </w:rPr>
      </w:pPr>
    </w:p>
    <w:tbl>
      <w:tblPr>
        <w:tblW w:w="6900" w:type="dxa"/>
        <w:jc w:val="center"/>
        <w:tblInd w:w="55" w:type="dxa"/>
        <w:tblCellMar>
          <w:left w:w="70" w:type="dxa"/>
          <w:right w:w="70" w:type="dxa"/>
        </w:tblCellMar>
        <w:tblLook w:val="04A0" w:firstRow="1" w:lastRow="0" w:firstColumn="1" w:lastColumn="0" w:noHBand="0" w:noVBand="1"/>
      </w:tblPr>
      <w:tblGrid>
        <w:gridCol w:w="4500"/>
        <w:gridCol w:w="2400"/>
      </w:tblGrid>
      <w:tr w:rsidR="00E752A9" w:rsidRPr="00E752A9" w:rsidTr="00C872E0">
        <w:trPr>
          <w:trHeight w:val="330"/>
          <w:jc w:val="center"/>
        </w:trPr>
        <w:tc>
          <w:tcPr>
            <w:tcW w:w="4500" w:type="dxa"/>
            <w:tcBorders>
              <w:top w:val="single" w:sz="4" w:space="0" w:color="auto"/>
              <w:left w:val="nil"/>
              <w:bottom w:val="nil"/>
              <w:right w:val="nil"/>
            </w:tcBorders>
            <w:shd w:val="clear" w:color="auto" w:fill="F2F2F2" w:themeFill="background1" w:themeFillShade="F2"/>
            <w:noWrap/>
            <w:vAlign w:val="bottom"/>
            <w:hideMark/>
          </w:tcPr>
          <w:p w:rsidR="00E752A9" w:rsidRPr="00E752A9" w:rsidRDefault="00E752A9" w:rsidP="00E752A9">
            <w:pPr>
              <w:spacing w:after="0" w:line="240" w:lineRule="auto"/>
              <w:rPr>
                <w:rFonts w:ascii="Times New Roman" w:eastAsia="Times New Roman" w:hAnsi="Times New Roman" w:cs="Times New Roman"/>
                <w:b/>
                <w:color w:val="000000"/>
                <w:sz w:val="24"/>
                <w:szCs w:val="24"/>
              </w:rPr>
            </w:pPr>
            <w:r w:rsidRPr="00E752A9">
              <w:rPr>
                <w:rFonts w:ascii="Times New Roman" w:eastAsia="Times New Roman" w:hAnsi="Times New Roman" w:cs="Times New Roman"/>
                <w:b/>
                <w:color w:val="000000"/>
                <w:sz w:val="24"/>
                <w:szCs w:val="24"/>
              </w:rPr>
              <w:t>Priame platby</w:t>
            </w:r>
            <w:r w:rsidR="004677C5">
              <w:rPr>
                <w:rFonts w:ascii="Times New Roman" w:eastAsia="Times New Roman" w:hAnsi="Times New Roman" w:cs="Times New Roman"/>
                <w:b/>
                <w:color w:val="000000"/>
                <w:sz w:val="24"/>
                <w:szCs w:val="24"/>
              </w:rPr>
              <w:t xml:space="preserve"> 2014 - 2020</w:t>
            </w:r>
          </w:p>
        </w:tc>
        <w:tc>
          <w:tcPr>
            <w:tcW w:w="2400" w:type="dxa"/>
            <w:tcBorders>
              <w:top w:val="single" w:sz="4" w:space="0" w:color="auto"/>
              <w:left w:val="nil"/>
              <w:bottom w:val="nil"/>
              <w:right w:val="nil"/>
            </w:tcBorders>
            <w:shd w:val="clear" w:color="auto" w:fill="F2F2F2" w:themeFill="background1" w:themeFillShade="F2"/>
            <w:noWrap/>
            <w:vAlign w:val="bottom"/>
            <w:hideMark/>
          </w:tcPr>
          <w:p w:rsidR="00E752A9" w:rsidRPr="00E752A9" w:rsidRDefault="00E752A9" w:rsidP="0078595B">
            <w:pPr>
              <w:spacing w:after="0" w:line="240" w:lineRule="auto"/>
              <w:jc w:val="right"/>
              <w:rPr>
                <w:rFonts w:ascii="Times New Roman" w:eastAsia="Times New Roman" w:hAnsi="Times New Roman" w:cs="Times New Roman"/>
                <w:color w:val="000000"/>
                <w:sz w:val="24"/>
                <w:szCs w:val="24"/>
              </w:rPr>
            </w:pPr>
            <w:r w:rsidRPr="00E752A9">
              <w:rPr>
                <w:rFonts w:ascii="Times New Roman" w:eastAsia="Times New Roman" w:hAnsi="Times New Roman" w:cs="Times New Roman"/>
                <w:color w:val="000000"/>
                <w:sz w:val="24"/>
                <w:szCs w:val="24"/>
              </w:rPr>
              <w:t xml:space="preserve">3 </w:t>
            </w:r>
            <w:r w:rsidR="0078595B">
              <w:rPr>
                <w:rFonts w:ascii="Times New Roman" w:eastAsia="Times New Roman" w:hAnsi="Times New Roman" w:cs="Times New Roman"/>
                <w:color w:val="000000"/>
                <w:sz w:val="24"/>
                <w:szCs w:val="24"/>
              </w:rPr>
              <w:t>186 061 286</w:t>
            </w:r>
            <w:r w:rsidRPr="00E752A9">
              <w:rPr>
                <w:rFonts w:ascii="Times New Roman" w:eastAsia="Times New Roman" w:hAnsi="Times New Roman" w:cs="Times New Roman"/>
                <w:color w:val="000000"/>
                <w:sz w:val="24"/>
                <w:szCs w:val="24"/>
              </w:rPr>
              <w:t xml:space="preserve"> EUR</w:t>
            </w:r>
          </w:p>
        </w:tc>
      </w:tr>
      <w:tr w:rsidR="00E752A9" w:rsidRPr="00E752A9" w:rsidTr="00C872E0">
        <w:trPr>
          <w:trHeight w:val="315"/>
          <w:jc w:val="center"/>
        </w:trPr>
        <w:tc>
          <w:tcPr>
            <w:tcW w:w="4500" w:type="dxa"/>
            <w:tcBorders>
              <w:top w:val="nil"/>
              <w:left w:val="nil"/>
              <w:bottom w:val="nil"/>
              <w:right w:val="nil"/>
            </w:tcBorders>
            <w:shd w:val="clear" w:color="auto" w:fill="auto"/>
            <w:noWrap/>
            <w:vAlign w:val="bottom"/>
            <w:hideMark/>
          </w:tcPr>
          <w:p w:rsidR="00E752A9" w:rsidRPr="00E752A9" w:rsidRDefault="00E752A9" w:rsidP="00E752A9">
            <w:pPr>
              <w:spacing w:after="0" w:line="240" w:lineRule="auto"/>
              <w:rPr>
                <w:rFonts w:ascii="Times New Roman" w:eastAsia="Times New Roman" w:hAnsi="Times New Roman" w:cs="Times New Roman"/>
                <w:b/>
                <w:color w:val="000000"/>
                <w:sz w:val="24"/>
                <w:szCs w:val="24"/>
              </w:rPr>
            </w:pPr>
            <w:r w:rsidRPr="00E752A9">
              <w:rPr>
                <w:rFonts w:ascii="Times New Roman" w:eastAsia="Times New Roman" w:hAnsi="Times New Roman" w:cs="Times New Roman"/>
                <w:b/>
                <w:color w:val="000000"/>
                <w:sz w:val="24"/>
                <w:szCs w:val="24"/>
              </w:rPr>
              <w:t>PRV 2014 - 2020</w:t>
            </w:r>
          </w:p>
        </w:tc>
        <w:tc>
          <w:tcPr>
            <w:tcW w:w="2400" w:type="dxa"/>
            <w:tcBorders>
              <w:top w:val="nil"/>
              <w:left w:val="nil"/>
              <w:bottom w:val="nil"/>
              <w:right w:val="nil"/>
            </w:tcBorders>
            <w:shd w:val="clear" w:color="auto" w:fill="auto"/>
            <w:noWrap/>
            <w:vAlign w:val="bottom"/>
            <w:hideMark/>
          </w:tcPr>
          <w:p w:rsidR="00E752A9" w:rsidRPr="00E752A9" w:rsidRDefault="0078595B" w:rsidP="00E752A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1 474 785 714</w:t>
            </w:r>
            <w:r w:rsidR="00E752A9" w:rsidRPr="00E752A9">
              <w:rPr>
                <w:rFonts w:ascii="Times New Roman" w:eastAsia="Times New Roman" w:hAnsi="Times New Roman" w:cs="Times New Roman"/>
                <w:color w:val="000000"/>
                <w:sz w:val="24"/>
                <w:szCs w:val="24"/>
              </w:rPr>
              <w:t xml:space="preserve"> EUR</w:t>
            </w:r>
          </w:p>
        </w:tc>
      </w:tr>
      <w:tr w:rsidR="00E752A9" w:rsidRPr="00E752A9" w:rsidTr="00C872E0">
        <w:trPr>
          <w:trHeight w:val="315"/>
          <w:jc w:val="center"/>
        </w:trPr>
        <w:tc>
          <w:tcPr>
            <w:tcW w:w="4500" w:type="dxa"/>
            <w:tcBorders>
              <w:top w:val="nil"/>
              <w:left w:val="nil"/>
              <w:right w:val="nil"/>
            </w:tcBorders>
            <w:shd w:val="clear" w:color="auto" w:fill="F2F2F2" w:themeFill="background1" w:themeFillShade="F2"/>
            <w:noWrap/>
            <w:vAlign w:val="bottom"/>
            <w:hideMark/>
          </w:tcPr>
          <w:p w:rsidR="00E752A9" w:rsidRPr="00E752A9" w:rsidRDefault="00E752A9" w:rsidP="00E752A9">
            <w:pPr>
              <w:spacing w:after="0" w:line="240" w:lineRule="auto"/>
              <w:rPr>
                <w:rFonts w:ascii="Times New Roman" w:eastAsia="Times New Roman" w:hAnsi="Times New Roman" w:cs="Times New Roman"/>
                <w:color w:val="000000"/>
                <w:sz w:val="24"/>
                <w:szCs w:val="24"/>
              </w:rPr>
            </w:pPr>
            <w:r w:rsidRPr="00E752A9">
              <w:rPr>
                <w:rFonts w:ascii="Times New Roman" w:eastAsia="Times New Roman" w:hAnsi="Times New Roman" w:cs="Times New Roman"/>
                <w:color w:val="000000"/>
                <w:sz w:val="24"/>
                <w:szCs w:val="24"/>
              </w:rPr>
              <w:t xml:space="preserve">    z toho projektové podpory</w:t>
            </w:r>
          </w:p>
        </w:tc>
        <w:tc>
          <w:tcPr>
            <w:tcW w:w="2400" w:type="dxa"/>
            <w:tcBorders>
              <w:top w:val="nil"/>
              <w:left w:val="nil"/>
              <w:right w:val="nil"/>
            </w:tcBorders>
            <w:shd w:val="clear" w:color="auto" w:fill="F2F2F2" w:themeFill="background1" w:themeFillShade="F2"/>
            <w:noWrap/>
            <w:vAlign w:val="bottom"/>
            <w:hideMark/>
          </w:tcPr>
          <w:p w:rsidR="00E752A9" w:rsidRPr="00E752A9" w:rsidRDefault="00AC2345" w:rsidP="00E752A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318 </w:t>
            </w:r>
            <w:r w:rsidR="00E752A9" w:rsidRPr="00E752A9">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52</w:t>
            </w:r>
            <w:r w:rsidR="00E752A9" w:rsidRPr="00E752A9">
              <w:rPr>
                <w:rFonts w:ascii="Times New Roman" w:eastAsia="Times New Roman" w:hAnsi="Times New Roman" w:cs="Times New Roman"/>
                <w:color w:val="000000"/>
                <w:sz w:val="24"/>
                <w:szCs w:val="24"/>
              </w:rPr>
              <w:t xml:space="preserve"> 000 EUR</w:t>
            </w:r>
          </w:p>
        </w:tc>
      </w:tr>
      <w:tr w:rsidR="00E752A9" w:rsidRPr="00E752A9" w:rsidTr="00C872E0">
        <w:trPr>
          <w:trHeight w:val="315"/>
          <w:jc w:val="center"/>
        </w:trPr>
        <w:tc>
          <w:tcPr>
            <w:tcW w:w="4500" w:type="dxa"/>
            <w:tcBorders>
              <w:top w:val="nil"/>
              <w:left w:val="nil"/>
              <w:bottom w:val="single" w:sz="4" w:space="0" w:color="auto"/>
              <w:right w:val="nil"/>
            </w:tcBorders>
            <w:shd w:val="clear" w:color="auto" w:fill="auto"/>
            <w:noWrap/>
            <w:vAlign w:val="bottom"/>
            <w:hideMark/>
          </w:tcPr>
          <w:p w:rsidR="00E752A9" w:rsidRPr="00E752A9" w:rsidRDefault="00C872E0" w:rsidP="00E752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Projektové podpory zo štátneho rozpočtu</w:t>
            </w:r>
          </w:p>
        </w:tc>
        <w:tc>
          <w:tcPr>
            <w:tcW w:w="2400" w:type="dxa"/>
            <w:tcBorders>
              <w:top w:val="nil"/>
              <w:left w:val="nil"/>
              <w:bottom w:val="single" w:sz="4" w:space="0" w:color="auto"/>
              <w:right w:val="nil"/>
            </w:tcBorders>
            <w:shd w:val="clear" w:color="auto" w:fill="auto"/>
            <w:noWrap/>
            <w:vAlign w:val="bottom"/>
            <w:hideMark/>
          </w:tcPr>
          <w:p w:rsidR="00E752A9" w:rsidRPr="00E752A9" w:rsidRDefault="00E752A9" w:rsidP="00E752A9">
            <w:pPr>
              <w:spacing w:after="0" w:line="240" w:lineRule="auto"/>
              <w:jc w:val="right"/>
              <w:rPr>
                <w:rFonts w:ascii="Times New Roman" w:eastAsia="Times New Roman" w:hAnsi="Times New Roman" w:cs="Times New Roman"/>
                <w:color w:val="000000"/>
                <w:sz w:val="24"/>
                <w:szCs w:val="24"/>
              </w:rPr>
            </w:pPr>
            <w:r w:rsidRPr="00E752A9">
              <w:rPr>
                <w:rFonts w:ascii="Times New Roman" w:eastAsia="Times New Roman" w:hAnsi="Times New Roman" w:cs="Times New Roman"/>
                <w:color w:val="000000"/>
                <w:sz w:val="24"/>
                <w:szCs w:val="24"/>
              </w:rPr>
              <w:t>13 420 000 EUR</w:t>
            </w:r>
          </w:p>
        </w:tc>
      </w:tr>
    </w:tbl>
    <w:p w:rsidR="0078595B" w:rsidRDefault="0078595B" w:rsidP="000D3756">
      <w:pPr>
        <w:spacing w:after="0" w:line="240" w:lineRule="auto"/>
        <w:jc w:val="both"/>
        <w:rPr>
          <w:rFonts w:ascii="Times New Roman" w:eastAsia="Calibri" w:hAnsi="Times New Roman"/>
          <w:sz w:val="24"/>
          <w:szCs w:val="24"/>
        </w:rPr>
      </w:pPr>
    </w:p>
    <w:p w:rsidR="006F3B92" w:rsidRDefault="00E752A9" w:rsidP="000D3756">
      <w:pPr>
        <w:spacing w:after="0" w:line="240" w:lineRule="auto"/>
        <w:jc w:val="both"/>
        <w:rPr>
          <w:rFonts w:ascii="Times New Roman" w:eastAsia="Calibri" w:hAnsi="Times New Roman"/>
          <w:sz w:val="24"/>
          <w:szCs w:val="24"/>
        </w:rPr>
      </w:pPr>
      <w:r w:rsidRPr="00E752A9">
        <w:rPr>
          <w:rFonts w:ascii="Times New Roman" w:eastAsia="Calibri" w:hAnsi="Times New Roman"/>
          <w:sz w:val="24"/>
          <w:szCs w:val="24"/>
        </w:rPr>
        <w:t>V novom  programovom období 2014</w:t>
      </w:r>
      <w:r w:rsidR="004677C5">
        <w:rPr>
          <w:rFonts w:ascii="Times New Roman" w:eastAsia="Calibri" w:hAnsi="Times New Roman"/>
          <w:sz w:val="24"/>
          <w:szCs w:val="24"/>
        </w:rPr>
        <w:t xml:space="preserve"> – </w:t>
      </w:r>
      <w:r w:rsidRPr="00E752A9">
        <w:rPr>
          <w:rFonts w:ascii="Times New Roman" w:eastAsia="Calibri" w:hAnsi="Times New Roman"/>
          <w:sz w:val="24"/>
          <w:szCs w:val="24"/>
        </w:rPr>
        <w:t>2020 sa predpokladá</w:t>
      </w:r>
      <w:r>
        <w:rPr>
          <w:rFonts w:ascii="Times New Roman" w:eastAsia="Calibri" w:hAnsi="Times New Roman"/>
          <w:sz w:val="24"/>
          <w:szCs w:val="24"/>
        </w:rPr>
        <w:t>, v porovnaní rokov</w:t>
      </w:r>
      <w:r w:rsidRPr="00E752A9">
        <w:rPr>
          <w:rFonts w:ascii="Times New Roman" w:eastAsia="Calibri" w:hAnsi="Times New Roman"/>
          <w:sz w:val="24"/>
          <w:szCs w:val="24"/>
        </w:rPr>
        <w:t xml:space="preserve"> 2013 a</w:t>
      </w:r>
      <w:r>
        <w:rPr>
          <w:rFonts w:ascii="Times New Roman" w:eastAsia="Calibri" w:hAnsi="Times New Roman"/>
          <w:sz w:val="24"/>
          <w:szCs w:val="24"/>
        </w:rPr>
        <w:t> </w:t>
      </w:r>
      <w:r w:rsidRPr="00E752A9">
        <w:rPr>
          <w:rFonts w:ascii="Times New Roman" w:eastAsia="Calibri" w:hAnsi="Times New Roman"/>
          <w:sz w:val="24"/>
          <w:szCs w:val="24"/>
        </w:rPr>
        <w:t>2020</w:t>
      </w:r>
      <w:r>
        <w:rPr>
          <w:rFonts w:ascii="Times New Roman" w:eastAsia="Calibri" w:hAnsi="Times New Roman"/>
          <w:sz w:val="24"/>
          <w:szCs w:val="24"/>
        </w:rPr>
        <w:t xml:space="preserve"> </w:t>
      </w:r>
      <w:r w:rsidRPr="00E752A9">
        <w:rPr>
          <w:rFonts w:ascii="Times New Roman" w:eastAsia="Calibri" w:hAnsi="Times New Roman"/>
          <w:sz w:val="24"/>
          <w:szCs w:val="24"/>
        </w:rPr>
        <w:t xml:space="preserve">nárast priamych platieb na hektár </w:t>
      </w:r>
      <w:r w:rsidR="003702F6">
        <w:rPr>
          <w:rFonts w:ascii="Times New Roman" w:eastAsia="Calibri" w:hAnsi="Times New Roman"/>
          <w:sz w:val="24"/>
          <w:szCs w:val="24"/>
        </w:rPr>
        <w:t xml:space="preserve">v priemere </w:t>
      </w:r>
      <w:r w:rsidRPr="00E752A9">
        <w:rPr>
          <w:rFonts w:ascii="Times New Roman" w:eastAsia="Calibri" w:hAnsi="Times New Roman"/>
          <w:sz w:val="24"/>
          <w:szCs w:val="24"/>
        </w:rPr>
        <w:t>o 40 %. Tento nárast bude štruktúrovaný exponenciálne v prvých</w:t>
      </w:r>
      <w:r w:rsidR="00003E91">
        <w:rPr>
          <w:rFonts w:ascii="Times New Roman" w:eastAsia="Calibri" w:hAnsi="Times New Roman"/>
          <w:sz w:val="24"/>
          <w:szCs w:val="24"/>
        </w:rPr>
        <w:t xml:space="preserve"> rokoch a lineárne v posledných</w:t>
      </w:r>
      <w:r w:rsidRPr="00E752A9">
        <w:rPr>
          <w:rFonts w:ascii="Times New Roman" w:eastAsia="Calibri" w:hAnsi="Times New Roman"/>
          <w:sz w:val="24"/>
          <w:szCs w:val="24"/>
        </w:rPr>
        <w:t xml:space="preserve"> rokoch programového obdobia</w:t>
      </w:r>
      <w:r w:rsidR="003702F6">
        <w:rPr>
          <w:rFonts w:ascii="Times New Roman" w:eastAsia="Calibri" w:hAnsi="Times New Roman"/>
          <w:sz w:val="24"/>
          <w:szCs w:val="24"/>
        </w:rPr>
        <w:t xml:space="preserve"> a priamo závislý od miery plnenia podmienok poberania dobrovoľne viazaných platieb</w:t>
      </w:r>
      <w:r w:rsidRPr="00E752A9">
        <w:rPr>
          <w:rFonts w:ascii="Times New Roman" w:eastAsia="Calibri" w:hAnsi="Times New Roman"/>
          <w:sz w:val="24"/>
          <w:szCs w:val="24"/>
        </w:rPr>
        <w:t xml:space="preserve">. </w:t>
      </w:r>
      <w:r w:rsidR="00534805">
        <w:rPr>
          <w:rFonts w:ascii="Times New Roman" w:eastAsia="Calibri" w:hAnsi="Times New Roman"/>
          <w:sz w:val="24"/>
          <w:szCs w:val="24"/>
        </w:rPr>
        <w:t>V tomto zmysle, z</w:t>
      </w:r>
      <w:r w:rsidRPr="00E752A9">
        <w:rPr>
          <w:rFonts w:ascii="Times New Roman" w:eastAsia="Calibri" w:hAnsi="Times New Roman"/>
          <w:sz w:val="24"/>
          <w:szCs w:val="24"/>
        </w:rPr>
        <w:t xml:space="preserve">ásadný rast priamych platieb predpokladáme v rokoch 2014 a 2015 kedy dosiahneme nárast oproti roku 2013 </w:t>
      </w:r>
      <w:r w:rsidR="00534805">
        <w:rPr>
          <w:rFonts w:ascii="Times New Roman" w:eastAsia="Calibri" w:hAnsi="Times New Roman"/>
          <w:sz w:val="24"/>
          <w:szCs w:val="24"/>
        </w:rPr>
        <w:t xml:space="preserve">v priemere </w:t>
      </w:r>
      <w:r w:rsidRPr="00E752A9">
        <w:rPr>
          <w:rFonts w:ascii="Times New Roman" w:eastAsia="Calibri" w:hAnsi="Times New Roman"/>
          <w:sz w:val="24"/>
          <w:szCs w:val="24"/>
        </w:rPr>
        <w:t xml:space="preserve">až o 37 %. V druhej polovici nového programového obdobia </w:t>
      </w:r>
      <w:r w:rsidR="00007A00">
        <w:rPr>
          <w:rFonts w:ascii="Times New Roman" w:eastAsia="Calibri" w:hAnsi="Times New Roman"/>
          <w:sz w:val="24"/>
          <w:szCs w:val="24"/>
        </w:rPr>
        <w:t xml:space="preserve">predpokladáme, že </w:t>
      </w:r>
      <w:r w:rsidRPr="00E752A9">
        <w:rPr>
          <w:rFonts w:ascii="Times New Roman" w:eastAsia="Calibri" w:hAnsi="Times New Roman"/>
          <w:sz w:val="24"/>
          <w:szCs w:val="24"/>
        </w:rPr>
        <w:t xml:space="preserve">dosiahne </w:t>
      </w:r>
      <w:r w:rsidR="00534805">
        <w:rPr>
          <w:rFonts w:ascii="Times New Roman" w:eastAsia="Calibri" w:hAnsi="Times New Roman"/>
          <w:sz w:val="24"/>
          <w:szCs w:val="24"/>
        </w:rPr>
        <w:t xml:space="preserve">priemerná </w:t>
      </w:r>
      <w:r w:rsidRPr="00E752A9">
        <w:rPr>
          <w:rFonts w:ascii="Times New Roman" w:eastAsia="Calibri" w:hAnsi="Times New Roman"/>
          <w:sz w:val="24"/>
          <w:szCs w:val="24"/>
        </w:rPr>
        <w:t>výška priamych platieb pre slovenských poľnohospodárov úroveň nad súčas</w:t>
      </w:r>
      <w:r w:rsidR="00003E91">
        <w:rPr>
          <w:rFonts w:ascii="Times New Roman" w:eastAsia="Calibri" w:hAnsi="Times New Roman"/>
          <w:sz w:val="24"/>
          <w:szCs w:val="24"/>
        </w:rPr>
        <w:t>ným priemerom okolitých krajín, t.j. Poľska, Česka, Maďarska a Rakúska</w:t>
      </w:r>
      <w:r w:rsidRPr="00E752A9">
        <w:rPr>
          <w:rFonts w:ascii="Times New Roman" w:eastAsia="Calibri" w:hAnsi="Times New Roman"/>
          <w:sz w:val="24"/>
          <w:szCs w:val="24"/>
        </w:rPr>
        <w:t>.</w:t>
      </w:r>
      <w:r w:rsidR="00003E91">
        <w:rPr>
          <w:rFonts w:ascii="Times New Roman" w:eastAsia="Calibri" w:hAnsi="Times New Roman"/>
          <w:sz w:val="24"/>
          <w:szCs w:val="24"/>
        </w:rPr>
        <w:t xml:space="preserve"> Tento nárast priamych platieb si však </w:t>
      </w:r>
      <w:r w:rsidR="00007A00">
        <w:rPr>
          <w:rFonts w:ascii="Times New Roman" w:eastAsia="Calibri" w:hAnsi="Times New Roman"/>
          <w:sz w:val="24"/>
          <w:szCs w:val="24"/>
        </w:rPr>
        <w:t xml:space="preserve">pravdepodobne </w:t>
      </w:r>
      <w:r w:rsidR="00003E91">
        <w:rPr>
          <w:rFonts w:ascii="Times New Roman" w:eastAsia="Calibri" w:hAnsi="Times New Roman"/>
          <w:sz w:val="24"/>
          <w:szCs w:val="24"/>
        </w:rPr>
        <w:t xml:space="preserve">vyžiada zníženie prostriedkov projektovej podpory v rámci PRV SR na roky 2014 – 2020. </w:t>
      </w:r>
      <w:r w:rsidRPr="00E752A9">
        <w:rPr>
          <w:rFonts w:ascii="Times New Roman" w:eastAsia="Calibri" w:hAnsi="Times New Roman"/>
          <w:sz w:val="24"/>
          <w:szCs w:val="24"/>
        </w:rPr>
        <w:t xml:space="preserve"> </w:t>
      </w:r>
      <w:r w:rsidR="00E35E02">
        <w:rPr>
          <w:rFonts w:ascii="Times New Roman" w:eastAsia="Calibri" w:hAnsi="Times New Roman"/>
          <w:sz w:val="24"/>
          <w:szCs w:val="24"/>
        </w:rPr>
        <w:t xml:space="preserve">Toto zníženie finančných prostriedkov na projektové podpory bude mať za následok zníženie ich spolufinancovania z prostriedkov štátneho rozpočtu kumulatívne vo výške </w:t>
      </w:r>
      <w:r w:rsidR="0078595B">
        <w:rPr>
          <w:rFonts w:ascii="Times New Roman" w:eastAsia="Calibri" w:hAnsi="Times New Roman"/>
          <w:sz w:val="24"/>
          <w:szCs w:val="24"/>
        </w:rPr>
        <w:t>134 071 428</w:t>
      </w:r>
      <w:r w:rsidR="00E35E02">
        <w:rPr>
          <w:rFonts w:ascii="Times New Roman" w:eastAsia="Calibri" w:hAnsi="Times New Roman"/>
          <w:sz w:val="24"/>
          <w:szCs w:val="24"/>
        </w:rPr>
        <w:t xml:space="preserve"> EUR. Tieto finančné prostriedky bude efektívne použiť na financovanie národných doplatkov v rámci I. piliera. </w:t>
      </w:r>
      <w:r w:rsidR="00B37EB4">
        <w:rPr>
          <w:rFonts w:ascii="Times New Roman" w:eastAsia="Calibri" w:hAnsi="Times New Roman"/>
          <w:sz w:val="24"/>
          <w:szCs w:val="24"/>
        </w:rPr>
        <w:t>Je potrebné podotknúť, že p</w:t>
      </w:r>
      <w:r w:rsidR="00E35E02">
        <w:rPr>
          <w:rFonts w:ascii="Times New Roman" w:eastAsia="Calibri" w:hAnsi="Times New Roman"/>
          <w:sz w:val="24"/>
          <w:szCs w:val="24"/>
        </w:rPr>
        <w:t xml:space="preserve">rojektované finančné podpory prinesú želaný </w:t>
      </w:r>
      <w:r w:rsidR="00E35E02">
        <w:rPr>
          <w:rFonts w:ascii="Times New Roman" w:eastAsia="Calibri" w:hAnsi="Times New Roman"/>
          <w:sz w:val="24"/>
          <w:szCs w:val="24"/>
        </w:rPr>
        <w:lastRenderedPageBreak/>
        <w:t>efekt len v prípade ich kombinácie so špecifikovanými organizačnými, štrukturálnymi a legislatívnymi zmenami</w:t>
      </w:r>
      <w:r w:rsidR="00B37EB4">
        <w:rPr>
          <w:rFonts w:ascii="Times New Roman" w:eastAsia="Calibri" w:hAnsi="Times New Roman"/>
          <w:sz w:val="24"/>
          <w:szCs w:val="24"/>
        </w:rPr>
        <w:t xml:space="preserve">. </w:t>
      </w:r>
    </w:p>
    <w:p w:rsidR="00744222" w:rsidRDefault="00744222" w:rsidP="000D3756">
      <w:pPr>
        <w:spacing w:after="0" w:line="240" w:lineRule="auto"/>
        <w:jc w:val="both"/>
        <w:rPr>
          <w:rFonts w:ascii="Times New Roman" w:eastAsia="Calibri" w:hAnsi="Times New Roman"/>
          <w:sz w:val="24"/>
          <w:szCs w:val="24"/>
        </w:rPr>
      </w:pPr>
    </w:p>
    <w:p w:rsidR="00744222" w:rsidRDefault="00744222" w:rsidP="000D3756">
      <w:pPr>
        <w:spacing w:after="0" w:line="240" w:lineRule="auto"/>
        <w:jc w:val="both"/>
        <w:rPr>
          <w:rFonts w:ascii="Times New Roman" w:eastAsia="Calibri" w:hAnsi="Times New Roman"/>
          <w:sz w:val="24"/>
          <w:szCs w:val="24"/>
        </w:rPr>
      </w:pPr>
      <w:r w:rsidRPr="00744222">
        <w:rPr>
          <w:rFonts w:ascii="Times New Roman" w:eastAsia="Calibri" w:hAnsi="Times New Roman"/>
          <w:sz w:val="24"/>
          <w:szCs w:val="24"/>
          <w:highlight w:val="yellow"/>
        </w:rPr>
        <w:t>Na dôvažok, z hľadiska stability kapitálovej vybavenosti pôdohospodárskych podnikov je potrebné uvažovať aj nad zriadením národného zabezpečovacieho systému na riadenie rizík. Tento systém by mohol prispieť k väčšej transparentnosti odškodňovania dôsledkov živelných pohrôm, prírodných katastrof a hromadných nákaz hospodárskych zvierat.</w:t>
      </w:r>
      <w:r>
        <w:rPr>
          <w:rFonts w:ascii="Times New Roman" w:eastAsia="Calibri" w:hAnsi="Times New Roman"/>
          <w:sz w:val="24"/>
          <w:szCs w:val="24"/>
        </w:rPr>
        <w:t xml:space="preserve"> </w:t>
      </w:r>
    </w:p>
    <w:p w:rsidR="00007A00" w:rsidRDefault="00007A00" w:rsidP="000D3756">
      <w:pPr>
        <w:spacing w:after="0" w:line="240" w:lineRule="auto"/>
        <w:jc w:val="both"/>
        <w:rPr>
          <w:rFonts w:ascii="Times New Roman" w:eastAsia="Calibri" w:hAnsi="Times New Roman"/>
          <w:sz w:val="24"/>
          <w:szCs w:val="24"/>
        </w:rPr>
      </w:pPr>
    </w:p>
    <w:p w:rsidR="00007A00" w:rsidRDefault="00007A00" w:rsidP="000D375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Záverom je potrebné ešte raz zdôrazniť, že miera naplnenia predpokladov koncepcie závisí predovšetkým od samotných prijímateľom </w:t>
      </w:r>
      <w:r w:rsidR="00E36E8C">
        <w:rPr>
          <w:rFonts w:ascii="Times New Roman" w:eastAsia="Calibri" w:hAnsi="Times New Roman"/>
          <w:sz w:val="24"/>
          <w:szCs w:val="24"/>
        </w:rPr>
        <w:t xml:space="preserve">finančných prostriedkov z oboch pilierov spoločnej poľnohospodárskej politiky a miery ochoty ich prispôsobenia sa čiastočnej zmene pravidiel fungovania spoločného trhu v jednotlivých sektoroch pôdohospodárstva.   </w:t>
      </w:r>
    </w:p>
    <w:p w:rsidR="000D3756" w:rsidRPr="000D3756" w:rsidRDefault="000D3756" w:rsidP="000D3756">
      <w:pPr>
        <w:spacing w:after="0" w:line="240" w:lineRule="auto"/>
        <w:jc w:val="both"/>
        <w:rPr>
          <w:rFonts w:ascii="Times New Roman" w:eastAsia="Calibri" w:hAnsi="Times New Roman"/>
          <w:sz w:val="24"/>
          <w:szCs w:val="24"/>
        </w:rPr>
      </w:pPr>
    </w:p>
    <w:p w:rsidR="00E35E02" w:rsidRDefault="00E35E02">
      <w:pPr>
        <w:rPr>
          <w:rFonts w:ascii="Times New Roman" w:eastAsia="Calibri" w:hAnsi="Times New Roman"/>
          <w:sz w:val="24"/>
          <w:szCs w:val="24"/>
        </w:rPr>
      </w:pPr>
      <w:r>
        <w:rPr>
          <w:rFonts w:ascii="Times New Roman" w:eastAsia="Calibri" w:hAnsi="Times New Roman"/>
          <w:sz w:val="24"/>
          <w:szCs w:val="24"/>
        </w:rPr>
        <w:br w:type="page"/>
      </w:r>
    </w:p>
    <w:p w:rsidR="0049143F" w:rsidRPr="0049143F" w:rsidRDefault="0049143F" w:rsidP="0049143F">
      <w:pPr>
        <w:spacing w:after="0" w:line="240" w:lineRule="auto"/>
        <w:jc w:val="both"/>
        <w:rPr>
          <w:rFonts w:ascii="Times New Roman" w:eastAsia="Calibri" w:hAnsi="Times New Roman"/>
          <w:sz w:val="24"/>
          <w:szCs w:val="24"/>
        </w:rPr>
      </w:pPr>
    </w:p>
    <w:p w:rsidR="009A5240" w:rsidRPr="009A5240" w:rsidRDefault="009A5240" w:rsidP="009A5240">
      <w:pPr>
        <w:pStyle w:val="Nadpis1"/>
        <w:numPr>
          <w:ilvl w:val="0"/>
          <w:numId w:val="8"/>
        </w:numPr>
        <w:rPr>
          <w:rFonts w:cs="Times New Roman"/>
          <w:b w:val="0"/>
        </w:rPr>
      </w:pPr>
      <w:bookmarkStart w:id="87" w:name="_Toc359550707"/>
      <w:r w:rsidRPr="009A5240">
        <w:rPr>
          <w:rFonts w:cs="Times New Roman"/>
        </w:rPr>
        <w:t>Prílohy</w:t>
      </w:r>
      <w:bookmarkEnd w:id="87"/>
    </w:p>
    <w:p w:rsidR="009A5240" w:rsidRDefault="009A5240" w:rsidP="009A5240">
      <w:pPr>
        <w:rPr>
          <w:rFonts w:ascii="Times New Roman" w:eastAsia="Calibri" w:hAnsi="Times New Roman"/>
          <w:sz w:val="24"/>
          <w:szCs w:val="24"/>
        </w:rPr>
        <w:sectPr w:rsidR="009A5240" w:rsidSect="00971A6D">
          <w:footerReference w:type="default" r:id="rId89"/>
          <w:pgSz w:w="11906" w:h="16838"/>
          <w:pgMar w:top="1417" w:right="1417" w:bottom="1417" w:left="1417" w:header="708" w:footer="708" w:gutter="0"/>
          <w:cols w:space="708"/>
          <w:docGrid w:linePitch="360"/>
        </w:sectPr>
      </w:pPr>
    </w:p>
    <w:p w:rsidR="008475C4" w:rsidRDefault="008475C4" w:rsidP="009A5240">
      <w:pPr>
        <w:spacing w:after="0" w:line="240" w:lineRule="auto"/>
        <w:ind w:left="-567"/>
        <w:rPr>
          <w:rFonts w:ascii="Times New Roman" w:hAnsi="Times New Roman" w:cs="Times New Roman"/>
          <w:b/>
          <w:sz w:val="20"/>
          <w:szCs w:val="20"/>
        </w:rPr>
      </w:pPr>
    </w:p>
    <w:p w:rsidR="009A5240" w:rsidRPr="009A5240" w:rsidRDefault="009A5240" w:rsidP="009A5240">
      <w:pPr>
        <w:spacing w:after="0" w:line="240" w:lineRule="auto"/>
        <w:ind w:left="-567"/>
        <w:rPr>
          <w:rFonts w:ascii="Times New Roman" w:hAnsi="Times New Roman" w:cs="Times New Roman"/>
          <w:b/>
          <w:sz w:val="20"/>
          <w:szCs w:val="20"/>
        </w:rPr>
      </w:pPr>
      <w:r w:rsidRPr="009A5240">
        <w:rPr>
          <w:rFonts w:ascii="Times New Roman" w:hAnsi="Times New Roman" w:cs="Times New Roman"/>
          <w:b/>
          <w:sz w:val="20"/>
          <w:szCs w:val="20"/>
        </w:rPr>
        <w:t>Príloha č. 1: Vývoj spotreby nosných poľnohospodárskych komodít v SR na obyvateľa za rok</w:t>
      </w:r>
    </w:p>
    <w:tbl>
      <w:tblPr>
        <w:tblW w:w="14960" w:type="dxa"/>
        <w:tblInd w:w="-497" w:type="dxa"/>
        <w:tblCellMar>
          <w:left w:w="70" w:type="dxa"/>
          <w:right w:w="70" w:type="dxa"/>
        </w:tblCellMar>
        <w:tblLook w:val="04A0" w:firstRow="1" w:lastRow="0" w:firstColumn="1" w:lastColumn="0" w:noHBand="0" w:noVBand="1"/>
      </w:tblPr>
      <w:tblGrid>
        <w:gridCol w:w="3940"/>
        <w:gridCol w:w="1420"/>
        <w:gridCol w:w="960"/>
        <w:gridCol w:w="960"/>
        <w:gridCol w:w="960"/>
        <w:gridCol w:w="960"/>
        <w:gridCol w:w="960"/>
        <w:gridCol w:w="960"/>
        <w:gridCol w:w="960"/>
        <w:gridCol w:w="960"/>
        <w:gridCol w:w="960"/>
        <w:gridCol w:w="960"/>
      </w:tblGrid>
      <w:tr w:rsidR="009A5240" w:rsidRPr="001C4707" w:rsidTr="00D86A54">
        <w:trPr>
          <w:trHeight w:val="300"/>
        </w:trPr>
        <w:tc>
          <w:tcPr>
            <w:tcW w:w="3940" w:type="dxa"/>
            <w:tcBorders>
              <w:top w:val="single" w:sz="4" w:space="0" w:color="auto"/>
              <w:left w:val="nil"/>
              <w:bottom w:val="single" w:sz="4" w:space="0" w:color="auto"/>
              <w:right w:val="single" w:sz="4" w:space="0" w:color="auto"/>
            </w:tcBorders>
            <w:shd w:val="clear" w:color="000000" w:fill="D9D9D9"/>
            <w:noWrap/>
            <w:vAlign w:val="bottom"/>
            <w:hideMark/>
          </w:tcPr>
          <w:p w:rsidR="009A5240" w:rsidRPr="001C4707" w:rsidRDefault="009A5240" w:rsidP="009A5240">
            <w:pPr>
              <w:spacing w:after="0" w:line="240" w:lineRule="auto"/>
              <w:rPr>
                <w:rFonts w:ascii="Times New Roman" w:eastAsia="Times New Roman" w:hAnsi="Times New Roman" w:cs="Times New Roman"/>
                <w:b/>
                <w:bCs/>
                <w:color w:val="000000"/>
                <w:sz w:val="20"/>
                <w:szCs w:val="20"/>
              </w:rPr>
            </w:pPr>
            <w:r w:rsidRPr="001C4707">
              <w:rPr>
                <w:rFonts w:ascii="Times New Roman" w:eastAsia="Times New Roman" w:hAnsi="Times New Roman" w:cs="Times New Roman"/>
                <w:b/>
                <w:bCs/>
                <w:color w:val="000000"/>
                <w:sz w:val="20"/>
                <w:szCs w:val="20"/>
              </w:rPr>
              <w:t> </w:t>
            </w:r>
          </w:p>
        </w:tc>
        <w:tc>
          <w:tcPr>
            <w:tcW w:w="1420" w:type="dxa"/>
            <w:tcBorders>
              <w:top w:val="single" w:sz="4" w:space="0" w:color="auto"/>
              <w:left w:val="nil"/>
              <w:bottom w:val="single" w:sz="4" w:space="0" w:color="auto"/>
              <w:right w:val="single" w:sz="4" w:space="0" w:color="auto"/>
            </w:tcBorders>
            <w:shd w:val="clear" w:color="000000" w:fill="D9D9D9"/>
            <w:noWrap/>
            <w:vAlign w:val="bottom"/>
            <w:hideMark/>
          </w:tcPr>
          <w:p w:rsidR="009A5240" w:rsidRPr="001C4707" w:rsidRDefault="009A5240" w:rsidP="009A5240">
            <w:pPr>
              <w:spacing w:after="0" w:line="240" w:lineRule="auto"/>
              <w:jc w:val="center"/>
              <w:rPr>
                <w:rFonts w:ascii="Times New Roman" w:eastAsia="Times New Roman" w:hAnsi="Times New Roman" w:cs="Times New Roman"/>
                <w:b/>
                <w:bCs/>
                <w:color w:val="000000"/>
                <w:sz w:val="20"/>
                <w:szCs w:val="20"/>
              </w:rPr>
            </w:pPr>
            <w:r w:rsidRPr="001C4707">
              <w:rPr>
                <w:rFonts w:ascii="Times New Roman" w:eastAsia="Times New Roman" w:hAnsi="Times New Roman" w:cs="Times New Roman"/>
                <w:b/>
                <w:bCs/>
                <w:color w:val="000000"/>
                <w:sz w:val="20"/>
                <w:szCs w:val="20"/>
              </w:rPr>
              <w:t>Merná jednotka</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1C4707" w:rsidRDefault="009A5240" w:rsidP="009A5240">
            <w:pPr>
              <w:spacing w:after="0" w:line="240" w:lineRule="auto"/>
              <w:jc w:val="right"/>
              <w:rPr>
                <w:rFonts w:ascii="Times New Roman" w:eastAsia="Times New Roman" w:hAnsi="Times New Roman" w:cs="Times New Roman"/>
                <w:b/>
                <w:bCs/>
                <w:color w:val="000000"/>
                <w:sz w:val="20"/>
                <w:szCs w:val="20"/>
              </w:rPr>
            </w:pPr>
            <w:r w:rsidRPr="001C4707">
              <w:rPr>
                <w:rFonts w:ascii="Times New Roman" w:eastAsia="Times New Roman" w:hAnsi="Times New Roman" w:cs="Times New Roman"/>
                <w:b/>
                <w:bCs/>
                <w:color w:val="000000"/>
                <w:sz w:val="20"/>
                <w:szCs w:val="20"/>
              </w:rPr>
              <w:t>2002</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1C4707" w:rsidRDefault="009A5240" w:rsidP="009A5240">
            <w:pPr>
              <w:spacing w:after="0" w:line="240" w:lineRule="auto"/>
              <w:jc w:val="right"/>
              <w:rPr>
                <w:rFonts w:ascii="Times New Roman" w:eastAsia="Times New Roman" w:hAnsi="Times New Roman" w:cs="Times New Roman"/>
                <w:b/>
                <w:bCs/>
                <w:color w:val="000000"/>
                <w:sz w:val="20"/>
                <w:szCs w:val="20"/>
              </w:rPr>
            </w:pPr>
            <w:r w:rsidRPr="001C4707">
              <w:rPr>
                <w:rFonts w:ascii="Times New Roman" w:eastAsia="Times New Roman" w:hAnsi="Times New Roman" w:cs="Times New Roman"/>
                <w:b/>
                <w:bCs/>
                <w:color w:val="000000"/>
                <w:sz w:val="20"/>
                <w:szCs w:val="20"/>
              </w:rPr>
              <w:t>2003</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1C4707" w:rsidRDefault="009A5240" w:rsidP="009A5240">
            <w:pPr>
              <w:spacing w:after="0" w:line="240" w:lineRule="auto"/>
              <w:jc w:val="right"/>
              <w:rPr>
                <w:rFonts w:ascii="Times New Roman" w:eastAsia="Times New Roman" w:hAnsi="Times New Roman" w:cs="Times New Roman"/>
                <w:b/>
                <w:bCs/>
                <w:color w:val="000000"/>
                <w:sz w:val="20"/>
                <w:szCs w:val="20"/>
              </w:rPr>
            </w:pPr>
            <w:r w:rsidRPr="001C4707">
              <w:rPr>
                <w:rFonts w:ascii="Times New Roman" w:eastAsia="Times New Roman" w:hAnsi="Times New Roman" w:cs="Times New Roman"/>
                <w:b/>
                <w:bCs/>
                <w:color w:val="000000"/>
                <w:sz w:val="20"/>
                <w:szCs w:val="20"/>
              </w:rPr>
              <w:t>2004</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1C4707" w:rsidRDefault="009A5240" w:rsidP="009A5240">
            <w:pPr>
              <w:spacing w:after="0" w:line="240" w:lineRule="auto"/>
              <w:jc w:val="right"/>
              <w:rPr>
                <w:rFonts w:ascii="Times New Roman" w:eastAsia="Times New Roman" w:hAnsi="Times New Roman" w:cs="Times New Roman"/>
                <w:b/>
                <w:bCs/>
                <w:color w:val="000000"/>
                <w:sz w:val="20"/>
                <w:szCs w:val="20"/>
              </w:rPr>
            </w:pPr>
            <w:r w:rsidRPr="001C4707">
              <w:rPr>
                <w:rFonts w:ascii="Times New Roman" w:eastAsia="Times New Roman" w:hAnsi="Times New Roman" w:cs="Times New Roman"/>
                <w:b/>
                <w:bCs/>
                <w:color w:val="000000"/>
                <w:sz w:val="20"/>
                <w:szCs w:val="20"/>
              </w:rPr>
              <w:t>2005</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1C4707" w:rsidRDefault="009A5240" w:rsidP="009A5240">
            <w:pPr>
              <w:spacing w:after="0" w:line="240" w:lineRule="auto"/>
              <w:jc w:val="right"/>
              <w:rPr>
                <w:rFonts w:ascii="Times New Roman" w:eastAsia="Times New Roman" w:hAnsi="Times New Roman" w:cs="Times New Roman"/>
                <w:b/>
                <w:bCs/>
                <w:color w:val="000000"/>
                <w:sz w:val="20"/>
                <w:szCs w:val="20"/>
              </w:rPr>
            </w:pPr>
            <w:r w:rsidRPr="001C4707">
              <w:rPr>
                <w:rFonts w:ascii="Times New Roman" w:eastAsia="Times New Roman" w:hAnsi="Times New Roman" w:cs="Times New Roman"/>
                <w:b/>
                <w:bCs/>
                <w:color w:val="000000"/>
                <w:sz w:val="20"/>
                <w:szCs w:val="20"/>
              </w:rPr>
              <w:t>2006</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1C4707" w:rsidRDefault="009A5240" w:rsidP="009A5240">
            <w:pPr>
              <w:spacing w:after="0" w:line="240" w:lineRule="auto"/>
              <w:jc w:val="right"/>
              <w:rPr>
                <w:rFonts w:ascii="Times New Roman" w:eastAsia="Times New Roman" w:hAnsi="Times New Roman" w:cs="Times New Roman"/>
                <w:b/>
                <w:bCs/>
                <w:color w:val="000000"/>
                <w:sz w:val="20"/>
                <w:szCs w:val="20"/>
              </w:rPr>
            </w:pPr>
            <w:r w:rsidRPr="001C4707">
              <w:rPr>
                <w:rFonts w:ascii="Times New Roman" w:eastAsia="Times New Roman" w:hAnsi="Times New Roman" w:cs="Times New Roman"/>
                <w:b/>
                <w:bCs/>
                <w:color w:val="000000"/>
                <w:sz w:val="20"/>
                <w:szCs w:val="20"/>
              </w:rPr>
              <w:t>2007</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1C4707" w:rsidRDefault="009A5240" w:rsidP="009A5240">
            <w:pPr>
              <w:spacing w:after="0" w:line="240" w:lineRule="auto"/>
              <w:jc w:val="right"/>
              <w:rPr>
                <w:rFonts w:ascii="Times New Roman" w:eastAsia="Times New Roman" w:hAnsi="Times New Roman" w:cs="Times New Roman"/>
                <w:b/>
                <w:bCs/>
                <w:color w:val="000000"/>
                <w:sz w:val="20"/>
                <w:szCs w:val="20"/>
              </w:rPr>
            </w:pPr>
            <w:r w:rsidRPr="001C4707">
              <w:rPr>
                <w:rFonts w:ascii="Times New Roman" w:eastAsia="Times New Roman" w:hAnsi="Times New Roman" w:cs="Times New Roman"/>
                <w:b/>
                <w:bCs/>
                <w:color w:val="000000"/>
                <w:sz w:val="20"/>
                <w:szCs w:val="20"/>
              </w:rPr>
              <w:t>2008</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1C4707" w:rsidRDefault="009A5240" w:rsidP="009A5240">
            <w:pPr>
              <w:spacing w:after="0" w:line="240" w:lineRule="auto"/>
              <w:jc w:val="right"/>
              <w:rPr>
                <w:rFonts w:ascii="Times New Roman" w:eastAsia="Times New Roman" w:hAnsi="Times New Roman" w:cs="Times New Roman"/>
                <w:b/>
                <w:bCs/>
                <w:color w:val="000000"/>
                <w:sz w:val="20"/>
                <w:szCs w:val="20"/>
              </w:rPr>
            </w:pPr>
            <w:r w:rsidRPr="001C4707">
              <w:rPr>
                <w:rFonts w:ascii="Times New Roman" w:eastAsia="Times New Roman" w:hAnsi="Times New Roman" w:cs="Times New Roman"/>
                <w:b/>
                <w:bCs/>
                <w:color w:val="000000"/>
                <w:sz w:val="20"/>
                <w:szCs w:val="20"/>
              </w:rPr>
              <w:t>2009</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1C4707" w:rsidRDefault="009A5240" w:rsidP="009A5240">
            <w:pPr>
              <w:spacing w:after="0" w:line="240" w:lineRule="auto"/>
              <w:jc w:val="right"/>
              <w:rPr>
                <w:rFonts w:ascii="Times New Roman" w:eastAsia="Times New Roman" w:hAnsi="Times New Roman" w:cs="Times New Roman"/>
                <w:b/>
                <w:bCs/>
                <w:color w:val="000000"/>
                <w:sz w:val="20"/>
                <w:szCs w:val="20"/>
              </w:rPr>
            </w:pPr>
            <w:r w:rsidRPr="001C4707">
              <w:rPr>
                <w:rFonts w:ascii="Times New Roman" w:eastAsia="Times New Roman" w:hAnsi="Times New Roman" w:cs="Times New Roman"/>
                <w:b/>
                <w:bCs/>
                <w:color w:val="000000"/>
                <w:sz w:val="20"/>
                <w:szCs w:val="20"/>
              </w:rPr>
              <w:t>2010</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1C4707" w:rsidRDefault="009A5240" w:rsidP="009A5240">
            <w:pPr>
              <w:spacing w:after="0" w:line="240" w:lineRule="auto"/>
              <w:jc w:val="right"/>
              <w:rPr>
                <w:rFonts w:ascii="Times New Roman" w:eastAsia="Times New Roman" w:hAnsi="Times New Roman" w:cs="Times New Roman"/>
                <w:b/>
                <w:bCs/>
                <w:color w:val="000000"/>
                <w:sz w:val="20"/>
                <w:szCs w:val="20"/>
              </w:rPr>
            </w:pPr>
            <w:r w:rsidRPr="001C4707">
              <w:rPr>
                <w:rFonts w:ascii="Times New Roman" w:eastAsia="Times New Roman" w:hAnsi="Times New Roman" w:cs="Times New Roman"/>
                <w:b/>
                <w:bCs/>
                <w:color w:val="000000"/>
                <w:sz w:val="20"/>
                <w:szCs w:val="20"/>
              </w:rPr>
              <w:t>2011</w:t>
            </w:r>
          </w:p>
        </w:tc>
      </w:tr>
      <w:tr w:rsidR="009A5240" w:rsidRPr="001C4707" w:rsidTr="009A5240">
        <w:trPr>
          <w:trHeight w:val="300"/>
        </w:trPr>
        <w:tc>
          <w:tcPr>
            <w:tcW w:w="3940" w:type="dxa"/>
            <w:tcBorders>
              <w:top w:val="nil"/>
              <w:left w:val="nil"/>
              <w:bottom w:val="nil"/>
              <w:right w:val="single" w:sz="4" w:space="0" w:color="auto"/>
            </w:tcBorders>
            <w:shd w:val="clear" w:color="auto" w:fill="auto"/>
            <w:vAlign w:val="bottom"/>
            <w:hideMark/>
          </w:tcPr>
          <w:p w:rsidR="009A5240" w:rsidRPr="001C4707" w:rsidRDefault="009A5240" w:rsidP="009A5240">
            <w:pPr>
              <w:spacing w:after="0" w:line="240" w:lineRule="auto"/>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Hovädzie a teľacie mäso</w:t>
            </w:r>
          </w:p>
        </w:tc>
        <w:tc>
          <w:tcPr>
            <w:tcW w:w="1420" w:type="dxa"/>
            <w:tcBorders>
              <w:top w:val="nil"/>
              <w:left w:val="nil"/>
              <w:bottom w:val="nil"/>
              <w:right w:val="single" w:sz="4" w:space="0" w:color="auto"/>
            </w:tcBorders>
            <w:shd w:val="clear" w:color="auto" w:fill="auto"/>
            <w:vAlign w:val="bottom"/>
            <w:hideMark/>
          </w:tcPr>
          <w:p w:rsidR="009A5240" w:rsidRPr="001C4707" w:rsidRDefault="009A5240" w:rsidP="009A5240">
            <w:pPr>
              <w:spacing w:after="0" w:line="240" w:lineRule="auto"/>
              <w:jc w:val="center"/>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kg</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6,80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6,90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6,40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6,20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5,30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5,40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4,95</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4,40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4,34</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3,58</w:t>
            </w:r>
          </w:p>
        </w:tc>
      </w:tr>
      <w:tr w:rsidR="009A5240" w:rsidRPr="001C4707" w:rsidTr="009A5240">
        <w:trPr>
          <w:trHeight w:val="300"/>
        </w:trPr>
        <w:tc>
          <w:tcPr>
            <w:tcW w:w="3940" w:type="dxa"/>
            <w:tcBorders>
              <w:top w:val="nil"/>
              <w:left w:val="nil"/>
              <w:bottom w:val="nil"/>
              <w:right w:val="single" w:sz="4" w:space="0" w:color="auto"/>
            </w:tcBorders>
            <w:shd w:val="clear" w:color="auto" w:fill="F2F2F2" w:themeFill="background1" w:themeFillShade="F2"/>
            <w:vAlign w:val="bottom"/>
            <w:hideMark/>
          </w:tcPr>
          <w:p w:rsidR="009A5240" w:rsidRPr="001C4707" w:rsidRDefault="009A5240" w:rsidP="009A5240">
            <w:pPr>
              <w:spacing w:after="0" w:line="240" w:lineRule="auto"/>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Bravčové mäso</w:t>
            </w:r>
          </w:p>
        </w:tc>
        <w:tc>
          <w:tcPr>
            <w:tcW w:w="1420" w:type="dxa"/>
            <w:tcBorders>
              <w:top w:val="nil"/>
              <w:left w:val="nil"/>
              <w:bottom w:val="nil"/>
              <w:right w:val="single" w:sz="4" w:space="0" w:color="auto"/>
            </w:tcBorders>
            <w:shd w:val="clear" w:color="auto" w:fill="F2F2F2" w:themeFill="background1" w:themeFillShade="F2"/>
            <w:vAlign w:val="bottom"/>
            <w:hideMark/>
          </w:tcPr>
          <w:p w:rsidR="009A5240" w:rsidRPr="001C4707" w:rsidRDefault="009A5240" w:rsidP="009A5240">
            <w:pPr>
              <w:spacing w:after="0" w:line="240" w:lineRule="auto"/>
              <w:jc w:val="center"/>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kg</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31,30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32,30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31,90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32,90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32,20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32,20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32,30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32,00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30,80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623056"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31,60</w:t>
            </w:r>
          </w:p>
        </w:tc>
      </w:tr>
      <w:tr w:rsidR="009A5240" w:rsidRPr="001C4707" w:rsidTr="009A5240">
        <w:trPr>
          <w:trHeight w:val="300"/>
        </w:trPr>
        <w:tc>
          <w:tcPr>
            <w:tcW w:w="3940" w:type="dxa"/>
            <w:tcBorders>
              <w:top w:val="nil"/>
              <w:left w:val="nil"/>
              <w:bottom w:val="nil"/>
              <w:right w:val="single" w:sz="4" w:space="0" w:color="auto"/>
            </w:tcBorders>
            <w:shd w:val="clear" w:color="auto" w:fill="auto"/>
            <w:vAlign w:val="bottom"/>
            <w:hideMark/>
          </w:tcPr>
          <w:p w:rsidR="009A5240" w:rsidRPr="001C4707" w:rsidRDefault="009A5240" w:rsidP="009A5240">
            <w:pPr>
              <w:spacing w:after="0" w:line="240" w:lineRule="auto"/>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Hydina</w:t>
            </w:r>
          </w:p>
        </w:tc>
        <w:tc>
          <w:tcPr>
            <w:tcW w:w="1420" w:type="dxa"/>
            <w:tcBorders>
              <w:top w:val="nil"/>
              <w:left w:val="nil"/>
              <w:bottom w:val="nil"/>
              <w:right w:val="single" w:sz="4" w:space="0" w:color="auto"/>
            </w:tcBorders>
            <w:shd w:val="clear" w:color="auto" w:fill="auto"/>
            <w:vAlign w:val="bottom"/>
            <w:hideMark/>
          </w:tcPr>
          <w:p w:rsidR="009A5240" w:rsidRPr="001C4707" w:rsidRDefault="009A5240" w:rsidP="009A5240">
            <w:pPr>
              <w:spacing w:after="0" w:line="240" w:lineRule="auto"/>
              <w:jc w:val="center"/>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kg</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20,10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20,70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20,40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21,10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22,30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19,90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19,30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20,70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19,00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19,30</w:t>
            </w:r>
          </w:p>
        </w:tc>
      </w:tr>
      <w:tr w:rsidR="009A5240" w:rsidRPr="001C4707" w:rsidTr="009A5240">
        <w:trPr>
          <w:trHeight w:val="300"/>
        </w:trPr>
        <w:tc>
          <w:tcPr>
            <w:tcW w:w="3940" w:type="dxa"/>
            <w:tcBorders>
              <w:top w:val="nil"/>
              <w:left w:val="nil"/>
              <w:bottom w:val="nil"/>
              <w:right w:val="single" w:sz="4" w:space="0" w:color="auto"/>
            </w:tcBorders>
            <w:shd w:val="clear" w:color="auto" w:fill="F2F2F2" w:themeFill="background1" w:themeFillShade="F2"/>
            <w:vAlign w:val="bottom"/>
            <w:hideMark/>
          </w:tcPr>
          <w:p w:rsidR="009A5240" w:rsidRPr="001C4707" w:rsidRDefault="009A5240" w:rsidP="009A5240">
            <w:pPr>
              <w:spacing w:after="0" w:line="240" w:lineRule="auto"/>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Ovčie mäso</w:t>
            </w:r>
          </w:p>
        </w:tc>
        <w:tc>
          <w:tcPr>
            <w:tcW w:w="1420" w:type="dxa"/>
            <w:tcBorders>
              <w:top w:val="nil"/>
              <w:left w:val="nil"/>
              <w:bottom w:val="nil"/>
              <w:right w:val="single" w:sz="4" w:space="0" w:color="auto"/>
            </w:tcBorders>
            <w:shd w:val="clear" w:color="auto" w:fill="F2F2F2" w:themeFill="background1" w:themeFillShade="F2"/>
            <w:vAlign w:val="bottom"/>
            <w:hideMark/>
          </w:tcPr>
          <w:p w:rsidR="009A5240" w:rsidRPr="001C4707" w:rsidRDefault="009A5240" w:rsidP="009A5240">
            <w:pPr>
              <w:spacing w:after="0" w:line="240" w:lineRule="auto"/>
              <w:jc w:val="center"/>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kg</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0,20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0,20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0,20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0,10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0,10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0,08</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0,10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0,16</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0,16</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0,11</w:t>
            </w:r>
          </w:p>
        </w:tc>
      </w:tr>
      <w:tr w:rsidR="009A5240" w:rsidRPr="001C4707" w:rsidTr="009A5240">
        <w:trPr>
          <w:trHeight w:val="300"/>
        </w:trPr>
        <w:tc>
          <w:tcPr>
            <w:tcW w:w="3940" w:type="dxa"/>
            <w:tcBorders>
              <w:top w:val="nil"/>
              <w:left w:val="nil"/>
              <w:bottom w:val="nil"/>
              <w:right w:val="single" w:sz="4" w:space="0" w:color="auto"/>
            </w:tcBorders>
            <w:shd w:val="clear" w:color="auto" w:fill="auto"/>
            <w:vAlign w:val="bottom"/>
            <w:hideMark/>
          </w:tcPr>
          <w:p w:rsidR="009A5240" w:rsidRPr="001C4707" w:rsidRDefault="009A5240" w:rsidP="009A5240">
            <w:pPr>
              <w:spacing w:after="0" w:line="240" w:lineRule="auto"/>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Kozie mäso</w:t>
            </w:r>
          </w:p>
        </w:tc>
        <w:tc>
          <w:tcPr>
            <w:tcW w:w="1420" w:type="dxa"/>
            <w:tcBorders>
              <w:top w:val="nil"/>
              <w:left w:val="nil"/>
              <w:bottom w:val="nil"/>
              <w:right w:val="single" w:sz="4" w:space="0" w:color="auto"/>
            </w:tcBorders>
            <w:shd w:val="clear" w:color="auto" w:fill="auto"/>
            <w:vAlign w:val="bottom"/>
            <w:hideMark/>
          </w:tcPr>
          <w:p w:rsidR="009A5240" w:rsidRPr="001C4707" w:rsidRDefault="009A5240" w:rsidP="009A5240">
            <w:pPr>
              <w:spacing w:after="0" w:line="240" w:lineRule="auto"/>
              <w:jc w:val="center"/>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kg</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0,06</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0,06</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0,06</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0,06</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0,07</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0,06</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0,06</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0,05</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0,05</w:t>
            </w:r>
          </w:p>
        </w:tc>
        <w:tc>
          <w:tcPr>
            <w:tcW w:w="960" w:type="dxa"/>
            <w:tcBorders>
              <w:top w:val="nil"/>
              <w:left w:val="nil"/>
              <w:bottom w:val="nil"/>
              <w:right w:val="nil"/>
            </w:tcBorders>
            <w:shd w:val="clear" w:color="auto" w:fill="auto"/>
            <w:noWrap/>
            <w:vAlign w:val="bottom"/>
            <w:hideMark/>
          </w:tcPr>
          <w:p w:rsidR="009A5240" w:rsidRPr="001C4707" w:rsidRDefault="00623056"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w:t>
            </w:r>
          </w:p>
        </w:tc>
      </w:tr>
      <w:tr w:rsidR="009A5240" w:rsidRPr="001C4707" w:rsidTr="009A5240">
        <w:trPr>
          <w:trHeight w:val="300"/>
        </w:trPr>
        <w:tc>
          <w:tcPr>
            <w:tcW w:w="3940" w:type="dxa"/>
            <w:tcBorders>
              <w:top w:val="nil"/>
              <w:left w:val="nil"/>
              <w:bottom w:val="nil"/>
              <w:right w:val="single" w:sz="4" w:space="0" w:color="auto"/>
            </w:tcBorders>
            <w:shd w:val="clear" w:color="auto" w:fill="F2F2F2" w:themeFill="background1" w:themeFillShade="F2"/>
            <w:vAlign w:val="bottom"/>
            <w:hideMark/>
          </w:tcPr>
          <w:p w:rsidR="009A5240" w:rsidRPr="001C4707" w:rsidRDefault="009A5240" w:rsidP="009A5240">
            <w:pPr>
              <w:spacing w:after="0" w:line="240" w:lineRule="auto"/>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Mlieko a mliečne výrobky (kravské)</w:t>
            </w:r>
          </w:p>
        </w:tc>
        <w:tc>
          <w:tcPr>
            <w:tcW w:w="1420" w:type="dxa"/>
            <w:tcBorders>
              <w:top w:val="nil"/>
              <w:left w:val="nil"/>
              <w:bottom w:val="nil"/>
              <w:right w:val="single" w:sz="4" w:space="0" w:color="auto"/>
            </w:tcBorders>
            <w:shd w:val="clear" w:color="auto" w:fill="F2F2F2" w:themeFill="background1" w:themeFillShade="F2"/>
            <w:vAlign w:val="bottom"/>
            <w:hideMark/>
          </w:tcPr>
          <w:p w:rsidR="009A5240" w:rsidRPr="001C4707" w:rsidRDefault="009A5240" w:rsidP="009A5240">
            <w:pPr>
              <w:spacing w:after="0" w:line="240" w:lineRule="auto"/>
              <w:jc w:val="center"/>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kg</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164,00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155,90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151,20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152,30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150,20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151,30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151,00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151,60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160,60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623056"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158,8</w:t>
            </w:r>
            <w:r w:rsidR="009A5240" w:rsidRPr="001C4707">
              <w:rPr>
                <w:rFonts w:ascii="Times New Roman" w:eastAsia="Times New Roman" w:hAnsi="Times New Roman" w:cs="Times New Roman"/>
                <w:color w:val="000000"/>
                <w:sz w:val="20"/>
                <w:szCs w:val="20"/>
              </w:rPr>
              <w:t>0</w:t>
            </w:r>
          </w:p>
        </w:tc>
      </w:tr>
      <w:tr w:rsidR="009A5240" w:rsidRPr="001C4707" w:rsidTr="009A5240">
        <w:trPr>
          <w:trHeight w:val="300"/>
        </w:trPr>
        <w:tc>
          <w:tcPr>
            <w:tcW w:w="3940" w:type="dxa"/>
            <w:tcBorders>
              <w:top w:val="nil"/>
              <w:left w:val="nil"/>
              <w:bottom w:val="nil"/>
              <w:right w:val="single" w:sz="4" w:space="0" w:color="auto"/>
            </w:tcBorders>
            <w:shd w:val="clear" w:color="auto" w:fill="auto"/>
            <w:vAlign w:val="bottom"/>
            <w:hideMark/>
          </w:tcPr>
          <w:p w:rsidR="009A5240" w:rsidRPr="001C4707" w:rsidRDefault="009A5240" w:rsidP="009A5240">
            <w:pPr>
              <w:spacing w:after="0" w:line="240" w:lineRule="auto"/>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 xml:space="preserve">Vajcia </w:t>
            </w:r>
          </w:p>
        </w:tc>
        <w:tc>
          <w:tcPr>
            <w:tcW w:w="1420" w:type="dxa"/>
            <w:tcBorders>
              <w:top w:val="nil"/>
              <w:left w:val="nil"/>
              <w:bottom w:val="nil"/>
              <w:right w:val="single" w:sz="4" w:space="0" w:color="auto"/>
            </w:tcBorders>
            <w:shd w:val="clear" w:color="auto" w:fill="auto"/>
            <w:vAlign w:val="bottom"/>
            <w:hideMark/>
          </w:tcPr>
          <w:p w:rsidR="009A5240" w:rsidRPr="001C4707" w:rsidRDefault="009A5240" w:rsidP="009A5240">
            <w:pPr>
              <w:spacing w:after="0" w:line="240" w:lineRule="auto"/>
              <w:jc w:val="center"/>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kg</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11,90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12,20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11,10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12,00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12,40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12,30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12,40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12,00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12,70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12,60</w:t>
            </w:r>
          </w:p>
        </w:tc>
      </w:tr>
      <w:tr w:rsidR="009A5240" w:rsidRPr="001C4707" w:rsidTr="009A5240">
        <w:trPr>
          <w:trHeight w:val="300"/>
        </w:trPr>
        <w:tc>
          <w:tcPr>
            <w:tcW w:w="3940" w:type="dxa"/>
            <w:tcBorders>
              <w:top w:val="nil"/>
              <w:left w:val="nil"/>
              <w:bottom w:val="nil"/>
              <w:right w:val="single" w:sz="4" w:space="0" w:color="auto"/>
            </w:tcBorders>
            <w:shd w:val="clear" w:color="auto" w:fill="F2F2F2" w:themeFill="background1" w:themeFillShade="F2"/>
            <w:vAlign w:val="bottom"/>
            <w:hideMark/>
          </w:tcPr>
          <w:p w:rsidR="009A5240" w:rsidRPr="001C4707" w:rsidRDefault="009A5240" w:rsidP="009A5240">
            <w:pPr>
              <w:spacing w:after="0" w:line="240" w:lineRule="auto"/>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Cukor</w:t>
            </w:r>
          </w:p>
        </w:tc>
        <w:tc>
          <w:tcPr>
            <w:tcW w:w="1420" w:type="dxa"/>
            <w:tcBorders>
              <w:top w:val="nil"/>
              <w:left w:val="nil"/>
              <w:bottom w:val="nil"/>
              <w:right w:val="single" w:sz="4" w:space="0" w:color="auto"/>
            </w:tcBorders>
            <w:shd w:val="clear" w:color="auto" w:fill="F2F2F2" w:themeFill="background1" w:themeFillShade="F2"/>
            <w:vAlign w:val="bottom"/>
            <w:hideMark/>
          </w:tcPr>
          <w:p w:rsidR="009A5240" w:rsidRPr="001C4707" w:rsidRDefault="009A5240" w:rsidP="009A5240">
            <w:pPr>
              <w:spacing w:after="0" w:line="240" w:lineRule="auto"/>
              <w:jc w:val="center"/>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kg</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27,60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27,00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30,20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34,00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31,90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29,80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34,50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33,40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34,30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623056"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34,30</w:t>
            </w:r>
          </w:p>
        </w:tc>
      </w:tr>
      <w:tr w:rsidR="009A5240" w:rsidRPr="001C4707" w:rsidTr="009A5240">
        <w:trPr>
          <w:trHeight w:val="300"/>
        </w:trPr>
        <w:tc>
          <w:tcPr>
            <w:tcW w:w="3940" w:type="dxa"/>
            <w:tcBorders>
              <w:top w:val="nil"/>
              <w:left w:val="nil"/>
              <w:bottom w:val="nil"/>
              <w:right w:val="single" w:sz="4" w:space="0" w:color="auto"/>
            </w:tcBorders>
            <w:shd w:val="clear" w:color="auto" w:fill="auto"/>
            <w:vAlign w:val="bottom"/>
            <w:hideMark/>
          </w:tcPr>
          <w:p w:rsidR="009A5240" w:rsidRPr="001C4707" w:rsidRDefault="009A5240" w:rsidP="009A5240">
            <w:pPr>
              <w:spacing w:after="0" w:line="240" w:lineRule="auto"/>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Pšenica (potravinárska)</w:t>
            </w:r>
          </w:p>
        </w:tc>
        <w:tc>
          <w:tcPr>
            <w:tcW w:w="1420" w:type="dxa"/>
            <w:tcBorders>
              <w:top w:val="nil"/>
              <w:left w:val="nil"/>
              <w:bottom w:val="nil"/>
              <w:right w:val="single" w:sz="4" w:space="0" w:color="auto"/>
            </w:tcBorders>
            <w:shd w:val="clear" w:color="auto" w:fill="auto"/>
            <w:vAlign w:val="bottom"/>
            <w:hideMark/>
          </w:tcPr>
          <w:p w:rsidR="009A5240" w:rsidRPr="001C4707" w:rsidRDefault="009A5240" w:rsidP="009A5240">
            <w:pPr>
              <w:spacing w:after="0" w:line="240" w:lineRule="auto"/>
              <w:jc w:val="center"/>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kg</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108,33</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99,91</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98,19</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99,65</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88,94</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90,81</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86,37</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80,37</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97,00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92,24</w:t>
            </w:r>
          </w:p>
        </w:tc>
      </w:tr>
      <w:tr w:rsidR="009A5240" w:rsidRPr="001C4707" w:rsidTr="009A5240">
        <w:trPr>
          <w:trHeight w:val="300"/>
        </w:trPr>
        <w:tc>
          <w:tcPr>
            <w:tcW w:w="3940" w:type="dxa"/>
            <w:tcBorders>
              <w:top w:val="nil"/>
              <w:left w:val="nil"/>
              <w:bottom w:val="nil"/>
              <w:right w:val="single" w:sz="4" w:space="0" w:color="auto"/>
            </w:tcBorders>
            <w:shd w:val="clear" w:color="auto" w:fill="F2F2F2" w:themeFill="background1" w:themeFillShade="F2"/>
            <w:vAlign w:val="bottom"/>
            <w:hideMark/>
          </w:tcPr>
          <w:p w:rsidR="009A5240" w:rsidRPr="001C4707" w:rsidRDefault="009A5240" w:rsidP="009A5240">
            <w:pPr>
              <w:spacing w:after="0" w:line="240" w:lineRule="auto"/>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Raž (potravinárska)</w:t>
            </w:r>
          </w:p>
        </w:tc>
        <w:tc>
          <w:tcPr>
            <w:tcW w:w="1420" w:type="dxa"/>
            <w:tcBorders>
              <w:top w:val="nil"/>
              <w:left w:val="nil"/>
              <w:bottom w:val="nil"/>
              <w:right w:val="single" w:sz="4" w:space="0" w:color="auto"/>
            </w:tcBorders>
            <w:shd w:val="clear" w:color="auto" w:fill="F2F2F2" w:themeFill="background1" w:themeFillShade="F2"/>
            <w:vAlign w:val="bottom"/>
            <w:hideMark/>
          </w:tcPr>
          <w:p w:rsidR="009A5240" w:rsidRPr="001C4707" w:rsidRDefault="009A5240" w:rsidP="009A5240">
            <w:pPr>
              <w:spacing w:after="0" w:line="240" w:lineRule="auto"/>
              <w:jc w:val="center"/>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kg</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8,91</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8,94</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9,39</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6,00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5,35</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3,93</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4,07</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5,33</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6,41</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6,11</w:t>
            </w:r>
          </w:p>
        </w:tc>
      </w:tr>
      <w:tr w:rsidR="009A5240" w:rsidRPr="001C4707" w:rsidTr="009A5240">
        <w:trPr>
          <w:trHeight w:val="300"/>
        </w:trPr>
        <w:tc>
          <w:tcPr>
            <w:tcW w:w="3940" w:type="dxa"/>
            <w:tcBorders>
              <w:top w:val="nil"/>
              <w:left w:val="nil"/>
              <w:bottom w:val="nil"/>
              <w:right w:val="single" w:sz="4" w:space="0" w:color="auto"/>
            </w:tcBorders>
            <w:shd w:val="clear" w:color="auto" w:fill="auto"/>
            <w:vAlign w:val="bottom"/>
            <w:hideMark/>
          </w:tcPr>
          <w:p w:rsidR="009A5240" w:rsidRPr="001C4707" w:rsidRDefault="009A5240" w:rsidP="009A5240">
            <w:pPr>
              <w:spacing w:after="0" w:line="240" w:lineRule="auto"/>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Rastlinné jedlé tuky a oleje</w:t>
            </w:r>
          </w:p>
        </w:tc>
        <w:tc>
          <w:tcPr>
            <w:tcW w:w="1420" w:type="dxa"/>
            <w:tcBorders>
              <w:top w:val="nil"/>
              <w:left w:val="nil"/>
              <w:bottom w:val="nil"/>
              <w:right w:val="single" w:sz="4" w:space="0" w:color="auto"/>
            </w:tcBorders>
            <w:shd w:val="clear" w:color="auto" w:fill="auto"/>
            <w:vAlign w:val="bottom"/>
            <w:hideMark/>
          </w:tcPr>
          <w:p w:rsidR="009A5240" w:rsidRPr="001C4707" w:rsidRDefault="009A5240" w:rsidP="009A5240">
            <w:pPr>
              <w:spacing w:after="0" w:line="240" w:lineRule="auto"/>
              <w:jc w:val="center"/>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kg</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18,90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18,30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17,70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18,40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18,20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16,50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17,30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17,70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17,40</w:t>
            </w:r>
          </w:p>
        </w:tc>
        <w:tc>
          <w:tcPr>
            <w:tcW w:w="960" w:type="dxa"/>
            <w:tcBorders>
              <w:top w:val="nil"/>
              <w:left w:val="nil"/>
              <w:bottom w:val="nil"/>
              <w:right w:val="nil"/>
            </w:tcBorders>
            <w:shd w:val="clear" w:color="auto" w:fill="auto"/>
            <w:noWrap/>
            <w:vAlign w:val="bottom"/>
            <w:hideMark/>
          </w:tcPr>
          <w:p w:rsidR="009A5240" w:rsidRPr="001C4707" w:rsidRDefault="00623056"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17,40</w:t>
            </w:r>
          </w:p>
        </w:tc>
      </w:tr>
      <w:tr w:rsidR="009A5240" w:rsidRPr="001C4707" w:rsidTr="009A5240">
        <w:trPr>
          <w:trHeight w:val="300"/>
        </w:trPr>
        <w:tc>
          <w:tcPr>
            <w:tcW w:w="3940" w:type="dxa"/>
            <w:tcBorders>
              <w:top w:val="nil"/>
              <w:left w:val="nil"/>
              <w:bottom w:val="nil"/>
              <w:right w:val="single" w:sz="4" w:space="0" w:color="auto"/>
            </w:tcBorders>
            <w:shd w:val="clear" w:color="auto" w:fill="F2F2F2" w:themeFill="background1" w:themeFillShade="F2"/>
            <w:vAlign w:val="bottom"/>
            <w:hideMark/>
          </w:tcPr>
          <w:p w:rsidR="009A5240" w:rsidRPr="001C4707" w:rsidRDefault="009A5240" w:rsidP="009A5240">
            <w:pPr>
              <w:spacing w:after="0" w:line="240" w:lineRule="auto"/>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Zemiaky</w:t>
            </w:r>
          </w:p>
        </w:tc>
        <w:tc>
          <w:tcPr>
            <w:tcW w:w="1420" w:type="dxa"/>
            <w:tcBorders>
              <w:top w:val="nil"/>
              <w:left w:val="nil"/>
              <w:bottom w:val="nil"/>
              <w:right w:val="single" w:sz="4" w:space="0" w:color="auto"/>
            </w:tcBorders>
            <w:shd w:val="clear" w:color="auto" w:fill="F2F2F2" w:themeFill="background1" w:themeFillShade="F2"/>
            <w:vAlign w:val="bottom"/>
            <w:hideMark/>
          </w:tcPr>
          <w:p w:rsidR="009A5240" w:rsidRPr="001C4707" w:rsidRDefault="009A5240" w:rsidP="009A5240">
            <w:pPr>
              <w:spacing w:after="0" w:line="240" w:lineRule="auto"/>
              <w:jc w:val="center"/>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kg</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74,80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66,30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64,20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60,30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58,60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58,70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55,10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53,80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47,60</w:t>
            </w:r>
          </w:p>
        </w:tc>
        <w:tc>
          <w:tcPr>
            <w:tcW w:w="960" w:type="dxa"/>
            <w:tcBorders>
              <w:top w:val="nil"/>
              <w:left w:val="nil"/>
              <w:bottom w:val="nil"/>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48,50</w:t>
            </w:r>
          </w:p>
        </w:tc>
      </w:tr>
      <w:tr w:rsidR="009A5240" w:rsidRPr="001C4707" w:rsidTr="009A5240">
        <w:trPr>
          <w:trHeight w:val="300"/>
        </w:trPr>
        <w:tc>
          <w:tcPr>
            <w:tcW w:w="3940" w:type="dxa"/>
            <w:tcBorders>
              <w:top w:val="nil"/>
              <w:left w:val="nil"/>
              <w:bottom w:val="nil"/>
              <w:right w:val="single" w:sz="4" w:space="0" w:color="auto"/>
            </w:tcBorders>
            <w:shd w:val="clear" w:color="auto" w:fill="auto"/>
            <w:vAlign w:val="bottom"/>
            <w:hideMark/>
          </w:tcPr>
          <w:p w:rsidR="009A5240" w:rsidRPr="001C4707" w:rsidRDefault="009A5240" w:rsidP="009A5240">
            <w:pPr>
              <w:spacing w:after="0" w:line="240" w:lineRule="auto"/>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Zelenina (v hodnote čerstvého)</w:t>
            </w:r>
          </w:p>
        </w:tc>
        <w:tc>
          <w:tcPr>
            <w:tcW w:w="1420" w:type="dxa"/>
            <w:tcBorders>
              <w:top w:val="nil"/>
              <w:left w:val="nil"/>
              <w:bottom w:val="nil"/>
              <w:right w:val="single" w:sz="4" w:space="0" w:color="auto"/>
            </w:tcBorders>
            <w:shd w:val="clear" w:color="auto" w:fill="auto"/>
            <w:vAlign w:val="bottom"/>
            <w:hideMark/>
          </w:tcPr>
          <w:p w:rsidR="009A5240" w:rsidRPr="001C4707" w:rsidRDefault="009A5240" w:rsidP="009A5240">
            <w:pPr>
              <w:spacing w:after="0" w:line="240" w:lineRule="auto"/>
              <w:jc w:val="center"/>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kg</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77,30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80,90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89,90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86,70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88,00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88,40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100,60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102,50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94,60</w:t>
            </w:r>
          </w:p>
        </w:tc>
        <w:tc>
          <w:tcPr>
            <w:tcW w:w="960" w:type="dxa"/>
            <w:tcBorders>
              <w:top w:val="nil"/>
              <w:left w:val="nil"/>
              <w:bottom w:val="nil"/>
              <w:right w:val="nil"/>
            </w:tcBorders>
            <w:shd w:val="clear" w:color="auto" w:fill="auto"/>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101,50</w:t>
            </w:r>
          </w:p>
        </w:tc>
      </w:tr>
      <w:tr w:rsidR="009A5240" w:rsidRPr="001C4707" w:rsidTr="009A5240">
        <w:trPr>
          <w:trHeight w:val="300"/>
        </w:trPr>
        <w:tc>
          <w:tcPr>
            <w:tcW w:w="3940" w:type="dxa"/>
            <w:tcBorders>
              <w:top w:val="nil"/>
              <w:left w:val="nil"/>
              <w:bottom w:val="single" w:sz="4" w:space="0" w:color="auto"/>
              <w:right w:val="single" w:sz="4" w:space="0" w:color="auto"/>
            </w:tcBorders>
            <w:shd w:val="clear" w:color="auto" w:fill="F2F2F2" w:themeFill="background1" w:themeFillShade="F2"/>
            <w:vAlign w:val="bottom"/>
            <w:hideMark/>
          </w:tcPr>
          <w:p w:rsidR="009A5240" w:rsidRPr="001C4707" w:rsidRDefault="009A5240" w:rsidP="009A5240">
            <w:pPr>
              <w:spacing w:after="0" w:line="240" w:lineRule="auto"/>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Ovocie mierneho pásma (v hodnote čerstvého)</w:t>
            </w:r>
          </w:p>
        </w:tc>
        <w:tc>
          <w:tcPr>
            <w:tcW w:w="1420" w:type="dxa"/>
            <w:tcBorders>
              <w:top w:val="nil"/>
              <w:left w:val="nil"/>
              <w:bottom w:val="single" w:sz="4" w:space="0" w:color="auto"/>
              <w:right w:val="single" w:sz="4" w:space="0" w:color="auto"/>
            </w:tcBorders>
            <w:shd w:val="clear" w:color="auto" w:fill="F2F2F2" w:themeFill="background1" w:themeFillShade="F2"/>
            <w:vAlign w:val="bottom"/>
            <w:hideMark/>
          </w:tcPr>
          <w:p w:rsidR="009A5240" w:rsidRPr="001C4707" w:rsidRDefault="009A5240" w:rsidP="009A5240">
            <w:pPr>
              <w:spacing w:after="0" w:line="240" w:lineRule="auto"/>
              <w:jc w:val="center"/>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kg</w:t>
            </w:r>
          </w:p>
        </w:tc>
        <w:tc>
          <w:tcPr>
            <w:tcW w:w="960" w:type="dxa"/>
            <w:tcBorders>
              <w:top w:val="nil"/>
              <w:left w:val="nil"/>
              <w:bottom w:val="single" w:sz="4" w:space="0" w:color="auto"/>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22,00</w:t>
            </w:r>
          </w:p>
        </w:tc>
        <w:tc>
          <w:tcPr>
            <w:tcW w:w="960" w:type="dxa"/>
            <w:tcBorders>
              <w:top w:val="nil"/>
              <w:left w:val="nil"/>
              <w:bottom w:val="single" w:sz="4" w:space="0" w:color="auto"/>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23,60</w:t>
            </w:r>
          </w:p>
        </w:tc>
        <w:tc>
          <w:tcPr>
            <w:tcW w:w="960" w:type="dxa"/>
            <w:tcBorders>
              <w:top w:val="nil"/>
              <w:left w:val="nil"/>
              <w:bottom w:val="single" w:sz="4" w:space="0" w:color="auto"/>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22,80</w:t>
            </w:r>
          </w:p>
        </w:tc>
        <w:tc>
          <w:tcPr>
            <w:tcW w:w="960" w:type="dxa"/>
            <w:tcBorders>
              <w:top w:val="nil"/>
              <w:left w:val="nil"/>
              <w:bottom w:val="single" w:sz="4" w:space="0" w:color="auto"/>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24,20</w:t>
            </w:r>
          </w:p>
        </w:tc>
        <w:tc>
          <w:tcPr>
            <w:tcW w:w="960" w:type="dxa"/>
            <w:tcBorders>
              <w:top w:val="nil"/>
              <w:left w:val="nil"/>
              <w:bottom w:val="single" w:sz="4" w:space="0" w:color="auto"/>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22,10</w:t>
            </w:r>
          </w:p>
        </w:tc>
        <w:tc>
          <w:tcPr>
            <w:tcW w:w="960" w:type="dxa"/>
            <w:tcBorders>
              <w:top w:val="nil"/>
              <w:left w:val="nil"/>
              <w:bottom w:val="single" w:sz="4" w:space="0" w:color="auto"/>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22,10</w:t>
            </w:r>
          </w:p>
        </w:tc>
        <w:tc>
          <w:tcPr>
            <w:tcW w:w="960" w:type="dxa"/>
            <w:tcBorders>
              <w:top w:val="nil"/>
              <w:left w:val="nil"/>
              <w:bottom w:val="single" w:sz="4" w:space="0" w:color="auto"/>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27,30</w:t>
            </w:r>
          </w:p>
        </w:tc>
        <w:tc>
          <w:tcPr>
            <w:tcW w:w="960" w:type="dxa"/>
            <w:tcBorders>
              <w:top w:val="nil"/>
              <w:left w:val="nil"/>
              <w:bottom w:val="single" w:sz="4" w:space="0" w:color="auto"/>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22,60</w:t>
            </w:r>
          </w:p>
        </w:tc>
        <w:tc>
          <w:tcPr>
            <w:tcW w:w="960" w:type="dxa"/>
            <w:tcBorders>
              <w:top w:val="nil"/>
              <w:left w:val="nil"/>
              <w:bottom w:val="single" w:sz="4" w:space="0" w:color="auto"/>
              <w:right w:val="nil"/>
            </w:tcBorders>
            <w:shd w:val="clear" w:color="auto" w:fill="F2F2F2" w:themeFill="background1" w:themeFillShade="F2"/>
            <w:noWrap/>
            <w:vAlign w:val="bottom"/>
            <w:hideMark/>
          </w:tcPr>
          <w:p w:rsidR="009A5240" w:rsidRPr="001C4707" w:rsidRDefault="009A5240" w:rsidP="009A5240">
            <w:pPr>
              <w:spacing w:after="0" w:line="240" w:lineRule="auto"/>
              <w:jc w:val="right"/>
              <w:rPr>
                <w:rFonts w:ascii="Times New Roman" w:eastAsia="Times New Roman" w:hAnsi="Times New Roman" w:cs="Times New Roman"/>
                <w:color w:val="000000"/>
                <w:sz w:val="20"/>
                <w:szCs w:val="20"/>
              </w:rPr>
            </w:pPr>
            <w:r w:rsidRPr="001C4707">
              <w:rPr>
                <w:rFonts w:ascii="Times New Roman" w:eastAsia="Times New Roman" w:hAnsi="Times New Roman" w:cs="Times New Roman"/>
                <w:color w:val="000000"/>
                <w:sz w:val="20"/>
                <w:szCs w:val="20"/>
              </w:rPr>
              <w:t>22,80</w:t>
            </w:r>
          </w:p>
        </w:tc>
        <w:tc>
          <w:tcPr>
            <w:tcW w:w="960" w:type="dxa"/>
            <w:tcBorders>
              <w:top w:val="nil"/>
              <w:left w:val="nil"/>
              <w:bottom w:val="single" w:sz="4" w:space="0" w:color="auto"/>
              <w:right w:val="nil"/>
            </w:tcBorders>
            <w:shd w:val="clear" w:color="auto" w:fill="F2F2F2" w:themeFill="background1" w:themeFillShade="F2"/>
            <w:noWrap/>
            <w:vAlign w:val="bottom"/>
            <w:hideMark/>
          </w:tcPr>
          <w:p w:rsidR="009A5240" w:rsidRPr="001C4707" w:rsidRDefault="00623056"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22,80</w:t>
            </w:r>
          </w:p>
        </w:tc>
      </w:tr>
    </w:tbl>
    <w:p w:rsidR="009A5240" w:rsidRDefault="009A5240" w:rsidP="009A5240">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Zdroj: VÚEPP, výpočty MPRV</w:t>
      </w:r>
    </w:p>
    <w:p w:rsidR="009A5240" w:rsidRPr="009A5240" w:rsidRDefault="009A5240" w:rsidP="009A5240">
      <w:pPr>
        <w:spacing w:after="0" w:line="240" w:lineRule="auto"/>
        <w:ind w:left="-567"/>
        <w:rPr>
          <w:rFonts w:ascii="Times New Roman" w:hAnsi="Times New Roman" w:cs="Times New Roman"/>
          <w:b/>
          <w:sz w:val="20"/>
          <w:szCs w:val="20"/>
        </w:rPr>
      </w:pPr>
      <w:r w:rsidRPr="009A5240">
        <w:rPr>
          <w:rFonts w:ascii="Times New Roman" w:hAnsi="Times New Roman" w:cs="Times New Roman"/>
          <w:b/>
          <w:sz w:val="20"/>
          <w:szCs w:val="20"/>
        </w:rPr>
        <w:t>Príloha č. 2: Bilancia hovädzieho a teľacieho mäsa v tonách jatočnej hmotnosti</w:t>
      </w:r>
    </w:p>
    <w:tbl>
      <w:tblPr>
        <w:tblW w:w="15027" w:type="dxa"/>
        <w:tblInd w:w="-497" w:type="dxa"/>
        <w:tblCellMar>
          <w:left w:w="70" w:type="dxa"/>
          <w:right w:w="70" w:type="dxa"/>
        </w:tblCellMar>
        <w:tblLook w:val="04A0" w:firstRow="1" w:lastRow="0" w:firstColumn="1" w:lastColumn="0" w:noHBand="0" w:noVBand="1"/>
      </w:tblPr>
      <w:tblGrid>
        <w:gridCol w:w="4678"/>
        <w:gridCol w:w="1276"/>
        <w:gridCol w:w="1134"/>
        <w:gridCol w:w="992"/>
        <w:gridCol w:w="993"/>
        <w:gridCol w:w="993"/>
        <w:gridCol w:w="992"/>
        <w:gridCol w:w="993"/>
        <w:gridCol w:w="992"/>
        <w:gridCol w:w="992"/>
        <w:gridCol w:w="992"/>
      </w:tblGrid>
      <w:tr w:rsidR="009A5240" w:rsidRPr="00A62C06" w:rsidTr="009A5240">
        <w:trPr>
          <w:trHeight w:val="300"/>
        </w:trPr>
        <w:tc>
          <w:tcPr>
            <w:tcW w:w="4678" w:type="dxa"/>
            <w:tcBorders>
              <w:top w:val="single" w:sz="4" w:space="0" w:color="auto"/>
              <w:left w:val="nil"/>
              <w:bottom w:val="single" w:sz="4" w:space="0" w:color="auto"/>
              <w:right w:val="single" w:sz="4" w:space="0" w:color="auto"/>
            </w:tcBorders>
            <w:shd w:val="clear" w:color="000000" w:fill="D9D9D9"/>
            <w:noWrap/>
            <w:vAlign w:val="bottom"/>
            <w:hideMark/>
          </w:tcPr>
          <w:p w:rsidR="009A5240" w:rsidRPr="00A62C06" w:rsidRDefault="009A5240" w:rsidP="009A5240">
            <w:pPr>
              <w:spacing w:after="0" w:line="240" w:lineRule="auto"/>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Ukazovateľ</w:t>
            </w:r>
          </w:p>
        </w:tc>
        <w:tc>
          <w:tcPr>
            <w:tcW w:w="1276" w:type="dxa"/>
            <w:tcBorders>
              <w:top w:val="single" w:sz="4" w:space="0" w:color="auto"/>
              <w:left w:val="nil"/>
              <w:bottom w:val="single" w:sz="4" w:space="0" w:color="auto"/>
              <w:right w:val="nil"/>
            </w:tcBorders>
            <w:shd w:val="clear" w:color="000000" w:fill="D9D9D9"/>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2002</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2003</w:t>
            </w:r>
          </w:p>
        </w:tc>
        <w:tc>
          <w:tcPr>
            <w:tcW w:w="992" w:type="dxa"/>
            <w:tcBorders>
              <w:top w:val="single" w:sz="4" w:space="0" w:color="auto"/>
              <w:left w:val="nil"/>
              <w:bottom w:val="single" w:sz="4" w:space="0" w:color="auto"/>
              <w:right w:val="nil"/>
            </w:tcBorders>
            <w:shd w:val="clear" w:color="000000" w:fill="D9D9D9"/>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2004</w:t>
            </w:r>
          </w:p>
        </w:tc>
        <w:tc>
          <w:tcPr>
            <w:tcW w:w="993" w:type="dxa"/>
            <w:tcBorders>
              <w:top w:val="single" w:sz="4" w:space="0" w:color="auto"/>
              <w:left w:val="nil"/>
              <w:bottom w:val="single" w:sz="4" w:space="0" w:color="auto"/>
              <w:right w:val="nil"/>
            </w:tcBorders>
            <w:shd w:val="clear" w:color="000000" w:fill="D9D9D9"/>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2005</w:t>
            </w:r>
          </w:p>
        </w:tc>
        <w:tc>
          <w:tcPr>
            <w:tcW w:w="993" w:type="dxa"/>
            <w:tcBorders>
              <w:top w:val="single" w:sz="4" w:space="0" w:color="auto"/>
              <w:left w:val="nil"/>
              <w:bottom w:val="single" w:sz="4" w:space="0" w:color="auto"/>
              <w:right w:val="nil"/>
            </w:tcBorders>
            <w:shd w:val="clear" w:color="000000" w:fill="D9D9D9"/>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2006</w:t>
            </w:r>
          </w:p>
        </w:tc>
        <w:tc>
          <w:tcPr>
            <w:tcW w:w="992" w:type="dxa"/>
            <w:tcBorders>
              <w:top w:val="single" w:sz="4" w:space="0" w:color="auto"/>
              <w:left w:val="nil"/>
              <w:bottom w:val="single" w:sz="4" w:space="0" w:color="auto"/>
              <w:right w:val="nil"/>
            </w:tcBorders>
            <w:shd w:val="clear" w:color="000000" w:fill="D9D9D9"/>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2007</w:t>
            </w:r>
          </w:p>
        </w:tc>
        <w:tc>
          <w:tcPr>
            <w:tcW w:w="993" w:type="dxa"/>
            <w:tcBorders>
              <w:top w:val="single" w:sz="4" w:space="0" w:color="auto"/>
              <w:left w:val="nil"/>
              <w:bottom w:val="single" w:sz="4" w:space="0" w:color="auto"/>
              <w:right w:val="nil"/>
            </w:tcBorders>
            <w:shd w:val="clear" w:color="000000" w:fill="D9D9D9"/>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2008</w:t>
            </w:r>
          </w:p>
        </w:tc>
        <w:tc>
          <w:tcPr>
            <w:tcW w:w="992" w:type="dxa"/>
            <w:tcBorders>
              <w:top w:val="single" w:sz="4" w:space="0" w:color="auto"/>
              <w:left w:val="nil"/>
              <w:bottom w:val="single" w:sz="4" w:space="0" w:color="auto"/>
              <w:right w:val="nil"/>
            </w:tcBorders>
            <w:shd w:val="clear" w:color="000000" w:fill="D9D9D9"/>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2009</w:t>
            </w:r>
          </w:p>
        </w:tc>
        <w:tc>
          <w:tcPr>
            <w:tcW w:w="992" w:type="dxa"/>
            <w:tcBorders>
              <w:top w:val="single" w:sz="4" w:space="0" w:color="auto"/>
              <w:left w:val="nil"/>
              <w:bottom w:val="single" w:sz="4" w:space="0" w:color="auto"/>
              <w:right w:val="nil"/>
            </w:tcBorders>
            <w:shd w:val="clear" w:color="000000" w:fill="D9D9D9"/>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2010</w:t>
            </w:r>
          </w:p>
        </w:tc>
        <w:tc>
          <w:tcPr>
            <w:tcW w:w="992" w:type="dxa"/>
            <w:tcBorders>
              <w:top w:val="single" w:sz="4" w:space="0" w:color="auto"/>
              <w:left w:val="nil"/>
              <w:bottom w:val="single" w:sz="4" w:space="0" w:color="auto"/>
              <w:right w:val="nil"/>
            </w:tcBorders>
            <w:shd w:val="clear" w:color="000000" w:fill="D9D9D9"/>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2011</w:t>
            </w:r>
          </w:p>
        </w:tc>
      </w:tr>
      <w:tr w:rsidR="009A5240" w:rsidRPr="00A62C06"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A62C06" w:rsidRDefault="009A5240" w:rsidP="009A5240">
            <w:pPr>
              <w:spacing w:after="0" w:line="240" w:lineRule="auto"/>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Počiatočné zásoby</w:t>
            </w:r>
          </w:p>
        </w:tc>
        <w:tc>
          <w:tcPr>
            <w:tcW w:w="1276"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1 135</w:t>
            </w:r>
          </w:p>
        </w:tc>
        <w:tc>
          <w:tcPr>
            <w:tcW w:w="1134"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1 403</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850</w:t>
            </w:r>
          </w:p>
        </w:tc>
        <w:tc>
          <w:tcPr>
            <w:tcW w:w="993"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1 063</w:t>
            </w:r>
          </w:p>
        </w:tc>
        <w:tc>
          <w:tcPr>
            <w:tcW w:w="993"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1 100</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890</w:t>
            </w:r>
          </w:p>
        </w:tc>
        <w:tc>
          <w:tcPr>
            <w:tcW w:w="993"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1 192</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586</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319</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354</w:t>
            </w:r>
          </w:p>
        </w:tc>
      </w:tr>
      <w:tr w:rsidR="009A5240" w:rsidRPr="00A62C06"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A62C06" w:rsidRDefault="009A5240" w:rsidP="009A5240">
            <w:pPr>
              <w:spacing w:after="0" w:line="240" w:lineRule="auto"/>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Hrubá domáca produkcia</w:t>
            </w:r>
          </w:p>
        </w:tc>
        <w:tc>
          <w:tcPr>
            <w:tcW w:w="1276"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29 899</w:t>
            </w:r>
          </w:p>
        </w:tc>
        <w:tc>
          <w:tcPr>
            <w:tcW w:w="1134"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31 903</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35 133</w:t>
            </w:r>
          </w:p>
        </w:tc>
        <w:tc>
          <w:tcPr>
            <w:tcW w:w="993"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32 053</w:t>
            </w:r>
          </w:p>
        </w:tc>
        <w:tc>
          <w:tcPr>
            <w:tcW w:w="993"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27 994</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29 945</w:t>
            </w:r>
          </w:p>
        </w:tc>
        <w:tc>
          <w:tcPr>
            <w:tcW w:w="993"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28 571</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27 999</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26 319</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22 246</w:t>
            </w:r>
          </w:p>
        </w:tc>
      </w:tr>
      <w:tr w:rsidR="009A5240" w:rsidRPr="00A62C06"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A62C06" w:rsidRDefault="009A5240" w:rsidP="009A5240">
            <w:pPr>
              <w:spacing w:after="0" w:line="240" w:lineRule="auto"/>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Dovoz</w:t>
            </w:r>
          </w:p>
        </w:tc>
        <w:tc>
          <w:tcPr>
            <w:tcW w:w="1276"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1 462</w:t>
            </w:r>
          </w:p>
        </w:tc>
        <w:tc>
          <w:tcPr>
            <w:tcW w:w="1134"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2 834</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19 194</w:t>
            </w:r>
          </w:p>
        </w:tc>
        <w:tc>
          <w:tcPr>
            <w:tcW w:w="993"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7 599</w:t>
            </w:r>
          </w:p>
        </w:tc>
        <w:tc>
          <w:tcPr>
            <w:tcW w:w="993"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10 207</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8 704</w:t>
            </w:r>
          </w:p>
        </w:tc>
        <w:tc>
          <w:tcPr>
            <w:tcW w:w="993"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8 386</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7 052</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11 835</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11 777</w:t>
            </w:r>
          </w:p>
        </w:tc>
      </w:tr>
      <w:tr w:rsidR="009A5240" w:rsidRPr="00A62C06"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A62C06" w:rsidRDefault="009A5240" w:rsidP="009A5240">
            <w:pPr>
              <w:spacing w:after="0" w:line="240" w:lineRule="auto"/>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 xml:space="preserve"> - v tom z EÚ</w:t>
            </w:r>
          </w:p>
        </w:tc>
        <w:tc>
          <w:tcPr>
            <w:tcW w:w="1276"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1 462</w:t>
            </w:r>
          </w:p>
        </w:tc>
        <w:tc>
          <w:tcPr>
            <w:tcW w:w="1134"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2 834</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19 148</w:t>
            </w:r>
          </w:p>
        </w:tc>
        <w:tc>
          <w:tcPr>
            <w:tcW w:w="993"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7 500</w:t>
            </w:r>
          </w:p>
        </w:tc>
        <w:tc>
          <w:tcPr>
            <w:tcW w:w="993"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10 003</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8 523</w:t>
            </w:r>
          </w:p>
        </w:tc>
        <w:tc>
          <w:tcPr>
            <w:tcW w:w="993"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8 163</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6 989</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11 553</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11 587</w:t>
            </w:r>
          </w:p>
        </w:tc>
      </w:tr>
      <w:tr w:rsidR="009A5240" w:rsidRPr="00A62C06"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A62C06" w:rsidRDefault="009A5240" w:rsidP="009A5240">
            <w:pPr>
              <w:spacing w:after="0" w:line="240" w:lineRule="auto"/>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Zmena ŠHR</w:t>
            </w:r>
          </w:p>
        </w:tc>
        <w:tc>
          <w:tcPr>
            <w:tcW w:w="1276"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-1 051</w:t>
            </w:r>
          </w:p>
        </w:tc>
        <w:tc>
          <w:tcPr>
            <w:tcW w:w="1134"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355</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-364</w:t>
            </w:r>
          </w:p>
        </w:tc>
        <w:tc>
          <w:tcPr>
            <w:tcW w:w="993"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-676</w:t>
            </w:r>
          </w:p>
        </w:tc>
        <w:tc>
          <w:tcPr>
            <w:tcW w:w="993"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-166</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-212</w:t>
            </w:r>
          </w:p>
        </w:tc>
        <w:tc>
          <w:tcPr>
            <w:tcW w:w="993"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-4</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-83</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w:t>
            </w:r>
          </w:p>
        </w:tc>
      </w:tr>
      <w:tr w:rsidR="009A5240" w:rsidRPr="00A62C06"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A62C06" w:rsidRDefault="009A5240" w:rsidP="009A5240">
            <w:pPr>
              <w:spacing w:after="0" w:line="240" w:lineRule="auto"/>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Celková ponuka</w:t>
            </w:r>
          </w:p>
        </w:tc>
        <w:tc>
          <w:tcPr>
            <w:tcW w:w="1276"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33 547</w:t>
            </w:r>
          </w:p>
        </w:tc>
        <w:tc>
          <w:tcPr>
            <w:tcW w:w="1134"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35 785</w:t>
            </w:r>
          </w:p>
        </w:tc>
        <w:tc>
          <w:tcPr>
            <w:tcW w:w="992"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55 540</w:t>
            </w:r>
          </w:p>
        </w:tc>
        <w:tc>
          <w:tcPr>
            <w:tcW w:w="993"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41 391</w:t>
            </w:r>
          </w:p>
        </w:tc>
        <w:tc>
          <w:tcPr>
            <w:tcW w:w="993"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39 467</w:t>
            </w:r>
          </w:p>
        </w:tc>
        <w:tc>
          <w:tcPr>
            <w:tcW w:w="992"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39 751</w:t>
            </w:r>
          </w:p>
        </w:tc>
        <w:tc>
          <w:tcPr>
            <w:tcW w:w="993"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38 153</w:t>
            </w:r>
          </w:p>
        </w:tc>
        <w:tc>
          <w:tcPr>
            <w:tcW w:w="992"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35 719</w:t>
            </w:r>
          </w:p>
        </w:tc>
        <w:tc>
          <w:tcPr>
            <w:tcW w:w="992"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38 473</w:t>
            </w:r>
          </w:p>
        </w:tc>
        <w:tc>
          <w:tcPr>
            <w:tcW w:w="992"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34 376</w:t>
            </w:r>
          </w:p>
        </w:tc>
      </w:tr>
      <w:tr w:rsidR="009A5240" w:rsidRPr="00A62C06"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A62C06" w:rsidRDefault="009A5240" w:rsidP="009A5240">
            <w:pPr>
              <w:spacing w:after="0" w:line="240" w:lineRule="auto"/>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Vývoz</w:t>
            </w:r>
          </w:p>
        </w:tc>
        <w:tc>
          <w:tcPr>
            <w:tcW w:w="1276"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7 272</w:t>
            </w:r>
          </w:p>
        </w:tc>
        <w:tc>
          <w:tcPr>
            <w:tcW w:w="1134"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5 195</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23 676</w:t>
            </w:r>
          </w:p>
        </w:tc>
        <w:tc>
          <w:tcPr>
            <w:tcW w:w="993"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10 492</w:t>
            </w:r>
          </w:p>
        </w:tc>
        <w:tc>
          <w:tcPr>
            <w:tcW w:w="993"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12 794</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11 799</w:t>
            </w:r>
          </w:p>
        </w:tc>
        <w:tc>
          <w:tcPr>
            <w:tcW w:w="993"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13 170</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13 884</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15 919</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15 060</w:t>
            </w:r>
          </w:p>
        </w:tc>
      </w:tr>
      <w:tr w:rsidR="009A5240" w:rsidRPr="00A62C06"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A62C06" w:rsidRDefault="009A5240" w:rsidP="009A5240">
            <w:pPr>
              <w:spacing w:after="0" w:line="240" w:lineRule="auto"/>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 xml:space="preserve"> - v tom z EÚ</w:t>
            </w:r>
          </w:p>
        </w:tc>
        <w:tc>
          <w:tcPr>
            <w:tcW w:w="1276"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6 414</w:t>
            </w:r>
          </w:p>
        </w:tc>
        <w:tc>
          <w:tcPr>
            <w:tcW w:w="1134"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5 147</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23 338</w:t>
            </w:r>
          </w:p>
        </w:tc>
        <w:tc>
          <w:tcPr>
            <w:tcW w:w="993"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9 945</w:t>
            </w:r>
          </w:p>
        </w:tc>
        <w:tc>
          <w:tcPr>
            <w:tcW w:w="993"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12 256</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11 092</w:t>
            </w:r>
          </w:p>
        </w:tc>
        <w:tc>
          <w:tcPr>
            <w:tcW w:w="993"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11 967</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11 640</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14 005</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12 898</w:t>
            </w:r>
          </w:p>
        </w:tc>
      </w:tr>
      <w:tr w:rsidR="009A5240" w:rsidRPr="00A62C06"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A62C06" w:rsidRDefault="009A5240" w:rsidP="009A5240">
            <w:pPr>
              <w:spacing w:after="0" w:line="240" w:lineRule="auto"/>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Spotreba mäsa</w:t>
            </w:r>
          </w:p>
        </w:tc>
        <w:tc>
          <w:tcPr>
            <w:tcW w:w="1276"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23 347</w:t>
            </w:r>
          </w:p>
        </w:tc>
        <w:tc>
          <w:tcPr>
            <w:tcW w:w="1134"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28 838</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29 941</w:t>
            </w:r>
          </w:p>
        </w:tc>
        <w:tc>
          <w:tcPr>
            <w:tcW w:w="993"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29 171</w:t>
            </w:r>
          </w:p>
        </w:tc>
        <w:tc>
          <w:tcPr>
            <w:tcW w:w="993"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25 047</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25 924</w:t>
            </w:r>
          </w:p>
        </w:tc>
        <w:tc>
          <w:tcPr>
            <w:tcW w:w="993"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23 803</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21 006</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21 813</w:t>
            </w:r>
          </w:p>
        </w:tc>
        <w:tc>
          <w:tcPr>
            <w:tcW w:w="992" w:type="dxa"/>
            <w:tcBorders>
              <w:top w:val="nil"/>
              <w:left w:val="nil"/>
              <w:bottom w:val="nil"/>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18 640</w:t>
            </w:r>
          </w:p>
        </w:tc>
      </w:tr>
      <w:tr w:rsidR="009A5240" w:rsidRPr="00A62C06"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A62C06" w:rsidRDefault="009A5240" w:rsidP="009A5240">
            <w:pPr>
              <w:spacing w:after="0" w:line="240" w:lineRule="auto"/>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Ostatné úbytky</w:t>
            </w:r>
          </w:p>
        </w:tc>
        <w:tc>
          <w:tcPr>
            <w:tcW w:w="1276"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1 525</w:t>
            </w:r>
          </w:p>
        </w:tc>
        <w:tc>
          <w:tcPr>
            <w:tcW w:w="1134"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902</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861</w:t>
            </w:r>
          </w:p>
        </w:tc>
        <w:tc>
          <w:tcPr>
            <w:tcW w:w="993"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627</w:t>
            </w:r>
          </w:p>
        </w:tc>
        <w:tc>
          <w:tcPr>
            <w:tcW w:w="993"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737</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835</w:t>
            </w:r>
          </w:p>
        </w:tc>
        <w:tc>
          <w:tcPr>
            <w:tcW w:w="993"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594</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511</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387</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364</w:t>
            </w:r>
          </w:p>
        </w:tc>
      </w:tr>
      <w:tr w:rsidR="009A5240" w:rsidRPr="00A62C06"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A62C06" w:rsidRDefault="009A5240" w:rsidP="009A5240">
            <w:pPr>
              <w:spacing w:after="0" w:line="240" w:lineRule="auto"/>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Celkové použitie</w:t>
            </w:r>
          </w:p>
        </w:tc>
        <w:tc>
          <w:tcPr>
            <w:tcW w:w="1276"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32 144</w:t>
            </w:r>
          </w:p>
        </w:tc>
        <w:tc>
          <w:tcPr>
            <w:tcW w:w="1134"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34 935</w:t>
            </w:r>
          </w:p>
        </w:tc>
        <w:tc>
          <w:tcPr>
            <w:tcW w:w="992"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54 478</w:t>
            </w:r>
          </w:p>
        </w:tc>
        <w:tc>
          <w:tcPr>
            <w:tcW w:w="993"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40 290</w:t>
            </w:r>
          </w:p>
        </w:tc>
        <w:tc>
          <w:tcPr>
            <w:tcW w:w="993"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38 577</w:t>
            </w:r>
          </w:p>
        </w:tc>
        <w:tc>
          <w:tcPr>
            <w:tcW w:w="992"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38 559</w:t>
            </w:r>
          </w:p>
        </w:tc>
        <w:tc>
          <w:tcPr>
            <w:tcW w:w="993"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37 567</w:t>
            </w:r>
          </w:p>
        </w:tc>
        <w:tc>
          <w:tcPr>
            <w:tcW w:w="992"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35 400</w:t>
            </w:r>
          </w:p>
        </w:tc>
        <w:tc>
          <w:tcPr>
            <w:tcW w:w="992"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38 119</w:t>
            </w:r>
          </w:p>
        </w:tc>
        <w:tc>
          <w:tcPr>
            <w:tcW w:w="992" w:type="dxa"/>
            <w:tcBorders>
              <w:top w:val="nil"/>
              <w:left w:val="nil"/>
              <w:bottom w:val="nil"/>
              <w:right w:val="nil"/>
            </w:tcBorders>
            <w:shd w:val="clear" w:color="000000" w:fill="F2F2F2"/>
            <w:noWrap/>
            <w:vAlign w:val="bottom"/>
            <w:hideMark/>
          </w:tcPr>
          <w:p w:rsidR="009A5240" w:rsidRPr="00A62C06" w:rsidRDefault="009A5240" w:rsidP="009A5240">
            <w:pPr>
              <w:spacing w:after="0" w:line="240" w:lineRule="auto"/>
              <w:jc w:val="right"/>
              <w:rPr>
                <w:rFonts w:ascii="Times New Roman" w:eastAsia="Times New Roman" w:hAnsi="Times New Roman" w:cs="Times New Roman"/>
                <w:b/>
                <w:bCs/>
                <w:color w:val="000000"/>
                <w:sz w:val="20"/>
                <w:szCs w:val="20"/>
              </w:rPr>
            </w:pPr>
            <w:r w:rsidRPr="00A62C06">
              <w:rPr>
                <w:rFonts w:ascii="Times New Roman" w:eastAsia="Times New Roman" w:hAnsi="Times New Roman" w:cs="Times New Roman"/>
                <w:b/>
                <w:bCs/>
                <w:color w:val="000000"/>
                <w:sz w:val="20"/>
                <w:szCs w:val="20"/>
              </w:rPr>
              <w:t>34 064</w:t>
            </w:r>
          </w:p>
        </w:tc>
      </w:tr>
      <w:tr w:rsidR="009A5240" w:rsidRPr="00A62C06"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A62C06" w:rsidRDefault="009A5240" w:rsidP="009A5240">
            <w:pPr>
              <w:spacing w:after="0" w:line="240" w:lineRule="auto"/>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Konečné zásoby</w:t>
            </w:r>
          </w:p>
        </w:tc>
        <w:tc>
          <w:tcPr>
            <w:tcW w:w="1276"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1 403</w:t>
            </w:r>
          </w:p>
        </w:tc>
        <w:tc>
          <w:tcPr>
            <w:tcW w:w="1134"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850</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1 063</w:t>
            </w:r>
          </w:p>
        </w:tc>
        <w:tc>
          <w:tcPr>
            <w:tcW w:w="993"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1 100</w:t>
            </w:r>
          </w:p>
        </w:tc>
        <w:tc>
          <w:tcPr>
            <w:tcW w:w="993"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890</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1 192</w:t>
            </w:r>
          </w:p>
        </w:tc>
        <w:tc>
          <w:tcPr>
            <w:tcW w:w="993"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586</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319</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354</w:t>
            </w:r>
          </w:p>
        </w:tc>
        <w:tc>
          <w:tcPr>
            <w:tcW w:w="992" w:type="dxa"/>
            <w:tcBorders>
              <w:top w:val="nil"/>
              <w:left w:val="nil"/>
              <w:bottom w:val="single" w:sz="4" w:space="0" w:color="auto"/>
              <w:right w:val="nil"/>
            </w:tcBorders>
            <w:shd w:val="clear" w:color="auto" w:fill="auto"/>
            <w:noWrap/>
            <w:vAlign w:val="bottom"/>
            <w:hideMark/>
          </w:tcPr>
          <w:p w:rsidR="009A5240" w:rsidRPr="00A62C06" w:rsidRDefault="009A5240" w:rsidP="009A5240">
            <w:pPr>
              <w:spacing w:after="0" w:line="240" w:lineRule="auto"/>
              <w:jc w:val="right"/>
              <w:rPr>
                <w:rFonts w:ascii="Times New Roman" w:eastAsia="Times New Roman" w:hAnsi="Times New Roman" w:cs="Times New Roman"/>
                <w:color w:val="000000"/>
                <w:sz w:val="20"/>
                <w:szCs w:val="20"/>
              </w:rPr>
            </w:pPr>
            <w:r w:rsidRPr="00A62C06">
              <w:rPr>
                <w:rFonts w:ascii="Times New Roman" w:eastAsia="Times New Roman" w:hAnsi="Times New Roman" w:cs="Times New Roman"/>
                <w:color w:val="000000"/>
                <w:sz w:val="20"/>
                <w:szCs w:val="20"/>
              </w:rPr>
              <w:t>311</w:t>
            </w:r>
          </w:p>
        </w:tc>
      </w:tr>
    </w:tbl>
    <w:p w:rsidR="009A5240" w:rsidRDefault="009A5240" w:rsidP="009A5240">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Zdroj: VÚEPP</w:t>
      </w:r>
    </w:p>
    <w:p w:rsidR="009A5240" w:rsidRDefault="009A5240" w:rsidP="009A5240">
      <w:pPr>
        <w:spacing w:after="0" w:line="240" w:lineRule="auto"/>
        <w:ind w:left="-567"/>
        <w:rPr>
          <w:rFonts w:ascii="Times New Roman" w:hAnsi="Times New Roman" w:cs="Times New Roman"/>
          <w:b/>
          <w:sz w:val="20"/>
          <w:szCs w:val="20"/>
        </w:rPr>
      </w:pPr>
    </w:p>
    <w:p w:rsidR="008475C4" w:rsidRDefault="008475C4" w:rsidP="009A5240">
      <w:pPr>
        <w:spacing w:after="0" w:line="240" w:lineRule="auto"/>
        <w:ind w:left="-567"/>
        <w:rPr>
          <w:rFonts w:ascii="Times New Roman" w:hAnsi="Times New Roman" w:cs="Times New Roman"/>
          <w:b/>
          <w:sz w:val="20"/>
          <w:szCs w:val="20"/>
        </w:rPr>
      </w:pPr>
    </w:p>
    <w:p w:rsidR="009A5240" w:rsidRPr="009A5240" w:rsidRDefault="009A5240" w:rsidP="009A5240">
      <w:pPr>
        <w:spacing w:after="0" w:line="240" w:lineRule="auto"/>
        <w:ind w:left="-567"/>
        <w:rPr>
          <w:rFonts w:ascii="Times New Roman" w:hAnsi="Times New Roman" w:cs="Times New Roman"/>
          <w:b/>
          <w:sz w:val="20"/>
          <w:szCs w:val="20"/>
        </w:rPr>
      </w:pPr>
      <w:r w:rsidRPr="009A5240">
        <w:rPr>
          <w:rFonts w:ascii="Times New Roman" w:hAnsi="Times New Roman" w:cs="Times New Roman"/>
          <w:b/>
          <w:sz w:val="20"/>
          <w:szCs w:val="20"/>
        </w:rPr>
        <w:t>Príloha č. 3: Bilancia bravčového mäsa v tonách jatočnej hmotnosti</w:t>
      </w:r>
    </w:p>
    <w:tbl>
      <w:tblPr>
        <w:tblW w:w="15026" w:type="dxa"/>
        <w:tblInd w:w="-497" w:type="dxa"/>
        <w:tblCellMar>
          <w:left w:w="70" w:type="dxa"/>
          <w:right w:w="70" w:type="dxa"/>
        </w:tblCellMar>
        <w:tblLook w:val="04A0" w:firstRow="1" w:lastRow="0" w:firstColumn="1" w:lastColumn="0" w:noHBand="0" w:noVBand="1"/>
      </w:tblPr>
      <w:tblGrid>
        <w:gridCol w:w="4678"/>
        <w:gridCol w:w="1276"/>
        <w:gridCol w:w="1134"/>
        <w:gridCol w:w="960"/>
        <w:gridCol w:w="960"/>
        <w:gridCol w:w="960"/>
        <w:gridCol w:w="1089"/>
        <w:gridCol w:w="960"/>
        <w:gridCol w:w="960"/>
        <w:gridCol w:w="960"/>
        <w:gridCol w:w="1089"/>
      </w:tblGrid>
      <w:tr w:rsidR="009A5240" w:rsidRPr="00001823" w:rsidTr="009A5240">
        <w:trPr>
          <w:trHeight w:val="300"/>
        </w:trPr>
        <w:tc>
          <w:tcPr>
            <w:tcW w:w="4678" w:type="dxa"/>
            <w:tcBorders>
              <w:top w:val="single" w:sz="4" w:space="0" w:color="auto"/>
              <w:left w:val="nil"/>
              <w:bottom w:val="single" w:sz="4" w:space="0" w:color="auto"/>
              <w:right w:val="single" w:sz="4" w:space="0" w:color="auto"/>
            </w:tcBorders>
            <w:shd w:val="clear" w:color="000000" w:fill="D9D9D9"/>
            <w:noWrap/>
            <w:vAlign w:val="bottom"/>
            <w:hideMark/>
          </w:tcPr>
          <w:p w:rsidR="009A5240" w:rsidRPr="00001823" w:rsidRDefault="009A5240" w:rsidP="009A5240">
            <w:pPr>
              <w:spacing w:after="0" w:line="240" w:lineRule="auto"/>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Ukazovateľ</w:t>
            </w:r>
          </w:p>
        </w:tc>
        <w:tc>
          <w:tcPr>
            <w:tcW w:w="1276" w:type="dxa"/>
            <w:tcBorders>
              <w:top w:val="single" w:sz="4" w:space="0" w:color="auto"/>
              <w:left w:val="nil"/>
              <w:bottom w:val="single" w:sz="4" w:space="0" w:color="auto"/>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2002</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2003</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2004</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2005</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2006</w:t>
            </w:r>
          </w:p>
        </w:tc>
        <w:tc>
          <w:tcPr>
            <w:tcW w:w="1089"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2007</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2008</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2009</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2010</w:t>
            </w:r>
          </w:p>
        </w:tc>
        <w:tc>
          <w:tcPr>
            <w:tcW w:w="1089"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2011</w:t>
            </w:r>
          </w:p>
        </w:tc>
      </w:tr>
      <w:tr w:rsidR="009A5240" w:rsidRPr="00001823"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Počiatočné zásoby</w:t>
            </w:r>
          </w:p>
        </w:tc>
        <w:tc>
          <w:tcPr>
            <w:tcW w:w="1276" w:type="dxa"/>
            <w:tcBorders>
              <w:top w:val="nil"/>
              <w:left w:val="nil"/>
              <w:bottom w:val="single" w:sz="4" w:space="0" w:color="auto"/>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3 370</w:t>
            </w:r>
          </w:p>
        </w:tc>
        <w:tc>
          <w:tcPr>
            <w:tcW w:w="1134"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6 111</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5 155</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3 306</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4 059</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4 062</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4 726</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2 379</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5 945</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3 245</w:t>
            </w:r>
          </w:p>
        </w:tc>
      </w:tr>
      <w:tr w:rsidR="009A5240" w:rsidRPr="00001823"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Hrubá domáca produkcia</w:t>
            </w:r>
          </w:p>
        </w:tc>
        <w:tc>
          <w:tcPr>
            <w:tcW w:w="1276" w:type="dxa"/>
            <w:tcBorders>
              <w:top w:val="nil"/>
              <w:left w:val="nil"/>
              <w:bottom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162 517</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181 547</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160 887</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132 394</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120 268</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117 059</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99 723</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86 558</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86 621</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88 197</w:t>
            </w:r>
          </w:p>
        </w:tc>
      </w:tr>
      <w:tr w:rsidR="009A5240" w:rsidRPr="00001823"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Dovoz</w:t>
            </w:r>
          </w:p>
        </w:tc>
        <w:tc>
          <w:tcPr>
            <w:tcW w:w="1276" w:type="dxa"/>
            <w:tcBorders>
              <w:top w:val="nil"/>
              <w:left w:val="nil"/>
              <w:bottom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20 410</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18 454</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45 787</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108 314</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108 290</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104 575</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107 425</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110 626</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120 137</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115 001</w:t>
            </w:r>
          </w:p>
        </w:tc>
      </w:tr>
      <w:tr w:rsidR="009A5240" w:rsidRPr="00001823"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 xml:space="preserve"> - v tom z EÚ-25</w:t>
            </w:r>
          </w:p>
        </w:tc>
        <w:tc>
          <w:tcPr>
            <w:tcW w:w="1276" w:type="dxa"/>
            <w:tcBorders>
              <w:top w:val="nil"/>
              <w:left w:val="nil"/>
              <w:bottom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20 190</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18 384</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45 727</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108 093</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108 166</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104 509</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106 815</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110 001</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119 990</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114 528</w:t>
            </w:r>
          </w:p>
        </w:tc>
      </w:tr>
      <w:tr w:rsidR="009A5240" w:rsidRPr="00001823"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Zmena ŠHR</w:t>
            </w:r>
          </w:p>
        </w:tc>
        <w:tc>
          <w:tcPr>
            <w:tcW w:w="1276" w:type="dxa"/>
            <w:tcBorders>
              <w:top w:val="nil"/>
              <w:left w:val="nil"/>
              <w:bottom w:val="single" w:sz="4" w:space="0" w:color="auto"/>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965</w:t>
            </w:r>
          </w:p>
        </w:tc>
        <w:tc>
          <w:tcPr>
            <w:tcW w:w="1134"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-554</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-712</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-801</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-169</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205</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-72</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79</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w:t>
            </w:r>
          </w:p>
        </w:tc>
      </w:tr>
      <w:tr w:rsidR="009A5240" w:rsidRPr="00001823"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001823" w:rsidRDefault="009A5240" w:rsidP="009A5240">
            <w:pPr>
              <w:spacing w:after="0" w:line="240" w:lineRule="auto"/>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Celková ponuka</w:t>
            </w:r>
          </w:p>
        </w:tc>
        <w:tc>
          <w:tcPr>
            <w:tcW w:w="1276" w:type="dxa"/>
            <w:tcBorders>
              <w:top w:val="nil"/>
              <w:left w:val="nil"/>
              <w:bottom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185 333</w:t>
            </w:r>
          </w:p>
        </w:tc>
        <w:tc>
          <w:tcPr>
            <w:tcW w:w="1134"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206 665</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212 542</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244 816</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232 785</w:t>
            </w:r>
          </w:p>
        </w:tc>
        <w:tc>
          <w:tcPr>
            <w:tcW w:w="1089"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225 490</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211 946</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199 483</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212 703</w:t>
            </w:r>
          </w:p>
        </w:tc>
        <w:tc>
          <w:tcPr>
            <w:tcW w:w="1089"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206 435</w:t>
            </w:r>
          </w:p>
        </w:tc>
      </w:tr>
      <w:tr w:rsidR="009A5240" w:rsidRPr="00001823"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Vývoz</w:t>
            </w:r>
          </w:p>
        </w:tc>
        <w:tc>
          <w:tcPr>
            <w:tcW w:w="1276" w:type="dxa"/>
            <w:tcBorders>
              <w:top w:val="nil"/>
              <w:left w:val="nil"/>
              <w:bottom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335</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285</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6 555</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34 863</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38 117</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39 666</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31 701</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23 566</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41 617</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50 089</w:t>
            </w:r>
          </w:p>
        </w:tc>
      </w:tr>
      <w:tr w:rsidR="009A5240" w:rsidRPr="00001823"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 xml:space="preserve"> - v tom z EÚ-25</w:t>
            </w:r>
          </w:p>
        </w:tc>
        <w:tc>
          <w:tcPr>
            <w:tcW w:w="1276" w:type="dxa"/>
            <w:tcBorders>
              <w:top w:val="nil"/>
              <w:left w:val="nil"/>
              <w:bottom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331</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283</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6 530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33 816</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37 218</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39 542</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31 138</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23 489</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41 546</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49 345</w:t>
            </w:r>
          </w:p>
        </w:tc>
      </w:tr>
      <w:tr w:rsidR="009A5240" w:rsidRPr="00001823"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Spotreba mäsa</w:t>
            </w:r>
          </w:p>
        </w:tc>
        <w:tc>
          <w:tcPr>
            <w:tcW w:w="1276" w:type="dxa"/>
            <w:tcBorders>
              <w:top w:val="nil"/>
              <w:left w:val="nil"/>
              <w:bottom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172 400</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197 366</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199 352</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203 393</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188 012</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178 442</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175 742</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168 583</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166 575</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151 872</w:t>
            </w:r>
          </w:p>
        </w:tc>
      </w:tr>
      <w:tr w:rsidR="009A5240" w:rsidRPr="00001823"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Ostatné úbytky</w:t>
            </w:r>
          </w:p>
        </w:tc>
        <w:tc>
          <w:tcPr>
            <w:tcW w:w="1276" w:type="dxa"/>
            <w:tcBorders>
              <w:top w:val="nil"/>
              <w:left w:val="nil"/>
              <w:bottom w:val="single" w:sz="4" w:space="0" w:color="auto"/>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6 487</w:t>
            </w:r>
          </w:p>
        </w:tc>
        <w:tc>
          <w:tcPr>
            <w:tcW w:w="1134"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3 860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3 328</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2 500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2 595</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2 656</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2 125</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1 389</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1 266</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1 245</w:t>
            </w:r>
          </w:p>
        </w:tc>
      </w:tr>
      <w:tr w:rsidR="009A5240" w:rsidRPr="00001823"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001823" w:rsidRDefault="009A5240" w:rsidP="009A5240">
            <w:pPr>
              <w:spacing w:after="0" w:line="240" w:lineRule="auto"/>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Celkové použitie</w:t>
            </w:r>
          </w:p>
        </w:tc>
        <w:tc>
          <w:tcPr>
            <w:tcW w:w="1276" w:type="dxa"/>
            <w:tcBorders>
              <w:top w:val="nil"/>
              <w:left w:val="nil"/>
              <w:bottom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179 222</w:t>
            </w:r>
          </w:p>
        </w:tc>
        <w:tc>
          <w:tcPr>
            <w:tcW w:w="1134"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201 510</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209 236</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240 757</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228 724</w:t>
            </w:r>
          </w:p>
        </w:tc>
        <w:tc>
          <w:tcPr>
            <w:tcW w:w="1089"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220 764</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209 567</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193 538</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209 458</w:t>
            </w:r>
          </w:p>
        </w:tc>
        <w:tc>
          <w:tcPr>
            <w:tcW w:w="1089"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203 205</w:t>
            </w:r>
          </w:p>
        </w:tc>
      </w:tr>
      <w:tr w:rsidR="009A5240" w:rsidRPr="00001823"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Konečné zásoby</w:t>
            </w:r>
          </w:p>
        </w:tc>
        <w:tc>
          <w:tcPr>
            <w:tcW w:w="1276" w:type="dxa"/>
            <w:tcBorders>
              <w:top w:val="nil"/>
              <w:left w:val="nil"/>
              <w:bottom w:val="single" w:sz="4" w:space="0" w:color="auto"/>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6 111</w:t>
            </w:r>
          </w:p>
        </w:tc>
        <w:tc>
          <w:tcPr>
            <w:tcW w:w="1134"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5 155</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3 306</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4 059</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4 062</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4 726</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2 379</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5 945</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3 245</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3 230</w:t>
            </w:r>
          </w:p>
        </w:tc>
      </w:tr>
    </w:tbl>
    <w:p w:rsidR="009A5240" w:rsidRPr="009A5240" w:rsidRDefault="009A5240" w:rsidP="009A5240">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Zdroj: VÚEPP</w:t>
      </w:r>
    </w:p>
    <w:p w:rsidR="009A5240" w:rsidRPr="009A5240" w:rsidRDefault="009A5240" w:rsidP="009A5240">
      <w:pPr>
        <w:spacing w:after="0" w:line="240" w:lineRule="auto"/>
        <w:ind w:left="-567"/>
        <w:rPr>
          <w:rFonts w:ascii="Times New Roman" w:hAnsi="Times New Roman" w:cs="Times New Roman"/>
          <w:b/>
          <w:sz w:val="20"/>
          <w:szCs w:val="20"/>
        </w:rPr>
      </w:pPr>
      <w:r w:rsidRPr="009A5240">
        <w:rPr>
          <w:rFonts w:ascii="Times New Roman" w:hAnsi="Times New Roman" w:cs="Times New Roman"/>
          <w:b/>
          <w:sz w:val="20"/>
          <w:szCs w:val="20"/>
        </w:rPr>
        <w:t>Príloha č. 4: Bilancia hydinového mäsa v tonách jatočnej hmotnosti</w:t>
      </w:r>
    </w:p>
    <w:tbl>
      <w:tblPr>
        <w:tblW w:w="15026" w:type="dxa"/>
        <w:tblInd w:w="-497" w:type="dxa"/>
        <w:tblCellMar>
          <w:left w:w="70" w:type="dxa"/>
          <w:right w:w="70" w:type="dxa"/>
        </w:tblCellMar>
        <w:tblLook w:val="04A0" w:firstRow="1" w:lastRow="0" w:firstColumn="1" w:lastColumn="0" w:noHBand="0" w:noVBand="1"/>
      </w:tblPr>
      <w:tblGrid>
        <w:gridCol w:w="4678"/>
        <w:gridCol w:w="1276"/>
        <w:gridCol w:w="1134"/>
        <w:gridCol w:w="960"/>
        <w:gridCol w:w="960"/>
        <w:gridCol w:w="960"/>
        <w:gridCol w:w="1089"/>
        <w:gridCol w:w="960"/>
        <w:gridCol w:w="960"/>
        <w:gridCol w:w="960"/>
        <w:gridCol w:w="1089"/>
      </w:tblGrid>
      <w:tr w:rsidR="009A5240" w:rsidRPr="00001823" w:rsidTr="009A5240">
        <w:trPr>
          <w:trHeight w:val="300"/>
        </w:trPr>
        <w:tc>
          <w:tcPr>
            <w:tcW w:w="4678" w:type="dxa"/>
            <w:tcBorders>
              <w:top w:val="single" w:sz="4" w:space="0" w:color="auto"/>
              <w:left w:val="nil"/>
              <w:bottom w:val="single" w:sz="4" w:space="0" w:color="auto"/>
              <w:right w:val="single" w:sz="4" w:space="0" w:color="auto"/>
            </w:tcBorders>
            <w:shd w:val="clear" w:color="000000" w:fill="D9D9D9"/>
            <w:noWrap/>
            <w:vAlign w:val="bottom"/>
            <w:hideMark/>
          </w:tcPr>
          <w:p w:rsidR="009A5240" w:rsidRPr="00001823" w:rsidRDefault="009A5240" w:rsidP="009A5240">
            <w:pPr>
              <w:spacing w:after="0" w:line="240" w:lineRule="auto"/>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Ukazovateľ</w:t>
            </w:r>
          </w:p>
        </w:tc>
        <w:tc>
          <w:tcPr>
            <w:tcW w:w="1276"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2002</w:t>
            </w:r>
          </w:p>
        </w:tc>
        <w:tc>
          <w:tcPr>
            <w:tcW w:w="1134" w:type="dxa"/>
            <w:tcBorders>
              <w:top w:val="single" w:sz="4" w:space="0" w:color="auto"/>
              <w:left w:val="nil"/>
              <w:bottom w:val="nil"/>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2003</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2004</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2005</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2006</w:t>
            </w:r>
          </w:p>
        </w:tc>
        <w:tc>
          <w:tcPr>
            <w:tcW w:w="1089"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2007</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2008</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2009</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2010</w:t>
            </w:r>
          </w:p>
        </w:tc>
        <w:tc>
          <w:tcPr>
            <w:tcW w:w="1089"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2011</w:t>
            </w:r>
          </w:p>
        </w:tc>
      </w:tr>
      <w:tr w:rsidR="009A5240" w:rsidRPr="00001823"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Počiatočné zásoby</w:t>
            </w:r>
          </w:p>
        </w:tc>
        <w:tc>
          <w:tcPr>
            <w:tcW w:w="1276"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4 867</w:t>
            </w:r>
          </w:p>
        </w:tc>
        <w:tc>
          <w:tcPr>
            <w:tcW w:w="1134" w:type="dxa"/>
            <w:tcBorders>
              <w:top w:val="single" w:sz="4" w:space="0" w:color="auto"/>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6 582</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4 402</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4 084</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5 784</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6 235</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5 957</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6 019</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7 999</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3 058</w:t>
            </w:r>
          </w:p>
        </w:tc>
      </w:tr>
      <w:tr w:rsidR="009A5240" w:rsidRPr="00001823"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Hrubá domáca produkcia</w:t>
            </w:r>
          </w:p>
        </w:tc>
        <w:tc>
          <w:tcPr>
            <w:tcW w:w="1276"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98 109</w:t>
            </w:r>
          </w:p>
        </w:tc>
        <w:tc>
          <w:tcPr>
            <w:tcW w:w="1134" w:type="dxa"/>
            <w:tcBorders>
              <w:top w:val="single" w:sz="4" w:space="0" w:color="auto"/>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93 371</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85 588</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94 318</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95 698</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83 485</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75 130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79 088</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87 998</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72 253</w:t>
            </w:r>
          </w:p>
        </w:tc>
      </w:tr>
      <w:tr w:rsidR="009A5240" w:rsidRPr="00001823"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Dovoz</w:t>
            </w:r>
          </w:p>
        </w:tc>
        <w:tc>
          <w:tcPr>
            <w:tcW w:w="1276"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20 105</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22 444</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35 810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44 193</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45 706</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43 721</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56 972</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71 275</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71 817</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87 899</w:t>
            </w:r>
          </w:p>
        </w:tc>
      </w:tr>
      <w:tr w:rsidR="009A5240" w:rsidRPr="00001823"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 xml:space="preserve"> - v tom z EÚ-25</w:t>
            </w:r>
          </w:p>
        </w:tc>
        <w:tc>
          <w:tcPr>
            <w:tcW w:w="1276"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13 249</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16 207</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28 277</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40 483</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40 189</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36 808</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51 338</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61 153</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71 294</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80 138</w:t>
            </w:r>
          </w:p>
        </w:tc>
      </w:tr>
      <w:tr w:rsidR="009A5240" w:rsidRPr="00001823"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001823" w:rsidRDefault="009A5240" w:rsidP="009A5240">
            <w:pPr>
              <w:spacing w:after="0" w:line="240" w:lineRule="auto"/>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Celková ponuka</w:t>
            </w:r>
          </w:p>
        </w:tc>
        <w:tc>
          <w:tcPr>
            <w:tcW w:w="1276"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123 080</w:t>
            </w:r>
          </w:p>
        </w:tc>
        <w:tc>
          <w:tcPr>
            <w:tcW w:w="1134" w:type="dxa"/>
            <w:tcBorders>
              <w:top w:val="single" w:sz="4" w:space="0" w:color="auto"/>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122 397</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125 800</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142 595</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147 187</w:t>
            </w:r>
          </w:p>
        </w:tc>
        <w:tc>
          <w:tcPr>
            <w:tcW w:w="1089"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133 441</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138 060</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156 383</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167 814</w:t>
            </w:r>
          </w:p>
        </w:tc>
        <w:tc>
          <w:tcPr>
            <w:tcW w:w="1089"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163 212</w:t>
            </w:r>
          </w:p>
        </w:tc>
      </w:tr>
      <w:tr w:rsidR="009A5240" w:rsidRPr="00001823"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Vývoz</w:t>
            </w:r>
          </w:p>
        </w:tc>
        <w:tc>
          <w:tcPr>
            <w:tcW w:w="1276"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4 119</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6 803</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16 724</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25 850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23 533</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22 476</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29 005</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35 585</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61 559</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55 846</w:t>
            </w:r>
          </w:p>
        </w:tc>
      </w:tr>
      <w:tr w:rsidR="009A5240" w:rsidRPr="00001823"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 xml:space="preserve"> - v tom z EÚ-25</w:t>
            </w:r>
          </w:p>
        </w:tc>
        <w:tc>
          <w:tcPr>
            <w:tcW w:w="1276"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4 086</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6 711</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16 522</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25 044</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22 446</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21 174</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24 877</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34 662</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42 538</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50 078</w:t>
            </w:r>
          </w:p>
        </w:tc>
      </w:tr>
      <w:tr w:rsidR="009A5240" w:rsidRPr="00001823"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Spotreba mäsa</w:t>
            </w:r>
          </w:p>
        </w:tc>
        <w:tc>
          <w:tcPr>
            <w:tcW w:w="1276"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112 379</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111 192</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104 992</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110 961</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117 419</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105 008</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103 036</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112 798</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103 197</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104 134</w:t>
            </w:r>
          </w:p>
        </w:tc>
      </w:tr>
      <w:tr w:rsidR="009A5240" w:rsidRPr="00001823"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001823" w:rsidRDefault="009A5240" w:rsidP="009A5240">
            <w:pPr>
              <w:spacing w:after="0" w:line="240" w:lineRule="auto"/>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Celkové použitie</w:t>
            </w:r>
          </w:p>
        </w:tc>
        <w:tc>
          <w:tcPr>
            <w:tcW w:w="1276"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116 498</w:t>
            </w:r>
          </w:p>
        </w:tc>
        <w:tc>
          <w:tcPr>
            <w:tcW w:w="1134" w:type="dxa"/>
            <w:tcBorders>
              <w:top w:val="single" w:sz="4" w:space="0" w:color="auto"/>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117 995</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121 716</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136 811</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140 952</w:t>
            </w:r>
          </w:p>
        </w:tc>
        <w:tc>
          <w:tcPr>
            <w:tcW w:w="1089"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127 484</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132 041</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148 383</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164 756</w:t>
            </w:r>
          </w:p>
        </w:tc>
        <w:tc>
          <w:tcPr>
            <w:tcW w:w="1089"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159 980</w:t>
            </w:r>
          </w:p>
        </w:tc>
      </w:tr>
      <w:tr w:rsidR="009A5240" w:rsidRPr="00001823"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Konečné zásoby</w:t>
            </w:r>
          </w:p>
        </w:tc>
        <w:tc>
          <w:tcPr>
            <w:tcW w:w="1276"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6 582</w:t>
            </w:r>
          </w:p>
        </w:tc>
        <w:tc>
          <w:tcPr>
            <w:tcW w:w="1134"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4 402</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4 084</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5 784</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6 235</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5 957</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6 019</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7 999</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3 058</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3 232</w:t>
            </w:r>
          </w:p>
        </w:tc>
      </w:tr>
    </w:tbl>
    <w:p w:rsidR="009A5240" w:rsidRDefault="009A5240" w:rsidP="009A5240">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Zdroj: VÚEPP</w:t>
      </w:r>
    </w:p>
    <w:p w:rsidR="009A5240" w:rsidRDefault="009A5240" w:rsidP="009A5240">
      <w:pPr>
        <w:spacing w:after="0" w:line="240" w:lineRule="auto"/>
        <w:ind w:left="-567"/>
        <w:rPr>
          <w:rFonts w:ascii="Times New Roman" w:hAnsi="Times New Roman" w:cs="Times New Roman"/>
          <w:b/>
          <w:sz w:val="24"/>
          <w:szCs w:val="24"/>
        </w:rPr>
      </w:pPr>
    </w:p>
    <w:p w:rsidR="009A5240" w:rsidRDefault="009A5240" w:rsidP="009A5240">
      <w:pPr>
        <w:spacing w:after="0" w:line="240" w:lineRule="auto"/>
        <w:ind w:left="-567"/>
        <w:rPr>
          <w:rFonts w:ascii="Times New Roman" w:hAnsi="Times New Roman" w:cs="Times New Roman"/>
          <w:b/>
          <w:sz w:val="24"/>
          <w:szCs w:val="24"/>
        </w:rPr>
      </w:pPr>
    </w:p>
    <w:p w:rsidR="009A5240" w:rsidRDefault="009A5240" w:rsidP="009A5240">
      <w:pPr>
        <w:spacing w:after="0" w:line="240" w:lineRule="auto"/>
        <w:ind w:left="-567"/>
        <w:rPr>
          <w:rFonts w:ascii="Times New Roman" w:hAnsi="Times New Roman" w:cs="Times New Roman"/>
          <w:b/>
          <w:sz w:val="24"/>
          <w:szCs w:val="24"/>
        </w:rPr>
      </w:pPr>
    </w:p>
    <w:p w:rsidR="009A5240" w:rsidRDefault="009A5240" w:rsidP="009A5240">
      <w:pPr>
        <w:spacing w:after="0" w:line="240" w:lineRule="auto"/>
        <w:ind w:left="-567"/>
        <w:rPr>
          <w:rFonts w:ascii="Times New Roman" w:hAnsi="Times New Roman" w:cs="Times New Roman"/>
          <w:b/>
          <w:sz w:val="20"/>
          <w:szCs w:val="20"/>
        </w:rPr>
      </w:pPr>
    </w:p>
    <w:p w:rsidR="008475C4" w:rsidRDefault="008475C4" w:rsidP="009A5240">
      <w:pPr>
        <w:spacing w:after="0" w:line="240" w:lineRule="auto"/>
        <w:ind w:left="-567"/>
        <w:rPr>
          <w:rFonts w:ascii="Times New Roman" w:hAnsi="Times New Roman" w:cs="Times New Roman"/>
          <w:b/>
          <w:sz w:val="20"/>
          <w:szCs w:val="20"/>
        </w:rPr>
      </w:pPr>
    </w:p>
    <w:p w:rsidR="009A5240" w:rsidRPr="009A5240" w:rsidRDefault="009A5240" w:rsidP="009A5240">
      <w:pPr>
        <w:spacing w:after="0" w:line="240" w:lineRule="auto"/>
        <w:ind w:left="-567"/>
        <w:rPr>
          <w:rFonts w:ascii="Times New Roman" w:hAnsi="Times New Roman" w:cs="Times New Roman"/>
          <w:b/>
          <w:sz w:val="20"/>
          <w:szCs w:val="20"/>
        </w:rPr>
      </w:pPr>
      <w:r w:rsidRPr="009A5240">
        <w:rPr>
          <w:rFonts w:ascii="Times New Roman" w:hAnsi="Times New Roman" w:cs="Times New Roman"/>
          <w:b/>
          <w:sz w:val="20"/>
          <w:szCs w:val="20"/>
        </w:rPr>
        <w:t>Príloha č. 5: Bilancia ovčieho mäsa v tonách jatočnej hmotnosti</w:t>
      </w:r>
    </w:p>
    <w:tbl>
      <w:tblPr>
        <w:tblW w:w="15026" w:type="dxa"/>
        <w:tblInd w:w="-497" w:type="dxa"/>
        <w:tblCellMar>
          <w:left w:w="70" w:type="dxa"/>
          <w:right w:w="70" w:type="dxa"/>
        </w:tblCellMar>
        <w:tblLook w:val="04A0" w:firstRow="1" w:lastRow="0" w:firstColumn="1" w:lastColumn="0" w:noHBand="0" w:noVBand="1"/>
      </w:tblPr>
      <w:tblGrid>
        <w:gridCol w:w="4678"/>
        <w:gridCol w:w="1276"/>
        <w:gridCol w:w="1134"/>
        <w:gridCol w:w="960"/>
        <w:gridCol w:w="960"/>
        <w:gridCol w:w="960"/>
        <w:gridCol w:w="1089"/>
        <w:gridCol w:w="960"/>
        <w:gridCol w:w="960"/>
        <w:gridCol w:w="960"/>
        <w:gridCol w:w="1089"/>
      </w:tblGrid>
      <w:tr w:rsidR="009A5240" w:rsidRPr="00001823" w:rsidTr="009A5240">
        <w:trPr>
          <w:trHeight w:val="300"/>
        </w:trPr>
        <w:tc>
          <w:tcPr>
            <w:tcW w:w="4678" w:type="dxa"/>
            <w:tcBorders>
              <w:top w:val="single" w:sz="4" w:space="0" w:color="auto"/>
              <w:left w:val="nil"/>
              <w:bottom w:val="single" w:sz="4" w:space="0" w:color="auto"/>
              <w:right w:val="single" w:sz="4" w:space="0" w:color="auto"/>
            </w:tcBorders>
            <w:shd w:val="clear" w:color="000000" w:fill="D9D9D9"/>
            <w:noWrap/>
            <w:vAlign w:val="bottom"/>
            <w:hideMark/>
          </w:tcPr>
          <w:p w:rsidR="009A5240" w:rsidRPr="00001823" w:rsidRDefault="009A5240" w:rsidP="009A5240">
            <w:pPr>
              <w:spacing w:after="0" w:line="240" w:lineRule="auto"/>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Ukazovateľ</w:t>
            </w:r>
          </w:p>
        </w:tc>
        <w:tc>
          <w:tcPr>
            <w:tcW w:w="1276"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2002</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2003</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2004</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2005</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2006</w:t>
            </w:r>
          </w:p>
        </w:tc>
        <w:tc>
          <w:tcPr>
            <w:tcW w:w="1089"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2007</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2008</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2009</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2010</w:t>
            </w:r>
          </w:p>
        </w:tc>
        <w:tc>
          <w:tcPr>
            <w:tcW w:w="1089"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2011</w:t>
            </w:r>
          </w:p>
        </w:tc>
      </w:tr>
      <w:tr w:rsidR="009A5240" w:rsidRPr="00001823"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Počiatočné zásoby</w:t>
            </w:r>
          </w:p>
        </w:tc>
        <w:tc>
          <w:tcPr>
            <w:tcW w:w="1276"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84</w:t>
            </w:r>
          </w:p>
        </w:tc>
        <w:tc>
          <w:tcPr>
            <w:tcW w:w="1134"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r>
      <w:tr w:rsidR="009A5240" w:rsidRPr="00001823"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Hrubá domáca produkcia</w:t>
            </w:r>
          </w:p>
        </w:tc>
        <w:tc>
          <w:tcPr>
            <w:tcW w:w="1276"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1 795</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1 179</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1 238</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1 510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1 145</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1 012</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1 178</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1 208</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1 345</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1 188</w:t>
            </w:r>
          </w:p>
        </w:tc>
      </w:tr>
      <w:tr w:rsidR="009A5240" w:rsidRPr="00001823"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Dovoz</w:t>
            </w:r>
          </w:p>
        </w:tc>
        <w:tc>
          <w:tcPr>
            <w:tcW w:w="1276"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29</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37</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43</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70</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41</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49</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19</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22</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67</w:t>
            </w:r>
          </w:p>
        </w:tc>
      </w:tr>
      <w:tr w:rsidR="009A5240" w:rsidRPr="00001823"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 xml:space="preserve"> - v tom z EÚ</w:t>
            </w:r>
          </w:p>
        </w:tc>
        <w:tc>
          <w:tcPr>
            <w:tcW w:w="1276"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29</w:t>
            </w:r>
          </w:p>
        </w:tc>
        <w:tc>
          <w:tcPr>
            <w:tcW w:w="1134"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37</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35</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23</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25</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28</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8</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9</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54</w:t>
            </w:r>
          </w:p>
        </w:tc>
      </w:tr>
      <w:tr w:rsidR="009A5240" w:rsidRPr="00001823"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001823" w:rsidRDefault="009A5240" w:rsidP="009A5240">
            <w:pPr>
              <w:spacing w:after="0" w:line="240" w:lineRule="auto"/>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Celková ponuka</w:t>
            </w:r>
          </w:p>
        </w:tc>
        <w:tc>
          <w:tcPr>
            <w:tcW w:w="1276"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1 824</w:t>
            </w:r>
          </w:p>
        </w:tc>
        <w:tc>
          <w:tcPr>
            <w:tcW w:w="1134"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1 216</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1 278</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1 554</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1 215</w:t>
            </w:r>
          </w:p>
        </w:tc>
        <w:tc>
          <w:tcPr>
            <w:tcW w:w="1089"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1 053</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1 226</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1 227</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1 368</w:t>
            </w:r>
          </w:p>
        </w:tc>
        <w:tc>
          <w:tcPr>
            <w:tcW w:w="1089"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1 255</w:t>
            </w:r>
          </w:p>
        </w:tc>
      </w:tr>
      <w:tr w:rsidR="009A5240" w:rsidRPr="00001823"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Vývoz</w:t>
            </w:r>
          </w:p>
        </w:tc>
        <w:tc>
          <w:tcPr>
            <w:tcW w:w="1276"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751</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831</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935</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827</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918</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752</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788</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502</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661</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784</w:t>
            </w:r>
          </w:p>
        </w:tc>
      </w:tr>
      <w:tr w:rsidR="009A5240" w:rsidRPr="00001823"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 xml:space="preserve"> - v tom z EÚ</w:t>
            </w:r>
          </w:p>
        </w:tc>
        <w:tc>
          <w:tcPr>
            <w:tcW w:w="1276"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751</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831</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935</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827</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917</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752</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787</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502</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661</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784</w:t>
            </w:r>
          </w:p>
        </w:tc>
      </w:tr>
      <w:tr w:rsidR="009A5240" w:rsidRPr="00001823" w:rsidTr="009A5240">
        <w:trPr>
          <w:trHeight w:val="300"/>
        </w:trPr>
        <w:tc>
          <w:tcPr>
            <w:tcW w:w="4678"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Spotreba mäsa</w:t>
            </w:r>
          </w:p>
        </w:tc>
        <w:tc>
          <w:tcPr>
            <w:tcW w:w="1276" w:type="dxa"/>
            <w:tcBorders>
              <w:top w:val="nil"/>
              <w:left w:val="single" w:sz="4" w:space="0" w:color="auto"/>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1 070</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384</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343</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727</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297</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300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437</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725</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706</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471</w:t>
            </w:r>
          </w:p>
        </w:tc>
      </w:tr>
      <w:tr w:rsidR="009A5240" w:rsidRPr="00001823"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Ostatné úbytky</w:t>
            </w:r>
          </w:p>
        </w:tc>
        <w:tc>
          <w:tcPr>
            <w:tcW w:w="1276"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r>
      <w:tr w:rsidR="009A5240" w:rsidRPr="00001823"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001823" w:rsidRDefault="009A5240" w:rsidP="009A5240">
            <w:pPr>
              <w:spacing w:after="0" w:line="240" w:lineRule="auto"/>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Celkové použitie</w:t>
            </w:r>
          </w:p>
        </w:tc>
        <w:tc>
          <w:tcPr>
            <w:tcW w:w="1276"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1 822</w:t>
            </w:r>
          </w:p>
        </w:tc>
        <w:tc>
          <w:tcPr>
            <w:tcW w:w="1134"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1 216</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1 278</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1 554</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1 215</w:t>
            </w:r>
          </w:p>
        </w:tc>
        <w:tc>
          <w:tcPr>
            <w:tcW w:w="1089"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1 053</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1 226</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1 227</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1 368</w:t>
            </w:r>
          </w:p>
        </w:tc>
        <w:tc>
          <w:tcPr>
            <w:tcW w:w="1089"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1 255</w:t>
            </w:r>
          </w:p>
        </w:tc>
      </w:tr>
      <w:tr w:rsidR="009A5240" w:rsidRPr="00001823"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Konečné zásoby</w:t>
            </w:r>
          </w:p>
        </w:tc>
        <w:tc>
          <w:tcPr>
            <w:tcW w:w="1276"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86</w:t>
            </w:r>
          </w:p>
        </w:tc>
        <w:tc>
          <w:tcPr>
            <w:tcW w:w="1134"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w:t>
            </w:r>
          </w:p>
        </w:tc>
      </w:tr>
    </w:tbl>
    <w:p w:rsidR="009A5240" w:rsidRPr="009A5240" w:rsidRDefault="009A5240" w:rsidP="009A5240">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Zdroj: VÚEPP</w:t>
      </w:r>
    </w:p>
    <w:p w:rsidR="009A5240" w:rsidRPr="009A5240" w:rsidRDefault="009A5240" w:rsidP="009A5240">
      <w:pPr>
        <w:spacing w:after="0" w:line="240" w:lineRule="auto"/>
        <w:ind w:left="-567"/>
        <w:rPr>
          <w:rFonts w:ascii="Times New Roman" w:hAnsi="Times New Roman" w:cs="Times New Roman"/>
          <w:b/>
          <w:sz w:val="20"/>
          <w:szCs w:val="20"/>
        </w:rPr>
      </w:pPr>
      <w:r w:rsidRPr="009A5240">
        <w:rPr>
          <w:rFonts w:ascii="Times New Roman" w:hAnsi="Times New Roman" w:cs="Times New Roman"/>
          <w:b/>
          <w:sz w:val="20"/>
          <w:szCs w:val="20"/>
        </w:rPr>
        <w:t>Príloha č. 6: Bilancia kozieho mäsa v tonách jatočnej hmotnosti</w:t>
      </w:r>
    </w:p>
    <w:tbl>
      <w:tblPr>
        <w:tblW w:w="15026" w:type="dxa"/>
        <w:tblInd w:w="-497" w:type="dxa"/>
        <w:tblCellMar>
          <w:left w:w="70" w:type="dxa"/>
          <w:right w:w="70" w:type="dxa"/>
        </w:tblCellMar>
        <w:tblLook w:val="04A0" w:firstRow="1" w:lastRow="0" w:firstColumn="1" w:lastColumn="0" w:noHBand="0" w:noVBand="1"/>
      </w:tblPr>
      <w:tblGrid>
        <w:gridCol w:w="4678"/>
        <w:gridCol w:w="1276"/>
        <w:gridCol w:w="1134"/>
        <w:gridCol w:w="960"/>
        <w:gridCol w:w="960"/>
        <w:gridCol w:w="960"/>
        <w:gridCol w:w="1089"/>
        <w:gridCol w:w="960"/>
        <w:gridCol w:w="960"/>
        <w:gridCol w:w="960"/>
        <w:gridCol w:w="1089"/>
      </w:tblGrid>
      <w:tr w:rsidR="009A5240" w:rsidRPr="00001823" w:rsidTr="009A5240">
        <w:trPr>
          <w:trHeight w:val="300"/>
        </w:trPr>
        <w:tc>
          <w:tcPr>
            <w:tcW w:w="4678" w:type="dxa"/>
            <w:tcBorders>
              <w:top w:val="single" w:sz="4" w:space="0" w:color="auto"/>
              <w:left w:val="nil"/>
              <w:bottom w:val="single" w:sz="4" w:space="0" w:color="auto"/>
              <w:right w:val="single" w:sz="4" w:space="0" w:color="auto"/>
            </w:tcBorders>
            <w:shd w:val="clear" w:color="000000" w:fill="D9D9D9"/>
            <w:noWrap/>
            <w:vAlign w:val="bottom"/>
            <w:hideMark/>
          </w:tcPr>
          <w:p w:rsidR="009A5240" w:rsidRPr="00001823" w:rsidRDefault="009A5240" w:rsidP="009A5240">
            <w:pPr>
              <w:spacing w:after="0" w:line="240" w:lineRule="auto"/>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Ukazovateľ</w:t>
            </w:r>
          </w:p>
        </w:tc>
        <w:tc>
          <w:tcPr>
            <w:tcW w:w="1276"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2002</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2003</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2004</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2005</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2006</w:t>
            </w:r>
          </w:p>
        </w:tc>
        <w:tc>
          <w:tcPr>
            <w:tcW w:w="1089"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2007</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2008</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2009</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2010</w:t>
            </w:r>
          </w:p>
        </w:tc>
        <w:tc>
          <w:tcPr>
            <w:tcW w:w="1089" w:type="dxa"/>
            <w:tcBorders>
              <w:top w:val="single" w:sz="4" w:space="0" w:color="auto"/>
              <w:left w:val="nil"/>
              <w:bottom w:val="single" w:sz="4" w:space="0" w:color="auto"/>
              <w:right w:val="nil"/>
            </w:tcBorders>
            <w:shd w:val="clear" w:color="000000" w:fill="D9D9D9"/>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2011</w:t>
            </w:r>
          </w:p>
        </w:tc>
      </w:tr>
      <w:tr w:rsidR="009A5240" w:rsidRPr="00001823"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Počiatočné zásoby</w:t>
            </w:r>
          </w:p>
        </w:tc>
        <w:tc>
          <w:tcPr>
            <w:tcW w:w="1276"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r>
      <w:tr w:rsidR="009A5240" w:rsidRPr="00001823"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Hrubá domáca produkcia</w:t>
            </w:r>
          </w:p>
        </w:tc>
        <w:tc>
          <w:tcPr>
            <w:tcW w:w="1276"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339,0</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310,0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314,0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316,0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322,0</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298,0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298,0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257,2</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258,5</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258,3</w:t>
            </w:r>
          </w:p>
        </w:tc>
      </w:tr>
      <w:tr w:rsidR="009A5240" w:rsidRPr="00001823"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Dovoz</w:t>
            </w:r>
          </w:p>
        </w:tc>
        <w:tc>
          <w:tcPr>
            <w:tcW w:w="1276"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0,6</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r>
      <w:tr w:rsidR="009A5240" w:rsidRPr="00001823"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 xml:space="preserve"> - v tom z EÚ</w:t>
            </w:r>
          </w:p>
        </w:tc>
        <w:tc>
          <w:tcPr>
            <w:tcW w:w="1276"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r>
      <w:tr w:rsidR="009A5240" w:rsidRPr="00001823"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001823" w:rsidRDefault="009A5240" w:rsidP="009A5240">
            <w:pPr>
              <w:spacing w:after="0" w:line="240" w:lineRule="auto"/>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Celková ponuka</w:t>
            </w:r>
          </w:p>
        </w:tc>
        <w:tc>
          <w:tcPr>
            <w:tcW w:w="1276"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339,0</w:t>
            </w:r>
          </w:p>
        </w:tc>
        <w:tc>
          <w:tcPr>
            <w:tcW w:w="1134"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310,0</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314,0</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316,0</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322,0</w:t>
            </w:r>
          </w:p>
        </w:tc>
        <w:tc>
          <w:tcPr>
            <w:tcW w:w="1089"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298,0</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298,0</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257,2</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259,1</w:t>
            </w:r>
          </w:p>
        </w:tc>
        <w:tc>
          <w:tcPr>
            <w:tcW w:w="1089"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258,3</w:t>
            </w:r>
          </w:p>
        </w:tc>
      </w:tr>
      <w:tr w:rsidR="009A5240" w:rsidRPr="00001823"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Vývoz</w:t>
            </w:r>
          </w:p>
        </w:tc>
        <w:tc>
          <w:tcPr>
            <w:tcW w:w="1276"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3,0</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22,0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2,0</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r>
      <w:tr w:rsidR="009A5240" w:rsidRPr="00001823"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 xml:space="preserve"> - v tom z EÚ</w:t>
            </w:r>
          </w:p>
        </w:tc>
        <w:tc>
          <w:tcPr>
            <w:tcW w:w="1276"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3,0</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1,0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22,0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2,0</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r>
      <w:tr w:rsidR="009A5240" w:rsidRPr="00001823" w:rsidTr="009A5240">
        <w:trPr>
          <w:trHeight w:val="300"/>
        </w:trPr>
        <w:tc>
          <w:tcPr>
            <w:tcW w:w="4678"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Spotreba mäsa</w:t>
            </w:r>
          </w:p>
        </w:tc>
        <w:tc>
          <w:tcPr>
            <w:tcW w:w="1276" w:type="dxa"/>
            <w:tcBorders>
              <w:top w:val="nil"/>
              <w:left w:val="single" w:sz="4" w:space="0" w:color="auto"/>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336,0</w:t>
            </w:r>
          </w:p>
        </w:tc>
        <w:tc>
          <w:tcPr>
            <w:tcW w:w="1134"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309,0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314,0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294,0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320,0</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298,0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298,0</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257,2</w:t>
            </w:r>
          </w:p>
        </w:tc>
        <w:tc>
          <w:tcPr>
            <w:tcW w:w="960"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259,1</w:t>
            </w:r>
          </w:p>
        </w:tc>
        <w:tc>
          <w:tcPr>
            <w:tcW w:w="1089" w:type="dxa"/>
            <w:tcBorders>
              <w:top w:val="nil"/>
              <w:left w:val="nil"/>
              <w:bottom w:val="nil"/>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258,3</w:t>
            </w:r>
          </w:p>
        </w:tc>
      </w:tr>
      <w:tr w:rsidR="009A5240" w:rsidRPr="00001823"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Ostatné úbytky</w:t>
            </w:r>
          </w:p>
        </w:tc>
        <w:tc>
          <w:tcPr>
            <w:tcW w:w="1276"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r>
      <w:tr w:rsidR="009A5240" w:rsidRPr="00001823"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001823" w:rsidRDefault="009A5240" w:rsidP="009A5240">
            <w:pPr>
              <w:spacing w:after="0" w:line="240" w:lineRule="auto"/>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Celkové použitie</w:t>
            </w:r>
          </w:p>
        </w:tc>
        <w:tc>
          <w:tcPr>
            <w:tcW w:w="1276"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339,0</w:t>
            </w:r>
          </w:p>
        </w:tc>
        <w:tc>
          <w:tcPr>
            <w:tcW w:w="1134"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310,0</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314,0</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316,0</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322,0</w:t>
            </w:r>
          </w:p>
        </w:tc>
        <w:tc>
          <w:tcPr>
            <w:tcW w:w="1089"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298,0</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298,0</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257,2</w:t>
            </w:r>
          </w:p>
        </w:tc>
        <w:tc>
          <w:tcPr>
            <w:tcW w:w="960"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259,1</w:t>
            </w:r>
          </w:p>
        </w:tc>
        <w:tc>
          <w:tcPr>
            <w:tcW w:w="1089" w:type="dxa"/>
            <w:tcBorders>
              <w:top w:val="nil"/>
              <w:left w:val="nil"/>
              <w:bottom w:val="nil"/>
              <w:right w:val="nil"/>
            </w:tcBorders>
            <w:shd w:val="clear" w:color="000000" w:fill="F2F2F2"/>
            <w:noWrap/>
            <w:vAlign w:val="bottom"/>
            <w:hideMark/>
          </w:tcPr>
          <w:p w:rsidR="009A5240" w:rsidRPr="00001823" w:rsidRDefault="009A5240" w:rsidP="009A5240">
            <w:pPr>
              <w:spacing w:after="0" w:line="240" w:lineRule="auto"/>
              <w:jc w:val="right"/>
              <w:rPr>
                <w:rFonts w:ascii="Times New Roman" w:eastAsia="Times New Roman" w:hAnsi="Times New Roman" w:cs="Times New Roman"/>
                <w:b/>
                <w:bCs/>
                <w:color w:val="000000"/>
                <w:sz w:val="20"/>
                <w:szCs w:val="20"/>
              </w:rPr>
            </w:pPr>
            <w:r w:rsidRPr="00001823">
              <w:rPr>
                <w:rFonts w:ascii="Times New Roman" w:eastAsia="Times New Roman" w:hAnsi="Times New Roman" w:cs="Times New Roman"/>
                <w:b/>
                <w:bCs/>
                <w:color w:val="000000"/>
                <w:sz w:val="20"/>
                <w:szCs w:val="20"/>
              </w:rPr>
              <w:t>258,3</w:t>
            </w:r>
          </w:p>
        </w:tc>
      </w:tr>
      <w:tr w:rsidR="009A5240" w:rsidRPr="00001823"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001823" w:rsidRDefault="009A5240" w:rsidP="009A5240">
            <w:pPr>
              <w:spacing w:after="0" w:line="240" w:lineRule="auto"/>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Konečné zásoby</w:t>
            </w:r>
          </w:p>
        </w:tc>
        <w:tc>
          <w:tcPr>
            <w:tcW w:w="1276"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c>
          <w:tcPr>
            <w:tcW w:w="1089" w:type="dxa"/>
            <w:tcBorders>
              <w:top w:val="nil"/>
              <w:left w:val="nil"/>
              <w:bottom w:val="single" w:sz="4" w:space="0" w:color="auto"/>
              <w:right w:val="nil"/>
            </w:tcBorders>
            <w:shd w:val="clear" w:color="auto" w:fill="auto"/>
            <w:noWrap/>
            <w:vAlign w:val="bottom"/>
            <w:hideMark/>
          </w:tcPr>
          <w:p w:rsidR="009A5240" w:rsidRPr="00001823" w:rsidRDefault="009A5240" w:rsidP="009A5240">
            <w:pPr>
              <w:spacing w:after="0" w:line="240" w:lineRule="auto"/>
              <w:jc w:val="right"/>
              <w:rPr>
                <w:rFonts w:ascii="Times New Roman" w:eastAsia="Times New Roman" w:hAnsi="Times New Roman" w:cs="Times New Roman"/>
                <w:color w:val="000000"/>
                <w:sz w:val="20"/>
                <w:szCs w:val="20"/>
              </w:rPr>
            </w:pPr>
            <w:r w:rsidRPr="00001823">
              <w:rPr>
                <w:rFonts w:ascii="Times New Roman" w:eastAsia="Times New Roman" w:hAnsi="Times New Roman" w:cs="Times New Roman"/>
                <w:color w:val="000000"/>
                <w:sz w:val="20"/>
                <w:szCs w:val="20"/>
              </w:rPr>
              <w:t>0,0</w:t>
            </w:r>
          </w:p>
        </w:tc>
      </w:tr>
    </w:tbl>
    <w:p w:rsidR="009A5240" w:rsidRDefault="009A5240" w:rsidP="009A5240">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Zdroj: VÚEPP</w:t>
      </w:r>
    </w:p>
    <w:p w:rsidR="009A5240" w:rsidRDefault="009A5240" w:rsidP="009A5240">
      <w:pPr>
        <w:spacing w:after="0" w:line="240" w:lineRule="auto"/>
        <w:ind w:left="-567"/>
        <w:rPr>
          <w:rFonts w:ascii="Times New Roman" w:hAnsi="Times New Roman" w:cs="Times New Roman"/>
          <w:b/>
          <w:sz w:val="20"/>
          <w:szCs w:val="20"/>
        </w:rPr>
      </w:pPr>
    </w:p>
    <w:p w:rsidR="009A5240" w:rsidRDefault="009A5240" w:rsidP="009A5240">
      <w:pPr>
        <w:spacing w:after="0" w:line="240" w:lineRule="auto"/>
        <w:ind w:left="-567"/>
        <w:rPr>
          <w:rFonts w:ascii="Times New Roman" w:hAnsi="Times New Roman" w:cs="Times New Roman"/>
          <w:b/>
          <w:sz w:val="20"/>
          <w:szCs w:val="20"/>
        </w:rPr>
      </w:pPr>
    </w:p>
    <w:p w:rsidR="009A5240" w:rsidRDefault="009A5240" w:rsidP="008475C4">
      <w:pPr>
        <w:spacing w:after="0" w:line="240" w:lineRule="auto"/>
        <w:rPr>
          <w:rFonts w:ascii="Times New Roman" w:hAnsi="Times New Roman" w:cs="Times New Roman"/>
          <w:b/>
          <w:sz w:val="20"/>
          <w:szCs w:val="20"/>
        </w:rPr>
      </w:pPr>
    </w:p>
    <w:p w:rsidR="008475C4" w:rsidRDefault="008475C4" w:rsidP="008475C4">
      <w:pPr>
        <w:spacing w:after="0" w:line="240" w:lineRule="auto"/>
        <w:rPr>
          <w:rFonts w:ascii="Times New Roman" w:hAnsi="Times New Roman" w:cs="Times New Roman"/>
          <w:b/>
          <w:sz w:val="20"/>
          <w:szCs w:val="20"/>
        </w:rPr>
      </w:pPr>
    </w:p>
    <w:p w:rsidR="008475C4" w:rsidRDefault="008475C4" w:rsidP="008475C4">
      <w:pPr>
        <w:spacing w:after="0" w:line="240" w:lineRule="auto"/>
        <w:rPr>
          <w:rFonts w:ascii="Times New Roman" w:hAnsi="Times New Roman" w:cs="Times New Roman"/>
          <w:b/>
          <w:sz w:val="20"/>
          <w:szCs w:val="20"/>
        </w:rPr>
      </w:pPr>
    </w:p>
    <w:p w:rsidR="009A5240" w:rsidRDefault="009A5240" w:rsidP="008475C4">
      <w:pPr>
        <w:spacing w:after="0" w:line="240" w:lineRule="auto"/>
        <w:rPr>
          <w:rFonts w:ascii="Times New Roman" w:hAnsi="Times New Roman" w:cs="Times New Roman"/>
          <w:b/>
          <w:sz w:val="20"/>
          <w:szCs w:val="20"/>
        </w:rPr>
      </w:pPr>
    </w:p>
    <w:p w:rsidR="009A5240" w:rsidRPr="009A5240" w:rsidRDefault="009A5240" w:rsidP="009A5240">
      <w:pPr>
        <w:spacing w:after="0" w:line="240" w:lineRule="auto"/>
        <w:ind w:left="-567"/>
        <w:rPr>
          <w:rFonts w:ascii="Times New Roman" w:hAnsi="Times New Roman" w:cs="Times New Roman"/>
          <w:b/>
          <w:sz w:val="20"/>
          <w:szCs w:val="20"/>
        </w:rPr>
      </w:pPr>
      <w:r w:rsidRPr="009A5240">
        <w:rPr>
          <w:rFonts w:ascii="Times New Roman" w:hAnsi="Times New Roman" w:cs="Times New Roman"/>
          <w:b/>
          <w:sz w:val="20"/>
          <w:szCs w:val="20"/>
        </w:rPr>
        <w:lastRenderedPageBreak/>
        <w:t>Príloha č. 7: Bilancia mlieka a mliečnych výrobkov v tonách (v prepočte na mlieko)</w:t>
      </w:r>
    </w:p>
    <w:tbl>
      <w:tblPr>
        <w:tblW w:w="15026" w:type="dxa"/>
        <w:tblInd w:w="-497" w:type="dxa"/>
        <w:tblCellMar>
          <w:left w:w="70" w:type="dxa"/>
          <w:right w:w="70" w:type="dxa"/>
        </w:tblCellMar>
        <w:tblLook w:val="04A0" w:firstRow="1" w:lastRow="0" w:firstColumn="1" w:lastColumn="0" w:noHBand="0" w:noVBand="1"/>
      </w:tblPr>
      <w:tblGrid>
        <w:gridCol w:w="4678"/>
        <w:gridCol w:w="1276"/>
        <w:gridCol w:w="1134"/>
        <w:gridCol w:w="960"/>
        <w:gridCol w:w="960"/>
        <w:gridCol w:w="960"/>
        <w:gridCol w:w="1089"/>
        <w:gridCol w:w="960"/>
        <w:gridCol w:w="960"/>
        <w:gridCol w:w="960"/>
        <w:gridCol w:w="1089"/>
      </w:tblGrid>
      <w:tr w:rsidR="009A5240" w:rsidRPr="00C14A9A" w:rsidTr="009A5240">
        <w:trPr>
          <w:trHeight w:val="300"/>
        </w:trPr>
        <w:tc>
          <w:tcPr>
            <w:tcW w:w="4678" w:type="dxa"/>
            <w:tcBorders>
              <w:top w:val="single" w:sz="4" w:space="0" w:color="auto"/>
              <w:left w:val="nil"/>
              <w:bottom w:val="single" w:sz="4" w:space="0" w:color="auto"/>
              <w:right w:val="single" w:sz="4" w:space="0" w:color="auto"/>
            </w:tcBorders>
            <w:shd w:val="clear" w:color="000000" w:fill="D9D9D9"/>
            <w:noWrap/>
            <w:vAlign w:val="bottom"/>
            <w:hideMark/>
          </w:tcPr>
          <w:p w:rsidR="009A5240" w:rsidRPr="00C14A9A" w:rsidRDefault="009A5240" w:rsidP="009A5240">
            <w:pPr>
              <w:spacing w:after="0" w:line="240" w:lineRule="auto"/>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Ukazovateľ</w:t>
            </w:r>
          </w:p>
        </w:tc>
        <w:tc>
          <w:tcPr>
            <w:tcW w:w="1276" w:type="dxa"/>
            <w:tcBorders>
              <w:top w:val="single" w:sz="4" w:space="0" w:color="auto"/>
              <w:left w:val="nil"/>
              <w:bottom w:val="single" w:sz="4" w:space="0" w:color="auto"/>
              <w:right w:val="nil"/>
            </w:tcBorders>
            <w:shd w:val="clear" w:color="000000" w:fill="D9D9D9"/>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2002</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2003</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2004</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2005</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2006</w:t>
            </w:r>
          </w:p>
        </w:tc>
        <w:tc>
          <w:tcPr>
            <w:tcW w:w="1089" w:type="dxa"/>
            <w:tcBorders>
              <w:top w:val="single" w:sz="4" w:space="0" w:color="auto"/>
              <w:left w:val="nil"/>
              <w:bottom w:val="single" w:sz="4" w:space="0" w:color="auto"/>
              <w:right w:val="nil"/>
            </w:tcBorders>
            <w:shd w:val="clear" w:color="000000" w:fill="D9D9D9"/>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2007</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2008</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2009</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2010</w:t>
            </w:r>
          </w:p>
        </w:tc>
        <w:tc>
          <w:tcPr>
            <w:tcW w:w="1089" w:type="dxa"/>
            <w:tcBorders>
              <w:top w:val="single" w:sz="4" w:space="0" w:color="auto"/>
              <w:left w:val="nil"/>
              <w:bottom w:val="single" w:sz="4" w:space="0" w:color="auto"/>
              <w:right w:val="nil"/>
            </w:tcBorders>
            <w:shd w:val="clear" w:color="000000" w:fill="D9D9D9"/>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2011</w:t>
            </w:r>
          </w:p>
        </w:tc>
      </w:tr>
      <w:tr w:rsidR="009A5240" w:rsidRPr="00C14A9A"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C14A9A" w:rsidRDefault="009A5240" w:rsidP="009A5240">
            <w:pPr>
              <w:spacing w:after="0" w:line="240" w:lineRule="auto"/>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Počiatočné zásoby</w:t>
            </w:r>
          </w:p>
        </w:tc>
        <w:tc>
          <w:tcPr>
            <w:tcW w:w="1276"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21 115</w:t>
            </w:r>
          </w:p>
        </w:tc>
        <w:tc>
          <w:tcPr>
            <w:tcW w:w="1134"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36 494</w:t>
            </w:r>
          </w:p>
        </w:tc>
        <w:tc>
          <w:tcPr>
            <w:tcW w:w="960"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20 000</w:t>
            </w:r>
          </w:p>
        </w:tc>
        <w:tc>
          <w:tcPr>
            <w:tcW w:w="960"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18 880</w:t>
            </w:r>
          </w:p>
        </w:tc>
        <w:tc>
          <w:tcPr>
            <w:tcW w:w="960"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17 596</w:t>
            </w:r>
          </w:p>
        </w:tc>
        <w:tc>
          <w:tcPr>
            <w:tcW w:w="1089"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27 678</w:t>
            </w:r>
          </w:p>
        </w:tc>
        <w:tc>
          <w:tcPr>
            <w:tcW w:w="960"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32 714</w:t>
            </w:r>
          </w:p>
        </w:tc>
        <w:tc>
          <w:tcPr>
            <w:tcW w:w="960"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39 524</w:t>
            </w:r>
          </w:p>
        </w:tc>
        <w:tc>
          <w:tcPr>
            <w:tcW w:w="960"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26 002</w:t>
            </w:r>
          </w:p>
        </w:tc>
        <w:tc>
          <w:tcPr>
            <w:tcW w:w="1089"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19 197</w:t>
            </w:r>
          </w:p>
        </w:tc>
      </w:tr>
      <w:tr w:rsidR="009A5240" w:rsidRPr="00C14A9A"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C14A9A" w:rsidRDefault="009A5240" w:rsidP="009A5240">
            <w:pPr>
              <w:spacing w:after="0" w:line="240" w:lineRule="auto"/>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Produkcia</w:t>
            </w:r>
          </w:p>
        </w:tc>
        <w:tc>
          <w:tcPr>
            <w:tcW w:w="1276"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1 197 800</w:t>
            </w:r>
          </w:p>
        </w:tc>
        <w:tc>
          <w:tcPr>
            <w:tcW w:w="1134"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1 142 186</w:t>
            </w:r>
          </w:p>
        </w:tc>
        <w:tc>
          <w:tcPr>
            <w:tcW w:w="960"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1 078 625</w:t>
            </w:r>
          </w:p>
        </w:tc>
        <w:tc>
          <w:tcPr>
            <w:tcW w:w="960"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1 099 827</w:t>
            </w:r>
          </w:p>
        </w:tc>
        <w:tc>
          <w:tcPr>
            <w:tcW w:w="960"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1 091 737</w:t>
            </w:r>
          </w:p>
        </w:tc>
        <w:tc>
          <w:tcPr>
            <w:tcW w:w="1089"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1 074 655</w:t>
            </w:r>
          </w:p>
        </w:tc>
        <w:tc>
          <w:tcPr>
            <w:tcW w:w="960"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1 057 249</w:t>
            </w:r>
          </w:p>
        </w:tc>
        <w:tc>
          <w:tcPr>
            <w:tcW w:w="960"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957 327</w:t>
            </w:r>
          </w:p>
        </w:tc>
        <w:tc>
          <w:tcPr>
            <w:tcW w:w="960"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917 977</w:t>
            </w:r>
          </w:p>
        </w:tc>
        <w:tc>
          <w:tcPr>
            <w:tcW w:w="1089"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928 315</w:t>
            </w:r>
          </w:p>
        </w:tc>
      </w:tr>
      <w:tr w:rsidR="009A5240" w:rsidRPr="00C14A9A"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C14A9A" w:rsidRDefault="009A5240" w:rsidP="009A5240">
            <w:pPr>
              <w:spacing w:after="0" w:line="240" w:lineRule="auto"/>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Dovoz</w:t>
            </w:r>
          </w:p>
        </w:tc>
        <w:tc>
          <w:tcPr>
            <w:tcW w:w="1276"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92 479</w:t>
            </w:r>
          </w:p>
        </w:tc>
        <w:tc>
          <w:tcPr>
            <w:tcW w:w="1134"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105 114</w:t>
            </w:r>
          </w:p>
        </w:tc>
        <w:tc>
          <w:tcPr>
            <w:tcW w:w="960"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140 166</w:t>
            </w:r>
          </w:p>
        </w:tc>
        <w:tc>
          <w:tcPr>
            <w:tcW w:w="960"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301 282</w:t>
            </w:r>
          </w:p>
        </w:tc>
        <w:tc>
          <w:tcPr>
            <w:tcW w:w="960"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351 188</w:t>
            </w:r>
          </w:p>
        </w:tc>
        <w:tc>
          <w:tcPr>
            <w:tcW w:w="1089"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412 757</w:t>
            </w:r>
          </w:p>
        </w:tc>
        <w:tc>
          <w:tcPr>
            <w:tcW w:w="960"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447 320</w:t>
            </w:r>
          </w:p>
        </w:tc>
        <w:tc>
          <w:tcPr>
            <w:tcW w:w="960"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455 773</w:t>
            </w:r>
          </w:p>
        </w:tc>
        <w:tc>
          <w:tcPr>
            <w:tcW w:w="960"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615 503</w:t>
            </w:r>
          </w:p>
        </w:tc>
        <w:tc>
          <w:tcPr>
            <w:tcW w:w="1089"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587 833</w:t>
            </w:r>
          </w:p>
        </w:tc>
      </w:tr>
      <w:tr w:rsidR="009A5240" w:rsidRPr="00C14A9A"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C14A9A" w:rsidRDefault="009A5240" w:rsidP="009A5240">
            <w:pPr>
              <w:spacing w:after="0" w:line="240" w:lineRule="auto"/>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Celková ponuka</w:t>
            </w:r>
          </w:p>
        </w:tc>
        <w:tc>
          <w:tcPr>
            <w:tcW w:w="1276" w:type="dxa"/>
            <w:tcBorders>
              <w:top w:val="nil"/>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1 148 233</w:t>
            </w:r>
          </w:p>
        </w:tc>
        <w:tc>
          <w:tcPr>
            <w:tcW w:w="1134" w:type="dxa"/>
            <w:tcBorders>
              <w:top w:val="nil"/>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1 149 772</w:t>
            </w:r>
          </w:p>
        </w:tc>
        <w:tc>
          <w:tcPr>
            <w:tcW w:w="960" w:type="dxa"/>
            <w:tcBorders>
              <w:top w:val="nil"/>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1 110 714</w:t>
            </w:r>
          </w:p>
        </w:tc>
        <w:tc>
          <w:tcPr>
            <w:tcW w:w="960" w:type="dxa"/>
            <w:tcBorders>
              <w:top w:val="nil"/>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1 294 655</w:t>
            </w:r>
          </w:p>
        </w:tc>
        <w:tc>
          <w:tcPr>
            <w:tcW w:w="960" w:type="dxa"/>
            <w:tcBorders>
              <w:top w:val="nil"/>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1 321 303</w:t>
            </w:r>
          </w:p>
        </w:tc>
        <w:tc>
          <w:tcPr>
            <w:tcW w:w="1089" w:type="dxa"/>
            <w:tcBorders>
              <w:top w:val="nil"/>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1 413 997</w:t>
            </w:r>
          </w:p>
        </w:tc>
        <w:tc>
          <w:tcPr>
            <w:tcW w:w="960" w:type="dxa"/>
            <w:tcBorders>
              <w:top w:val="nil"/>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1 435 027</w:t>
            </w:r>
          </w:p>
        </w:tc>
        <w:tc>
          <w:tcPr>
            <w:tcW w:w="960" w:type="dxa"/>
            <w:tcBorders>
              <w:top w:val="nil"/>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1 359 374</w:t>
            </w:r>
          </w:p>
        </w:tc>
        <w:tc>
          <w:tcPr>
            <w:tcW w:w="960" w:type="dxa"/>
            <w:tcBorders>
              <w:top w:val="nil"/>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1 463 508</w:t>
            </w:r>
          </w:p>
        </w:tc>
        <w:tc>
          <w:tcPr>
            <w:tcW w:w="1089" w:type="dxa"/>
            <w:tcBorders>
              <w:top w:val="nil"/>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1 440 270</w:t>
            </w:r>
          </w:p>
        </w:tc>
      </w:tr>
      <w:tr w:rsidR="009A5240" w:rsidRPr="00C14A9A"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C14A9A" w:rsidRDefault="009A5240" w:rsidP="009A5240">
            <w:pPr>
              <w:spacing w:after="0" w:line="240" w:lineRule="auto"/>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Vývoz</w:t>
            </w:r>
          </w:p>
        </w:tc>
        <w:tc>
          <w:tcPr>
            <w:tcW w:w="1276"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257 921</w:t>
            </w:r>
          </w:p>
        </w:tc>
        <w:tc>
          <w:tcPr>
            <w:tcW w:w="1134"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319 467</w:t>
            </w:r>
          </w:p>
        </w:tc>
        <w:tc>
          <w:tcPr>
            <w:tcW w:w="960"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340 334</w:t>
            </w:r>
          </w:p>
        </w:tc>
        <w:tc>
          <w:tcPr>
            <w:tcW w:w="960"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482 192</w:t>
            </w:r>
          </w:p>
        </w:tc>
        <w:tc>
          <w:tcPr>
            <w:tcW w:w="960"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515 042</w:t>
            </w:r>
          </w:p>
        </w:tc>
        <w:tc>
          <w:tcPr>
            <w:tcW w:w="1089"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550 205</w:t>
            </w:r>
          </w:p>
        </w:tc>
        <w:tc>
          <w:tcPr>
            <w:tcW w:w="960"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589 655</w:t>
            </w:r>
          </w:p>
        </w:tc>
        <w:tc>
          <w:tcPr>
            <w:tcW w:w="960"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483 752</w:t>
            </w:r>
          </w:p>
        </w:tc>
        <w:tc>
          <w:tcPr>
            <w:tcW w:w="960"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546 610</w:t>
            </w:r>
          </w:p>
        </w:tc>
        <w:tc>
          <w:tcPr>
            <w:tcW w:w="1089"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549 006</w:t>
            </w:r>
          </w:p>
        </w:tc>
      </w:tr>
      <w:tr w:rsidR="009A5240" w:rsidRPr="00C14A9A"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C14A9A" w:rsidRDefault="009A5240" w:rsidP="009A5240">
            <w:pPr>
              <w:spacing w:after="0" w:line="240" w:lineRule="auto"/>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Domáca spotreba</w:t>
            </w:r>
          </w:p>
        </w:tc>
        <w:tc>
          <w:tcPr>
            <w:tcW w:w="1276"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853 818</w:t>
            </w:r>
          </w:p>
        </w:tc>
        <w:tc>
          <w:tcPr>
            <w:tcW w:w="1134"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810 305</w:t>
            </w:r>
          </w:p>
        </w:tc>
        <w:tc>
          <w:tcPr>
            <w:tcW w:w="960"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751 500</w:t>
            </w:r>
          </w:p>
        </w:tc>
        <w:tc>
          <w:tcPr>
            <w:tcW w:w="960"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794 867</w:t>
            </w:r>
          </w:p>
        </w:tc>
        <w:tc>
          <w:tcPr>
            <w:tcW w:w="960"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778 583</w:t>
            </w:r>
          </w:p>
        </w:tc>
        <w:tc>
          <w:tcPr>
            <w:tcW w:w="1089"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831 078</w:t>
            </w:r>
          </w:p>
        </w:tc>
        <w:tc>
          <w:tcPr>
            <w:tcW w:w="960"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805 847</w:t>
            </w:r>
          </w:p>
        </w:tc>
        <w:tc>
          <w:tcPr>
            <w:tcW w:w="960"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849 620</w:t>
            </w:r>
          </w:p>
        </w:tc>
        <w:tc>
          <w:tcPr>
            <w:tcW w:w="960"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897 702</w:t>
            </w:r>
          </w:p>
        </w:tc>
        <w:tc>
          <w:tcPr>
            <w:tcW w:w="1089" w:type="dxa"/>
            <w:tcBorders>
              <w:top w:val="nil"/>
              <w:left w:val="nil"/>
              <w:bottom w:val="nil"/>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863 812</w:t>
            </w:r>
          </w:p>
        </w:tc>
      </w:tr>
      <w:tr w:rsidR="009A5240" w:rsidRPr="00C14A9A" w:rsidTr="009A5240">
        <w:trPr>
          <w:trHeight w:val="300"/>
        </w:trPr>
        <w:tc>
          <w:tcPr>
            <w:tcW w:w="4678" w:type="dxa"/>
            <w:tcBorders>
              <w:top w:val="single" w:sz="4" w:space="0" w:color="auto"/>
              <w:left w:val="nil"/>
              <w:bottom w:val="nil"/>
              <w:right w:val="single" w:sz="4" w:space="0" w:color="auto"/>
            </w:tcBorders>
            <w:shd w:val="clear" w:color="000000" w:fill="F2F2F2"/>
            <w:noWrap/>
            <w:vAlign w:val="bottom"/>
            <w:hideMark/>
          </w:tcPr>
          <w:p w:rsidR="009A5240" w:rsidRPr="00C14A9A" w:rsidRDefault="009A5240" w:rsidP="009A5240">
            <w:pPr>
              <w:spacing w:after="0" w:line="240" w:lineRule="auto"/>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Celkové použitie</w:t>
            </w:r>
          </w:p>
        </w:tc>
        <w:tc>
          <w:tcPr>
            <w:tcW w:w="1276" w:type="dxa"/>
            <w:tcBorders>
              <w:top w:val="nil"/>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1 111 739</w:t>
            </w:r>
          </w:p>
        </w:tc>
        <w:tc>
          <w:tcPr>
            <w:tcW w:w="1134" w:type="dxa"/>
            <w:tcBorders>
              <w:top w:val="single" w:sz="4" w:space="0" w:color="auto"/>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1 129 772</w:t>
            </w:r>
          </w:p>
        </w:tc>
        <w:tc>
          <w:tcPr>
            <w:tcW w:w="960" w:type="dxa"/>
            <w:tcBorders>
              <w:top w:val="single" w:sz="4" w:space="0" w:color="auto"/>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1 091 834</w:t>
            </w:r>
          </w:p>
        </w:tc>
        <w:tc>
          <w:tcPr>
            <w:tcW w:w="960" w:type="dxa"/>
            <w:tcBorders>
              <w:top w:val="single" w:sz="4" w:space="0" w:color="auto"/>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1 277 059</w:t>
            </w:r>
          </w:p>
        </w:tc>
        <w:tc>
          <w:tcPr>
            <w:tcW w:w="960" w:type="dxa"/>
            <w:tcBorders>
              <w:top w:val="single" w:sz="4" w:space="0" w:color="auto"/>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1 293 625</w:t>
            </w:r>
          </w:p>
        </w:tc>
        <w:tc>
          <w:tcPr>
            <w:tcW w:w="1089" w:type="dxa"/>
            <w:tcBorders>
              <w:top w:val="single" w:sz="4" w:space="0" w:color="auto"/>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1 381 283</w:t>
            </w:r>
          </w:p>
        </w:tc>
        <w:tc>
          <w:tcPr>
            <w:tcW w:w="960" w:type="dxa"/>
            <w:tcBorders>
              <w:top w:val="single" w:sz="4" w:space="0" w:color="auto"/>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1 395 502</w:t>
            </w:r>
          </w:p>
        </w:tc>
        <w:tc>
          <w:tcPr>
            <w:tcW w:w="960" w:type="dxa"/>
            <w:tcBorders>
              <w:top w:val="single" w:sz="4" w:space="0" w:color="auto"/>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1 333 372</w:t>
            </w:r>
          </w:p>
        </w:tc>
        <w:tc>
          <w:tcPr>
            <w:tcW w:w="960" w:type="dxa"/>
            <w:tcBorders>
              <w:top w:val="single" w:sz="4" w:space="0" w:color="auto"/>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1 444 312</w:t>
            </w:r>
          </w:p>
        </w:tc>
        <w:tc>
          <w:tcPr>
            <w:tcW w:w="1089" w:type="dxa"/>
            <w:tcBorders>
              <w:top w:val="single" w:sz="4" w:space="0" w:color="auto"/>
              <w:left w:val="nil"/>
              <w:bottom w:val="nil"/>
              <w:right w:val="nil"/>
            </w:tcBorders>
            <w:shd w:val="clear" w:color="000000" w:fill="F2F2F2"/>
            <w:noWrap/>
            <w:vAlign w:val="bottom"/>
            <w:hideMark/>
          </w:tcPr>
          <w:p w:rsidR="009A5240" w:rsidRPr="00C14A9A" w:rsidRDefault="009A5240" w:rsidP="009A5240">
            <w:pPr>
              <w:spacing w:after="0" w:line="240" w:lineRule="auto"/>
              <w:jc w:val="right"/>
              <w:rPr>
                <w:rFonts w:ascii="Times New Roman" w:eastAsia="Times New Roman" w:hAnsi="Times New Roman" w:cs="Times New Roman"/>
                <w:b/>
                <w:bCs/>
                <w:color w:val="000000"/>
                <w:sz w:val="20"/>
                <w:szCs w:val="20"/>
              </w:rPr>
            </w:pPr>
            <w:r w:rsidRPr="00C14A9A">
              <w:rPr>
                <w:rFonts w:ascii="Times New Roman" w:eastAsia="Times New Roman" w:hAnsi="Times New Roman" w:cs="Times New Roman"/>
                <w:b/>
                <w:bCs/>
                <w:color w:val="000000"/>
                <w:sz w:val="20"/>
                <w:szCs w:val="20"/>
              </w:rPr>
              <w:t>1 412 818</w:t>
            </w:r>
          </w:p>
        </w:tc>
      </w:tr>
      <w:tr w:rsidR="009A5240" w:rsidRPr="00C14A9A"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C14A9A" w:rsidRDefault="009A5240" w:rsidP="009A5240">
            <w:pPr>
              <w:spacing w:after="0" w:line="240" w:lineRule="auto"/>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Konečné zásoby</w:t>
            </w:r>
          </w:p>
        </w:tc>
        <w:tc>
          <w:tcPr>
            <w:tcW w:w="1276"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36 494</w:t>
            </w:r>
          </w:p>
        </w:tc>
        <w:tc>
          <w:tcPr>
            <w:tcW w:w="1134"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20 000</w:t>
            </w:r>
          </w:p>
        </w:tc>
        <w:tc>
          <w:tcPr>
            <w:tcW w:w="960"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18 880</w:t>
            </w:r>
          </w:p>
        </w:tc>
        <w:tc>
          <w:tcPr>
            <w:tcW w:w="960"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17 596</w:t>
            </w:r>
          </w:p>
        </w:tc>
        <w:tc>
          <w:tcPr>
            <w:tcW w:w="960"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27 678</w:t>
            </w:r>
          </w:p>
        </w:tc>
        <w:tc>
          <w:tcPr>
            <w:tcW w:w="1089"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32 714</w:t>
            </w:r>
          </w:p>
        </w:tc>
        <w:tc>
          <w:tcPr>
            <w:tcW w:w="960"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39 524</w:t>
            </w:r>
          </w:p>
        </w:tc>
        <w:tc>
          <w:tcPr>
            <w:tcW w:w="960"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26 002</w:t>
            </w:r>
          </w:p>
        </w:tc>
        <w:tc>
          <w:tcPr>
            <w:tcW w:w="960"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19 197</w:t>
            </w:r>
          </w:p>
        </w:tc>
        <w:tc>
          <w:tcPr>
            <w:tcW w:w="1089" w:type="dxa"/>
            <w:tcBorders>
              <w:top w:val="nil"/>
              <w:left w:val="nil"/>
              <w:bottom w:val="single" w:sz="4" w:space="0" w:color="auto"/>
              <w:right w:val="nil"/>
            </w:tcBorders>
            <w:shd w:val="clear" w:color="auto" w:fill="auto"/>
            <w:noWrap/>
            <w:vAlign w:val="bottom"/>
            <w:hideMark/>
          </w:tcPr>
          <w:p w:rsidR="009A5240" w:rsidRPr="00C14A9A" w:rsidRDefault="009A5240" w:rsidP="009A5240">
            <w:pPr>
              <w:spacing w:after="0" w:line="240" w:lineRule="auto"/>
              <w:jc w:val="right"/>
              <w:rPr>
                <w:rFonts w:ascii="Times New Roman" w:eastAsia="Times New Roman" w:hAnsi="Times New Roman" w:cs="Times New Roman"/>
                <w:color w:val="000000"/>
                <w:sz w:val="20"/>
                <w:szCs w:val="20"/>
              </w:rPr>
            </w:pPr>
            <w:r w:rsidRPr="00C14A9A">
              <w:rPr>
                <w:rFonts w:ascii="Times New Roman" w:eastAsia="Times New Roman" w:hAnsi="Times New Roman" w:cs="Times New Roman"/>
                <w:color w:val="000000"/>
                <w:sz w:val="20"/>
                <w:szCs w:val="20"/>
              </w:rPr>
              <w:t>27 452</w:t>
            </w:r>
          </w:p>
        </w:tc>
      </w:tr>
    </w:tbl>
    <w:p w:rsidR="009A5240" w:rsidRDefault="009A5240" w:rsidP="008475C4">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Zdroj: VÚEPP</w:t>
      </w:r>
    </w:p>
    <w:p w:rsidR="009A5240" w:rsidRPr="00405F18" w:rsidRDefault="009A5240" w:rsidP="009A5240">
      <w:pPr>
        <w:spacing w:after="0" w:line="240" w:lineRule="auto"/>
        <w:ind w:left="-567"/>
        <w:rPr>
          <w:rFonts w:ascii="Times New Roman" w:hAnsi="Times New Roman" w:cs="Times New Roman"/>
          <w:b/>
          <w:sz w:val="24"/>
          <w:szCs w:val="24"/>
        </w:rPr>
      </w:pPr>
      <w:r w:rsidRPr="008475C4">
        <w:rPr>
          <w:rFonts w:ascii="Times New Roman" w:hAnsi="Times New Roman" w:cs="Times New Roman"/>
          <w:b/>
          <w:sz w:val="20"/>
          <w:szCs w:val="20"/>
        </w:rPr>
        <w:t>Príloha č. 8: Bilancia výroby a použitia konzumných vajec v škrupine v SR (vrátane výrobkov) v tis. ks</w:t>
      </w:r>
    </w:p>
    <w:tbl>
      <w:tblPr>
        <w:tblW w:w="15026" w:type="dxa"/>
        <w:tblInd w:w="-497" w:type="dxa"/>
        <w:tblCellMar>
          <w:left w:w="70" w:type="dxa"/>
          <w:right w:w="70" w:type="dxa"/>
        </w:tblCellMar>
        <w:tblLook w:val="04A0" w:firstRow="1" w:lastRow="0" w:firstColumn="1" w:lastColumn="0" w:noHBand="0" w:noVBand="1"/>
      </w:tblPr>
      <w:tblGrid>
        <w:gridCol w:w="4678"/>
        <w:gridCol w:w="1276"/>
        <w:gridCol w:w="1134"/>
        <w:gridCol w:w="960"/>
        <w:gridCol w:w="960"/>
        <w:gridCol w:w="960"/>
        <w:gridCol w:w="1089"/>
        <w:gridCol w:w="960"/>
        <w:gridCol w:w="960"/>
        <w:gridCol w:w="960"/>
        <w:gridCol w:w="1089"/>
      </w:tblGrid>
      <w:tr w:rsidR="009A5240" w:rsidRPr="00405F18" w:rsidTr="009A5240">
        <w:trPr>
          <w:trHeight w:val="300"/>
        </w:trPr>
        <w:tc>
          <w:tcPr>
            <w:tcW w:w="4678" w:type="dxa"/>
            <w:tcBorders>
              <w:top w:val="single" w:sz="4" w:space="0" w:color="auto"/>
              <w:left w:val="nil"/>
              <w:bottom w:val="single" w:sz="4" w:space="0" w:color="auto"/>
              <w:right w:val="single" w:sz="4" w:space="0" w:color="auto"/>
            </w:tcBorders>
            <w:shd w:val="clear" w:color="000000" w:fill="D9D9D9"/>
            <w:noWrap/>
            <w:vAlign w:val="bottom"/>
            <w:hideMark/>
          </w:tcPr>
          <w:p w:rsidR="009A5240" w:rsidRPr="00405F18" w:rsidRDefault="009A5240" w:rsidP="009A5240">
            <w:pPr>
              <w:spacing w:after="0" w:line="240" w:lineRule="auto"/>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Ukazovateľ</w:t>
            </w:r>
          </w:p>
        </w:tc>
        <w:tc>
          <w:tcPr>
            <w:tcW w:w="1276" w:type="dxa"/>
            <w:tcBorders>
              <w:top w:val="single" w:sz="4" w:space="0" w:color="auto"/>
              <w:left w:val="nil"/>
              <w:bottom w:val="single" w:sz="4" w:space="0" w:color="auto"/>
              <w:right w:val="nil"/>
            </w:tcBorders>
            <w:shd w:val="clear" w:color="000000" w:fill="D9D9D9"/>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2002</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2003</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2004</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2005</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2006</w:t>
            </w:r>
          </w:p>
        </w:tc>
        <w:tc>
          <w:tcPr>
            <w:tcW w:w="1089" w:type="dxa"/>
            <w:tcBorders>
              <w:top w:val="single" w:sz="4" w:space="0" w:color="auto"/>
              <w:left w:val="nil"/>
              <w:bottom w:val="single" w:sz="4" w:space="0" w:color="auto"/>
              <w:right w:val="nil"/>
            </w:tcBorders>
            <w:shd w:val="clear" w:color="000000" w:fill="D9D9D9"/>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2007</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2008</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2009</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2010</w:t>
            </w:r>
          </w:p>
        </w:tc>
        <w:tc>
          <w:tcPr>
            <w:tcW w:w="1089" w:type="dxa"/>
            <w:tcBorders>
              <w:top w:val="single" w:sz="4" w:space="0" w:color="auto"/>
              <w:left w:val="nil"/>
              <w:bottom w:val="single" w:sz="4" w:space="0" w:color="auto"/>
              <w:right w:val="nil"/>
            </w:tcBorders>
            <w:shd w:val="clear" w:color="000000" w:fill="D9D9D9"/>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2011</w:t>
            </w:r>
          </w:p>
        </w:tc>
      </w:tr>
      <w:tr w:rsidR="009A5240" w:rsidRPr="00405F18"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405F18" w:rsidRDefault="009A5240" w:rsidP="009A5240">
            <w:pPr>
              <w:spacing w:after="0" w:line="240" w:lineRule="auto"/>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Počiatočné zásoby</w:t>
            </w:r>
          </w:p>
        </w:tc>
        <w:tc>
          <w:tcPr>
            <w:tcW w:w="1276"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11 198</w:t>
            </w:r>
          </w:p>
        </w:tc>
        <w:tc>
          <w:tcPr>
            <w:tcW w:w="1134"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41 070</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15 917</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14 780</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9 013</w:t>
            </w:r>
          </w:p>
        </w:tc>
        <w:tc>
          <w:tcPr>
            <w:tcW w:w="1089"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11 033</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17 954</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17 109</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18 378</w:t>
            </w:r>
          </w:p>
        </w:tc>
        <w:tc>
          <w:tcPr>
            <w:tcW w:w="1089"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19 692</w:t>
            </w:r>
          </w:p>
        </w:tc>
      </w:tr>
      <w:tr w:rsidR="009A5240" w:rsidRPr="00405F18"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405F18" w:rsidRDefault="009A5240" w:rsidP="009A5240">
            <w:pPr>
              <w:spacing w:after="0" w:line="240" w:lineRule="auto"/>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Produkcia konzumných vajec</w:t>
            </w:r>
          </w:p>
        </w:tc>
        <w:tc>
          <w:tcPr>
            <w:tcW w:w="1276"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1 132 000</w:t>
            </w:r>
          </w:p>
        </w:tc>
        <w:tc>
          <w:tcPr>
            <w:tcW w:w="1134"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1 131 556</w:t>
            </w:r>
          </w:p>
        </w:tc>
        <w:tc>
          <w:tcPr>
            <w:tcW w:w="960"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1 064 109</w:t>
            </w:r>
          </w:p>
        </w:tc>
        <w:tc>
          <w:tcPr>
            <w:tcW w:w="960"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1 061 001</w:t>
            </w:r>
          </w:p>
        </w:tc>
        <w:tc>
          <w:tcPr>
            <w:tcW w:w="960"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1 066 345</w:t>
            </w:r>
          </w:p>
        </w:tc>
        <w:tc>
          <w:tcPr>
            <w:tcW w:w="1089"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1 095 998</w:t>
            </w:r>
          </w:p>
        </w:tc>
        <w:tc>
          <w:tcPr>
            <w:tcW w:w="960"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1 091 552</w:t>
            </w:r>
          </w:p>
        </w:tc>
        <w:tc>
          <w:tcPr>
            <w:tcW w:w="960"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1 066 244</w:t>
            </w:r>
          </w:p>
        </w:tc>
        <w:tc>
          <w:tcPr>
            <w:tcW w:w="960"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1 127 083</w:t>
            </w:r>
          </w:p>
        </w:tc>
        <w:tc>
          <w:tcPr>
            <w:tcW w:w="1089"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1 113 040</w:t>
            </w:r>
          </w:p>
        </w:tc>
      </w:tr>
      <w:tr w:rsidR="009A5240" w:rsidRPr="00405F18"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405F18" w:rsidRDefault="009A5240" w:rsidP="009A5240">
            <w:pPr>
              <w:spacing w:after="0" w:line="240" w:lineRule="auto"/>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Dovoz</w:t>
            </w:r>
          </w:p>
        </w:tc>
        <w:tc>
          <w:tcPr>
            <w:tcW w:w="1276"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63 471</w:t>
            </w:r>
          </w:p>
        </w:tc>
        <w:tc>
          <w:tcPr>
            <w:tcW w:w="1134"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61 642</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85 165</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88 846</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94 464</w:t>
            </w:r>
          </w:p>
        </w:tc>
        <w:tc>
          <w:tcPr>
            <w:tcW w:w="1089"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18 322</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215 451</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223 875</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203 456</w:t>
            </w:r>
          </w:p>
        </w:tc>
        <w:tc>
          <w:tcPr>
            <w:tcW w:w="1089"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95 391</w:t>
            </w:r>
          </w:p>
        </w:tc>
      </w:tr>
      <w:tr w:rsidR="009A5240" w:rsidRPr="00405F18"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405F18" w:rsidRDefault="009A5240" w:rsidP="009A5240">
            <w:pPr>
              <w:spacing w:after="0" w:line="240" w:lineRule="auto"/>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Celková ponuka</w:t>
            </w:r>
          </w:p>
        </w:tc>
        <w:tc>
          <w:tcPr>
            <w:tcW w:w="1276"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1 206 669</w:t>
            </w:r>
          </w:p>
        </w:tc>
        <w:tc>
          <w:tcPr>
            <w:tcW w:w="1134"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1 234 268</w:t>
            </w:r>
          </w:p>
        </w:tc>
        <w:tc>
          <w:tcPr>
            <w:tcW w:w="960"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1 165 191</w:t>
            </w:r>
          </w:p>
        </w:tc>
        <w:tc>
          <w:tcPr>
            <w:tcW w:w="960"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1 164 627</w:t>
            </w:r>
          </w:p>
        </w:tc>
        <w:tc>
          <w:tcPr>
            <w:tcW w:w="960"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1 169 822</w:t>
            </w:r>
          </w:p>
        </w:tc>
        <w:tc>
          <w:tcPr>
            <w:tcW w:w="1089"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1 125 352</w:t>
            </w:r>
          </w:p>
        </w:tc>
        <w:tc>
          <w:tcPr>
            <w:tcW w:w="960"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1 324 957</w:t>
            </w:r>
          </w:p>
        </w:tc>
        <w:tc>
          <w:tcPr>
            <w:tcW w:w="960"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1 307 228</w:t>
            </w:r>
          </w:p>
        </w:tc>
        <w:tc>
          <w:tcPr>
            <w:tcW w:w="960"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1 348 917</w:t>
            </w:r>
          </w:p>
        </w:tc>
        <w:tc>
          <w:tcPr>
            <w:tcW w:w="1089"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1 228 123</w:t>
            </w:r>
          </w:p>
        </w:tc>
      </w:tr>
      <w:tr w:rsidR="009A5240" w:rsidRPr="00405F18"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405F18" w:rsidRDefault="009A5240" w:rsidP="009A5240">
            <w:pPr>
              <w:spacing w:after="0" w:line="240" w:lineRule="auto"/>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Spotreba celkom</w:t>
            </w:r>
          </w:p>
        </w:tc>
        <w:tc>
          <w:tcPr>
            <w:tcW w:w="1276"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1 151 821</w:t>
            </w:r>
          </w:p>
        </w:tc>
        <w:tc>
          <w:tcPr>
            <w:tcW w:w="1134"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1 177 859</w:t>
            </w:r>
          </w:p>
        </w:tc>
        <w:tc>
          <w:tcPr>
            <w:tcW w:w="960"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1 075 838</w:t>
            </w:r>
          </w:p>
        </w:tc>
        <w:tc>
          <w:tcPr>
            <w:tcW w:w="960"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1 074 003</w:t>
            </w:r>
          </w:p>
        </w:tc>
        <w:tc>
          <w:tcPr>
            <w:tcW w:w="960"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1 115 619</w:t>
            </w:r>
          </w:p>
        </w:tc>
        <w:tc>
          <w:tcPr>
            <w:tcW w:w="1089"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994 126</w:t>
            </w:r>
          </w:p>
        </w:tc>
        <w:tc>
          <w:tcPr>
            <w:tcW w:w="960"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1 104 431</w:t>
            </w:r>
          </w:p>
        </w:tc>
        <w:tc>
          <w:tcPr>
            <w:tcW w:w="960"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1 082 984</w:t>
            </w:r>
          </w:p>
        </w:tc>
        <w:tc>
          <w:tcPr>
            <w:tcW w:w="960"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1 128 384</w:t>
            </w:r>
          </w:p>
        </w:tc>
        <w:tc>
          <w:tcPr>
            <w:tcW w:w="1089" w:type="dxa"/>
            <w:tcBorders>
              <w:top w:val="nil"/>
              <w:left w:val="nil"/>
              <w:bottom w:val="nil"/>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1 118 440</w:t>
            </w:r>
          </w:p>
        </w:tc>
      </w:tr>
      <w:tr w:rsidR="009A5240" w:rsidRPr="00405F18"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405F18" w:rsidRDefault="009A5240" w:rsidP="009A5240">
            <w:pPr>
              <w:spacing w:after="0" w:line="240" w:lineRule="auto"/>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Vývoz</w:t>
            </w:r>
          </w:p>
        </w:tc>
        <w:tc>
          <w:tcPr>
            <w:tcW w:w="1276"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22 671</w:t>
            </w:r>
          </w:p>
        </w:tc>
        <w:tc>
          <w:tcPr>
            <w:tcW w:w="1134"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40 492</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74 573</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81 611</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43 171</w:t>
            </w:r>
          </w:p>
        </w:tc>
        <w:tc>
          <w:tcPr>
            <w:tcW w:w="1089"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116 043</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203 417</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204 866</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200 841</w:t>
            </w:r>
          </w:p>
        </w:tc>
        <w:tc>
          <w:tcPr>
            <w:tcW w:w="1089"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99 432</w:t>
            </w:r>
          </w:p>
        </w:tc>
      </w:tr>
      <w:tr w:rsidR="009A5240" w:rsidRPr="00405F18"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405F18" w:rsidRDefault="009A5240" w:rsidP="009A5240">
            <w:pPr>
              <w:spacing w:after="0" w:line="240" w:lineRule="auto"/>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Celkové použitie</w:t>
            </w:r>
          </w:p>
        </w:tc>
        <w:tc>
          <w:tcPr>
            <w:tcW w:w="1276"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1 174 492</w:t>
            </w:r>
          </w:p>
        </w:tc>
        <w:tc>
          <w:tcPr>
            <w:tcW w:w="1134"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1 218 351</w:t>
            </w:r>
          </w:p>
        </w:tc>
        <w:tc>
          <w:tcPr>
            <w:tcW w:w="960"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1 150 411</w:t>
            </w:r>
          </w:p>
        </w:tc>
        <w:tc>
          <w:tcPr>
            <w:tcW w:w="960"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1 155 614</w:t>
            </w:r>
          </w:p>
        </w:tc>
        <w:tc>
          <w:tcPr>
            <w:tcW w:w="960"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1 158 789</w:t>
            </w:r>
          </w:p>
        </w:tc>
        <w:tc>
          <w:tcPr>
            <w:tcW w:w="1089"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1 110 169</w:t>
            </w:r>
          </w:p>
        </w:tc>
        <w:tc>
          <w:tcPr>
            <w:tcW w:w="960"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1 307 848</w:t>
            </w:r>
          </w:p>
        </w:tc>
        <w:tc>
          <w:tcPr>
            <w:tcW w:w="960"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1 287 850</w:t>
            </w:r>
          </w:p>
        </w:tc>
        <w:tc>
          <w:tcPr>
            <w:tcW w:w="960"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1 329 225</w:t>
            </w:r>
          </w:p>
        </w:tc>
        <w:tc>
          <w:tcPr>
            <w:tcW w:w="1089" w:type="dxa"/>
            <w:tcBorders>
              <w:top w:val="nil"/>
              <w:left w:val="nil"/>
              <w:bottom w:val="nil"/>
              <w:right w:val="nil"/>
            </w:tcBorders>
            <w:shd w:val="clear" w:color="000000" w:fill="F2F2F2"/>
            <w:noWrap/>
            <w:vAlign w:val="bottom"/>
            <w:hideMark/>
          </w:tcPr>
          <w:p w:rsidR="009A5240" w:rsidRPr="00405F18" w:rsidRDefault="009A5240" w:rsidP="009A5240">
            <w:pPr>
              <w:spacing w:after="0" w:line="240" w:lineRule="auto"/>
              <w:jc w:val="right"/>
              <w:rPr>
                <w:rFonts w:ascii="Times New Roman" w:eastAsia="Times New Roman" w:hAnsi="Times New Roman" w:cs="Times New Roman"/>
                <w:b/>
                <w:bCs/>
                <w:color w:val="000000"/>
                <w:sz w:val="20"/>
                <w:szCs w:val="20"/>
              </w:rPr>
            </w:pPr>
            <w:r w:rsidRPr="00405F18">
              <w:rPr>
                <w:rFonts w:ascii="Times New Roman" w:eastAsia="Times New Roman" w:hAnsi="Times New Roman" w:cs="Times New Roman"/>
                <w:b/>
                <w:bCs/>
                <w:color w:val="000000"/>
                <w:sz w:val="20"/>
                <w:szCs w:val="20"/>
              </w:rPr>
              <w:t>1 217 872</w:t>
            </w:r>
          </w:p>
        </w:tc>
      </w:tr>
      <w:tr w:rsidR="009A5240" w:rsidRPr="00405F18" w:rsidTr="009A5240">
        <w:trPr>
          <w:trHeight w:val="300"/>
        </w:trPr>
        <w:tc>
          <w:tcPr>
            <w:tcW w:w="4678" w:type="dxa"/>
            <w:tcBorders>
              <w:top w:val="nil"/>
              <w:left w:val="nil"/>
              <w:bottom w:val="single" w:sz="4" w:space="0" w:color="auto"/>
              <w:right w:val="single" w:sz="4" w:space="0" w:color="auto"/>
            </w:tcBorders>
            <w:shd w:val="clear" w:color="auto" w:fill="auto"/>
            <w:noWrap/>
            <w:vAlign w:val="bottom"/>
            <w:hideMark/>
          </w:tcPr>
          <w:p w:rsidR="009A5240" w:rsidRPr="00405F18" w:rsidRDefault="009A5240" w:rsidP="009A5240">
            <w:pPr>
              <w:spacing w:after="0" w:line="240" w:lineRule="auto"/>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Konečné zásoby*</w:t>
            </w:r>
          </w:p>
        </w:tc>
        <w:tc>
          <w:tcPr>
            <w:tcW w:w="1276"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32 177</w:t>
            </w:r>
          </w:p>
        </w:tc>
        <w:tc>
          <w:tcPr>
            <w:tcW w:w="1134"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15 917</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14 780</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9 013</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11 032</w:t>
            </w:r>
          </w:p>
        </w:tc>
        <w:tc>
          <w:tcPr>
            <w:tcW w:w="1089"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15 183</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17 109</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18 378</w:t>
            </w:r>
          </w:p>
        </w:tc>
        <w:tc>
          <w:tcPr>
            <w:tcW w:w="960"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19 692</w:t>
            </w:r>
          </w:p>
        </w:tc>
        <w:tc>
          <w:tcPr>
            <w:tcW w:w="1089" w:type="dxa"/>
            <w:tcBorders>
              <w:top w:val="nil"/>
              <w:left w:val="nil"/>
              <w:bottom w:val="single" w:sz="4" w:space="0" w:color="auto"/>
              <w:right w:val="nil"/>
            </w:tcBorders>
            <w:shd w:val="clear" w:color="auto" w:fill="auto"/>
            <w:noWrap/>
            <w:vAlign w:val="bottom"/>
            <w:hideMark/>
          </w:tcPr>
          <w:p w:rsidR="009A5240" w:rsidRPr="00405F18" w:rsidRDefault="009A5240" w:rsidP="009A5240">
            <w:pPr>
              <w:spacing w:after="0" w:line="240" w:lineRule="auto"/>
              <w:jc w:val="right"/>
              <w:rPr>
                <w:rFonts w:ascii="Times New Roman" w:eastAsia="Times New Roman" w:hAnsi="Times New Roman" w:cs="Times New Roman"/>
                <w:color w:val="000000"/>
                <w:sz w:val="20"/>
                <w:szCs w:val="20"/>
              </w:rPr>
            </w:pPr>
            <w:r w:rsidRPr="00405F18">
              <w:rPr>
                <w:rFonts w:ascii="Times New Roman" w:eastAsia="Times New Roman" w:hAnsi="Times New Roman" w:cs="Times New Roman"/>
                <w:color w:val="000000"/>
                <w:sz w:val="20"/>
                <w:szCs w:val="20"/>
              </w:rPr>
              <w:t>10 251</w:t>
            </w:r>
          </w:p>
        </w:tc>
      </w:tr>
      <w:tr w:rsidR="009A5240" w:rsidRPr="00405F18" w:rsidTr="009A5240">
        <w:trPr>
          <w:trHeight w:val="300"/>
        </w:trPr>
        <w:tc>
          <w:tcPr>
            <w:tcW w:w="15026" w:type="dxa"/>
            <w:gridSpan w:val="11"/>
            <w:tcBorders>
              <w:top w:val="nil"/>
              <w:left w:val="nil"/>
              <w:bottom w:val="nil"/>
            </w:tcBorders>
            <w:shd w:val="clear" w:color="auto" w:fill="auto"/>
            <w:noWrap/>
            <w:vAlign w:val="bottom"/>
            <w:hideMark/>
          </w:tcPr>
          <w:p w:rsidR="009A5240" w:rsidRPr="00405F18" w:rsidRDefault="009A5240" w:rsidP="009A5240">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0"/>
                <w:szCs w:val="20"/>
              </w:rPr>
              <w:t>* rozdiel medzi konečnými</w:t>
            </w:r>
            <w:r w:rsidRPr="00405F18">
              <w:rPr>
                <w:rFonts w:ascii="Times New Roman" w:eastAsia="Times New Roman" w:hAnsi="Times New Roman" w:cs="Times New Roman"/>
                <w:color w:val="000000"/>
                <w:sz w:val="20"/>
                <w:szCs w:val="20"/>
              </w:rPr>
              <w:t xml:space="preserve"> zásobami v roku 2002 a počiatočnými zásobami v roku 2003 vznikol z dôvodu úpravy zásob v predchádzajúcom období</w:t>
            </w:r>
          </w:p>
        </w:tc>
      </w:tr>
    </w:tbl>
    <w:p w:rsidR="009A5240" w:rsidRDefault="009A5240" w:rsidP="009A5240">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Zdroj: VÚEPP</w:t>
      </w:r>
    </w:p>
    <w:p w:rsidR="008475C4" w:rsidRDefault="008475C4" w:rsidP="009A5240">
      <w:pPr>
        <w:spacing w:after="0" w:line="240" w:lineRule="auto"/>
        <w:ind w:left="-567"/>
        <w:rPr>
          <w:rFonts w:ascii="Times New Roman" w:hAnsi="Times New Roman" w:cs="Times New Roman"/>
          <w:b/>
          <w:sz w:val="24"/>
          <w:szCs w:val="24"/>
        </w:rPr>
      </w:pPr>
    </w:p>
    <w:p w:rsidR="008475C4" w:rsidRDefault="008475C4" w:rsidP="009A5240">
      <w:pPr>
        <w:spacing w:after="0" w:line="240" w:lineRule="auto"/>
        <w:ind w:left="-567"/>
        <w:rPr>
          <w:rFonts w:ascii="Times New Roman" w:hAnsi="Times New Roman" w:cs="Times New Roman"/>
          <w:b/>
          <w:sz w:val="24"/>
          <w:szCs w:val="24"/>
        </w:rPr>
      </w:pPr>
    </w:p>
    <w:p w:rsidR="008475C4" w:rsidRDefault="008475C4" w:rsidP="009A5240">
      <w:pPr>
        <w:spacing w:after="0" w:line="240" w:lineRule="auto"/>
        <w:ind w:left="-567"/>
        <w:rPr>
          <w:rFonts w:ascii="Times New Roman" w:hAnsi="Times New Roman" w:cs="Times New Roman"/>
          <w:b/>
          <w:sz w:val="24"/>
          <w:szCs w:val="24"/>
        </w:rPr>
      </w:pPr>
    </w:p>
    <w:p w:rsidR="008475C4" w:rsidRDefault="008475C4" w:rsidP="009A5240">
      <w:pPr>
        <w:spacing w:after="0" w:line="240" w:lineRule="auto"/>
        <w:ind w:left="-567"/>
        <w:rPr>
          <w:rFonts w:ascii="Times New Roman" w:hAnsi="Times New Roman" w:cs="Times New Roman"/>
          <w:b/>
          <w:sz w:val="24"/>
          <w:szCs w:val="24"/>
        </w:rPr>
      </w:pPr>
    </w:p>
    <w:p w:rsidR="008475C4" w:rsidRDefault="008475C4" w:rsidP="009A5240">
      <w:pPr>
        <w:spacing w:after="0" w:line="240" w:lineRule="auto"/>
        <w:ind w:left="-567"/>
        <w:rPr>
          <w:rFonts w:ascii="Times New Roman" w:hAnsi="Times New Roman" w:cs="Times New Roman"/>
          <w:b/>
          <w:sz w:val="24"/>
          <w:szCs w:val="24"/>
        </w:rPr>
      </w:pPr>
    </w:p>
    <w:p w:rsidR="008475C4" w:rsidRDefault="008475C4" w:rsidP="009A5240">
      <w:pPr>
        <w:spacing w:after="0" w:line="240" w:lineRule="auto"/>
        <w:ind w:left="-567"/>
        <w:rPr>
          <w:rFonts w:ascii="Times New Roman" w:hAnsi="Times New Roman" w:cs="Times New Roman"/>
          <w:b/>
          <w:sz w:val="24"/>
          <w:szCs w:val="24"/>
        </w:rPr>
      </w:pPr>
    </w:p>
    <w:p w:rsidR="008475C4" w:rsidRDefault="008475C4" w:rsidP="009A5240">
      <w:pPr>
        <w:spacing w:after="0" w:line="240" w:lineRule="auto"/>
        <w:ind w:left="-567"/>
        <w:rPr>
          <w:rFonts w:ascii="Times New Roman" w:hAnsi="Times New Roman" w:cs="Times New Roman"/>
          <w:b/>
          <w:sz w:val="24"/>
          <w:szCs w:val="24"/>
        </w:rPr>
      </w:pPr>
    </w:p>
    <w:p w:rsidR="008475C4" w:rsidRDefault="008475C4" w:rsidP="009A5240">
      <w:pPr>
        <w:spacing w:after="0" w:line="240" w:lineRule="auto"/>
        <w:ind w:left="-567"/>
        <w:rPr>
          <w:rFonts w:ascii="Times New Roman" w:hAnsi="Times New Roman" w:cs="Times New Roman"/>
          <w:b/>
          <w:sz w:val="24"/>
          <w:szCs w:val="24"/>
        </w:rPr>
      </w:pPr>
    </w:p>
    <w:p w:rsidR="008475C4" w:rsidRDefault="008475C4" w:rsidP="009A5240">
      <w:pPr>
        <w:spacing w:after="0" w:line="240" w:lineRule="auto"/>
        <w:ind w:left="-567"/>
        <w:rPr>
          <w:rFonts w:ascii="Times New Roman" w:hAnsi="Times New Roman" w:cs="Times New Roman"/>
          <w:b/>
          <w:sz w:val="24"/>
          <w:szCs w:val="24"/>
        </w:rPr>
      </w:pPr>
    </w:p>
    <w:p w:rsidR="00A93F56" w:rsidRDefault="00A93F56" w:rsidP="009A5240">
      <w:pPr>
        <w:spacing w:after="0" w:line="240" w:lineRule="auto"/>
        <w:ind w:left="-567"/>
        <w:rPr>
          <w:rFonts w:ascii="Times New Roman" w:hAnsi="Times New Roman" w:cs="Times New Roman"/>
          <w:b/>
          <w:sz w:val="24"/>
          <w:szCs w:val="24"/>
        </w:rPr>
      </w:pPr>
    </w:p>
    <w:p w:rsidR="00A93F56" w:rsidRDefault="00A93F56" w:rsidP="009A5240">
      <w:pPr>
        <w:spacing w:after="0" w:line="240" w:lineRule="auto"/>
        <w:ind w:left="-567"/>
        <w:rPr>
          <w:rFonts w:ascii="Times New Roman" w:hAnsi="Times New Roman" w:cs="Times New Roman"/>
          <w:b/>
          <w:sz w:val="24"/>
          <w:szCs w:val="24"/>
        </w:rPr>
      </w:pPr>
    </w:p>
    <w:p w:rsidR="008475C4" w:rsidRDefault="008475C4" w:rsidP="009A5240">
      <w:pPr>
        <w:spacing w:after="0" w:line="240" w:lineRule="auto"/>
        <w:ind w:left="-567"/>
        <w:rPr>
          <w:rFonts w:ascii="Times New Roman" w:hAnsi="Times New Roman" w:cs="Times New Roman"/>
          <w:b/>
          <w:sz w:val="20"/>
          <w:szCs w:val="20"/>
        </w:rPr>
      </w:pPr>
    </w:p>
    <w:p w:rsidR="009A5240" w:rsidRPr="008475C4" w:rsidRDefault="009A5240" w:rsidP="009A5240">
      <w:pPr>
        <w:spacing w:after="0" w:line="240" w:lineRule="auto"/>
        <w:ind w:left="-567"/>
        <w:rPr>
          <w:rFonts w:ascii="Times New Roman" w:hAnsi="Times New Roman" w:cs="Times New Roman"/>
          <w:b/>
          <w:sz w:val="20"/>
          <w:szCs w:val="20"/>
        </w:rPr>
      </w:pPr>
      <w:r w:rsidRPr="008475C4">
        <w:rPr>
          <w:rFonts w:ascii="Times New Roman" w:hAnsi="Times New Roman" w:cs="Times New Roman"/>
          <w:b/>
          <w:sz w:val="20"/>
          <w:szCs w:val="20"/>
        </w:rPr>
        <w:t>Príloha č. 9: Základné produkčné ukazovatele krmovín na ornej pôde</w:t>
      </w:r>
    </w:p>
    <w:tbl>
      <w:tblPr>
        <w:tblW w:w="15026" w:type="dxa"/>
        <w:tblInd w:w="-497" w:type="dxa"/>
        <w:tblCellMar>
          <w:left w:w="70" w:type="dxa"/>
          <w:right w:w="70" w:type="dxa"/>
        </w:tblCellMar>
        <w:tblLook w:val="04A0" w:firstRow="1" w:lastRow="0" w:firstColumn="1" w:lastColumn="0" w:noHBand="0" w:noVBand="1"/>
      </w:tblPr>
      <w:tblGrid>
        <w:gridCol w:w="4678"/>
        <w:gridCol w:w="1276"/>
        <w:gridCol w:w="1134"/>
        <w:gridCol w:w="960"/>
        <w:gridCol w:w="960"/>
        <w:gridCol w:w="960"/>
        <w:gridCol w:w="1089"/>
        <w:gridCol w:w="960"/>
        <w:gridCol w:w="960"/>
        <w:gridCol w:w="960"/>
        <w:gridCol w:w="1089"/>
      </w:tblGrid>
      <w:tr w:rsidR="009A5240" w:rsidRPr="00B72A8F" w:rsidTr="00D86A54">
        <w:trPr>
          <w:trHeight w:val="300"/>
        </w:trPr>
        <w:tc>
          <w:tcPr>
            <w:tcW w:w="4678" w:type="dxa"/>
            <w:tcBorders>
              <w:top w:val="single" w:sz="4" w:space="0" w:color="auto"/>
              <w:left w:val="nil"/>
              <w:bottom w:val="single" w:sz="4" w:space="0" w:color="auto"/>
              <w:right w:val="single" w:sz="4" w:space="0" w:color="auto"/>
            </w:tcBorders>
            <w:shd w:val="clear" w:color="000000" w:fill="D9D9D9"/>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nil"/>
            </w:tcBorders>
            <w:shd w:val="clear" w:color="000000" w:fill="D9D9D9"/>
            <w:noWrap/>
            <w:vAlign w:val="bottom"/>
            <w:hideMark/>
          </w:tcPr>
          <w:p w:rsidR="009A5240" w:rsidRPr="00B72A8F" w:rsidRDefault="009A5240" w:rsidP="009A5240">
            <w:pPr>
              <w:spacing w:after="0" w:line="240" w:lineRule="auto"/>
              <w:jc w:val="right"/>
              <w:rPr>
                <w:rFonts w:ascii="Times New Roman" w:eastAsia="Times New Roman" w:hAnsi="Times New Roman" w:cs="Times New Roman"/>
                <w:b/>
                <w:color w:val="000000"/>
                <w:sz w:val="20"/>
                <w:szCs w:val="20"/>
              </w:rPr>
            </w:pPr>
            <w:r w:rsidRPr="00B72A8F">
              <w:rPr>
                <w:rFonts w:ascii="Times New Roman" w:eastAsia="Times New Roman" w:hAnsi="Times New Roman" w:cs="Times New Roman"/>
                <w:b/>
                <w:color w:val="000000"/>
                <w:sz w:val="20"/>
                <w:szCs w:val="20"/>
              </w:rPr>
              <w:t>2002</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B72A8F" w:rsidRDefault="009A5240" w:rsidP="009A5240">
            <w:pPr>
              <w:spacing w:after="0" w:line="240" w:lineRule="auto"/>
              <w:jc w:val="right"/>
              <w:rPr>
                <w:rFonts w:ascii="Times New Roman" w:eastAsia="Times New Roman" w:hAnsi="Times New Roman" w:cs="Times New Roman"/>
                <w:b/>
                <w:color w:val="000000"/>
                <w:sz w:val="20"/>
                <w:szCs w:val="20"/>
              </w:rPr>
            </w:pPr>
            <w:r w:rsidRPr="00B72A8F">
              <w:rPr>
                <w:rFonts w:ascii="Times New Roman" w:eastAsia="Times New Roman" w:hAnsi="Times New Roman" w:cs="Times New Roman"/>
                <w:b/>
                <w:color w:val="000000"/>
                <w:sz w:val="20"/>
                <w:szCs w:val="20"/>
              </w:rPr>
              <w:t>2003</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B72A8F" w:rsidRDefault="009A5240" w:rsidP="009A5240">
            <w:pPr>
              <w:spacing w:after="0" w:line="240" w:lineRule="auto"/>
              <w:jc w:val="right"/>
              <w:rPr>
                <w:rFonts w:ascii="Times New Roman" w:eastAsia="Times New Roman" w:hAnsi="Times New Roman" w:cs="Times New Roman"/>
                <w:b/>
                <w:color w:val="000000"/>
                <w:sz w:val="20"/>
                <w:szCs w:val="20"/>
              </w:rPr>
            </w:pPr>
            <w:r w:rsidRPr="00B72A8F">
              <w:rPr>
                <w:rFonts w:ascii="Times New Roman" w:eastAsia="Times New Roman" w:hAnsi="Times New Roman" w:cs="Times New Roman"/>
                <w:b/>
                <w:color w:val="000000"/>
                <w:sz w:val="20"/>
                <w:szCs w:val="20"/>
              </w:rPr>
              <w:t>2004</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B72A8F" w:rsidRDefault="009A5240" w:rsidP="009A5240">
            <w:pPr>
              <w:spacing w:after="0" w:line="240" w:lineRule="auto"/>
              <w:jc w:val="right"/>
              <w:rPr>
                <w:rFonts w:ascii="Times New Roman" w:eastAsia="Times New Roman" w:hAnsi="Times New Roman" w:cs="Times New Roman"/>
                <w:b/>
                <w:color w:val="000000"/>
                <w:sz w:val="20"/>
                <w:szCs w:val="20"/>
              </w:rPr>
            </w:pPr>
            <w:r w:rsidRPr="00B72A8F">
              <w:rPr>
                <w:rFonts w:ascii="Times New Roman" w:eastAsia="Times New Roman" w:hAnsi="Times New Roman" w:cs="Times New Roman"/>
                <w:b/>
                <w:color w:val="000000"/>
                <w:sz w:val="20"/>
                <w:szCs w:val="20"/>
              </w:rPr>
              <w:t>2005</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B72A8F" w:rsidRDefault="009A5240" w:rsidP="009A5240">
            <w:pPr>
              <w:spacing w:after="0" w:line="240" w:lineRule="auto"/>
              <w:jc w:val="right"/>
              <w:rPr>
                <w:rFonts w:ascii="Times New Roman" w:eastAsia="Times New Roman" w:hAnsi="Times New Roman" w:cs="Times New Roman"/>
                <w:b/>
                <w:color w:val="000000"/>
                <w:sz w:val="20"/>
                <w:szCs w:val="20"/>
              </w:rPr>
            </w:pPr>
            <w:r w:rsidRPr="00B72A8F">
              <w:rPr>
                <w:rFonts w:ascii="Times New Roman" w:eastAsia="Times New Roman" w:hAnsi="Times New Roman" w:cs="Times New Roman"/>
                <w:b/>
                <w:color w:val="000000"/>
                <w:sz w:val="20"/>
                <w:szCs w:val="20"/>
              </w:rPr>
              <w:t>2006</w:t>
            </w:r>
          </w:p>
        </w:tc>
        <w:tc>
          <w:tcPr>
            <w:tcW w:w="1089" w:type="dxa"/>
            <w:tcBorders>
              <w:top w:val="single" w:sz="4" w:space="0" w:color="auto"/>
              <w:left w:val="nil"/>
              <w:bottom w:val="single" w:sz="4" w:space="0" w:color="auto"/>
              <w:right w:val="nil"/>
            </w:tcBorders>
            <w:shd w:val="clear" w:color="000000" w:fill="D9D9D9"/>
            <w:noWrap/>
            <w:vAlign w:val="bottom"/>
            <w:hideMark/>
          </w:tcPr>
          <w:p w:rsidR="009A5240" w:rsidRPr="00B72A8F" w:rsidRDefault="009A5240" w:rsidP="009A5240">
            <w:pPr>
              <w:spacing w:after="0" w:line="240" w:lineRule="auto"/>
              <w:jc w:val="right"/>
              <w:rPr>
                <w:rFonts w:ascii="Times New Roman" w:eastAsia="Times New Roman" w:hAnsi="Times New Roman" w:cs="Times New Roman"/>
                <w:b/>
                <w:color w:val="000000"/>
                <w:sz w:val="20"/>
                <w:szCs w:val="20"/>
              </w:rPr>
            </w:pPr>
            <w:r w:rsidRPr="00B72A8F">
              <w:rPr>
                <w:rFonts w:ascii="Times New Roman" w:eastAsia="Times New Roman" w:hAnsi="Times New Roman" w:cs="Times New Roman"/>
                <w:b/>
                <w:color w:val="000000"/>
                <w:sz w:val="20"/>
                <w:szCs w:val="20"/>
              </w:rPr>
              <w:t>2007</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B72A8F" w:rsidRDefault="009A5240" w:rsidP="009A5240">
            <w:pPr>
              <w:spacing w:after="0" w:line="240" w:lineRule="auto"/>
              <w:jc w:val="right"/>
              <w:rPr>
                <w:rFonts w:ascii="Times New Roman" w:eastAsia="Times New Roman" w:hAnsi="Times New Roman" w:cs="Times New Roman"/>
                <w:b/>
                <w:color w:val="000000"/>
                <w:sz w:val="20"/>
                <w:szCs w:val="20"/>
              </w:rPr>
            </w:pPr>
            <w:r w:rsidRPr="00B72A8F">
              <w:rPr>
                <w:rFonts w:ascii="Times New Roman" w:eastAsia="Times New Roman" w:hAnsi="Times New Roman" w:cs="Times New Roman"/>
                <w:b/>
                <w:color w:val="000000"/>
                <w:sz w:val="20"/>
                <w:szCs w:val="20"/>
              </w:rPr>
              <w:t>2008</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B72A8F" w:rsidRDefault="009A5240" w:rsidP="009A5240">
            <w:pPr>
              <w:spacing w:after="0" w:line="240" w:lineRule="auto"/>
              <w:jc w:val="right"/>
              <w:rPr>
                <w:rFonts w:ascii="Times New Roman" w:eastAsia="Times New Roman" w:hAnsi="Times New Roman" w:cs="Times New Roman"/>
                <w:b/>
                <w:color w:val="000000"/>
                <w:sz w:val="20"/>
                <w:szCs w:val="20"/>
              </w:rPr>
            </w:pPr>
            <w:r w:rsidRPr="00B72A8F">
              <w:rPr>
                <w:rFonts w:ascii="Times New Roman" w:eastAsia="Times New Roman" w:hAnsi="Times New Roman" w:cs="Times New Roman"/>
                <w:b/>
                <w:color w:val="000000"/>
                <w:sz w:val="20"/>
                <w:szCs w:val="20"/>
              </w:rPr>
              <w:t>2009</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B72A8F" w:rsidRDefault="009A5240" w:rsidP="009A5240">
            <w:pPr>
              <w:spacing w:after="0" w:line="240" w:lineRule="auto"/>
              <w:jc w:val="right"/>
              <w:rPr>
                <w:rFonts w:ascii="Times New Roman" w:eastAsia="Times New Roman" w:hAnsi="Times New Roman" w:cs="Times New Roman"/>
                <w:b/>
                <w:color w:val="000000"/>
                <w:sz w:val="20"/>
                <w:szCs w:val="20"/>
              </w:rPr>
            </w:pPr>
            <w:r w:rsidRPr="00B72A8F">
              <w:rPr>
                <w:rFonts w:ascii="Times New Roman" w:eastAsia="Times New Roman" w:hAnsi="Times New Roman" w:cs="Times New Roman"/>
                <w:b/>
                <w:color w:val="000000"/>
                <w:sz w:val="20"/>
                <w:szCs w:val="20"/>
              </w:rPr>
              <w:t>2010</w:t>
            </w:r>
          </w:p>
        </w:tc>
        <w:tc>
          <w:tcPr>
            <w:tcW w:w="1089" w:type="dxa"/>
            <w:tcBorders>
              <w:top w:val="single" w:sz="4" w:space="0" w:color="auto"/>
              <w:left w:val="nil"/>
              <w:bottom w:val="single" w:sz="4" w:space="0" w:color="auto"/>
              <w:right w:val="nil"/>
            </w:tcBorders>
            <w:shd w:val="clear" w:color="000000" w:fill="D9D9D9"/>
            <w:noWrap/>
            <w:vAlign w:val="bottom"/>
            <w:hideMark/>
          </w:tcPr>
          <w:p w:rsidR="009A5240" w:rsidRPr="00B72A8F" w:rsidRDefault="009A5240" w:rsidP="009A5240">
            <w:pPr>
              <w:spacing w:after="0" w:line="240" w:lineRule="auto"/>
              <w:jc w:val="right"/>
              <w:rPr>
                <w:rFonts w:ascii="Times New Roman" w:eastAsia="Times New Roman" w:hAnsi="Times New Roman" w:cs="Times New Roman"/>
                <w:b/>
                <w:color w:val="000000"/>
                <w:sz w:val="20"/>
                <w:szCs w:val="20"/>
              </w:rPr>
            </w:pPr>
            <w:r w:rsidRPr="00B72A8F">
              <w:rPr>
                <w:rFonts w:ascii="Times New Roman" w:eastAsia="Times New Roman" w:hAnsi="Times New Roman" w:cs="Times New Roman"/>
                <w:b/>
                <w:color w:val="000000"/>
                <w:sz w:val="20"/>
                <w:szCs w:val="20"/>
              </w:rPr>
              <w:t>2011</w:t>
            </w:r>
          </w:p>
        </w:tc>
      </w:tr>
      <w:tr w:rsidR="009A5240" w:rsidRPr="00B72A8F"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b/>
                <w:bCs/>
                <w:color w:val="000000"/>
                <w:sz w:val="20"/>
                <w:szCs w:val="20"/>
              </w:rPr>
            </w:pPr>
            <w:r w:rsidRPr="00B72A8F">
              <w:rPr>
                <w:rFonts w:ascii="Times New Roman" w:eastAsia="Times New Roman" w:hAnsi="Times New Roman" w:cs="Times New Roman"/>
                <w:b/>
                <w:bCs/>
                <w:color w:val="000000"/>
                <w:sz w:val="20"/>
                <w:szCs w:val="20"/>
              </w:rPr>
              <w:t xml:space="preserve">Jednoročné krmoviny na ornej pôde </w:t>
            </w:r>
          </w:p>
        </w:tc>
        <w:tc>
          <w:tcPr>
            <w:tcW w:w="1276"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center"/>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 </w:t>
            </w:r>
          </w:p>
        </w:tc>
        <w:tc>
          <w:tcPr>
            <w:tcW w:w="1134"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center"/>
              <w:rPr>
                <w:rFonts w:ascii="Times New Roman" w:eastAsia="Times New Roman" w:hAnsi="Times New Roman" w:cs="Times New Roman"/>
                <w:color w:val="000000"/>
                <w:sz w:val="20"/>
                <w:szCs w:val="20"/>
              </w:rPr>
            </w:pP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center"/>
              <w:rPr>
                <w:rFonts w:ascii="Times New Roman" w:eastAsia="Times New Roman" w:hAnsi="Times New Roman" w:cs="Times New Roman"/>
                <w:color w:val="000000"/>
                <w:sz w:val="20"/>
                <w:szCs w:val="20"/>
              </w:rPr>
            </w:pP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center"/>
              <w:rPr>
                <w:rFonts w:ascii="Times New Roman" w:eastAsia="Times New Roman" w:hAnsi="Times New Roman" w:cs="Times New Roman"/>
                <w:color w:val="000000"/>
                <w:sz w:val="20"/>
                <w:szCs w:val="20"/>
              </w:rPr>
            </w:pPr>
          </w:p>
        </w:tc>
      </w:tr>
      <w:tr w:rsidR="009A5240" w:rsidRPr="00B72A8F"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 xml:space="preserve">    Zberová plocha (ha)</w:t>
            </w:r>
          </w:p>
        </w:tc>
        <w:tc>
          <w:tcPr>
            <w:tcW w:w="1276"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120 859</w:t>
            </w:r>
          </w:p>
        </w:tc>
        <w:tc>
          <w:tcPr>
            <w:tcW w:w="1134"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123 460</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110 211</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105 908</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106 954</w:t>
            </w:r>
          </w:p>
        </w:tc>
        <w:tc>
          <w:tcPr>
            <w:tcW w:w="1089"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96 429</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91 390</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85 970</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92 371</w:t>
            </w:r>
          </w:p>
        </w:tc>
        <w:tc>
          <w:tcPr>
            <w:tcW w:w="1089"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95 280</w:t>
            </w:r>
          </w:p>
        </w:tc>
      </w:tr>
      <w:tr w:rsidR="009A5240" w:rsidRPr="00B72A8F"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 xml:space="preserve">    Úroda (t)</w:t>
            </w:r>
          </w:p>
        </w:tc>
        <w:tc>
          <w:tcPr>
            <w:tcW w:w="1276"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3 021 880</w:t>
            </w:r>
          </w:p>
        </w:tc>
        <w:tc>
          <w:tcPr>
            <w:tcW w:w="1134"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2 365 882</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2 601 292</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2 566 045</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2 292 653</w:t>
            </w: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2 047 874</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2 426 079</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2 087 746</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1 924 283</w:t>
            </w: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2 516 620</w:t>
            </w:r>
          </w:p>
        </w:tc>
      </w:tr>
      <w:tr w:rsidR="009A5240" w:rsidRPr="00B72A8F" w:rsidTr="009A5240">
        <w:trPr>
          <w:trHeight w:val="300"/>
        </w:trPr>
        <w:tc>
          <w:tcPr>
            <w:tcW w:w="4678" w:type="dxa"/>
            <w:tcBorders>
              <w:top w:val="nil"/>
              <w:left w:val="nil"/>
              <w:bottom w:val="single" w:sz="4" w:space="0" w:color="auto"/>
              <w:right w:val="single" w:sz="4" w:space="0" w:color="auto"/>
            </w:tcBorders>
            <w:shd w:val="clear" w:color="000000" w:fill="F2F2F2"/>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 xml:space="preserve">    Hektárová úroda (t/ha)</w:t>
            </w:r>
          </w:p>
        </w:tc>
        <w:tc>
          <w:tcPr>
            <w:tcW w:w="1276"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25,00</w:t>
            </w:r>
          </w:p>
        </w:tc>
        <w:tc>
          <w:tcPr>
            <w:tcW w:w="1134"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19,16</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23,60</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24,23</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21,44</w:t>
            </w:r>
          </w:p>
        </w:tc>
        <w:tc>
          <w:tcPr>
            <w:tcW w:w="1089"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21,24</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26,55</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24,28</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20,83</w:t>
            </w:r>
          </w:p>
        </w:tc>
        <w:tc>
          <w:tcPr>
            <w:tcW w:w="1089"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26,41</w:t>
            </w:r>
          </w:p>
        </w:tc>
      </w:tr>
      <w:tr w:rsidR="009A5240" w:rsidRPr="00B72A8F"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b/>
                <w:bCs/>
                <w:color w:val="000000"/>
                <w:sz w:val="20"/>
                <w:szCs w:val="20"/>
              </w:rPr>
            </w:pPr>
            <w:r w:rsidRPr="00B72A8F">
              <w:rPr>
                <w:rFonts w:ascii="Times New Roman" w:eastAsia="Times New Roman" w:hAnsi="Times New Roman" w:cs="Times New Roman"/>
                <w:b/>
                <w:bCs/>
                <w:color w:val="000000"/>
                <w:sz w:val="20"/>
                <w:szCs w:val="20"/>
              </w:rPr>
              <w:t>Lucerna siata</w:t>
            </w:r>
          </w:p>
        </w:tc>
        <w:tc>
          <w:tcPr>
            <w:tcW w:w="1276"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 </w:t>
            </w:r>
          </w:p>
        </w:tc>
        <w:tc>
          <w:tcPr>
            <w:tcW w:w="1134"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p>
        </w:tc>
      </w:tr>
      <w:tr w:rsidR="009A5240" w:rsidRPr="00B72A8F"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 xml:space="preserve">    Zberová plocha (ha)</w:t>
            </w:r>
          </w:p>
        </w:tc>
        <w:tc>
          <w:tcPr>
            <w:tcW w:w="1276"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62 481</w:t>
            </w:r>
          </w:p>
        </w:tc>
        <w:tc>
          <w:tcPr>
            <w:tcW w:w="1134"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61 532</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60 967</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60 324</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53 889</w:t>
            </w:r>
          </w:p>
        </w:tc>
        <w:tc>
          <w:tcPr>
            <w:tcW w:w="1089"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52 198</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50 411</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51 568</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53 453</w:t>
            </w:r>
          </w:p>
        </w:tc>
        <w:tc>
          <w:tcPr>
            <w:tcW w:w="1089"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48 648</w:t>
            </w:r>
          </w:p>
        </w:tc>
      </w:tr>
      <w:tr w:rsidR="009A5240" w:rsidRPr="00B72A8F"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 xml:space="preserve">    Úroda (t)</w:t>
            </w:r>
          </w:p>
        </w:tc>
        <w:tc>
          <w:tcPr>
            <w:tcW w:w="1276"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471 437</w:t>
            </w:r>
          </w:p>
        </w:tc>
        <w:tc>
          <w:tcPr>
            <w:tcW w:w="1134"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340 645</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471 467</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425 574</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373 401</w:t>
            </w: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362 698</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382 903</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360 884</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348 151</w:t>
            </w: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314 073</w:t>
            </w:r>
          </w:p>
        </w:tc>
      </w:tr>
      <w:tr w:rsidR="009A5240" w:rsidRPr="00B72A8F" w:rsidTr="009A5240">
        <w:trPr>
          <w:trHeight w:val="300"/>
        </w:trPr>
        <w:tc>
          <w:tcPr>
            <w:tcW w:w="4678" w:type="dxa"/>
            <w:tcBorders>
              <w:top w:val="nil"/>
              <w:left w:val="nil"/>
              <w:bottom w:val="single" w:sz="4" w:space="0" w:color="auto"/>
              <w:right w:val="single" w:sz="4" w:space="0" w:color="auto"/>
            </w:tcBorders>
            <w:shd w:val="clear" w:color="000000" w:fill="F2F2F2"/>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 xml:space="preserve">    Hektárová úroda (t/ha)</w:t>
            </w:r>
          </w:p>
        </w:tc>
        <w:tc>
          <w:tcPr>
            <w:tcW w:w="1276"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7,55</w:t>
            </w:r>
          </w:p>
        </w:tc>
        <w:tc>
          <w:tcPr>
            <w:tcW w:w="1134"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5,54</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7,73</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7,05</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6,93</w:t>
            </w:r>
          </w:p>
        </w:tc>
        <w:tc>
          <w:tcPr>
            <w:tcW w:w="1089"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6,95</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7,60</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7,00</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6,51</w:t>
            </w:r>
          </w:p>
        </w:tc>
        <w:tc>
          <w:tcPr>
            <w:tcW w:w="1089"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6,46</w:t>
            </w:r>
          </w:p>
        </w:tc>
      </w:tr>
      <w:tr w:rsidR="009A5240" w:rsidRPr="00B72A8F"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b/>
                <w:bCs/>
                <w:color w:val="000000"/>
                <w:sz w:val="20"/>
                <w:szCs w:val="20"/>
              </w:rPr>
            </w:pPr>
            <w:r w:rsidRPr="00B72A8F">
              <w:rPr>
                <w:rFonts w:ascii="Times New Roman" w:eastAsia="Times New Roman" w:hAnsi="Times New Roman" w:cs="Times New Roman"/>
                <w:b/>
                <w:bCs/>
                <w:color w:val="000000"/>
                <w:sz w:val="20"/>
                <w:szCs w:val="20"/>
              </w:rPr>
              <w:t>Ďatelina červená dvojkosná</w:t>
            </w:r>
          </w:p>
        </w:tc>
        <w:tc>
          <w:tcPr>
            <w:tcW w:w="1276"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r w:rsidRPr="00B72A8F">
              <w:rPr>
                <w:rFonts w:ascii="Calibri" w:eastAsia="Times New Roman" w:hAnsi="Calibri" w:cs="Calibri"/>
                <w:color w:val="000000"/>
              </w:rPr>
              <w:t> </w:t>
            </w:r>
          </w:p>
        </w:tc>
        <w:tc>
          <w:tcPr>
            <w:tcW w:w="1134"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r>
      <w:tr w:rsidR="009A5240" w:rsidRPr="00B72A8F"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 xml:space="preserve">    Zberová plocha (ha)</w:t>
            </w:r>
          </w:p>
        </w:tc>
        <w:tc>
          <w:tcPr>
            <w:tcW w:w="1276"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8 761</w:t>
            </w:r>
          </w:p>
        </w:tc>
        <w:tc>
          <w:tcPr>
            <w:tcW w:w="1134"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6 494</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5 965</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6 215</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6 169</w:t>
            </w:r>
          </w:p>
        </w:tc>
        <w:tc>
          <w:tcPr>
            <w:tcW w:w="1089"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4 869</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4 486</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4 751</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4 593</w:t>
            </w:r>
          </w:p>
        </w:tc>
        <w:tc>
          <w:tcPr>
            <w:tcW w:w="1089"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4 351</w:t>
            </w:r>
          </w:p>
        </w:tc>
      </w:tr>
      <w:tr w:rsidR="009A5240" w:rsidRPr="00B72A8F"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 xml:space="preserve">    Úroda (t)</w:t>
            </w:r>
          </w:p>
        </w:tc>
        <w:tc>
          <w:tcPr>
            <w:tcW w:w="1276"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51 301</w:t>
            </w:r>
          </w:p>
        </w:tc>
        <w:tc>
          <w:tcPr>
            <w:tcW w:w="1134"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25 653</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40 372</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30 258</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27 347</w:t>
            </w: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22 409</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21 586</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19 473</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17 933</w:t>
            </w: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20 601</w:t>
            </w:r>
          </w:p>
        </w:tc>
      </w:tr>
      <w:tr w:rsidR="009A5240" w:rsidRPr="00B72A8F" w:rsidTr="009A5240">
        <w:trPr>
          <w:trHeight w:val="300"/>
        </w:trPr>
        <w:tc>
          <w:tcPr>
            <w:tcW w:w="4678" w:type="dxa"/>
            <w:tcBorders>
              <w:top w:val="nil"/>
              <w:left w:val="nil"/>
              <w:bottom w:val="single" w:sz="4" w:space="0" w:color="auto"/>
              <w:right w:val="single" w:sz="4" w:space="0" w:color="auto"/>
            </w:tcBorders>
            <w:shd w:val="clear" w:color="000000" w:fill="F2F2F2"/>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 xml:space="preserve">    Hektárová úroda (t/ha)</w:t>
            </w:r>
          </w:p>
        </w:tc>
        <w:tc>
          <w:tcPr>
            <w:tcW w:w="1276"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5,86</w:t>
            </w:r>
          </w:p>
        </w:tc>
        <w:tc>
          <w:tcPr>
            <w:tcW w:w="1134"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3,95</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6,77</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4,87</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4,43</w:t>
            </w:r>
          </w:p>
        </w:tc>
        <w:tc>
          <w:tcPr>
            <w:tcW w:w="1089"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4,60</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4,81</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4,10</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3,90</w:t>
            </w:r>
          </w:p>
        </w:tc>
        <w:tc>
          <w:tcPr>
            <w:tcW w:w="1089"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4,73</w:t>
            </w:r>
          </w:p>
        </w:tc>
      </w:tr>
      <w:tr w:rsidR="009A5240" w:rsidRPr="00B72A8F"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b/>
                <w:bCs/>
                <w:color w:val="000000"/>
                <w:sz w:val="20"/>
                <w:szCs w:val="20"/>
              </w:rPr>
            </w:pPr>
            <w:r w:rsidRPr="00B72A8F">
              <w:rPr>
                <w:rFonts w:ascii="Times New Roman" w:eastAsia="Times New Roman" w:hAnsi="Times New Roman" w:cs="Times New Roman"/>
                <w:b/>
                <w:bCs/>
                <w:color w:val="000000"/>
                <w:sz w:val="20"/>
                <w:szCs w:val="20"/>
              </w:rPr>
              <w:t xml:space="preserve">Viacročné krmoviny na ornej pôde </w:t>
            </w:r>
          </w:p>
        </w:tc>
        <w:tc>
          <w:tcPr>
            <w:tcW w:w="1276"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r w:rsidRPr="00B72A8F">
              <w:rPr>
                <w:rFonts w:ascii="Calibri" w:eastAsia="Times New Roman" w:hAnsi="Calibri" w:cs="Calibri"/>
                <w:color w:val="000000"/>
              </w:rPr>
              <w:t> </w:t>
            </w:r>
          </w:p>
        </w:tc>
        <w:tc>
          <w:tcPr>
            <w:tcW w:w="1134"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r>
      <w:tr w:rsidR="009A5240" w:rsidRPr="00B72A8F"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 xml:space="preserve">    Zberová plocha (ha)</w:t>
            </w:r>
          </w:p>
        </w:tc>
        <w:tc>
          <w:tcPr>
            <w:tcW w:w="1276"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128 885</w:t>
            </w:r>
          </w:p>
        </w:tc>
        <w:tc>
          <w:tcPr>
            <w:tcW w:w="1134"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132 320</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119 598</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125 685</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131 710</w:t>
            </w:r>
          </w:p>
        </w:tc>
        <w:tc>
          <w:tcPr>
            <w:tcW w:w="1089"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139 207</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140 796</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150 563</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160 546</w:t>
            </w:r>
          </w:p>
        </w:tc>
        <w:tc>
          <w:tcPr>
            <w:tcW w:w="1089"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173 584</w:t>
            </w:r>
          </w:p>
        </w:tc>
      </w:tr>
      <w:tr w:rsidR="009A5240" w:rsidRPr="00B72A8F"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 xml:space="preserve">    Úroda (t)</w:t>
            </w:r>
          </w:p>
        </w:tc>
        <w:tc>
          <w:tcPr>
            <w:tcW w:w="1276"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729 695</w:t>
            </w:r>
          </w:p>
        </w:tc>
        <w:tc>
          <w:tcPr>
            <w:tcW w:w="1134"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530 779</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708 166</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645 509</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629 268</w:t>
            </w: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623 511</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699 004</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642 936</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688 488</w:t>
            </w: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673 349</w:t>
            </w:r>
          </w:p>
        </w:tc>
      </w:tr>
      <w:tr w:rsidR="009A5240" w:rsidRPr="00B72A8F" w:rsidTr="009A5240">
        <w:trPr>
          <w:trHeight w:val="300"/>
        </w:trPr>
        <w:tc>
          <w:tcPr>
            <w:tcW w:w="4678" w:type="dxa"/>
            <w:tcBorders>
              <w:top w:val="nil"/>
              <w:left w:val="nil"/>
              <w:bottom w:val="single" w:sz="4" w:space="0" w:color="auto"/>
              <w:right w:val="single" w:sz="4" w:space="0" w:color="auto"/>
            </w:tcBorders>
            <w:shd w:val="clear" w:color="000000" w:fill="F2F2F2"/>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 xml:space="preserve">    Hektárová úroda (t/ha)</w:t>
            </w:r>
          </w:p>
        </w:tc>
        <w:tc>
          <w:tcPr>
            <w:tcW w:w="1276"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5,66</w:t>
            </w:r>
          </w:p>
        </w:tc>
        <w:tc>
          <w:tcPr>
            <w:tcW w:w="1134"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4,01</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5,92</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5,14</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4,78</w:t>
            </w:r>
          </w:p>
        </w:tc>
        <w:tc>
          <w:tcPr>
            <w:tcW w:w="1089"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4,48</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4,96</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4,27</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4,29</w:t>
            </w:r>
          </w:p>
        </w:tc>
        <w:tc>
          <w:tcPr>
            <w:tcW w:w="1089"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3,88</w:t>
            </w:r>
          </w:p>
        </w:tc>
      </w:tr>
      <w:tr w:rsidR="009A5240" w:rsidRPr="00B72A8F"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b/>
                <w:bCs/>
                <w:color w:val="000000"/>
                <w:sz w:val="20"/>
                <w:szCs w:val="20"/>
              </w:rPr>
            </w:pPr>
            <w:r w:rsidRPr="00B72A8F">
              <w:rPr>
                <w:rFonts w:ascii="Times New Roman" w:eastAsia="Times New Roman" w:hAnsi="Times New Roman" w:cs="Times New Roman"/>
                <w:b/>
                <w:bCs/>
                <w:color w:val="000000"/>
                <w:sz w:val="20"/>
                <w:szCs w:val="20"/>
              </w:rPr>
              <w:t>Trvalé trávne porasty</w:t>
            </w:r>
          </w:p>
        </w:tc>
        <w:tc>
          <w:tcPr>
            <w:tcW w:w="1276"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r w:rsidRPr="00B72A8F">
              <w:rPr>
                <w:rFonts w:ascii="Calibri" w:eastAsia="Times New Roman" w:hAnsi="Calibri" w:cs="Calibri"/>
                <w:color w:val="000000"/>
              </w:rPr>
              <w:t> </w:t>
            </w:r>
          </w:p>
        </w:tc>
        <w:tc>
          <w:tcPr>
            <w:tcW w:w="1134"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rPr>
                <w:rFonts w:ascii="Calibri" w:eastAsia="Times New Roman" w:hAnsi="Calibri" w:cs="Calibri"/>
                <w:color w:val="000000"/>
              </w:rPr>
            </w:pPr>
          </w:p>
        </w:tc>
      </w:tr>
      <w:tr w:rsidR="009A5240" w:rsidRPr="00B72A8F"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 xml:space="preserve">    Zberová plocha (ha)</w:t>
            </w:r>
          </w:p>
        </w:tc>
        <w:tc>
          <w:tcPr>
            <w:tcW w:w="1276"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771 009</w:t>
            </w:r>
          </w:p>
        </w:tc>
        <w:tc>
          <w:tcPr>
            <w:tcW w:w="1134"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769 682</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490 665</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498 745</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506 638</w:t>
            </w:r>
          </w:p>
        </w:tc>
        <w:tc>
          <w:tcPr>
            <w:tcW w:w="1089"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502 789</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503 976</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508 337</w:t>
            </w:r>
          </w:p>
        </w:tc>
        <w:tc>
          <w:tcPr>
            <w:tcW w:w="960"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489 403</w:t>
            </w:r>
          </w:p>
        </w:tc>
        <w:tc>
          <w:tcPr>
            <w:tcW w:w="1089" w:type="dxa"/>
            <w:tcBorders>
              <w:top w:val="nil"/>
              <w:left w:val="nil"/>
              <w:bottom w:val="nil"/>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507 844</w:t>
            </w:r>
          </w:p>
        </w:tc>
      </w:tr>
      <w:tr w:rsidR="009A5240" w:rsidRPr="00B72A8F"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 xml:space="preserve">    Úroda (t)</w:t>
            </w:r>
          </w:p>
        </w:tc>
        <w:tc>
          <w:tcPr>
            <w:tcW w:w="1276"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1 266 473</w:t>
            </w:r>
          </w:p>
        </w:tc>
        <w:tc>
          <w:tcPr>
            <w:tcW w:w="1134"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937 090</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1 107 801</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1 015 132</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1 007 323</w:t>
            </w: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889 653</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998 471</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963 078</w:t>
            </w:r>
          </w:p>
        </w:tc>
        <w:tc>
          <w:tcPr>
            <w:tcW w:w="960"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1 014 653</w:t>
            </w:r>
          </w:p>
        </w:tc>
        <w:tc>
          <w:tcPr>
            <w:tcW w:w="1089" w:type="dxa"/>
            <w:tcBorders>
              <w:top w:val="nil"/>
              <w:left w:val="nil"/>
              <w:bottom w:val="nil"/>
              <w:right w:val="nil"/>
            </w:tcBorders>
            <w:shd w:val="clear" w:color="auto" w:fill="auto"/>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1 013 575</w:t>
            </w:r>
          </w:p>
        </w:tc>
      </w:tr>
      <w:tr w:rsidR="009A5240" w:rsidRPr="00B72A8F" w:rsidTr="009A5240">
        <w:trPr>
          <w:trHeight w:val="300"/>
        </w:trPr>
        <w:tc>
          <w:tcPr>
            <w:tcW w:w="4678" w:type="dxa"/>
            <w:tcBorders>
              <w:top w:val="nil"/>
              <w:left w:val="nil"/>
              <w:bottom w:val="single" w:sz="4" w:space="0" w:color="auto"/>
              <w:right w:val="single" w:sz="4" w:space="0" w:color="auto"/>
            </w:tcBorders>
            <w:shd w:val="clear" w:color="000000" w:fill="F2F2F2"/>
            <w:noWrap/>
            <w:vAlign w:val="bottom"/>
            <w:hideMark/>
          </w:tcPr>
          <w:p w:rsidR="009A5240" w:rsidRPr="00B72A8F" w:rsidRDefault="009A5240" w:rsidP="009A5240">
            <w:pPr>
              <w:spacing w:after="0" w:line="240" w:lineRule="auto"/>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 xml:space="preserve">    Hektárová úroda (t/ha)</w:t>
            </w:r>
          </w:p>
        </w:tc>
        <w:tc>
          <w:tcPr>
            <w:tcW w:w="1276"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1,64</w:t>
            </w:r>
          </w:p>
        </w:tc>
        <w:tc>
          <w:tcPr>
            <w:tcW w:w="1134"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1,22</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2,26</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2,04</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1,99</w:t>
            </w:r>
          </w:p>
        </w:tc>
        <w:tc>
          <w:tcPr>
            <w:tcW w:w="1089"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1,78</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1,89</w:t>
            </w:r>
          </w:p>
        </w:tc>
        <w:tc>
          <w:tcPr>
            <w:tcW w:w="960"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2,07</w:t>
            </w:r>
          </w:p>
        </w:tc>
        <w:tc>
          <w:tcPr>
            <w:tcW w:w="1089" w:type="dxa"/>
            <w:tcBorders>
              <w:top w:val="nil"/>
              <w:left w:val="nil"/>
              <w:bottom w:val="single" w:sz="4" w:space="0" w:color="auto"/>
              <w:right w:val="nil"/>
            </w:tcBorders>
            <w:shd w:val="clear" w:color="000000" w:fill="F2F2F2"/>
            <w:noWrap/>
            <w:vAlign w:val="bottom"/>
            <w:hideMark/>
          </w:tcPr>
          <w:p w:rsidR="009A5240" w:rsidRPr="00B72A8F" w:rsidRDefault="009A5240" w:rsidP="009A5240">
            <w:pPr>
              <w:spacing w:after="0" w:line="240" w:lineRule="auto"/>
              <w:jc w:val="right"/>
              <w:rPr>
                <w:rFonts w:ascii="Times New Roman" w:eastAsia="Times New Roman" w:hAnsi="Times New Roman" w:cs="Times New Roman"/>
                <w:color w:val="000000"/>
                <w:sz w:val="20"/>
                <w:szCs w:val="20"/>
              </w:rPr>
            </w:pPr>
            <w:r w:rsidRPr="00B72A8F">
              <w:rPr>
                <w:rFonts w:ascii="Times New Roman" w:eastAsia="Times New Roman" w:hAnsi="Times New Roman" w:cs="Times New Roman"/>
                <w:color w:val="000000"/>
                <w:sz w:val="20"/>
                <w:szCs w:val="20"/>
              </w:rPr>
              <w:t>2,00</w:t>
            </w:r>
          </w:p>
        </w:tc>
      </w:tr>
    </w:tbl>
    <w:p w:rsidR="009A5240" w:rsidRDefault="009A5240" w:rsidP="009A5240">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 xml:space="preserve">Zdroj: </w:t>
      </w:r>
      <w:r>
        <w:rPr>
          <w:rFonts w:ascii="Times New Roman" w:hAnsi="Times New Roman" w:cs="Times New Roman"/>
          <w:sz w:val="20"/>
          <w:szCs w:val="20"/>
        </w:rPr>
        <w:t>CVRV – VÚRV Piešťany</w:t>
      </w:r>
    </w:p>
    <w:p w:rsidR="009A5240" w:rsidRDefault="009A5240" w:rsidP="009A5240">
      <w:pPr>
        <w:ind w:left="-851" w:right="-457"/>
        <w:rPr>
          <w:rFonts w:ascii="Times New Roman" w:hAnsi="Times New Roman" w:cs="Times New Roman"/>
          <w:sz w:val="20"/>
          <w:szCs w:val="20"/>
        </w:rPr>
      </w:pPr>
    </w:p>
    <w:p w:rsidR="009A5240" w:rsidRDefault="009A5240" w:rsidP="009A5240">
      <w:pPr>
        <w:ind w:left="-851" w:right="-457"/>
        <w:rPr>
          <w:rFonts w:ascii="Times New Roman" w:hAnsi="Times New Roman" w:cs="Times New Roman"/>
          <w:sz w:val="20"/>
          <w:szCs w:val="20"/>
        </w:rPr>
      </w:pPr>
    </w:p>
    <w:p w:rsidR="009A5240" w:rsidRDefault="009A5240" w:rsidP="009A5240">
      <w:pPr>
        <w:ind w:left="-851" w:right="-457"/>
        <w:rPr>
          <w:rFonts w:ascii="Times New Roman" w:hAnsi="Times New Roman" w:cs="Times New Roman"/>
          <w:sz w:val="20"/>
          <w:szCs w:val="20"/>
        </w:rPr>
      </w:pPr>
    </w:p>
    <w:p w:rsidR="008475C4" w:rsidRDefault="008475C4" w:rsidP="009A5240">
      <w:pPr>
        <w:ind w:left="-851" w:right="-457"/>
        <w:rPr>
          <w:rFonts w:ascii="Times New Roman" w:hAnsi="Times New Roman" w:cs="Times New Roman"/>
          <w:sz w:val="20"/>
          <w:szCs w:val="20"/>
        </w:rPr>
      </w:pPr>
    </w:p>
    <w:p w:rsidR="008475C4" w:rsidRDefault="008475C4" w:rsidP="009A5240">
      <w:pPr>
        <w:ind w:left="-851" w:right="-457"/>
        <w:rPr>
          <w:rFonts w:ascii="Times New Roman" w:hAnsi="Times New Roman" w:cs="Times New Roman"/>
          <w:sz w:val="20"/>
          <w:szCs w:val="20"/>
        </w:rPr>
      </w:pPr>
    </w:p>
    <w:p w:rsidR="008475C4" w:rsidRDefault="008475C4" w:rsidP="008475C4">
      <w:pPr>
        <w:ind w:right="-457"/>
        <w:rPr>
          <w:rFonts w:ascii="Times New Roman" w:hAnsi="Times New Roman" w:cs="Times New Roman"/>
          <w:sz w:val="20"/>
          <w:szCs w:val="20"/>
        </w:rPr>
      </w:pPr>
    </w:p>
    <w:p w:rsidR="00997D47" w:rsidRDefault="00997D47" w:rsidP="008475C4">
      <w:pPr>
        <w:ind w:right="-457"/>
        <w:rPr>
          <w:rFonts w:ascii="Times New Roman" w:hAnsi="Times New Roman" w:cs="Times New Roman"/>
          <w:sz w:val="20"/>
          <w:szCs w:val="20"/>
        </w:rPr>
      </w:pPr>
    </w:p>
    <w:p w:rsidR="009A5240" w:rsidRPr="008475C4" w:rsidRDefault="009A5240" w:rsidP="008475C4">
      <w:pPr>
        <w:spacing w:after="0" w:line="240" w:lineRule="auto"/>
        <w:ind w:left="-567"/>
        <w:rPr>
          <w:rFonts w:ascii="Times New Roman" w:hAnsi="Times New Roman" w:cs="Times New Roman"/>
          <w:b/>
          <w:sz w:val="20"/>
          <w:szCs w:val="20"/>
        </w:rPr>
      </w:pPr>
      <w:r w:rsidRPr="008475C4">
        <w:rPr>
          <w:rFonts w:ascii="Times New Roman" w:hAnsi="Times New Roman" w:cs="Times New Roman"/>
          <w:b/>
          <w:sz w:val="20"/>
          <w:szCs w:val="20"/>
        </w:rPr>
        <w:lastRenderedPageBreak/>
        <w:t>Príloha č. 10: Základné produkčné ukazovatele najviac zastúpených plodín v kŕmnych zmesiach</w:t>
      </w:r>
    </w:p>
    <w:tbl>
      <w:tblPr>
        <w:tblW w:w="15026" w:type="dxa"/>
        <w:tblInd w:w="-497" w:type="dxa"/>
        <w:tblCellMar>
          <w:left w:w="70" w:type="dxa"/>
          <w:right w:w="70" w:type="dxa"/>
        </w:tblCellMar>
        <w:tblLook w:val="04A0" w:firstRow="1" w:lastRow="0" w:firstColumn="1" w:lastColumn="0" w:noHBand="0" w:noVBand="1"/>
      </w:tblPr>
      <w:tblGrid>
        <w:gridCol w:w="4678"/>
        <w:gridCol w:w="1276"/>
        <w:gridCol w:w="1134"/>
        <w:gridCol w:w="960"/>
        <w:gridCol w:w="960"/>
        <w:gridCol w:w="960"/>
        <w:gridCol w:w="1089"/>
        <w:gridCol w:w="960"/>
        <w:gridCol w:w="960"/>
        <w:gridCol w:w="960"/>
        <w:gridCol w:w="1089"/>
      </w:tblGrid>
      <w:tr w:rsidR="009A5240" w:rsidRPr="00C705D4" w:rsidTr="00D86A54">
        <w:trPr>
          <w:trHeight w:val="300"/>
        </w:trPr>
        <w:tc>
          <w:tcPr>
            <w:tcW w:w="4678" w:type="dxa"/>
            <w:tcBorders>
              <w:top w:val="single" w:sz="4" w:space="0" w:color="auto"/>
              <w:left w:val="nil"/>
              <w:bottom w:val="single" w:sz="4" w:space="0" w:color="auto"/>
              <w:right w:val="single" w:sz="4" w:space="0" w:color="auto"/>
            </w:tcBorders>
            <w:shd w:val="clear" w:color="000000" w:fill="D9D9D9"/>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color w:val="000000"/>
                <w:sz w:val="20"/>
                <w:szCs w:val="20"/>
              </w:rPr>
            </w:pPr>
            <w:r w:rsidRPr="00C705D4">
              <w:rPr>
                <w:rFonts w:ascii="Times New Roman" w:eastAsia="Times New Roman" w:hAnsi="Times New Roman" w:cs="Times New Roman"/>
                <w:b/>
                <w:color w:val="000000"/>
                <w:sz w:val="20"/>
                <w:szCs w:val="20"/>
              </w:rPr>
              <w:t>2002</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color w:val="000000"/>
                <w:sz w:val="20"/>
                <w:szCs w:val="20"/>
              </w:rPr>
            </w:pPr>
            <w:r w:rsidRPr="00C705D4">
              <w:rPr>
                <w:rFonts w:ascii="Times New Roman" w:eastAsia="Times New Roman" w:hAnsi="Times New Roman" w:cs="Times New Roman"/>
                <w:b/>
                <w:color w:val="000000"/>
                <w:sz w:val="20"/>
                <w:szCs w:val="20"/>
              </w:rPr>
              <w:t>2003</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color w:val="000000"/>
                <w:sz w:val="20"/>
                <w:szCs w:val="20"/>
              </w:rPr>
            </w:pPr>
            <w:r w:rsidRPr="00C705D4">
              <w:rPr>
                <w:rFonts w:ascii="Times New Roman" w:eastAsia="Times New Roman" w:hAnsi="Times New Roman" w:cs="Times New Roman"/>
                <w:b/>
                <w:color w:val="000000"/>
                <w:sz w:val="20"/>
                <w:szCs w:val="20"/>
              </w:rPr>
              <w:t>2004</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color w:val="000000"/>
                <w:sz w:val="20"/>
                <w:szCs w:val="20"/>
              </w:rPr>
            </w:pPr>
            <w:r w:rsidRPr="00C705D4">
              <w:rPr>
                <w:rFonts w:ascii="Times New Roman" w:eastAsia="Times New Roman" w:hAnsi="Times New Roman" w:cs="Times New Roman"/>
                <w:b/>
                <w:color w:val="000000"/>
                <w:sz w:val="20"/>
                <w:szCs w:val="20"/>
              </w:rPr>
              <w:t>2005</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color w:val="000000"/>
                <w:sz w:val="20"/>
                <w:szCs w:val="20"/>
              </w:rPr>
            </w:pPr>
            <w:r w:rsidRPr="00C705D4">
              <w:rPr>
                <w:rFonts w:ascii="Times New Roman" w:eastAsia="Times New Roman" w:hAnsi="Times New Roman" w:cs="Times New Roman"/>
                <w:b/>
                <w:color w:val="000000"/>
                <w:sz w:val="20"/>
                <w:szCs w:val="20"/>
              </w:rPr>
              <w:t>2006</w:t>
            </w:r>
          </w:p>
        </w:tc>
        <w:tc>
          <w:tcPr>
            <w:tcW w:w="1089"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color w:val="000000"/>
                <w:sz w:val="20"/>
                <w:szCs w:val="20"/>
              </w:rPr>
            </w:pPr>
            <w:r w:rsidRPr="00C705D4">
              <w:rPr>
                <w:rFonts w:ascii="Times New Roman" w:eastAsia="Times New Roman" w:hAnsi="Times New Roman" w:cs="Times New Roman"/>
                <w:b/>
                <w:color w:val="000000"/>
                <w:sz w:val="20"/>
                <w:szCs w:val="20"/>
              </w:rPr>
              <w:t>2007</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color w:val="000000"/>
                <w:sz w:val="20"/>
                <w:szCs w:val="20"/>
              </w:rPr>
            </w:pPr>
            <w:r w:rsidRPr="00C705D4">
              <w:rPr>
                <w:rFonts w:ascii="Times New Roman" w:eastAsia="Times New Roman" w:hAnsi="Times New Roman" w:cs="Times New Roman"/>
                <w:b/>
                <w:color w:val="000000"/>
                <w:sz w:val="20"/>
                <w:szCs w:val="20"/>
              </w:rPr>
              <w:t>2008</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color w:val="000000"/>
                <w:sz w:val="20"/>
                <w:szCs w:val="20"/>
              </w:rPr>
            </w:pPr>
            <w:r w:rsidRPr="00C705D4">
              <w:rPr>
                <w:rFonts w:ascii="Times New Roman" w:eastAsia="Times New Roman" w:hAnsi="Times New Roman" w:cs="Times New Roman"/>
                <w:b/>
                <w:color w:val="000000"/>
                <w:sz w:val="20"/>
                <w:szCs w:val="20"/>
              </w:rPr>
              <w:t>2009</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color w:val="000000"/>
                <w:sz w:val="20"/>
                <w:szCs w:val="20"/>
              </w:rPr>
            </w:pPr>
            <w:r w:rsidRPr="00C705D4">
              <w:rPr>
                <w:rFonts w:ascii="Times New Roman" w:eastAsia="Times New Roman" w:hAnsi="Times New Roman" w:cs="Times New Roman"/>
                <w:b/>
                <w:color w:val="000000"/>
                <w:sz w:val="20"/>
                <w:szCs w:val="20"/>
              </w:rPr>
              <w:t>2010</w:t>
            </w:r>
          </w:p>
        </w:tc>
        <w:tc>
          <w:tcPr>
            <w:tcW w:w="1089"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color w:val="000000"/>
                <w:sz w:val="20"/>
                <w:szCs w:val="20"/>
              </w:rPr>
            </w:pPr>
            <w:r w:rsidRPr="00C705D4">
              <w:rPr>
                <w:rFonts w:ascii="Times New Roman" w:eastAsia="Times New Roman" w:hAnsi="Times New Roman" w:cs="Times New Roman"/>
                <w:b/>
                <w:color w:val="000000"/>
                <w:sz w:val="20"/>
                <w:szCs w:val="20"/>
              </w:rPr>
              <w:t>2011</w:t>
            </w:r>
          </w:p>
        </w:tc>
      </w:tr>
      <w:tr w:rsidR="009A5240" w:rsidRPr="00C705D4"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Kŕmna pšenica</w:t>
            </w:r>
          </w:p>
        </w:tc>
        <w:tc>
          <w:tcPr>
            <w:tcW w:w="1276"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center"/>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 </w:t>
            </w:r>
          </w:p>
        </w:tc>
        <w:tc>
          <w:tcPr>
            <w:tcW w:w="11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center"/>
              <w:rPr>
                <w:rFonts w:ascii="Times New Roman" w:eastAsia="Times New Roman" w:hAnsi="Times New Roman" w:cs="Times New Roman"/>
                <w:color w:val="000000"/>
                <w:sz w:val="20"/>
                <w:szCs w:val="20"/>
              </w:rPr>
            </w:pPr>
          </w:p>
        </w:tc>
        <w:tc>
          <w:tcPr>
            <w:tcW w:w="1089"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center"/>
              <w:rPr>
                <w:rFonts w:ascii="Times New Roman" w:eastAsia="Times New Roman" w:hAnsi="Times New Roman" w:cs="Times New Roman"/>
                <w:color w:val="000000"/>
                <w:sz w:val="20"/>
                <w:szCs w:val="20"/>
              </w:rPr>
            </w:pPr>
          </w:p>
        </w:tc>
        <w:tc>
          <w:tcPr>
            <w:tcW w:w="1089"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center"/>
              <w:rPr>
                <w:rFonts w:ascii="Times New Roman" w:eastAsia="Times New Roman" w:hAnsi="Times New Roman" w:cs="Times New Roman"/>
                <w:color w:val="000000"/>
                <w:sz w:val="20"/>
                <w:szCs w:val="20"/>
              </w:rPr>
            </w:pPr>
          </w:p>
        </w:tc>
      </w:tr>
      <w:tr w:rsidR="009A5240" w:rsidRPr="00C705D4"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 xml:space="preserve">    Zberová plocha (ha)</w:t>
            </w:r>
          </w:p>
        </w:tc>
        <w:tc>
          <w:tcPr>
            <w:tcW w:w="1276"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116 218</w:t>
            </w:r>
          </w:p>
        </w:tc>
        <w:tc>
          <w:tcPr>
            <w:tcW w:w="1134"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112 547</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151 637</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157 577</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138 302</w:t>
            </w:r>
          </w:p>
        </w:tc>
        <w:tc>
          <w:tcPr>
            <w:tcW w:w="1089"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77 973</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93 889</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81 049</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60 182</w:t>
            </w:r>
          </w:p>
        </w:tc>
        <w:tc>
          <w:tcPr>
            <w:tcW w:w="1089"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63 486</w:t>
            </w:r>
          </w:p>
        </w:tc>
      </w:tr>
      <w:tr w:rsidR="009A5240" w:rsidRPr="00C705D4"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 xml:space="preserve">    Úroda (t)</w:t>
            </w:r>
          </w:p>
        </w:tc>
        <w:tc>
          <w:tcPr>
            <w:tcW w:w="1276"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445 115</w:t>
            </w:r>
          </w:p>
        </w:tc>
        <w:tc>
          <w:tcPr>
            <w:tcW w:w="11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341 019</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727 860</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679 155</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532 464</w:t>
            </w:r>
          </w:p>
        </w:tc>
        <w:tc>
          <w:tcPr>
            <w:tcW w:w="1089"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297 856</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457 238</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324 195</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208 230</w:t>
            </w:r>
          </w:p>
        </w:tc>
        <w:tc>
          <w:tcPr>
            <w:tcW w:w="1089"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285 686</w:t>
            </w:r>
          </w:p>
        </w:tc>
      </w:tr>
      <w:tr w:rsidR="009A5240" w:rsidRPr="00C705D4" w:rsidTr="009A5240">
        <w:trPr>
          <w:trHeight w:val="300"/>
        </w:trPr>
        <w:tc>
          <w:tcPr>
            <w:tcW w:w="4678" w:type="dxa"/>
            <w:tcBorders>
              <w:top w:val="nil"/>
              <w:left w:val="nil"/>
              <w:bottom w:val="single" w:sz="4" w:space="0" w:color="auto"/>
              <w:right w:val="single" w:sz="4" w:space="0" w:color="auto"/>
            </w:tcBorders>
            <w:shd w:val="clear" w:color="000000" w:fill="F2F2F2"/>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 xml:space="preserve">    Hektárová úroda (t/ha)</w:t>
            </w:r>
          </w:p>
        </w:tc>
        <w:tc>
          <w:tcPr>
            <w:tcW w:w="1276"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3,83</w:t>
            </w:r>
          </w:p>
        </w:tc>
        <w:tc>
          <w:tcPr>
            <w:tcW w:w="1134"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3,03</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4,80</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4,31</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3,85</w:t>
            </w:r>
          </w:p>
        </w:tc>
        <w:tc>
          <w:tcPr>
            <w:tcW w:w="1089"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3,82</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4,87</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4,00</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3,46</w:t>
            </w:r>
          </w:p>
        </w:tc>
        <w:tc>
          <w:tcPr>
            <w:tcW w:w="1089"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4,50</w:t>
            </w:r>
          </w:p>
        </w:tc>
      </w:tr>
      <w:tr w:rsidR="009A5240" w:rsidRPr="00C705D4"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Kŕmny jačmeň</w:t>
            </w:r>
          </w:p>
        </w:tc>
        <w:tc>
          <w:tcPr>
            <w:tcW w:w="1276"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 </w:t>
            </w:r>
          </w:p>
        </w:tc>
        <w:tc>
          <w:tcPr>
            <w:tcW w:w="11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p>
        </w:tc>
        <w:tc>
          <w:tcPr>
            <w:tcW w:w="1089"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p>
        </w:tc>
        <w:tc>
          <w:tcPr>
            <w:tcW w:w="1089"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p>
        </w:tc>
      </w:tr>
      <w:tr w:rsidR="009A5240" w:rsidRPr="00C705D4"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 xml:space="preserve">    Zberová plocha (ha)</w:t>
            </w:r>
          </w:p>
        </w:tc>
        <w:tc>
          <w:tcPr>
            <w:tcW w:w="1276"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79 813</w:t>
            </w:r>
          </w:p>
        </w:tc>
        <w:tc>
          <w:tcPr>
            <w:tcW w:w="1134"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117 787</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81 794</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58 613</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51 195</w:t>
            </w:r>
          </w:p>
        </w:tc>
        <w:tc>
          <w:tcPr>
            <w:tcW w:w="1089"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49 302</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49 695</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57 099</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42 883</w:t>
            </w:r>
          </w:p>
        </w:tc>
        <w:tc>
          <w:tcPr>
            <w:tcW w:w="1089"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33 114</w:t>
            </w:r>
          </w:p>
        </w:tc>
      </w:tr>
      <w:tr w:rsidR="009A5240" w:rsidRPr="00C705D4"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 xml:space="preserve">    Úroda (t)</w:t>
            </w:r>
          </w:p>
        </w:tc>
        <w:tc>
          <w:tcPr>
            <w:tcW w:w="1276"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284 931</w:t>
            </w:r>
          </w:p>
        </w:tc>
        <w:tc>
          <w:tcPr>
            <w:tcW w:w="11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352 183</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337 808</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212 180</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178 157</w:t>
            </w:r>
          </w:p>
        </w:tc>
        <w:tc>
          <w:tcPr>
            <w:tcW w:w="1089"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154 807</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207 727</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196 991</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116 641</w:t>
            </w:r>
          </w:p>
        </w:tc>
        <w:tc>
          <w:tcPr>
            <w:tcW w:w="1089"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128 153</w:t>
            </w:r>
          </w:p>
        </w:tc>
      </w:tr>
      <w:tr w:rsidR="009A5240" w:rsidRPr="00C705D4" w:rsidTr="009A5240">
        <w:trPr>
          <w:trHeight w:val="300"/>
        </w:trPr>
        <w:tc>
          <w:tcPr>
            <w:tcW w:w="4678" w:type="dxa"/>
            <w:tcBorders>
              <w:top w:val="nil"/>
              <w:left w:val="nil"/>
              <w:bottom w:val="single" w:sz="4" w:space="0" w:color="auto"/>
              <w:right w:val="single" w:sz="4" w:space="0" w:color="auto"/>
            </w:tcBorders>
            <w:shd w:val="clear" w:color="000000" w:fill="F2F2F2"/>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 xml:space="preserve">    Hektárová úroda (t/ha)</w:t>
            </w:r>
          </w:p>
        </w:tc>
        <w:tc>
          <w:tcPr>
            <w:tcW w:w="1276"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3,57</w:t>
            </w:r>
          </w:p>
        </w:tc>
        <w:tc>
          <w:tcPr>
            <w:tcW w:w="1134"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2,99</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4,13</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3,62</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3,48</w:t>
            </w:r>
          </w:p>
        </w:tc>
        <w:tc>
          <w:tcPr>
            <w:tcW w:w="1089"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3,14</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4,18</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3,45</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2,72</w:t>
            </w:r>
          </w:p>
        </w:tc>
        <w:tc>
          <w:tcPr>
            <w:tcW w:w="1089"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3,87</w:t>
            </w:r>
          </w:p>
        </w:tc>
      </w:tr>
      <w:tr w:rsidR="009A5240" w:rsidRPr="00C705D4"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Ovos</w:t>
            </w:r>
            <w:r>
              <w:rPr>
                <w:rFonts w:ascii="Times New Roman" w:eastAsia="Times New Roman" w:hAnsi="Times New Roman" w:cs="Times New Roman"/>
                <w:b/>
                <w:bCs/>
                <w:color w:val="000000"/>
                <w:sz w:val="20"/>
                <w:szCs w:val="20"/>
              </w:rPr>
              <w:t xml:space="preserve"> na kŕmne účely</w:t>
            </w:r>
          </w:p>
        </w:tc>
        <w:tc>
          <w:tcPr>
            <w:tcW w:w="1276"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r w:rsidRPr="00C705D4">
              <w:rPr>
                <w:rFonts w:ascii="Calibri" w:eastAsia="Times New Roman" w:hAnsi="Calibri" w:cs="Calibri"/>
                <w:color w:val="000000"/>
              </w:rPr>
              <w:t> </w:t>
            </w:r>
          </w:p>
        </w:tc>
        <w:tc>
          <w:tcPr>
            <w:tcW w:w="11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p>
        </w:tc>
        <w:tc>
          <w:tcPr>
            <w:tcW w:w="1089"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p>
        </w:tc>
        <w:tc>
          <w:tcPr>
            <w:tcW w:w="1089"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p>
        </w:tc>
      </w:tr>
      <w:tr w:rsidR="009A5240" w:rsidRPr="00C705D4"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 xml:space="preserve">    Zberová plocha (ha)</w:t>
            </w:r>
          </w:p>
        </w:tc>
        <w:tc>
          <w:tcPr>
            <w:tcW w:w="1276"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14 547</w:t>
            </w:r>
          </w:p>
        </w:tc>
        <w:tc>
          <w:tcPr>
            <w:tcW w:w="1134"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21 360</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17 975</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13 939</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13 824</w:t>
            </w:r>
          </w:p>
        </w:tc>
        <w:tc>
          <w:tcPr>
            <w:tcW w:w="1089"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14 110</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11 625</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10 611</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9 747</w:t>
            </w:r>
          </w:p>
        </w:tc>
        <w:tc>
          <w:tcPr>
            <w:tcW w:w="1089"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10 202</w:t>
            </w:r>
          </w:p>
        </w:tc>
      </w:tr>
      <w:tr w:rsidR="009A5240" w:rsidRPr="00C705D4"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 xml:space="preserve">    Úroda (t)</w:t>
            </w:r>
          </w:p>
        </w:tc>
        <w:tc>
          <w:tcPr>
            <w:tcW w:w="1276"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30 840</w:t>
            </w:r>
          </w:p>
        </w:tc>
        <w:tc>
          <w:tcPr>
            <w:tcW w:w="11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40 584</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40 803</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27 878</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29 307</w:t>
            </w:r>
          </w:p>
        </w:tc>
        <w:tc>
          <w:tcPr>
            <w:tcW w:w="1089"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25 257</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23 947</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23 025</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16 277</w:t>
            </w:r>
          </w:p>
        </w:tc>
        <w:tc>
          <w:tcPr>
            <w:tcW w:w="1089"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24 179</w:t>
            </w:r>
          </w:p>
        </w:tc>
      </w:tr>
      <w:tr w:rsidR="009A5240" w:rsidRPr="00C705D4" w:rsidTr="009A5240">
        <w:trPr>
          <w:trHeight w:val="300"/>
        </w:trPr>
        <w:tc>
          <w:tcPr>
            <w:tcW w:w="4678" w:type="dxa"/>
            <w:tcBorders>
              <w:top w:val="nil"/>
              <w:left w:val="nil"/>
              <w:bottom w:val="single" w:sz="4" w:space="0" w:color="auto"/>
              <w:right w:val="single" w:sz="4" w:space="0" w:color="auto"/>
            </w:tcBorders>
            <w:shd w:val="clear" w:color="000000" w:fill="F2F2F2"/>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 xml:space="preserve">    Hektárová úroda (t/ha)</w:t>
            </w:r>
          </w:p>
        </w:tc>
        <w:tc>
          <w:tcPr>
            <w:tcW w:w="1276"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2,12</w:t>
            </w:r>
          </w:p>
        </w:tc>
        <w:tc>
          <w:tcPr>
            <w:tcW w:w="1134"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1,90</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2,27</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2,00</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2,12</w:t>
            </w:r>
          </w:p>
        </w:tc>
        <w:tc>
          <w:tcPr>
            <w:tcW w:w="1089"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1,79</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2,06</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2,17</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1,67</w:t>
            </w:r>
          </w:p>
        </w:tc>
        <w:tc>
          <w:tcPr>
            <w:tcW w:w="1089"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2,37</w:t>
            </w:r>
          </w:p>
        </w:tc>
      </w:tr>
      <w:tr w:rsidR="009A5240" w:rsidRPr="00C705D4"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Kukurica na zrno</w:t>
            </w:r>
          </w:p>
        </w:tc>
        <w:tc>
          <w:tcPr>
            <w:tcW w:w="1276"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r w:rsidRPr="00C705D4">
              <w:rPr>
                <w:rFonts w:ascii="Calibri" w:eastAsia="Times New Roman" w:hAnsi="Calibri" w:cs="Calibri"/>
                <w:color w:val="000000"/>
              </w:rPr>
              <w:t> </w:t>
            </w:r>
          </w:p>
        </w:tc>
        <w:tc>
          <w:tcPr>
            <w:tcW w:w="11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p>
        </w:tc>
        <w:tc>
          <w:tcPr>
            <w:tcW w:w="1089"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p>
        </w:tc>
        <w:tc>
          <w:tcPr>
            <w:tcW w:w="1089"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rPr>
                <w:rFonts w:ascii="Calibri" w:eastAsia="Times New Roman" w:hAnsi="Calibri" w:cs="Calibri"/>
                <w:color w:val="000000"/>
              </w:rPr>
            </w:pPr>
          </w:p>
        </w:tc>
      </w:tr>
      <w:tr w:rsidR="009A5240" w:rsidRPr="00C705D4" w:rsidTr="009A5240">
        <w:trPr>
          <w:trHeight w:val="300"/>
        </w:trPr>
        <w:tc>
          <w:tcPr>
            <w:tcW w:w="4678" w:type="dxa"/>
            <w:tcBorders>
              <w:top w:val="nil"/>
              <w:left w:val="nil"/>
              <w:bottom w:val="nil"/>
              <w:right w:val="single" w:sz="4" w:space="0" w:color="auto"/>
            </w:tcBorders>
            <w:shd w:val="clear" w:color="000000" w:fill="F2F2F2"/>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 xml:space="preserve">    Zberová plocha (ha)</w:t>
            </w:r>
          </w:p>
        </w:tc>
        <w:tc>
          <w:tcPr>
            <w:tcW w:w="1276"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78 585</w:t>
            </w:r>
          </w:p>
        </w:tc>
        <w:tc>
          <w:tcPr>
            <w:tcW w:w="1134"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84 627</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81 222</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86 154</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67 625</w:t>
            </w:r>
          </w:p>
        </w:tc>
        <w:tc>
          <w:tcPr>
            <w:tcW w:w="1089"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73 443</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82 560</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48 844</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52 136</w:t>
            </w:r>
          </w:p>
        </w:tc>
        <w:tc>
          <w:tcPr>
            <w:tcW w:w="1089"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60 802</w:t>
            </w:r>
          </w:p>
        </w:tc>
      </w:tr>
      <w:tr w:rsidR="009A5240" w:rsidRPr="00C705D4" w:rsidTr="009A5240">
        <w:trPr>
          <w:trHeight w:val="300"/>
        </w:trPr>
        <w:tc>
          <w:tcPr>
            <w:tcW w:w="4678" w:type="dxa"/>
            <w:tcBorders>
              <w:top w:val="nil"/>
              <w:left w:val="nil"/>
              <w:bottom w:val="nil"/>
              <w:right w:val="single" w:sz="4" w:space="0" w:color="auto"/>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 xml:space="preserve">    Úroda (t)</w:t>
            </w:r>
          </w:p>
        </w:tc>
        <w:tc>
          <w:tcPr>
            <w:tcW w:w="1276"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422 004</w:t>
            </w:r>
          </w:p>
        </w:tc>
        <w:tc>
          <w:tcPr>
            <w:tcW w:w="11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348 663</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473 525</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600 490</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375 319</w:t>
            </w:r>
          </w:p>
        </w:tc>
        <w:tc>
          <w:tcPr>
            <w:tcW w:w="1089"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291 568</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674 517</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334 580</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288 312</w:t>
            </w:r>
          </w:p>
        </w:tc>
        <w:tc>
          <w:tcPr>
            <w:tcW w:w="1089"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434 733</w:t>
            </w:r>
          </w:p>
        </w:tc>
      </w:tr>
      <w:tr w:rsidR="009A5240" w:rsidRPr="00C705D4" w:rsidTr="009A5240">
        <w:trPr>
          <w:trHeight w:val="300"/>
        </w:trPr>
        <w:tc>
          <w:tcPr>
            <w:tcW w:w="4678" w:type="dxa"/>
            <w:tcBorders>
              <w:top w:val="nil"/>
              <w:left w:val="nil"/>
              <w:bottom w:val="single" w:sz="4" w:space="0" w:color="auto"/>
              <w:right w:val="single" w:sz="4" w:space="0" w:color="auto"/>
            </w:tcBorders>
            <w:shd w:val="clear" w:color="000000" w:fill="F2F2F2"/>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 xml:space="preserve">    Hektárová úroda (t/ha)</w:t>
            </w:r>
          </w:p>
        </w:tc>
        <w:tc>
          <w:tcPr>
            <w:tcW w:w="1276"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5,37</w:t>
            </w:r>
          </w:p>
        </w:tc>
        <w:tc>
          <w:tcPr>
            <w:tcW w:w="1134"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4,12</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5,83</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6,97</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5,55</w:t>
            </w:r>
          </w:p>
        </w:tc>
        <w:tc>
          <w:tcPr>
            <w:tcW w:w="1089"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3,97</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8,17</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6,85</w:t>
            </w:r>
          </w:p>
        </w:tc>
        <w:tc>
          <w:tcPr>
            <w:tcW w:w="960"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5,53</w:t>
            </w:r>
          </w:p>
        </w:tc>
        <w:tc>
          <w:tcPr>
            <w:tcW w:w="1089" w:type="dxa"/>
            <w:tcBorders>
              <w:top w:val="nil"/>
              <w:left w:val="nil"/>
              <w:bottom w:val="single" w:sz="4" w:space="0" w:color="auto"/>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7,15</w:t>
            </w:r>
          </w:p>
        </w:tc>
      </w:tr>
    </w:tbl>
    <w:p w:rsidR="009A5240" w:rsidRDefault="009A5240" w:rsidP="009A5240">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 xml:space="preserve">Zdroj: </w:t>
      </w:r>
      <w:r>
        <w:rPr>
          <w:rFonts w:ascii="Times New Roman" w:hAnsi="Times New Roman" w:cs="Times New Roman"/>
          <w:sz w:val="20"/>
          <w:szCs w:val="20"/>
        </w:rPr>
        <w:t>odhad MPRV</w:t>
      </w:r>
    </w:p>
    <w:p w:rsidR="009A5240" w:rsidRPr="008475C4" w:rsidRDefault="009A5240" w:rsidP="008475C4">
      <w:pPr>
        <w:spacing w:after="0" w:line="240" w:lineRule="auto"/>
        <w:ind w:left="-567"/>
        <w:rPr>
          <w:rFonts w:ascii="Times New Roman" w:hAnsi="Times New Roman" w:cs="Times New Roman"/>
          <w:b/>
          <w:sz w:val="20"/>
          <w:szCs w:val="20"/>
        </w:rPr>
      </w:pPr>
      <w:r w:rsidRPr="008475C4">
        <w:rPr>
          <w:rFonts w:ascii="Times New Roman" w:hAnsi="Times New Roman" w:cs="Times New Roman"/>
          <w:b/>
          <w:sz w:val="20"/>
          <w:szCs w:val="20"/>
        </w:rPr>
        <w:t>Príloha č. 11: Bilancia cukru v tis. t</w:t>
      </w:r>
    </w:p>
    <w:tbl>
      <w:tblPr>
        <w:tblW w:w="15026" w:type="dxa"/>
        <w:tblInd w:w="-497" w:type="dxa"/>
        <w:tblCellMar>
          <w:left w:w="70" w:type="dxa"/>
          <w:right w:w="70" w:type="dxa"/>
        </w:tblCellMar>
        <w:tblLook w:val="04A0" w:firstRow="1" w:lastRow="0" w:firstColumn="1" w:lastColumn="0" w:noHBand="0" w:noVBand="1"/>
      </w:tblPr>
      <w:tblGrid>
        <w:gridCol w:w="4620"/>
        <w:gridCol w:w="1334"/>
        <w:gridCol w:w="1134"/>
        <w:gridCol w:w="960"/>
        <w:gridCol w:w="960"/>
        <w:gridCol w:w="960"/>
        <w:gridCol w:w="960"/>
        <w:gridCol w:w="960"/>
        <w:gridCol w:w="960"/>
        <w:gridCol w:w="960"/>
        <w:gridCol w:w="1218"/>
      </w:tblGrid>
      <w:tr w:rsidR="009A5240" w:rsidRPr="00C705D4" w:rsidTr="009A5240">
        <w:trPr>
          <w:trHeight w:val="300"/>
        </w:trPr>
        <w:tc>
          <w:tcPr>
            <w:tcW w:w="4620" w:type="dxa"/>
            <w:tcBorders>
              <w:top w:val="single" w:sz="4" w:space="0" w:color="auto"/>
              <w:left w:val="nil"/>
              <w:bottom w:val="single" w:sz="4" w:space="0" w:color="auto"/>
              <w:right w:val="single" w:sz="4" w:space="0" w:color="auto"/>
            </w:tcBorders>
            <w:shd w:val="clear" w:color="000000" w:fill="D9D9D9"/>
            <w:noWrap/>
            <w:vAlign w:val="bottom"/>
            <w:hideMark/>
          </w:tcPr>
          <w:p w:rsidR="009A5240" w:rsidRPr="00C705D4" w:rsidRDefault="009A5240" w:rsidP="009A5240">
            <w:pPr>
              <w:spacing w:after="0" w:line="240" w:lineRule="auto"/>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Ukazovateľ</w:t>
            </w:r>
          </w:p>
        </w:tc>
        <w:tc>
          <w:tcPr>
            <w:tcW w:w="1334"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2002/03</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2003/04</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2004/05</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2005/06</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2006/07</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2007/08</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2008/09</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2009/10</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2010/11</w:t>
            </w:r>
          </w:p>
        </w:tc>
        <w:tc>
          <w:tcPr>
            <w:tcW w:w="1218" w:type="dxa"/>
            <w:tcBorders>
              <w:top w:val="single" w:sz="4" w:space="0" w:color="auto"/>
              <w:left w:val="nil"/>
              <w:bottom w:val="single" w:sz="4" w:space="0" w:color="auto"/>
              <w:right w:val="nil"/>
            </w:tcBorders>
            <w:shd w:val="clear" w:color="000000" w:fill="D9D9D9"/>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2011/12</w:t>
            </w:r>
          </w:p>
        </w:tc>
      </w:tr>
      <w:tr w:rsidR="009A5240" w:rsidRPr="00C705D4" w:rsidTr="009A5240">
        <w:trPr>
          <w:trHeight w:val="300"/>
        </w:trPr>
        <w:tc>
          <w:tcPr>
            <w:tcW w:w="4620" w:type="dxa"/>
            <w:tcBorders>
              <w:top w:val="nil"/>
              <w:left w:val="nil"/>
              <w:bottom w:val="single" w:sz="4" w:space="0" w:color="auto"/>
              <w:right w:val="single" w:sz="4" w:space="0" w:color="auto"/>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Počiatočné zásoby</w:t>
            </w:r>
          </w:p>
        </w:tc>
        <w:tc>
          <w:tcPr>
            <w:tcW w:w="1334"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72,1</w:t>
            </w:r>
          </w:p>
        </w:tc>
        <w:tc>
          <w:tcPr>
            <w:tcW w:w="1134"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87,4</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86,6</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119,8</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72,7</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30,7</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12,2</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15,8</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14,1</w:t>
            </w:r>
          </w:p>
        </w:tc>
        <w:tc>
          <w:tcPr>
            <w:tcW w:w="1218"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36,3</w:t>
            </w:r>
          </w:p>
        </w:tc>
      </w:tr>
      <w:tr w:rsidR="009A5240" w:rsidRPr="00C705D4" w:rsidTr="009A5240">
        <w:trPr>
          <w:trHeight w:val="300"/>
        </w:trPr>
        <w:tc>
          <w:tcPr>
            <w:tcW w:w="4620" w:type="dxa"/>
            <w:tcBorders>
              <w:top w:val="nil"/>
              <w:left w:val="nil"/>
              <w:bottom w:val="nil"/>
              <w:right w:val="single" w:sz="4" w:space="0" w:color="auto"/>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Produkcia</w:t>
            </w:r>
          </w:p>
        </w:tc>
        <w:tc>
          <w:tcPr>
            <w:tcW w:w="13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183,7</w:t>
            </w:r>
          </w:p>
        </w:tc>
        <w:tc>
          <w:tcPr>
            <w:tcW w:w="11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165,3</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233</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263,8</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205,1</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128,4</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144,3</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166,0</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124,1</w:t>
            </w:r>
          </w:p>
        </w:tc>
        <w:tc>
          <w:tcPr>
            <w:tcW w:w="1218"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175,1</w:t>
            </w:r>
          </w:p>
        </w:tc>
      </w:tr>
      <w:tr w:rsidR="009A5240" w:rsidRPr="00C705D4" w:rsidTr="009A5240">
        <w:trPr>
          <w:trHeight w:val="300"/>
        </w:trPr>
        <w:tc>
          <w:tcPr>
            <w:tcW w:w="4620" w:type="dxa"/>
            <w:tcBorders>
              <w:top w:val="nil"/>
              <w:left w:val="nil"/>
              <w:bottom w:val="nil"/>
              <w:right w:val="single" w:sz="4" w:space="0" w:color="auto"/>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Iné zdroje (odchýlka)</w:t>
            </w:r>
          </w:p>
        </w:tc>
        <w:tc>
          <w:tcPr>
            <w:tcW w:w="13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5,7</w:t>
            </w:r>
          </w:p>
        </w:tc>
        <w:tc>
          <w:tcPr>
            <w:tcW w:w="11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5,6</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4,5</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8,7</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2,3</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0,1</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7,2</w:t>
            </w:r>
          </w:p>
        </w:tc>
        <w:tc>
          <w:tcPr>
            <w:tcW w:w="1218"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3,0</w:t>
            </w:r>
          </w:p>
        </w:tc>
      </w:tr>
      <w:tr w:rsidR="009A5240" w:rsidRPr="00C705D4" w:rsidTr="009A5240">
        <w:trPr>
          <w:trHeight w:val="300"/>
        </w:trPr>
        <w:tc>
          <w:tcPr>
            <w:tcW w:w="4620" w:type="dxa"/>
            <w:tcBorders>
              <w:top w:val="nil"/>
              <w:left w:val="nil"/>
              <w:bottom w:val="single" w:sz="4" w:space="0" w:color="auto"/>
              <w:right w:val="single" w:sz="4" w:space="0" w:color="auto"/>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Dovoz spolu</w:t>
            </w:r>
          </w:p>
        </w:tc>
        <w:tc>
          <w:tcPr>
            <w:tcW w:w="1334"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9,7</w:t>
            </w:r>
          </w:p>
        </w:tc>
        <w:tc>
          <w:tcPr>
            <w:tcW w:w="1134"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11,2</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16,7</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46,2</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95,4</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9,5</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3,0</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50,3</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49,6</w:t>
            </w:r>
          </w:p>
        </w:tc>
        <w:tc>
          <w:tcPr>
            <w:tcW w:w="1218"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35,2</w:t>
            </w:r>
          </w:p>
        </w:tc>
      </w:tr>
      <w:tr w:rsidR="009A5240" w:rsidRPr="00C705D4" w:rsidTr="009A5240">
        <w:trPr>
          <w:trHeight w:val="300"/>
        </w:trPr>
        <w:tc>
          <w:tcPr>
            <w:tcW w:w="4620" w:type="dxa"/>
            <w:tcBorders>
              <w:top w:val="nil"/>
              <w:left w:val="nil"/>
              <w:bottom w:val="nil"/>
              <w:right w:val="single" w:sz="4" w:space="0" w:color="auto"/>
            </w:tcBorders>
            <w:shd w:val="clear" w:color="000000" w:fill="F2F2F2"/>
            <w:noWrap/>
            <w:vAlign w:val="bottom"/>
            <w:hideMark/>
          </w:tcPr>
          <w:p w:rsidR="009A5240" w:rsidRPr="00C705D4" w:rsidRDefault="009A5240" w:rsidP="009A5240">
            <w:pPr>
              <w:spacing w:after="0" w:line="240" w:lineRule="auto"/>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Celková ponuka</w:t>
            </w:r>
          </w:p>
        </w:tc>
        <w:tc>
          <w:tcPr>
            <w:tcW w:w="1334"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271,2</w:t>
            </w:r>
          </w:p>
        </w:tc>
        <w:tc>
          <w:tcPr>
            <w:tcW w:w="1134"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269,5</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340,8</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438,5</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374,2</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170,9</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159,5</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232,2</w:t>
            </w:r>
          </w:p>
        </w:tc>
        <w:tc>
          <w:tcPr>
            <w:tcW w:w="960"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195,0</w:t>
            </w:r>
          </w:p>
        </w:tc>
        <w:tc>
          <w:tcPr>
            <w:tcW w:w="1218" w:type="dxa"/>
            <w:tcBorders>
              <w:top w:val="nil"/>
              <w:left w:val="nil"/>
              <w:bottom w:val="nil"/>
              <w:right w:val="nil"/>
            </w:tcBorders>
            <w:shd w:val="clear" w:color="000000" w:fill="F2F2F2"/>
            <w:noWrap/>
            <w:vAlign w:val="bottom"/>
            <w:hideMark/>
          </w:tcPr>
          <w:p w:rsidR="009A5240" w:rsidRPr="00C705D4" w:rsidRDefault="009A5240" w:rsidP="009A5240">
            <w:pPr>
              <w:spacing w:after="0" w:line="240" w:lineRule="auto"/>
              <w:jc w:val="right"/>
              <w:rPr>
                <w:rFonts w:ascii="Times New Roman" w:eastAsia="Times New Roman" w:hAnsi="Times New Roman" w:cs="Times New Roman"/>
                <w:b/>
                <w:bCs/>
                <w:color w:val="000000"/>
                <w:sz w:val="20"/>
                <w:szCs w:val="20"/>
              </w:rPr>
            </w:pPr>
            <w:r w:rsidRPr="00C705D4">
              <w:rPr>
                <w:rFonts w:ascii="Times New Roman" w:eastAsia="Times New Roman" w:hAnsi="Times New Roman" w:cs="Times New Roman"/>
                <w:b/>
                <w:bCs/>
                <w:color w:val="000000"/>
                <w:sz w:val="20"/>
                <w:szCs w:val="20"/>
              </w:rPr>
              <w:t>249,7</w:t>
            </w:r>
          </w:p>
        </w:tc>
      </w:tr>
      <w:tr w:rsidR="009A5240" w:rsidRPr="00C705D4" w:rsidTr="009A5240">
        <w:trPr>
          <w:trHeight w:val="300"/>
        </w:trPr>
        <w:tc>
          <w:tcPr>
            <w:tcW w:w="4620" w:type="dxa"/>
            <w:tcBorders>
              <w:top w:val="nil"/>
              <w:left w:val="nil"/>
              <w:bottom w:val="nil"/>
              <w:right w:val="single" w:sz="4" w:space="0" w:color="auto"/>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Dodávky pre obyv. a výrobu</w:t>
            </w:r>
          </w:p>
        </w:tc>
        <w:tc>
          <w:tcPr>
            <w:tcW w:w="13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131,2</w:t>
            </w:r>
          </w:p>
        </w:tc>
        <w:tc>
          <w:tcPr>
            <w:tcW w:w="11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138,2</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105,6</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138</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120,9</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52,1</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49,7</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41,8</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49,5</w:t>
            </w:r>
          </w:p>
        </w:tc>
        <w:tc>
          <w:tcPr>
            <w:tcW w:w="1218"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56,2</w:t>
            </w:r>
          </w:p>
        </w:tc>
      </w:tr>
      <w:tr w:rsidR="009A5240" w:rsidRPr="00C705D4" w:rsidTr="009A5240">
        <w:trPr>
          <w:trHeight w:val="300"/>
        </w:trPr>
        <w:tc>
          <w:tcPr>
            <w:tcW w:w="4620" w:type="dxa"/>
            <w:tcBorders>
              <w:top w:val="nil"/>
              <w:left w:val="nil"/>
              <w:bottom w:val="nil"/>
              <w:right w:val="single" w:sz="4" w:space="0" w:color="auto"/>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Ostatné dodávky</w:t>
            </w:r>
          </w:p>
        </w:tc>
        <w:tc>
          <w:tcPr>
            <w:tcW w:w="13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14,7</w:t>
            </w:r>
          </w:p>
        </w:tc>
        <w:tc>
          <w:tcPr>
            <w:tcW w:w="11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23,1</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2,1</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7,7</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1,1</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74,7</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70,0</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45,8</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52,1</w:t>
            </w:r>
          </w:p>
        </w:tc>
        <w:tc>
          <w:tcPr>
            <w:tcW w:w="1218"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60,0</w:t>
            </w:r>
          </w:p>
        </w:tc>
      </w:tr>
      <w:tr w:rsidR="009A5240" w:rsidRPr="00C705D4" w:rsidTr="009A5240">
        <w:trPr>
          <w:trHeight w:val="300"/>
        </w:trPr>
        <w:tc>
          <w:tcPr>
            <w:tcW w:w="4620" w:type="dxa"/>
            <w:tcBorders>
              <w:top w:val="nil"/>
              <w:left w:val="nil"/>
              <w:bottom w:val="nil"/>
              <w:right w:val="single" w:sz="4" w:space="0" w:color="auto"/>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Vývoz spolu</w:t>
            </w:r>
          </w:p>
        </w:tc>
        <w:tc>
          <w:tcPr>
            <w:tcW w:w="13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37,9</w:t>
            </w:r>
          </w:p>
        </w:tc>
        <w:tc>
          <w:tcPr>
            <w:tcW w:w="11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21,6</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113,3</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220,1</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221,7</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31,9</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24,0</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130,6</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57,1</w:t>
            </w:r>
          </w:p>
        </w:tc>
        <w:tc>
          <w:tcPr>
            <w:tcW w:w="1218"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60,0</w:t>
            </w:r>
          </w:p>
        </w:tc>
      </w:tr>
      <w:tr w:rsidR="009A5240" w:rsidRPr="00C705D4" w:rsidTr="009A5240">
        <w:trPr>
          <w:trHeight w:val="300"/>
        </w:trPr>
        <w:tc>
          <w:tcPr>
            <w:tcW w:w="4620" w:type="dxa"/>
            <w:tcBorders>
              <w:top w:val="nil"/>
              <w:left w:val="nil"/>
              <w:bottom w:val="nil"/>
              <w:right w:val="single" w:sz="4" w:space="0" w:color="auto"/>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Spotreba</w:t>
            </w:r>
          </w:p>
        </w:tc>
        <w:tc>
          <w:tcPr>
            <w:tcW w:w="13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183,8</w:t>
            </w:r>
          </w:p>
        </w:tc>
        <w:tc>
          <w:tcPr>
            <w:tcW w:w="1134"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182,9</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221</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365,8</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343,7</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158,6</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143,7</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218,2</w:t>
            </w:r>
          </w:p>
        </w:tc>
        <w:tc>
          <w:tcPr>
            <w:tcW w:w="960"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158,7</w:t>
            </w:r>
          </w:p>
        </w:tc>
        <w:tc>
          <w:tcPr>
            <w:tcW w:w="1218" w:type="dxa"/>
            <w:tcBorders>
              <w:top w:val="nil"/>
              <w:left w:val="nil"/>
              <w:bottom w:val="nil"/>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176,2</w:t>
            </w:r>
          </w:p>
        </w:tc>
      </w:tr>
      <w:tr w:rsidR="009A5240" w:rsidRPr="00C705D4" w:rsidTr="009A5240">
        <w:trPr>
          <w:trHeight w:val="300"/>
        </w:trPr>
        <w:tc>
          <w:tcPr>
            <w:tcW w:w="4620" w:type="dxa"/>
            <w:tcBorders>
              <w:top w:val="nil"/>
              <w:left w:val="nil"/>
              <w:bottom w:val="single" w:sz="4" w:space="0" w:color="auto"/>
              <w:right w:val="single" w:sz="4" w:space="0" w:color="auto"/>
            </w:tcBorders>
            <w:shd w:val="clear" w:color="auto" w:fill="auto"/>
            <w:noWrap/>
            <w:vAlign w:val="bottom"/>
            <w:hideMark/>
          </w:tcPr>
          <w:p w:rsidR="009A5240" w:rsidRPr="00C705D4" w:rsidRDefault="009A5240" w:rsidP="009A5240">
            <w:pPr>
              <w:spacing w:after="0" w:line="240" w:lineRule="auto"/>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Konečné zásoby</w:t>
            </w:r>
          </w:p>
        </w:tc>
        <w:tc>
          <w:tcPr>
            <w:tcW w:w="1334"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87,4</w:t>
            </w:r>
          </w:p>
        </w:tc>
        <w:tc>
          <w:tcPr>
            <w:tcW w:w="1134"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86,6</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119,8</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72,7</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30,5</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12,2</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15,8</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14,1</w:t>
            </w:r>
          </w:p>
        </w:tc>
        <w:tc>
          <w:tcPr>
            <w:tcW w:w="960"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36,3</w:t>
            </w:r>
          </w:p>
        </w:tc>
        <w:tc>
          <w:tcPr>
            <w:tcW w:w="1218" w:type="dxa"/>
            <w:tcBorders>
              <w:top w:val="nil"/>
              <w:left w:val="nil"/>
              <w:bottom w:val="single" w:sz="4" w:space="0" w:color="auto"/>
              <w:right w:val="nil"/>
            </w:tcBorders>
            <w:shd w:val="clear" w:color="auto" w:fill="auto"/>
            <w:noWrap/>
            <w:vAlign w:val="bottom"/>
            <w:hideMark/>
          </w:tcPr>
          <w:p w:rsidR="009A5240" w:rsidRPr="00C705D4" w:rsidRDefault="009A5240" w:rsidP="009A5240">
            <w:pPr>
              <w:spacing w:after="0" w:line="240" w:lineRule="auto"/>
              <w:jc w:val="right"/>
              <w:rPr>
                <w:rFonts w:ascii="Times New Roman" w:eastAsia="Times New Roman" w:hAnsi="Times New Roman" w:cs="Times New Roman"/>
                <w:color w:val="000000"/>
                <w:sz w:val="20"/>
                <w:szCs w:val="20"/>
              </w:rPr>
            </w:pPr>
            <w:r w:rsidRPr="00C705D4">
              <w:rPr>
                <w:rFonts w:ascii="Times New Roman" w:eastAsia="Times New Roman" w:hAnsi="Times New Roman" w:cs="Times New Roman"/>
                <w:color w:val="000000"/>
                <w:sz w:val="20"/>
                <w:szCs w:val="20"/>
              </w:rPr>
              <w:t>73,5</w:t>
            </w:r>
          </w:p>
        </w:tc>
      </w:tr>
    </w:tbl>
    <w:p w:rsidR="00A93F56" w:rsidRPr="001F7768" w:rsidRDefault="009A5240" w:rsidP="001F7768">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Zdroj: VÚEPP</w:t>
      </w:r>
    </w:p>
    <w:p w:rsidR="00997D47" w:rsidRDefault="00997D47" w:rsidP="008475C4">
      <w:pPr>
        <w:spacing w:after="0" w:line="240" w:lineRule="auto"/>
        <w:ind w:left="-567"/>
        <w:rPr>
          <w:rFonts w:ascii="Times New Roman" w:hAnsi="Times New Roman" w:cs="Times New Roman"/>
          <w:b/>
          <w:sz w:val="20"/>
          <w:szCs w:val="20"/>
        </w:rPr>
      </w:pPr>
    </w:p>
    <w:p w:rsidR="009A5240" w:rsidRPr="008475C4" w:rsidRDefault="008475C4" w:rsidP="008475C4">
      <w:pPr>
        <w:spacing w:after="0" w:line="240" w:lineRule="auto"/>
        <w:ind w:left="-567"/>
        <w:rPr>
          <w:rFonts w:ascii="Times New Roman" w:hAnsi="Times New Roman" w:cs="Times New Roman"/>
          <w:b/>
          <w:sz w:val="20"/>
          <w:szCs w:val="20"/>
        </w:rPr>
      </w:pPr>
      <w:r w:rsidRPr="008475C4">
        <w:rPr>
          <w:rFonts w:ascii="Times New Roman" w:hAnsi="Times New Roman" w:cs="Times New Roman"/>
          <w:b/>
          <w:sz w:val="20"/>
          <w:szCs w:val="20"/>
        </w:rPr>
        <w:lastRenderedPageBreak/>
        <w:t>Príloha č. 12</w:t>
      </w:r>
      <w:r w:rsidR="009A5240" w:rsidRPr="008475C4">
        <w:rPr>
          <w:rFonts w:ascii="Times New Roman" w:hAnsi="Times New Roman" w:cs="Times New Roman"/>
          <w:b/>
          <w:sz w:val="20"/>
          <w:szCs w:val="20"/>
        </w:rPr>
        <w:t>: Bilancia pšenice v hospodárskych rokoch</w:t>
      </w:r>
    </w:p>
    <w:tbl>
      <w:tblPr>
        <w:tblW w:w="15026" w:type="dxa"/>
        <w:tblInd w:w="-497" w:type="dxa"/>
        <w:tblCellMar>
          <w:left w:w="70" w:type="dxa"/>
          <w:right w:w="70" w:type="dxa"/>
        </w:tblCellMar>
        <w:tblLook w:val="04A0" w:firstRow="1" w:lastRow="0" w:firstColumn="1" w:lastColumn="0" w:noHBand="0" w:noVBand="1"/>
      </w:tblPr>
      <w:tblGrid>
        <w:gridCol w:w="2220"/>
        <w:gridCol w:w="2458"/>
        <w:gridCol w:w="1276"/>
        <w:gridCol w:w="1134"/>
        <w:gridCol w:w="960"/>
        <w:gridCol w:w="960"/>
        <w:gridCol w:w="960"/>
        <w:gridCol w:w="960"/>
        <w:gridCol w:w="960"/>
        <w:gridCol w:w="960"/>
        <w:gridCol w:w="960"/>
        <w:gridCol w:w="1218"/>
      </w:tblGrid>
      <w:tr w:rsidR="009A5240" w:rsidRPr="008841FC" w:rsidTr="00D86A54">
        <w:trPr>
          <w:trHeight w:val="300"/>
        </w:trPr>
        <w:tc>
          <w:tcPr>
            <w:tcW w:w="2220"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Ukazovateľ</w:t>
            </w:r>
          </w:p>
        </w:tc>
        <w:tc>
          <w:tcPr>
            <w:tcW w:w="2458" w:type="dxa"/>
            <w:tcBorders>
              <w:top w:val="single" w:sz="4" w:space="0" w:color="auto"/>
              <w:left w:val="nil"/>
              <w:bottom w:val="single" w:sz="4" w:space="0" w:color="auto"/>
              <w:right w:val="single" w:sz="4" w:space="0" w:color="auto"/>
            </w:tcBorders>
            <w:shd w:val="clear" w:color="000000" w:fill="D9D9D9"/>
            <w:vAlign w:val="center"/>
            <w:hideMark/>
          </w:tcPr>
          <w:p w:rsidR="009A5240" w:rsidRPr="008841FC" w:rsidRDefault="009A5240" w:rsidP="009A5240">
            <w:pPr>
              <w:spacing w:after="0" w:line="240" w:lineRule="auto"/>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 </w:t>
            </w:r>
          </w:p>
        </w:tc>
        <w:tc>
          <w:tcPr>
            <w:tcW w:w="1276"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2002/03</w:t>
            </w:r>
          </w:p>
        </w:tc>
        <w:tc>
          <w:tcPr>
            <w:tcW w:w="1134"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2003/04</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2004/05</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2005/06</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2006/07</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2007/08</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2008/09</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2009/10</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2010/11</w:t>
            </w:r>
          </w:p>
        </w:tc>
        <w:tc>
          <w:tcPr>
            <w:tcW w:w="1218"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2011/12</w:t>
            </w:r>
          </w:p>
        </w:tc>
      </w:tr>
      <w:tr w:rsidR="009A5240" w:rsidRPr="008841FC" w:rsidTr="009A5240">
        <w:trPr>
          <w:trHeight w:val="300"/>
        </w:trPr>
        <w:tc>
          <w:tcPr>
            <w:tcW w:w="222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Osevná plocha</w:t>
            </w:r>
          </w:p>
        </w:tc>
        <w:tc>
          <w:tcPr>
            <w:tcW w:w="245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ha</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406,1</w:t>
            </w:r>
          </w:p>
        </w:tc>
        <w:tc>
          <w:tcPr>
            <w:tcW w:w="1134"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308,4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369,4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375,8</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350,9</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360,8</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374,4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380,3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349,7</w:t>
            </w:r>
          </w:p>
        </w:tc>
        <w:tc>
          <w:tcPr>
            <w:tcW w:w="1218"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364</w:t>
            </w:r>
          </w:p>
        </w:tc>
      </w:tr>
      <w:tr w:rsidR="009A5240" w:rsidRPr="008841FC" w:rsidTr="009A5240">
        <w:trPr>
          <w:trHeight w:val="300"/>
        </w:trPr>
        <w:tc>
          <w:tcPr>
            <w:tcW w:w="222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Zberová plocha </w:t>
            </w:r>
          </w:p>
        </w:tc>
        <w:tc>
          <w:tcPr>
            <w:tcW w:w="245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ha</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405,8</w:t>
            </w:r>
          </w:p>
        </w:tc>
        <w:tc>
          <w:tcPr>
            <w:tcW w:w="1134"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306,9</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367,8</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373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349,1</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360,7</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373,7</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379,2</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342,1</w:t>
            </w:r>
          </w:p>
        </w:tc>
        <w:tc>
          <w:tcPr>
            <w:tcW w:w="1218"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362,8</w:t>
            </w:r>
          </w:p>
        </w:tc>
      </w:tr>
      <w:tr w:rsidR="009A5240" w:rsidRPr="008841FC" w:rsidTr="009A5240">
        <w:trPr>
          <w:trHeight w:val="300"/>
        </w:trPr>
        <w:tc>
          <w:tcPr>
            <w:tcW w:w="222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Hektárová úroda</w:t>
            </w:r>
          </w:p>
        </w:tc>
        <w:tc>
          <w:tcPr>
            <w:tcW w:w="245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t/ha</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3,83</w:t>
            </w:r>
          </w:p>
        </w:tc>
        <w:tc>
          <w:tcPr>
            <w:tcW w:w="1134"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3,03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4,80</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4,31</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3,85</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3,82</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4,87</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4,00</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3,46</w:t>
            </w:r>
          </w:p>
        </w:tc>
        <w:tc>
          <w:tcPr>
            <w:tcW w:w="1218"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4,50</w:t>
            </w:r>
          </w:p>
        </w:tc>
      </w:tr>
      <w:tr w:rsidR="009A5240" w:rsidRPr="008841FC" w:rsidTr="009A5240">
        <w:trPr>
          <w:trHeight w:val="300"/>
        </w:trPr>
        <w:tc>
          <w:tcPr>
            <w:tcW w:w="222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Produkcia </w:t>
            </w:r>
          </w:p>
        </w:tc>
        <w:tc>
          <w:tcPr>
            <w:tcW w:w="245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1554,5</w:t>
            </w:r>
          </w:p>
        </w:tc>
        <w:tc>
          <w:tcPr>
            <w:tcW w:w="1134"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930,4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1764,8</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1607,9</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1342,7</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1 379,60</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1 819,50</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1 537,90</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1 185,30</w:t>
            </w:r>
          </w:p>
        </w:tc>
        <w:tc>
          <w:tcPr>
            <w:tcW w:w="1218"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1 631,10</w:t>
            </w:r>
          </w:p>
        </w:tc>
      </w:tr>
      <w:tr w:rsidR="009A5240" w:rsidRPr="008841FC" w:rsidTr="009A5240">
        <w:trPr>
          <w:trHeight w:val="300"/>
        </w:trPr>
        <w:tc>
          <w:tcPr>
            <w:tcW w:w="222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Počiatočné zásoby </w:t>
            </w:r>
          </w:p>
        </w:tc>
        <w:tc>
          <w:tcPr>
            <w:tcW w:w="245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221,7</w:t>
            </w:r>
          </w:p>
        </w:tc>
        <w:tc>
          <w:tcPr>
            <w:tcW w:w="1134"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195,2</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79</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348,3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232,8</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173,8</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209,6</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520,3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625,2</w:t>
            </w:r>
          </w:p>
        </w:tc>
        <w:tc>
          <w:tcPr>
            <w:tcW w:w="1218" w:type="dxa"/>
            <w:tcBorders>
              <w:top w:val="nil"/>
              <w:left w:val="nil"/>
              <w:bottom w:val="nil"/>
              <w:right w:val="nil"/>
            </w:tcBorders>
            <w:shd w:val="clear" w:color="auto" w:fill="auto"/>
            <w:vAlign w:val="center"/>
            <w:hideMark/>
          </w:tcPr>
          <w:p w:rsidR="009A5240" w:rsidRPr="008841FC" w:rsidRDefault="009167E8"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121,5</w:t>
            </w:r>
          </w:p>
        </w:tc>
      </w:tr>
      <w:tr w:rsidR="009A5240" w:rsidRPr="008841FC" w:rsidTr="009A5240">
        <w:trPr>
          <w:trHeight w:val="300"/>
        </w:trPr>
        <w:tc>
          <w:tcPr>
            <w:tcW w:w="222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Dovoz </w:t>
            </w:r>
          </w:p>
        </w:tc>
        <w:tc>
          <w:tcPr>
            <w:tcW w:w="245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23,4</w:t>
            </w:r>
          </w:p>
        </w:tc>
        <w:tc>
          <w:tcPr>
            <w:tcW w:w="1134"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55,3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46,4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136,6</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54,5</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158,5</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103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110</w:t>
            </w:r>
          </w:p>
        </w:tc>
        <w:tc>
          <w:tcPr>
            <w:tcW w:w="1218" w:type="dxa"/>
            <w:tcBorders>
              <w:top w:val="nil"/>
              <w:left w:val="nil"/>
              <w:bottom w:val="nil"/>
              <w:right w:val="nil"/>
            </w:tcBorders>
            <w:shd w:val="clear" w:color="auto" w:fill="auto"/>
            <w:vAlign w:val="center"/>
            <w:hideMark/>
          </w:tcPr>
          <w:p w:rsidR="009A5240" w:rsidRPr="008841FC" w:rsidRDefault="009167E8"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116,23</w:t>
            </w:r>
          </w:p>
        </w:tc>
      </w:tr>
      <w:tr w:rsidR="009A5240" w:rsidRPr="008841FC" w:rsidTr="009A5240">
        <w:trPr>
          <w:trHeight w:val="300"/>
        </w:trPr>
        <w:tc>
          <w:tcPr>
            <w:tcW w:w="222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Ostatné zdroje </w:t>
            </w:r>
          </w:p>
        </w:tc>
        <w:tc>
          <w:tcPr>
            <w:tcW w:w="245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w:t>
            </w:r>
          </w:p>
        </w:tc>
        <w:tc>
          <w:tcPr>
            <w:tcW w:w="1134"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80,5</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82</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30,5</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16,2</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50,8</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50,3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59,1</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50,7</w:t>
            </w:r>
          </w:p>
        </w:tc>
        <w:tc>
          <w:tcPr>
            <w:tcW w:w="1218"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52</w:t>
            </w:r>
          </w:p>
        </w:tc>
      </w:tr>
      <w:tr w:rsidR="009A5240" w:rsidRPr="008841FC" w:rsidTr="009A5240">
        <w:trPr>
          <w:trHeight w:val="300"/>
        </w:trPr>
        <w:tc>
          <w:tcPr>
            <w:tcW w:w="222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 xml:space="preserve">Celková ponuka </w:t>
            </w:r>
          </w:p>
        </w:tc>
        <w:tc>
          <w:tcPr>
            <w:tcW w:w="2458" w:type="dxa"/>
            <w:tcBorders>
              <w:top w:val="nil"/>
              <w:left w:val="nil"/>
              <w:bottom w:val="single" w:sz="4" w:space="0" w:color="auto"/>
              <w:right w:val="single" w:sz="4" w:space="0" w:color="auto"/>
            </w:tcBorders>
            <w:shd w:val="clear" w:color="000000" w:fill="F2F2F2"/>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27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1799,6</w:t>
            </w:r>
          </w:p>
        </w:tc>
        <w:tc>
          <w:tcPr>
            <w:tcW w:w="1134"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1208,5</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1981,1</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2033,1</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1728,3</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1 658,70</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2 237,90</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2 220,30</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1 971,10</w:t>
            </w:r>
          </w:p>
        </w:tc>
        <w:tc>
          <w:tcPr>
            <w:tcW w:w="1218" w:type="dxa"/>
            <w:tcBorders>
              <w:top w:val="nil"/>
              <w:left w:val="nil"/>
              <w:bottom w:val="single" w:sz="4" w:space="0" w:color="auto"/>
              <w:right w:val="nil"/>
            </w:tcBorders>
            <w:shd w:val="clear" w:color="000000" w:fill="F2F2F2"/>
            <w:vAlign w:val="center"/>
            <w:hideMark/>
          </w:tcPr>
          <w:p w:rsidR="009A5240" w:rsidRPr="008841FC" w:rsidRDefault="009167E8" w:rsidP="009167E8">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1 920,9</w:t>
            </w:r>
          </w:p>
        </w:tc>
      </w:tr>
      <w:tr w:rsidR="009A5240" w:rsidRPr="008841FC" w:rsidTr="009A5240">
        <w:trPr>
          <w:trHeight w:val="300"/>
        </w:trPr>
        <w:tc>
          <w:tcPr>
            <w:tcW w:w="222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Domáca spotreba </w:t>
            </w:r>
          </w:p>
        </w:tc>
        <w:tc>
          <w:tcPr>
            <w:tcW w:w="245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1530,8</w:t>
            </w:r>
          </w:p>
        </w:tc>
        <w:tc>
          <w:tcPr>
            <w:tcW w:w="1134"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1115,6</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1357,8</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1314,2</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1140,3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1 083,60</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1293,7</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1 024,10</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1 060,30</w:t>
            </w:r>
          </w:p>
        </w:tc>
        <w:tc>
          <w:tcPr>
            <w:tcW w:w="1218" w:type="dxa"/>
            <w:tcBorders>
              <w:top w:val="nil"/>
              <w:left w:val="nil"/>
              <w:bottom w:val="nil"/>
              <w:right w:val="nil"/>
            </w:tcBorders>
            <w:shd w:val="clear" w:color="auto" w:fill="auto"/>
            <w:vAlign w:val="center"/>
            <w:hideMark/>
          </w:tcPr>
          <w:p w:rsidR="009A5240" w:rsidRPr="008841FC" w:rsidRDefault="009A5240" w:rsidP="009167E8">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1 </w:t>
            </w:r>
            <w:r w:rsidR="009167E8">
              <w:rPr>
                <w:rFonts w:ascii="Times New Roman" w:eastAsia="Times New Roman" w:hAnsi="Times New Roman" w:cs="Times New Roman"/>
                <w:color w:val="000000"/>
                <w:sz w:val="20"/>
                <w:szCs w:val="20"/>
              </w:rPr>
              <w:t>041,6</w:t>
            </w:r>
          </w:p>
        </w:tc>
      </w:tr>
      <w:tr w:rsidR="009A5240" w:rsidRPr="008841FC" w:rsidTr="009A5240">
        <w:trPr>
          <w:trHeight w:val="300"/>
        </w:trPr>
        <w:tc>
          <w:tcPr>
            <w:tcW w:w="222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 potravinárska </w:t>
            </w:r>
          </w:p>
        </w:tc>
        <w:tc>
          <w:tcPr>
            <w:tcW w:w="245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585</w:t>
            </w:r>
          </w:p>
        </w:tc>
        <w:tc>
          <w:tcPr>
            <w:tcW w:w="1134"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539,5</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530,2</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538,1</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480,3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490,4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466,4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434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523,8</w:t>
            </w:r>
          </w:p>
        </w:tc>
        <w:tc>
          <w:tcPr>
            <w:tcW w:w="1218"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498,1</w:t>
            </w:r>
          </w:p>
        </w:tc>
      </w:tr>
      <w:tr w:rsidR="009A5240" w:rsidRPr="008841FC" w:rsidTr="009A5240">
        <w:trPr>
          <w:trHeight w:val="300"/>
        </w:trPr>
        <w:tc>
          <w:tcPr>
            <w:tcW w:w="222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Vývoz </w:t>
            </w:r>
          </w:p>
        </w:tc>
        <w:tc>
          <w:tcPr>
            <w:tcW w:w="245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35</w:t>
            </w:r>
          </w:p>
        </w:tc>
        <w:tc>
          <w:tcPr>
            <w:tcW w:w="1134"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13,9</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152,4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451,8</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407</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355</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385,9</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531,8</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453,7</w:t>
            </w:r>
          </w:p>
        </w:tc>
        <w:tc>
          <w:tcPr>
            <w:tcW w:w="1218" w:type="dxa"/>
            <w:tcBorders>
              <w:top w:val="nil"/>
              <w:left w:val="nil"/>
              <w:bottom w:val="nil"/>
              <w:right w:val="nil"/>
            </w:tcBorders>
            <w:shd w:val="clear" w:color="auto" w:fill="auto"/>
            <w:vAlign w:val="center"/>
            <w:hideMark/>
          </w:tcPr>
          <w:p w:rsidR="009A5240" w:rsidRPr="008841FC" w:rsidRDefault="009167E8" w:rsidP="009167E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561,6</w:t>
            </w:r>
          </w:p>
        </w:tc>
      </w:tr>
      <w:tr w:rsidR="009A5240" w:rsidRPr="008841FC" w:rsidTr="009A5240">
        <w:trPr>
          <w:trHeight w:val="300"/>
        </w:trPr>
        <w:tc>
          <w:tcPr>
            <w:tcW w:w="222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Ostatné výdaje </w:t>
            </w:r>
          </w:p>
        </w:tc>
        <w:tc>
          <w:tcPr>
            <w:tcW w:w="245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38,6</w:t>
            </w:r>
          </w:p>
        </w:tc>
        <w:tc>
          <w:tcPr>
            <w:tcW w:w="1134"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122,6</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34,3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7,2</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10,5</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38</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7,6</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8,1</w:t>
            </w:r>
          </w:p>
        </w:tc>
        <w:tc>
          <w:tcPr>
            <w:tcW w:w="1218"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9,6</w:t>
            </w:r>
          </w:p>
        </w:tc>
      </w:tr>
      <w:tr w:rsidR="009A5240" w:rsidRPr="008841FC" w:rsidTr="008475C4">
        <w:trPr>
          <w:trHeight w:val="300"/>
        </w:trPr>
        <w:tc>
          <w:tcPr>
            <w:tcW w:w="222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 xml:space="preserve">Celkové použitie </w:t>
            </w:r>
          </w:p>
        </w:tc>
        <w:tc>
          <w:tcPr>
            <w:tcW w:w="2458" w:type="dxa"/>
            <w:tcBorders>
              <w:top w:val="nil"/>
              <w:left w:val="nil"/>
              <w:bottom w:val="single" w:sz="4" w:space="0" w:color="auto"/>
              <w:right w:val="single" w:sz="4" w:space="0" w:color="auto"/>
            </w:tcBorders>
            <w:shd w:val="clear" w:color="000000" w:fill="F2F2F2"/>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27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1604,4</w:t>
            </w:r>
          </w:p>
        </w:tc>
        <w:tc>
          <w:tcPr>
            <w:tcW w:w="1134"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1129,5</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1632,8</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1800,3</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1554,5</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1 449,10</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1 717,60</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1563,5</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1 522,00</w:t>
            </w:r>
          </w:p>
        </w:tc>
        <w:tc>
          <w:tcPr>
            <w:tcW w:w="1218"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 xml:space="preserve"> 1 364,7</w:t>
            </w:r>
          </w:p>
        </w:tc>
      </w:tr>
      <w:tr w:rsidR="009A5240" w:rsidRPr="008841FC" w:rsidTr="008475C4">
        <w:trPr>
          <w:trHeight w:val="300"/>
        </w:trPr>
        <w:tc>
          <w:tcPr>
            <w:tcW w:w="2220" w:type="dxa"/>
            <w:tcBorders>
              <w:top w:val="single" w:sz="4" w:space="0" w:color="auto"/>
              <w:left w:val="nil"/>
              <w:bottom w:val="single" w:sz="4" w:space="0" w:color="auto"/>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Konečné zásoby spolu </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276" w:type="dxa"/>
            <w:tcBorders>
              <w:top w:val="single" w:sz="4" w:space="0" w:color="auto"/>
              <w:left w:val="nil"/>
              <w:bottom w:val="single" w:sz="4" w:space="0" w:color="auto"/>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195,2</w:t>
            </w:r>
          </w:p>
        </w:tc>
        <w:tc>
          <w:tcPr>
            <w:tcW w:w="1134" w:type="dxa"/>
            <w:tcBorders>
              <w:top w:val="single" w:sz="4" w:space="0" w:color="auto"/>
              <w:left w:val="nil"/>
              <w:bottom w:val="single" w:sz="4" w:space="0" w:color="auto"/>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79</w:t>
            </w:r>
          </w:p>
        </w:tc>
        <w:tc>
          <w:tcPr>
            <w:tcW w:w="960" w:type="dxa"/>
            <w:tcBorders>
              <w:top w:val="single" w:sz="4" w:space="0" w:color="auto"/>
              <w:left w:val="nil"/>
              <w:bottom w:val="single" w:sz="4" w:space="0" w:color="auto"/>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348,3</w:t>
            </w:r>
          </w:p>
        </w:tc>
        <w:tc>
          <w:tcPr>
            <w:tcW w:w="960" w:type="dxa"/>
            <w:tcBorders>
              <w:top w:val="single" w:sz="4" w:space="0" w:color="auto"/>
              <w:left w:val="nil"/>
              <w:bottom w:val="single" w:sz="4" w:space="0" w:color="auto"/>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232,8</w:t>
            </w:r>
          </w:p>
        </w:tc>
        <w:tc>
          <w:tcPr>
            <w:tcW w:w="960" w:type="dxa"/>
            <w:tcBorders>
              <w:top w:val="single" w:sz="4" w:space="0" w:color="auto"/>
              <w:left w:val="nil"/>
              <w:bottom w:val="single" w:sz="4" w:space="0" w:color="auto"/>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173,8</w:t>
            </w:r>
          </w:p>
        </w:tc>
        <w:tc>
          <w:tcPr>
            <w:tcW w:w="960" w:type="dxa"/>
            <w:tcBorders>
              <w:top w:val="single" w:sz="4" w:space="0" w:color="auto"/>
              <w:left w:val="nil"/>
              <w:bottom w:val="single" w:sz="4" w:space="0" w:color="auto"/>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209,6</w:t>
            </w:r>
          </w:p>
        </w:tc>
        <w:tc>
          <w:tcPr>
            <w:tcW w:w="960" w:type="dxa"/>
            <w:tcBorders>
              <w:top w:val="single" w:sz="4" w:space="0" w:color="auto"/>
              <w:left w:val="nil"/>
              <w:bottom w:val="single" w:sz="4" w:space="0" w:color="auto"/>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520,3</w:t>
            </w:r>
          </w:p>
        </w:tc>
        <w:tc>
          <w:tcPr>
            <w:tcW w:w="960" w:type="dxa"/>
            <w:tcBorders>
              <w:top w:val="single" w:sz="4" w:space="0" w:color="auto"/>
              <w:left w:val="nil"/>
              <w:bottom w:val="single" w:sz="4" w:space="0" w:color="auto"/>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656,7</w:t>
            </w:r>
          </w:p>
        </w:tc>
        <w:tc>
          <w:tcPr>
            <w:tcW w:w="960" w:type="dxa"/>
            <w:tcBorders>
              <w:top w:val="single" w:sz="4" w:space="0" w:color="auto"/>
              <w:left w:val="nil"/>
              <w:bottom w:val="single" w:sz="4" w:space="0" w:color="auto"/>
              <w:right w:val="nil"/>
            </w:tcBorders>
            <w:shd w:val="clear" w:color="auto" w:fill="auto"/>
            <w:vAlign w:val="center"/>
            <w:hideMark/>
          </w:tcPr>
          <w:p w:rsidR="009A5240" w:rsidRPr="008841FC" w:rsidRDefault="009167E8" w:rsidP="009167E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121,5</w:t>
            </w:r>
          </w:p>
        </w:tc>
        <w:tc>
          <w:tcPr>
            <w:tcW w:w="1218" w:type="dxa"/>
            <w:tcBorders>
              <w:top w:val="single" w:sz="4" w:space="0" w:color="auto"/>
              <w:left w:val="nil"/>
              <w:bottom w:val="single" w:sz="4" w:space="0" w:color="auto"/>
              <w:right w:val="nil"/>
            </w:tcBorders>
            <w:shd w:val="clear" w:color="auto" w:fill="auto"/>
            <w:vAlign w:val="center"/>
            <w:hideMark/>
          </w:tcPr>
          <w:p w:rsidR="009A5240" w:rsidRPr="008841FC" w:rsidRDefault="009167E8"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308,2</w:t>
            </w:r>
          </w:p>
        </w:tc>
      </w:tr>
    </w:tbl>
    <w:p w:rsidR="009A5240" w:rsidRDefault="009A5240" w:rsidP="009A5240">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Zdroj: VÚEPP</w:t>
      </w:r>
    </w:p>
    <w:p w:rsidR="009A5240" w:rsidRPr="008475C4" w:rsidRDefault="00D86A54" w:rsidP="008475C4">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Príloha č. 13</w:t>
      </w:r>
      <w:r w:rsidR="009A5240" w:rsidRPr="008475C4">
        <w:rPr>
          <w:rFonts w:ascii="Times New Roman" w:hAnsi="Times New Roman" w:cs="Times New Roman"/>
          <w:b/>
          <w:sz w:val="20"/>
          <w:szCs w:val="20"/>
        </w:rPr>
        <w:t>: Bilancia raže v hospodárskych rokoch</w:t>
      </w:r>
    </w:p>
    <w:tbl>
      <w:tblPr>
        <w:tblW w:w="15026" w:type="dxa"/>
        <w:tblInd w:w="-497" w:type="dxa"/>
        <w:tblCellMar>
          <w:left w:w="70" w:type="dxa"/>
          <w:right w:w="70" w:type="dxa"/>
        </w:tblCellMar>
        <w:tblLook w:val="04A0" w:firstRow="1" w:lastRow="0" w:firstColumn="1" w:lastColumn="0" w:noHBand="0" w:noVBand="1"/>
      </w:tblPr>
      <w:tblGrid>
        <w:gridCol w:w="2340"/>
        <w:gridCol w:w="2338"/>
        <w:gridCol w:w="1134"/>
        <w:gridCol w:w="1276"/>
        <w:gridCol w:w="960"/>
        <w:gridCol w:w="960"/>
        <w:gridCol w:w="960"/>
        <w:gridCol w:w="960"/>
        <w:gridCol w:w="960"/>
        <w:gridCol w:w="960"/>
        <w:gridCol w:w="960"/>
        <w:gridCol w:w="1218"/>
      </w:tblGrid>
      <w:tr w:rsidR="009A5240" w:rsidRPr="008841FC" w:rsidTr="00D86A54">
        <w:trPr>
          <w:trHeight w:val="300"/>
        </w:trPr>
        <w:tc>
          <w:tcPr>
            <w:tcW w:w="2340"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Ukazovateľ</w:t>
            </w:r>
          </w:p>
        </w:tc>
        <w:tc>
          <w:tcPr>
            <w:tcW w:w="2338" w:type="dxa"/>
            <w:tcBorders>
              <w:top w:val="single" w:sz="4" w:space="0" w:color="auto"/>
              <w:left w:val="nil"/>
              <w:bottom w:val="single" w:sz="4" w:space="0" w:color="auto"/>
              <w:right w:val="single" w:sz="4" w:space="0" w:color="auto"/>
            </w:tcBorders>
            <w:shd w:val="clear" w:color="000000" w:fill="D9D9D9"/>
            <w:vAlign w:val="center"/>
            <w:hideMark/>
          </w:tcPr>
          <w:p w:rsidR="009A5240" w:rsidRPr="008841FC" w:rsidRDefault="009A5240" w:rsidP="009A5240">
            <w:pPr>
              <w:spacing w:after="0" w:line="240" w:lineRule="auto"/>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 </w:t>
            </w:r>
          </w:p>
        </w:tc>
        <w:tc>
          <w:tcPr>
            <w:tcW w:w="1134" w:type="dxa"/>
            <w:tcBorders>
              <w:top w:val="single" w:sz="4" w:space="0" w:color="auto"/>
              <w:left w:val="nil"/>
              <w:bottom w:val="single" w:sz="4" w:space="0" w:color="auto"/>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2002/03</w:t>
            </w:r>
          </w:p>
        </w:tc>
        <w:tc>
          <w:tcPr>
            <w:tcW w:w="1276"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2003/04</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2004/05</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2005/06</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2006/07</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2007/08</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2008/09</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2009/10</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2010/11</w:t>
            </w:r>
          </w:p>
        </w:tc>
        <w:tc>
          <w:tcPr>
            <w:tcW w:w="1218"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2011/12</w:t>
            </w:r>
          </w:p>
        </w:tc>
      </w:tr>
      <w:tr w:rsidR="009A5240" w:rsidRPr="008841FC" w:rsidTr="009A5240">
        <w:trPr>
          <w:trHeight w:val="300"/>
        </w:trPr>
        <w:tc>
          <w:tcPr>
            <w:tcW w:w="234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Osevná plocha</w:t>
            </w:r>
          </w:p>
        </w:tc>
        <w:tc>
          <w:tcPr>
            <w:tcW w:w="233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ha</w:t>
            </w:r>
          </w:p>
        </w:tc>
        <w:tc>
          <w:tcPr>
            <w:tcW w:w="1134" w:type="dxa"/>
            <w:tcBorders>
              <w:top w:val="nil"/>
              <w:left w:val="nil"/>
              <w:bottom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38,2</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25,3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32,6</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24,5</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12,8</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21,2</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26,2</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20,2</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17,1</w:t>
            </w:r>
          </w:p>
        </w:tc>
        <w:tc>
          <w:tcPr>
            <w:tcW w:w="1218"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13,4</w:t>
            </w:r>
          </w:p>
        </w:tc>
      </w:tr>
      <w:tr w:rsidR="009A5240" w:rsidRPr="008841FC" w:rsidTr="009A5240">
        <w:trPr>
          <w:trHeight w:val="300"/>
        </w:trPr>
        <w:tc>
          <w:tcPr>
            <w:tcW w:w="234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Zberová plocha </w:t>
            </w:r>
          </w:p>
        </w:tc>
        <w:tc>
          <w:tcPr>
            <w:tcW w:w="233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ha</w:t>
            </w:r>
          </w:p>
        </w:tc>
        <w:tc>
          <w:tcPr>
            <w:tcW w:w="1134" w:type="dxa"/>
            <w:tcBorders>
              <w:top w:val="nil"/>
              <w:left w:val="nil"/>
              <w:bottom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38,0</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25,2</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32,5</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24,2</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12,5</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20,7</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25,9</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19,9</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15,9</w:t>
            </w:r>
          </w:p>
        </w:tc>
        <w:tc>
          <w:tcPr>
            <w:tcW w:w="1218"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13,0</w:t>
            </w:r>
          </w:p>
        </w:tc>
      </w:tr>
      <w:tr w:rsidR="009A5240" w:rsidRPr="008841FC" w:rsidTr="009A5240">
        <w:trPr>
          <w:trHeight w:val="300"/>
        </w:trPr>
        <w:tc>
          <w:tcPr>
            <w:tcW w:w="234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Hektárová úroda</w:t>
            </w:r>
          </w:p>
        </w:tc>
        <w:tc>
          <w:tcPr>
            <w:tcW w:w="233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t/ha</w:t>
            </w:r>
          </w:p>
        </w:tc>
        <w:tc>
          <w:tcPr>
            <w:tcW w:w="1134" w:type="dxa"/>
            <w:tcBorders>
              <w:top w:val="nil"/>
              <w:left w:val="nil"/>
              <w:bottom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2,54</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2,47</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3,83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2,84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2,41</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2,63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3,10</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2,87</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2,23</w:t>
            </w:r>
          </w:p>
        </w:tc>
        <w:tc>
          <w:tcPr>
            <w:tcW w:w="1218"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3,18</w:t>
            </w:r>
          </w:p>
        </w:tc>
      </w:tr>
      <w:tr w:rsidR="009A5240" w:rsidRPr="008841FC" w:rsidTr="009A5240">
        <w:trPr>
          <w:trHeight w:val="300"/>
        </w:trPr>
        <w:tc>
          <w:tcPr>
            <w:tcW w:w="234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Produkcia </w:t>
            </w:r>
          </w:p>
        </w:tc>
        <w:tc>
          <w:tcPr>
            <w:tcW w:w="233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134" w:type="dxa"/>
            <w:tcBorders>
              <w:top w:val="nil"/>
              <w:left w:val="nil"/>
              <w:bottom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96,5</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62,3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124,3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68,6</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30,2</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54,4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80,3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56,9</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35,5</w:t>
            </w:r>
          </w:p>
        </w:tc>
        <w:tc>
          <w:tcPr>
            <w:tcW w:w="1218"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41,2</w:t>
            </w:r>
          </w:p>
        </w:tc>
      </w:tr>
      <w:tr w:rsidR="009A5240" w:rsidRPr="008841FC" w:rsidTr="009A5240">
        <w:trPr>
          <w:trHeight w:val="300"/>
        </w:trPr>
        <w:tc>
          <w:tcPr>
            <w:tcW w:w="234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Počiatočné zásoby </w:t>
            </w:r>
          </w:p>
        </w:tc>
        <w:tc>
          <w:tcPr>
            <w:tcW w:w="233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134" w:type="dxa"/>
            <w:tcBorders>
              <w:top w:val="nil"/>
              <w:left w:val="nil"/>
              <w:bottom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18,0</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11,6</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4,9</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43,7</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8,5</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4,6</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7,8</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38,6</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35,0</w:t>
            </w:r>
          </w:p>
        </w:tc>
        <w:tc>
          <w:tcPr>
            <w:tcW w:w="1218" w:type="dxa"/>
            <w:tcBorders>
              <w:top w:val="nil"/>
              <w:left w:val="nil"/>
              <w:bottom w:val="nil"/>
              <w:right w:val="nil"/>
            </w:tcBorders>
            <w:shd w:val="clear" w:color="auto" w:fill="auto"/>
            <w:vAlign w:val="center"/>
            <w:hideMark/>
          </w:tcPr>
          <w:p w:rsidR="009A5240" w:rsidRPr="008841FC" w:rsidRDefault="009167E8"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r>
      <w:tr w:rsidR="009A5240" w:rsidRPr="008841FC" w:rsidTr="009A5240">
        <w:trPr>
          <w:trHeight w:val="300"/>
        </w:trPr>
        <w:tc>
          <w:tcPr>
            <w:tcW w:w="234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Dovoz </w:t>
            </w:r>
          </w:p>
        </w:tc>
        <w:tc>
          <w:tcPr>
            <w:tcW w:w="233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134" w:type="dxa"/>
            <w:tcBorders>
              <w:top w:val="nil"/>
              <w:left w:val="nil"/>
              <w:bottom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0,2</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0,1</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0,7</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0,9</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26,0</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8,5</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4,5</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7,1</w:t>
            </w:r>
          </w:p>
        </w:tc>
        <w:tc>
          <w:tcPr>
            <w:tcW w:w="1218" w:type="dxa"/>
            <w:tcBorders>
              <w:top w:val="nil"/>
              <w:left w:val="nil"/>
              <w:bottom w:val="nil"/>
              <w:right w:val="nil"/>
            </w:tcBorders>
            <w:shd w:val="clear" w:color="auto" w:fill="auto"/>
            <w:vAlign w:val="center"/>
            <w:hideMark/>
          </w:tcPr>
          <w:p w:rsidR="009A5240" w:rsidRPr="008841FC" w:rsidRDefault="009167E8"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r>
      <w:tr w:rsidR="009A5240" w:rsidRPr="008841FC" w:rsidTr="009A5240">
        <w:trPr>
          <w:trHeight w:val="300"/>
        </w:trPr>
        <w:tc>
          <w:tcPr>
            <w:tcW w:w="234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Ostatné zdroje </w:t>
            </w:r>
          </w:p>
        </w:tc>
        <w:tc>
          <w:tcPr>
            <w:tcW w:w="233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134" w:type="dxa"/>
            <w:tcBorders>
              <w:top w:val="nil"/>
              <w:left w:val="nil"/>
              <w:bottom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0,0</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6,1</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4,6</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1,1</w:t>
            </w:r>
          </w:p>
        </w:tc>
        <w:tc>
          <w:tcPr>
            <w:tcW w:w="1218"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1,8</w:t>
            </w:r>
          </w:p>
        </w:tc>
      </w:tr>
      <w:tr w:rsidR="009A5240" w:rsidRPr="008841FC" w:rsidTr="009A5240">
        <w:trPr>
          <w:trHeight w:val="300"/>
        </w:trPr>
        <w:tc>
          <w:tcPr>
            <w:tcW w:w="234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 xml:space="preserve">Celková ponuka </w:t>
            </w:r>
          </w:p>
        </w:tc>
        <w:tc>
          <w:tcPr>
            <w:tcW w:w="2338" w:type="dxa"/>
            <w:tcBorders>
              <w:top w:val="nil"/>
              <w:left w:val="nil"/>
              <w:bottom w:val="single" w:sz="4" w:space="0" w:color="auto"/>
              <w:right w:val="single" w:sz="4" w:space="0" w:color="auto"/>
            </w:tcBorders>
            <w:shd w:val="clear" w:color="000000" w:fill="F2F2F2"/>
            <w:vAlign w:val="center"/>
            <w:hideMark/>
          </w:tcPr>
          <w:p w:rsidR="009A5240" w:rsidRPr="008841FC" w:rsidRDefault="009A5240" w:rsidP="009A5240">
            <w:pPr>
              <w:spacing w:after="0" w:line="240" w:lineRule="auto"/>
              <w:jc w:val="center"/>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tis. t</w:t>
            </w:r>
          </w:p>
        </w:tc>
        <w:tc>
          <w:tcPr>
            <w:tcW w:w="1134" w:type="dxa"/>
            <w:tcBorders>
              <w:top w:val="nil"/>
              <w:left w:val="nil"/>
              <w:bottom w:val="single" w:sz="4" w:space="0" w:color="auto"/>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114,7</w:t>
            </w:r>
          </w:p>
        </w:tc>
        <w:tc>
          <w:tcPr>
            <w:tcW w:w="127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80,1</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131,2</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117,8</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65,1</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63,7</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98,0</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101,4</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78,7</w:t>
            </w:r>
          </w:p>
        </w:tc>
        <w:tc>
          <w:tcPr>
            <w:tcW w:w="1218"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63,9</w:t>
            </w:r>
          </w:p>
        </w:tc>
      </w:tr>
      <w:tr w:rsidR="009A5240" w:rsidRPr="008841FC" w:rsidTr="009A5240">
        <w:trPr>
          <w:trHeight w:val="300"/>
        </w:trPr>
        <w:tc>
          <w:tcPr>
            <w:tcW w:w="234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Domáca spotreba </w:t>
            </w:r>
          </w:p>
        </w:tc>
        <w:tc>
          <w:tcPr>
            <w:tcW w:w="233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134" w:type="dxa"/>
            <w:tcBorders>
              <w:top w:val="nil"/>
              <w:left w:val="nil"/>
              <w:bottom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76,0</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75,0</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82,7</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71,4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55,9</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44,8</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49,4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54,4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56,6</w:t>
            </w:r>
          </w:p>
        </w:tc>
        <w:tc>
          <w:tcPr>
            <w:tcW w:w="1218"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w:t>
            </w:r>
            <w:r w:rsidR="009167E8">
              <w:rPr>
                <w:rFonts w:ascii="Times New Roman" w:eastAsia="Times New Roman" w:hAnsi="Times New Roman" w:cs="Times New Roman"/>
                <w:color w:val="000000"/>
                <w:sz w:val="20"/>
                <w:szCs w:val="20"/>
              </w:rPr>
              <w:t>3,4</w:t>
            </w:r>
          </w:p>
        </w:tc>
      </w:tr>
      <w:tr w:rsidR="009A5240" w:rsidRPr="008841FC" w:rsidTr="009A5240">
        <w:trPr>
          <w:trHeight w:val="300"/>
        </w:trPr>
        <w:tc>
          <w:tcPr>
            <w:tcW w:w="234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 potravinárska </w:t>
            </w:r>
          </w:p>
        </w:tc>
        <w:tc>
          <w:tcPr>
            <w:tcW w:w="233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134" w:type="dxa"/>
            <w:tcBorders>
              <w:top w:val="nil"/>
              <w:left w:val="nil"/>
              <w:bottom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48,1</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48,3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50,7</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32,4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28,9</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21,2</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22,0</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28,8</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34,6</w:t>
            </w:r>
          </w:p>
        </w:tc>
        <w:tc>
          <w:tcPr>
            <w:tcW w:w="1218" w:type="dxa"/>
            <w:tcBorders>
              <w:top w:val="nil"/>
              <w:left w:val="nil"/>
              <w:bottom w:val="nil"/>
              <w:right w:val="nil"/>
            </w:tcBorders>
            <w:shd w:val="clear" w:color="auto" w:fill="auto"/>
            <w:vAlign w:val="center"/>
            <w:hideMark/>
          </w:tcPr>
          <w:p w:rsidR="009A5240" w:rsidRPr="008841FC" w:rsidRDefault="009167E8"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28,9</w:t>
            </w:r>
          </w:p>
        </w:tc>
      </w:tr>
      <w:tr w:rsidR="009A5240" w:rsidRPr="008841FC" w:rsidTr="009A5240">
        <w:trPr>
          <w:trHeight w:val="300"/>
        </w:trPr>
        <w:tc>
          <w:tcPr>
            <w:tcW w:w="234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Vývoz </w:t>
            </w:r>
          </w:p>
        </w:tc>
        <w:tc>
          <w:tcPr>
            <w:tcW w:w="233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134" w:type="dxa"/>
            <w:tcBorders>
              <w:top w:val="nil"/>
              <w:left w:val="nil"/>
              <w:bottom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27,1</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0,2</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4,8</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37,9</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4,6</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10,8</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9,9</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11,4</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10,7</w:t>
            </w:r>
          </w:p>
        </w:tc>
        <w:tc>
          <w:tcPr>
            <w:tcW w:w="1218" w:type="dxa"/>
            <w:tcBorders>
              <w:top w:val="nil"/>
              <w:left w:val="nil"/>
              <w:bottom w:val="nil"/>
              <w:right w:val="nil"/>
            </w:tcBorders>
            <w:shd w:val="clear" w:color="auto" w:fill="auto"/>
            <w:vAlign w:val="center"/>
            <w:hideMark/>
          </w:tcPr>
          <w:p w:rsidR="009A5240" w:rsidRPr="008841FC" w:rsidRDefault="009167E8"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r>
      <w:tr w:rsidR="009A5240" w:rsidRPr="008841FC" w:rsidTr="009A5240">
        <w:trPr>
          <w:trHeight w:val="300"/>
        </w:trPr>
        <w:tc>
          <w:tcPr>
            <w:tcW w:w="234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Ostatné výdaje </w:t>
            </w:r>
          </w:p>
        </w:tc>
        <w:tc>
          <w:tcPr>
            <w:tcW w:w="2338" w:type="dxa"/>
            <w:tcBorders>
              <w:top w:val="nil"/>
              <w:left w:val="nil"/>
              <w:bottom w:val="nil"/>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134" w:type="dxa"/>
            <w:tcBorders>
              <w:top w:val="nil"/>
              <w:left w:val="nil"/>
              <w:bottom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0,0</w:t>
            </w:r>
          </w:p>
        </w:tc>
        <w:tc>
          <w:tcPr>
            <w:tcW w:w="1276"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0,0</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0,3</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0,2</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0,5</w:t>
            </w:r>
          </w:p>
        </w:tc>
        <w:tc>
          <w:tcPr>
            <w:tcW w:w="960"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0,4</w:t>
            </w:r>
          </w:p>
        </w:tc>
        <w:tc>
          <w:tcPr>
            <w:tcW w:w="1218" w:type="dxa"/>
            <w:tcBorders>
              <w:top w:val="nil"/>
              <w:left w:val="nil"/>
              <w:bottom w:val="nil"/>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0,5</w:t>
            </w:r>
          </w:p>
        </w:tc>
      </w:tr>
      <w:tr w:rsidR="009A5240" w:rsidRPr="008841FC" w:rsidTr="009A5240">
        <w:trPr>
          <w:trHeight w:val="300"/>
        </w:trPr>
        <w:tc>
          <w:tcPr>
            <w:tcW w:w="234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 xml:space="preserve">Celkové použitie </w:t>
            </w:r>
          </w:p>
        </w:tc>
        <w:tc>
          <w:tcPr>
            <w:tcW w:w="2338" w:type="dxa"/>
            <w:tcBorders>
              <w:top w:val="nil"/>
              <w:left w:val="nil"/>
              <w:bottom w:val="single" w:sz="4" w:space="0" w:color="auto"/>
              <w:right w:val="single" w:sz="4" w:space="0" w:color="auto"/>
            </w:tcBorders>
            <w:shd w:val="clear" w:color="000000" w:fill="F2F2F2"/>
            <w:vAlign w:val="center"/>
            <w:hideMark/>
          </w:tcPr>
          <w:p w:rsidR="009A5240" w:rsidRPr="008841FC" w:rsidRDefault="009A5240" w:rsidP="009A5240">
            <w:pPr>
              <w:spacing w:after="0" w:line="240" w:lineRule="auto"/>
              <w:jc w:val="center"/>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tis. t</w:t>
            </w:r>
          </w:p>
        </w:tc>
        <w:tc>
          <w:tcPr>
            <w:tcW w:w="1134" w:type="dxa"/>
            <w:tcBorders>
              <w:top w:val="nil"/>
              <w:left w:val="nil"/>
              <w:bottom w:val="single" w:sz="4" w:space="0" w:color="auto"/>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103,1</w:t>
            </w:r>
          </w:p>
        </w:tc>
        <w:tc>
          <w:tcPr>
            <w:tcW w:w="127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75,2</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87,5</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109,3</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60,5</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55,9</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59,4</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66,4</w:t>
            </w:r>
          </w:p>
        </w:tc>
        <w:tc>
          <w:tcPr>
            <w:tcW w:w="960"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67,8</w:t>
            </w:r>
          </w:p>
        </w:tc>
        <w:tc>
          <w:tcPr>
            <w:tcW w:w="1218" w:type="dxa"/>
            <w:tcBorders>
              <w:top w:val="nil"/>
              <w:left w:val="nil"/>
              <w:bottom w:val="single" w:sz="4" w:space="0" w:color="auto"/>
              <w:right w:val="nil"/>
            </w:tcBorders>
            <w:shd w:val="clear" w:color="000000" w:fill="F2F2F2"/>
            <w:vAlign w:val="center"/>
            <w:hideMark/>
          </w:tcPr>
          <w:p w:rsidR="009A5240" w:rsidRPr="008841FC" w:rsidRDefault="009167E8" w:rsidP="009A5240">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49,1</w:t>
            </w:r>
          </w:p>
        </w:tc>
      </w:tr>
      <w:tr w:rsidR="009A5240" w:rsidRPr="008841FC" w:rsidTr="009A5240">
        <w:trPr>
          <w:trHeight w:val="300"/>
        </w:trPr>
        <w:tc>
          <w:tcPr>
            <w:tcW w:w="2340" w:type="dxa"/>
            <w:tcBorders>
              <w:top w:val="nil"/>
              <w:left w:val="nil"/>
              <w:bottom w:val="single" w:sz="4" w:space="0" w:color="auto"/>
              <w:right w:val="nil"/>
            </w:tcBorders>
            <w:shd w:val="clear" w:color="auto" w:fill="auto"/>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Konečné zásoby spolu </w:t>
            </w:r>
          </w:p>
        </w:tc>
        <w:tc>
          <w:tcPr>
            <w:tcW w:w="2338" w:type="dxa"/>
            <w:tcBorders>
              <w:top w:val="nil"/>
              <w:left w:val="nil"/>
              <w:bottom w:val="single" w:sz="4" w:space="0" w:color="auto"/>
              <w:right w:val="single" w:sz="4" w:space="0" w:color="auto"/>
            </w:tcBorders>
            <w:shd w:val="clear" w:color="auto" w:fill="auto"/>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tis. t</w:t>
            </w:r>
          </w:p>
        </w:tc>
        <w:tc>
          <w:tcPr>
            <w:tcW w:w="1134" w:type="dxa"/>
            <w:tcBorders>
              <w:top w:val="nil"/>
              <w:left w:val="nil"/>
              <w:bottom w:val="single" w:sz="4" w:space="0" w:color="auto"/>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11,6</w:t>
            </w:r>
          </w:p>
        </w:tc>
        <w:tc>
          <w:tcPr>
            <w:tcW w:w="1276" w:type="dxa"/>
            <w:tcBorders>
              <w:top w:val="nil"/>
              <w:left w:val="nil"/>
              <w:bottom w:val="single" w:sz="4" w:space="0" w:color="auto"/>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4,9</w:t>
            </w:r>
          </w:p>
        </w:tc>
        <w:tc>
          <w:tcPr>
            <w:tcW w:w="960" w:type="dxa"/>
            <w:tcBorders>
              <w:top w:val="nil"/>
              <w:left w:val="nil"/>
              <w:bottom w:val="single" w:sz="4" w:space="0" w:color="auto"/>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43,7</w:t>
            </w:r>
          </w:p>
        </w:tc>
        <w:tc>
          <w:tcPr>
            <w:tcW w:w="960" w:type="dxa"/>
            <w:tcBorders>
              <w:top w:val="nil"/>
              <w:left w:val="nil"/>
              <w:bottom w:val="single" w:sz="4" w:space="0" w:color="auto"/>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8,5</w:t>
            </w:r>
          </w:p>
        </w:tc>
        <w:tc>
          <w:tcPr>
            <w:tcW w:w="960" w:type="dxa"/>
            <w:tcBorders>
              <w:top w:val="nil"/>
              <w:left w:val="nil"/>
              <w:bottom w:val="single" w:sz="4" w:space="0" w:color="auto"/>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4,6</w:t>
            </w:r>
          </w:p>
        </w:tc>
        <w:tc>
          <w:tcPr>
            <w:tcW w:w="960" w:type="dxa"/>
            <w:tcBorders>
              <w:top w:val="nil"/>
              <w:left w:val="nil"/>
              <w:bottom w:val="single" w:sz="4" w:space="0" w:color="auto"/>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7,8</w:t>
            </w:r>
          </w:p>
        </w:tc>
        <w:tc>
          <w:tcPr>
            <w:tcW w:w="960" w:type="dxa"/>
            <w:tcBorders>
              <w:top w:val="nil"/>
              <w:left w:val="nil"/>
              <w:bottom w:val="single" w:sz="4" w:space="0" w:color="auto"/>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38,6</w:t>
            </w:r>
          </w:p>
        </w:tc>
        <w:tc>
          <w:tcPr>
            <w:tcW w:w="960" w:type="dxa"/>
            <w:tcBorders>
              <w:top w:val="nil"/>
              <w:left w:val="nil"/>
              <w:bottom w:val="single" w:sz="4" w:space="0" w:color="auto"/>
              <w:right w:val="nil"/>
            </w:tcBorders>
            <w:shd w:val="clear" w:color="auto" w:fill="auto"/>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35,0</w:t>
            </w:r>
          </w:p>
        </w:tc>
        <w:tc>
          <w:tcPr>
            <w:tcW w:w="960" w:type="dxa"/>
            <w:tcBorders>
              <w:top w:val="nil"/>
              <w:left w:val="nil"/>
              <w:bottom w:val="single" w:sz="4" w:space="0" w:color="auto"/>
              <w:right w:val="nil"/>
            </w:tcBorders>
            <w:shd w:val="clear" w:color="auto" w:fill="auto"/>
            <w:vAlign w:val="center"/>
            <w:hideMark/>
          </w:tcPr>
          <w:p w:rsidR="009A5240" w:rsidRPr="008841FC" w:rsidRDefault="009167E8"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218" w:type="dxa"/>
            <w:tcBorders>
              <w:top w:val="nil"/>
              <w:left w:val="nil"/>
              <w:bottom w:val="single" w:sz="4" w:space="0" w:color="auto"/>
              <w:right w:val="nil"/>
            </w:tcBorders>
            <w:shd w:val="clear" w:color="auto" w:fill="auto"/>
            <w:vAlign w:val="center"/>
            <w:hideMark/>
          </w:tcPr>
          <w:p w:rsidR="009A5240" w:rsidRPr="008841FC" w:rsidRDefault="009167E8"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r>
    </w:tbl>
    <w:p w:rsidR="009A5240" w:rsidRDefault="009A5240" w:rsidP="009A5240">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Zdroj: VÚEPP</w:t>
      </w:r>
    </w:p>
    <w:p w:rsidR="009A5240" w:rsidRDefault="009A5240" w:rsidP="008475C4">
      <w:pPr>
        <w:ind w:right="-457"/>
        <w:rPr>
          <w:rFonts w:ascii="Times New Roman" w:hAnsi="Times New Roman" w:cs="Times New Roman"/>
          <w:sz w:val="20"/>
          <w:szCs w:val="20"/>
        </w:rPr>
      </w:pPr>
    </w:p>
    <w:p w:rsidR="009A5240" w:rsidRPr="008841FC" w:rsidRDefault="00D86A54" w:rsidP="008475C4">
      <w:pPr>
        <w:spacing w:after="0" w:line="240" w:lineRule="auto"/>
        <w:ind w:left="-567"/>
        <w:rPr>
          <w:rFonts w:ascii="Times New Roman" w:hAnsi="Times New Roman" w:cs="Times New Roman"/>
          <w:b/>
          <w:sz w:val="24"/>
          <w:szCs w:val="24"/>
        </w:rPr>
      </w:pPr>
      <w:r>
        <w:rPr>
          <w:rFonts w:ascii="Times New Roman" w:hAnsi="Times New Roman" w:cs="Times New Roman"/>
          <w:b/>
          <w:sz w:val="20"/>
          <w:szCs w:val="20"/>
        </w:rPr>
        <w:t>Príloha č. 14</w:t>
      </w:r>
      <w:r w:rsidR="009A5240" w:rsidRPr="008475C4">
        <w:rPr>
          <w:rFonts w:ascii="Times New Roman" w:hAnsi="Times New Roman" w:cs="Times New Roman"/>
          <w:b/>
          <w:sz w:val="20"/>
          <w:szCs w:val="20"/>
        </w:rPr>
        <w:t>: Bilancia rastlinných jedlých tukov a olejov v rámci potravinovej vertikály</w:t>
      </w:r>
    </w:p>
    <w:tbl>
      <w:tblPr>
        <w:tblW w:w="14984" w:type="dxa"/>
        <w:tblInd w:w="-497" w:type="dxa"/>
        <w:tblCellMar>
          <w:left w:w="70" w:type="dxa"/>
          <w:right w:w="70" w:type="dxa"/>
        </w:tblCellMar>
        <w:tblLook w:val="04A0" w:firstRow="1" w:lastRow="0" w:firstColumn="1" w:lastColumn="0" w:noHBand="0" w:noVBand="1"/>
      </w:tblPr>
      <w:tblGrid>
        <w:gridCol w:w="2709"/>
        <w:gridCol w:w="1417"/>
        <w:gridCol w:w="1134"/>
        <w:gridCol w:w="1276"/>
        <w:gridCol w:w="960"/>
        <w:gridCol w:w="960"/>
        <w:gridCol w:w="960"/>
        <w:gridCol w:w="1074"/>
        <w:gridCol w:w="1106"/>
        <w:gridCol w:w="960"/>
        <w:gridCol w:w="1152"/>
        <w:gridCol w:w="1276"/>
      </w:tblGrid>
      <w:tr w:rsidR="009A5240" w:rsidRPr="008841FC" w:rsidTr="00D86A54">
        <w:trPr>
          <w:trHeight w:val="300"/>
        </w:trPr>
        <w:tc>
          <w:tcPr>
            <w:tcW w:w="2709" w:type="dxa"/>
            <w:tcBorders>
              <w:top w:val="single" w:sz="4" w:space="0" w:color="auto"/>
              <w:left w:val="nil"/>
              <w:bottom w:val="single" w:sz="4" w:space="0" w:color="auto"/>
              <w:right w:val="nil"/>
            </w:tcBorders>
            <w:shd w:val="clear" w:color="000000" w:fill="D9D9D9"/>
            <w:noWrap/>
            <w:vAlign w:val="center"/>
            <w:hideMark/>
          </w:tcPr>
          <w:p w:rsidR="009A5240" w:rsidRPr="008841FC" w:rsidRDefault="009A5240" w:rsidP="009A5240">
            <w:pPr>
              <w:spacing w:after="0" w:line="240" w:lineRule="auto"/>
              <w:jc w:val="center"/>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9A5240" w:rsidRPr="008841FC" w:rsidRDefault="009A5240" w:rsidP="009A5240">
            <w:pPr>
              <w:spacing w:after="0" w:line="240" w:lineRule="auto"/>
              <w:jc w:val="center"/>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 </w:t>
            </w:r>
          </w:p>
        </w:tc>
        <w:tc>
          <w:tcPr>
            <w:tcW w:w="1134" w:type="dxa"/>
            <w:tcBorders>
              <w:top w:val="single" w:sz="4" w:space="0" w:color="auto"/>
              <w:left w:val="nil"/>
              <w:bottom w:val="single" w:sz="4" w:space="0" w:color="auto"/>
            </w:tcBorders>
            <w:shd w:val="clear" w:color="000000" w:fill="D9D9D9"/>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2002</w:t>
            </w:r>
          </w:p>
        </w:tc>
        <w:tc>
          <w:tcPr>
            <w:tcW w:w="1276" w:type="dxa"/>
            <w:tcBorders>
              <w:top w:val="single" w:sz="4" w:space="0" w:color="auto"/>
              <w:left w:val="nil"/>
              <w:bottom w:val="single" w:sz="4" w:space="0" w:color="auto"/>
              <w:right w:val="nil"/>
            </w:tcBorders>
            <w:shd w:val="clear" w:color="000000" w:fill="D9D9D9"/>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2003</w:t>
            </w:r>
          </w:p>
        </w:tc>
        <w:tc>
          <w:tcPr>
            <w:tcW w:w="960" w:type="dxa"/>
            <w:tcBorders>
              <w:top w:val="single" w:sz="4" w:space="0" w:color="auto"/>
              <w:left w:val="nil"/>
              <w:bottom w:val="single" w:sz="4" w:space="0" w:color="auto"/>
              <w:right w:val="nil"/>
            </w:tcBorders>
            <w:shd w:val="clear" w:color="000000" w:fill="D9D9D9"/>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2004</w:t>
            </w:r>
          </w:p>
        </w:tc>
        <w:tc>
          <w:tcPr>
            <w:tcW w:w="960" w:type="dxa"/>
            <w:tcBorders>
              <w:top w:val="single" w:sz="4" w:space="0" w:color="auto"/>
              <w:left w:val="nil"/>
              <w:bottom w:val="single" w:sz="4" w:space="0" w:color="auto"/>
              <w:right w:val="nil"/>
            </w:tcBorders>
            <w:shd w:val="clear" w:color="000000" w:fill="D9D9D9"/>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2005</w:t>
            </w:r>
          </w:p>
        </w:tc>
        <w:tc>
          <w:tcPr>
            <w:tcW w:w="960" w:type="dxa"/>
            <w:tcBorders>
              <w:top w:val="single" w:sz="4" w:space="0" w:color="auto"/>
              <w:left w:val="nil"/>
              <w:bottom w:val="single" w:sz="4" w:space="0" w:color="auto"/>
              <w:right w:val="nil"/>
            </w:tcBorders>
            <w:shd w:val="clear" w:color="000000" w:fill="D9D9D9"/>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2006</w:t>
            </w:r>
          </w:p>
        </w:tc>
        <w:tc>
          <w:tcPr>
            <w:tcW w:w="1074" w:type="dxa"/>
            <w:tcBorders>
              <w:top w:val="single" w:sz="4" w:space="0" w:color="auto"/>
              <w:left w:val="nil"/>
              <w:bottom w:val="single" w:sz="4" w:space="0" w:color="auto"/>
              <w:right w:val="nil"/>
            </w:tcBorders>
            <w:shd w:val="clear" w:color="000000" w:fill="D9D9D9"/>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2007</w:t>
            </w:r>
          </w:p>
        </w:tc>
        <w:tc>
          <w:tcPr>
            <w:tcW w:w="1106"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2008</w:t>
            </w:r>
          </w:p>
        </w:tc>
        <w:tc>
          <w:tcPr>
            <w:tcW w:w="960" w:type="dxa"/>
            <w:tcBorders>
              <w:top w:val="single" w:sz="4" w:space="0" w:color="auto"/>
              <w:left w:val="nil"/>
              <w:bottom w:val="single" w:sz="4" w:space="0" w:color="auto"/>
              <w:right w:val="nil"/>
            </w:tcBorders>
            <w:shd w:val="clear" w:color="000000" w:fill="D9D9D9"/>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2009</w:t>
            </w:r>
          </w:p>
        </w:tc>
        <w:tc>
          <w:tcPr>
            <w:tcW w:w="1152"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2010</w:t>
            </w:r>
          </w:p>
        </w:tc>
        <w:tc>
          <w:tcPr>
            <w:tcW w:w="1276" w:type="dxa"/>
            <w:tcBorders>
              <w:top w:val="single" w:sz="4" w:space="0" w:color="auto"/>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2011</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Zberová plocha repky</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ha</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123 722</w:t>
            </w:r>
          </w:p>
        </w:tc>
        <w:tc>
          <w:tcPr>
            <w:tcW w:w="1276"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52 180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91 496</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106 204</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122 511</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153 830</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162 871</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166 476</w:t>
            </w:r>
          </w:p>
        </w:tc>
        <w:tc>
          <w:tcPr>
            <w:tcW w:w="1152"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163 989</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143 676</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Zberová plocha slnečnice</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ha</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62 347</w:t>
            </w:r>
          </w:p>
        </w:tc>
        <w:tc>
          <w:tcPr>
            <w:tcW w:w="1276"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131 033</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90 031</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91 146</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108 816</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64 746</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74 934</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82 944</w:t>
            </w:r>
          </w:p>
        </w:tc>
        <w:tc>
          <w:tcPr>
            <w:tcW w:w="1152"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82 866</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88 694</w:t>
            </w:r>
          </w:p>
        </w:tc>
      </w:tr>
      <w:tr w:rsidR="009A5240" w:rsidRPr="008841FC" w:rsidTr="009A5240">
        <w:trPr>
          <w:trHeight w:val="300"/>
        </w:trPr>
        <w:tc>
          <w:tcPr>
            <w:tcW w:w="2709"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Zberová plocha spolu</w:t>
            </w:r>
          </w:p>
        </w:tc>
        <w:tc>
          <w:tcPr>
            <w:tcW w:w="1417" w:type="dxa"/>
            <w:tcBorders>
              <w:top w:val="nil"/>
              <w:left w:val="nil"/>
              <w:bottom w:val="single" w:sz="4" w:space="0" w:color="auto"/>
              <w:right w:val="single" w:sz="4" w:space="0" w:color="auto"/>
            </w:tcBorders>
            <w:shd w:val="clear" w:color="000000" w:fill="F2F2F2"/>
            <w:noWrap/>
            <w:vAlign w:val="center"/>
            <w:hideMark/>
          </w:tcPr>
          <w:p w:rsidR="009A5240" w:rsidRPr="008841FC" w:rsidRDefault="009A5240" w:rsidP="009A5240">
            <w:pPr>
              <w:spacing w:after="0" w:line="240" w:lineRule="auto"/>
              <w:jc w:val="center"/>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ha</w:t>
            </w:r>
          </w:p>
        </w:tc>
        <w:tc>
          <w:tcPr>
            <w:tcW w:w="1134" w:type="dxa"/>
            <w:tcBorders>
              <w:top w:val="nil"/>
              <w:left w:val="nil"/>
              <w:bottom w:val="single" w:sz="4" w:space="0" w:color="auto"/>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186 069</w:t>
            </w:r>
          </w:p>
        </w:tc>
        <w:tc>
          <w:tcPr>
            <w:tcW w:w="1276"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183 213</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181 527</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197 350</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231 327</w:t>
            </w:r>
          </w:p>
        </w:tc>
        <w:tc>
          <w:tcPr>
            <w:tcW w:w="1074"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218 576</w:t>
            </w:r>
          </w:p>
        </w:tc>
        <w:tc>
          <w:tcPr>
            <w:tcW w:w="110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237 805</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249 420</w:t>
            </w:r>
          </w:p>
        </w:tc>
        <w:tc>
          <w:tcPr>
            <w:tcW w:w="1152"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246 855</w:t>
            </w:r>
          </w:p>
        </w:tc>
        <w:tc>
          <w:tcPr>
            <w:tcW w:w="127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232 370</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Hektárová úroda repky</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t/ha</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2,08</w:t>
            </w:r>
          </w:p>
        </w:tc>
        <w:tc>
          <w:tcPr>
            <w:tcW w:w="1276"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1,01</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2,87</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2,21</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2,12</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2,09</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2,61</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2,32</w:t>
            </w:r>
          </w:p>
        </w:tc>
        <w:tc>
          <w:tcPr>
            <w:tcW w:w="1152"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1,97</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2,33</w:t>
            </w:r>
          </w:p>
        </w:tc>
      </w:tr>
      <w:tr w:rsidR="009A5240" w:rsidRPr="008841FC" w:rsidTr="009A5240">
        <w:trPr>
          <w:trHeight w:val="300"/>
        </w:trPr>
        <w:tc>
          <w:tcPr>
            <w:tcW w:w="2709" w:type="dxa"/>
            <w:tcBorders>
              <w:top w:val="nil"/>
              <w:left w:val="nil"/>
              <w:bottom w:val="single" w:sz="4" w:space="0" w:color="auto"/>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Hektárová úroda slnečnice</w:t>
            </w:r>
          </w:p>
        </w:tc>
        <w:tc>
          <w:tcPr>
            <w:tcW w:w="1417" w:type="dxa"/>
            <w:tcBorders>
              <w:top w:val="nil"/>
              <w:left w:val="nil"/>
              <w:bottom w:val="single" w:sz="4" w:space="0" w:color="auto"/>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t/ha</w:t>
            </w:r>
          </w:p>
        </w:tc>
        <w:tc>
          <w:tcPr>
            <w:tcW w:w="1134" w:type="dxa"/>
            <w:tcBorders>
              <w:top w:val="nil"/>
              <w:left w:val="nil"/>
              <w:bottom w:val="single" w:sz="4" w:space="0" w:color="auto"/>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1,87</w:t>
            </w:r>
          </w:p>
        </w:tc>
        <w:tc>
          <w:tcPr>
            <w:tcW w:w="1276" w:type="dxa"/>
            <w:tcBorders>
              <w:top w:val="nil"/>
              <w:left w:val="nil"/>
              <w:bottom w:val="single" w:sz="4" w:space="0" w:color="auto"/>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1,93</w:t>
            </w:r>
          </w:p>
        </w:tc>
        <w:tc>
          <w:tcPr>
            <w:tcW w:w="960" w:type="dxa"/>
            <w:tcBorders>
              <w:top w:val="nil"/>
              <w:left w:val="nil"/>
              <w:bottom w:val="single" w:sz="4" w:space="0" w:color="auto"/>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2,18</w:t>
            </w:r>
          </w:p>
        </w:tc>
        <w:tc>
          <w:tcPr>
            <w:tcW w:w="960" w:type="dxa"/>
            <w:tcBorders>
              <w:top w:val="nil"/>
              <w:left w:val="nil"/>
              <w:bottom w:val="single" w:sz="4" w:space="0" w:color="auto"/>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2,14</w:t>
            </w:r>
          </w:p>
        </w:tc>
        <w:tc>
          <w:tcPr>
            <w:tcW w:w="960" w:type="dxa"/>
            <w:tcBorders>
              <w:top w:val="nil"/>
              <w:left w:val="nil"/>
              <w:bottom w:val="single" w:sz="4" w:space="0" w:color="auto"/>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2,10</w:t>
            </w:r>
          </w:p>
        </w:tc>
        <w:tc>
          <w:tcPr>
            <w:tcW w:w="1074" w:type="dxa"/>
            <w:tcBorders>
              <w:top w:val="nil"/>
              <w:left w:val="nil"/>
              <w:bottom w:val="single" w:sz="4" w:space="0" w:color="auto"/>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2,05</w:t>
            </w:r>
          </w:p>
        </w:tc>
        <w:tc>
          <w:tcPr>
            <w:tcW w:w="1106" w:type="dxa"/>
            <w:tcBorders>
              <w:top w:val="nil"/>
              <w:left w:val="nil"/>
              <w:bottom w:val="single" w:sz="4" w:space="0" w:color="auto"/>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2,57</w:t>
            </w:r>
          </w:p>
        </w:tc>
        <w:tc>
          <w:tcPr>
            <w:tcW w:w="960" w:type="dxa"/>
            <w:tcBorders>
              <w:top w:val="nil"/>
              <w:left w:val="nil"/>
              <w:bottom w:val="single" w:sz="4" w:space="0" w:color="auto"/>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2,26</w:t>
            </w:r>
          </w:p>
        </w:tc>
        <w:tc>
          <w:tcPr>
            <w:tcW w:w="1152" w:type="dxa"/>
            <w:tcBorders>
              <w:top w:val="nil"/>
              <w:left w:val="nil"/>
              <w:bottom w:val="single" w:sz="4" w:space="0" w:color="auto"/>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1,81</w:t>
            </w:r>
          </w:p>
        </w:tc>
        <w:tc>
          <w:tcPr>
            <w:tcW w:w="1276" w:type="dxa"/>
            <w:tcBorders>
              <w:top w:val="nil"/>
              <w:left w:val="nil"/>
              <w:bottom w:val="single" w:sz="4" w:space="0" w:color="auto"/>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2,27</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Produkcia repky</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257 307</w:t>
            </w:r>
          </w:p>
        </w:tc>
        <w:tc>
          <w:tcPr>
            <w:tcW w:w="1276"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52 962</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262 660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235 066</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259 650</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321 100</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424 444</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386 691</w:t>
            </w:r>
          </w:p>
        </w:tc>
        <w:tc>
          <w:tcPr>
            <w:tcW w:w="1152"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322 452</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332 155</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vývoz</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82 976</w:t>
            </w:r>
          </w:p>
        </w:tc>
        <w:tc>
          <w:tcPr>
            <w:tcW w:w="1276"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3 299</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85 410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87 009</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122 540</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140 036</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190 409</w:t>
            </w:r>
          </w:p>
        </w:tc>
        <w:tc>
          <w:tcPr>
            <w:tcW w:w="960" w:type="dxa"/>
            <w:tcBorders>
              <w:top w:val="nil"/>
              <w:left w:val="nil"/>
              <w:bottom w:val="nil"/>
              <w:right w:val="nil"/>
            </w:tcBorders>
            <w:shd w:val="clear" w:color="000000" w:fill="FFFFFF"/>
            <w:noWrap/>
            <w:vAlign w:val="center"/>
            <w:hideMark/>
          </w:tcPr>
          <w:p w:rsidR="009A5240" w:rsidRPr="008841FC" w:rsidRDefault="009167E8"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185 284</w:t>
            </w:r>
          </w:p>
        </w:tc>
        <w:tc>
          <w:tcPr>
            <w:tcW w:w="1152"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177 657</w:t>
            </w:r>
          </w:p>
        </w:tc>
        <w:tc>
          <w:tcPr>
            <w:tcW w:w="1276" w:type="dxa"/>
            <w:tcBorders>
              <w:top w:val="nil"/>
              <w:left w:val="nil"/>
              <w:bottom w:val="nil"/>
              <w:right w:val="nil"/>
            </w:tcBorders>
            <w:shd w:val="clear" w:color="000000" w:fill="FFFFFF"/>
            <w:vAlign w:val="center"/>
            <w:hideMark/>
          </w:tcPr>
          <w:p w:rsidR="009A5240" w:rsidRPr="008841FC" w:rsidRDefault="009167E8"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009A5240" w:rsidRPr="008841FC">
              <w:rPr>
                <w:rFonts w:ascii="Times New Roman" w:eastAsia="Times New Roman" w:hAnsi="Times New Roman" w:cs="Times New Roman"/>
                <w:color w:val="000000"/>
                <w:sz w:val="20"/>
                <w:szCs w:val="20"/>
              </w:rPr>
              <w:t>6 869</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dovoz</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165</w:t>
            </w:r>
          </w:p>
        </w:tc>
        <w:tc>
          <w:tcPr>
            <w:tcW w:w="1276"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11 173</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803</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3 309</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5 714</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5 842</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14 403</w:t>
            </w:r>
          </w:p>
        </w:tc>
        <w:tc>
          <w:tcPr>
            <w:tcW w:w="960" w:type="dxa"/>
            <w:tcBorders>
              <w:top w:val="nil"/>
              <w:left w:val="nil"/>
              <w:bottom w:val="nil"/>
              <w:right w:val="nil"/>
            </w:tcBorders>
            <w:shd w:val="clear" w:color="000000" w:fill="FFFFFF"/>
            <w:noWrap/>
            <w:vAlign w:val="center"/>
            <w:hideMark/>
          </w:tcPr>
          <w:p w:rsidR="009A5240" w:rsidRPr="008841FC" w:rsidRDefault="009167E8"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58 593</w:t>
            </w:r>
          </w:p>
        </w:tc>
        <w:tc>
          <w:tcPr>
            <w:tcW w:w="1152"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95 857</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164 714</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Produkcia slnečnice</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116 876</w:t>
            </w:r>
          </w:p>
        </w:tc>
        <w:tc>
          <w:tcPr>
            <w:tcW w:w="1276"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252 708</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196 351</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195 310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228 606</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132 656</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192 346</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187 238</w:t>
            </w:r>
          </w:p>
        </w:tc>
        <w:tc>
          <w:tcPr>
            <w:tcW w:w="1152"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150 326</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200 990</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vývoz</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64 507</w:t>
            </w:r>
          </w:p>
        </w:tc>
        <w:tc>
          <w:tcPr>
            <w:tcW w:w="1276"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92 408</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146 386</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119 867</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107 232</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97 678</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118 401</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133 521</w:t>
            </w:r>
          </w:p>
        </w:tc>
        <w:tc>
          <w:tcPr>
            <w:tcW w:w="1152"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125 737</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213 320</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dovoz</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769</w:t>
            </w:r>
          </w:p>
        </w:tc>
        <w:tc>
          <w:tcPr>
            <w:tcW w:w="1276"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736</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5 880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2 713</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2 892</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2 728</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6 055</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10 539</w:t>
            </w:r>
          </w:p>
        </w:tc>
        <w:tc>
          <w:tcPr>
            <w:tcW w:w="1152"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32 411</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37 330</w:t>
            </w:r>
          </w:p>
        </w:tc>
      </w:tr>
      <w:tr w:rsidR="009A5240" w:rsidRPr="008841FC" w:rsidTr="009A5240">
        <w:trPr>
          <w:trHeight w:val="300"/>
        </w:trPr>
        <w:tc>
          <w:tcPr>
            <w:tcW w:w="2709"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Hrubá domáca produkcia prvovýroby celkom</w:t>
            </w:r>
          </w:p>
        </w:tc>
        <w:tc>
          <w:tcPr>
            <w:tcW w:w="1417" w:type="dxa"/>
            <w:tcBorders>
              <w:top w:val="nil"/>
              <w:left w:val="nil"/>
              <w:bottom w:val="single" w:sz="4" w:space="0" w:color="auto"/>
              <w:right w:val="single" w:sz="4" w:space="0" w:color="auto"/>
            </w:tcBorders>
            <w:shd w:val="clear" w:color="000000" w:fill="F2F2F2"/>
            <w:noWrap/>
            <w:vAlign w:val="center"/>
            <w:hideMark/>
          </w:tcPr>
          <w:p w:rsidR="009A5240" w:rsidRPr="008841FC" w:rsidRDefault="009A5240" w:rsidP="009A5240">
            <w:pPr>
              <w:spacing w:after="0" w:line="240" w:lineRule="auto"/>
              <w:jc w:val="center"/>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t</w:t>
            </w:r>
          </w:p>
        </w:tc>
        <w:tc>
          <w:tcPr>
            <w:tcW w:w="1134" w:type="dxa"/>
            <w:tcBorders>
              <w:top w:val="nil"/>
              <w:left w:val="nil"/>
              <w:bottom w:val="single" w:sz="4" w:space="0" w:color="auto"/>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374 183</w:t>
            </w:r>
          </w:p>
        </w:tc>
        <w:tc>
          <w:tcPr>
            <w:tcW w:w="1276"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305 670</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459 011</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430 376</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488 256</w:t>
            </w:r>
          </w:p>
        </w:tc>
        <w:tc>
          <w:tcPr>
            <w:tcW w:w="1074"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453 756</w:t>
            </w:r>
          </w:p>
        </w:tc>
        <w:tc>
          <w:tcPr>
            <w:tcW w:w="110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616 790</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573 929</w:t>
            </w:r>
          </w:p>
        </w:tc>
        <w:tc>
          <w:tcPr>
            <w:tcW w:w="1152"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472 778</w:t>
            </w:r>
          </w:p>
        </w:tc>
        <w:tc>
          <w:tcPr>
            <w:tcW w:w="127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533 145</w:t>
            </w:r>
          </w:p>
        </w:tc>
      </w:tr>
      <w:tr w:rsidR="009A5240" w:rsidRPr="008841FC" w:rsidTr="009A5240">
        <w:trPr>
          <w:trHeight w:val="300"/>
        </w:trPr>
        <w:tc>
          <w:tcPr>
            <w:tcW w:w="2709"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vývoz prvovýroby celkom</w:t>
            </w:r>
          </w:p>
        </w:tc>
        <w:tc>
          <w:tcPr>
            <w:tcW w:w="1417" w:type="dxa"/>
            <w:tcBorders>
              <w:top w:val="nil"/>
              <w:left w:val="nil"/>
              <w:bottom w:val="single" w:sz="4" w:space="0" w:color="auto"/>
              <w:right w:val="single" w:sz="4" w:space="0" w:color="auto"/>
            </w:tcBorders>
            <w:shd w:val="clear" w:color="000000" w:fill="F2F2F2"/>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single" w:sz="4" w:space="0" w:color="auto"/>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147 483</w:t>
            </w:r>
          </w:p>
        </w:tc>
        <w:tc>
          <w:tcPr>
            <w:tcW w:w="1276"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95 707</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231 796</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206 876</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229 772</w:t>
            </w:r>
          </w:p>
        </w:tc>
        <w:tc>
          <w:tcPr>
            <w:tcW w:w="1074"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237 714</w:t>
            </w:r>
          </w:p>
        </w:tc>
        <w:tc>
          <w:tcPr>
            <w:tcW w:w="110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308 810</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167E8"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318 805</w:t>
            </w:r>
          </w:p>
        </w:tc>
        <w:tc>
          <w:tcPr>
            <w:tcW w:w="1152"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303 394</w:t>
            </w:r>
          </w:p>
        </w:tc>
        <w:tc>
          <w:tcPr>
            <w:tcW w:w="1276" w:type="dxa"/>
            <w:tcBorders>
              <w:top w:val="nil"/>
              <w:left w:val="nil"/>
              <w:bottom w:val="single" w:sz="4" w:space="0" w:color="auto"/>
              <w:right w:val="nil"/>
            </w:tcBorders>
            <w:shd w:val="clear" w:color="000000" w:fill="F2F2F2"/>
            <w:vAlign w:val="center"/>
            <w:hideMark/>
          </w:tcPr>
          <w:p w:rsidR="009A5240" w:rsidRPr="008841FC" w:rsidRDefault="009167E8"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w:t>
            </w:r>
            <w:r w:rsidR="009A5240" w:rsidRPr="008841FC">
              <w:rPr>
                <w:rFonts w:ascii="Times New Roman" w:eastAsia="Times New Roman" w:hAnsi="Times New Roman" w:cs="Times New Roman"/>
                <w:color w:val="000000"/>
                <w:sz w:val="20"/>
                <w:szCs w:val="20"/>
              </w:rPr>
              <w:t xml:space="preserve"> 189</w:t>
            </w:r>
          </w:p>
        </w:tc>
      </w:tr>
      <w:tr w:rsidR="009A5240" w:rsidRPr="008841FC" w:rsidTr="009A5240">
        <w:trPr>
          <w:trHeight w:val="300"/>
        </w:trPr>
        <w:tc>
          <w:tcPr>
            <w:tcW w:w="2709"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dovoz prvovýroby celkom</w:t>
            </w:r>
          </w:p>
        </w:tc>
        <w:tc>
          <w:tcPr>
            <w:tcW w:w="1417" w:type="dxa"/>
            <w:tcBorders>
              <w:top w:val="nil"/>
              <w:left w:val="nil"/>
              <w:bottom w:val="single" w:sz="4" w:space="0" w:color="auto"/>
              <w:right w:val="single" w:sz="4" w:space="0" w:color="auto"/>
            </w:tcBorders>
            <w:shd w:val="clear" w:color="000000" w:fill="F2F2F2"/>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single" w:sz="4" w:space="0" w:color="auto"/>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934</w:t>
            </w:r>
          </w:p>
        </w:tc>
        <w:tc>
          <w:tcPr>
            <w:tcW w:w="1276"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11 909</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6 683</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6 022</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8 606</w:t>
            </w:r>
          </w:p>
        </w:tc>
        <w:tc>
          <w:tcPr>
            <w:tcW w:w="1074"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8 570</w:t>
            </w:r>
          </w:p>
        </w:tc>
        <w:tc>
          <w:tcPr>
            <w:tcW w:w="110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20 458</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167E8"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69 132</w:t>
            </w:r>
          </w:p>
        </w:tc>
        <w:tc>
          <w:tcPr>
            <w:tcW w:w="1152"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128 268</w:t>
            </w:r>
          </w:p>
        </w:tc>
        <w:tc>
          <w:tcPr>
            <w:tcW w:w="127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202 044</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Domáca spotreba repky</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174 496</w:t>
            </w:r>
          </w:p>
        </w:tc>
        <w:tc>
          <w:tcPr>
            <w:tcW w:w="1276"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61 026</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178 000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151 419</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142 159</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186 906</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248 438</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260 000</w:t>
            </w:r>
          </w:p>
        </w:tc>
        <w:tc>
          <w:tcPr>
            <w:tcW w:w="1152"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240 652</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210 000</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potravinárska</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163 000</w:t>
            </w:r>
          </w:p>
        </w:tc>
        <w:tc>
          <w:tcPr>
            <w:tcW w:w="1276"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61 026</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101 000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74 419</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46 443</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53 000</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95 166</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80 000</w:t>
            </w:r>
          </w:p>
        </w:tc>
        <w:tc>
          <w:tcPr>
            <w:tcW w:w="1152"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70 000</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30 000</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MERO</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11 496</w:t>
            </w:r>
          </w:p>
        </w:tc>
        <w:tc>
          <w:tcPr>
            <w:tcW w:w="1276"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77 000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77 000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95 716</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133 906</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153 272</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180 000</w:t>
            </w:r>
          </w:p>
        </w:tc>
        <w:tc>
          <w:tcPr>
            <w:tcW w:w="1152"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170 652</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180 000</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Domáca spotreba slnečnice*</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53 138</w:t>
            </w:r>
          </w:p>
        </w:tc>
        <w:tc>
          <w:tcPr>
            <w:tcW w:w="1276"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161 000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56 000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71 475</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102 701</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65 000</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80 000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64 256</w:t>
            </w:r>
          </w:p>
        </w:tc>
        <w:tc>
          <w:tcPr>
            <w:tcW w:w="1152"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57 000</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25 000</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 potravinárska </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52 700</w:t>
            </w:r>
          </w:p>
        </w:tc>
        <w:tc>
          <w:tcPr>
            <w:tcW w:w="1276"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161 000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53 000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71 475</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102 701</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65 000</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80 000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64 256</w:t>
            </w:r>
          </w:p>
        </w:tc>
        <w:tc>
          <w:tcPr>
            <w:tcW w:w="1152"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57 000</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25 000</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MERO</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438</w:t>
            </w:r>
          </w:p>
        </w:tc>
        <w:tc>
          <w:tcPr>
            <w:tcW w:w="1276"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3 000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w:t>
            </w:r>
          </w:p>
        </w:tc>
        <w:tc>
          <w:tcPr>
            <w:tcW w:w="1152"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w:t>
            </w:r>
          </w:p>
        </w:tc>
      </w:tr>
      <w:tr w:rsidR="009A5240" w:rsidRPr="008841FC" w:rsidTr="009A5240">
        <w:trPr>
          <w:trHeight w:val="300"/>
        </w:trPr>
        <w:tc>
          <w:tcPr>
            <w:tcW w:w="2709"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Domáca spotreba celkom</w:t>
            </w:r>
          </w:p>
        </w:tc>
        <w:tc>
          <w:tcPr>
            <w:tcW w:w="1417" w:type="dxa"/>
            <w:tcBorders>
              <w:top w:val="nil"/>
              <w:left w:val="nil"/>
              <w:bottom w:val="single" w:sz="4" w:space="0" w:color="auto"/>
              <w:right w:val="single" w:sz="4" w:space="0" w:color="auto"/>
            </w:tcBorders>
            <w:shd w:val="clear" w:color="000000" w:fill="F2F2F2"/>
            <w:noWrap/>
            <w:vAlign w:val="center"/>
            <w:hideMark/>
          </w:tcPr>
          <w:p w:rsidR="009A5240" w:rsidRPr="008841FC" w:rsidRDefault="009A5240" w:rsidP="009A5240">
            <w:pPr>
              <w:spacing w:after="0" w:line="240" w:lineRule="auto"/>
              <w:jc w:val="center"/>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t</w:t>
            </w:r>
          </w:p>
        </w:tc>
        <w:tc>
          <w:tcPr>
            <w:tcW w:w="1134" w:type="dxa"/>
            <w:tcBorders>
              <w:top w:val="nil"/>
              <w:left w:val="nil"/>
              <w:bottom w:val="single" w:sz="4" w:space="0" w:color="auto"/>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227 634</w:t>
            </w:r>
          </w:p>
        </w:tc>
        <w:tc>
          <w:tcPr>
            <w:tcW w:w="1276"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222 026</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234 000</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222 894</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244 860</w:t>
            </w:r>
          </w:p>
        </w:tc>
        <w:tc>
          <w:tcPr>
            <w:tcW w:w="1074"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251 906</w:t>
            </w:r>
          </w:p>
        </w:tc>
        <w:tc>
          <w:tcPr>
            <w:tcW w:w="110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328 438</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324 256</w:t>
            </w:r>
          </w:p>
        </w:tc>
        <w:tc>
          <w:tcPr>
            <w:tcW w:w="1152"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297 652</w:t>
            </w:r>
          </w:p>
        </w:tc>
        <w:tc>
          <w:tcPr>
            <w:tcW w:w="1276" w:type="dxa"/>
            <w:tcBorders>
              <w:top w:val="nil"/>
              <w:left w:val="nil"/>
              <w:bottom w:val="single" w:sz="4" w:space="0" w:color="auto"/>
              <w:right w:val="nil"/>
            </w:tcBorders>
            <w:shd w:val="clear" w:color="000000" w:fill="F2F2F2"/>
            <w:vAlign w:val="center"/>
            <w:hideMark/>
          </w:tcPr>
          <w:p w:rsidR="009A5240" w:rsidRPr="008841FC" w:rsidRDefault="009167E8" w:rsidP="009A5240">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26</w:t>
            </w:r>
            <w:r w:rsidR="009A5240" w:rsidRPr="008841FC">
              <w:rPr>
                <w:rFonts w:ascii="Times New Roman" w:eastAsia="Times New Roman" w:hAnsi="Times New Roman" w:cs="Times New Roman"/>
                <w:b/>
                <w:bCs/>
                <w:color w:val="000000"/>
                <w:sz w:val="20"/>
                <w:szCs w:val="20"/>
              </w:rPr>
              <w:t>5 000</w:t>
            </w:r>
          </w:p>
        </w:tc>
      </w:tr>
      <w:tr w:rsidR="009A5240" w:rsidRPr="008841FC" w:rsidTr="009A5240">
        <w:trPr>
          <w:trHeight w:val="300"/>
        </w:trPr>
        <w:tc>
          <w:tcPr>
            <w:tcW w:w="2709"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potravinárska</w:t>
            </w:r>
          </w:p>
        </w:tc>
        <w:tc>
          <w:tcPr>
            <w:tcW w:w="1417" w:type="dxa"/>
            <w:tcBorders>
              <w:top w:val="nil"/>
              <w:left w:val="nil"/>
              <w:bottom w:val="single" w:sz="4" w:space="0" w:color="auto"/>
              <w:right w:val="single" w:sz="4" w:space="0" w:color="auto"/>
            </w:tcBorders>
            <w:shd w:val="clear" w:color="000000" w:fill="F2F2F2"/>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single" w:sz="4" w:space="0" w:color="auto"/>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215 700</w:t>
            </w:r>
          </w:p>
        </w:tc>
        <w:tc>
          <w:tcPr>
            <w:tcW w:w="1276"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222 026</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154 000</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145 894</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149 144</w:t>
            </w:r>
          </w:p>
        </w:tc>
        <w:tc>
          <w:tcPr>
            <w:tcW w:w="1074"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118 000</w:t>
            </w:r>
          </w:p>
        </w:tc>
        <w:tc>
          <w:tcPr>
            <w:tcW w:w="110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175 166</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144 256</w:t>
            </w:r>
          </w:p>
        </w:tc>
        <w:tc>
          <w:tcPr>
            <w:tcW w:w="1152"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127 000</w:t>
            </w:r>
          </w:p>
        </w:tc>
        <w:tc>
          <w:tcPr>
            <w:tcW w:w="127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55 000</w:t>
            </w:r>
          </w:p>
        </w:tc>
      </w:tr>
      <w:tr w:rsidR="009A5240" w:rsidRPr="008841FC" w:rsidTr="009A5240">
        <w:trPr>
          <w:trHeight w:val="300"/>
        </w:trPr>
        <w:tc>
          <w:tcPr>
            <w:tcW w:w="2709"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MERO</w:t>
            </w:r>
          </w:p>
        </w:tc>
        <w:tc>
          <w:tcPr>
            <w:tcW w:w="1417" w:type="dxa"/>
            <w:tcBorders>
              <w:top w:val="nil"/>
              <w:left w:val="nil"/>
              <w:bottom w:val="single" w:sz="4" w:space="0" w:color="auto"/>
              <w:right w:val="single" w:sz="4" w:space="0" w:color="auto"/>
            </w:tcBorders>
            <w:shd w:val="clear" w:color="000000" w:fill="F2F2F2"/>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single" w:sz="4" w:space="0" w:color="auto"/>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11 934</w:t>
            </w:r>
          </w:p>
        </w:tc>
        <w:tc>
          <w:tcPr>
            <w:tcW w:w="1276"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80 000</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77 000</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95 716</w:t>
            </w:r>
          </w:p>
        </w:tc>
        <w:tc>
          <w:tcPr>
            <w:tcW w:w="1074"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133 906</w:t>
            </w:r>
          </w:p>
        </w:tc>
        <w:tc>
          <w:tcPr>
            <w:tcW w:w="110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153 272</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180 000</w:t>
            </w:r>
          </w:p>
        </w:tc>
        <w:tc>
          <w:tcPr>
            <w:tcW w:w="1152"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170 652</w:t>
            </w:r>
          </w:p>
        </w:tc>
        <w:tc>
          <w:tcPr>
            <w:tcW w:w="1276" w:type="dxa"/>
            <w:tcBorders>
              <w:top w:val="nil"/>
              <w:left w:val="nil"/>
              <w:bottom w:val="single" w:sz="4" w:space="0" w:color="auto"/>
              <w:right w:val="nil"/>
            </w:tcBorders>
            <w:shd w:val="clear" w:color="000000" w:fill="F2F2F2"/>
            <w:vAlign w:val="center"/>
            <w:hideMark/>
          </w:tcPr>
          <w:p w:rsidR="009A5240" w:rsidRPr="008841FC" w:rsidRDefault="009167E8"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r w:rsidR="009A5240" w:rsidRPr="008841FC">
              <w:rPr>
                <w:rFonts w:ascii="Times New Roman" w:eastAsia="Times New Roman" w:hAnsi="Times New Roman" w:cs="Times New Roman"/>
                <w:color w:val="000000"/>
                <w:sz w:val="20"/>
                <w:szCs w:val="20"/>
              </w:rPr>
              <w:t xml:space="preserve"> 000</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Spracovanie repky</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167 316</w:t>
            </w:r>
          </w:p>
        </w:tc>
        <w:tc>
          <w:tcPr>
            <w:tcW w:w="1276" w:type="dxa"/>
            <w:tcBorders>
              <w:top w:val="nil"/>
              <w:left w:val="nil"/>
              <w:bottom w:val="nil"/>
              <w:right w:val="nil"/>
            </w:tcBorders>
            <w:shd w:val="clear" w:color="000000" w:fill="FFFFFF"/>
            <w:noWrap/>
            <w:vAlign w:val="center"/>
            <w:hideMark/>
          </w:tcPr>
          <w:p w:rsidR="009A5240" w:rsidRPr="008841FC" w:rsidRDefault="00C104D5"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83 767</w:t>
            </w:r>
            <w:r w:rsidR="009A5240" w:rsidRPr="008841FC">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center"/>
            <w:hideMark/>
          </w:tcPr>
          <w:p w:rsidR="009A5240" w:rsidRPr="008841FC" w:rsidRDefault="00C104D5" w:rsidP="0050209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96 465</w:t>
            </w:r>
          </w:p>
        </w:tc>
        <w:tc>
          <w:tcPr>
            <w:tcW w:w="960" w:type="dxa"/>
            <w:tcBorders>
              <w:top w:val="nil"/>
              <w:left w:val="nil"/>
              <w:bottom w:val="nil"/>
              <w:right w:val="nil"/>
            </w:tcBorders>
            <w:shd w:val="clear" w:color="000000" w:fill="FFFFFF"/>
            <w:noWrap/>
            <w:vAlign w:val="center"/>
            <w:hideMark/>
          </w:tcPr>
          <w:p w:rsidR="009A5240" w:rsidRPr="008841FC" w:rsidRDefault="00502094" w:rsidP="0050209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163 249</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502094">
              <w:rPr>
                <w:rFonts w:ascii="Times New Roman" w:eastAsia="Times New Roman" w:hAnsi="Times New Roman" w:cs="Times New Roman"/>
                <w:color w:val="000000"/>
                <w:sz w:val="20"/>
                <w:szCs w:val="20"/>
              </w:rPr>
              <w:t>128 867</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119 579</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136 993</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129 515</w:t>
            </w:r>
          </w:p>
        </w:tc>
        <w:tc>
          <w:tcPr>
            <w:tcW w:w="1152"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132 688</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83 783</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Spracovanie slnečnice</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38 585</w:t>
            </w:r>
          </w:p>
        </w:tc>
        <w:tc>
          <w:tcPr>
            <w:tcW w:w="1276" w:type="dxa"/>
            <w:tcBorders>
              <w:top w:val="nil"/>
              <w:left w:val="nil"/>
              <w:bottom w:val="nil"/>
              <w:right w:val="nil"/>
            </w:tcBorders>
            <w:shd w:val="clear" w:color="000000" w:fill="FFFFFF"/>
            <w:noWrap/>
            <w:vAlign w:val="center"/>
            <w:hideMark/>
          </w:tcPr>
          <w:p w:rsidR="009A5240" w:rsidRPr="008841FC" w:rsidRDefault="00C104D5"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63 098</w:t>
            </w:r>
            <w:r w:rsidR="009A5240" w:rsidRPr="008841FC">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center"/>
            <w:hideMark/>
          </w:tcPr>
          <w:p w:rsidR="009A5240" w:rsidRPr="008841FC" w:rsidRDefault="00C104D5" w:rsidP="0050209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123 443</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502094">
              <w:rPr>
                <w:rFonts w:ascii="Times New Roman" w:eastAsia="Times New Roman" w:hAnsi="Times New Roman" w:cs="Times New Roman"/>
                <w:color w:val="000000"/>
                <w:sz w:val="20"/>
                <w:szCs w:val="20"/>
              </w:rPr>
              <w:t>57 467</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502094">
              <w:rPr>
                <w:rFonts w:ascii="Times New Roman" w:eastAsia="Times New Roman" w:hAnsi="Times New Roman" w:cs="Times New Roman"/>
                <w:color w:val="000000"/>
                <w:sz w:val="20"/>
                <w:szCs w:val="20"/>
              </w:rPr>
              <w:t>91 173</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94 188</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63 337</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67 452</w:t>
            </w:r>
          </w:p>
        </w:tc>
        <w:tc>
          <w:tcPr>
            <w:tcW w:w="1152"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71 884</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40 057</w:t>
            </w:r>
          </w:p>
        </w:tc>
      </w:tr>
      <w:tr w:rsidR="009A5240" w:rsidRPr="008841FC" w:rsidTr="009A5240">
        <w:trPr>
          <w:trHeight w:val="300"/>
        </w:trPr>
        <w:tc>
          <w:tcPr>
            <w:tcW w:w="2709"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Spracovanie celkom</w:t>
            </w:r>
          </w:p>
        </w:tc>
        <w:tc>
          <w:tcPr>
            <w:tcW w:w="1417" w:type="dxa"/>
            <w:tcBorders>
              <w:top w:val="nil"/>
              <w:left w:val="nil"/>
              <w:bottom w:val="single" w:sz="4" w:space="0" w:color="auto"/>
              <w:right w:val="single" w:sz="4" w:space="0" w:color="auto"/>
            </w:tcBorders>
            <w:shd w:val="clear" w:color="000000" w:fill="F2F2F2"/>
            <w:noWrap/>
            <w:vAlign w:val="center"/>
            <w:hideMark/>
          </w:tcPr>
          <w:p w:rsidR="009A5240" w:rsidRPr="008841FC" w:rsidRDefault="009A5240" w:rsidP="009A5240">
            <w:pPr>
              <w:spacing w:after="0" w:line="240" w:lineRule="auto"/>
              <w:jc w:val="center"/>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t</w:t>
            </w:r>
          </w:p>
        </w:tc>
        <w:tc>
          <w:tcPr>
            <w:tcW w:w="1134" w:type="dxa"/>
            <w:tcBorders>
              <w:top w:val="nil"/>
              <w:left w:val="nil"/>
              <w:bottom w:val="single" w:sz="4" w:space="0" w:color="auto"/>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205 901</w:t>
            </w:r>
          </w:p>
        </w:tc>
        <w:tc>
          <w:tcPr>
            <w:tcW w:w="1276" w:type="dxa"/>
            <w:tcBorders>
              <w:top w:val="nil"/>
              <w:left w:val="nil"/>
              <w:bottom w:val="single" w:sz="4" w:space="0" w:color="auto"/>
              <w:right w:val="nil"/>
            </w:tcBorders>
            <w:shd w:val="clear" w:color="000000" w:fill="F2F2F2"/>
            <w:noWrap/>
            <w:vAlign w:val="center"/>
            <w:hideMark/>
          </w:tcPr>
          <w:p w:rsidR="009A5240" w:rsidRPr="008841FC" w:rsidRDefault="00C822DC" w:rsidP="009A5240">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146 865</w:t>
            </w:r>
            <w:r w:rsidR="009A5240" w:rsidRPr="008841FC">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 </w:t>
            </w:r>
            <w:r w:rsidR="00C822DC">
              <w:rPr>
                <w:rFonts w:ascii="Times New Roman" w:eastAsia="Times New Roman" w:hAnsi="Times New Roman" w:cs="Times New Roman"/>
                <w:b/>
                <w:bCs/>
                <w:color w:val="000000"/>
                <w:sz w:val="20"/>
                <w:szCs w:val="20"/>
              </w:rPr>
              <w:t>219 908</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 </w:t>
            </w:r>
            <w:r w:rsidR="00C822DC">
              <w:rPr>
                <w:rFonts w:ascii="Times New Roman" w:eastAsia="Times New Roman" w:hAnsi="Times New Roman" w:cs="Times New Roman"/>
                <w:b/>
                <w:bCs/>
                <w:color w:val="000000"/>
                <w:sz w:val="20"/>
                <w:szCs w:val="20"/>
              </w:rPr>
              <w:t>220 716</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 </w:t>
            </w:r>
            <w:r w:rsidR="00C822DC">
              <w:rPr>
                <w:rFonts w:ascii="Times New Roman" w:eastAsia="Times New Roman" w:hAnsi="Times New Roman" w:cs="Times New Roman"/>
                <w:b/>
                <w:bCs/>
                <w:color w:val="000000"/>
                <w:sz w:val="20"/>
                <w:szCs w:val="20"/>
              </w:rPr>
              <w:t>220 040</w:t>
            </w:r>
          </w:p>
        </w:tc>
        <w:tc>
          <w:tcPr>
            <w:tcW w:w="1074"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213 767</w:t>
            </w:r>
          </w:p>
        </w:tc>
        <w:tc>
          <w:tcPr>
            <w:tcW w:w="110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200 330</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196 967</w:t>
            </w:r>
          </w:p>
        </w:tc>
        <w:tc>
          <w:tcPr>
            <w:tcW w:w="1152"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204 572</w:t>
            </w:r>
          </w:p>
        </w:tc>
        <w:tc>
          <w:tcPr>
            <w:tcW w:w="127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123 840</w:t>
            </w:r>
          </w:p>
        </w:tc>
      </w:tr>
    </w:tbl>
    <w:p w:rsidR="009A5240" w:rsidRDefault="009A5240" w:rsidP="009A5240">
      <w:r>
        <w:br w:type="page"/>
      </w:r>
    </w:p>
    <w:tbl>
      <w:tblPr>
        <w:tblW w:w="15026" w:type="dxa"/>
        <w:tblInd w:w="-497" w:type="dxa"/>
        <w:tblCellMar>
          <w:left w:w="70" w:type="dxa"/>
          <w:right w:w="70" w:type="dxa"/>
        </w:tblCellMar>
        <w:tblLook w:val="04A0" w:firstRow="1" w:lastRow="0" w:firstColumn="1" w:lastColumn="0" w:noHBand="0" w:noVBand="1"/>
      </w:tblPr>
      <w:tblGrid>
        <w:gridCol w:w="2709"/>
        <w:gridCol w:w="1417"/>
        <w:gridCol w:w="1134"/>
        <w:gridCol w:w="1276"/>
        <w:gridCol w:w="960"/>
        <w:gridCol w:w="960"/>
        <w:gridCol w:w="960"/>
        <w:gridCol w:w="1074"/>
        <w:gridCol w:w="1106"/>
        <w:gridCol w:w="1119"/>
        <w:gridCol w:w="1035"/>
        <w:gridCol w:w="1276"/>
      </w:tblGrid>
      <w:tr w:rsidR="009A5240" w:rsidRPr="008841FC" w:rsidTr="009A5240">
        <w:trPr>
          <w:trHeight w:val="300"/>
        </w:trPr>
        <w:tc>
          <w:tcPr>
            <w:tcW w:w="2709" w:type="dxa"/>
            <w:tcBorders>
              <w:top w:val="nil"/>
              <w:left w:val="nil"/>
              <w:bottom w:val="single" w:sz="4" w:space="0" w:color="auto"/>
              <w:right w:val="nil"/>
            </w:tcBorders>
            <w:shd w:val="clear" w:color="000000" w:fill="D9D9D9"/>
            <w:noWrap/>
            <w:vAlign w:val="center"/>
            <w:hideMark/>
          </w:tcPr>
          <w:p w:rsidR="009A5240" w:rsidRPr="008841FC" w:rsidRDefault="009A5240" w:rsidP="009A5240">
            <w:pPr>
              <w:spacing w:after="0" w:line="240" w:lineRule="auto"/>
              <w:jc w:val="center"/>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lastRenderedPageBreak/>
              <w:t> </w:t>
            </w:r>
          </w:p>
        </w:tc>
        <w:tc>
          <w:tcPr>
            <w:tcW w:w="1417" w:type="dxa"/>
            <w:tcBorders>
              <w:top w:val="nil"/>
              <w:left w:val="nil"/>
              <w:bottom w:val="single" w:sz="4" w:space="0" w:color="auto"/>
              <w:right w:val="single" w:sz="4" w:space="0" w:color="auto"/>
            </w:tcBorders>
            <w:shd w:val="clear" w:color="000000" w:fill="D9D9D9"/>
            <w:noWrap/>
            <w:vAlign w:val="center"/>
            <w:hideMark/>
          </w:tcPr>
          <w:p w:rsidR="009A5240" w:rsidRPr="008841FC" w:rsidRDefault="009A5240" w:rsidP="009A5240">
            <w:pPr>
              <w:spacing w:after="0" w:line="240" w:lineRule="auto"/>
              <w:jc w:val="center"/>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tcBorders>
            <w:shd w:val="clear" w:color="000000" w:fill="D9D9D9"/>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2002</w:t>
            </w:r>
          </w:p>
        </w:tc>
        <w:tc>
          <w:tcPr>
            <w:tcW w:w="1276" w:type="dxa"/>
            <w:tcBorders>
              <w:top w:val="nil"/>
              <w:left w:val="nil"/>
              <w:bottom w:val="single" w:sz="4" w:space="0" w:color="auto"/>
              <w:right w:val="nil"/>
            </w:tcBorders>
            <w:shd w:val="clear" w:color="000000" w:fill="D9D9D9"/>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2003</w:t>
            </w:r>
          </w:p>
        </w:tc>
        <w:tc>
          <w:tcPr>
            <w:tcW w:w="960" w:type="dxa"/>
            <w:tcBorders>
              <w:top w:val="nil"/>
              <w:left w:val="nil"/>
              <w:bottom w:val="single" w:sz="4" w:space="0" w:color="auto"/>
              <w:right w:val="nil"/>
            </w:tcBorders>
            <w:shd w:val="clear" w:color="000000" w:fill="D9D9D9"/>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2004</w:t>
            </w:r>
          </w:p>
        </w:tc>
        <w:tc>
          <w:tcPr>
            <w:tcW w:w="960" w:type="dxa"/>
            <w:tcBorders>
              <w:top w:val="nil"/>
              <w:left w:val="nil"/>
              <w:bottom w:val="single" w:sz="4" w:space="0" w:color="auto"/>
              <w:right w:val="nil"/>
            </w:tcBorders>
            <w:shd w:val="clear" w:color="000000" w:fill="D9D9D9"/>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2005</w:t>
            </w:r>
          </w:p>
        </w:tc>
        <w:tc>
          <w:tcPr>
            <w:tcW w:w="960" w:type="dxa"/>
            <w:tcBorders>
              <w:top w:val="nil"/>
              <w:left w:val="nil"/>
              <w:bottom w:val="single" w:sz="4" w:space="0" w:color="auto"/>
              <w:right w:val="nil"/>
            </w:tcBorders>
            <w:shd w:val="clear" w:color="000000" w:fill="D9D9D9"/>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2006</w:t>
            </w:r>
          </w:p>
        </w:tc>
        <w:tc>
          <w:tcPr>
            <w:tcW w:w="1074" w:type="dxa"/>
            <w:tcBorders>
              <w:top w:val="nil"/>
              <w:left w:val="nil"/>
              <w:bottom w:val="single" w:sz="4" w:space="0" w:color="auto"/>
              <w:right w:val="nil"/>
            </w:tcBorders>
            <w:shd w:val="clear" w:color="000000" w:fill="D9D9D9"/>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2007</w:t>
            </w:r>
          </w:p>
        </w:tc>
        <w:tc>
          <w:tcPr>
            <w:tcW w:w="1106" w:type="dxa"/>
            <w:tcBorders>
              <w:top w:val="nil"/>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2008</w:t>
            </w:r>
          </w:p>
        </w:tc>
        <w:tc>
          <w:tcPr>
            <w:tcW w:w="1119" w:type="dxa"/>
            <w:tcBorders>
              <w:top w:val="nil"/>
              <w:left w:val="nil"/>
              <w:bottom w:val="single" w:sz="4" w:space="0" w:color="auto"/>
              <w:right w:val="nil"/>
            </w:tcBorders>
            <w:shd w:val="clear" w:color="000000" w:fill="D9D9D9"/>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2009</w:t>
            </w:r>
          </w:p>
        </w:tc>
        <w:tc>
          <w:tcPr>
            <w:tcW w:w="1035" w:type="dxa"/>
            <w:tcBorders>
              <w:top w:val="nil"/>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2010</w:t>
            </w:r>
          </w:p>
        </w:tc>
        <w:tc>
          <w:tcPr>
            <w:tcW w:w="1276" w:type="dxa"/>
            <w:tcBorders>
              <w:top w:val="nil"/>
              <w:left w:val="nil"/>
              <w:bottom w:val="single" w:sz="4" w:space="0" w:color="auto"/>
              <w:right w:val="nil"/>
            </w:tcBorders>
            <w:shd w:val="clear" w:color="000000" w:fill="D9D9D9"/>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2011</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Domáca produkcia jedlých rastlinných tukov</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91 376</w:t>
            </w:r>
          </w:p>
        </w:tc>
        <w:tc>
          <w:tcPr>
            <w:tcW w:w="1276" w:type="dxa"/>
            <w:tcBorders>
              <w:top w:val="nil"/>
              <w:left w:val="nil"/>
              <w:bottom w:val="nil"/>
              <w:right w:val="nil"/>
            </w:tcBorders>
            <w:shd w:val="clear" w:color="000000" w:fill="FFFFFF"/>
            <w:noWrap/>
            <w:vAlign w:val="center"/>
            <w:hideMark/>
          </w:tcPr>
          <w:p w:rsidR="009A5240" w:rsidRPr="008841FC" w:rsidRDefault="00C104D5"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23 334</w:t>
            </w:r>
            <w:r w:rsidR="009A5240" w:rsidRPr="008841FC">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center"/>
            <w:hideMark/>
          </w:tcPr>
          <w:p w:rsidR="009A5240" w:rsidRPr="008841FC" w:rsidRDefault="008D433D" w:rsidP="008D433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22 800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8D433D">
              <w:rPr>
                <w:rFonts w:ascii="Times New Roman" w:eastAsia="Times New Roman" w:hAnsi="Times New Roman" w:cs="Times New Roman"/>
                <w:color w:val="000000"/>
                <w:sz w:val="20"/>
                <w:szCs w:val="20"/>
              </w:rPr>
              <w:t>22 407</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C822DC">
              <w:rPr>
                <w:rFonts w:ascii="Times New Roman" w:eastAsia="Times New Roman" w:hAnsi="Times New Roman" w:cs="Times New Roman"/>
                <w:color w:val="000000"/>
                <w:sz w:val="20"/>
                <w:szCs w:val="20"/>
              </w:rPr>
              <w:t>25 825</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24 280</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29 485</w:t>
            </w:r>
          </w:p>
        </w:tc>
        <w:tc>
          <w:tcPr>
            <w:tcW w:w="111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8 512</w:t>
            </w:r>
          </w:p>
        </w:tc>
        <w:tc>
          <w:tcPr>
            <w:tcW w:w="1035"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14 801</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23 934</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vývoz</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29 447</w:t>
            </w:r>
          </w:p>
        </w:tc>
        <w:tc>
          <w:tcPr>
            <w:tcW w:w="1276" w:type="dxa"/>
            <w:tcBorders>
              <w:top w:val="nil"/>
              <w:left w:val="nil"/>
              <w:bottom w:val="nil"/>
              <w:right w:val="nil"/>
            </w:tcBorders>
            <w:shd w:val="clear" w:color="000000" w:fill="FFFFFF"/>
            <w:noWrap/>
            <w:vAlign w:val="center"/>
            <w:hideMark/>
          </w:tcPr>
          <w:p w:rsidR="009A5240" w:rsidRPr="008841FC" w:rsidRDefault="009A5240" w:rsidP="00ED6252">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ED6252">
              <w:rPr>
                <w:rFonts w:ascii="Times New Roman" w:eastAsia="Times New Roman" w:hAnsi="Times New Roman" w:cs="Times New Roman"/>
                <w:color w:val="000000"/>
                <w:sz w:val="20"/>
                <w:szCs w:val="20"/>
              </w:rPr>
              <w:t xml:space="preserve">           2 367   </w:t>
            </w:r>
          </w:p>
        </w:tc>
        <w:tc>
          <w:tcPr>
            <w:tcW w:w="960" w:type="dxa"/>
            <w:tcBorders>
              <w:top w:val="nil"/>
              <w:left w:val="nil"/>
              <w:bottom w:val="nil"/>
              <w:right w:val="nil"/>
            </w:tcBorders>
            <w:shd w:val="clear" w:color="000000" w:fill="FFFFFF"/>
            <w:noWrap/>
            <w:vAlign w:val="center"/>
            <w:hideMark/>
          </w:tcPr>
          <w:p w:rsidR="009A5240" w:rsidRPr="008841FC" w:rsidRDefault="00ED6252" w:rsidP="008D433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13 488</w:t>
            </w:r>
          </w:p>
        </w:tc>
        <w:tc>
          <w:tcPr>
            <w:tcW w:w="960" w:type="dxa"/>
            <w:tcBorders>
              <w:top w:val="nil"/>
              <w:left w:val="nil"/>
              <w:bottom w:val="nil"/>
              <w:right w:val="nil"/>
            </w:tcBorders>
            <w:shd w:val="clear" w:color="000000" w:fill="FFFFFF"/>
            <w:noWrap/>
            <w:vAlign w:val="center"/>
            <w:hideMark/>
          </w:tcPr>
          <w:p w:rsidR="009A5240" w:rsidRPr="008841FC" w:rsidRDefault="009A5240" w:rsidP="00C104D5">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7C3619">
              <w:rPr>
                <w:rFonts w:ascii="Times New Roman" w:eastAsia="Times New Roman" w:hAnsi="Times New Roman" w:cs="Times New Roman"/>
                <w:color w:val="000000"/>
                <w:sz w:val="20"/>
                <w:szCs w:val="20"/>
              </w:rPr>
              <w:t xml:space="preserve">    15 230</w:t>
            </w:r>
          </w:p>
        </w:tc>
        <w:tc>
          <w:tcPr>
            <w:tcW w:w="960" w:type="dxa"/>
            <w:tcBorders>
              <w:top w:val="nil"/>
              <w:left w:val="nil"/>
              <w:bottom w:val="nil"/>
              <w:right w:val="nil"/>
            </w:tcBorders>
            <w:shd w:val="clear" w:color="000000" w:fill="FFFFFF"/>
            <w:noWrap/>
            <w:vAlign w:val="center"/>
            <w:hideMark/>
          </w:tcPr>
          <w:p w:rsidR="009A5240" w:rsidRPr="008841FC" w:rsidRDefault="007C3619" w:rsidP="008D433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3 023</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8 881</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18 096</w:t>
            </w:r>
          </w:p>
        </w:tc>
        <w:tc>
          <w:tcPr>
            <w:tcW w:w="111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226</w:t>
            </w:r>
          </w:p>
        </w:tc>
        <w:tc>
          <w:tcPr>
            <w:tcW w:w="1035"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1 827</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10 304</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 dovoz </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5 142</w:t>
            </w:r>
          </w:p>
        </w:tc>
        <w:tc>
          <w:tcPr>
            <w:tcW w:w="1276" w:type="dxa"/>
            <w:tcBorders>
              <w:top w:val="nil"/>
              <w:left w:val="nil"/>
              <w:bottom w:val="nil"/>
              <w:right w:val="nil"/>
            </w:tcBorders>
            <w:shd w:val="clear" w:color="000000" w:fill="FFFFFF"/>
            <w:noWrap/>
            <w:vAlign w:val="center"/>
            <w:hideMark/>
          </w:tcPr>
          <w:p w:rsidR="009A5240" w:rsidRPr="008841FC" w:rsidRDefault="00ED6252"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6 762</w:t>
            </w:r>
            <w:r w:rsidR="009A5240" w:rsidRPr="008841FC">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center"/>
            <w:hideMark/>
          </w:tcPr>
          <w:p w:rsidR="009A5240" w:rsidRPr="008841FC" w:rsidRDefault="009A5240" w:rsidP="00C104D5">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ED6252">
              <w:rPr>
                <w:rFonts w:ascii="Times New Roman" w:eastAsia="Times New Roman" w:hAnsi="Times New Roman" w:cs="Times New Roman"/>
                <w:color w:val="000000"/>
                <w:sz w:val="20"/>
                <w:szCs w:val="20"/>
              </w:rPr>
              <w:t xml:space="preserve">      7 750</w:t>
            </w:r>
          </w:p>
        </w:tc>
        <w:tc>
          <w:tcPr>
            <w:tcW w:w="960" w:type="dxa"/>
            <w:tcBorders>
              <w:top w:val="nil"/>
              <w:left w:val="nil"/>
              <w:bottom w:val="nil"/>
              <w:right w:val="nil"/>
            </w:tcBorders>
            <w:shd w:val="clear" w:color="000000" w:fill="FFFFFF"/>
            <w:noWrap/>
            <w:vAlign w:val="center"/>
            <w:hideMark/>
          </w:tcPr>
          <w:p w:rsidR="009A5240" w:rsidRPr="008841FC" w:rsidRDefault="00ED6252" w:rsidP="00ED625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9 693</w:t>
            </w:r>
          </w:p>
        </w:tc>
        <w:tc>
          <w:tcPr>
            <w:tcW w:w="960" w:type="dxa"/>
            <w:tcBorders>
              <w:top w:val="nil"/>
              <w:left w:val="nil"/>
              <w:bottom w:val="nil"/>
              <w:right w:val="nil"/>
            </w:tcBorders>
            <w:shd w:val="clear" w:color="000000" w:fill="FFFFFF"/>
            <w:noWrap/>
            <w:vAlign w:val="center"/>
            <w:hideMark/>
          </w:tcPr>
          <w:p w:rsidR="009A5240" w:rsidRPr="008841FC" w:rsidRDefault="007C3619" w:rsidP="008D433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17 056</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16 688</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15 745</w:t>
            </w:r>
          </w:p>
        </w:tc>
        <w:tc>
          <w:tcPr>
            <w:tcW w:w="111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3 996</w:t>
            </w:r>
          </w:p>
        </w:tc>
        <w:tc>
          <w:tcPr>
            <w:tcW w:w="1035"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8 318</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5 059</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Domáca produkcia slnečnicového oleja</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15 028</w:t>
            </w:r>
          </w:p>
        </w:tc>
        <w:tc>
          <w:tcPr>
            <w:tcW w:w="1276" w:type="dxa"/>
            <w:tcBorders>
              <w:top w:val="nil"/>
              <w:left w:val="nil"/>
              <w:bottom w:val="nil"/>
              <w:right w:val="nil"/>
            </w:tcBorders>
            <w:shd w:val="clear" w:color="000000" w:fill="FFFFFF"/>
            <w:noWrap/>
            <w:vAlign w:val="center"/>
            <w:hideMark/>
          </w:tcPr>
          <w:p w:rsidR="009A5240" w:rsidRPr="008841FC" w:rsidRDefault="00C104D5"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26 679</w:t>
            </w:r>
            <w:r w:rsidR="009A5240" w:rsidRPr="008841FC">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center"/>
            <w:hideMark/>
          </w:tcPr>
          <w:p w:rsidR="009A5240" w:rsidRPr="008841FC" w:rsidRDefault="008D433D" w:rsidP="008D433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38 159</w:t>
            </w:r>
          </w:p>
        </w:tc>
        <w:tc>
          <w:tcPr>
            <w:tcW w:w="960" w:type="dxa"/>
            <w:tcBorders>
              <w:top w:val="nil"/>
              <w:left w:val="nil"/>
              <w:bottom w:val="nil"/>
              <w:right w:val="nil"/>
            </w:tcBorders>
            <w:shd w:val="clear" w:color="000000" w:fill="FFFFFF"/>
            <w:noWrap/>
            <w:vAlign w:val="center"/>
            <w:hideMark/>
          </w:tcPr>
          <w:p w:rsidR="009A5240" w:rsidRPr="008841FC" w:rsidRDefault="008D433D"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25 479</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C822DC">
              <w:rPr>
                <w:rFonts w:ascii="Times New Roman" w:eastAsia="Times New Roman" w:hAnsi="Times New Roman" w:cs="Times New Roman"/>
                <w:color w:val="000000"/>
                <w:sz w:val="20"/>
                <w:szCs w:val="20"/>
              </w:rPr>
              <w:t>40 831</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38 804</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18 685</w:t>
            </w:r>
          </w:p>
        </w:tc>
        <w:tc>
          <w:tcPr>
            <w:tcW w:w="111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25 198</w:t>
            </w:r>
          </w:p>
        </w:tc>
        <w:tc>
          <w:tcPr>
            <w:tcW w:w="1035"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30 335</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20 756</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vývoz</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10 295</w:t>
            </w:r>
          </w:p>
        </w:tc>
        <w:tc>
          <w:tcPr>
            <w:tcW w:w="1276" w:type="dxa"/>
            <w:tcBorders>
              <w:top w:val="nil"/>
              <w:left w:val="nil"/>
              <w:bottom w:val="nil"/>
              <w:right w:val="nil"/>
            </w:tcBorders>
            <w:shd w:val="clear" w:color="000000" w:fill="FFFFFF"/>
            <w:noWrap/>
            <w:vAlign w:val="center"/>
            <w:hideMark/>
          </w:tcPr>
          <w:p w:rsidR="009A5240" w:rsidRPr="008841FC" w:rsidRDefault="00C104D5"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22 257</w:t>
            </w:r>
            <w:r w:rsidR="009A5240" w:rsidRPr="008841FC">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8D433D">
              <w:rPr>
                <w:rFonts w:ascii="Times New Roman" w:eastAsia="Times New Roman" w:hAnsi="Times New Roman" w:cs="Times New Roman"/>
                <w:color w:val="000000"/>
                <w:sz w:val="20"/>
                <w:szCs w:val="20"/>
              </w:rPr>
              <w:t>14 123</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C822DC">
              <w:rPr>
                <w:rFonts w:ascii="Times New Roman" w:eastAsia="Times New Roman" w:hAnsi="Times New Roman" w:cs="Times New Roman"/>
                <w:color w:val="000000"/>
                <w:sz w:val="20"/>
                <w:szCs w:val="20"/>
              </w:rPr>
              <w:t>20 000</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C822DC">
              <w:rPr>
                <w:rFonts w:ascii="Times New Roman" w:eastAsia="Times New Roman" w:hAnsi="Times New Roman" w:cs="Times New Roman"/>
                <w:color w:val="000000"/>
                <w:sz w:val="20"/>
                <w:szCs w:val="20"/>
              </w:rPr>
              <w:t>23 076</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14 796</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6 285</w:t>
            </w:r>
          </w:p>
        </w:tc>
        <w:tc>
          <w:tcPr>
            <w:tcW w:w="111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16 234</w:t>
            </w:r>
          </w:p>
        </w:tc>
        <w:tc>
          <w:tcPr>
            <w:tcW w:w="1035"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20 261</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1 293</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dovoz</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2 232</w:t>
            </w:r>
          </w:p>
        </w:tc>
        <w:tc>
          <w:tcPr>
            <w:tcW w:w="1276" w:type="dxa"/>
            <w:tcBorders>
              <w:top w:val="nil"/>
              <w:left w:val="nil"/>
              <w:bottom w:val="nil"/>
              <w:right w:val="nil"/>
            </w:tcBorders>
            <w:shd w:val="clear" w:color="000000" w:fill="FFFFFF"/>
            <w:noWrap/>
            <w:vAlign w:val="center"/>
            <w:hideMark/>
          </w:tcPr>
          <w:p w:rsidR="009A5240" w:rsidRPr="008841FC" w:rsidRDefault="00C104D5"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5 548</w:t>
            </w:r>
            <w:r w:rsidR="009A5240" w:rsidRPr="008841FC">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8D433D">
              <w:rPr>
                <w:rFonts w:ascii="Times New Roman" w:eastAsia="Times New Roman" w:hAnsi="Times New Roman" w:cs="Times New Roman"/>
                <w:color w:val="000000"/>
                <w:sz w:val="20"/>
                <w:szCs w:val="20"/>
              </w:rPr>
              <w:t>9 161</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C822DC">
              <w:rPr>
                <w:rFonts w:ascii="Times New Roman" w:eastAsia="Times New Roman" w:hAnsi="Times New Roman" w:cs="Times New Roman"/>
                <w:color w:val="000000"/>
                <w:sz w:val="20"/>
                <w:szCs w:val="20"/>
              </w:rPr>
              <w:t>19 558</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C822DC">
              <w:rPr>
                <w:rFonts w:ascii="Times New Roman" w:eastAsia="Times New Roman" w:hAnsi="Times New Roman" w:cs="Times New Roman"/>
                <w:color w:val="000000"/>
                <w:sz w:val="20"/>
                <w:szCs w:val="20"/>
              </w:rPr>
              <w:t>19 486</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15 850</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12 913</w:t>
            </w:r>
          </w:p>
        </w:tc>
        <w:tc>
          <w:tcPr>
            <w:tcW w:w="111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39 761</w:t>
            </w:r>
          </w:p>
        </w:tc>
        <w:tc>
          <w:tcPr>
            <w:tcW w:w="1035"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35 340</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110 104</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Domáca produkcia repkového oleja</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55 778</w:t>
            </w:r>
          </w:p>
        </w:tc>
        <w:tc>
          <w:tcPr>
            <w:tcW w:w="1276" w:type="dxa"/>
            <w:tcBorders>
              <w:top w:val="nil"/>
              <w:left w:val="nil"/>
              <w:bottom w:val="nil"/>
              <w:right w:val="nil"/>
            </w:tcBorders>
            <w:shd w:val="clear" w:color="000000" w:fill="FFFFFF"/>
            <w:noWrap/>
            <w:vAlign w:val="center"/>
            <w:hideMark/>
          </w:tcPr>
          <w:p w:rsidR="009A5240" w:rsidRPr="008841FC" w:rsidRDefault="00C104D5"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38 574</w:t>
            </w:r>
            <w:r w:rsidR="009A5240" w:rsidRPr="008841FC">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8D433D">
              <w:rPr>
                <w:rFonts w:ascii="Times New Roman" w:eastAsia="Times New Roman" w:hAnsi="Times New Roman" w:cs="Times New Roman"/>
                <w:color w:val="000000"/>
                <w:sz w:val="20"/>
                <w:szCs w:val="20"/>
              </w:rPr>
              <w:t>24 469</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8D433D">
              <w:rPr>
                <w:rFonts w:ascii="Times New Roman" w:eastAsia="Times New Roman" w:hAnsi="Times New Roman" w:cs="Times New Roman"/>
                <w:color w:val="000000"/>
                <w:sz w:val="20"/>
                <w:szCs w:val="20"/>
              </w:rPr>
              <w:t>28 982</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C822DC">
              <w:rPr>
                <w:rFonts w:ascii="Times New Roman" w:eastAsia="Times New Roman" w:hAnsi="Times New Roman" w:cs="Times New Roman"/>
                <w:color w:val="000000"/>
                <w:sz w:val="20"/>
                <w:szCs w:val="20"/>
              </w:rPr>
              <w:t>13 906</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11 053</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23 615</w:t>
            </w:r>
          </w:p>
        </w:tc>
        <w:tc>
          <w:tcPr>
            <w:tcW w:w="111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18 976</w:t>
            </w:r>
          </w:p>
        </w:tc>
        <w:tc>
          <w:tcPr>
            <w:tcW w:w="1035"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49 466</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17 899</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vývoz</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16 456</w:t>
            </w:r>
          </w:p>
        </w:tc>
        <w:tc>
          <w:tcPr>
            <w:tcW w:w="1276" w:type="dxa"/>
            <w:tcBorders>
              <w:top w:val="nil"/>
              <w:left w:val="nil"/>
              <w:bottom w:val="nil"/>
              <w:right w:val="nil"/>
            </w:tcBorders>
            <w:shd w:val="clear" w:color="000000" w:fill="FFFFFF"/>
            <w:noWrap/>
            <w:vAlign w:val="center"/>
            <w:hideMark/>
          </w:tcPr>
          <w:p w:rsidR="009A5240" w:rsidRPr="008841FC" w:rsidRDefault="00C104D5"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4 728</w:t>
            </w:r>
            <w:r w:rsidR="009A5240" w:rsidRPr="008841FC">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8D433D">
              <w:rPr>
                <w:rFonts w:ascii="Times New Roman" w:eastAsia="Times New Roman" w:hAnsi="Times New Roman" w:cs="Times New Roman"/>
                <w:color w:val="000000"/>
                <w:sz w:val="20"/>
                <w:szCs w:val="20"/>
              </w:rPr>
              <w:t>11 013</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C822DC">
              <w:rPr>
                <w:rFonts w:ascii="Times New Roman" w:eastAsia="Times New Roman" w:hAnsi="Times New Roman" w:cs="Times New Roman"/>
                <w:color w:val="000000"/>
                <w:sz w:val="20"/>
                <w:szCs w:val="20"/>
              </w:rPr>
              <w:t>7 556</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C822DC">
              <w:rPr>
                <w:rFonts w:ascii="Times New Roman" w:eastAsia="Times New Roman" w:hAnsi="Times New Roman" w:cs="Times New Roman"/>
                <w:color w:val="000000"/>
                <w:sz w:val="20"/>
                <w:szCs w:val="20"/>
              </w:rPr>
              <w:t>6 401</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1 610</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1 162</w:t>
            </w:r>
          </w:p>
        </w:tc>
        <w:tc>
          <w:tcPr>
            <w:tcW w:w="111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343</w:t>
            </w:r>
          </w:p>
        </w:tc>
        <w:tc>
          <w:tcPr>
            <w:tcW w:w="1035"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3 608</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4 174</w:t>
            </w:r>
          </w:p>
        </w:tc>
      </w:tr>
      <w:tr w:rsidR="009A5240" w:rsidRPr="008841FC" w:rsidTr="009A5240">
        <w:trPr>
          <w:trHeight w:val="300"/>
        </w:trPr>
        <w:tc>
          <w:tcPr>
            <w:tcW w:w="270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dovoz</w:t>
            </w:r>
          </w:p>
        </w:tc>
        <w:tc>
          <w:tcPr>
            <w:tcW w:w="1417" w:type="dxa"/>
            <w:tcBorders>
              <w:top w:val="nil"/>
              <w:left w:val="nil"/>
              <w:bottom w:val="nil"/>
              <w:right w:val="single" w:sz="4" w:space="0" w:color="auto"/>
            </w:tcBorders>
            <w:shd w:val="clear" w:color="000000" w:fill="FFFFFF"/>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9 661</w:t>
            </w:r>
          </w:p>
        </w:tc>
        <w:tc>
          <w:tcPr>
            <w:tcW w:w="1276" w:type="dxa"/>
            <w:tcBorders>
              <w:top w:val="nil"/>
              <w:left w:val="nil"/>
              <w:bottom w:val="nil"/>
              <w:right w:val="nil"/>
            </w:tcBorders>
            <w:shd w:val="clear" w:color="000000" w:fill="FFFFFF"/>
            <w:noWrap/>
            <w:vAlign w:val="center"/>
            <w:hideMark/>
          </w:tcPr>
          <w:p w:rsidR="009A5240" w:rsidRPr="008841FC" w:rsidRDefault="00C104D5" w:rsidP="009A524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10 164</w:t>
            </w:r>
            <w:r w:rsidR="009A5240" w:rsidRPr="008841FC">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8D433D">
              <w:rPr>
                <w:rFonts w:ascii="Times New Roman" w:eastAsia="Times New Roman" w:hAnsi="Times New Roman" w:cs="Times New Roman"/>
                <w:color w:val="000000"/>
                <w:sz w:val="20"/>
                <w:szCs w:val="20"/>
              </w:rPr>
              <w:t>10 563</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C822DC">
              <w:rPr>
                <w:rFonts w:ascii="Times New Roman" w:eastAsia="Times New Roman" w:hAnsi="Times New Roman" w:cs="Times New Roman"/>
                <w:color w:val="000000"/>
                <w:sz w:val="20"/>
                <w:szCs w:val="20"/>
              </w:rPr>
              <w:t>21 536</w:t>
            </w:r>
          </w:p>
        </w:tc>
        <w:tc>
          <w:tcPr>
            <w:tcW w:w="960"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C822DC">
              <w:rPr>
                <w:rFonts w:ascii="Times New Roman" w:eastAsia="Times New Roman" w:hAnsi="Times New Roman" w:cs="Times New Roman"/>
                <w:color w:val="000000"/>
                <w:sz w:val="20"/>
                <w:szCs w:val="20"/>
              </w:rPr>
              <w:t>16 409</w:t>
            </w:r>
          </w:p>
        </w:tc>
        <w:tc>
          <w:tcPr>
            <w:tcW w:w="1074"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45 232</w:t>
            </w:r>
          </w:p>
        </w:tc>
        <w:tc>
          <w:tcPr>
            <w:tcW w:w="110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95 465</w:t>
            </w:r>
          </w:p>
        </w:tc>
        <w:tc>
          <w:tcPr>
            <w:tcW w:w="1119" w:type="dxa"/>
            <w:tcBorders>
              <w:top w:val="nil"/>
              <w:left w:val="nil"/>
              <w:bottom w:val="nil"/>
              <w:right w:val="nil"/>
            </w:tcBorders>
            <w:shd w:val="clear" w:color="000000" w:fill="FFFFFF"/>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59 918</w:t>
            </w:r>
          </w:p>
        </w:tc>
        <w:tc>
          <w:tcPr>
            <w:tcW w:w="1035"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77 353</w:t>
            </w:r>
          </w:p>
        </w:tc>
        <w:tc>
          <w:tcPr>
            <w:tcW w:w="1276" w:type="dxa"/>
            <w:tcBorders>
              <w:top w:val="nil"/>
              <w:left w:val="nil"/>
              <w:bottom w:val="nil"/>
              <w:right w:val="nil"/>
            </w:tcBorders>
            <w:shd w:val="clear" w:color="000000" w:fill="FFFFFF"/>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55 718</w:t>
            </w:r>
          </w:p>
        </w:tc>
      </w:tr>
      <w:tr w:rsidR="009A5240" w:rsidRPr="008841FC" w:rsidTr="009A5240">
        <w:trPr>
          <w:trHeight w:val="300"/>
        </w:trPr>
        <w:tc>
          <w:tcPr>
            <w:tcW w:w="2709" w:type="dxa"/>
            <w:tcBorders>
              <w:top w:val="nil"/>
              <w:left w:val="nil"/>
              <w:bottom w:val="single" w:sz="4" w:space="0" w:color="auto"/>
              <w:right w:val="nil"/>
            </w:tcBorders>
            <w:shd w:val="clear" w:color="000000" w:fill="F2F2F2"/>
            <w:noWrap/>
            <w:vAlign w:val="center"/>
            <w:hideMark/>
          </w:tcPr>
          <w:p w:rsidR="009A5240" w:rsidRPr="008841FC" w:rsidRDefault="009A5240" w:rsidP="009167E8">
            <w:pPr>
              <w:spacing w:after="0" w:line="240" w:lineRule="auto"/>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 xml:space="preserve">Finálna domáca </w:t>
            </w:r>
            <w:r w:rsidR="009167E8">
              <w:rPr>
                <w:rFonts w:ascii="Times New Roman" w:eastAsia="Times New Roman" w:hAnsi="Times New Roman" w:cs="Times New Roman"/>
                <w:b/>
                <w:bCs/>
                <w:color w:val="000000"/>
                <w:sz w:val="20"/>
                <w:szCs w:val="20"/>
              </w:rPr>
              <w:t>výroba</w:t>
            </w:r>
            <w:r w:rsidRPr="008841FC">
              <w:rPr>
                <w:rFonts w:ascii="Times New Roman" w:eastAsia="Times New Roman" w:hAnsi="Times New Roman" w:cs="Times New Roman"/>
                <w:b/>
                <w:bCs/>
                <w:color w:val="000000"/>
                <w:sz w:val="20"/>
                <w:szCs w:val="20"/>
              </w:rPr>
              <w:t xml:space="preserve"> celkom</w:t>
            </w:r>
          </w:p>
        </w:tc>
        <w:tc>
          <w:tcPr>
            <w:tcW w:w="1417" w:type="dxa"/>
            <w:tcBorders>
              <w:top w:val="nil"/>
              <w:left w:val="nil"/>
              <w:bottom w:val="single" w:sz="4" w:space="0" w:color="auto"/>
              <w:right w:val="single" w:sz="4" w:space="0" w:color="auto"/>
            </w:tcBorders>
            <w:shd w:val="clear" w:color="000000" w:fill="F2F2F2"/>
            <w:noWrap/>
            <w:vAlign w:val="center"/>
            <w:hideMark/>
          </w:tcPr>
          <w:p w:rsidR="009A5240" w:rsidRPr="008841FC" w:rsidRDefault="009A5240" w:rsidP="009A5240">
            <w:pPr>
              <w:spacing w:after="0" w:line="240" w:lineRule="auto"/>
              <w:jc w:val="center"/>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t</w:t>
            </w:r>
          </w:p>
        </w:tc>
        <w:tc>
          <w:tcPr>
            <w:tcW w:w="1134" w:type="dxa"/>
            <w:tcBorders>
              <w:top w:val="nil"/>
              <w:left w:val="nil"/>
              <w:bottom w:val="single" w:sz="4" w:space="0" w:color="auto"/>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162 182</w:t>
            </w:r>
          </w:p>
        </w:tc>
        <w:tc>
          <w:tcPr>
            <w:tcW w:w="1276"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 </w:t>
            </w:r>
            <w:r w:rsidR="00C822DC">
              <w:rPr>
                <w:rFonts w:ascii="Times New Roman" w:eastAsia="Times New Roman" w:hAnsi="Times New Roman" w:cs="Times New Roman"/>
                <w:b/>
                <w:bCs/>
                <w:color w:val="000000"/>
                <w:sz w:val="20"/>
                <w:szCs w:val="20"/>
              </w:rPr>
              <w:t>88 587</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 </w:t>
            </w:r>
            <w:r w:rsidR="00C822DC">
              <w:rPr>
                <w:rFonts w:ascii="Times New Roman" w:eastAsia="Times New Roman" w:hAnsi="Times New Roman" w:cs="Times New Roman"/>
                <w:b/>
                <w:bCs/>
                <w:color w:val="000000"/>
                <w:sz w:val="20"/>
                <w:szCs w:val="20"/>
              </w:rPr>
              <w:t>85 455</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 </w:t>
            </w:r>
            <w:r w:rsidR="00C822DC">
              <w:rPr>
                <w:rFonts w:ascii="Times New Roman" w:eastAsia="Times New Roman" w:hAnsi="Times New Roman" w:cs="Times New Roman"/>
                <w:b/>
                <w:bCs/>
                <w:color w:val="000000"/>
                <w:sz w:val="20"/>
                <w:szCs w:val="20"/>
              </w:rPr>
              <w:t>76 868</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 </w:t>
            </w:r>
            <w:r w:rsidR="00C822DC">
              <w:rPr>
                <w:rFonts w:ascii="Times New Roman" w:eastAsia="Times New Roman" w:hAnsi="Times New Roman" w:cs="Times New Roman"/>
                <w:b/>
                <w:bCs/>
                <w:color w:val="000000"/>
                <w:sz w:val="20"/>
                <w:szCs w:val="20"/>
              </w:rPr>
              <w:t>80 562</w:t>
            </w:r>
          </w:p>
        </w:tc>
        <w:tc>
          <w:tcPr>
            <w:tcW w:w="1074"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74 137</w:t>
            </w:r>
          </w:p>
        </w:tc>
        <w:tc>
          <w:tcPr>
            <w:tcW w:w="110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71 785</w:t>
            </w:r>
          </w:p>
        </w:tc>
        <w:tc>
          <w:tcPr>
            <w:tcW w:w="1119"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52 686</w:t>
            </w:r>
          </w:p>
        </w:tc>
        <w:tc>
          <w:tcPr>
            <w:tcW w:w="1035"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94 602</w:t>
            </w:r>
          </w:p>
        </w:tc>
        <w:tc>
          <w:tcPr>
            <w:tcW w:w="127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b/>
                <w:bCs/>
                <w:color w:val="000000"/>
                <w:sz w:val="20"/>
                <w:szCs w:val="20"/>
              </w:rPr>
            </w:pPr>
            <w:r w:rsidRPr="008841FC">
              <w:rPr>
                <w:rFonts w:ascii="Times New Roman" w:eastAsia="Times New Roman" w:hAnsi="Times New Roman" w:cs="Times New Roman"/>
                <w:b/>
                <w:bCs/>
                <w:color w:val="000000"/>
                <w:sz w:val="20"/>
                <w:szCs w:val="20"/>
              </w:rPr>
              <w:t>62 589</w:t>
            </w:r>
          </w:p>
        </w:tc>
      </w:tr>
      <w:tr w:rsidR="009A5240" w:rsidRPr="008841FC" w:rsidTr="009A5240">
        <w:trPr>
          <w:trHeight w:val="300"/>
        </w:trPr>
        <w:tc>
          <w:tcPr>
            <w:tcW w:w="2709" w:type="dxa"/>
            <w:tcBorders>
              <w:top w:val="nil"/>
              <w:left w:val="nil"/>
              <w:bottom w:val="single" w:sz="4" w:space="0" w:color="auto"/>
              <w:right w:val="nil"/>
            </w:tcBorders>
            <w:shd w:val="clear" w:color="000000" w:fill="F2F2F2"/>
            <w:noWrap/>
            <w:vAlign w:val="center"/>
            <w:hideMark/>
          </w:tcPr>
          <w:p w:rsidR="009A5240" w:rsidRPr="008841FC" w:rsidRDefault="009A5240" w:rsidP="009167E8">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 vývoz finálnej domácej </w:t>
            </w:r>
            <w:r w:rsidR="009167E8">
              <w:rPr>
                <w:rFonts w:ascii="Times New Roman" w:eastAsia="Times New Roman" w:hAnsi="Times New Roman" w:cs="Times New Roman"/>
                <w:color w:val="000000"/>
                <w:sz w:val="20"/>
                <w:szCs w:val="20"/>
              </w:rPr>
              <w:t>výroby</w:t>
            </w:r>
            <w:r w:rsidRPr="008841FC">
              <w:rPr>
                <w:rFonts w:ascii="Times New Roman" w:eastAsia="Times New Roman" w:hAnsi="Times New Roman" w:cs="Times New Roman"/>
                <w:color w:val="000000"/>
                <w:sz w:val="20"/>
                <w:szCs w:val="20"/>
              </w:rPr>
              <w:t xml:space="preserve"> celkom</w:t>
            </w:r>
          </w:p>
        </w:tc>
        <w:tc>
          <w:tcPr>
            <w:tcW w:w="1417" w:type="dxa"/>
            <w:tcBorders>
              <w:top w:val="nil"/>
              <w:left w:val="nil"/>
              <w:bottom w:val="single" w:sz="4" w:space="0" w:color="auto"/>
              <w:right w:val="single" w:sz="4" w:space="0" w:color="auto"/>
            </w:tcBorders>
            <w:shd w:val="clear" w:color="000000" w:fill="F2F2F2"/>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single" w:sz="4" w:space="0" w:color="auto"/>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56 198</w:t>
            </w:r>
          </w:p>
        </w:tc>
        <w:tc>
          <w:tcPr>
            <w:tcW w:w="1276"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C822DC">
              <w:rPr>
                <w:rFonts w:ascii="Times New Roman" w:eastAsia="Times New Roman" w:hAnsi="Times New Roman" w:cs="Times New Roman"/>
                <w:color w:val="000000"/>
                <w:sz w:val="20"/>
                <w:szCs w:val="20"/>
              </w:rPr>
              <w:t>29 352</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C822DC">
              <w:rPr>
                <w:rFonts w:ascii="Times New Roman" w:eastAsia="Times New Roman" w:hAnsi="Times New Roman" w:cs="Times New Roman"/>
                <w:color w:val="000000"/>
                <w:sz w:val="20"/>
                <w:szCs w:val="20"/>
              </w:rPr>
              <w:t>38 624</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C822DC">
              <w:rPr>
                <w:rFonts w:ascii="Times New Roman" w:eastAsia="Times New Roman" w:hAnsi="Times New Roman" w:cs="Times New Roman"/>
                <w:color w:val="000000"/>
                <w:sz w:val="20"/>
                <w:szCs w:val="20"/>
              </w:rPr>
              <w:t>42 786</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C822DC">
              <w:rPr>
                <w:rFonts w:ascii="Times New Roman" w:eastAsia="Times New Roman" w:hAnsi="Times New Roman" w:cs="Times New Roman"/>
                <w:color w:val="000000"/>
                <w:sz w:val="20"/>
                <w:szCs w:val="20"/>
              </w:rPr>
              <w:t>32 500</w:t>
            </w:r>
          </w:p>
        </w:tc>
        <w:tc>
          <w:tcPr>
            <w:tcW w:w="1074"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25 287</w:t>
            </w:r>
          </w:p>
        </w:tc>
        <w:tc>
          <w:tcPr>
            <w:tcW w:w="110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25 543</w:t>
            </w:r>
          </w:p>
        </w:tc>
        <w:tc>
          <w:tcPr>
            <w:tcW w:w="1119"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16 803</w:t>
            </w:r>
          </w:p>
        </w:tc>
        <w:tc>
          <w:tcPr>
            <w:tcW w:w="1035"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25 696</w:t>
            </w:r>
          </w:p>
        </w:tc>
        <w:tc>
          <w:tcPr>
            <w:tcW w:w="127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15 771</w:t>
            </w:r>
          </w:p>
        </w:tc>
      </w:tr>
      <w:tr w:rsidR="009A5240" w:rsidRPr="008841FC" w:rsidTr="009A5240">
        <w:trPr>
          <w:trHeight w:val="300"/>
        </w:trPr>
        <w:tc>
          <w:tcPr>
            <w:tcW w:w="2709" w:type="dxa"/>
            <w:tcBorders>
              <w:top w:val="nil"/>
              <w:left w:val="nil"/>
              <w:bottom w:val="single" w:sz="4" w:space="0" w:color="auto"/>
              <w:right w:val="nil"/>
            </w:tcBorders>
            <w:shd w:val="clear" w:color="000000" w:fill="F2F2F2"/>
            <w:noWrap/>
            <w:vAlign w:val="center"/>
            <w:hideMark/>
          </w:tcPr>
          <w:p w:rsidR="009A5240" w:rsidRPr="008841FC" w:rsidRDefault="009A5240" w:rsidP="009167E8">
            <w:pPr>
              <w:spacing w:after="0" w:line="240" w:lineRule="auto"/>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xml:space="preserve">- dovoz finálnej </w:t>
            </w:r>
            <w:r w:rsidR="009167E8">
              <w:rPr>
                <w:rFonts w:ascii="Times New Roman" w:eastAsia="Times New Roman" w:hAnsi="Times New Roman" w:cs="Times New Roman"/>
                <w:color w:val="000000"/>
                <w:sz w:val="20"/>
                <w:szCs w:val="20"/>
              </w:rPr>
              <w:t>výroby</w:t>
            </w:r>
            <w:r w:rsidRPr="008841FC">
              <w:rPr>
                <w:rFonts w:ascii="Times New Roman" w:eastAsia="Times New Roman" w:hAnsi="Times New Roman" w:cs="Times New Roman"/>
                <w:color w:val="000000"/>
                <w:sz w:val="20"/>
                <w:szCs w:val="20"/>
              </w:rPr>
              <w:t xml:space="preserve"> celkom</w:t>
            </w:r>
          </w:p>
        </w:tc>
        <w:tc>
          <w:tcPr>
            <w:tcW w:w="1417" w:type="dxa"/>
            <w:tcBorders>
              <w:top w:val="nil"/>
              <w:left w:val="nil"/>
              <w:bottom w:val="single" w:sz="4" w:space="0" w:color="auto"/>
              <w:right w:val="single" w:sz="4" w:space="0" w:color="auto"/>
            </w:tcBorders>
            <w:shd w:val="clear" w:color="000000" w:fill="F2F2F2"/>
            <w:noWrap/>
            <w:vAlign w:val="center"/>
            <w:hideMark/>
          </w:tcPr>
          <w:p w:rsidR="009A5240" w:rsidRPr="008841FC" w:rsidRDefault="009A5240" w:rsidP="009A5240">
            <w:pPr>
              <w:spacing w:after="0" w:line="240" w:lineRule="auto"/>
              <w:jc w:val="center"/>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t</w:t>
            </w:r>
          </w:p>
        </w:tc>
        <w:tc>
          <w:tcPr>
            <w:tcW w:w="1134" w:type="dxa"/>
            <w:tcBorders>
              <w:top w:val="nil"/>
              <w:left w:val="nil"/>
              <w:bottom w:val="single" w:sz="4" w:space="0" w:color="auto"/>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17 035</w:t>
            </w:r>
          </w:p>
        </w:tc>
        <w:tc>
          <w:tcPr>
            <w:tcW w:w="1276"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C822DC">
              <w:rPr>
                <w:rFonts w:ascii="Times New Roman" w:eastAsia="Times New Roman" w:hAnsi="Times New Roman" w:cs="Times New Roman"/>
                <w:color w:val="000000"/>
                <w:sz w:val="20"/>
                <w:szCs w:val="20"/>
              </w:rPr>
              <w:t>22 474</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C822DC">
              <w:rPr>
                <w:rFonts w:ascii="Times New Roman" w:eastAsia="Times New Roman" w:hAnsi="Times New Roman" w:cs="Times New Roman"/>
                <w:color w:val="000000"/>
                <w:sz w:val="20"/>
                <w:szCs w:val="20"/>
              </w:rPr>
              <w:t>27 474</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C822DC">
              <w:rPr>
                <w:rFonts w:ascii="Times New Roman" w:eastAsia="Times New Roman" w:hAnsi="Times New Roman" w:cs="Times New Roman"/>
                <w:color w:val="000000"/>
                <w:sz w:val="20"/>
                <w:szCs w:val="20"/>
              </w:rPr>
              <w:t>50 787</w:t>
            </w:r>
          </w:p>
        </w:tc>
        <w:tc>
          <w:tcPr>
            <w:tcW w:w="960"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 </w:t>
            </w:r>
            <w:r w:rsidR="00C822DC">
              <w:rPr>
                <w:rFonts w:ascii="Times New Roman" w:eastAsia="Times New Roman" w:hAnsi="Times New Roman" w:cs="Times New Roman"/>
                <w:color w:val="000000"/>
                <w:sz w:val="20"/>
                <w:szCs w:val="20"/>
              </w:rPr>
              <w:t>52 951</w:t>
            </w:r>
          </w:p>
        </w:tc>
        <w:tc>
          <w:tcPr>
            <w:tcW w:w="1074"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77 770</w:t>
            </w:r>
          </w:p>
        </w:tc>
        <w:tc>
          <w:tcPr>
            <w:tcW w:w="110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124 123</w:t>
            </w:r>
          </w:p>
        </w:tc>
        <w:tc>
          <w:tcPr>
            <w:tcW w:w="1119" w:type="dxa"/>
            <w:tcBorders>
              <w:top w:val="nil"/>
              <w:left w:val="nil"/>
              <w:bottom w:val="single" w:sz="4" w:space="0" w:color="auto"/>
              <w:right w:val="nil"/>
            </w:tcBorders>
            <w:shd w:val="clear" w:color="000000" w:fill="F2F2F2"/>
            <w:noWrap/>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103 676</w:t>
            </w:r>
          </w:p>
        </w:tc>
        <w:tc>
          <w:tcPr>
            <w:tcW w:w="1035"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121 011</w:t>
            </w:r>
          </w:p>
        </w:tc>
        <w:tc>
          <w:tcPr>
            <w:tcW w:w="1276" w:type="dxa"/>
            <w:tcBorders>
              <w:top w:val="nil"/>
              <w:left w:val="nil"/>
              <w:bottom w:val="single" w:sz="4" w:space="0" w:color="auto"/>
              <w:right w:val="nil"/>
            </w:tcBorders>
            <w:shd w:val="clear" w:color="000000" w:fill="F2F2F2"/>
            <w:vAlign w:val="center"/>
            <w:hideMark/>
          </w:tcPr>
          <w:p w:rsidR="009A5240" w:rsidRPr="008841FC" w:rsidRDefault="009A5240" w:rsidP="009A5240">
            <w:pPr>
              <w:spacing w:after="0" w:line="240" w:lineRule="auto"/>
              <w:jc w:val="right"/>
              <w:rPr>
                <w:rFonts w:ascii="Times New Roman" w:eastAsia="Times New Roman" w:hAnsi="Times New Roman" w:cs="Times New Roman"/>
                <w:color w:val="000000"/>
                <w:sz w:val="20"/>
                <w:szCs w:val="20"/>
              </w:rPr>
            </w:pPr>
            <w:r w:rsidRPr="008841FC">
              <w:rPr>
                <w:rFonts w:ascii="Times New Roman" w:eastAsia="Times New Roman" w:hAnsi="Times New Roman" w:cs="Times New Roman"/>
                <w:color w:val="000000"/>
                <w:sz w:val="20"/>
                <w:szCs w:val="20"/>
              </w:rPr>
              <w:t>170 881</w:t>
            </w:r>
          </w:p>
        </w:tc>
      </w:tr>
      <w:tr w:rsidR="009A5240" w:rsidRPr="008841FC" w:rsidTr="009A5240">
        <w:trPr>
          <w:trHeight w:val="300"/>
        </w:trPr>
        <w:tc>
          <w:tcPr>
            <w:tcW w:w="15026" w:type="dxa"/>
            <w:gridSpan w:val="12"/>
            <w:tcBorders>
              <w:top w:val="nil"/>
              <w:left w:val="nil"/>
              <w:bottom w:val="nil"/>
            </w:tcBorders>
            <w:shd w:val="clear" w:color="000000" w:fill="FFFFFF"/>
            <w:noWrap/>
            <w:vAlign w:val="center"/>
            <w:hideMark/>
          </w:tcPr>
          <w:p w:rsidR="009A5240" w:rsidRPr="008841FC" w:rsidRDefault="009A5240" w:rsidP="009A5240">
            <w:pPr>
              <w:spacing w:after="0" w:line="240" w:lineRule="auto"/>
              <w:rPr>
                <w:rFonts w:ascii="Calibri" w:eastAsia="Times New Roman" w:hAnsi="Calibri" w:cs="Calibri"/>
                <w:color w:val="000000"/>
              </w:rPr>
            </w:pPr>
            <w:r w:rsidRPr="008841FC">
              <w:rPr>
                <w:rFonts w:ascii="Times New Roman" w:eastAsia="Times New Roman" w:hAnsi="Times New Roman" w:cs="Times New Roman"/>
                <w:color w:val="000000"/>
                <w:sz w:val="20"/>
                <w:szCs w:val="20"/>
              </w:rPr>
              <w:t>* v domácej spotrebe slnečnice sú započítané aj počiatočné zásoby na začiatku roka 2007 vo výške 27 294 t</w:t>
            </w:r>
          </w:p>
        </w:tc>
      </w:tr>
    </w:tbl>
    <w:p w:rsidR="009A5240" w:rsidRDefault="009A5240" w:rsidP="008475C4">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Zdroj: VÚEPP</w:t>
      </w:r>
      <w:r>
        <w:rPr>
          <w:rFonts w:ascii="Times New Roman" w:hAnsi="Times New Roman" w:cs="Times New Roman"/>
          <w:sz w:val="20"/>
          <w:szCs w:val="20"/>
        </w:rPr>
        <w:t>, RADELA, colná štatistik</w:t>
      </w:r>
      <w:r w:rsidR="008475C4">
        <w:rPr>
          <w:rFonts w:ascii="Times New Roman" w:hAnsi="Times New Roman" w:cs="Times New Roman"/>
          <w:sz w:val="20"/>
          <w:szCs w:val="20"/>
        </w:rPr>
        <w:t>a, prepočty MPRV</w:t>
      </w:r>
    </w:p>
    <w:p w:rsidR="009A5240" w:rsidRPr="008475C4" w:rsidRDefault="00D86A54" w:rsidP="008475C4">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Príloha č. 15</w:t>
      </w:r>
      <w:r w:rsidR="009A5240" w:rsidRPr="008475C4">
        <w:rPr>
          <w:rFonts w:ascii="Times New Roman" w:hAnsi="Times New Roman" w:cs="Times New Roman"/>
          <w:b/>
          <w:sz w:val="20"/>
          <w:szCs w:val="20"/>
        </w:rPr>
        <w:t>: Bilancia zemiakov v hospodárskych rokoch</w:t>
      </w:r>
    </w:p>
    <w:tbl>
      <w:tblPr>
        <w:tblW w:w="15026" w:type="dxa"/>
        <w:tblInd w:w="-497" w:type="dxa"/>
        <w:tblCellMar>
          <w:left w:w="70" w:type="dxa"/>
          <w:right w:w="70" w:type="dxa"/>
        </w:tblCellMar>
        <w:tblLook w:val="04A0" w:firstRow="1" w:lastRow="0" w:firstColumn="1" w:lastColumn="0" w:noHBand="0" w:noVBand="1"/>
      </w:tblPr>
      <w:tblGrid>
        <w:gridCol w:w="1780"/>
        <w:gridCol w:w="2331"/>
        <w:gridCol w:w="1134"/>
        <w:gridCol w:w="1276"/>
        <w:gridCol w:w="960"/>
        <w:gridCol w:w="960"/>
        <w:gridCol w:w="960"/>
        <w:gridCol w:w="1089"/>
        <w:gridCol w:w="1134"/>
        <w:gridCol w:w="1134"/>
        <w:gridCol w:w="960"/>
        <w:gridCol w:w="1308"/>
      </w:tblGrid>
      <w:tr w:rsidR="009A5240" w:rsidRPr="00581CD5" w:rsidTr="00D86A54">
        <w:trPr>
          <w:trHeight w:val="300"/>
        </w:trPr>
        <w:tc>
          <w:tcPr>
            <w:tcW w:w="1780" w:type="dxa"/>
            <w:tcBorders>
              <w:top w:val="single" w:sz="4" w:space="0" w:color="auto"/>
              <w:left w:val="nil"/>
              <w:bottom w:val="single" w:sz="4" w:space="0" w:color="auto"/>
              <w:right w:val="nil"/>
            </w:tcBorders>
            <w:shd w:val="clear" w:color="000000" w:fill="D9D9D9"/>
            <w:noWrap/>
            <w:vAlign w:val="bottom"/>
            <w:hideMark/>
          </w:tcPr>
          <w:p w:rsidR="009A5240" w:rsidRPr="00581CD5" w:rsidRDefault="009A5240" w:rsidP="009A5240">
            <w:pPr>
              <w:spacing w:after="0" w:line="240" w:lineRule="auto"/>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Ukazovateľ</w:t>
            </w:r>
          </w:p>
        </w:tc>
        <w:tc>
          <w:tcPr>
            <w:tcW w:w="2331" w:type="dxa"/>
            <w:tcBorders>
              <w:top w:val="single" w:sz="4" w:space="0" w:color="auto"/>
              <w:left w:val="nil"/>
              <w:bottom w:val="single" w:sz="4" w:space="0" w:color="auto"/>
              <w:right w:val="single" w:sz="4" w:space="0" w:color="auto"/>
            </w:tcBorders>
            <w:shd w:val="clear" w:color="000000" w:fill="D9D9D9"/>
            <w:noWrap/>
            <w:vAlign w:val="bottom"/>
            <w:hideMark/>
          </w:tcPr>
          <w:p w:rsidR="009A5240" w:rsidRPr="00581CD5" w:rsidRDefault="009A5240" w:rsidP="009A5240">
            <w:pPr>
              <w:spacing w:after="0" w:line="240" w:lineRule="auto"/>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 </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2002/03</w:t>
            </w:r>
          </w:p>
        </w:tc>
        <w:tc>
          <w:tcPr>
            <w:tcW w:w="1276" w:type="dxa"/>
            <w:tcBorders>
              <w:top w:val="single" w:sz="4" w:space="0" w:color="auto"/>
              <w:left w:val="nil"/>
              <w:bottom w:val="single" w:sz="4" w:space="0" w:color="auto"/>
              <w:right w:val="nil"/>
            </w:tcBorders>
            <w:shd w:val="clear" w:color="000000" w:fill="D9D9D9"/>
            <w:noWrap/>
            <w:vAlign w:val="bottom"/>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2003/04</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2004/05</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2005/06</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2006/07</w:t>
            </w:r>
          </w:p>
        </w:tc>
        <w:tc>
          <w:tcPr>
            <w:tcW w:w="1089" w:type="dxa"/>
            <w:tcBorders>
              <w:top w:val="single" w:sz="4" w:space="0" w:color="auto"/>
              <w:left w:val="nil"/>
              <w:bottom w:val="single" w:sz="4" w:space="0" w:color="auto"/>
              <w:right w:val="nil"/>
            </w:tcBorders>
            <w:shd w:val="clear" w:color="000000" w:fill="D9D9D9"/>
            <w:noWrap/>
            <w:vAlign w:val="bottom"/>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2007/08</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2008/09</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2009/10</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2010/11</w:t>
            </w:r>
          </w:p>
        </w:tc>
        <w:tc>
          <w:tcPr>
            <w:tcW w:w="1308" w:type="dxa"/>
            <w:tcBorders>
              <w:top w:val="single" w:sz="4" w:space="0" w:color="auto"/>
              <w:left w:val="nil"/>
              <w:bottom w:val="single" w:sz="4" w:space="0" w:color="auto"/>
              <w:right w:val="nil"/>
            </w:tcBorders>
            <w:shd w:val="clear" w:color="000000" w:fill="D9D9D9"/>
            <w:noWrap/>
            <w:vAlign w:val="bottom"/>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2011/12</w:t>
            </w:r>
          </w:p>
        </w:tc>
      </w:tr>
      <w:tr w:rsidR="009A5240" w:rsidRPr="00581CD5" w:rsidTr="009A5240">
        <w:trPr>
          <w:trHeight w:val="300"/>
        </w:trPr>
        <w:tc>
          <w:tcPr>
            <w:tcW w:w="1780" w:type="dxa"/>
            <w:tcBorders>
              <w:top w:val="nil"/>
              <w:left w:val="nil"/>
              <w:bottom w:val="nil"/>
              <w:right w:val="nil"/>
            </w:tcBorders>
            <w:shd w:val="clear" w:color="auto" w:fill="auto"/>
            <w:vAlign w:val="center"/>
            <w:hideMark/>
          </w:tcPr>
          <w:p w:rsidR="009A5240" w:rsidRPr="00581CD5" w:rsidRDefault="009A5240" w:rsidP="009A5240">
            <w:pPr>
              <w:spacing w:after="0" w:line="240" w:lineRule="auto"/>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Zberová plocha</w:t>
            </w:r>
          </w:p>
        </w:tc>
        <w:tc>
          <w:tcPr>
            <w:tcW w:w="2331" w:type="dxa"/>
            <w:tcBorders>
              <w:top w:val="nil"/>
              <w:left w:val="nil"/>
              <w:bottom w:val="nil"/>
              <w:right w:val="single" w:sz="4" w:space="0" w:color="auto"/>
            </w:tcBorders>
            <w:shd w:val="clear" w:color="auto" w:fill="auto"/>
            <w:vAlign w:val="center"/>
            <w:hideMark/>
          </w:tcPr>
          <w:p w:rsidR="009A5240" w:rsidRPr="00581CD5" w:rsidRDefault="009A5240" w:rsidP="009A5240">
            <w:pPr>
              <w:spacing w:after="0" w:line="240" w:lineRule="auto"/>
              <w:jc w:val="center"/>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 xml:space="preserve">tis. ha </w:t>
            </w:r>
          </w:p>
        </w:tc>
        <w:tc>
          <w:tcPr>
            <w:tcW w:w="1134"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26,1</w:t>
            </w:r>
          </w:p>
        </w:tc>
        <w:tc>
          <w:tcPr>
            <w:tcW w:w="1276"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25,7</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24,2</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19,1</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18,4</w:t>
            </w:r>
          </w:p>
        </w:tc>
        <w:tc>
          <w:tcPr>
            <w:tcW w:w="1089"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17,8</w:t>
            </w:r>
          </w:p>
        </w:tc>
        <w:tc>
          <w:tcPr>
            <w:tcW w:w="1134"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14,3</w:t>
            </w:r>
          </w:p>
        </w:tc>
        <w:tc>
          <w:tcPr>
            <w:tcW w:w="1134"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11,6</w:t>
            </w:r>
          </w:p>
        </w:tc>
        <w:tc>
          <w:tcPr>
            <w:tcW w:w="960"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10,9</w:t>
            </w:r>
          </w:p>
        </w:tc>
        <w:tc>
          <w:tcPr>
            <w:tcW w:w="1308"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10,4</w:t>
            </w:r>
          </w:p>
        </w:tc>
      </w:tr>
      <w:tr w:rsidR="009A5240" w:rsidRPr="00581CD5" w:rsidTr="009A5240">
        <w:trPr>
          <w:trHeight w:val="300"/>
        </w:trPr>
        <w:tc>
          <w:tcPr>
            <w:tcW w:w="1780" w:type="dxa"/>
            <w:tcBorders>
              <w:top w:val="nil"/>
              <w:left w:val="nil"/>
              <w:bottom w:val="nil"/>
              <w:right w:val="nil"/>
            </w:tcBorders>
            <w:shd w:val="clear" w:color="auto" w:fill="auto"/>
            <w:vAlign w:val="center"/>
            <w:hideMark/>
          </w:tcPr>
          <w:p w:rsidR="009A5240" w:rsidRPr="00581CD5" w:rsidRDefault="009A5240" w:rsidP="009A5240">
            <w:pPr>
              <w:spacing w:after="0" w:line="240" w:lineRule="auto"/>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 xml:space="preserve">Hektárová úroda </w:t>
            </w:r>
          </w:p>
        </w:tc>
        <w:tc>
          <w:tcPr>
            <w:tcW w:w="2331" w:type="dxa"/>
            <w:tcBorders>
              <w:top w:val="nil"/>
              <w:left w:val="nil"/>
              <w:bottom w:val="nil"/>
              <w:right w:val="single" w:sz="4" w:space="0" w:color="auto"/>
            </w:tcBorders>
            <w:shd w:val="clear" w:color="auto" w:fill="auto"/>
            <w:vAlign w:val="center"/>
            <w:hideMark/>
          </w:tcPr>
          <w:p w:rsidR="009A5240" w:rsidRPr="00581CD5" w:rsidRDefault="009A5240" w:rsidP="009A5240">
            <w:pPr>
              <w:spacing w:after="0" w:line="240" w:lineRule="auto"/>
              <w:jc w:val="center"/>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 xml:space="preserve">t/ha </w:t>
            </w:r>
          </w:p>
        </w:tc>
        <w:tc>
          <w:tcPr>
            <w:tcW w:w="1134"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18,6</w:t>
            </w:r>
          </w:p>
        </w:tc>
        <w:tc>
          <w:tcPr>
            <w:tcW w:w="1276"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15,27</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15,76</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15,77</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14,31</w:t>
            </w:r>
          </w:p>
        </w:tc>
        <w:tc>
          <w:tcPr>
            <w:tcW w:w="1089"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16,2</w:t>
            </w:r>
          </w:p>
        </w:tc>
        <w:tc>
          <w:tcPr>
            <w:tcW w:w="1134"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17,2</w:t>
            </w:r>
          </w:p>
        </w:tc>
        <w:tc>
          <w:tcPr>
            <w:tcW w:w="1134"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18,6</w:t>
            </w:r>
          </w:p>
        </w:tc>
        <w:tc>
          <w:tcPr>
            <w:tcW w:w="960"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11,5</w:t>
            </w:r>
          </w:p>
        </w:tc>
        <w:tc>
          <w:tcPr>
            <w:tcW w:w="1308"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20,9</w:t>
            </w:r>
          </w:p>
        </w:tc>
      </w:tr>
      <w:tr w:rsidR="009A5240" w:rsidRPr="00581CD5" w:rsidTr="009A5240">
        <w:trPr>
          <w:trHeight w:val="300"/>
        </w:trPr>
        <w:tc>
          <w:tcPr>
            <w:tcW w:w="1780" w:type="dxa"/>
            <w:tcBorders>
              <w:top w:val="nil"/>
              <w:left w:val="nil"/>
              <w:bottom w:val="nil"/>
              <w:right w:val="nil"/>
            </w:tcBorders>
            <w:shd w:val="clear" w:color="auto" w:fill="auto"/>
            <w:vAlign w:val="center"/>
            <w:hideMark/>
          </w:tcPr>
          <w:p w:rsidR="009A5240" w:rsidRPr="00581CD5" w:rsidRDefault="009A5240" w:rsidP="009A5240">
            <w:pPr>
              <w:spacing w:after="0" w:line="240" w:lineRule="auto"/>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 xml:space="preserve">Produkcia </w:t>
            </w:r>
          </w:p>
        </w:tc>
        <w:tc>
          <w:tcPr>
            <w:tcW w:w="2331" w:type="dxa"/>
            <w:tcBorders>
              <w:top w:val="nil"/>
              <w:left w:val="nil"/>
              <w:bottom w:val="nil"/>
              <w:right w:val="single" w:sz="4" w:space="0" w:color="auto"/>
            </w:tcBorders>
            <w:shd w:val="clear" w:color="auto" w:fill="auto"/>
            <w:vAlign w:val="center"/>
            <w:hideMark/>
          </w:tcPr>
          <w:p w:rsidR="009A5240" w:rsidRPr="00581CD5" w:rsidRDefault="009A5240" w:rsidP="009A5240">
            <w:pPr>
              <w:spacing w:after="0" w:line="240" w:lineRule="auto"/>
              <w:jc w:val="center"/>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 xml:space="preserve">tis. t </w:t>
            </w:r>
          </w:p>
        </w:tc>
        <w:tc>
          <w:tcPr>
            <w:tcW w:w="1134"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484,3</w:t>
            </w:r>
          </w:p>
        </w:tc>
        <w:tc>
          <w:tcPr>
            <w:tcW w:w="1276"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392,4</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382</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301,2</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263,1</w:t>
            </w:r>
          </w:p>
        </w:tc>
        <w:tc>
          <w:tcPr>
            <w:tcW w:w="1089"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287,7</w:t>
            </w:r>
          </w:p>
        </w:tc>
        <w:tc>
          <w:tcPr>
            <w:tcW w:w="1134"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245,3</w:t>
            </w:r>
          </w:p>
        </w:tc>
        <w:tc>
          <w:tcPr>
            <w:tcW w:w="1134"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216,1</w:t>
            </w:r>
          </w:p>
        </w:tc>
        <w:tc>
          <w:tcPr>
            <w:tcW w:w="960"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125,9</w:t>
            </w:r>
          </w:p>
        </w:tc>
        <w:tc>
          <w:tcPr>
            <w:tcW w:w="1308"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217,3</w:t>
            </w:r>
          </w:p>
        </w:tc>
      </w:tr>
      <w:tr w:rsidR="009A5240" w:rsidRPr="00581CD5" w:rsidTr="009A5240">
        <w:trPr>
          <w:trHeight w:val="300"/>
        </w:trPr>
        <w:tc>
          <w:tcPr>
            <w:tcW w:w="1780" w:type="dxa"/>
            <w:tcBorders>
              <w:top w:val="nil"/>
              <w:left w:val="nil"/>
              <w:bottom w:val="nil"/>
              <w:right w:val="nil"/>
            </w:tcBorders>
            <w:shd w:val="clear" w:color="auto" w:fill="auto"/>
            <w:vAlign w:val="center"/>
            <w:hideMark/>
          </w:tcPr>
          <w:p w:rsidR="009A5240" w:rsidRPr="00581CD5" w:rsidRDefault="009A5240" w:rsidP="009A5240">
            <w:pPr>
              <w:spacing w:after="0" w:line="240" w:lineRule="auto"/>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 xml:space="preserve">Dovoz </w:t>
            </w:r>
          </w:p>
        </w:tc>
        <w:tc>
          <w:tcPr>
            <w:tcW w:w="2331" w:type="dxa"/>
            <w:tcBorders>
              <w:top w:val="nil"/>
              <w:left w:val="nil"/>
              <w:bottom w:val="nil"/>
              <w:right w:val="single" w:sz="4" w:space="0" w:color="auto"/>
            </w:tcBorders>
            <w:shd w:val="clear" w:color="auto" w:fill="auto"/>
            <w:vAlign w:val="center"/>
            <w:hideMark/>
          </w:tcPr>
          <w:p w:rsidR="009A5240" w:rsidRPr="00581CD5" w:rsidRDefault="009A5240" w:rsidP="009A5240">
            <w:pPr>
              <w:spacing w:after="0" w:line="240" w:lineRule="auto"/>
              <w:jc w:val="center"/>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 xml:space="preserve">tis. t </w:t>
            </w:r>
          </w:p>
        </w:tc>
        <w:tc>
          <w:tcPr>
            <w:tcW w:w="1134"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31,6</w:t>
            </w:r>
          </w:p>
        </w:tc>
        <w:tc>
          <w:tcPr>
            <w:tcW w:w="1276"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31,8</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54,6</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66,7</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79,7</w:t>
            </w:r>
          </w:p>
        </w:tc>
        <w:tc>
          <w:tcPr>
            <w:tcW w:w="1089"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55,5</w:t>
            </w:r>
          </w:p>
        </w:tc>
        <w:tc>
          <w:tcPr>
            <w:tcW w:w="1134"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74,9</w:t>
            </w:r>
          </w:p>
        </w:tc>
        <w:tc>
          <w:tcPr>
            <w:tcW w:w="1134"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79,7</w:t>
            </w:r>
          </w:p>
        </w:tc>
        <w:tc>
          <w:tcPr>
            <w:tcW w:w="960"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157,2</w:t>
            </w:r>
          </w:p>
        </w:tc>
        <w:tc>
          <w:tcPr>
            <w:tcW w:w="1308"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74,1</w:t>
            </w:r>
          </w:p>
        </w:tc>
      </w:tr>
      <w:tr w:rsidR="009A5240" w:rsidRPr="00581CD5" w:rsidTr="009A5240">
        <w:trPr>
          <w:trHeight w:val="300"/>
        </w:trPr>
        <w:tc>
          <w:tcPr>
            <w:tcW w:w="1780" w:type="dxa"/>
            <w:tcBorders>
              <w:top w:val="nil"/>
              <w:left w:val="nil"/>
              <w:bottom w:val="nil"/>
              <w:right w:val="nil"/>
            </w:tcBorders>
            <w:shd w:val="clear" w:color="auto" w:fill="auto"/>
            <w:vAlign w:val="center"/>
            <w:hideMark/>
          </w:tcPr>
          <w:p w:rsidR="009A5240" w:rsidRPr="00581CD5" w:rsidRDefault="009A5240" w:rsidP="009A5240">
            <w:pPr>
              <w:spacing w:after="0" w:line="240" w:lineRule="auto"/>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 xml:space="preserve">  z toho sadivo</w:t>
            </w:r>
          </w:p>
        </w:tc>
        <w:tc>
          <w:tcPr>
            <w:tcW w:w="2331" w:type="dxa"/>
            <w:tcBorders>
              <w:top w:val="nil"/>
              <w:left w:val="nil"/>
              <w:bottom w:val="nil"/>
              <w:right w:val="single" w:sz="4" w:space="0" w:color="auto"/>
            </w:tcBorders>
            <w:shd w:val="clear" w:color="auto" w:fill="auto"/>
            <w:vAlign w:val="center"/>
            <w:hideMark/>
          </w:tcPr>
          <w:p w:rsidR="009A5240" w:rsidRPr="00581CD5" w:rsidRDefault="009A5240" w:rsidP="009A5240">
            <w:pPr>
              <w:spacing w:after="0" w:line="240" w:lineRule="auto"/>
              <w:jc w:val="center"/>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 xml:space="preserve">tis. t </w:t>
            </w:r>
          </w:p>
        </w:tc>
        <w:tc>
          <w:tcPr>
            <w:tcW w:w="1134"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3,9</w:t>
            </w:r>
          </w:p>
        </w:tc>
        <w:tc>
          <w:tcPr>
            <w:tcW w:w="1276"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5,7</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5,1</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7,7</w:t>
            </w:r>
          </w:p>
        </w:tc>
        <w:tc>
          <w:tcPr>
            <w:tcW w:w="1089"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4,6</w:t>
            </w:r>
          </w:p>
        </w:tc>
        <w:tc>
          <w:tcPr>
            <w:tcW w:w="1134"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5,7</w:t>
            </w:r>
          </w:p>
        </w:tc>
        <w:tc>
          <w:tcPr>
            <w:tcW w:w="1134"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3,1</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9,3</w:t>
            </w:r>
          </w:p>
        </w:tc>
        <w:tc>
          <w:tcPr>
            <w:tcW w:w="1308"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4,2</w:t>
            </w:r>
          </w:p>
        </w:tc>
      </w:tr>
      <w:tr w:rsidR="009A5240" w:rsidRPr="00581CD5" w:rsidTr="009A5240">
        <w:trPr>
          <w:trHeight w:val="300"/>
        </w:trPr>
        <w:tc>
          <w:tcPr>
            <w:tcW w:w="1780" w:type="dxa"/>
            <w:tcBorders>
              <w:top w:val="nil"/>
              <w:left w:val="nil"/>
              <w:bottom w:val="single" w:sz="4" w:space="0" w:color="auto"/>
              <w:right w:val="nil"/>
            </w:tcBorders>
            <w:shd w:val="clear" w:color="auto" w:fill="auto"/>
            <w:vAlign w:val="center"/>
            <w:hideMark/>
          </w:tcPr>
          <w:p w:rsidR="009A5240" w:rsidRPr="00581CD5" w:rsidRDefault="009A5240" w:rsidP="009A5240">
            <w:pPr>
              <w:spacing w:after="0" w:line="240" w:lineRule="auto"/>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 xml:space="preserve">Celková ponuka </w:t>
            </w:r>
          </w:p>
        </w:tc>
        <w:tc>
          <w:tcPr>
            <w:tcW w:w="2331" w:type="dxa"/>
            <w:tcBorders>
              <w:top w:val="nil"/>
              <w:left w:val="nil"/>
              <w:bottom w:val="single" w:sz="4" w:space="0" w:color="auto"/>
              <w:right w:val="single" w:sz="4" w:space="0" w:color="auto"/>
            </w:tcBorders>
            <w:shd w:val="clear" w:color="auto" w:fill="auto"/>
            <w:vAlign w:val="center"/>
            <w:hideMark/>
          </w:tcPr>
          <w:p w:rsidR="009A5240" w:rsidRPr="00581CD5" w:rsidRDefault="009A5240" w:rsidP="009A5240">
            <w:pPr>
              <w:spacing w:after="0" w:line="240" w:lineRule="auto"/>
              <w:jc w:val="center"/>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tis. t</w:t>
            </w:r>
          </w:p>
        </w:tc>
        <w:tc>
          <w:tcPr>
            <w:tcW w:w="1134" w:type="dxa"/>
            <w:tcBorders>
              <w:top w:val="nil"/>
              <w:left w:val="nil"/>
              <w:bottom w:val="single" w:sz="4" w:space="0" w:color="auto"/>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515,9</w:t>
            </w:r>
          </w:p>
        </w:tc>
        <w:tc>
          <w:tcPr>
            <w:tcW w:w="1276" w:type="dxa"/>
            <w:tcBorders>
              <w:top w:val="nil"/>
              <w:left w:val="nil"/>
              <w:bottom w:val="single" w:sz="4" w:space="0" w:color="auto"/>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424,2</w:t>
            </w:r>
          </w:p>
        </w:tc>
        <w:tc>
          <w:tcPr>
            <w:tcW w:w="960" w:type="dxa"/>
            <w:tcBorders>
              <w:top w:val="nil"/>
              <w:left w:val="nil"/>
              <w:bottom w:val="single" w:sz="4" w:space="0" w:color="auto"/>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436,6</w:t>
            </w:r>
          </w:p>
        </w:tc>
        <w:tc>
          <w:tcPr>
            <w:tcW w:w="960" w:type="dxa"/>
            <w:tcBorders>
              <w:top w:val="nil"/>
              <w:left w:val="nil"/>
              <w:bottom w:val="single" w:sz="4" w:space="0" w:color="auto"/>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367,9</w:t>
            </w:r>
          </w:p>
        </w:tc>
        <w:tc>
          <w:tcPr>
            <w:tcW w:w="960" w:type="dxa"/>
            <w:tcBorders>
              <w:top w:val="nil"/>
              <w:left w:val="nil"/>
              <w:bottom w:val="single" w:sz="4" w:space="0" w:color="auto"/>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342,8</w:t>
            </w:r>
          </w:p>
        </w:tc>
        <w:tc>
          <w:tcPr>
            <w:tcW w:w="1089" w:type="dxa"/>
            <w:tcBorders>
              <w:top w:val="nil"/>
              <w:left w:val="nil"/>
              <w:bottom w:val="single" w:sz="4" w:space="0" w:color="auto"/>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343,2</w:t>
            </w:r>
          </w:p>
        </w:tc>
        <w:tc>
          <w:tcPr>
            <w:tcW w:w="1134" w:type="dxa"/>
            <w:tcBorders>
              <w:top w:val="nil"/>
              <w:left w:val="nil"/>
              <w:bottom w:val="single" w:sz="4" w:space="0" w:color="auto"/>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320,2</w:t>
            </w:r>
          </w:p>
        </w:tc>
        <w:tc>
          <w:tcPr>
            <w:tcW w:w="1134" w:type="dxa"/>
            <w:tcBorders>
              <w:top w:val="nil"/>
              <w:left w:val="nil"/>
              <w:bottom w:val="single" w:sz="4" w:space="0" w:color="auto"/>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295,8</w:t>
            </w:r>
          </w:p>
        </w:tc>
        <w:tc>
          <w:tcPr>
            <w:tcW w:w="960" w:type="dxa"/>
            <w:tcBorders>
              <w:top w:val="nil"/>
              <w:left w:val="nil"/>
              <w:bottom w:val="single" w:sz="4" w:space="0" w:color="auto"/>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283,1</w:t>
            </w:r>
          </w:p>
        </w:tc>
        <w:tc>
          <w:tcPr>
            <w:tcW w:w="1308" w:type="dxa"/>
            <w:tcBorders>
              <w:top w:val="nil"/>
              <w:left w:val="nil"/>
              <w:bottom w:val="single" w:sz="4" w:space="0" w:color="auto"/>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b/>
                <w:bCs/>
                <w:color w:val="000000"/>
                <w:sz w:val="20"/>
                <w:szCs w:val="20"/>
              </w:rPr>
            </w:pPr>
            <w:r w:rsidRPr="00581CD5">
              <w:rPr>
                <w:rFonts w:ascii="Times New Roman" w:eastAsia="Times New Roman" w:hAnsi="Times New Roman" w:cs="Times New Roman"/>
                <w:b/>
                <w:bCs/>
                <w:color w:val="000000"/>
                <w:sz w:val="20"/>
                <w:szCs w:val="20"/>
              </w:rPr>
              <w:t>291,4</w:t>
            </w:r>
          </w:p>
        </w:tc>
      </w:tr>
      <w:tr w:rsidR="009A5240" w:rsidRPr="00581CD5" w:rsidTr="009A5240">
        <w:trPr>
          <w:trHeight w:val="510"/>
        </w:trPr>
        <w:tc>
          <w:tcPr>
            <w:tcW w:w="1780" w:type="dxa"/>
            <w:tcBorders>
              <w:top w:val="nil"/>
              <w:left w:val="nil"/>
              <w:bottom w:val="nil"/>
              <w:right w:val="nil"/>
            </w:tcBorders>
            <w:shd w:val="clear" w:color="auto" w:fill="auto"/>
            <w:vAlign w:val="center"/>
            <w:hideMark/>
          </w:tcPr>
          <w:p w:rsidR="009A5240" w:rsidRPr="00581CD5" w:rsidRDefault="009A5240" w:rsidP="009A5240">
            <w:pPr>
              <w:spacing w:after="0" w:line="240" w:lineRule="auto"/>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Potravinárska spotreba</w:t>
            </w:r>
          </w:p>
        </w:tc>
        <w:tc>
          <w:tcPr>
            <w:tcW w:w="2331" w:type="dxa"/>
            <w:tcBorders>
              <w:top w:val="nil"/>
              <w:left w:val="nil"/>
              <w:bottom w:val="nil"/>
              <w:right w:val="single" w:sz="4" w:space="0" w:color="auto"/>
            </w:tcBorders>
            <w:shd w:val="clear" w:color="auto" w:fill="auto"/>
            <w:vAlign w:val="center"/>
            <w:hideMark/>
          </w:tcPr>
          <w:p w:rsidR="009A5240" w:rsidRPr="00581CD5" w:rsidRDefault="009A5240" w:rsidP="009A5240">
            <w:pPr>
              <w:spacing w:after="0" w:line="240" w:lineRule="auto"/>
              <w:jc w:val="center"/>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tis. t</w:t>
            </w:r>
          </w:p>
        </w:tc>
        <w:tc>
          <w:tcPr>
            <w:tcW w:w="1134"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402,9</w:t>
            </w:r>
          </w:p>
        </w:tc>
        <w:tc>
          <w:tcPr>
            <w:tcW w:w="1276"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356,9</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345,6</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307,6</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285,1</w:t>
            </w:r>
          </w:p>
        </w:tc>
        <w:tc>
          <w:tcPr>
            <w:tcW w:w="1089"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297,8</w:t>
            </w:r>
          </w:p>
        </w:tc>
        <w:tc>
          <w:tcPr>
            <w:tcW w:w="1134"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274,5</w:t>
            </w:r>
          </w:p>
        </w:tc>
        <w:tc>
          <w:tcPr>
            <w:tcW w:w="1134"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263,3</w:t>
            </w:r>
          </w:p>
        </w:tc>
        <w:tc>
          <w:tcPr>
            <w:tcW w:w="960"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258,2</w:t>
            </w:r>
          </w:p>
        </w:tc>
        <w:tc>
          <w:tcPr>
            <w:tcW w:w="1308"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263,6</w:t>
            </w:r>
          </w:p>
        </w:tc>
      </w:tr>
      <w:tr w:rsidR="009A5240" w:rsidRPr="00581CD5" w:rsidTr="009A5240">
        <w:trPr>
          <w:trHeight w:val="300"/>
        </w:trPr>
        <w:tc>
          <w:tcPr>
            <w:tcW w:w="1780" w:type="dxa"/>
            <w:tcBorders>
              <w:top w:val="nil"/>
              <w:left w:val="nil"/>
              <w:bottom w:val="nil"/>
              <w:right w:val="nil"/>
            </w:tcBorders>
            <w:shd w:val="clear" w:color="auto" w:fill="auto"/>
            <w:vAlign w:val="center"/>
            <w:hideMark/>
          </w:tcPr>
          <w:p w:rsidR="009A5240" w:rsidRPr="00581CD5" w:rsidRDefault="009A5240" w:rsidP="009A5240">
            <w:pPr>
              <w:spacing w:after="0" w:line="240" w:lineRule="auto"/>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Spotreba sadiva</w:t>
            </w:r>
          </w:p>
        </w:tc>
        <w:tc>
          <w:tcPr>
            <w:tcW w:w="2331" w:type="dxa"/>
            <w:tcBorders>
              <w:top w:val="nil"/>
              <w:left w:val="nil"/>
              <w:bottom w:val="nil"/>
              <w:right w:val="single" w:sz="4" w:space="0" w:color="auto"/>
            </w:tcBorders>
            <w:shd w:val="clear" w:color="auto" w:fill="auto"/>
            <w:vAlign w:val="center"/>
            <w:hideMark/>
          </w:tcPr>
          <w:p w:rsidR="009A5240" w:rsidRPr="00581CD5" w:rsidRDefault="009A5240" w:rsidP="009A5240">
            <w:pPr>
              <w:spacing w:after="0" w:line="240" w:lineRule="auto"/>
              <w:jc w:val="center"/>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tis. t</w:t>
            </w:r>
          </w:p>
        </w:tc>
        <w:tc>
          <w:tcPr>
            <w:tcW w:w="1134"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82,5</w:t>
            </w:r>
          </w:p>
        </w:tc>
        <w:tc>
          <w:tcPr>
            <w:tcW w:w="1276"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60,8</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63,6</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35,3</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38</w:t>
            </w:r>
            <w:r>
              <w:rPr>
                <w:rFonts w:ascii="Times New Roman" w:eastAsia="Times New Roman" w:hAnsi="Times New Roman" w:cs="Times New Roman"/>
                <w:color w:val="000000"/>
                <w:sz w:val="20"/>
                <w:szCs w:val="20"/>
              </w:rPr>
              <w:t>,0</w:t>
            </w:r>
          </w:p>
        </w:tc>
        <w:tc>
          <w:tcPr>
            <w:tcW w:w="1089"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35,7</w:t>
            </w:r>
          </w:p>
        </w:tc>
        <w:tc>
          <w:tcPr>
            <w:tcW w:w="1134"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28</w:t>
            </w:r>
          </w:p>
        </w:tc>
        <w:tc>
          <w:tcPr>
            <w:tcW w:w="1134"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25,5</w:t>
            </w:r>
          </w:p>
        </w:tc>
        <w:tc>
          <w:tcPr>
            <w:tcW w:w="960"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23</w:t>
            </w:r>
            <w:r>
              <w:rPr>
                <w:rFonts w:ascii="Times New Roman" w:eastAsia="Times New Roman" w:hAnsi="Times New Roman" w:cs="Times New Roman"/>
                <w:color w:val="000000"/>
                <w:sz w:val="20"/>
                <w:szCs w:val="20"/>
              </w:rPr>
              <w:t>,0</w:t>
            </w:r>
          </w:p>
        </w:tc>
        <w:tc>
          <w:tcPr>
            <w:tcW w:w="1308"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22,5</w:t>
            </w:r>
          </w:p>
        </w:tc>
      </w:tr>
      <w:tr w:rsidR="009A5240" w:rsidRPr="00581CD5" w:rsidTr="009A5240">
        <w:trPr>
          <w:trHeight w:val="300"/>
        </w:trPr>
        <w:tc>
          <w:tcPr>
            <w:tcW w:w="1780" w:type="dxa"/>
            <w:tcBorders>
              <w:top w:val="nil"/>
              <w:left w:val="nil"/>
              <w:bottom w:val="nil"/>
              <w:right w:val="nil"/>
            </w:tcBorders>
            <w:shd w:val="clear" w:color="auto" w:fill="auto"/>
            <w:vAlign w:val="center"/>
            <w:hideMark/>
          </w:tcPr>
          <w:p w:rsidR="009A5240" w:rsidRPr="00581CD5" w:rsidRDefault="009A5240" w:rsidP="009A5240">
            <w:pPr>
              <w:spacing w:after="0" w:line="240" w:lineRule="auto"/>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Kŕmenie a straty</w:t>
            </w:r>
          </w:p>
        </w:tc>
        <w:tc>
          <w:tcPr>
            <w:tcW w:w="2331" w:type="dxa"/>
            <w:tcBorders>
              <w:top w:val="nil"/>
              <w:left w:val="nil"/>
              <w:bottom w:val="nil"/>
              <w:right w:val="single" w:sz="4" w:space="0" w:color="auto"/>
            </w:tcBorders>
            <w:shd w:val="clear" w:color="auto" w:fill="auto"/>
            <w:vAlign w:val="center"/>
            <w:hideMark/>
          </w:tcPr>
          <w:p w:rsidR="009A5240" w:rsidRPr="00581CD5" w:rsidRDefault="009A5240" w:rsidP="009A5240">
            <w:pPr>
              <w:spacing w:after="0" w:line="240" w:lineRule="auto"/>
              <w:jc w:val="center"/>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tis. t</w:t>
            </w:r>
          </w:p>
        </w:tc>
        <w:tc>
          <w:tcPr>
            <w:tcW w:w="1134"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30,3</w:t>
            </w:r>
          </w:p>
        </w:tc>
        <w:tc>
          <w:tcPr>
            <w:tcW w:w="1276"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2,3</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17,8</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,0</w:t>
            </w:r>
          </w:p>
        </w:tc>
        <w:tc>
          <w:tcPr>
            <w:tcW w:w="1089"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,0</w:t>
            </w:r>
          </w:p>
        </w:tc>
        <w:tc>
          <w:tcPr>
            <w:tcW w:w="1134"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,0</w:t>
            </w:r>
          </w:p>
        </w:tc>
        <w:tc>
          <w:tcPr>
            <w:tcW w:w="1134"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1,8</w:t>
            </w:r>
          </w:p>
        </w:tc>
        <w:tc>
          <w:tcPr>
            <w:tcW w:w="960"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w:t>
            </w:r>
          </w:p>
        </w:tc>
        <w:tc>
          <w:tcPr>
            <w:tcW w:w="1308" w:type="dxa"/>
            <w:tcBorders>
              <w:top w:val="nil"/>
              <w:left w:val="nil"/>
              <w:bottom w:val="nil"/>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1,6</w:t>
            </w:r>
          </w:p>
        </w:tc>
      </w:tr>
      <w:tr w:rsidR="009A5240" w:rsidRPr="00581CD5" w:rsidTr="009A5240">
        <w:trPr>
          <w:trHeight w:val="300"/>
        </w:trPr>
        <w:tc>
          <w:tcPr>
            <w:tcW w:w="1780" w:type="dxa"/>
            <w:tcBorders>
              <w:top w:val="nil"/>
              <w:left w:val="nil"/>
              <w:bottom w:val="single" w:sz="4" w:space="0" w:color="auto"/>
              <w:right w:val="nil"/>
            </w:tcBorders>
            <w:shd w:val="clear" w:color="auto" w:fill="auto"/>
            <w:vAlign w:val="center"/>
            <w:hideMark/>
          </w:tcPr>
          <w:p w:rsidR="009A5240" w:rsidRPr="00581CD5" w:rsidRDefault="009A5240" w:rsidP="009A5240">
            <w:pPr>
              <w:spacing w:after="0" w:line="240" w:lineRule="auto"/>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 xml:space="preserve">Vývoz </w:t>
            </w:r>
          </w:p>
        </w:tc>
        <w:tc>
          <w:tcPr>
            <w:tcW w:w="2331" w:type="dxa"/>
            <w:tcBorders>
              <w:top w:val="nil"/>
              <w:left w:val="nil"/>
              <w:bottom w:val="single" w:sz="4" w:space="0" w:color="auto"/>
              <w:right w:val="single" w:sz="4" w:space="0" w:color="auto"/>
            </w:tcBorders>
            <w:shd w:val="clear" w:color="auto" w:fill="auto"/>
            <w:vAlign w:val="center"/>
            <w:hideMark/>
          </w:tcPr>
          <w:p w:rsidR="009A5240" w:rsidRPr="00581CD5" w:rsidRDefault="009A5240" w:rsidP="009A5240">
            <w:pPr>
              <w:spacing w:after="0" w:line="240" w:lineRule="auto"/>
              <w:jc w:val="center"/>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tis. t</w:t>
            </w:r>
          </w:p>
        </w:tc>
        <w:tc>
          <w:tcPr>
            <w:tcW w:w="1134" w:type="dxa"/>
            <w:tcBorders>
              <w:top w:val="nil"/>
              <w:left w:val="nil"/>
              <w:bottom w:val="single" w:sz="4" w:space="0" w:color="auto"/>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0,2</w:t>
            </w:r>
          </w:p>
        </w:tc>
        <w:tc>
          <w:tcPr>
            <w:tcW w:w="1276" w:type="dxa"/>
            <w:tcBorders>
              <w:top w:val="nil"/>
              <w:left w:val="nil"/>
              <w:bottom w:val="single" w:sz="4" w:space="0" w:color="auto"/>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402</w:t>
            </w:r>
            <w:r>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9,6</w:t>
            </w:r>
          </w:p>
        </w:tc>
        <w:tc>
          <w:tcPr>
            <w:tcW w:w="960" w:type="dxa"/>
            <w:tcBorders>
              <w:top w:val="nil"/>
              <w:left w:val="nil"/>
              <w:bottom w:val="single" w:sz="4" w:space="0" w:color="auto"/>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22</w:t>
            </w:r>
          </w:p>
        </w:tc>
        <w:tc>
          <w:tcPr>
            <w:tcW w:w="960" w:type="dxa"/>
            <w:tcBorders>
              <w:top w:val="nil"/>
              <w:left w:val="nil"/>
              <w:bottom w:val="single" w:sz="4" w:space="0" w:color="auto"/>
              <w:right w:val="nil"/>
            </w:tcBorders>
            <w:shd w:val="clear" w:color="auto" w:fill="auto"/>
            <w:noWrap/>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17,7</w:t>
            </w:r>
          </w:p>
        </w:tc>
        <w:tc>
          <w:tcPr>
            <w:tcW w:w="1089" w:type="dxa"/>
            <w:tcBorders>
              <w:top w:val="nil"/>
              <w:left w:val="nil"/>
              <w:bottom w:val="single" w:sz="4" w:space="0" w:color="auto"/>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7,7</w:t>
            </w:r>
          </w:p>
        </w:tc>
        <w:tc>
          <w:tcPr>
            <w:tcW w:w="1134" w:type="dxa"/>
            <w:tcBorders>
              <w:top w:val="nil"/>
              <w:left w:val="nil"/>
              <w:bottom w:val="single" w:sz="4" w:space="0" w:color="auto"/>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15,7</w:t>
            </w:r>
          </w:p>
        </w:tc>
        <w:tc>
          <w:tcPr>
            <w:tcW w:w="1134" w:type="dxa"/>
            <w:tcBorders>
              <w:top w:val="nil"/>
              <w:left w:val="nil"/>
              <w:bottom w:val="single" w:sz="4" w:space="0" w:color="auto"/>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5,2</w:t>
            </w:r>
          </w:p>
        </w:tc>
        <w:tc>
          <w:tcPr>
            <w:tcW w:w="960" w:type="dxa"/>
            <w:tcBorders>
              <w:top w:val="nil"/>
              <w:left w:val="nil"/>
              <w:bottom w:val="single" w:sz="4" w:space="0" w:color="auto"/>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1,9</w:t>
            </w:r>
          </w:p>
        </w:tc>
        <w:tc>
          <w:tcPr>
            <w:tcW w:w="1308" w:type="dxa"/>
            <w:tcBorders>
              <w:top w:val="nil"/>
              <w:left w:val="nil"/>
              <w:bottom w:val="single" w:sz="4" w:space="0" w:color="auto"/>
              <w:right w:val="nil"/>
            </w:tcBorders>
            <w:shd w:val="clear" w:color="auto" w:fill="auto"/>
            <w:vAlign w:val="center"/>
            <w:hideMark/>
          </w:tcPr>
          <w:p w:rsidR="009A5240" w:rsidRPr="00581CD5" w:rsidRDefault="009A5240" w:rsidP="009A5240">
            <w:pPr>
              <w:spacing w:after="0" w:line="240" w:lineRule="auto"/>
              <w:jc w:val="right"/>
              <w:rPr>
                <w:rFonts w:ascii="Times New Roman" w:eastAsia="Times New Roman" w:hAnsi="Times New Roman" w:cs="Times New Roman"/>
                <w:color w:val="000000"/>
                <w:sz w:val="20"/>
                <w:szCs w:val="20"/>
              </w:rPr>
            </w:pPr>
            <w:r w:rsidRPr="00581CD5">
              <w:rPr>
                <w:rFonts w:ascii="Times New Roman" w:eastAsia="Times New Roman" w:hAnsi="Times New Roman" w:cs="Times New Roman"/>
                <w:color w:val="000000"/>
                <w:sz w:val="20"/>
                <w:szCs w:val="20"/>
              </w:rPr>
              <w:t>3,7</w:t>
            </w:r>
          </w:p>
        </w:tc>
      </w:tr>
    </w:tbl>
    <w:p w:rsidR="009A5240" w:rsidRDefault="009A5240" w:rsidP="009A5240">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Zdroj: VÚEPP</w:t>
      </w:r>
    </w:p>
    <w:p w:rsidR="003E28DC" w:rsidRDefault="003E28DC" w:rsidP="009A5240">
      <w:pPr>
        <w:ind w:left="-567"/>
        <w:rPr>
          <w:rFonts w:ascii="Times New Roman" w:hAnsi="Times New Roman" w:cs="Times New Roman"/>
          <w:b/>
          <w:sz w:val="24"/>
          <w:szCs w:val="24"/>
        </w:rPr>
      </w:pPr>
    </w:p>
    <w:p w:rsidR="00D86A54" w:rsidRDefault="00D86A54" w:rsidP="00D86A54">
      <w:pPr>
        <w:spacing w:after="0" w:line="240" w:lineRule="auto"/>
        <w:ind w:left="-567"/>
        <w:rPr>
          <w:rFonts w:ascii="Times New Roman" w:hAnsi="Times New Roman" w:cs="Times New Roman"/>
          <w:b/>
          <w:sz w:val="20"/>
          <w:szCs w:val="20"/>
        </w:rPr>
      </w:pPr>
    </w:p>
    <w:p w:rsidR="009A5240" w:rsidRPr="00D86A54" w:rsidRDefault="00D86A54" w:rsidP="00D86A54">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Príloha č. 16</w:t>
      </w:r>
      <w:r w:rsidR="009A5240" w:rsidRPr="00D86A54">
        <w:rPr>
          <w:rFonts w:ascii="Times New Roman" w:hAnsi="Times New Roman" w:cs="Times New Roman"/>
          <w:b/>
          <w:sz w:val="20"/>
          <w:szCs w:val="20"/>
        </w:rPr>
        <w:t>: Bilancia zeleniny</w:t>
      </w:r>
    </w:p>
    <w:tbl>
      <w:tblPr>
        <w:tblW w:w="15026" w:type="dxa"/>
        <w:tblInd w:w="-497" w:type="dxa"/>
        <w:tblCellMar>
          <w:left w:w="70" w:type="dxa"/>
          <w:right w:w="70" w:type="dxa"/>
        </w:tblCellMar>
        <w:tblLook w:val="04A0" w:firstRow="1" w:lastRow="0" w:firstColumn="1" w:lastColumn="0" w:noHBand="0" w:noVBand="1"/>
      </w:tblPr>
      <w:tblGrid>
        <w:gridCol w:w="2700"/>
        <w:gridCol w:w="1411"/>
        <w:gridCol w:w="1134"/>
        <w:gridCol w:w="1276"/>
        <w:gridCol w:w="960"/>
        <w:gridCol w:w="960"/>
        <w:gridCol w:w="960"/>
        <w:gridCol w:w="960"/>
        <w:gridCol w:w="1263"/>
        <w:gridCol w:w="1134"/>
        <w:gridCol w:w="960"/>
        <w:gridCol w:w="1308"/>
      </w:tblGrid>
      <w:tr w:rsidR="009A5240" w:rsidRPr="009C078A" w:rsidTr="00D86A54">
        <w:trPr>
          <w:trHeight w:val="300"/>
        </w:trPr>
        <w:tc>
          <w:tcPr>
            <w:tcW w:w="2700" w:type="dxa"/>
            <w:tcBorders>
              <w:top w:val="single" w:sz="4" w:space="0" w:color="auto"/>
              <w:left w:val="nil"/>
              <w:bottom w:val="single" w:sz="4" w:space="0" w:color="auto"/>
              <w:right w:val="nil"/>
            </w:tcBorders>
            <w:shd w:val="clear" w:color="000000" w:fill="D9D9D9"/>
            <w:noWrap/>
            <w:vAlign w:val="bottom"/>
            <w:hideMark/>
          </w:tcPr>
          <w:p w:rsidR="009A5240" w:rsidRPr="009C078A" w:rsidRDefault="009A5240" w:rsidP="009A5240">
            <w:pPr>
              <w:spacing w:after="0" w:line="240" w:lineRule="auto"/>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Ukazovateľ</w:t>
            </w:r>
          </w:p>
        </w:tc>
        <w:tc>
          <w:tcPr>
            <w:tcW w:w="1411" w:type="dxa"/>
            <w:tcBorders>
              <w:top w:val="single" w:sz="4" w:space="0" w:color="auto"/>
              <w:left w:val="nil"/>
              <w:bottom w:val="single" w:sz="4" w:space="0" w:color="auto"/>
              <w:right w:val="single" w:sz="4" w:space="0" w:color="auto"/>
            </w:tcBorders>
            <w:shd w:val="clear" w:color="000000" w:fill="D9D9D9"/>
            <w:noWrap/>
            <w:vAlign w:val="bottom"/>
            <w:hideMark/>
          </w:tcPr>
          <w:p w:rsidR="009A5240" w:rsidRPr="009C078A" w:rsidRDefault="009A5240" w:rsidP="009A5240">
            <w:pPr>
              <w:spacing w:after="0" w:line="240" w:lineRule="auto"/>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 </w:t>
            </w:r>
          </w:p>
        </w:tc>
        <w:tc>
          <w:tcPr>
            <w:tcW w:w="1134" w:type="dxa"/>
            <w:tcBorders>
              <w:top w:val="single" w:sz="4" w:space="0" w:color="auto"/>
              <w:left w:val="nil"/>
              <w:bottom w:val="single" w:sz="4" w:space="0" w:color="auto"/>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2002</w:t>
            </w:r>
          </w:p>
        </w:tc>
        <w:tc>
          <w:tcPr>
            <w:tcW w:w="1276" w:type="dxa"/>
            <w:tcBorders>
              <w:top w:val="single" w:sz="4" w:space="0" w:color="auto"/>
              <w:left w:val="nil"/>
              <w:bottom w:val="single" w:sz="4" w:space="0" w:color="auto"/>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2003</w:t>
            </w:r>
          </w:p>
        </w:tc>
        <w:tc>
          <w:tcPr>
            <w:tcW w:w="960" w:type="dxa"/>
            <w:tcBorders>
              <w:top w:val="single" w:sz="4" w:space="0" w:color="auto"/>
              <w:left w:val="nil"/>
              <w:bottom w:val="single" w:sz="4" w:space="0" w:color="auto"/>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2004</w:t>
            </w:r>
          </w:p>
        </w:tc>
        <w:tc>
          <w:tcPr>
            <w:tcW w:w="960" w:type="dxa"/>
            <w:tcBorders>
              <w:top w:val="single" w:sz="4" w:space="0" w:color="auto"/>
              <w:left w:val="nil"/>
              <w:bottom w:val="single" w:sz="4" w:space="0" w:color="auto"/>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2005</w:t>
            </w:r>
          </w:p>
        </w:tc>
        <w:tc>
          <w:tcPr>
            <w:tcW w:w="960" w:type="dxa"/>
            <w:tcBorders>
              <w:top w:val="single" w:sz="4" w:space="0" w:color="auto"/>
              <w:left w:val="nil"/>
              <w:bottom w:val="single" w:sz="4" w:space="0" w:color="auto"/>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2006</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2007</w:t>
            </w:r>
          </w:p>
        </w:tc>
        <w:tc>
          <w:tcPr>
            <w:tcW w:w="1263" w:type="dxa"/>
            <w:tcBorders>
              <w:top w:val="single" w:sz="4" w:space="0" w:color="auto"/>
              <w:left w:val="nil"/>
              <w:bottom w:val="single" w:sz="4" w:space="0" w:color="auto"/>
              <w:right w:val="nil"/>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2008</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2009</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2010</w:t>
            </w:r>
          </w:p>
        </w:tc>
        <w:tc>
          <w:tcPr>
            <w:tcW w:w="1308" w:type="dxa"/>
            <w:tcBorders>
              <w:top w:val="single" w:sz="4" w:space="0" w:color="auto"/>
              <w:left w:val="nil"/>
              <w:bottom w:val="single" w:sz="4" w:space="0" w:color="auto"/>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2011</w:t>
            </w:r>
          </w:p>
        </w:tc>
      </w:tr>
      <w:tr w:rsidR="009A5240" w:rsidRPr="009C078A" w:rsidTr="009A5240">
        <w:trPr>
          <w:trHeight w:val="300"/>
        </w:trPr>
        <w:tc>
          <w:tcPr>
            <w:tcW w:w="270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Zberová plocha</w:t>
            </w:r>
          </w:p>
        </w:tc>
        <w:tc>
          <w:tcPr>
            <w:tcW w:w="1411" w:type="dxa"/>
            <w:tcBorders>
              <w:top w:val="nil"/>
              <w:left w:val="nil"/>
              <w:bottom w:val="nil"/>
              <w:right w:val="single" w:sz="4" w:space="0" w:color="auto"/>
            </w:tcBorders>
            <w:shd w:val="clear" w:color="auto" w:fill="auto"/>
            <w:vAlign w:val="center"/>
            <w:hideMark/>
          </w:tcPr>
          <w:p w:rsidR="009A5240" w:rsidRPr="009C078A" w:rsidRDefault="009A5240" w:rsidP="009A5240">
            <w:pPr>
              <w:spacing w:after="0" w:line="240" w:lineRule="auto"/>
              <w:jc w:val="center"/>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 xml:space="preserve">tis. ha </w:t>
            </w:r>
          </w:p>
        </w:tc>
        <w:tc>
          <w:tcPr>
            <w:tcW w:w="1134" w:type="dxa"/>
            <w:tcBorders>
              <w:top w:val="nil"/>
              <w:left w:val="nil"/>
              <w:bottom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33,57</w:t>
            </w:r>
          </w:p>
        </w:tc>
        <w:tc>
          <w:tcPr>
            <w:tcW w:w="1276"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34,54</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32,02</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30,24</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29,79</w:t>
            </w:r>
          </w:p>
        </w:tc>
        <w:tc>
          <w:tcPr>
            <w:tcW w:w="96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28,87</w:t>
            </w:r>
          </w:p>
        </w:tc>
        <w:tc>
          <w:tcPr>
            <w:tcW w:w="1263"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28,43</w:t>
            </w:r>
          </w:p>
        </w:tc>
        <w:tc>
          <w:tcPr>
            <w:tcW w:w="1134"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28,55</w:t>
            </w:r>
          </w:p>
        </w:tc>
        <w:tc>
          <w:tcPr>
            <w:tcW w:w="96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30,56</w:t>
            </w:r>
          </w:p>
        </w:tc>
        <w:tc>
          <w:tcPr>
            <w:tcW w:w="1308" w:type="dxa"/>
            <w:tcBorders>
              <w:top w:val="nil"/>
              <w:left w:val="nil"/>
              <w:bottom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30,33</w:t>
            </w:r>
          </w:p>
        </w:tc>
      </w:tr>
      <w:tr w:rsidR="009A5240" w:rsidRPr="009C078A" w:rsidTr="009A5240">
        <w:trPr>
          <w:trHeight w:val="300"/>
        </w:trPr>
        <w:tc>
          <w:tcPr>
            <w:tcW w:w="270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 xml:space="preserve">Hektárová úroda </w:t>
            </w:r>
          </w:p>
        </w:tc>
        <w:tc>
          <w:tcPr>
            <w:tcW w:w="1411" w:type="dxa"/>
            <w:tcBorders>
              <w:top w:val="nil"/>
              <w:left w:val="nil"/>
              <w:bottom w:val="nil"/>
              <w:right w:val="single" w:sz="4" w:space="0" w:color="auto"/>
            </w:tcBorders>
            <w:shd w:val="clear" w:color="auto" w:fill="auto"/>
            <w:vAlign w:val="center"/>
            <w:hideMark/>
          </w:tcPr>
          <w:p w:rsidR="009A5240" w:rsidRPr="009C078A" w:rsidRDefault="009A5240" w:rsidP="009A5240">
            <w:pPr>
              <w:spacing w:after="0" w:line="240" w:lineRule="auto"/>
              <w:jc w:val="center"/>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 xml:space="preserve">t/ha </w:t>
            </w:r>
          </w:p>
        </w:tc>
        <w:tc>
          <w:tcPr>
            <w:tcW w:w="1134" w:type="dxa"/>
            <w:tcBorders>
              <w:top w:val="nil"/>
              <w:left w:val="nil"/>
              <w:bottom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10,80</w:t>
            </w:r>
          </w:p>
        </w:tc>
        <w:tc>
          <w:tcPr>
            <w:tcW w:w="1276"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10,70</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11,90</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11,70</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11,80</w:t>
            </w:r>
          </w:p>
        </w:tc>
        <w:tc>
          <w:tcPr>
            <w:tcW w:w="96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10,66</w:t>
            </w:r>
          </w:p>
        </w:tc>
        <w:tc>
          <w:tcPr>
            <w:tcW w:w="1263"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11,71</w:t>
            </w:r>
          </w:p>
        </w:tc>
        <w:tc>
          <w:tcPr>
            <w:tcW w:w="1134"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10,93</w:t>
            </w:r>
          </w:p>
        </w:tc>
        <w:tc>
          <w:tcPr>
            <w:tcW w:w="96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9,31</w:t>
            </w:r>
          </w:p>
        </w:tc>
        <w:tc>
          <w:tcPr>
            <w:tcW w:w="1308" w:type="dxa"/>
            <w:tcBorders>
              <w:top w:val="nil"/>
              <w:left w:val="nil"/>
              <w:bottom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10,38</w:t>
            </w:r>
          </w:p>
        </w:tc>
      </w:tr>
      <w:tr w:rsidR="009A5240" w:rsidRPr="009C078A" w:rsidTr="009A5240">
        <w:trPr>
          <w:trHeight w:val="300"/>
        </w:trPr>
        <w:tc>
          <w:tcPr>
            <w:tcW w:w="270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 xml:space="preserve">Produkcia </w:t>
            </w:r>
          </w:p>
        </w:tc>
        <w:tc>
          <w:tcPr>
            <w:tcW w:w="1411" w:type="dxa"/>
            <w:tcBorders>
              <w:top w:val="nil"/>
              <w:left w:val="nil"/>
              <w:bottom w:val="nil"/>
              <w:right w:val="single" w:sz="4" w:space="0" w:color="auto"/>
            </w:tcBorders>
            <w:shd w:val="clear" w:color="auto" w:fill="auto"/>
            <w:vAlign w:val="center"/>
            <w:hideMark/>
          </w:tcPr>
          <w:p w:rsidR="009A5240" w:rsidRPr="009C078A" w:rsidRDefault="009A5240" w:rsidP="009A5240">
            <w:pPr>
              <w:spacing w:after="0" w:line="240" w:lineRule="auto"/>
              <w:jc w:val="center"/>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 xml:space="preserve">tis. t </w:t>
            </w:r>
          </w:p>
        </w:tc>
        <w:tc>
          <w:tcPr>
            <w:tcW w:w="1134" w:type="dxa"/>
            <w:tcBorders>
              <w:top w:val="nil"/>
              <w:left w:val="nil"/>
              <w:bottom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363,48</w:t>
            </w:r>
          </w:p>
        </w:tc>
        <w:tc>
          <w:tcPr>
            <w:tcW w:w="1276"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368,85</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380,63</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353,57</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351,52</w:t>
            </w:r>
          </w:p>
        </w:tc>
        <w:tc>
          <w:tcPr>
            <w:tcW w:w="96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307,76</w:t>
            </w:r>
          </w:p>
        </w:tc>
        <w:tc>
          <w:tcPr>
            <w:tcW w:w="1263"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332,95</w:t>
            </w:r>
          </w:p>
        </w:tc>
        <w:tc>
          <w:tcPr>
            <w:tcW w:w="1134"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312,08</w:t>
            </w:r>
          </w:p>
        </w:tc>
        <w:tc>
          <w:tcPr>
            <w:tcW w:w="96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284,43</w:t>
            </w:r>
          </w:p>
        </w:tc>
        <w:tc>
          <w:tcPr>
            <w:tcW w:w="1308" w:type="dxa"/>
            <w:tcBorders>
              <w:top w:val="nil"/>
              <w:left w:val="nil"/>
              <w:bottom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314,86</w:t>
            </w:r>
          </w:p>
        </w:tc>
      </w:tr>
      <w:tr w:rsidR="009A5240" w:rsidRPr="009C078A" w:rsidTr="009A5240">
        <w:trPr>
          <w:trHeight w:val="300"/>
        </w:trPr>
        <w:tc>
          <w:tcPr>
            <w:tcW w:w="270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 xml:space="preserve">Dovoz </w:t>
            </w:r>
          </w:p>
        </w:tc>
        <w:tc>
          <w:tcPr>
            <w:tcW w:w="1411" w:type="dxa"/>
            <w:tcBorders>
              <w:top w:val="nil"/>
              <w:left w:val="nil"/>
              <w:bottom w:val="nil"/>
              <w:right w:val="single" w:sz="4" w:space="0" w:color="auto"/>
            </w:tcBorders>
            <w:shd w:val="clear" w:color="auto" w:fill="auto"/>
            <w:vAlign w:val="center"/>
            <w:hideMark/>
          </w:tcPr>
          <w:p w:rsidR="009A5240" w:rsidRPr="009C078A" w:rsidRDefault="009A5240" w:rsidP="009A5240">
            <w:pPr>
              <w:spacing w:after="0" w:line="240" w:lineRule="auto"/>
              <w:jc w:val="center"/>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 xml:space="preserve">tis. t </w:t>
            </w:r>
          </w:p>
        </w:tc>
        <w:tc>
          <w:tcPr>
            <w:tcW w:w="1134" w:type="dxa"/>
            <w:tcBorders>
              <w:top w:val="nil"/>
              <w:left w:val="nil"/>
              <w:bottom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95,15</w:t>
            </w:r>
          </w:p>
        </w:tc>
        <w:tc>
          <w:tcPr>
            <w:tcW w:w="1276"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103,67</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137,70</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147,36</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191,70</w:t>
            </w:r>
          </w:p>
        </w:tc>
        <w:tc>
          <w:tcPr>
            <w:tcW w:w="96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218,72</w:t>
            </w:r>
          </w:p>
        </w:tc>
        <w:tc>
          <w:tcPr>
            <w:tcW w:w="1263"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248,77</w:t>
            </w:r>
          </w:p>
        </w:tc>
        <w:tc>
          <w:tcPr>
            <w:tcW w:w="1134"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252,65</w:t>
            </w:r>
          </w:p>
        </w:tc>
        <w:tc>
          <w:tcPr>
            <w:tcW w:w="96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261,88</w:t>
            </w:r>
          </w:p>
        </w:tc>
        <w:tc>
          <w:tcPr>
            <w:tcW w:w="1308" w:type="dxa"/>
            <w:tcBorders>
              <w:top w:val="nil"/>
              <w:left w:val="nil"/>
              <w:bottom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265,99</w:t>
            </w:r>
          </w:p>
        </w:tc>
      </w:tr>
      <w:tr w:rsidR="009A5240" w:rsidRPr="009C078A" w:rsidTr="009A5240">
        <w:trPr>
          <w:trHeight w:val="300"/>
        </w:trPr>
        <w:tc>
          <w:tcPr>
            <w:tcW w:w="2700" w:type="dxa"/>
            <w:tcBorders>
              <w:top w:val="nil"/>
              <w:left w:val="nil"/>
              <w:bottom w:val="single" w:sz="4" w:space="0" w:color="auto"/>
              <w:right w:val="nil"/>
            </w:tcBorders>
            <w:shd w:val="clear" w:color="auto" w:fill="auto"/>
            <w:vAlign w:val="center"/>
            <w:hideMark/>
          </w:tcPr>
          <w:p w:rsidR="009A5240" w:rsidRPr="009C078A" w:rsidRDefault="009A5240" w:rsidP="009A5240">
            <w:pPr>
              <w:spacing w:after="0" w:line="240" w:lineRule="auto"/>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 xml:space="preserve">Celková ponuka </w:t>
            </w:r>
          </w:p>
        </w:tc>
        <w:tc>
          <w:tcPr>
            <w:tcW w:w="1411" w:type="dxa"/>
            <w:tcBorders>
              <w:top w:val="nil"/>
              <w:left w:val="nil"/>
              <w:bottom w:val="single" w:sz="4" w:space="0" w:color="auto"/>
              <w:right w:val="single" w:sz="4" w:space="0" w:color="auto"/>
            </w:tcBorders>
            <w:shd w:val="clear" w:color="auto" w:fill="auto"/>
            <w:vAlign w:val="center"/>
            <w:hideMark/>
          </w:tcPr>
          <w:p w:rsidR="009A5240" w:rsidRPr="009C078A" w:rsidRDefault="009A5240" w:rsidP="009A5240">
            <w:pPr>
              <w:spacing w:after="0" w:line="240" w:lineRule="auto"/>
              <w:jc w:val="center"/>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tis. t</w:t>
            </w:r>
          </w:p>
        </w:tc>
        <w:tc>
          <w:tcPr>
            <w:tcW w:w="1134" w:type="dxa"/>
            <w:tcBorders>
              <w:top w:val="nil"/>
              <w:left w:val="nil"/>
              <w:bottom w:val="single" w:sz="4" w:space="0" w:color="auto"/>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458,63</w:t>
            </w:r>
          </w:p>
        </w:tc>
        <w:tc>
          <w:tcPr>
            <w:tcW w:w="1276" w:type="dxa"/>
            <w:tcBorders>
              <w:top w:val="nil"/>
              <w:left w:val="nil"/>
              <w:bottom w:val="single" w:sz="4" w:space="0" w:color="auto"/>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472,51</w:t>
            </w:r>
          </w:p>
        </w:tc>
        <w:tc>
          <w:tcPr>
            <w:tcW w:w="960" w:type="dxa"/>
            <w:tcBorders>
              <w:top w:val="nil"/>
              <w:left w:val="nil"/>
              <w:bottom w:val="single" w:sz="4" w:space="0" w:color="auto"/>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518,32</w:t>
            </w:r>
          </w:p>
        </w:tc>
        <w:tc>
          <w:tcPr>
            <w:tcW w:w="960" w:type="dxa"/>
            <w:tcBorders>
              <w:top w:val="nil"/>
              <w:left w:val="nil"/>
              <w:bottom w:val="single" w:sz="4" w:space="0" w:color="auto"/>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500,93</w:t>
            </w:r>
          </w:p>
        </w:tc>
        <w:tc>
          <w:tcPr>
            <w:tcW w:w="960" w:type="dxa"/>
            <w:tcBorders>
              <w:top w:val="nil"/>
              <w:left w:val="nil"/>
              <w:bottom w:val="single" w:sz="4" w:space="0" w:color="auto"/>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543,22</w:t>
            </w:r>
          </w:p>
        </w:tc>
        <w:tc>
          <w:tcPr>
            <w:tcW w:w="960" w:type="dxa"/>
            <w:tcBorders>
              <w:top w:val="nil"/>
              <w:left w:val="nil"/>
              <w:bottom w:val="single" w:sz="4" w:space="0" w:color="auto"/>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526,47</w:t>
            </w:r>
          </w:p>
        </w:tc>
        <w:tc>
          <w:tcPr>
            <w:tcW w:w="1263" w:type="dxa"/>
            <w:tcBorders>
              <w:top w:val="nil"/>
              <w:left w:val="nil"/>
              <w:bottom w:val="single" w:sz="4" w:space="0" w:color="auto"/>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581,73</w:t>
            </w:r>
          </w:p>
        </w:tc>
        <w:tc>
          <w:tcPr>
            <w:tcW w:w="1134" w:type="dxa"/>
            <w:tcBorders>
              <w:top w:val="nil"/>
              <w:left w:val="nil"/>
              <w:bottom w:val="single" w:sz="4" w:space="0" w:color="auto"/>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564,74</w:t>
            </w:r>
          </w:p>
        </w:tc>
        <w:tc>
          <w:tcPr>
            <w:tcW w:w="960" w:type="dxa"/>
            <w:tcBorders>
              <w:top w:val="nil"/>
              <w:left w:val="nil"/>
              <w:bottom w:val="single" w:sz="4" w:space="0" w:color="auto"/>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546,31</w:t>
            </w:r>
          </w:p>
        </w:tc>
        <w:tc>
          <w:tcPr>
            <w:tcW w:w="1308" w:type="dxa"/>
            <w:tcBorders>
              <w:top w:val="nil"/>
              <w:left w:val="nil"/>
              <w:bottom w:val="single" w:sz="4" w:space="0" w:color="auto"/>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580,84</w:t>
            </w:r>
          </w:p>
        </w:tc>
      </w:tr>
      <w:tr w:rsidR="009A5240" w:rsidRPr="009C078A" w:rsidTr="009A5240">
        <w:trPr>
          <w:trHeight w:val="300"/>
        </w:trPr>
        <w:tc>
          <w:tcPr>
            <w:tcW w:w="270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Dodávky pre sprac. priemysel</w:t>
            </w:r>
          </w:p>
        </w:tc>
        <w:tc>
          <w:tcPr>
            <w:tcW w:w="1411" w:type="dxa"/>
            <w:tcBorders>
              <w:top w:val="nil"/>
              <w:left w:val="nil"/>
              <w:bottom w:val="nil"/>
              <w:right w:val="single" w:sz="4" w:space="0" w:color="auto"/>
            </w:tcBorders>
            <w:shd w:val="clear" w:color="auto" w:fill="auto"/>
            <w:vAlign w:val="center"/>
            <w:hideMark/>
          </w:tcPr>
          <w:p w:rsidR="009A5240" w:rsidRPr="009C078A" w:rsidRDefault="009A5240" w:rsidP="009A5240">
            <w:pPr>
              <w:spacing w:after="0" w:line="240" w:lineRule="auto"/>
              <w:jc w:val="center"/>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tis. t</w:t>
            </w:r>
          </w:p>
        </w:tc>
        <w:tc>
          <w:tcPr>
            <w:tcW w:w="1134" w:type="dxa"/>
            <w:tcBorders>
              <w:top w:val="nil"/>
              <w:left w:val="nil"/>
              <w:bottom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67,01</w:t>
            </w:r>
          </w:p>
        </w:tc>
        <w:tc>
          <w:tcPr>
            <w:tcW w:w="1276"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75,33</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85,65</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74,49</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78,42</w:t>
            </w:r>
          </w:p>
        </w:tc>
        <w:tc>
          <w:tcPr>
            <w:tcW w:w="96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33,67</w:t>
            </w:r>
          </w:p>
        </w:tc>
        <w:tc>
          <w:tcPr>
            <w:tcW w:w="1263"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30,36</w:t>
            </w:r>
          </w:p>
        </w:tc>
        <w:tc>
          <w:tcPr>
            <w:tcW w:w="1134"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28,08</w:t>
            </w:r>
          </w:p>
        </w:tc>
        <w:tc>
          <w:tcPr>
            <w:tcW w:w="96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27,09</w:t>
            </w:r>
          </w:p>
        </w:tc>
        <w:tc>
          <w:tcPr>
            <w:tcW w:w="1308" w:type="dxa"/>
            <w:tcBorders>
              <w:top w:val="nil"/>
              <w:left w:val="nil"/>
              <w:bottom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20,74</w:t>
            </w:r>
          </w:p>
        </w:tc>
      </w:tr>
      <w:tr w:rsidR="009A5240" w:rsidRPr="009C078A" w:rsidTr="009A5240">
        <w:trPr>
          <w:trHeight w:val="300"/>
        </w:trPr>
        <w:tc>
          <w:tcPr>
            <w:tcW w:w="270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 xml:space="preserve">Vývoz </w:t>
            </w:r>
          </w:p>
        </w:tc>
        <w:tc>
          <w:tcPr>
            <w:tcW w:w="1411" w:type="dxa"/>
            <w:tcBorders>
              <w:top w:val="nil"/>
              <w:left w:val="nil"/>
              <w:bottom w:val="nil"/>
              <w:right w:val="single" w:sz="4" w:space="0" w:color="auto"/>
            </w:tcBorders>
            <w:shd w:val="clear" w:color="auto" w:fill="auto"/>
            <w:vAlign w:val="center"/>
            <w:hideMark/>
          </w:tcPr>
          <w:p w:rsidR="009A5240" w:rsidRPr="009C078A" w:rsidRDefault="009A5240" w:rsidP="009A5240">
            <w:pPr>
              <w:spacing w:after="0" w:line="240" w:lineRule="auto"/>
              <w:jc w:val="center"/>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tis. t</w:t>
            </w:r>
          </w:p>
        </w:tc>
        <w:tc>
          <w:tcPr>
            <w:tcW w:w="1134" w:type="dxa"/>
            <w:tcBorders>
              <w:top w:val="nil"/>
              <w:left w:val="nil"/>
              <w:bottom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47,96</w:t>
            </w:r>
          </w:p>
        </w:tc>
        <w:tc>
          <w:tcPr>
            <w:tcW w:w="1276"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49,60</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42,28</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55,81</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49,93</w:t>
            </w:r>
          </w:p>
        </w:tc>
        <w:tc>
          <w:tcPr>
            <w:tcW w:w="96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48,31</w:t>
            </w:r>
          </w:p>
        </w:tc>
        <w:tc>
          <w:tcPr>
            <w:tcW w:w="1263"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51,68</w:t>
            </w:r>
          </w:p>
        </w:tc>
        <w:tc>
          <w:tcPr>
            <w:tcW w:w="1134"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45,20</w:t>
            </w:r>
          </w:p>
        </w:tc>
        <w:tc>
          <w:tcPr>
            <w:tcW w:w="96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56,75</w:t>
            </w:r>
          </w:p>
        </w:tc>
        <w:tc>
          <w:tcPr>
            <w:tcW w:w="1308" w:type="dxa"/>
            <w:tcBorders>
              <w:top w:val="nil"/>
              <w:left w:val="nil"/>
              <w:bottom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28,12</w:t>
            </w:r>
          </w:p>
        </w:tc>
      </w:tr>
      <w:tr w:rsidR="009A5240" w:rsidRPr="009C078A" w:rsidTr="009A5240">
        <w:trPr>
          <w:trHeight w:val="300"/>
        </w:trPr>
        <w:tc>
          <w:tcPr>
            <w:tcW w:w="270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Spotreba</w:t>
            </w:r>
          </w:p>
        </w:tc>
        <w:tc>
          <w:tcPr>
            <w:tcW w:w="1411" w:type="dxa"/>
            <w:tcBorders>
              <w:top w:val="nil"/>
              <w:left w:val="nil"/>
              <w:bottom w:val="nil"/>
              <w:right w:val="single" w:sz="4" w:space="0" w:color="auto"/>
            </w:tcBorders>
            <w:shd w:val="clear" w:color="auto" w:fill="auto"/>
            <w:vAlign w:val="center"/>
            <w:hideMark/>
          </w:tcPr>
          <w:p w:rsidR="009A5240" w:rsidRPr="009C078A" w:rsidRDefault="009A5240" w:rsidP="009A5240">
            <w:pPr>
              <w:spacing w:after="0" w:line="240" w:lineRule="auto"/>
              <w:jc w:val="center"/>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tis. t</w:t>
            </w:r>
          </w:p>
        </w:tc>
        <w:tc>
          <w:tcPr>
            <w:tcW w:w="1134" w:type="dxa"/>
            <w:tcBorders>
              <w:top w:val="nil"/>
              <w:left w:val="nil"/>
              <w:bottom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300,07</w:t>
            </w:r>
          </w:p>
        </w:tc>
        <w:tc>
          <w:tcPr>
            <w:tcW w:w="1276"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311,98</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348,18</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355,60</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360,00</w:t>
            </w:r>
          </w:p>
        </w:tc>
        <w:tc>
          <w:tcPr>
            <w:tcW w:w="96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358,51</w:t>
            </w:r>
          </w:p>
        </w:tc>
        <w:tc>
          <w:tcPr>
            <w:tcW w:w="1263"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406,01</w:t>
            </w:r>
          </w:p>
        </w:tc>
        <w:tc>
          <w:tcPr>
            <w:tcW w:w="1134"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386,22</w:t>
            </w:r>
          </w:p>
        </w:tc>
        <w:tc>
          <w:tcPr>
            <w:tcW w:w="96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383,58</w:t>
            </w:r>
          </w:p>
        </w:tc>
        <w:tc>
          <w:tcPr>
            <w:tcW w:w="1308" w:type="dxa"/>
            <w:tcBorders>
              <w:top w:val="nil"/>
              <w:left w:val="nil"/>
              <w:bottom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407,02</w:t>
            </w:r>
          </w:p>
        </w:tc>
      </w:tr>
      <w:tr w:rsidR="009A5240" w:rsidRPr="009C078A" w:rsidTr="009A5240">
        <w:trPr>
          <w:trHeight w:val="300"/>
        </w:trPr>
        <w:tc>
          <w:tcPr>
            <w:tcW w:w="270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Ostatná spotreba a straty</w:t>
            </w:r>
          </w:p>
        </w:tc>
        <w:tc>
          <w:tcPr>
            <w:tcW w:w="1411" w:type="dxa"/>
            <w:tcBorders>
              <w:top w:val="nil"/>
              <w:left w:val="nil"/>
              <w:bottom w:val="nil"/>
              <w:right w:val="single" w:sz="4" w:space="0" w:color="auto"/>
            </w:tcBorders>
            <w:shd w:val="clear" w:color="auto" w:fill="auto"/>
            <w:vAlign w:val="center"/>
            <w:hideMark/>
          </w:tcPr>
          <w:p w:rsidR="009A5240" w:rsidRPr="009C078A" w:rsidRDefault="009A5240" w:rsidP="009A5240">
            <w:pPr>
              <w:spacing w:after="0" w:line="240" w:lineRule="auto"/>
              <w:jc w:val="center"/>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tis. t</w:t>
            </w:r>
          </w:p>
        </w:tc>
        <w:tc>
          <w:tcPr>
            <w:tcW w:w="1134" w:type="dxa"/>
            <w:tcBorders>
              <w:top w:val="nil"/>
              <w:left w:val="nil"/>
              <w:bottom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43,60</w:t>
            </w:r>
          </w:p>
        </w:tc>
        <w:tc>
          <w:tcPr>
            <w:tcW w:w="1276"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35,61</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42,61</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15,04</w:t>
            </w:r>
          </w:p>
        </w:tc>
        <w:tc>
          <w:tcPr>
            <w:tcW w:w="960" w:type="dxa"/>
            <w:tcBorders>
              <w:top w:val="nil"/>
              <w:left w:val="nil"/>
              <w:bottom w:val="nil"/>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54,87</w:t>
            </w:r>
          </w:p>
        </w:tc>
        <w:tc>
          <w:tcPr>
            <w:tcW w:w="96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85,98</w:t>
            </w:r>
          </w:p>
        </w:tc>
        <w:tc>
          <w:tcPr>
            <w:tcW w:w="1263"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93,68</w:t>
            </w:r>
          </w:p>
        </w:tc>
        <w:tc>
          <w:tcPr>
            <w:tcW w:w="1134"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105,23</w:t>
            </w:r>
          </w:p>
        </w:tc>
        <w:tc>
          <w:tcPr>
            <w:tcW w:w="960" w:type="dxa"/>
            <w:tcBorders>
              <w:top w:val="nil"/>
              <w:left w:val="nil"/>
              <w:bottom w:val="nil"/>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78,89</w:t>
            </w:r>
          </w:p>
        </w:tc>
        <w:tc>
          <w:tcPr>
            <w:tcW w:w="1308" w:type="dxa"/>
            <w:tcBorders>
              <w:top w:val="nil"/>
              <w:left w:val="nil"/>
              <w:bottom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124,97</w:t>
            </w:r>
          </w:p>
        </w:tc>
      </w:tr>
      <w:tr w:rsidR="009A5240" w:rsidRPr="009C078A" w:rsidTr="009A5240">
        <w:trPr>
          <w:trHeight w:val="300"/>
        </w:trPr>
        <w:tc>
          <w:tcPr>
            <w:tcW w:w="2700" w:type="dxa"/>
            <w:tcBorders>
              <w:top w:val="nil"/>
              <w:left w:val="nil"/>
              <w:bottom w:val="single" w:sz="4" w:space="0" w:color="auto"/>
              <w:right w:val="nil"/>
            </w:tcBorders>
            <w:shd w:val="clear" w:color="auto" w:fill="auto"/>
            <w:vAlign w:val="center"/>
            <w:hideMark/>
          </w:tcPr>
          <w:p w:rsidR="009A5240" w:rsidRPr="009C078A" w:rsidRDefault="009A5240" w:rsidP="009A5240">
            <w:pPr>
              <w:spacing w:after="0" w:line="240" w:lineRule="auto"/>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Celkové použitie</w:t>
            </w:r>
          </w:p>
        </w:tc>
        <w:tc>
          <w:tcPr>
            <w:tcW w:w="1411" w:type="dxa"/>
            <w:tcBorders>
              <w:top w:val="nil"/>
              <w:left w:val="nil"/>
              <w:bottom w:val="single" w:sz="4" w:space="0" w:color="auto"/>
              <w:right w:val="single" w:sz="4" w:space="0" w:color="auto"/>
            </w:tcBorders>
            <w:shd w:val="clear" w:color="auto" w:fill="auto"/>
            <w:vAlign w:val="center"/>
            <w:hideMark/>
          </w:tcPr>
          <w:p w:rsidR="009A5240" w:rsidRPr="009C078A" w:rsidRDefault="009A5240" w:rsidP="009A5240">
            <w:pPr>
              <w:spacing w:after="0" w:line="240" w:lineRule="auto"/>
              <w:jc w:val="center"/>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tis. t</w:t>
            </w:r>
          </w:p>
        </w:tc>
        <w:tc>
          <w:tcPr>
            <w:tcW w:w="1134" w:type="dxa"/>
            <w:tcBorders>
              <w:top w:val="nil"/>
              <w:left w:val="nil"/>
              <w:bottom w:val="single" w:sz="4" w:space="0" w:color="auto"/>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458,63</w:t>
            </w:r>
          </w:p>
        </w:tc>
        <w:tc>
          <w:tcPr>
            <w:tcW w:w="1276" w:type="dxa"/>
            <w:tcBorders>
              <w:top w:val="nil"/>
              <w:left w:val="nil"/>
              <w:bottom w:val="single" w:sz="4" w:space="0" w:color="auto"/>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472,51</w:t>
            </w:r>
          </w:p>
        </w:tc>
        <w:tc>
          <w:tcPr>
            <w:tcW w:w="960" w:type="dxa"/>
            <w:tcBorders>
              <w:top w:val="nil"/>
              <w:left w:val="nil"/>
              <w:bottom w:val="single" w:sz="4" w:space="0" w:color="auto"/>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518,32</w:t>
            </w:r>
          </w:p>
        </w:tc>
        <w:tc>
          <w:tcPr>
            <w:tcW w:w="960" w:type="dxa"/>
            <w:tcBorders>
              <w:top w:val="nil"/>
              <w:left w:val="nil"/>
              <w:bottom w:val="single" w:sz="4" w:space="0" w:color="auto"/>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500,93</w:t>
            </w:r>
          </w:p>
        </w:tc>
        <w:tc>
          <w:tcPr>
            <w:tcW w:w="960" w:type="dxa"/>
            <w:tcBorders>
              <w:top w:val="nil"/>
              <w:left w:val="nil"/>
              <w:bottom w:val="single" w:sz="4" w:space="0" w:color="auto"/>
              <w:right w:val="nil"/>
            </w:tcBorders>
            <w:shd w:val="clear" w:color="auto" w:fill="auto"/>
            <w:noWrap/>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543,22</w:t>
            </w:r>
          </w:p>
        </w:tc>
        <w:tc>
          <w:tcPr>
            <w:tcW w:w="960" w:type="dxa"/>
            <w:tcBorders>
              <w:top w:val="nil"/>
              <w:left w:val="nil"/>
              <w:bottom w:val="single" w:sz="4" w:space="0" w:color="auto"/>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526,47</w:t>
            </w:r>
          </w:p>
        </w:tc>
        <w:tc>
          <w:tcPr>
            <w:tcW w:w="1263" w:type="dxa"/>
            <w:tcBorders>
              <w:top w:val="nil"/>
              <w:left w:val="nil"/>
              <w:bottom w:val="single" w:sz="4" w:space="0" w:color="auto"/>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581,73</w:t>
            </w:r>
          </w:p>
        </w:tc>
        <w:tc>
          <w:tcPr>
            <w:tcW w:w="1134" w:type="dxa"/>
            <w:tcBorders>
              <w:top w:val="nil"/>
              <w:left w:val="nil"/>
              <w:bottom w:val="single" w:sz="4" w:space="0" w:color="auto"/>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564,74</w:t>
            </w:r>
          </w:p>
        </w:tc>
        <w:tc>
          <w:tcPr>
            <w:tcW w:w="960" w:type="dxa"/>
            <w:tcBorders>
              <w:top w:val="nil"/>
              <w:left w:val="nil"/>
              <w:bottom w:val="single" w:sz="4" w:space="0" w:color="auto"/>
              <w:right w:val="nil"/>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546,31</w:t>
            </w:r>
          </w:p>
        </w:tc>
        <w:tc>
          <w:tcPr>
            <w:tcW w:w="1308" w:type="dxa"/>
            <w:tcBorders>
              <w:top w:val="nil"/>
              <w:left w:val="nil"/>
              <w:bottom w:val="single" w:sz="4" w:space="0" w:color="auto"/>
            </w:tcBorders>
            <w:shd w:val="clear" w:color="auto" w:fill="auto"/>
            <w:vAlign w:val="center"/>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580,84</w:t>
            </w:r>
          </w:p>
        </w:tc>
      </w:tr>
    </w:tbl>
    <w:p w:rsidR="009A5240" w:rsidRDefault="009A5240" w:rsidP="00D86A54">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Zdroj: VÚEPP</w:t>
      </w:r>
    </w:p>
    <w:p w:rsidR="009A5240" w:rsidRPr="00D86A54" w:rsidRDefault="00D86A54" w:rsidP="00D86A54">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Príloha č. 17</w:t>
      </w:r>
      <w:r w:rsidR="009A5240" w:rsidRPr="00D86A54">
        <w:rPr>
          <w:rFonts w:ascii="Times New Roman" w:hAnsi="Times New Roman" w:cs="Times New Roman"/>
          <w:b/>
          <w:sz w:val="20"/>
          <w:szCs w:val="20"/>
        </w:rPr>
        <w:t>: Bilancia ovocia mierneho pásma v tonách</w:t>
      </w:r>
    </w:p>
    <w:tbl>
      <w:tblPr>
        <w:tblW w:w="15026" w:type="dxa"/>
        <w:tblInd w:w="-497" w:type="dxa"/>
        <w:tblCellMar>
          <w:left w:w="70" w:type="dxa"/>
          <w:right w:w="70" w:type="dxa"/>
        </w:tblCellMar>
        <w:tblLook w:val="04A0" w:firstRow="1" w:lastRow="0" w:firstColumn="1" w:lastColumn="0" w:noHBand="0" w:noVBand="1"/>
      </w:tblPr>
      <w:tblGrid>
        <w:gridCol w:w="4111"/>
        <w:gridCol w:w="1134"/>
        <w:gridCol w:w="1276"/>
        <w:gridCol w:w="992"/>
        <w:gridCol w:w="960"/>
        <w:gridCol w:w="960"/>
        <w:gridCol w:w="960"/>
        <w:gridCol w:w="1231"/>
        <w:gridCol w:w="1134"/>
        <w:gridCol w:w="992"/>
        <w:gridCol w:w="1276"/>
      </w:tblGrid>
      <w:tr w:rsidR="009A5240" w:rsidRPr="009C078A" w:rsidTr="009A5240">
        <w:trPr>
          <w:trHeight w:val="300"/>
        </w:trPr>
        <w:tc>
          <w:tcPr>
            <w:tcW w:w="4111" w:type="dxa"/>
            <w:tcBorders>
              <w:top w:val="single" w:sz="4" w:space="0" w:color="auto"/>
              <w:left w:val="nil"/>
              <w:bottom w:val="single" w:sz="4" w:space="0" w:color="auto"/>
              <w:right w:val="single" w:sz="4" w:space="0" w:color="auto"/>
            </w:tcBorders>
            <w:shd w:val="clear" w:color="000000" w:fill="D9D9D9"/>
            <w:noWrap/>
            <w:vAlign w:val="bottom"/>
            <w:hideMark/>
          </w:tcPr>
          <w:p w:rsidR="009A5240" w:rsidRPr="009C078A" w:rsidRDefault="009A5240" w:rsidP="009A5240">
            <w:pPr>
              <w:spacing w:after="0" w:line="240" w:lineRule="auto"/>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Ukazovateľ</w:t>
            </w:r>
          </w:p>
        </w:tc>
        <w:tc>
          <w:tcPr>
            <w:tcW w:w="1134" w:type="dxa"/>
            <w:tcBorders>
              <w:top w:val="single" w:sz="4" w:space="0" w:color="auto"/>
              <w:left w:val="nil"/>
              <w:bottom w:val="single" w:sz="4" w:space="0" w:color="auto"/>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2002</w:t>
            </w:r>
          </w:p>
        </w:tc>
        <w:tc>
          <w:tcPr>
            <w:tcW w:w="1276" w:type="dxa"/>
            <w:tcBorders>
              <w:top w:val="single" w:sz="4" w:space="0" w:color="auto"/>
              <w:left w:val="nil"/>
              <w:bottom w:val="single" w:sz="4" w:space="0" w:color="auto"/>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2003</w:t>
            </w:r>
          </w:p>
        </w:tc>
        <w:tc>
          <w:tcPr>
            <w:tcW w:w="992" w:type="dxa"/>
            <w:tcBorders>
              <w:top w:val="single" w:sz="4" w:space="0" w:color="auto"/>
              <w:left w:val="nil"/>
              <w:bottom w:val="single" w:sz="4" w:space="0" w:color="auto"/>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2004</w:t>
            </w:r>
          </w:p>
        </w:tc>
        <w:tc>
          <w:tcPr>
            <w:tcW w:w="960" w:type="dxa"/>
            <w:tcBorders>
              <w:top w:val="single" w:sz="4" w:space="0" w:color="auto"/>
              <w:left w:val="nil"/>
              <w:bottom w:val="single" w:sz="4" w:space="0" w:color="auto"/>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2005</w:t>
            </w:r>
          </w:p>
        </w:tc>
        <w:tc>
          <w:tcPr>
            <w:tcW w:w="960" w:type="dxa"/>
            <w:tcBorders>
              <w:top w:val="single" w:sz="4" w:space="0" w:color="auto"/>
              <w:left w:val="nil"/>
              <w:bottom w:val="single" w:sz="4" w:space="0" w:color="auto"/>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2006</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2007</w:t>
            </w:r>
          </w:p>
        </w:tc>
        <w:tc>
          <w:tcPr>
            <w:tcW w:w="1231" w:type="dxa"/>
            <w:tcBorders>
              <w:top w:val="single" w:sz="4" w:space="0" w:color="auto"/>
              <w:left w:val="nil"/>
              <w:bottom w:val="single" w:sz="4" w:space="0" w:color="auto"/>
              <w:right w:val="nil"/>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2008</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2009</w:t>
            </w:r>
          </w:p>
        </w:tc>
        <w:tc>
          <w:tcPr>
            <w:tcW w:w="992" w:type="dxa"/>
            <w:tcBorders>
              <w:top w:val="single" w:sz="4" w:space="0" w:color="auto"/>
              <w:left w:val="nil"/>
              <w:bottom w:val="single" w:sz="4" w:space="0" w:color="auto"/>
              <w:right w:val="nil"/>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2010</w:t>
            </w:r>
          </w:p>
        </w:tc>
        <w:tc>
          <w:tcPr>
            <w:tcW w:w="1276" w:type="dxa"/>
            <w:tcBorders>
              <w:top w:val="single" w:sz="4" w:space="0" w:color="auto"/>
              <w:left w:val="nil"/>
              <w:bottom w:val="single" w:sz="4" w:space="0" w:color="auto"/>
              <w:right w:val="nil"/>
            </w:tcBorders>
            <w:shd w:val="clear" w:color="000000" w:fill="D9D9D9"/>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2011</w:t>
            </w:r>
          </w:p>
        </w:tc>
      </w:tr>
      <w:tr w:rsidR="009A5240" w:rsidRPr="009C078A" w:rsidTr="009A5240">
        <w:trPr>
          <w:trHeight w:val="300"/>
        </w:trPr>
        <w:tc>
          <w:tcPr>
            <w:tcW w:w="4111" w:type="dxa"/>
            <w:tcBorders>
              <w:top w:val="nil"/>
              <w:left w:val="nil"/>
              <w:bottom w:val="nil"/>
              <w:right w:val="single" w:sz="4" w:space="0" w:color="auto"/>
            </w:tcBorders>
            <w:shd w:val="clear" w:color="auto" w:fill="auto"/>
            <w:noWrap/>
            <w:vAlign w:val="bottom"/>
            <w:hideMark/>
          </w:tcPr>
          <w:p w:rsidR="009A5240" w:rsidRPr="009C078A" w:rsidRDefault="009A5240" w:rsidP="009A5240">
            <w:pPr>
              <w:spacing w:after="0" w:line="240" w:lineRule="auto"/>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Domáca produkcia</w:t>
            </w:r>
          </w:p>
        </w:tc>
        <w:tc>
          <w:tcPr>
            <w:tcW w:w="1134" w:type="dxa"/>
            <w:tcBorders>
              <w:top w:val="nil"/>
              <w:left w:val="nil"/>
              <w:bottom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80 405</w:t>
            </w:r>
          </w:p>
        </w:tc>
        <w:tc>
          <w:tcPr>
            <w:tcW w:w="1276"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90 133</w:t>
            </w:r>
          </w:p>
        </w:tc>
        <w:tc>
          <w:tcPr>
            <w:tcW w:w="992"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62 544</w:t>
            </w:r>
          </w:p>
        </w:tc>
        <w:tc>
          <w:tcPr>
            <w:tcW w:w="960"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64 528</w:t>
            </w:r>
          </w:p>
        </w:tc>
        <w:tc>
          <w:tcPr>
            <w:tcW w:w="960"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62 043</w:t>
            </w:r>
          </w:p>
        </w:tc>
        <w:tc>
          <w:tcPr>
            <w:tcW w:w="960"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45 900</w:t>
            </w:r>
          </w:p>
        </w:tc>
        <w:tc>
          <w:tcPr>
            <w:tcW w:w="1231"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74 572</w:t>
            </w:r>
          </w:p>
        </w:tc>
        <w:tc>
          <w:tcPr>
            <w:tcW w:w="1134"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69 086</w:t>
            </w:r>
          </w:p>
        </w:tc>
        <w:tc>
          <w:tcPr>
            <w:tcW w:w="992"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58 722</w:t>
            </w:r>
          </w:p>
        </w:tc>
        <w:tc>
          <w:tcPr>
            <w:tcW w:w="1276"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50 732</w:t>
            </w:r>
          </w:p>
        </w:tc>
      </w:tr>
      <w:tr w:rsidR="009A5240" w:rsidRPr="009C078A" w:rsidTr="009A5240">
        <w:trPr>
          <w:trHeight w:val="300"/>
        </w:trPr>
        <w:tc>
          <w:tcPr>
            <w:tcW w:w="4111" w:type="dxa"/>
            <w:tcBorders>
              <w:top w:val="nil"/>
              <w:left w:val="nil"/>
              <w:bottom w:val="nil"/>
              <w:right w:val="single" w:sz="4" w:space="0" w:color="auto"/>
            </w:tcBorders>
            <w:shd w:val="clear" w:color="auto" w:fill="auto"/>
            <w:noWrap/>
            <w:vAlign w:val="bottom"/>
            <w:hideMark/>
          </w:tcPr>
          <w:p w:rsidR="009A5240" w:rsidRPr="009C078A" w:rsidRDefault="009A5240" w:rsidP="009A5240">
            <w:pPr>
              <w:spacing w:after="0" w:line="240" w:lineRule="auto"/>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z toho: produkčné sady</w:t>
            </w:r>
          </w:p>
        </w:tc>
        <w:tc>
          <w:tcPr>
            <w:tcW w:w="1134" w:type="dxa"/>
            <w:tcBorders>
              <w:top w:val="nil"/>
              <w:left w:val="nil"/>
              <w:bottom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32 045</w:t>
            </w:r>
          </w:p>
        </w:tc>
        <w:tc>
          <w:tcPr>
            <w:tcW w:w="1276"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41 131</w:t>
            </w:r>
          </w:p>
        </w:tc>
        <w:tc>
          <w:tcPr>
            <w:tcW w:w="992"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38 394</w:t>
            </w:r>
          </w:p>
        </w:tc>
        <w:tc>
          <w:tcPr>
            <w:tcW w:w="960"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41 289</w:t>
            </w:r>
          </w:p>
        </w:tc>
        <w:tc>
          <w:tcPr>
            <w:tcW w:w="960"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38 171</w:t>
            </w:r>
          </w:p>
        </w:tc>
        <w:tc>
          <w:tcPr>
            <w:tcW w:w="960"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22 316</w:t>
            </w:r>
          </w:p>
        </w:tc>
        <w:tc>
          <w:tcPr>
            <w:tcW w:w="1231"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48 762</w:t>
            </w:r>
          </w:p>
        </w:tc>
        <w:tc>
          <w:tcPr>
            <w:tcW w:w="1134"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46 264</w:t>
            </w:r>
          </w:p>
        </w:tc>
        <w:tc>
          <w:tcPr>
            <w:tcW w:w="992"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40 519</w:t>
            </w:r>
          </w:p>
        </w:tc>
        <w:tc>
          <w:tcPr>
            <w:tcW w:w="1276"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37 158</w:t>
            </w:r>
          </w:p>
        </w:tc>
      </w:tr>
      <w:tr w:rsidR="009A5240" w:rsidRPr="009C078A" w:rsidTr="009A5240">
        <w:trPr>
          <w:trHeight w:val="300"/>
        </w:trPr>
        <w:tc>
          <w:tcPr>
            <w:tcW w:w="4111" w:type="dxa"/>
            <w:tcBorders>
              <w:top w:val="nil"/>
              <w:left w:val="nil"/>
              <w:right w:val="single" w:sz="4" w:space="0" w:color="auto"/>
            </w:tcBorders>
            <w:shd w:val="clear" w:color="auto" w:fill="auto"/>
            <w:noWrap/>
            <w:vAlign w:val="bottom"/>
            <w:hideMark/>
          </w:tcPr>
          <w:p w:rsidR="009A5240" w:rsidRPr="009C078A" w:rsidRDefault="009A5240" w:rsidP="009A5240">
            <w:pPr>
              <w:spacing w:after="0" w:line="240" w:lineRule="auto"/>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Dovoz</w:t>
            </w:r>
          </w:p>
        </w:tc>
        <w:tc>
          <w:tcPr>
            <w:tcW w:w="1134" w:type="dxa"/>
            <w:tcBorders>
              <w:top w:val="nil"/>
              <w:lef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50 831</w:t>
            </w:r>
          </w:p>
        </w:tc>
        <w:tc>
          <w:tcPr>
            <w:tcW w:w="1276" w:type="dxa"/>
            <w:tcBorders>
              <w:top w:val="nil"/>
              <w:left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49 275</w:t>
            </w:r>
          </w:p>
        </w:tc>
        <w:tc>
          <w:tcPr>
            <w:tcW w:w="992" w:type="dxa"/>
            <w:tcBorders>
              <w:top w:val="nil"/>
              <w:left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69 214</w:t>
            </w:r>
          </w:p>
        </w:tc>
        <w:tc>
          <w:tcPr>
            <w:tcW w:w="960" w:type="dxa"/>
            <w:tcBorders>
              <w:top w:val="nil"/>
              <w:left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75 517</w:t>
            </w:r>
          </w:p>
        </w:tc>
        <w:tc>
          <w:tcPr>
            <w:tcW w:w="960" w:type="dxa"/>
            <w:tcBorders>
              <w:top w:val="nil"/>
              <w:left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74 461</w:t>
            </w:r>
          </w:p>
        </w:tc>
        <w:tc>
          <w:tcPr>
            <w:tcW w:w="960" w:type="dxa"/>
            <w:tcBorders>
              <w:top w:val="nil"/>
              <w:left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114 405</w:t>
            </w:r>
          </w:p>
        </w:tc>
        <w:tc>
          <w:tcPr>
            <w:tcW w:w="1231" w:type="dxa"/>
            <w:tcBorders>
              <w:top w:val="nil"/>
              <w:left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96 016</w:t>
            </w:r>
          </w:p>
        </w:tc>
        <w:tc>
          <w:tcPr>
            <w:tcW w:w="1134" w:type="dxa"/>
            <w:tcBorders>
              <w:top w:val="nil"/>
              <w:left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78 986</w:t>
            </w:r>
          </w:p>
        </w:tc>
        <w:tc>
          <w:tcPr>
            <w:tcW w:w="992" w:type="dxa"/>
            <w:tcBorders>
              <w:top w:val="nil"/>
              <w:left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101 438</w:t>
            </w:r>
          </w:p>
        </w:tc>
        <w:tc>
          <w:tcPr>
            <w:tcW w:w="1276" w:type="dxa"/>
            <w:tcBorders>
              <w:top w:val="nil"/>
              <w:left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97 260</w:t>
            </w:r>
          </w:p>
        </w:tc>
      </w:tr>
      <w:tr w:rsidR="009A5240" w:rsidRPr="009C078A" w:rsidTr="009A5240">
        <w:trPr>
          <w:trHeight w:val="300"/>
        </w:trPr>
        <w:tc>
          <w:tcPr>
            <w:tcW w:w="4111" w:type="dxa"/>
            <w:tcBorders>
              <w:left w:val="nil"/>
              <w:bottom w:val="single" w:sz="4" w:space="0" w:color="auto"/>
              <w:right w:val="single" w:sz="4" w:space="0" w:color="auto"/>
            </w:tcBorders>
            <w:shd w:val="clear" w:color="auto" w:fill="auto"/>
            <w:noWrap/>
            <w:vAlign w:val="bottom"/>
            <w:hideMark/>
          </w:tcPr>
          <w:p w:rsidR="009A5240" w:rsidRPr="009C078A" w:rsidRDefault="009A5240" w:rsidP="009A5240">
            <w:pPr>
              <w:spacing w:after="0" w:line="240" w:lineRule="auto"/>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Celková ponuka</w:t>
            </w:r>
          </w:p>
        </w:tc>
        <w:tc>
          <w:tcPr>
            <w:tcW w:w="1134" w:type="dxa"/>
            <w:tcBorders>
              <w:left w:val="nil"/>
              <w:bottom w:val="single" w:sz="4" w:space="0" w:color="auto"/>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131 236</w:t>
            </w:r>
          </w:p>
        </w:tc>
        <w:tc>
          <w:tcPr>
            <w:tcW w:w="1276" w:type="dxa"/>
            <w:tcBorders>
              <w:left w:val="nil"/>
              <w:bottom w:val="single" w:sz="4" w:space="0" w:color="auto"/>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139 408</w:t>
            </w:r>
          </w:p>
        </w:tc>
        <w:tc>
          <w:tcPr>
            <w:tcW w:w="992" w:type="dxa"/>
            <w:tcBorders>
              <w:left w:val="nil"/>
              <w:bottom w:val="single" w:sz="4" w:space="0" w:color="auto"/>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131 758</w:t>
            </w:r>
          </w:p>
        </w:tc>
        <w:tc>
          <w:tcPr>
            <w:tcW w:w="960" w:type="dxa"/>
            <w:tcBorders>
              <w:left w:val="nil"/>
              <w:bottom w:val="single" w:sz="4" w:space="0" w:color="auto"/>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140 045</w:t>
            </w:r>
          </w:p>
        </w:tc>
        <w:tc>
          <w:tcPr>
            <w:tcW w:w="960" w:type="dxa"/>
            <w:tcBorders>
              <w:left w:val="nil"/>
              <w:bottom w:val="single" w:sz="4" w:space="0" w:color="auto"/>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136 504</w:t>
            </w:r>
          </w:p>
        </w:tc>
        <w:tc>
          <w:tcPr>
            <w:tcW w:w="960" w:type="dxa"/>
            <w:tcBorders>
              <w:left w:val="nil"/>
              <w:bottom w:val="single" w:sz="4" w:space="0" w:color="auto"/>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160 305</w:t>
            </w:r>
          </w:p>
        </w:tc>
        <w:tc>
          <w:tcPr>
            <w:tcW w:w="1231" w:type="dxa"/>
            <w:tcBorders>
              <w:left w:val="nil"/>
              <w:bottom w:val="single" w:sz="4" w:space="0" w:color="auto"/>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170 588</w:t>
            </w:r>
          </w:p>
        </w:tc>
        <w:tc>
          <w:tcPr>
            <w:tcW w:w="1134" w:type="dxa"/>
            <w:tcBorders>
              <w:left w:val="nil"/>
              <w:bottom w:val="single" w:sz="4" w:space="0" w:color="auto"/>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148 072</w:t>
            </w:r>
          </w:p>
        </w:tc>
        <w:tc>
          <w:tcPr>
            <w:tcW w:w="992" w:type="dxa"/>
            <w:tcBorders>
              <w:left w:val="nil"/>
              <w:bottom w:val="single" w:sz="4" w:space="0" w:color="auto"/>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 xml:space="preserve">160 </w:t>
            </w:r>
            <w:proofErr w:type="spellStart"/>
            <w:r w:rsidRPr="009C078A">
              <w:rPr>
                <w:rFonts w:ascii="Times New Roman" w:eastAsia="Times New Roman" w:hAnsi="Times New Roman" w:cs="Times New Roman"/>
                <w:b/>
                <w:bCs/>
                <w:color w:val="000000"/>
                <w:sz w:val="20"/>
                <w:szCs w:val="20"/>
              </w:rPr>
              <w:t>160</w:t>
            </w:r>
            <w:proofErr w:type="spellEnd"/>
          </w:p>
        </w:tc>
        <w:tc>
          <w:tcPr>
            <w:tcW w:w="1276" w:type="dxa"/>
            <w:tcBorders>
              <w:left w:val="nil"/>
              <w:bottom w:val="single" w:sz="4" w:space="0" w:color="auto"/>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147 992</w:t>
            </w:r>
          </w:p>
        </w:tc>
      </w:tr>
      <w:tr w:rsidR="009A5240" w:rsidRPr="009C078A" w:rsidTr="009A5240">
        <w:trPr>
          <w:trHeight w:val="300"/>
        </w:trPr>
        <w:tc>
          <w:tcPr>
            <w:tcW w:w="4111" w:type="dxa"/>
            <w:tcBorders>
              <w:top w:val="single" w:sz="4" w:space="0" w:color="auto"/>
              <w:left w:val="nil"/>
              <w:bottom w:val="nil"/>
              <w:right w:val="single" w:sz="4" w:space="0" w:color="auto"/>
            </w:tcBorders>
            <w:shd w:val="clear" w:color="auto" w:fill="auto"/>
            <w:noWrap/>
            <w:vAlign w:val="bottom"/>
            <w:hideMark/>
          </w:tcPr>
          <w:p w:rsidR="009A5240" w:rsidRPr="009C078A" w:rsidRDefault="009A5240" w:rsidP="009A5240">
            <w:pPr>
              <w:spacing w:after="0" w:line="240" w:lineRule="auto"/>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Dodávky pre sprac. priem.</w:t>
            </w:r>
          </w:p>
        </w:tc>
        <w:tc>
          <w:tcPr>
            <w:tcW w:w="1134" w:type="dxa"/>
            <w:tcBorders>
              <w:top w:val="single" w:sz="4" w:space="0" w:color="auto"/>
              <w:left w:val="nil"/>
              <w:bottom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24 698</w:t>
            </w:r>
          </w:p>
        </w:tc>
        <w:tc>
          <w:tcPr>
            <w:tcW w:w="1276" w:type="dxa"/>
            <w:tcBorders>
              <w:top w:val="single" w:sz="4" w:space="0" w:color="auto"/>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14 971</w:t>
            </w:r>
          </w:p>
        </w:tc>
        <w:tc>
          <w:tcPr>
            <w:tcW w:w="992" w:type="dxa"/>
            <w:tcBorders>
              <w:top w:val="single" w:sz="4" w:space="0" w:color="auto"/>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5 476</w:t>
            </w:r>
          </w:p>
        </w:tc>
        <w:tc>
          <w:tcPr>
            <w:tcW w:w="960" w:type="dxa"/>
            <w:tcBorders>
              <w:top w:val="single" w:sz="4" w:space="0" w:color="auto"/>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5 429</w:t>
            </w:r>
          </w:p>
        </w:tc>
        <w:tc>
          <w:tcPr>
            <w:tcW w:w="960" w:type="dxa"/>
            <w:tcBorders>
              <w:top w:val="single" w:sz="4" w:space="0" w:color="auto"/>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5 346</w:t>
            </w:r>
          </w:p>
        </w:tc>
        <w:tc>
          <w:tcPr>
            <w:tcW w:w="960" w:type="dxa"/>
            <w:tcBorders>
              <w:top w:val="single" w:sz="4" w:space="0" w:color="auto"/>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6 364</w:t>
            </w:r>
          </w:p>
        </w:tc>
        <w:tc>
          <w:tcPr>
            <w:tcW w:w="1231" w:type="dxa"/>
            <w:tcBorders>
              <w:top w:val="single" w:sz="4" w:space="0" w:color="auto"/>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5 510</w:t>
            </w:r>
          </w:p>
        </w:tc>
        <w:tc>
          <w:tcPr>
            <w:tcW w:w="1134" w:type="dxa"/>
            <w:tcBorders>
              <w:top w:val="single" w:sz="4" w:space="0" w:color="auto"/>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5 700</w:t>
            </w:r>
          </w:p>
        </w:tc>
        <w:tc>
          <w:tcPr>
            <w:tcW w:w="992" w:type="dxa"/>
            <w:tcBorders>
              <w:top w:val="single" w:sz="4" w:space="0" w:color="auto"/>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7 045</w:t>
            </w:r>
          </w:p>
        </w:tc>
        <w:tc>
          <w:tcPr>
            <w:tcW w:w="1276" w:type="dxa"/>
            <w:tcBorders>
              <w:top w:val="single" w:sz="4" w:space="0" w:color="auto"/>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6 500</w:t>
            </w:r>
          </w:p>
        </w:tc>
      </w:tr>
      <w:tr w:rsidR="009A5240" w:rsidRPr="009C078A" w:rsidTr="009A5240">
        <w:trPr>
          <w:trHeight w:val="300"/>
        </w:trPr>
        <w:tc>
          <w:tcPr>
            <w:tcW w:w="4111" w:type="dxa"/>
            <w:tcBorders>
              <w:top w:val="nil"/>
              <w:left w:val="nil"/>
              <w:bottom w:val="nil"/>
              <w:right w:val="single" w:sz="4" w:space="0" w:color="auto"/>
            </w:tcBorders>
            <w:shd w:val="clear" w:color="auto" w:fill="auto"/>
            <w:noWrap/>
            <w:vAlign w:val="bottom"/>
            <w:hideMark/>
          </w:tcPr>
          <w:p w:rsidR="009A5240" w:rsidRPr="009C078A" w:rsidRDefault="009A5240" w:rsidP="009A5240">
            <w:pPr>
              <w:spacing w:after="0" w:line="240" w:lineRule="auto"/>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Priama spotreba</w:t>
            </w:r>
          </w:p>
        </w:tc>
        <w:tc>
          <w:tcPr>
            <w:tcW w:w="1134" w:type="dxa"/>
            <w:tcBorders>
              <w:top w:val="nil"/>
              <w:left w:val="nil"/>
              <w:bottom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90 577</w:t>
            </w:r>
          </w:p>
        </w:tc>
        <w:tc>
          <w:tcPr>
            <w:tcW w:w="1276"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110 177</w:t>
            </w:r>
          </w:p>
        </w:tc>
        <w:tc>
          <w:tcPr>
            <w:tcW w:w="992"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106 919</w:t>
            </w:r>
          </w:p>
        </w:tc>
        <w:tc>
          <w:tcPr>
            <w:tcW w:w="960"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102 634</w:t>
            </w:r>
          </w:p>
        </w:tc>
        <w:tc>
          <w:tcPr>
            <w:tcW w:w="960"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95 661</w:t>
            </w:r>
          </w:p>
        </w:tc>
        <w:tc>
          <w:tcPr>
            <w:tcW w:w="960"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113 272</w:t>
            </w:r>
          </w:p>
        </w:tc>
        <w:tc>
          <w:tcPr>
            <w:tcW w:w="1231"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120 682</w:t>
            </w:r>
          </w:p>
        </w:tc>
        <w:tc>
          <w:tcPr>
            <w:tcW w:w="1134"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115 500</w:t>
            </w:r>
          </w:p>
        </w:tc>
        <w:tc>
          <w:tcPr>
            <w:tcW w:w="992"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110 736</w:t>
            </w:r>
          </w:p>
        </w:tc>
        <w:tc>
          <w:tcPr>
            <w:tcW w:w="1276"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107 192</w:t>
            </w:r>
          </w:p>
        </w:tc>
      </w:tr>
      <w:tr w:rsidR="009A5240" w:rsidRPr="009C078A" w:rsidTr="009A5240">
        <w:trPr>
          <w:trHeight w:val="300"/>
        </w:trPr>
        <w:tc>
          <w:tcPr>
            <w:tcW w:w="4111" w:type="dxa"/>
            <w:tcBorders>
              <w:top w:val="nil"/>
              <w:left w:val="nil"/>
              <w:bottom w:val="nil"/>
              <w:right w:val="single" w:sz="4" w:space="0" w:color="auto"/>
            </w:tcBorders>
            <w:shd w:val="clear" w:color="auto" w:fill="auto"/>
            <w:noWrap/>
            <w:vAlign w:val="bottom"/>
            <w:hideMark/>
          </w:tcPr>
          <w:p w:rsidR="009A5240" w:rsidRPr="009C078A" w:rsidRDefault="009A5240" w:rsidP="009A5240">
            <w:pPr>
              <w:spacing w:after="0" w:line="240" w:lineRule="auto"/>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Ostatná spotreba a straty</w:t>
            </w:r>
          </w:p>
        </w:tc>
        <w:tc>
          <w:tcPr>
            <w:tcW w:w="1134" w:type="dxa"/>
            <w:tcBorders>
              <w:top w:val="nil"/>
              <w:left w:val="nil"/>
              <w:bottom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10 390</w:t>
            </w:r>
          </w:p>
        </w:tc>
        <w:tc>
          <w:tcPr>
            <w:tcW w:w="1276"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3 316</w:t>
            </w:r>
          </w:p>
        </w:tc>
        <w:tc>
          <w:tcPr>
            <w:tcW w:w="992"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5 691</w:t>
            </w:r>
          </w:p>
        </w:tc>
        <w:tc>
          <w:tcPr>
            <w:tcW w:w="960"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6 289</w:t>
            </w:r>
          </w:p>
        </w:tc>
        <w:tc>
          <w:tcPr>
            <w:tcW w:w="960"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1 744</w:t>
            </w:r>
          </w:p>
        </w:tc>
        <w:tc>
          <w:tcPr>
            <w:tcW w:w="960"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7 784</w:t>
            </w:r>
          </w:p>
        </w:tc>
        <w:tc>
          <w:tcPr>
            <w:tcW w:w="1231"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14 456</w:t>
            </w:r>
          </w:p>
        </w:tc>
        <w:tc>
          <w:tcPr>
            <w:tcW w:w="1134"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8 283</w:t>
            </w:r>
          </w:p>
        </w:tc>
        <w:tc>
          <w:tcPr>
            <w:tcW w:w="992"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8 408</w:t>
            </w:r>
          </w:p>
        </w:tc>
        <w:tc>
          <w:tcPr>
            <w:tcW w:w="1276" w:type="dxa"/>
            <w:tcBorders>
              <w:top w:val="nil"/>
              <w:left w:val="nil"/>
              <w:bottom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7 137</w:t>
            </w:r>
          </w:p>
        </w:tc>
      </w:tr>
      <w:tr w:rsidR="009A5240" w:rsidRPr="009C078A" w:rsidTr="009A5240">
        <w:trPr>
          <w:trHeight w:val="300"/>
        </w:trPr>
        <w:tc>
          <w:tcPr>
            <w:tcW w:w="4111" w:type="dxa"/>
            <w:tcBorders>
              <w:top w:val="nil"/>
              <w:left w:val="nil"/>
              <w:right w:val="single" w:sz="4" w:space="0" w:color="auto"/>
            </w:tcBorders>
            <w:shd w:val="clear" w:color="auto" w:fill="auto"/>
            <w:noWrap/>
            <w:vAlign w:val="bottom"/>
            <w:hideMark/>
          </w:tcPr>
          <w:p w:rsidR="009A5240" w:rsidRPr="009C078A" w:rsidRDefault="009A5240" w:rsidP="009A5240">
            <w:pPr>
              <w:spacing w:after="0" w:line="240" w:lineRule="auto"/>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Vývoz</w:t>
            </w:r>
          </w:p>
        </w:tc>
        <w:tc>
          <w:tcPr>
            <w:tcW w:w="1134" w:type="dxa"/>
            <w:tcBorders>
              <w:top w:val="nil"/>
              <w:lef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8 571</w:t>
            </w:r>
          </w:p>
        </w:tc>
        <w:tc>
          <w:tcPr>
            <w:tcW w:w="1276" w:type="dxa"/>
            <w:tcBorders>
              <w:top w:val="nil"/>
              <w:left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10 944</w:t>
            </w:r>
          </w:p>
        </w:tc>
        <w:tc>
          <w:tcPr>
            <w:tcW w:w="992" w:type="dxa"/>
            <w:tcBorders>
              <w:top w:val="nil"/>
              <w:left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13 672</w:t>
            </w:r>
          </w:p>
        </w:tc>
        <w:tc>
          <w:tcPr>
            <w:tcW w:w="960" w:type="dxa"/>
            <w:tcBorders>
              <w:top w:val="nil"/>
              <w:left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22 756</w:t>
            </w:r>
          </w:p>
        </w:tc>
        <w:tc>
          <w:tcPr>
            <w:tcW w:w="960" w:type="dxa"/>
            <w:tcBorders>
              <w:top w:val="nil"/>
              <w:left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33 753</w:t>
            </w:r>
          </w:p>
        </w:tc>
        <w:tc>
          <w:tcPr>
            <w:tcW w:w="960" w:type="dxa"/>
            <w:tcBorders>
              <w:top w:val="nil"/>
              <w:left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32 885</w:t>
            </w:r>
          </w:p>
        </w:tc>
        <w:tc>
          <w:tcPr>
            <w:tcW w:w="1231" w:type="dxa"/>
            <w:tcBorders>
              <w:top w:val="nil"/>
              <w:left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29 940</w:t>
            </w:r>
          </w:p>
        </w:tc>
        <w:tc>
          <w:tcPr>
            <w:tcW w:w="1134" w:type="dxa"/>
            <w:tcBorders>
              <w:top w:val="nil"/>
              <w:left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18 589</w:t>
            </w:r>
          </w:p>
        </w:tc>
        <w:tc>
          <w:tcPr>
            <w:tcW w:w="992" w:type="dxa"/>
            <w:tcBorders>
              <w:top w:val="nil"/>
              <w:left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33 971</w:t>
            </w:r>
          </w:p>
        </w:tc>
        <w:tc>
          <w:tcPr>
            <w:tcW w:w="1276" w:type="dxa"/>
            <w:tcBorders>
              <w:top w:val="nil"/>
              <w:left w:val="nil"/>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color w:val="000000"/>
                <w:sz w:val="20"/>
                <w:szCs w:val="20"/>
              </w:rPr>
            </w:pPr>
            <w:r w:rsidRPr="009C078A">
              <w:rPr>
                <w:rFonts w:ascii="Times New Roman" w:eastAsia="Times New Roman" w:hAnsi="Times New Roman" w:cs="Times New Roman"/>
                <w:color w:val="000000"/>
                <w:sz w:val="20"/>
                <w:szCs w:val="20"/>
              </w:rPr>
              <w:t>27 163</w:t>
            </w:r>
          </w:p>
        </w:tc>
      </w:tr>
      <w:tr w:rsidR="009A5240" w:rsidRPr="009C078A" w:rsidTr="009A5240">
        <w:trPr>
          <w:trHeight w:val="300"/>
        </w:trPr>
        <w:tc>
          <w:tcPr>
            <w:tcW w:w="4111" w:type="dxa"/>
            <w:tcBorders>
              <w:top w:val="nil"/>
              <w:left w:val="nil"/>
              <w:bottom w:val="single" w:sz="4" w:space="0" w:color="auto"/>
              <w:right w:val="single" w:sz="4" w:space="0" w:color="auto"/>
            </w:tcBorders>
            <w:shd w:val="clear" w:color="auto" w:fill="auto"/>
            <w:noWrap/>
            <w:vAlign w:val="bottom"/>
            <w:hideMark/>
          </w:tcPr>
          <w:p w:rsidR="009A5240" w:rsidRPr="009C078A" w:rsidRDefault="009A5240" w:rsidP="009A5240">
            <w:pPr>
              <w:spacing w:after="0" w:line="240" w:lineRule="auto"/>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Celkové použitie</w:t>
            </w:r>
          </w:p>
        </w:tc>
        <w:tc>
          <w:tcPr>
            <w:tcW w:w="1134" w:type="dxa"/>
            <w:tcBorders>
              <w:top w:val="nil"/>
              <w:left w:val="nil"/>
              <w:bottom w:val="single" w:sz="4" w:space="0" w:color="auto"/>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130 519</w:t>
            </w:r>
          </w:p>
        </w:tc>
        <w:tc>
          <w:tcPr>
            <w:tcW w:w="1276" w:type="dxa"/>
            <w:tcBorders>
              <w:top w:val="nil"/>
              <w:left w:val="nil"/>
              <w:bottom w:val="single" w:sz="4" w:space="0" w:color="auto"/>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139 408</w:t>
            </w:r>
          </w:p>
        </w:tc>
        <w:tc>
          <w:tcPr>
            <w:tcW w:w="992" w:type="dxa"/>
            <w:tcBorders>
              <w:top w:val="nil"/>
              <w:left w:val="nil"/>
              <w:bottom w:val="single" w:sz="4" w:space="0" w:color="auto"/>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131 758</w:t>
            </w:r>
          </w:p>
        </w:tc>
        <w:tc>
          <w:tcPr>
            <w:tcW w:w="960" w:type="dxa"/>
            <w:tcBorders>
              <w:top w:val="nil"/>
              <w:left w:val="nil"/>
              <w:bottom w:val="single" w:sz="4" w:space="0" w:color="auto"/>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140 045</w:t>
            </w:r>
          </w:p>
        </w:tc>
        <w:tc>
          <w:tcPr>
            <w:tcW w:w="960" w:type="dxa"/>
            <w:tcBorders>
              <w:top w:val="nil"/>
              <w:left w:val="nil"/>
              <w:bottom w:val="single" w:sz="4" w:space="0" w:color="auto"/>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136 504</w:t>
            </w:r>
          </w:p>
        </w:tc>
        <w:tc>
          <w:tcPr>
            <w:tcW w:w="960" w:type="dxa"/>
            <w:tcBorders>
              <w:top w:val="nil"/>
              <w:left w:val="nil"/>
              <w:bottom w:val="single" w:sz="4" w:space="0" w:color="auto"/>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160 305</w:t>
            </w:r>
          </w:p>
        </w:tc>
        <w:tc>
          <w:tcPr>
            <w:tcW w:w="1231" w:type="dxa"/>
            <w:tcBorders>
              <w:top w:val="nil"/>
              <w:left w:val="nil"/>
              <w:bottom w:val="single" w:sz="4" w:space="0" w:color="auto"/>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170 588</w:t>
            </w:r>
          </w:p>
        </w:tc>
        <w:tc>
          <w:tcPr>
            <w:tcW w:w="1134" w:type="dxa"/>
            <w:tcBorders>
              <w:top w:val="nil"/>
              <w:left w:val="nil"/>
              <w:bottom w:val="single" w:sz="4" w:space="0" w:color="auto"/>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148 072</w:t>
            </w:r>
          </w:p>
        </w:tc>
        <w:tc>
          <w:tcPr>
            <w:tcW w:w="992" w:type="dxa"/>
            <w:tcBorders>
              <w:top w:val="nil"/>
              <w:left w:val="nil"/>
              <w:bottom w:val="single" w:sz="4" w:space="0" w:color="auto"/>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 xml:space="preserve">160 </w:t>
            </w:r>
            <w:proofErr w:type="spellStart"/>
            <w:r w:rsidRPr="009C078A">
              <w:rPr>
                <w:rFonts w:ascii="Times New Roman" w:eastAsia="Times New Roman" w:hAnsi="Times New Roman" w:cs="Times New Roman"/>
                <w:b/>
                <w:bCs/>
                <w:color w:val="000000"/>
                <w:sz w:val="20"/>
                <w:szCs w:val="20"/>
              </w:rPr>
              <w:t>160</w:t>
            </w:r>
            <w:proofErr w:type="spellEnd"/>
          </w:p>
        </w:tc>
        <w:tc>
          <w:tcPr>
            <w:tcW w:w="1276" w:type="dxa"/>
            <w:tcBorders>
              <w:top w:val="nil"/>
              <w:left w:val="nil"/>
              <w:bottom w:val="single" w:sz="4" w:space="0" w:color="auto"/>
              <w:right w:val="nil"/>
            </w:tcBorders>
            <w:shd w:val="clear" w:color="auto" w:fill="auto"/>
            <w:noWrap/>
            <w:vAlign w:val="bottom"/>
            <w:hideMark/>
          </w:tcPr>
          <w:p w:rsidR="009A5240" w:rsidRPr="009C078A" w:rsidRDefault="009A5240" w:rsidP="009A5240">
            <w:pPr>
              <w:spacing w:after="0" w:line="240" w:lineRule="auto"/>
              <w:jc w:val="right"/>
              <w:rPr>
                <w:rFonts w:ascii="Times New Roman" w:eastAsia="Times New Roman" w:hAnsi="Times New Roman" w:cs="Times New Roman"/>
                <w:b/>
                <w:bCs/>
                <w:color w:val="000000"/>
                <w:sz w:val="20"/>
                <w:szCs w:val="20"/>
              </w:rPr>
            </w:pPr>
            <w:r w:rsidRPr="009C078A">
              <w:rPr>
                <w:rFonts w:ascii="Times New Roman" w:eastAsia="Times New Roman" w:hAnsi="Times New Roman" w:cs="Times New Roman"/>
                <w:b/>
                <w:bCs/>
                <w:color w:val="000000"/>
                <w:sz w:val="20"/>
                <w:szCs w:val="20"/>
              </w:rPr>
              <w:t>147 992</w:t>
            </w:r>
          </w:p>
        </w:tc>
      </w:tr>
    </w:tbl>
    <w:p w:rsidR="009A5240" w:rsidRDefault="009A5240" w:rsidP="009A5240">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Zdroj: VÚEPP</w:t>
      </w:r>
    </w:p>
    <w:p w:rsidR="009A5240" w:rsidRDefault="009A5240" w:rsidP="009A5240">
      <w:pPr>
        <w:ind w:left="-567" w:right="-457"/>
        <w:rPr>
          <w:rFonts w:ascii="Times New Roman" w:hAnsi="Times New Roman" w:cs="Times New Roman"/>
          <w:sz w:val="20"/>
          <w:szCs w:val="20"/>
        </w:rPr>
      </w:pPr>
    </w:p>
    <w:p w:rsidR="009A5240" w:rsidRDefault="009A5240" w:rsidP="009A5240">
      <w:pPr>
        <w:ind w:left="-851" w:right="-457"/>
        <w:rPr>
          <w:rFonts w:ascii="Times New Roman" w:hAnsi="Times New Roman" w:cs="Times New Roman"/>
          <w:sz w:val="20"/>
          <w:szCs w:val="20"/>
        </w:rPr>
      </w:pPr>
    </w:p>
    <w:p w:rsidR="009A5240" w:rsidRDefault="009A5240" w:rsidP="009A5240">
      <w:pPr>
        <w:ind w:left="-851" w:right="-457"/>
        <w:rPr>
          <w:rFonts w:ascii="Times New Roman" w:hAnsi="Times New Roman" w:cs="Times New Roman"/>
          <w:sz w:val="20"/>
          <w:szCs w:val="20"/>
        </w:rPr>
      </w:pPr>
    </w:p>
    <w:p w:rsidR="009A5240" w:rsidRDefault="009A5240" w:rsidP="009A5240">
      <w:pPr>
        <w:ind w:left="-851" w:right="-457"/>
        <w:rPr>
          <w:rFonts w:ascii="Times New Roman" w:hAnsi="Times New Roman" w:cs="Times New Roman"/>
          <w:sz w:val="20"/>
          <w:szCs w:val="20"/>
        </w:rPr>
      </w:pPr>
    </w:p>
    <w:p w:rsidR="00D86A54" w:rsidRDefault="00D86A54" w:rsidP="009A5240">
      <w:pPr>
        <w:ind w:left="-851" w:right="-457"/>
        <w:rPr>
          <w:rFonts w:ascii="Times New Roman" w:hAnsi="Times New Roman" w:cs="Times New Roman"/>
          <w:sz w:val="20"/>
          <w:szCs w:val="20"/>
        </w:rPr>
      </w:pPr>
    </w:p>
    <w:p w:rsidR="009A5240" w:rsidRPr="00D86A54" w:rsidRDefault="00D86A54" w:rsidP="00D86A54">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lastRenderedPageBreak/>
        <w:t>Príloha č. 18</w:t>
      </w:r>
      <w:r w:rsidR="009A5240" w:rsidRPr="00D86A54">
        <w:rPr>
          <w:rFonts w:ascii="Times New Roman" w:hAnsi="Times New Roman" w:cs="Times New Roman"/>
          <w:b/>
          <w:sz w:val="20"/>
          <w:szCs w:val="20"/>
        </w:rPr>
        <w:t>: Výmera lesných pozemkov a porastovej pôdy</w:t>
      </w:r>
    </w:p>
    <w:tbl>
      <w:tblPr>
        <w:tblW w:w="15026" w:type="dxa"/>
        <w:tblInd w:w="-497" w:type="dxa"/>
        <w:tblCellMar>
          <w:left w:w="70" w:type="dxa"/>
          <w:right w:w="70" w:type="dxa"/>
        </w:tblCellMar>
        <w:tblLook w:val="04A0" w:firstRow="1" w:lastRow="0" w:firstColumn="1" w:lastColumn="0" w:noHBand="0" w:noVBand="1"/>
      </w:tblPr>
      <w:tblGrid>
        <w:gridCol w:w="4111"/>
        <w:gridCol w:w="1060"/>
        <w:gridCol w:w="1193"/>
        <w:gridCol w:w="1119"/>
        <w:gridCol w:w="1134"/>
        <w:gridCol w:w="993"/>
        <w:gridCol w:w="1060"/>
        <w:gridCol w:w="1060"/>
        <w:gridCol w:w="1060"/>
        <w:gridCol w:w="1060"/>
        <w:gridCol w:w="1176"/>
      </w:tblGrid>
      <w:tr w:rsidR="009A5240" w:rsidRPr="00B240AC" w:rsidTr="009A5240">
        <w:trPr>
          <w:trHeight w:val="300"/>
        </w:trPr>
        <w:tc>
          <w:tcPr>
            <w:tcW w:w="4111" w:type="dxa"/>
            <w:tcBorders>
              <w:top w:val="single" w:sz="4" w:space="0" w:color="auto"/>
              <w:left w:val="nil"/>
              <w:bottom w:val="single" w:sz="4" w:space="0" w:color="auto"/>
              <w:right w:val="single" w:sz="4" w:space="0" w:color="auto"/>
            </w:tcBorders>
            <w:shd w:val="clear" w:color="000000" w:fill="D9D9D9"/>
            <w:noWrap/>
            <w:vAlign w:val="bottom"/>
            <w:hideMark/>
          </w:tcPr>
          <w:p w:rsidR="009A5240" w:rsidRPr="00B240AC" w:rsidRDefault="009A5240" w:rsidP="009A5240">
            <w:pPr>
              <w:spacing w:after="0" w:line="240" w:lineRule="auto"/>
              <w:rPr>
                <w:rFonts w:ascii="Times New Roman" w:eastAsia="Times New Roman" w:hAnsi="Times New Roman" w:cs="Times New Roman"/>
                <w:b/>
                <w:bCs/>
                <w:color w:val="000000"/>
                <w:sz w:val="20"/>
                <w:szCs w:val="20"/>
              </w:rPr>
            </w:pPr>
            <w:r w:rsidRPr="00B240AC">
              <w:rPr>
                <w:rFonts w:ascii="Times New Roman" w:eastAsia="Times New Roman" w:hAnsi="Times New Roman" w:cs="Times New Roman"/>
                <w:b/>
                <w:bCs/>
                <w:color w:val="000000"/>
                <w:sz w:val="20"/>
                <w:szCs w:val="20"/>
              </w:rPr>
              <w:t> </w:t>
            </w:r>
          </w:p>
        </w:tc>
        <w:tc>
          <w:tcPr>
            <w:tcW w:w="1060" w:type="dxa"/>
            <w:tcBorders>
              <w:top w:val="single" w:sz="4" w:space="0" w:color="auto"/>
              <w:left w:val="nil"/>
              <w:bottom w:val="single" w:sz="4" w:space="0" w:color="auto"/>
              <w:right w:val="nil"/>
            </w:tcBorders>
            <w:shd w:val="clear" w:color="000000" w:fill="D9D9D9"/>
            <w:noWrap/>
            <w:vAlign w:val="bottom"/>
            <w:hideMark/>
          </w:tcPr>
          <w:p w:rsidR="009A5240" w:rsidRPr="00B240AC" w:rsidRDefault="009A5240" w:rsidP="009A5240">
            <w:pPr>
              <w:spacing w:after="0" w:line="240" w:lineRule="auto"/>
              <w:jc w:val="right"/>
              <w:rPr>
                <w:rFonts w:ascii="Times New Roman" w:eastAsia="Times New Roman" w:hAnsi="Times New Roman" w:cs="Times New Roman"/>
                <w:b/>
                <w:bCs/>
                <w:color w:val="000000"/>
                <w:sz w:val="20"/>
                <w:szCs w:val="20"/>
              </w:rPr>
            </w:pPr>
            <w:r w:rsidRPr="00B240AC">
              <w:rPr>
                <w:rFonts w:ascii="Times New Roman" w:eastAsia="Times New Roman" w:hAnsi="Times New Roman" w:cs="Times New Roman"/>
                <w:b/>
                <w:bCs/>
                <w:color w:val="000000"/>
                <w:sz w:val="20"/>
                <w:szCs w:val="20"/>
              </w:rPr>
              <w:t>2002</w:t>
            </w:r>
          </w:p>
        </w:tc>
        <w:tc>
          <w:tcPr>
            <w:tcW w:w="1193" w:type="dxa"/>
            <w:tcBorders>
              <w:top w:val="single" w:sz="4" w:space="0" w:color="auto"/>
              <w:left w:val="nil"/>
              <w:bottom w:val="single" w:sz="4" w:space="0" w:color="auto"/>
              <w:right w:val="nil"/>
            </w:tcBorders>
            <w:shd w:val="clear" w:color="000000" w:fill="D9D9D9"/>
            <w:noWrap/>
            <w:vAlign w:val="bottom"/>
            <w:hideMark/>
          </w:tcPr>
          <w:p w:rsidR="009A5240" w:rsidRPr="00B240AC" w:rsidRDefault="009A5240" w:rsidP="009A5240">
            <w:pPr>
              <w:spacing w:after="0" w:line="240" w:lineRule="auto"/>
              <w:jc w:val="right"/>
              <w:rPr>
                <w:rFonts w:ascii="Times New Roman" w:eastAsia="Times New Roman" w:hAnsi="Times New Roman" w:cs="Times New Roman"/>
                <w:b/>
                <w:bCs/>
                <w:color w:val="000000"/>
                <w:sz w:val="20"/>
                <w:szCs w:val="20"/>
              </w:rPr>
            </w:pPr>
            <w:r w:rsidRPr="00B240AC">
              <w:rPr>
                <w:rFonts w:ascii="Times New Roman" w:eastAsia="Times New Roman" w:hAnsi="Times New Roman" w:cs="Times New Roman"/>
                <w:b/>
                <w:bCs/>
                <w:color w:val="000000"/>
                <w:sz w:val="20"/>
                <w:szCs w:val="20"/>
              </w:rPr>
              <w:t>2003</w:t>
            </w:r>
          </w:p>
        </w:tc>
        <w:tc>
          <w:tcPr>
            <w:tcW w:w="1119" w:type="dxa"/>
            <w:tcBorders>
              <w:top w:val="single" w:sz="4" w:space="0" w:color="auto"/>
              <w:left w:val="nil"/>
              <w:bottom w:val="single" w:sz="4" w:space="0" w:color="auto"/>
              <w:right w:val="nil"/>
            </w:tcBorders>
            <w:shd w:val="clear" w:color="000000" w:fill="D9D9D9"/>
            <w:noWrap/>
            <w:vAlign w:val="bottom"/>
            <w:hideMark/>
          </w:tcPr>
          <w:p w:rsidR="009A5240" w:rsidRPr="00B240AC" w:rsidRDefault="009A5240" w:rsidP="009A5240">
            <w:pPr>
              <w:spacing w:after="0" w:line="240" w:lineRule="auto"/>
              <w:jc w:val="right"/>
              <w:rPr>
                <w:rFonts w:ascii="Times New Roman" w:eastAsia="Times New Roman" w:hAnsi="Times New Roman" w:cs="Times New Roman"/>
                <w:b/>
                <w:bCs/>
                <w:color w:val="000000"/>
                <w:sz w:val="20"/>
                <w:szCs w:val="20"/>
              </w:rPr>
            </w:pPr>
            <w:r w:rsidRPr="00B240AC">
              <w:rPr>
                <w:rFonts w:ascii="Times New Roman" w:eastAsia="Times New Roman" w:hAnsi="Times New Roman" w:cs="Times New Roman"/>
                <w:b/>
                <w:bCs/>
                <w:color w:val="000000"/>
                <w:sz w:val="20"/>
                <w:szCs w:val="20"/>
              </w:rPr>
              <w:t>2004</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B240AC" w:rsidRDefault="009A5240" w:rsidP="009A5240">
            <w:pPr>
              <w:spacing w:after="0" w:line="240" w:lineRule="auto"/>
              <w:jc w:val="right"/>
              <w:rPr>
                <w:rFonts w:ascii="Times New Roman" w:eastAsia="Times New Roman" w:hAnsi="Times New Roman" w:cs="Times New Roman"/>
                <w:b/>
                <w:bCs/>
                <w:color w:val="000000"/>
                <w:sz w:val="20"/>
                <w:szCs w:val="20"/>
              </w:rPr>
            </w:pPr>
            <w:r w:rsidRPr="00B240AC">
              <w:rPr>
                <w:rFonts w:ascii="Times New Roman" w:eastAsia="Times New Roman" w:hAnsi="Times New Roman" w:cs="Times New Roman"/>
                <w:b/>
                <w:bCs/>
                <w:color w:val="000000"/>
                <w:sz w:val="20"/>
                <w:szCs w:val="20"/>
              </w:rPr>
              <w:t>2005</w:t>
            </w:r>
          </w:p>
        </w:tc>
        <w:tc>
          <w:tcPr>
            <w:tcW w:w="993" w:type="dxa"/>
            <w:tcBorders>
              <w:top w:val="single" w:sz="4" w:space="0" w:color="auto"/>
              <w:left w:val="nil"/>
              <w:bottom w:val="single" w:sz="4" w:space="0" w:color="auto"/>
              <w:right w:val="nil"/>
            </w:tcBorders>
            <w:shd w:val="clear" w:color="000000" w:fill="D9D9D9"/>
            <w:noWrap/>
            <w:vAlign w:val="bottom"/>
            <w:hideMark/>
          </w:tcPr>
          <w:p w:rsidR="009A5240" w:rsidRPr="00B240AC" w:rsidRDefault="009A5240" w:rsidP="009A5240">
            <w:pPr>
              <w:spacing w:after="0" w:line="240" w:lineRule="auto"/>
              <w:jc w:val="right"/>
              <w:rPr>
                <w:rFonts w:ascii="Times New Roman" w:eastAsia="Times New Roman" w:hAnsi="Times New Roman" w:cs="Times New Roman"/>
                <w:b/>
                <w:bCs/>
                <w:color w:val="000000"/>
                <w:sz w:val="20"/>
                <w:szCs w:val="20"/>
              </w:rPr>
            </w:pPr>
            <w:r w:rsidRPr="00B240AC">
              <w:rPr>
                <w:rFonts w:ascii="Times New Roman" w:eastAsia="Times New Roman" w:hAnsi="Times New Roman" w:cs="Times New Roman"/>
                <w:b/>
                <w:bCs/>
                <w:color w:val="000000"/>
                <w:sz w:val="20"/>
                <w:szCs w:val="20"/>
              </w:rPr>
              <w:t>2006</w:t>
            </w:r>
          </w:p>
        </w:tc>
        <w:tc>
          <w:tcPr>
            <w:tcW w:w="1060" w:type="dxa"/>
            <w:tcBorders>
              <w:top w:val="single" w:sz="4" w:space="0" w:color="auto"/>
              <w:left w:val="nil"/>
              <w:bottom w:val="single" w:sz="4" w:space="0" w:color="auto"/>
            </w:tcBorders>
            <w:shd w:val="clear" w:color="000000" w:fill="D9D9D9"/>
            <w:noWrap/>
            <w:vAlign w:val="bottom"/>
            <w:hideMark/>
          </w:tcPr>
          <w:p w:rsidR="009A5240" w:rsidRPr="00B240AC" w:rsidRDefault="009A5240" w:rsidP="009A5240">
            <w:pPr>
              <w:spacing w:after="0" w:line="240" w:lineRule="auto"/>
              <w:jc w:val="right"/>
              <w:rPr>
                <w:rFonts w:ascii="Times New Roman" w:eastAsia="Times New Roman" w:hAnsi="Times New Roman" w:cs="Times New Roman"/>
                <w:b/>
                <w:bCs/>
                <w:color w:val="000000"/>
                <w:sz w:val="20"/>
                <w:szCs w:val="20"/>
              </w:rPr>
            </w:pPr>
            <w:r w:rsidRPr="00B240AC">
              <w:rPr>
                <w:rFonts w:ascii="Times New Roman" w:eastAsia="Times New Roman" w:hAnsi="Times New Roman" w:cs="Times New Roman"/>
                <w:b/>
                <w:bCs/>
                <w:color w:val="000000"/>
                <w:sz w:val="20"/>
                <w:szCs w:val="20"/>
              </w:rPr>
              <w:t>2007</w:t>
            </w:r>
          </w:p>
        </w:tc>
        <w:tc>
          <w:tcPr>
            <w:tcW w:w="1060" w:type="dxa"/>
            <w:tcBorders>
              <w:top w:val="single" w:sz="4" w:space="0" w:color="auto"/>
              <w:left w:val="nil"/>
              <w:bottom w:val="single" w:sz="4" w:space="0" w:color="auto"/>
            </w:tcBorders>
            <w:shd w:val="clear" w:color="000000" w:fill="D9D9D9"/>
            <w:noWrap/>
            <w:vAlign w:val="bottom"/>
            <w:hideMark/>
          </w:tcPr>
          <w:p w:rsidR="009A5240" w:rsidRPr="00B240AC" w:rsidRDefault="009A5240" w:rsidP="009A5240">
            <w:pPr>
              <w:spacing w:after="0" w:line="240" w:lineRule="auto"/>
              <w:jc w:val="right"/>
              <w:rPr>
                <w:rFonts w:ascii="Times New Roman" w:eastAsia="Times New Roman" w:hAnsi="Times New Roman" w:cs="Times New Roman"/>
                <w:b/>
                <w:bCs/>
                <w:color w:val="000000"/>
                <w:sz w:val="20"/>
                <w:szCs w:val="20"/>
              </w:rPr>
            </w:pPr>
            <w:r w:rsidRPr="00B240AC">
              <w:rPr>
                <w:rFonts w:ascii="Times New Roman" w:eastAsia="Times New Roman" w:hAnsi="Times New Roman" w:cs="Times New Roman"/>
                <w:b/>
                <w:bCs/>
                <w:color w:val="000000"/>
                <w:sz w:val="20"/>
                <w:szCs w:val="20"/>
              </w:rPr>
              <w:t>2008</w:t>
            </w:r>
          </w:p>
        </w:tc>
        <w:tc>
          <w:tcPr>
            <w:tcW w:w="1060" w:type="dxa"/>
            <w:tcBorders>
              <w:top w:val="single" w:sz="4" w:space="0" w:color="auto"/>
              <w:bottom w:val="single" w:sz="4" w:space="0" w:color="auto"/>
            </w:tcBorders>
            <w:shd w:val="clear" w:color="000000" w:fill="D9D9D9"/>
            <w:noWrap/>
            <w:vAlign w:val="bottom"/>
            <w:hideMark/>
          </w:tcPr>
          <w:p w:rsidR="009A5240" w:rsidRPr="00B240AC" w:rsidRDefault="009A5240" w:rsidP="009A5240">
            <w:pPr>
              <w:spacing w:after="0" w:line="240" w:lineRule="auto"/>
              <w:jc w:val="right"/>
              <w:rPr>
                <w:rFonts w:ascii="Times New Roman" w:eastAsia="Times New Roman" w:hAnsi="Times New Roman" w:cs="Times New Roman"/>
                <w:b/>
                <w:bCs/>
                <w:color w:val="000000"/>
                <w:sz w:val="20"/>
                <w:szCs w:val="20"/>
              </w:rPr>
            </w:pPr>
            <w:r w:rsidRPr="00B240AC">
              <w:rPr>
                <w:rFonts w:ascii="Times New Roman" w:eastAsia="Times New Roman" w:hAnsi="Times New Roman" w:cs="Times New Roman"/>
                <w:b/>
                <w:bCs/>
                <w:color w:val="000000"/>
                <w:sz w:val="20"/>
                <w:szCs w:val="20"/>
              </w:rPr>
              <w:t>2009</w:t>
            </w:r>
          </w:p>
        </w:tc>
        <w:tc>
          <w:tcPr>
            <w:tcW w:w="1060" w:type="dxa"/>
            <w:tcBorders>
              <w:top w:val="single" w:sz="4" w:space="0" w:color="auto"/>
              <w:left w:val="nil"/>
              <w:bottom w:val="single" w:sz="4" w:space="0" w:color="auto"/>
            </w:tcBorders>
            <w:shd w:val="clear" w:color="000000" w:fill="D9D9D9"/>
            <w:noWrap/>
            <w:vAlign w:val="bottom"/>
            <w:hideMark/>
          </w:tcPr>
          <w:p w:rsidR="009A5240" w:rsidRPr="00B240AC" w:rsidRDefault="009A5240" w:rsidP="009A5240">
            <w:pPr>
              <w:spacing w:after="0" w:line="240" w:lineRule="auto"/>
              <w:jc w:val="right"/>
              <w:rPr>
                <w:rFonts w:ascii="Times New Roman" w:eastAsia="Times New Roman" w:hAnsi="Times New Roman" w:cs="Times New Roman"/>
                <w:b/>
                <w:bCs/>
                <w:color w:val="000000"/>
                <w:sz w:val="20"/>
                <w:szCs w:val="20"/>
              </w:rPr>
            </w:pPr>
            <w:r w:rsidRPr="00B240AC">
              <w:rPr>
                <w:rFonts w:ascii="Times New Roman" w:eastAsia="Times New Roman" w:hAnsi="Times New Roman" w:cs="Times New Roman"/>
                <w:b/>
                <w:bCs/>
                <w:color w:val="000000"/>
                <w:sz w:val="20"/>
                <w:szCs w:val="20"/>
              </w:rPr>
              <w:t>2010</w:t>
            </w:r>
          </w:p>
        </w:tc>
        <w:tc>
          <w:tcPr>
            <w:tcW w:w="1176" w:type="dxa"/>
            <w:tcBorders>
              <w:top w:val="single" w:sz="4" w:space="0" w:color="auto"/>
              <w:bottom w:val="single" w:sz="4" w:space="0" w:color="auto"/>
              <w:right w:val="nil"/>
            </w:tcBorders>
            <w:shd w:val="clear" w:color="000000" w:fill="D9D9D9"/>
            <w:noWrap/>
            <w:vAlign w:val="bottom"/>
            <w:hideMark/>
          </w:tcPr>
          <w:p w:rsidR="009A5240" w:rsidRPr="00B240AC" w:rsidRDefault="009A5240" w:rsidP="009A5240">
            <w:pPr>
              <w:spacing w:after="0" w:line="240" w:lineRule="auto"/>
              <w:jc w:val="right"/>
              <w:rPr>
                <w:rFonts w:ascii="Times New Roman" w:eastAsia="Times New Roman" w:hAnsi="Times New Roman" w:cs="Times New Roman"/>
                <w:b/>
                <w:bCs/>
                <w:color w:val="000000"/>
                <w:sz w:val="20"/>
                <w:szCs w:val="20"/>
              </w:rPr>
            </w:pPr>
            <w:r w:rsidRPr="00B240AC">
              <w:rPr>
                <w:rFonts w:ascii="Times New Roman" w:eastAsia="Times New Roman" w:hAnsi="Times New Roman" w:cs="Times New Roman"/>
                <w:b/>
                <w:bCs/>
                <w:color w:val="000000"/>
                <w:sz w:val="20"/>
                <w:szCs w:val="20"/>
              </w:rPr>
              <w:t>2011</w:t>
            </w:r>
          </w:p>
        </w:tc>
      </w:tr>
      <w:tr w:rsidR="009A5240" w:rsidRPr="00B240AC" w:rsidTr="009A5240">
        <w:trPr>
          <w:trHeight w:val="300"/>
        </w:trPr>
        <w:tc>
          <w:tcPr>
            <w:tcW w:w="4111" w:type="dxa"/>
            <w:tcBorders>
              <w:top w:val="nil"/>
              <w:left w:val="nil"/>
              <w:bottom w:val="nil"/>
              <w:right w:val="single" w:sz="4" w:space="0" w:color="auto"/>
            </w:tcBorders>
            <w:shd w:val="clear" w:color="auto" w:fill="auto"/>
            <w:noWrap/>
            <w:vAlign w:val="bottom"/>
            <w:hideMark/>
          </w:tcPr>
          <w:p w:rsidR="009A5240" w:rsidRPr="00B240AC" w:rsidRDefault="009A5240" w:rsidP="009A5240">
            <w:pPr>
              <w:spacing w:after="0" w:line="240" w:lineRule="auto"/>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Lesné pozemky (výmera v ha)</w:t>
            </w:r>
          </w:p>
        </w:tc>
        <w:tc>
          <w:tcPr>
            <w:tcW w:w="1060" w:type="dxa"/>
            <w:tcBorders>
              <w:top w:val="nil"/>
              <w:left w:val="nil"/>
              <w:bottom w:val="nil"/>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2 008 349</w:t>
            </w:r>
          </w:p>
        </w:tc>
        <w:tc>
          <w:tcPr>
            <w:tcW w:w="1193" w:type="dxa"/>
            <w:tcBorders>
              <w:top w:val="nil"/>
              <w:left w:val="nil"/>
              <w:bottom w:val="nil"/>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2 004 226</w:t>
            </w:r>
          </w:p>
        </w:tc>
        <w:tc>
          <w:tcPr>
            <w:tcW w:w="1119" w:type="dxa"/>
            <w:tcBorders>
              <w:top w:val="nil"/>
              <w:left w:val="nil"/>
              <w:bottom w:val="nil"/>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2 005 598</w:t>
            </w:r>
          </w:p>
        </w:tc>
        <w:tc>
          <w:tcPr>
            <w:tcW w:w="1134" w:type="dxa"/>
            <w:tcBorders>
              <w:top w:val="nil"/>
              <w:left w:val="nil"/>
              <w:bottom w:val="nil"/>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2 006 172</w:t>
            </w:r>
          </w:p>
        </w:tc>
        <w:tc>
          <w:tcPr>
            <w:tcW w:w="993" w:type="dxa"/>
            <w:tcBorders>
              <w:top w:val="nil"/>
              <w:left w:val="nil"/>
              <w:bottom w:val="nil"/>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2 007 006</w:t>
            </w:r>
          </w:p>
        </w:tc>
        <w:tc>
          <w:tcPr>
            <w:tcW w:w="1060" w:type="dxa"/>
            <w:tcBorders>
              <w:top w:val="nil"/>
              <w:left w:val="nil"/>
              <w:bottom w:val="nil"/>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2 006 601</w:t>
            </w:r>
          </w:p>
        </w:tc>
        <w:tc>
          <w:tcPr>
            <w:tcW w:w="1060" w:type="dxa"/>
            <w:tcBorders>
              <w:top w:val="nil"/>
              <w:left w:val="nil"/>
              <w:bottom w:val="nil"/>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2 007 441</w:t>
            </w:r>
          </w:p>
        </w:tc>
        <w:tc>
          <w:tcPr>
            <w:tcW w:w="1060" w:type="dxa"/>
            <w:tcBorders>
              <w:top w:val="nil"/>
              <w:left w:val="nil"/>
              <w:bottom w:val="nil"/>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2 009 264</w:t>
            </w:r>
          </w:p>
        </w:tc>
        <w:tc>
          <w:tcPr>
            <w:tcW w:w="1060" w:type="dxa"/>
            <w:tcBorders>
              <w:top w:val="nil"/>
              <w:left w:val="nil"/>
              <w:bottom w:val="nil"/>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2 010 817</w:t>
            </w:r>
          </w:p>
        </w:tc>
        <w:tc>
          <w:tcPr>
            <w:tcW w:w="1176" w:type="dxa"/>
            <w:tcBorders>
              <w:top w:val="nil"/>
              <w:left w:val="nil"/>
              <w:bottom w:val="nil"/>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2 011 467</w:t>
            </w:r>
          </w:p>
        </w:tc>
      </w:tr>
      <w:tr w:rsidR="009A5240" w:rsidRPr="00B240AC" w:rsidTr="009A5240">
        <w:trPr>
          <w:trHeight w:val="300"/>
        </w:trPr>
        <w:tc>
          <w:tcPr>
            <w:tcW w:w="4111" w:type="dxa"/>
            <w:tcBorders>
              <w:top w:val="nil"/>
              <w:left w:val="nil"/>
              <w:bottom w:val="single" w:sz="4" w:space="0" w:color="auto"/>
              <w:right w:val="single" w:sz="4" w:space="0" w:color="auto"/>
            </w:tcBorders>
            <w:shd w:val="clear" w:color="auto" w:fill="auto"/>
            <w:noWrap/>
            <w:vAlign w:val="bottom"/>
            <w:hideMark/>
          </w:tcPr>
          <w:p w:rsidR="009A5240" w:rsidRPr="00B240AC" w:rsidRDefault="009A5240" w:rsidP="009A5240">
            <w:pPr>
              <w:spacing w:after="0" w:line="240" w:lineRule="auto"/>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Porastová pôda (výmera v ha)</w:t>
            </w:r>
          </w:p>
        </w:tc>
        <w:tc>
          <w:tcPr>
            <w:tcW w:w="1060" w:type="dxa"/>
            <w:tcBorders>
              <w:top w:val="nil"/>
              <w:left w:val="nil"/>
              <w:bottom w:val="single" w:sz="4" w:space="0" w:color="auto"/>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1 928 709</w:t>
            </w:r>
          </w:p>
        </w:tc>
        <w:tc>
          <w:tcPr>
            <w:tcW w:w="1193" w:type="dxa"/>
            <w:tcBorders>
              <w:top w:val="nil"/>
              <w:left w:val="nil"/>
              <w:bottom w:val="single" w:sz="4" w:space="0" w:color="auto"/>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1 929 310</w:t>
            </w:r>
          </w:p>
        </w:tc>
        <w:tc>
          <w:tcPr>
            <w:tcW w:w="1119" w:type="dxa"/>
            <w:tcBorders>
              <w:top w:val="nil"/>
              <w:left w:val="nil"/>
              <w:bottom w:val="single" w:sz="4" w:space="0" w:color="auto"/>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1 930 692</w:t>
            </w:r>
          </w:p>
        </w:tc>
        <w:tc>
          <w:tcPr>
            <w:tcW w:w="1134" w:type="dxa"/>
            <w:tcBorders>
              <w:top w:val="nil"/>
              <w:left w:val="nil"/>
              <w:bottom w:val="single" w:sz="4" w:space="0" w:color="auto"/>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1 931 645</w:t>
            </w:r>
          </w:p>
        </w:tc>
        <w:tc>
          <w:tcPr>
            <w:tcW w:w="993" w:type="dxa"/>
            <w:tcBorders>
              <w:top w:val="nil"/>
              <w:left w:val="nil"/>
              <w:bottom w:val="single" w:sz="4" w:space="0" w:color="auto"/>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1 932 049</w:t>
            </w:r>
          </w:p>
        </w:tc>
        <w:tc>
          <w:tcPr>
            <w:tcW w:w="1060" w:type="dxa"/>
            <w:tcBorders>
              <w:top w:val="nil"/>
              <w:left w:val="nil"/>
              <w:bottom w:val="single" w:sz="4" w:space="0" w:color="auto"/>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1 932 942</w:t>
            </w:r>
          </w:p>
        </w:tc>
        <w:tc>
          <w:tcPr>
            <w:tcW w:w="1060" w:type="dxa"/>
            <w:tcBorders>
              <w:top w:val="nil"/>
              <w:left w:val="nil"/>
              <w:bottom w:val="single" w:sz="4" w:space="0" w:color="auto"/>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1 933 591</w:t>
            </w:r>
          </w:p>
        </w:tc>
        <w:tc>
          <w:tcPr>
            <w:tcW w:w="1060" w:type="dxa"/>
            <w:tcBorders>
              <w:top w:val="nil"/>
              <w:left w:val="nil"/>
              <w:bottom w:val="single" w:sz="4" w:space="0" w:color="auto"/>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1 937 685</w:t>
            </w:r>
          </w:p>
        </w:tc>
        <w:tc>
          <w:tcPr>
            <w:tcW w:w="1060" w:type="dxa"/>
            <w:tcBorders>
              <w:top w:val="nil"/>
              <w:left w:val="nil"/>
              <w:bottom w:val="single" w:sz="4" w:space="0" w:color="auto"/>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1 938 904</w:t>
            </w:r>
          </w:p>
        </w:tc>
        <w:tc>
          <w:tcPr>
            <w:tcW w:w="1176" w:type="dxa"/>
            <w:tcBorders>
              <w:top w:val="nil"/>
              <w:left w:val="nil"/>
              <w:bottom w:val="single" w:sz="4" w:space="0" w:color="auto"/>
              <w:right w:val="nil"/>
            </w:tcBorders>
            <w:shd w:val="clear" w:color="auto" w:fill="auto"/>
            <w:noWrap/>
            <w:vAlign w:val="bottom"/>
            <w:hideMark/>
          </w:tcPr>
          <w:p w:rsidR="009A5240" w:rsidRPr="00B240AC" w:rsidRDefault="009A5240" w:rsidP="009A5240">
            <w:pPr>
              <w:spacing w:after="0" w:line="240" w:lineRule="auto"/>
              <w:jc w:val="right"/>
              <w:rPr>
                <w:rFonts w:ascii="Times New Roman" w:eastAsia="Times New Roman" w:hAnsi="Times New Roman" w:cs="Times New Roman"/>
                <w:color w:val="000000"/>
                <w:sz w:val="20"/>
                <w:szCs w:val="20"/>
              </w:rPr>
            </w:pPr>
            <w:r w:rsidRPr="00B240AC">
              <w:rPr>
                <w:rFonts w:ascii="Times New Roman" w:eastAsia="Times New Roman" w:hAnsi="Times New Roman" w:cs="Times New Roman"/>
                <w:color w:val="000000"/>
                <w:sz w:val="20"/>
                <w:szCs w:val="20"/>
              </w:rPr>
              <w:t>1 940 108</w:t>
            </w:r>
          </w:p>
        </w:tc>
      </w:tr>
    </w:tbl>
    <w:p w:rsidR="009A5240" w:rsidRPr="00D86A54" w:rsidRDefault="009A5240" w:rsidP="00D86A54">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 xml:space="preserve">Zdroj: </w:t>
      </w:r>
      <w:r w:rsidR="00D86A54">
        <w:rPr>
          <w:rFonts w:ascii="Times New Roman" w:hAnsi="Times New Roman" w:cs="Times New Roman"/>
          <w:sz w:val="20"/>
          <w:szCs w:val="20"/>
        </w:rPr>
        <w:t>NLC-ÚLZI Zvolen</w:t>
      </w:r>
    </w:p>
    <w:p w:rsidR="009A5240" w:rsidRPr="00D86A54" w:rsidRDefault="00D86A54" w:rsidP="00D86A54">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Príloha č. 19</w:t>
      </w:r>
      <w:r w:rsidR="009A5240" w:rsidRPr="00D86A54">
        <w:rPr>
          <w:rFonts w:ascii="Times New Roman" w:hAnsi="Times New Roman" w:cs="Times New Roman"/>
          <w:b/>
          <w:sz w:val="20"/>
          <w:szCs w:val="20"/>
        </w:rPr>
        <w:t>: Plošný podiel jedno, dvoj a viacetážových porastov spolu a podľa kategórií lesov v roku 2011</w:t>
      </w:r>
    </w:p>
    <w:tbl>
      <w:tblPr>
        <w:tblW w:w="15026" w:type="dxa"/>
        <w:tblInd w:w="-497" w:type="dxa"/>
        <w:tblCellMar>
          <w:left w:w="70" w:type="dxa"/>
          <w:right w:w="70" w:type="dxa"/>
        </w:tblCellMar>
        <w:tblLook w:val="04A0" w:firstRow="1" w:lastRow="0" w:firstColumn="1" w:lastColumn="0" w:noHBand="0" w:noVBand="1"/>
      </w:tblPr>
      <w:tblGrid>
        <w:gridCol w:w="2552"/>
        <w:gridCol w:w="1559"/>
        <w:gridCol w:w="1825"/>
        <w:gridCol w:w="1861"/>
        <w:gridCol w:w="1660"/>
        <w:gridCol w:w="2025"/>
        <w:gridCol w:w="1660"/>
        <w:gridCol w:w="1884"/>
      </w:tblGrid>
      <w:tr w:rsidR="009A5240" w:rsidRPr="003302F4" w:rsidTr="009A5240">
        <w:trPr>
          <w:cantSplit/>
          <w:trHeight w:val="510"/>
        </w:trPr>
        <w:tc>
          <w:tcPr>
            <w:tcW w:w="2552" w:type="dxa"/>
            <w:tcBorders>
              <w:top w:val="single" w:sz="4" w:space="0" w:color="auto"/>
              <w:left w:val="nil"/>
              <w:bottom w:val="nil"/>
              <w:right w:val="single" w:sz="4" w:space="0" w:color="auto"/>
            </w:tcBorders>
            <w:shd w:val="clear" w:color="000000" w:fill="D9D9D9"/>
            <w:noWrap/>
            <w:hideMark/>
          </w:tcPr>
          <w:p w:rsidR="009A5240" w:rsidRPr="003302F4" w:rsidRDefault="009A5240" w:rsidP="009A5240">
            <w:pPr>
              <w:spacing w:after="0" w:line="240" w:lineRule="auto"/>
              <w:rPr>
                <w:rFonts w:ascii="Times New Roman" w:eastAsia="Times New Roman" w:hAnsi="Times New Roman" w:cs="Times New Roman"/>
                <w:b/>
                <w:bCs/>
                <w:color w:val="000000"/>
                <w:sz w:val="20"/>
                <w:szCs w:val="20"/>
              </w:rPr>
            </w:pPr>
            <w:r w:rsidRPr="003302F4">
              <w:rPr>
                <w:rFonts w:ascii="Times New Roman" w:eastAsia="Times New Roman" w:hAnsi="Times New Roman" w:cs="Times New Roman"/>
                <w:b/>
                <w:bCs/>
                <w:color w:val="000000"/>
                <w:sz w:val="20"/>
                <w:szCs w:val="20"/>
              </w:rPr>
              <w:t>Kategória lesov</w:t>
            </w:r>
          </w:p>
        </w:tc>
        <w:tc>
          <w:tcPr>
            <w:tcW w:w="1559" w:type="dxa"/>
            <w:tcBorders>
              <w:top w:val="single" w:sz="4" w:space="0" w:color="auto"/>
              <w:left w:val="nil"/>
              <w:bottom w:val="nil"/>
              <w:right w:val="single" w:sz="4" w:space="0" w:color="auto"/>
            </w:tcBorders>
            <w:shd w:val="clear" w:color="000000" w:fill="D9D9D9"/>
            <w:noWrap/>
            <w:hideMark/>
          </w:tcPr>
          <w:p w:rsidR="009A5240" w:rsidRPr="003302F4" w:rsidRDefault="009A5240" w:rsidP="009A5240">
            <w:pPr>
              <w:spacing w:after="0" w:line="240" w:lineRule="auto"/>
              <w:jc w:val="center"/>
              <w:rPr>
                <w:rFonts w:ascii="Times New Roman" w:eastAsia="Times New Roman" w:hAnsi="Times New Roman" w:cs="Times New Roman"/>
                <w:b/>
                <w:bCs/>
                <w:color w:val="000000"/>
                <w:sz w:val="20"/>
                <w:szCs w:val="20"/>
              </w:rPr>
            </w:pPr>
            <w:r w:rsidRPr="003302F4">
              <w:rPr>
                <w:rFonts w:ascii="Times New Roman" w:eastAsia="Times New Roman" w:hAnsi="Times New Roman" w:cs="Times New Roman"/>
                <w:b/>
                <w:bCs/>
                <w:color w:val="000000"/>
                <w:sz w:val="20"/>
                <w:szCs w:val="20"/>
              </w:rPr>
              <w:t>Výmera PP</w:t>
            </w:r>
          </w:p>
        </w:tc>
        <w:tc>
          <w:tcPr>
            <w:tcW w:w="3686" w:type="dxa"/>
            <w:gridSpan w:val="2"/>
            <w:tcBorders>
              <w:top w:val="single" w:sz="4" w:space="0" w:color="auto"/>
              <w:left w:val="nil"/>
              <w:bottom w:val="nil"/>
              <w:right w:val="nil"/>
            </w:tcBorders>
            <w:shd w:val="clear" w:color="000000" w:fill="D9D9D9"/>
            <w:noWrap/>
            <w:hideMark/>
          </w:tcPr>
          <w:p w:rsidR="009A5240" w:rsidRPr="003302F4" w:rsidRDefault="009A5240" w:rsidP="009A5240">
            <w:pPr>
              <w:spacing w:after="0" w:line="240" w:lineRule="auto"/>
              <w:jc w:val="center"/>
              <w:rPr>
                <w:rFonts w:ascii="Times New Roman" w:eastAsia="Times New Roman" w:hAnsi="Times New Roman" w:cs="Times New Roman"/>
                <w:b/>
                <w:bCs/>
                <w:color w:val="000000"/>
                <w:sz w:val="20"/>
                <w:szCs w:val="20"/>
              </w:rPr>
            </w:pPr>
            <w:r w:rsidRPr="003302F4">
              <w:rPr>
                <w:rFonts w:ascii="Times New Roman" w:eastAsia="Times New Roman" w:hAnsi="Times New Roman" w:cs="Times New Roman"/>
                <w:b/>
                <w:bCs/>
                <w:color w:val="000000"/>
                <w:sz w:val="20"/>
                <w:szCs w:val="20"/>
              </w:rPr>
              <w:t>Jednoetážové porasty</w:t>
            </w:r>
          </w:p>
        </w:tc>
        <w:tc>
          <w:tcPr>
            <w:tcW w:w="3685" w:type="dxa"/>
            <w:gridSpan w:val="2"/>
            <w:tcBorders>
              <w:top w:val="single" w:sz="4" w:space="0" w:color="auto"/>
              <w:left w:val="single" w:sz="4" w:space="0" w:color="auto"/>
              <w:bottom w:val="nil"/>
              <w:right w:val="single" w:sz="4" w:space="0" w:color="000000"/>
            </w:tcBorders>
            <w:shd w:val="clear" w:color="000000" w:fill="D9D9D9"/>
            <w:noWrap/>
            <w:hideMark/>
          </w:tcPr>
          <w:p w:rsidR="009A5240" w:rsidRPr="003302F4" w:rsidRDefault="009A5240" w:rsidP="009A5240">
            <w:pPr>
              <w:spacing w:after="0" w:line="240" w:lineRule="auto"/>
              <w:jc w:val="center"/>
              <w:rPr>
                <w:rFonts w:ascii="Times New Roman" w:eastAsia="Times New Roman" w:hAnsi="Times New Roman" w:cs="Times New Roman"/>
                <w:b/>
                <w:bCs/>
                <w:color w:val="000000"/>
                <w:sz w:val="20"/>
                <w:szCs w:val="20"/>
              </w:rPr>
            </w:pPr>
            <w:r w:rsidRPr="003302F4">
              <w:rPr>
                <w:rFonts w:ascii="Times New Roman" w:eastAsia="Times New Roman" w:hAnsi="Times New Roman" w:cs="Times New Roman"/>
                <w:b/>
                <w:bCs/>
                <w:color w:val="000000"/>
                <w:sz w:val="20"/>
                <w:szCs w:val="20"/>
              </w:rPr>
              <w:t>Dvojetážové porasty</w:t>
            </w:r>
          </w:p>
        </w:tc>
        <w:tc>
          <w:tcPr>
            <w:tcW w:w="3544" w:type="dxa"/>
            <w:gridSpan w:val="2"/>
            <w:tcBorders>
              <w:top w:val="single" w:sz="4" w:space="0" w:color="auto"/>
              <w:left w:val="nil"/>
              <w:bottom w:val="nil"/>
              <w:right w:val="nil"/>
            </w:tcBorders>
            <w:shd w:val="clear" w:color="000000" w:fill="D9D9D9"/>
            <w:noWrap/>
            <w:hideMark/>
          </w:tcPr>
          <w:p w:rsidR="009A5240" w:rsidRPr="003302F4" w:rsidRDefault="009A5240" w:rsidP="009A5240">
            <w:pPr>
              <w:spacing w:after="0" w:line="240" w:lineRule="auto"/>
              <w:jc w:val="center"/>
              <w:rPr>
                <w:rFonts w:ascii="Times New Roman" w:eastAsia="Times New Roman" w:hAnsi="Times New Roman" w:cs="Times New Roman"/>
                <w:b/>
                <w:bCs/>
                <w:color w:val="000000"/>
                <w:sz w:val="20"/>
                <w:szCs w:val="20"/>
              </w:rPr>
            </w:pPr>
            <w:proofErr w:type="spellStart"/>
            <w:r w:rsidRPr="003302F4">
              <w:rPr>
                <w:rFonts w:ascii="Times New Roman" w:eastAsia="Times New Roman" w:hAnsi="Times New Roman" w:cs="Times New Roman"/>
                <w:b/>
                <w:bCs/>
                <w:color w:val="000000"/>
                <w:sz w:val="20"/>
                <w:szCs w:val="20"/>
              </w:rPr>
              <w:t>Troj</w:t>
            </w:r>
            <w:proofErr w:type="spellEnd"/>
            <w:r w:rsidRPr="003302F4">
              <w:rPr>
                <w:rFonts w:ascii="Times New Roman" w:eastAsia="Times New Roman" w:hAnsi="Times New Roman" w:cs="Times New Roman"/>
                <w:b/>
                <w:bCs/>
                <w:color w:val="000000"/>
                <w:sz w:val="20"/>
                <w:szCs w:val="20"/>
              </w:rPr>
              <w:t>- a viacetážové porasty</w:t>
            </w:r>
          </w:p>
        </w:tc>
      </w:tr>
      <w:tr w:rsidR="009A5240" w:rsidRPr="003302F4" w:rsidTr="009A5240">
        <w:trPr>
          <w:trHeight w:val="300"/>
        </w:trPr>
        <w:tc>
          <w:tcPr>
            <w:tcW w:w="2552" w:type="dxa"/>
            <w:tcBorders>
              <w:top w:val="nil"/>
              <w:left w:val="nil"/>
              <w:bottom w:val="single" w:sz="4" w:space="0" w:color="auto"/>
              <w:right w:val="single" w:sz="4" w:space="0" w:color="auto"/>
            </w:tcBorders>
            <w:shd w:val="clear" w:color="000000" w:fill="D9D9D9"/>
            <w:noWrap/>
            <w:vAlign w:val="bottom"/>
            <w:hideMark/>
          </w:tcPr>
          <w:p w:rsidR="009A5240" w:rsidRPr="003302F4" w:rsidRDefault="009A5240" w:rsidP="009A5240">
            <w:pPr>
              <w:spacing w:after="0" w:line="240" w:lineRule="auto"/>
              <w:rPr>
                <w:rFonts w:ascii="Times New Roman" w:eastAsia="Times New Roman" w:hAnsi="Times New Roman" w:cs="Times New Roman"/>
                <w:color w:val="000000"/>
                <w:sz w:val="20"/>
                <w:szCs w:val="20"/>
              </w:rPr>
            </w:pPr>
            <w:r w:rsidRPr="003302F4">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bCs/>
                <w:color w:val="000000"/>
                <w:sz w:val="20"/>
                <w:szCs w:val="20"/>
              </w:rPr>
              <w:t>ha</w:t>
            </w:r>
          </w:p>
        </w:tc>
        <w:tc>
          <w:tcPr>
            <w:tcW w:w="1825" w:type="dxa"/>
            <w:tcBorders>
              <w:top w:val="nil"/>
              <w:left w:val="nil"/>
              <w:bottom w:val="single" w:sz="4" w:space="0" w:color="auto"/>
              <w:right w:val="nil"/>
            </w:tcBorders>
            <w:shd w:val="clear" w:color="000000" w:fill="D9D9D9"/>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bCs/>
                <w:color w:val="000000"/>
                <w:sz w:val="20"/>
                <w:szCs w:val="20"/>
              </w:rPr>
              <w:t>ha</w:t>
            </w:r>
          </w:p>
        </w:tc>
        <w:tc>
          <w:tcPr>
            <w:tcW w:w="1861" w:type="dxa"/>
            <w:tcBorders>
              <w:top w:val="nil"/>
              <w:left w:val="nil"/>
              <w:bottom w:val="single" w:sz="4" w:space="0" w:color="auto"/>
              <w:right w:val="nil"/>
            </w:tcBorders>
            <w:shd w:val="clear" w:color="000000" w:fill="D9D9D9"/>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bCs/>
                <w:color w:val="000000"/>
                <w:sz w:val="20"/>
                <w:szCs w:val="20"/>
              </w:rPr>
              <w:t>%</w:t>
            </w:r>
          </w:p>
        </w:tc>
        <w:tc>
          <w:tcPr>
            <w:tcW w:w="1660" w:type="dxa"/>
            <w:tcBorders>
              <w:top w:val="nil"/>
              <w:left w:val="single" w:sz="4" w:space="0" w:color="auto"/>
              <w:bottom w:val="single" w:sz="4" w:space="0" w:color="auto"/>
              <w:right w:val="nil"/>
            </w:tcBorders>
            <w:shd w:val="clear" w:color="000000" w:fill="D9D9D9"/>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bCs/>
                <w:color w:val="000000"/>
                <w:sz w:val="20"/>
                <w:szCs w:val="20"/>
              </w:rPr>
              <w:t>ha</w:t>
            </w:r>
          </w:p>
        </w:tc>
        <w:tc>
          <w:tcPr>
            <w:tcW w:w="2025" w:type="dxa"/>
            <w:tcBorders>
              <w:top w:val="nil"/>
              <w:left w:val="nil"/>
              <w:bottom w:val="single" w:sz="4" w:space="0" w:color="auto"/>
              <w:right w:val="single" w:sz="4" w:space="0" w:color="auto"/>
            </w:tcBorders>
            <w:shd w:val="clear" w:color="000000" w:fill="D9D9D9"/>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bCs/>
                <w:color w:val="000000"/>
                <w:sz w:val="20"/>
                <w:szCs w:val="20"/>
              </w:rPr>
              <w:t>%</w:t>
            </w:r>
          </w:p>
        </w:tc>
        <w:tc>
          <w:tcPr>
            <w:tcW w:w="1660" w:type="dxa"/>
            <w:tcBorders>
              <w:top w:val="nil"/>
              <w:left w:val="nil"/>
              <w:bottom w:val="single" w:sz="4" w:space="0" w:color="auto"/>
              <w:right w:val="nil"/>
            </w:tcBorders>
            <w:shd w:val="clear" w:color="000000" w:fill="D9D9D9"/>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bCs/>
                <w:color w:val="000000"/>
                <w:sz w:val="20"/>
                <w:szCs w:val="20"/>
              </w:rPr>
              <w:t>ha</w:t>
            </w:r>
          </w:p>
        </w:tc>
        <w:tc>
          <w:tcPr>
            <w:tcW w:w="1884" w:type="dxa"/>
            <w:tcBorders>
              <w:top w:val="nil"/>
              <w:left w:val="nil"/>
              <w:bottom w:val="single" w:sz="4" w:space="0" w:color="auto"/>
              <w:right w:val="nil"/>
            </w:tcBorders>
            <w:shd w:val="clear" w:color="000000" w:fill="D9D9D9"/>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bCs/>
                <w:color w:val="000000"/>
                <w:sz w:val="20"/>
                <w:szCs w:val="20"/>
              </w:rPr>
              <w:t>%</w:t>
            </w:r>
          </w:p>
        </w:tc>
      </w:tr>
      <w:tr w:rsidR="009A5240" w:rsidRPr="003302F4" w:rsidTr="009A5240">
        <w:trPr>
          <w:trHeight w:val="300"/>
        </w:trPr>
        <w:tc>
          <w:tcPr>
            <w:tcW w:w="2552" w:type="dxa"/>
            <w:tcBorders>
              <w:top w:val="nil"/>
              <w:left w:val="nil"/>
              <w:bottom w:val="nil"/>
              <w:right w:val="single" w:sz="4" w:space="0" w:color="auto"/>
            </w:tcBorders>
            <w:shd w:val="clear" w:color="auto" w:fill="auto"/>
            <w:noWrap/>
            <w:vAlign w:val="bottom"/>
            <w:hideMark/>
          </w:tcPr>
          <w:p w:rsidR="009A5240" w:rsidRPr="003302F4" w:rsidRDefault="009A5240" w:rsidP="009A5240">
            <w:pPr>
              <w:spacing w:after="0" w:line="240" w:lineRule="auto"/>
              <w:rPr>
                <w:rFonts w:ascii="Times New Roman" w:eastAsia="Times New Roman" w:hAnsi="Times New Roman" w:cs="Times New Roman"/>
                <w:color w:val="000000"/>
                <w:sz w:val="20"/>
                <w:szCs w:val="20"/>
              </w:rPr>
            </w:pPr>
            <w:r w:rsidRPr="003302F4">
              <w:rPr>
                <w:rFonts w:ascii="Times New Roman" w:eastAsia="Times New Roman" w:hAnsi="Times New Roman" w:cs="Times New Roman"/>
                <w:color w:val="000000"/>
                <w:sz w:val="20"/>
                <w:szCs w:val="20"/>
              </w:rPr>
              <w:t>Hospodárske</w:t>
            </w:r>
          </w:p>
        </w:tc>
        <w:tc>
          <w:tcPr>
            <w:tcW w:w="1559" w:type="dxa"/>
            <w:tcBorders>
              <w:top w:val="nil"/>
              <w:left w:val="nil"/>
              <w:bottom w:val="nil"/>
              <w:right w:val="single" w:sz="4" w:space="0" w:color="auto"/>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color w:val="000000"/>
                <w:sz w:val="20"/>
                <w:szCs w:val="20"/>
              </w:rPr>
              <w:t>1 365 893</w:t>
            </w:r>
          </w:p>
        </w:tc>
        <w:tc>
          <w:tcPr>
            <w:tcW w:w="1825" w:type="dxa"/>
            <w:tcBorders>
              <w:top w:val="nil"/>
              <w:left w:val="nil"/>
              <w:bottom w:val="nil"/>
              <w:right w:val="nil"/>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color w:val="000000"/>
                <w:sz w:val="20"/>
                <w:szCs w:val="20"/>
              </w:rPr>
              <w:t>1 068 828</w:t>
            </w:r>
          </w:p>
        </w:tc>
        <w:tc>
          <w:tcPr>
            <w:tcW w:w="1861" w:type="dxa"/>
            <w:tcBorders>
              <w:top w:val="nil"/>
              <w:left w:val="nil"/>
              <w:bottom w:val="nil"/>
              <w:right w:val="nil"/>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bCs/>
                <w:color w:val="000000"/>
                <w:sz w:val="20"/>
                <w:szCs w:val="20"/>
              </w:rPr>
              <w:t>78,30%</w:t>
            </w:r>
          </w:p>
        </w:tc>
        <w:tc>
          <w:tcPr>
            <w:tcW w:w="1660" w:type="dxa"/>
            <w:tcBorders>
              <w:top w:val="nil"/>
              <w:left w:val="single" w:sz="4" w:space="0" w:color="auto"/>
              <w:bottom w:val="nil"/>
              <w:right w:val="nil"/>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color w:val="000000"/>
                <w:sz w:val="20"/>
                <w:szCs w:val="20"/>
              </w:rPr>
              <w:t>261 220</w:t>
            </w:r>
          </w:p>
        </w:tc>
        <w:tc>
          <w:tcPr>
            <w:tcW w:w="2025" w:type="dxa"/>
            <w:tcBorders>
              <w:top w:val="nil"/>
              <w:left w:val="nil"/>
              <w:bottom w:val="nil"/>
              <w:right w:val="single" w:sz="4" w:space="0" w:color="auto"/>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bCs/>
                <w:color w:val="000000"/>
                <w:sz w:val="20"/>
                <w:szCs w:val="20"/>
              </w:rPr>
              <w:t>19,10%</w:t>
            </w:r>
          </w:p>
        </w:tc>
        <w:tc>
          <w:tcPr>
            <w:tcW w:w="1660" w:type="dxa"/>
            <w:tcBorders>
              <w:top w:val="nil"/>
              <w:left w:val="nil"/>
              <w:bottom w:val="nil"/>
              <w:right w:val="nil"/>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color w:val="000000"/>
                <w:sz w:val="20"/>
                <w:szCs w:val="20"/>
              </w:rPr>
              <w:t>35 845</w:t>
            </w:r>
          </w:p>
        </w:tc>
        <w:tc>
          <w:tcPr>
            <w:tcW w:w="1884" w:type="dxa"/>
            <w:tcBorders>
              <w:top w:val="nil"/>
              <w:left w:val="nil"/>
              <w:bottom w:val="nil"/>
              <w:right w:val="nil"/>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bCs/>
                <w:color w:val="000000"/>
                <w:sz w:val="20"/>
                <w:szCs w:val="20"/>
              </w:rPr>
              <w:t>2,60%</w:t>
            </w:r>
          </w:p>
        </w:tc>
      </w:tr>
      <w:tr w:rsidR="009A5240" w:rsidRPr="003302F4" w:rsidTr="009A5240">
        <w:trPr>
          <w:trHeight w:val="300"/>
        </w:trPr>
        <w:tc>
          <w:tcPr>
            <w:tcW w:w="2552" w:type="dxa"/>
            <w:tcBorders>
              <w:top w:val="nil"/>
              <w:left w:val="nil"/>
              <w:bottom w:val="nil"/>
              <w:right w:val="single" w:sz="4" w:space="0" w:color="auto"/>
            </w:tcBorders>
            <w:shd w:val="clear" w:color="auto" w:fill="auto"/>
            <w:noWrap/>
            <w:vAlign w:val="bottom"/>
            <w:hideMark/>
          </w:tcPr>
          <w:p w:rsidR="009A5240" w:rsidRPr="003302F4" w:rsidRDefault="009A5240" w:rsidP="009A5240">
            <w:pPr>
              <w:spacing w:after="0" w:line="240" w:lineRule="auto"/>
              <w:rPr>
                <w:rFonts w:ascii="Times New Roman" w:eastAsia="Times New Roman" w:hAnsi="Times New Roman" w:cs="Times New Roman"/>
                <w:color w:val="000000"/>
                <w:sz w:val="20"/>
                <w:szCs w:val="20"/>
              </w:rPr>
            </w:pPr>
            <w:r w:rsidRPr="003302F4">
              <w:rPr>
                <w:rFonts w:ascii="Times New Roman" w:eastAsia="Times New Roman" w:hAnsi="Times New Roman" w:cs="Times New Roman"/>
                <w:color w:val="000000"/>
                <w:sz w:val="20"/>
                <w:szCs w:val="20"/>
              </w:rPr>
              <w:t>Ochranné</w:t>
            </w:r>
          </w:p>
        </w:tc>
        <w:tc>
          <w:tcPr>
            <w:tcW w:w="1559" w:type="dxa"/>
            <w:tcBorders>
              <w:top w:val="nil"/>
              <w:left w:val="nil"/>
              <w:bottom w:val="nil"/>
              <w:right w:val="single" w:sz="4" w:space="0" w:color="auto"/>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color w:val="000000"/>
                <w:sz w:val="20"/>
                <w:szCs w:val="20"/>
              </w:rPr>
              <w:t>331 694</w:t>
            </w:r>
          </w:p>
        </w:tc>
        <w:tc>
          <w:tcPr>
            <w:tcW w:w="1825" w:type="dxa"/>
            <w:tcBorders>
              <w:top w:val="nil"/>
              <w:left w:val="nil"/>
              <w:bottom w:val="nil"/>
              <w:right w:val="nil"/>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color w:val="000000"/>
                <w:sz w:val="20"/>
                <w:szCs w:val="20"/>
              </w:rPr>
              <w:t>239 326</w:t>
            </w:r>
          </w:p>
        </w:tc>
        <w:tc>
          <w:tcPr>
            <w:tcW w:w="1861" w:type="dxa"/>
            <w:tcBorders>
              <w:top w:val="nil"/>
              <w:left w:val="nil"/>
              <w:bottom w:val="nil"/>
              <w:right w:val="nil"/>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bCs/>
                <w:color w:val="000000"/>
                <w:sz w:val="20"/>
                <w:szCs w:val="20"/>
              </w:rPr>
              <w:t>72,20%</w:t>
            </w:r>
          </w:p>
        </w:tc>
        <w:tc>
          <w:tcPr>
            <w:tcW w:w="1660" w:type="dxa"/>
            <w:tcBorders>
              <w:top w:val="nil"/>
              <w:left w:val="single" w:sz="4" w:space="0" w:color="auto"/>
              <w:bottom w:val="nil"/>
              <w:right w:val="nil"/>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color w:val="000000"/>
                <w:sz w:val="20"/>
                <w:szCs w:val="20"/>
              </w:rPr>
              <w:t>80 963</w:t>
            </w:r>
          </w:p>
        </w:tc>
        <w:tc>
          <w:tcPr>
            <w:tcW w:w="2025" w:type="dxa"/>
            <w:tcBorders>
              <w:top w:val="nil"/>
              <w:left w:val="nil"/>
              <w:bottom w:val="nil"/>
              <w:right w:val="single" w:sz="4" w:space="0" w:color="auto"/>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bCs/>
                <w:color w:val="000000"/>
                <w:sz w:val="20"/>
                <w:szCs w:val="20"/>
              </w:rPr>
              <w:t>24,40%</w:t>
            </w:r>
          </w:p>
        </w:tc>
        <w:tc>
          <w:tcPr>
            <w:tcW w:w="1660" w:type="dxa"/>
            <w:tcBorders>
              <w:top w:val="nil"/>
              <w:left w:val="nil"/>
              <w:bottom w:val="nil"/>
              <w:right w:val="nil"/>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color w:val="000000"/>
                <w:sz w:val="20"/>
                <w:szCs w:val="20"/>
              </w:rPr>
              <w:t>11 405</w:t>
            </w:r>
          </w:p>
        </w:tc>
        <w:tc>
          <w:tcPr>
            <w:tcW w:w="1884" w:type="dxa"/>
            <w:tcBorders>
              <w:top w:val="nil"/>
              <w:left w:val="nil"/>
              <w:bottom w:val="nil"/>
              <w:right w:val="nil"/>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bCs/>
                <w:color w:val="000000"/>
                <w:sz w:val="20"/>
                <w:szCs w:val="20"/>
              </w:rPr>
              <w:t>3,40%</w:t>
            </w:r>
          </w:p>
        </w:tc>
      </w:tr>
      <w:tr w:rsidR="009A5240" w:rsidRPr="003302F4" w:rsidTr="009A5240">
        <w:trPr>
          <w:trHeight w:val="300"/>
        </w:trPr>
        <w:tc>
          <w:tcPr>
            <w:tcW w:w="2552" w:type="dxa"/>
            <w:tcBorders>
              <w:top w:val="nil"/>
              <w:left w:val="nil"/>
              <w:bottom w:val="nil"/>
              <w:right w:val="single" w:sz="4" w:space="0" w:color="auto"/>
            </w:tcBorders>
            <w:shd w:val="clear" w:color="auto" w:fill="auto"/>
            <w:noWrap/>
            <w:vAlign w:val="bottom"/>
            <w:hideMark/>
          </w:tcPr>
          <w:p w:rsidR="009A5240" w:rsidRPr="003302F4" w:rsidRDefault="009A5240" w:rsidP="009A5240">
            <w:pPr>
              <w:spacing w:after="0" w:line="240" w:lineRule="auto"/>
              <w:rPr>
                <w:rFonts w:ascii="Times New Roman" w:eastAsia="Times New Roman" w:hAnsi="Times New Roman" w:cs="Times New Roman"/>
                <w:color w:val="000000"/>
                <w:sz w:val="20"/>
                <w:szCs w:val="20"/>
              </w:rPr>
            </w:pPr>
            <w:r w:rsidRPr="003302F4">
              <w:rPr>
                <w:rFonts w:ascii="Times New Roman" w:eastAsia="Times New Roman" w:hAnsi="Times New Roman" w:cs="Times New Roman"/>
                <w:color w:val="000000"/>
                <w:sz w:val="20"/>
                <w:szCs w:val="20"/>
              </w:rPr>
              <w:t>Osobitného určenia</w:t>
            </w:r>
          </w:p>
        </w:tc>
        <w:tc>
          <w:tcPr>
            <w:tcW w:w="1559" w:type="dxa"/>
            <w:tcBorders>
              <w:top w:val="nil"/>
              <w:left w:val="nil"/>
              <w:bottom w:val="nil"/>
              <w:right w:val="single" w:sz="4" w:space="0" w:color="auto"/>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color w:val="000000"/>
                <w:sz w:val="20"/>
                <w:szCs w:val="20"/>
              </w:rPr>
              <w:t>242 521</w:t>
            </w:r>
          </w:p>
        </w:tc>
        <w:tc>
          <w:tcPr>
            <w:tcW w:w="1825" w:type="dxa"/>
            <w:tcBorders>
              <w:top w:val="nil"/>
              <w:left w:val="nil"/>
              <w:bottom w:val="nil"/>
              <w:right w:val="nil"/>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color w:val="000000"/>
                <w:sz w:val="20"/>
                <w:szCs w:val="20"/>
              </w:rPr>
              <w:t>189 443</w:t>
            </w:r>
          </w:p>
        </w:tc>
        <w:tc>
          <w:tcPr>
            <w:tcW w:w="1861" w:type="dxa"/>
            <w:tcBorders>
              <w:top w:val="nil"/>
              <w:left w:val="nil"/>
              <w:bottom w:val="nil"/>
              <w:right w:val="nil"/>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bCs/>
                <w:color w:val="000000"/>
                <w:sz w:val="20"/>
                <w:szCs w:val="20"/>
              </w:rPr>
              <w:t>78,10%</w:t>
            </w:r>
          </w:p>
        </w:tc>
        <w:tc>
          <w:tcPr>
            <w:tcW w:w="1660" w:type="dxa"/>
            <w:tcBorders>
              <w:top w:val="nil"/>
              <w:left w:val="single" w:sz="4" w:space="0" w:color="auto"/>
              <w:bottom w:val="nil"/>
              <w:right w:val="nil"/>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color w:val="000000"/>
                <w:sz w:val="20"/>
                <w:szCs w:val="20"/>
              </w:rPr>
              <w:t>44 099</w:t>
            </w:r>
          </w:p>
        </w:tc>
        <w:tc>
          <w:tcPr>
            <w:tcW w:w="2025" w:type="dxa"/>
            <w:tcBorders>
              <w:top w:val="nil"/>
              <w:left w:val="nil"/>
              <w:bottom w:val="nil"/>
              <w:right w:val="single" w:sz="4" w:space="0" w:color="auto"/>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bCs/>
                <w:color w:val="000000"/>
                <w:sz w:val="20"/>
                <w:szCs w:val="20"/>
              </w:rPr>
              <w:t>18,20%</w:t>
            </w:r>
          </w:p>
        </w:tc>
        <w:tc>
          <w:tcPr>
            <w:tcW w:w="1660" w:type="dxa"/>
            <w:tcBorders>
              <w:top w:val="nil"/>
              <w:left w:val="nil"/>
              <w:bottom w:val="nil"/>
              <w:right w:val="nil"/>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color w:val="000000"/>
                <w:sz w:val="20"/>
                <w:szCs w:val="20"/>
              </w:rPr>
              <w:t>8 979</w:t>
            </w:r>
          </w:p>
        </w:tc>
        <w:tc>
          <w:tcPr>
            <w:tcW w:w="1884" w:type="dxa"/>
            <w:tcBorders>
              <w:top w:val="nil"/>
              <w:left w:val="nil"/>
              <w:bottom w:val="nil"/>
              <w:right w:val="nil"/>
            </w:tcBorders>
            <w:shd w:val="clear" w:color="auto" w:fill="auto"/>
            <w:noWrap/>
            <w:vAlign w:val="bottom"/>
            <w:hideMark/>
          </w:tcPr>
          <w:p w:rsidR="009A5240" w:rsidRPr="003302F4" w:rsidRDefault="009A5240" w:rsidP="009A5240">
            <w:pPr>
              <w:spacing w:after="0" w:line="240" w:lineRule="auto"/>
              <w:jc w:val="right"/>
              <w:rPr>
                <w:rFonts w:ascii="Times New Roman" w:eastAsia="Times New Roman" w:hAnsi="Times New Roman" w:cs="Times New Roman"/>
                <w:color w:val="000000"/>
                <w:sz w:val="20"/>
                <w:szCs w:val="20"/>
              </w:rPr>
            </w:pPr>
            <w:r w:rsidRPr="003302F4">
              <w:rPr>
                <w:rFonts w:ascii="Times New Roman" w:eastAsia="Times New Roman" w:hAnsi="Times New Roman" w:cs="Times New Roman"/>
                <w:bCs/>
                <w:color w:val="000000"/>
                <w:sz w:val="20"/>
                <w:szCs w:val="20"/>
              </w:rPr>
              <w:t>3,70%</w:t>
            </w:r>
          </w:p>
        </w:tc>
      </w:tr>
      <w:tr w:rsidR="009A5240" w:rsidRPr="003302F4" w:rsidTr="009A5240">
        <w:trPr>
          <w:trHeight w:val="300"/>
        </w:trPr>
        <w:tc>
          <w:tcPr>
            <w:tcW w:w="2552" w:type="dxa"/>
            <w:tcBorders>
              <w:top w:val="single" w:sz="4" w:space="0" w:color="auto"/>
              <w:left w:val="nil"/>
              <w:bottom w:val="single" w:sz="4" w:space="0" w:color="auto"/>
              <w:right w:val="single" w:sz="4" w:space="0" w:color="auto"/>
            </w:tcBorders>
            <w:shd w:val="clear" w:color="000000" w:fill="F2F2F2"/>
            <w:noWrap/>
            <w:vAlign w:val="bottom"/>
            <w:hideMark/>
          </w:tcPr>
          <w:p w:rsidR="009A5240" w:rsidRPr="003302F4" w:rsidRDefault="009A5240" w:rsidP="009A5240">
            <w:pPr>
              <w:spacing w:after="0" w:line="240" w:lineRule="auto"/>
              <w:rPr>
                <w:rFonts w:ascii="Times New Roman" w:eastAsia="Times New Roman" w:hAnsi="Times New Roman" w:cs="Times New Roman"/>
                <w:b/>
                <w:bCs/>
                <w:color w:val="000000"/>
                <w:sz w:val="20"/>
                <w:szCs w:val="20"/>
              </w:rPr>
            </w:pPr>
            <w:r w:rsidRPr="003302F4">
              <w:rPr>
                <w:rFonts w:ascii="Times New Roman" w:eastAsia="Times New Roman" w:hAnsi="Times New Roman" w:cs="Times New Roman"/>
                <w:b/>
                <w:bCs/>
                <w:iCs/>
                <w:color w:val="000000"/>
                <w:sz w:val="20"/>
                <w:szCs w:val="20"/>
              </w:rPr>
              <w:t>Spolu</w:t>
            </w:r>
          </w:p>
        </w:tc>
        <w:tc>
          <w:tcPr>
            <w:tcW w:w="1559" w:type="dxa"/>
            <w:tcBorders>
              <w:top w:val="single" w:sz="4" w:space="0" w:color="auto"/>
              <w:left w:val="nil"/>
              <w:bottom w:val="single" w:sz="4" w:space="0" w:color="auto"/>
              <w:right w:val="single" w:sz="4" w:space="0" w:color="auto"/>
            </w:tcBorders>
            <w:shd w:val="clear" w:color="000000" w:fill="F2F2F2"/>
            <w:noWrap/>
            <w:vAlign w:val="bottom"/>
            <w:hideMark/>
          </w:tcPr>
          <w:p w:rsidR="009A5240" w:rsidRPr="003302F4" w:rsidRDefault="009A5240" w:rsidP="009A5240">
            <w:pPr>
              <w:spacing w:after="0" w:line="240" w:lineRule="auto"/>
              <w:jc w:val="right"/>
              <w:rPr>
                <w:rFonts w:ascii="Times New Roman" w:eastAsia="Times New Roman" w:hAnsi="Times New Roman" w:cs="Times New Roman"/>
                <w:b/>
                <w:bCs/>
                <w:color w:val="000000"/>
                <w:sz w:val="20"/>
                <w:szCs w:val="20"/>
              </w:rPr>
            </w:pPr>
            <w:r w:rsidRPr="003302F4">
              <w:rPr>
                <w:rFonts w:ascii="Times New Roman" w:eastAsia="Times New Roman" w:hAnsi="Times New Roman" w:cs="Times New Roman"/>
                <w:b/>
                <w:bCs/>
                <w:color w:val="000000"/>
                <w:sz w:val="20"/>
                <w:szCs w:val="20"/>
              </w:rPr>
              <w:t>1 940 108</w:t>
            </w:r>
          </w:p>
        </w:tc>
        <w:tc>
          <w:tcPr>
            <w:tcW w:w="1825" w:type="dxa"/>
            <w:tcBorders>
              <w:top w:val="single" w:sz="4" w:space="0" w:color="auto"/>
              <w:left w:val="nil"/>
              <w:bottom w:val="single" w:sz="4" w:space="0" w:color="auto"/>
              <w:right w:val="nil"/>
            </w:tcBorders>
            <w:shd w:val="clear" w:color="000000" w:fill="F2F2F2"/>
            <w:noWrap/>
            <w:vAlign w:val="bottom"/>
            <w:hideMark/>
          </w:tcPr>
          <w:p w:rsidR="009A5240" w:rsidRPr="003302F4" w:rsidRDefault="009A5240" w:rsidP="009A5240">
            <w:pPr>
              <w:spacing w:after="0" w:line="240" w:lineRule="auto"/>
              <w:jc w:val="right"/>
              <w:rPr>
                <w:rFonts w:ascii="Times New Roman" w:eastAsia="Times New Roman" w:hAnsi="Times New Roman" w:cs="Times New Roman"/>
                <w:b/>
                <w:bCs/>
                <w:color w:val="000000"/>
                <w:sz w:val="20"/>
                <w:szCs w:val="20"/>
              </w:rPr>
            </w:pPr>
            <w:r w:rsidRPr="003302F4">
              <w:rPr>
                <w:rFonts w:ascii="Times New Roman" w:eastAsia="Times New Roman" w:hAnsi="Times New Roman" w:cs="Times New Roman"/>
                <w:b/>
                <w:bCs/>
                <w:color w:val="000000"/>
                <w:sz w:val="20"/>
                <w:szCs w:val="20"/>
              </w:rPr>
              <w:t>1 497 596</w:t>
            </w:r>
          </w:p>
        </w:tc>
        <w:tc>
          <w:tcPr>
            <w:tcW w:w="1861" w:type="dxa"/>
            <w:tcBorders>
              <w:top w:val="single" w:sz="4" w:space="0" w:color="auto"/>
              <w:left w:val="nil"/>
              <w:bottom w:val="single" w:sz="4" w:space="0" w:color="auto"/>
              <w:right w:val="nil"/>
            </w:tcBorders>
            <w:shd w:val="clear" w:color="000000" w:fill="F2F2F2"/>
            <w:noWrap/>
            <w:vAlign w:val="bottom"/>
            <w:hideMark/>
          </w:tcPr>
          <w:p w:rsidR="009A5240" w:rsidRPr="003302F4" w:rsidRDefault="009A5240" w:rsidP="009A5240">
            <w:pPr>
              <w:spacing w:after="0" w:line="240" w:lineRule="auto"/>
              <w:jc w:val="right"/>
              <w:rPr>
                <w:rFonts w:ascii="Times New Roman" w:eastAsia="Times New Roman" w:hAnsi="Times New Roman" w:cs="Times New Roman"/>
                <w:b/>
                <w:bCs/>
                <w:color w:val="000000"/>
                <w:sz w:val="20"/>
                <w:szCs w:val="20"/>
              </w:rPr>
            </w:pPr>
            <w:r w:rsidRPr="003302F4">
              <w:rPr>
                <w:rFonts w:ascii="Times New Roman" w:eastAsia="Times New Roman" w:hAnsi="Times New Roman" w:cs="Times New Roman"/>
                <w:b/>
                <w:bCs/>
                <w:color w:val="000000"/>
                <w:sz w:val="20"/>
                <w:szCs w:val="20"/>
              </w:rPr>
              <w:t>77,20%</w:t>
            </w:r>
          </w:p>
        </w:tc>
        <w:tc>
          <w:tcPr>
            <w:tcW w:w="1660" w:type="dxa"/>
            <w:tcBorders>
              <w:top w:val="single" w:sz="4" w:space="0" w:color="auto"/>
              <w:left w:val="single" w:sz="4" w:space="0" w:color="auto"/>
              <w:bottom w:val="single" w:sz="4" w:space="0" w:color="auto"/>
              <w:right w:val="nil"/>
            </w:tcBorders>
            <w:shd w:val="clear" w:color="000000" w:fill="F2F2F2"/>
            <w:noWrap/>
            <w:vAlign w:val="bottom"/>
            <w:hideMark/>
          </w:tcPr>
          <w:p w:rsidR="009A5240" w:rsidRPr="003302F4" w:rsidRDefault="009A5240" w:rsidP="009A5240">
            <w:pPr>
              <w:spacing w:after="0" w:line="240" w:lineRule="auto"/>
              <w:jc w:val="right"/>
              <w:rPr>
                <w:rFonts w:ascii="Times New Roman" w:eastAsia="Times New Roman" w:hAnsi="Times New Roman" w:cs="Times New Roman"/>
                <w:b/>
                <w:bCs/>
                <w:color w:val="000000"/>
                <w:sz w:val="20"/>
                <w:szCs w:val="20"/>
              </w:rPr>
            </w:pPr>
            <w:r w:rsidRPr="003302F4">
              <w:rPr>
                <w:rFonts w:ascii="Times New Roman" w:eastAsia="Times New Roman" w:hAnsi="Times New Roman" w:cs="Times New Roman"/>
                <w:b/>
                <w:bCs/>
                <w:color w:val="000000"/>
                <w:sz w:val="20"/>
                <w:szCs w:val="20"/>
              </w:rPr>
              <w:t>386 282</w:t>
            </w:r>
          </w:p>
        </w:tc>
        <w:tc>
          <w:tcPr>
            <w:tcW w:w="2025" w:type="dxa"/>
            <w:tcBorders>
              <w:top w:val="single" w:sz="4" w:space="0" w:color="auto"/>
              <w:left w:val="nil"/>
              <w:bottom w:val="single" w:sz="4" w:space="0" w:color="auto"/>
              <w:right w:val="single" w:sz="4" w:space="0" w:color="auto"/>
            </w:tcBorders>
            <w:shd w:val="clear" w:color="000000" w:fill="F2F2F2"/>
            <w:noWrap/>
            <w:vAlign w:val="bottom"/>
            <w:hideMark/>
          </w:tcPr>
          <w:p w:rsidR="009A5240" w:rsidRPr="003302F4" w:rsidRDefault="009A5240" w:rsidP="009A5240">
            <w:pPr>
              <w:spacing w:after="0" w:line="240" w:lineRule="auto"/>
              <w:jc w:val="right"/>
              <w:rPr>
                <w:rFonts w:ascii="Times New Roman" w:eastAsia="Times New Roman" w:hAnsi="Times New Roman" w:cs="Times New Roman"/>
                <w:b/>
                <w:bCs/>
                <w:color w:val="000000"/>
                <w:sz w:val="20"/>
                <w:szCs w:val="20"/>
              </w:rPr>
            </w:pPr>
            <w:r w:rsidRPr="003302F4">
              <w:rPr>
                <w:rFonts w:ascii="Times New Roman" w:eastAsia="Times New Roman" w:hAnsi="Times New Roman" w:cs="Times New Roman"/>
                <w:b/>
                <w:bCs/>
                <w:color w:val="000000"/>
                <w:sz w:val="20"/>
                <w:szCs w:val="20"/>
              </w:rPr>
              <w:t>19,90%</w:t>
            </w:r>
          </w:p>
        </w:tc>
        <w:tc>
          <w:tcPr>
            <w:tcW w:w="1660" w:type="dxa"/>
            <w:tcBorders>
              <w:top w:val="single" w:sz="4" w:space="0" w:color="auto"/>
              <w:left w:val="nil"/>
              <w:bottom w:val="single" w:sz="4" w:space="0" w:color="auto"/>
              <w:right w:val="nil"/>
            </w:tcBorders>
            <w:shd w:val="clear" w:color="000000" w:fill="F2F2F2"/>
            <w:noWrap/>
            <w:vAlign w:val="bottom"/>
            <w:hideMark/>
          </w:tcPr>
          <w:p w:rsidR="009A5240" w:rsidRPr="003302F4" w:rsidRDefault="009A5240" w:rsidP="009A5240">
            <w:pPr>
              <w:spacing w:after="0" w:line="240" w:lineRule="auto"/>
              <w:jc w:val="right"/>
              <w:rPr>
                <w:rFonts w:ascii="Times New Roman" w:eastAsia="Times New Roman" w:hAnsi="Times New Roman" w:cs="Times New Roman"/>
                <w:b/>
                <w:bCs/>
                <w:color w:val="000000"/>
                <w:sz w:val="20"/>
                <w:szCs w:val="20"/>
              </w:rPr>
            </w:pPr>
            <w:r w:rsidRPr="003302F4">
              <w:rPr>
                <w:rFonts w:ascii="Times New Roman" w:eastAsia="Times New Roman" w:hAnsi="Times New Roman" w:cs="Times New Roman"/>
                <w:b/>
                <w:bCs/>
                <w:color w:val="000000"/>
                <w:sz w:val="20"/>
                <w:szCs w:val="20"/>
              </w:rPr>
              <w:t>56 229</w:t>
            </w:r>
          </w:p>
        </w:tc>
        <w:tc>
          <w:tcPr>
            <w:tcW w:w="1884" w:type="dxa"/>
            <w:tcBorders>
              <w:top w:val="single" w:sz="4" w:space="0" w:color="auto"/>
              <w:left w:val="nil"/>
              <w:bottom w:val="single" w:sz="4" w:space="0" w:color="auto"/>
              <w:right w:val="nil"/>
            </w:tcBorders>
            <w:shd w:val="clear" w:color="000000" w:fill="F2F2F2"/>
            <w:noWrap/>
            <w:vAlign w:val="bottom"/>
            <w:hideMark/>
          </w:tcPr>
          <w:p w:rsidR="009A5240" w:rsidRPr="003302F4" w:rsidRDefault="009A5240" w:rsidP="009A5240">
            <w:pPr>
              <w:spacing w:after="0" w:line="240" w:lineRule="auto"/>
              <w:jc w:val="right"/>
              <w:rPr>
                <w:rFonts w:ascii="Times New Roman" w:eastAsia="Times New Roman" w:hAnsi="Times New Roman" w:cs="Times New Roman"/>
                <w:b/>
                <w:bCs/>
                <w:color w:val="000000"/>
                <w:sz w:val="20"/>
                <w:szCs w:val="20"/>
              </w:rPr>
            </w:pPr>
            <w:r w:rsidRPr="003302F4">
              <w:rPr>
                <w:rFonts w:ascii="Times New Roman" w:eastAsia="Times New Roman" w:hAnsi="Times New Roman" w:cs="Times New Roman"/>
                <w:b/>
                <w:bCs/>
                <w:color w:val="000000"/>
                <w:sz w:val="20"/>
                <w:szCs w:val="20"/>
              </w:rPr>
              <w:t>2,90%</w:t>
            </w:r>
          </w:p>
        </w:tc>
      </w:tr>
    </w:tbl>
    <w:p w:rsidR="009A5240" w:rsidRPr="00D86A54" w:rsidRDefault="009A5240" w:rsidP="00D86A54">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 xml:space="preserve">Zdroj: </w:t>
      </w:r>
      <w:r w:rsidR="00D86A54">
        <w:rPr>
          <w:rFonts w:ascii="Times New Roman" w:hAnsi="Times New Roman" w:cs="Times New Roman"/>
          <w:sz w:val="20"/>
          <w:szCs w:val="20"/>
        </w:rPr>
        <w:t>NLC-ÚLZI Zvolen</w:t>
      </w:r>
    </w:p>
    <w:p w:rsidR="009A5240" w:rsidRPr="00D86A54" w:rsidRDefault="00D86A54" w:rsidP="00D86A54">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Príloha č. 20</w:t>
      </w:r>
      <w:r w:rsidR="009A5240" w:rsidRPr="00D86A54">
        <w:rPr>
          <w:rFonts w:ascii="Times New Roman" w:hAnsi="Times New Roman" w:cs="Times New Roman"/>
          <w:b/>
          <w:sz w:val="20"/>
          <w:szCs w:val="20"/>
        </w:rPr>
        <w:t>: Vývoj štruktúry lesných porastov</w:t>
      </w:r>
    </w:p>
    <w:tbl>
      <w:tblPr>
        <w:tblW w:w="15026" w:type="dxa"/>
        <w:tblInd w:w="-497" w:type="dxa"/>
        <w:tblCellMar>
          <w:left w:w="70" w:type="dxa"/>
          <w:right w:w="70" w:type="dxa"/>
        </w:tblCellMar>
        <w:tblLook w:val="04A0" w:firstRow="1" w:lastRow="0" w:firstColumn="1" w:lastColumn="0" w:noHBand="0" w:noVBand="1"/>
      </w:tblPr>
      <w:tblGrid>
        <w:gridCol w:w="4111"/>
        <w:gridCol w:w="960"/>
        <w:gridCol w:w="1308"/>
        <w:gridCol w:w="1134"/>
        <w:gridCol w:w="1134"/>
        <w:gridCol w:w="960"/>
        <w:gridCol w:w="1025"/>
        <w:gridCol w:w="1134"/>
        <w:gridCol w:w="960"/>
        <w:gridCol w:w="1166"/>
        <w:gridCol w:w="1134"/>
      </w:tblGrid>
      <w:tr w:rsidR="009A5240" w:rsidRPr="00E708F4" w:rsidTr="009A5240">
        <w:trPr>
          <w:trHeight w:val="300"/>
        </w:trPr>
        <w:tc>
          <w:tcPr>
            <w:tcW w:w="4111" w:type="dxa"/>
            <w:tcBorders>
              <w:top w:val="single" w:sz="4" w:space="0" w:color="auto"/>
              <w:left w:val="nil"/>
              <w:bottom w:val="single" w:sz="4" w:space="0" w:color="auto"/>
              <w:right w:val="single" w:sz="4" w:space="0" w:color="auto"/>
            </w:tcBorders>
            <w:shd w:val="clear" w:color="000000" w:fill="D9D9D9"/>
            <w:noWrap/>
            <w:vAlign w:val="bottom"/>
            <w:hideMark/>
          </w:tcPr>
          <w:p w:rsidR="009A5240" w:rsidRPr="00E708F4" w:rsidRDefault="009A5240" w:rsidP="009A5240">
            <w:pPr>
              <w:spacing w:after="0" w:line="240" w:lineRule="auto"/>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 </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E708F4" w:rsidRDefault="009A5240" w:rsidP="009A5240">
            <w:pPr>
              <w:spacing w:after="0" w:line="240" w:lineRule="auto"/>
              <w:jc w:val="right"/>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2002</w:t>
            </w:r>
          </w:p>
        </w:tc>
        <w:tc>
          <w:tcPr>
            <w:tcW w:w="1308" w:type="dxa"/>
            <w:tcBorders>
              <w:top w:val="single" w:sz="4" w:space="0" w:color="auto"/>
              <w:left w:val="nil"/>
              <w:bottom w:val="single" w:sz="4" w:space="0" w:color="auto"/>
              <w:right w:val="nil"/>
            </w:tcBorders>
            <w:shd w:val="clear" w:color="000000" w:fill="D9D9D9"/>
            <w:noWrap/>
            <w:vAlign w:val="bottom"/>
            <w:hideMark/>
          </w:tcPr>
          <w:p w:rsidR="009A5240" w:rsidRPr="00E708F4" w:rsidRDefault="009A5240" w:rsidP="009A5240">
            <w:pPr>
              <w:spacing w:after="0" w:line="240" w:lineRule="auto"/>
              <w:jc w:val="right"/>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2003</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E708F4" w:rsidRDefault="009A5240" w:rsidP="009A5240">
            <w:pPr>
              <w:spacing w:after="0" w:line="240" w:lineRule="auto"/>
              <w:jc w:val="right"/>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2004</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E708F4" w:rsidRDefault="009A5240" w:rsidP="009A5240">
            <w:pPr>
              <w:spacing w:after="0" w:line="240" w:lineRule="auto"/>
              <w:jc w:val="right"/>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2005</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E708F4" w:rsidRDefault="009A5240" w:rsidP="009A5240">
            <w:pPr>
              <w:spacing w:after="0" w:line="240" w:lineRule="auto"/>
              <w:jc w:val="right"/>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2006</w:t>
            </w:r>
          </w:p>
        </w:tc>
        <w:tc>
          <w:tcPr>
            <w:tcW w:w="1025" w:type="dxa"/>
            <w:tcBorders>
              <w:top w:val="single" w:sz="4" w:space="0" w:color="auto"/>
              <w:left w:val="nil"/>
              <w:bottom w:val="single" w:sz="4" w:space="0" w:color="auto"/>
              <w:right w:val="nil"/>
            </w:tcBorders>
            <w:shd w:val="clear" w:color="000000" w:fill="D9D9D9"/>
            <w:noWrap/>
            <w:vAlign w:val="bottom"/>
            <w:hideMark/>
          </w:tcPr>
          <w:p w:rsidR="009A5240" w:rsidRPr="00E708F4" w:rsidRDefault="009A5240" w:rsidP="009A5240">
            <w:pPr>
              <w:spacing w:after="0" w:line="240" w:lineRule="auto"/>
              <w:jc w:val="right"/>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2007</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E708F4" w:rsidRDefault="009A5240" w:rsidP="009A5240">
            <w:pPr>
              <w:spacing w:after="0" w:line="240" w:lineRule="auto"/>
              <w:jc w:val="right"/>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2008</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E708F4" w:rsidRDefault="009A5240" w:rsidP="009A5240">
            <w:pPr>
              <w:spacing w:after="0" w:line="240" w:lineRule="auto"/>
              <w:jc w:val="right"/>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2009</w:t>
            </w:r>
          </w:p>
        </w:tc>
        <w:tc>
          <w:tcPr>
            <w:tcW w:w="1166" w:type="dxa"/>
            <w:tcBorders>
              <w:top w:val="single" w:sz="4" w:space="0" w:color="auto"/>
              <w:left w:val="nil"/>
              <w:bottom w:val="single" w:sz="4" w:space="0" w:color="auto"/>
              <w:right w:val="nil"/>
            </w:tcBorders>
            <w:shd w:val="clear" w:color="000000" w:fill="D9D9D9"/>
            <w:noWrap/>
            <w:vAlign w:val="bottom"/>
            <w:hideMark/>
          </w:tcPr>
          <w:p w:rsidR="009A5240" w:rsidRPr="00E708F4" w:rsidRDefault="009A5240" w:rsidP="009A5240">
            <w:pPr>
              <w:spacing w:after="0" w:line="240" w:lineRule="auto"/>
              <w:jc w:val="right"/>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2010</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E708F4" w:rsidRDefault="009A5240" w:rsidP="009A5240">
            <w:pPr>
              <w:spacing w:after="0" w:line="240" w:lineRule="auto"/>
              <w:jc w:val="right"/>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2011</w:t>
            </w:r>
          </w:p>
        </w:tc>
      </w:tr>
      <w:tr w:rsidR="009A5240" w:rsidRPr="00E708F4" w:rsidTr="009A5240">
        <w:trPr>
          <w:trHeight w:val="300"/>
        </w:trPr>
        <w:tc>
          <w:tcPr>
            <w:tcW w:w="4111" w:type="dxa"/>
            <w:tcBorders>
              <w:top w:val="nil"/>
              <w:left w:val="nil"/>
              <w:bottom w:val="nil"/>
              <w:right w:val="single" w:sz="4" w:space="0" w:color="auto"/>
            </w:tcBorders>
            <w:shd w:val="clear" w:color="auto" w:fill="auto"/>
            <w:noWrap/>
            <w:vAlign w:val="bottom"/>
            <w:hideMark/>
          </w:tcPr>
          <w:p w:rsidR="009A5240" w:rsidRPr="00E708F4" w:rsidRDefault="009A5240" w:rsidP="009A5240">
            <w:pPr>
              <w:spacing w:after="0" w:line="240" w:lineRule="auto"/>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Ihličnaté dreviny</w:t>
            </w:r>
          </w:p>
        </w:tc>
        <w:tc>
          <w:tcPr>
            <w:tcW w:w="960" w:type="dxa"/>
            <w:tcBorders>
              <w:top w:val="nil"/>
              <w:left w:val="nil"/>
              <w:bottom w:val="nil"/>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41,60%</w:t>
            </w:r>
          </w:p>
        </w:tc>
        <w:tc>
          <w:tcPr>
            <w:tcW w:w="1308" w:type="dxa"/>
            <w:tcBorders>
              <w:top w:val="nil"/>
              <w:left w:val="nil"/>
              <w:bottom w:val="nil"/>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41,30%</w:t>
            </w:r>
          </w:p>
        </w:tc>
        <w:tc>
          <w:tcPr>
            <w:tcW w:w="1134" w:type="dxa"/>
            <w:tcBorders>
              <w:top w:val="nil"/>
              <w:left w:val="nil"/>
              <w:bottom w:val="nil"/>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41,20%</w:t>
            </w:r>
          </w:p>
        </w:tc>
        <w:tc>
          <w:tcPr>
            <w:tcW w:w="1134" w:type="dxa"/>
            <w:tcBorders>
              <w:top w:val="nil"/>
              <w:left w:val="nil"/>
              <w:bottom w:val="nil"/>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41,00%</w:t>
            </w:r>
          </w:p>
        </w:tc>
        <w:tc>
          <w:tcPr>
            <w:tcW w:w="960" w:type="dxa"/>
            <w:tcBorders>
              <w:top w:val="nil"/>
              <w:left w:val="nil"/>
              <w:bottom w:val="nil"/>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40,80%</w:t>
            </w:r>
          </w:p>
        </w:tc>
        <w:tc>
          <w:tcPr>
            <w:tcW w:w="1025" w:type="dxa"/>
            <w:tcBorders>
              <w:top w:val="nil"/>
              <w:left w:val="nil"/>
              <w:bottom w:val="nil"/>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40,50%</w:t>
            </w:r>
          </w:p>
        </w:tc>
        <w:tc>
          <w:tcPr>
            <w:tcW w:w="1134" w:type="dxa"/>
            <w:tcBorders>
              <w:top w:val="nil"/>
              <w:left w:val="nil"/>
              <w:bottom w:val="nil"/>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40,30%</w:t>
            </w:r>
          </w:p>
        </w:tc>
        <w:tc>
          <w:tcPr>
            <w:tcW w:w="960" w:type="dxa"/>
            <w:tcBorders>
              <w:top w:val="nil"/>
              <w:left w:val="nil"/>
              <w:bottom w:val="nil"/>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40,10%</w:t>
            </w:r>
          </w:p>
        </w:tc>
        <w:tc>
          <w:tcPr>
            <w:tcW w:w="1166" w:type="dxa"/>
            <w:tcBorders>
              <w:top w:val="nil"/>
              <w:left w:val="nil"/>
              <w:bottom w:val="nil"/>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39,80%</w:t>
            </w:r>
          </w:p>
        </w:tc>
        <w:tc>
          <w:tcPr>
            <w:tcW w:w="1134" w:type="dxa"/>
            <w:tcBorders>
              <w:top w:val="nil"/>
              <w:left w:val="nil"/>
              <w:bottom w:val="nil"/>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39,50%</w:t>
            </w:r>
          </w:p>
        </w:tc>
      </w:tr>
      <w:tr w:rsidR="009A5240" w:rsidRPr="00E708F4" w:rsidTr="009A5240">
        <w:trPr>
          <w:trHeight w:val="300"/>
        </w:trPr>
        <w:tc>
          <w:tcPr>
            <w:tcW w:w="4111" w:type="dxa"/>
            <w:tcBorders>
              <w:top w:val="nil"/>
              <w:left w:val="nil"/>
              <w:bottom w:val="single" w:sz="4" w:space="0" w:color="auto"/>
              <w:right w:val="single" w:sz="4" w:space="0" w:color="auto"/>
            </w:tcBorders>
            <w:shd w:val="clear" w:color="auto" w:fill="auto"/>
            <w:noWrap/>
            <w:vAlign w:val="bottom"/>
            <w:hideMark/>
          </w:tcPr>
          <w:p w:rsidR="009A5240" w:rsidRPr="00E708F4" w:rsidRDefault="009A5240" w:rsidP="009A5240">
            <w:pPr>
              <w:spacing w:after="0" w:line="240" w:lineRule="auto"/>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Listnaté dreviny</w:t>
            </w:r>
          </w:p>
        </w:tc>
        <w:tc>
          <w:tcPr>
            <w:tcW w:w="960" w:type="dxa"/>
            <w:tcBorders>
              <w:top w:val="nil"/>
              <w:left w:val="nil"/>
              <w:bottom w:val="single" w:sz="4" w:space="0" w:color="auto"/>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58,40%</w:t>
            </w:r>
          </w:p>
        </w:tc>
        <w:tc>
          <w:tcPr>
            <w:tcW w:w="1308" w:type="dxa"/>
            <w:tcBorders>
              <w:top w:val="nil"/>
              <w:left w:val="nil"/>
              <w:bottom w:val="single" w:sz="4" w:space="0" w:color="auto"/>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58,70%</w:t>
            </w:r>
          </w:p>
        </w:tc>
        <w:tc>
          <w:tcPr>
            <w:tcW w:w="1134" w:type="dxa"/>
            <w:tcBorders>
              <w:top w:val="nil"/>
              <w:left w:val="nil"/>
              <w:bottom w:val="single" w:sz="4" w:space="0" w:color="auto"/>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58,80%</w:t>
            </w:r>
          </w:p>
        </w:tc>
        <w:tc>
          <w:tcPr>
            <w:tcW w:w="1134" w:type="dxa"/>
            <w:tcBorders>
              <w:top w:val="nil"/>
              <w:left w:val="nil"/>
              <w:bottom w:val="single" w:sz="4" w:space="0" w:color="auto"/>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59,00%</w:t>
            </w:r>
          </w:p>
        </w:tc>
        <w:tc>
          <w:tcPr>
            <w:tcW w:w="960" w:type="dxa"/>
            <w:tcBorders>
              <w:top w:val="nil"/>
              <w:left w:val="nil"/>
              <w:bottom w:val="single" w:sz="4" w:space="0" w:color="auto"/>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59,20%</w:t>
            </w:r>
          </w:p>
        </w:tc>
        <w:tc>
          <w:tcPr>
            <w:tcW w:w="1025" w:type="dxa"/>
            <w:tcBorders>
              <w:top w:val="nil"/>
              <w:left w:val="nil"/>
              <w:bottom w:val="single" w:sz="4" w:space="0" w:color="auto"/>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59,50%</w:t>
            </w:r>
          </w:p>
        </w:tc>
        <w:tc>
          <w:tcPr>
            <w:tcW w:w="1134" w:type="dxa"/>
            <w:tcBorders>
              <w:top w:val="nil"/>
              <w:left w:val="nil"/>
              <w:bottom w:val="single" w:sz="4" w:space="0" w:color="auto"/>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59,70%</w:t>
            </w:r>
          </w:p>
        </w:tc>
        <w:tc>
          <w:tcPr>
            <w:tcW w:w="960" w:type="dxa"/>
            <w:tcBorders>
              <w:top w:val="nil"/>
              <w:left w:val="nil"/>
              <w:bottom w:val="single" w:sz="4" w:space="0" w:color="auto"/>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59,90%</w:t>
            </w:r>
          </w:p>
        </w:tc>
        <w:tc>
          <w:tcPr>
            <w:tcW w:w="1166" w:type="dxa"/>
            <w:tcBorders>
              <w:top w:val="nil"/>
              <w:left w:val="nil"/>
              <w:bottom w:val="single" w:sz="4" w:space="0" w:color="auto"/>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60,20%</w:t>
            </w:r>
          </w:p>
        </w:tc>
        <w:tc>
          <w:tcPr>
            <w:tcW w:w="1134" w:type="dxa"/>
            <w:tcBorders>
              <w:top w:val="nil"/>
              <w:left w:val="nil"/>
              <w:bottom w:val="single" w:sz="4" w:space="0" w:color="auto"/>
              <w:right w:val="nil"/>
            </w:tcBorders>
            <w:shd w:val="clear" w:color="auto" w:fill="auto"/>
            <w:noWrap/>
            <w:vAlign w:val="bottom"/>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60,50%</w:t>
            </w:r>
          </w:p>
        </w:tc>
      </w:tr>
    </w:tbl>
    <w:p w:rsidR="009A5240" w:rsidRPr="00D86A54" w:rsidRDefault="009A5240" w:rsidP="00D86A54">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 xml:space="preserve">Zdroj: </w:t>
      </w:r>
      <w:r w:rsidR="00D86A54">
        <w:rPr>
          <w:rFonts w:ascii="Times New Roman" w:hAnsi="Times New Roman" w:cs="Times New Roman"/>
          <w:sz w:val="20"/>
          <w:szCs w:val="20"/>
        </w:rPr>
        <w:t>NLC-ÚLZI Zvolen</w:t>
      </w:r>
    </w:p>
    <w:p w:rsidR="009A5240" w:rsidRPr="00D86A54" w:rsidRDefault="00D86A54" w:rsidP="00D86A54">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Príloha č. 21</w:t>
      </w:r>
      <w:r w:rsidR="009A5240" w:rsidRPr="00D86A54">
        <w:rPr>
          <w:rFonts w:ascii="Times New Roman" w:hAnsi="Times New Roman" w:cs="Times New Roman"/>
          <w:b/>
          <w:sz w:val="20"/>
          <w:szCs w:val="20"/>
        </w:rPr>
        <w:t>: Veková štruktúra lesov</w:t>
      </w:r>
    </w:p>
    <w:tbl>
      <w:tblPr>
        <w:tblW w:w="15026" w:type="dxa"/>
        <w:tblInd w:w="-497" w:type="dxa"/>
        <w:tblCellMar>
          <w:left w:w="70" w:type="dxa"/>
          <w:right w:w="70" w:type="dxa"/>
        </w:tblCellMar>
        <w:tblLook w:val="04A0" w:firstRow="1" w:lastRow="0" w:firstColumn="1" w:lastColumn="0" w:noHBand="0" w:noVBand="1"/>
      </w:tblPr>
      <w:tblGrid>
        <w:gridCol w:w="1985"/>
        <w:gridCol w:w="820"/>
        <w:gridCol w:w="820"/>
        <w:gridCol w:w="820"/>
        <w:gridCol w:w="820"/>
        <w:gridCol w:w="820"/>
        <w:gridCol w:w="820"/>
        <w:gridCol w:w="820"/>
        <w:gridCol w:w="820"/>
        <w:gridCol w:w="820"/>
        <w:gridCol w:w="820"/>
        <w:gridCol w:w="820"/>
        <w:gridCol w:w="820"/>
        <w:gridCol w:w="820"/>
        <w:gridCol w:w="820"/>
        <w:gridCol w:w="820"/>
        <w:gridCol w:w="741"/>
      </w:tblGrid>
      <w:tr w:rsidR="009A5240" w:rsidRPr="00E708F4" w:rsidTr="009A5240">
        <w:trPr>
          <w:trHeight w:val="315"/>
        </w:trPr>
        <w:tc>
          <w:tcPr>
            <w:tcW w:w="1985" w:type="dxa"/>
            <w:vMerge w:val="restart"/>
            <w:tcBorders>
              <w:top w:val="single" w:sz="4" w:space="0" w:color="auto"/>
              <w:left w:val="nil"/>
              <w:bottom w:val="single" w:sz="4" w:space="0" w:color="000000"/>
              <w:right w:val="single" w:sz="4" w:space="0" w:color="auto"/>
            </w:tcBorders>
            <w:shd w:val="clear" w:color="000000" w:fill="D9D9D9"/>
            <w:vAlign w:val="center"/>
            <w:hideMark/>
          </w:tcPr>
          <w:p w:rsidR="009A5240" w:rsidRPr="00E708F4" w:rsidRDefault="009A5240" w:rsidP="009A5240">
            <w:pPr>
              <w:spacing w:after="0" w:line="240" w:lineRule="auto"/>
              <w:jc w:val="both"/>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 </w:t>
            </w:r>
          </w:p>
        </w:tc>
        <w:tc>
          <w:tcPr>
            <w:tcW w:w="13041" w:type="dxa"/>
            <w:gridSpan w:val="16"/>
            <w:tcBorders>
              <w:top w:val="single" w:sz="4" w:space="0" w:color="auto"/>
              <w:left w:val="nil"/>
              <w:bottom w:val="nil"/>
              <w:right w:val="nil"/>
            </w:tcBorders>
            <w:shd w:val="clear" w:color="000000" w:fill="D9D9D9"/>
            <w:vAlign w:val="center"/>
            <w:hideMark/>
          </w:tcPr>
          <w:p w:rsidR="009A5240" w:rsidRPr="00E708F4" w:rsidRDefault="009A5240" w:rsidP="009A5240">
            <w:pPr>
              <w:spacing w:after="0" w:line="240" w:lineRule="auto"/>
              <w:jc w:val="center"/>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Vekový stupeň</w:t>
            </w:r>
          </w:p>
        </w:tc>
      </w:tr>
      <w:tr w:rsidR="009A5240" w:rsidRPr="00E708F4" w:rsidTr="009A5240">
        <w:trPr>
          <w:trHeight w:val="300"/>
        </w:trPr>
        <w:tc>
          <w:tcPr>
            <w:tcW w:w="1985" w:type="dxa"/>
            <w:vMerge/>
            <w:tcBorders>
              <w:top w:val="single" w:sz="4" w:space="0" w:color="auto"/>
              <w:left w:val="nil"/>
              <w:bottom w:val="single" w:sz="4" w:space="0" w:color="000000"/>
              <w:right w:val="single" w:sz="4" w:space="0" w:color="auto"/>
            </w:tcBorders>
            <w:vAlign w:val="center"/>
            <w:hideMark/>
          </w:tcPr>
          <w:p w:rsidR="009A5240" w:rsidRPr="00E708F4" w:rsidRDefault="009A5240" w:rsidP="009A5240">
            <w:pPr>
              <w:spacing w:after="0" w:line="240" w:lineRule="auto"/>
              <w:rPr>
                <w:rFonts w:ascii="Times New Roman" w:eastAsia="Times New Roman" w:hAnsi="Times New Roman" w:cs="Times New Roman"/>
                <w:color w:val="000000"/>
                <w:sz w:val="20"/>
                <w:szCs w:val="20"/>
              </w:rPr>
            </w:pPr>
          </w:p>
        </w:tc>
        <w:tc>
          <w:tcPr>
            <w:tcW w:w="820" w:type="dxa"/>
            <w:tcBorders>
              <w:top w:val="nil"/>
              <w:left w:val="nil"/>
              <w:bottom w:val="single" w:sz="4" w:space="0" w:color="auto"/>
              <w:right w:val="nil"/>
            </w:tcBorders>
            <w:shd w:val="clear" w:color="000000" w:fill="D9D9D9"/>
            <w:vAlign w:val="center"/>
            <w:hideMark/>
          </w:tcPr>
          <w:p w:rsidR="009A5240" w:rsidRPr="00E708F4" w:rsidRDefault="009A5240" w:rsidP="009A5240">
            <w:pPr>
              <w:spacing w:after="0" w:line="240" w:lineRule="auto"/>
              <w:jc w:val="both"/>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Holina</w:t>
            </w:r>
          </w:p>
        </w:tc>
        <w:tc>
          <w:tcPr>
            <w:tcW w:w="820" w:type="dxa"/>
            <w:tcBorders>
              <w:top w:val="nil"/>
              <w:left w:val="nil"/>
              <w:bottom w:val="single" w:sz="4" w:space="0" w:color="auto"/>
              <w:right w:val="nil"/>
            </w:tcBorders>
            <w:shd w:val="clear" w:color="000000" w:fill="D9D9D9"/>
            <w:vAlign w:val="center"/>
            <w:hideMark/>
          </w:tcPr>
          <w:p w:rsidR="009A5240" w:rsidRPr="00E708F4" w:rsidRDefault="009A5240" w:rsidP="009A5240">
            <w:pPr>
              <w:spacing w:after="0" w:line="240" w:lineRule="auto"/>
              <w:jc w:val="center"/>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1</w:t>
            </w:r>
          </w:p>
        </w:tc>
        <w:tc>
          <w:tcPr>
            <w:tcW w:w="820" w:type="dxa"/>
            <w:tcBorders>
              <w:top w:val="nil"/>
              <w:left w:val="nil"/>
              <w:bottom w:val="single" w:sz="4" w:space="0" w:color="auto"/>
              <w:right w:val="nil"/>
            </w:tcBorders>
            <w:shd w:val="clear" w:color="000000" w:fill="D9D9D9"/>
            <w:vAlign w:val="center"/>
            <w:hideMark/>
          </w:tcPr>
          <w:p w:rsidR="009A5240" w:rsidRPr="00E708F4" w:rsidRDefault="009A5240" w:rsidP="009A5240">
            <w:pPr>
              <w:spacing w:after="0" w:line="240" w:lineRule="auto"/>
              <w:jc w:val="center"/>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2</w:t>
            </w:r>
          </w:p>
        </w:tc>
        <w:tc>
          <w:tcPr>
            <w:tcW w:w="820" w:type="dxa"/>
            <w:tcBorders>
              <w:top w:val="nil"/>
              <w:left w:val="nil"/>
              <w:bottom w:val="single" w:sz="4" w:space="0" w:color="auto"/>
              <w:right w:val="nil"/>
            </w:tcBorders>
            <w:shd w:val="clear" w:color="000000" w:fill="D9D9D9"/>
            <w:vAlign w:val="center"/>
            <w:hideMark/>
          </w:tcPr>
          <w:p w:rsidR="009A5240" w:rsidRPr="00E708F4" w:rsidRDefault="009A5240" w:rsidP="009A5240">
            <w:pPr>
              <w:spacing w:after="0" w:line="240" w:lineRule="auto"/>
              <w:jc w:val="center"/>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3</w:t>
            </w:r>
          </w:p>
        </w:tc>
        <w:tc>
          <w:tcPr>
            <w:tcW w:w="820" w:type="dxa"/>
            <w:tcBorders>
              <w:top w:val="nil"/>
              <w:left w:val="nil"/>
              <w:bottom w:val="single" w:sz="4" w:space="0" w:color="auto"/>
              <w:right w:val="nil"/>
            </w:tcBorders>
            <w:shd w:val="clear" w:color="000000" w:fill="D9D9D9"/>
            <w:vAlign w:val="center"/>
            <w:hideMark/>
          </w:tcPr>
          <w:p w:rsidR="009A5240" w:rsidRPr="00E708F4" w:rsidRDefault="009A5240" w:rsidP="009A5240">
            <w:pPr>
              <w:spacing w:after="0" w:line="240" w:lineRule="auto"/>
              <w:jc w:val="center"/>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4</w:t>
            </w:r>
          </w:p>
        </w:tc>
        <w:tc>
          <w:tcPr>
            <w:tcW w:w="820" w:type="dxa"/>
            <w:tcBorders>
              <w:top w:val="nil"/>
              <w:left w:val="nil"/>
              <w:bottom w:val="single" w:sz="4" w:space="0" w:color="auto"/>
              <w:right w:val="nil"/>
            </w:tcBorders>
            <w:shd w:val="clear" w:color="000000" w:fill="D9D9D9"/>
            <w:vAlign w:val="center"/>
            <w:hideMark/>
          </w:tcPr>
          <w:p w:rsidR="009A5240" w:rsidRPr="00E708F4" w:rsidRDefault="009A5240" w:rsidP="009A5240">
            <w:pPr>
              <w:spacing w:after="0" w:line="240" w:lineRule="auto"/>
              <w:jc w:val="center"/>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5</w:t>
            </w:r>
          </w:p>
        </w:tc>
        <w:tc>
          <w:tcPr>
            <w:tcW w:w="820" w:type="dxa"/>
            <w:tcBorders>
              <w:top w:val="nil"/>
              <w:left w:val="nil"/>
              <w:bottom w:val="single" w:sz="4" w:space="0" w:color="auto"/>
              <w:right w:val="nil"/>
            </w:tcBorders>
            <w:shd w:val="clear" w:color="000000" w:fill="D9D9D9"/>
            <w:vAlign w:val="center"/>
            <w:hideMark/>
          </w:tcPr>
          <w:p w:rsidR="009A5240" w:rsidRPr="00E708F4" w:rsidRDefault="009A5240" w:rsidP="009A5240">
            <w:pPr>
              <w:spacing w:after="0" w:line="240" w:lineRule="auto"/>
              <w:jc w:val="center"/>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6</w:t>
            </w:r>
          </w:p>
        </w:tc>
        <w:tc>
          <w:tcPr>
            <w:tcW w:w="820" w:type="dxa"/>
            <w:tcBorders>
              <w:top w:val="nil"/>
              <w:left w:val="nil"/>
              <w:bottom w:val="single" w:sz="4" w:space="0" w:color="auto"/>
              <w:right w:val="nil"/>
            </w:tcBorders>
            <w:shd w:val="clear" w:color="000000" w:fill="D9D9D9"/>
            <w:vAlign w:val="center"/>
            <w:hideMark/>
          </w:tcPr>
          <w:p w:rsidR="009A5240" w:rsidRPr="00E708F4" w:rsidRDefault="009A5240" w:rsidP="009A5240">
            <w:pPr>
              <w:spacing w:after="0" w:line="240" w:lineRule="auto"/>
              <w:jc w:val="center"/>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7</w:t>
            </w:r>
          </w:p>
        </w:tc>
        <w:tc>
          <w:tcPr>
            <w:tcW w:w="820" w:type="dxa"/>
            <w:tcBorders>
              <w:top w:val="nil"/>
              <w:left w:val="nil"/>
              <w:bottom w:val="single" w:sz="4" w:space="0" w:color="auto"/>
              <w:right w:val="nil"/>
            </w:tcBorders>
            <w:shd w:val="clear" w:color="000000" w:fill="D9D9D9"/>
            <w:vAlign w:val="center"/>
            <w:hideMark/>
          </w:tcPr>
          <w:p w:rsidR="009A5240" w:rsidRPr="00E708F4" w:rsidRDefault="009A5240" w:rsidP="009A5240">
            <w:pPr>
              <w:spacing w:after="0" w:line="240" w:lineRule="auto"/>
              <w:jc w:val="center"/>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8</w:t>
            </w:r>
          </w:p>
        </w:tc>
        <w:tc>
          <w:tcPr>
            <w:tcW w:w="820" w:type="dxa"/>
            <w:tcBorders>
              <w:top w:val="nil"/>
              <w:left w:val="nil"/>
              <w:bottom w:val="single" w:sz="4" w:space="0" w:color="auto"/>
              <w:right w:val="nil"/>
            </w:tcBorders>
            <w:shd w:val="clear" w:color="000000" w:fill="D9D9D9"/>
            <w:vAlign w:val="center"/>
            <w:hideMark/>
          </w:tcPr>
          <w:p w:rsidR="009A5240" w:rsidRPr="00E708F4" w:rsidRDefault="009A5240" w:rsidP="009A5240">
            <w:pPr>
              <w:spacing w:after="0" w:line="240" w:lineRule="auto"/>
              <w:jc w:val="center"/>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9</w:t>
            </w:r>
          </w:p>
        </w:tc>
        <w:tc>
          <w:tcPr>
            <w:tcW w:w="820" w:type="dxa"/>
            <w:tcBorders>
              <w:top w:val="nil"/>
              <w:left w:val="nil"/>
              <w:bottom w:val="single" w:sz="4" w:space="0" w:color="auto"/>
              <w:right w:val="nil"/>
            </w:tcBorders>
            <w:shd w:val="clear" w:color="000000" w:fill="D9D9D9"/>
            <w:vAlign w:val="center"/>
            <w:hideMark/>
          </w:tcPr>
          <w:p w:rsidR="009A5240" w:rsidRPr="00E708F4" w:rsidRDefault="009A5240" w:rsidP="009A5240">
            <w:pPr>
              <w:spacing w:after="0" w:line="240" w:lineRule="auto"/>
              <w:jc w:val="center"/>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10</w:t>
            </w:r>
          </w:p>
        </w:tc>
        <w:tc>
          <w:tcPr>
            <w:tcW w:w="820" w:type="dxa"/>
            <w:tcBorders>
              <w:top w:val="nil"/>
              <w:left w:val="nil"/>
              <w:bottom w:val="single" w:sz="4" w:space="0" w:color="auto"/>
              <w:right w:val="nil"/>
            </w:tcBorders>
            <w:shd w:val="clear" w:color="000000" w:fill="D9D9D9"/>
            <w:vAlign w:val="center"/>
            <w:hideMark/>
          </w:tcPr>
          <w:p w:rsidR="009A5240" w:rsidRPr="00E708F4" w:rsidRDefault="009A5240" w:rsidP="009A5240">
            <w:pPr>
              <w:spacing w:after="0" w:line="240" w:lineRule="auto"/>
              <w:jc w:val="center"/>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11</w:t>
            </w:r>
          </w:p>
        </w:tc>
        <w:tc>
          <w:tcPr>
            <w:tcW w:w="820" w:type="dxa"/>
            <w:tcBorders>
              <w:top w:val="nil"/>
              <w:left w:val="nil"/>
              <w:bottom w:val="single" w:sz="4" w:space="0" w:color="auto"/>
              <w:right w:val="nil"/>
            </w:tcBorders>
            <w:shd w:val="clear" w:color="000000" w:fill="D9D9D9"/>
            <w:vAlign w:val="center"/>
            <w:hideMark/>
          </w:tcPr>
          <w:p w:rsidR="009A5240" w:rsidRPr="00E708F4" w:rsidRDefault="009A5240" w:rsidP="009A5240">
            <w:pPr>
              <w:spacing w:after="0" w:line="240" w:lineRule="auto"/>
              <w:jc w:val="center"/>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12</w:t>
            </w:r>
          </w:p>
        </w:tc>
        <w:tc>
          <w:tcPr>
            <w:tcW w:w="820" w:type="dxa"/>
            <w:tcBorders>
              <w:top w:val="nil"/>
              <w:left w:val="nil"/>
              <w:bottom w:val="single" w:sz="4" w:space="0" w:color="auto"/>
              <w:right w:val="nil"/>
            </w:tcBorders>
            <w:shd w:val="clear" w:color="000000" w:fill="D9D9D9"/>
            <w:vAlign w:val="center"/>
            <w:hideMark/>
          </w:tcPr>
          <w:p w:rsidR="009A5240" w:rsidRPr="00E708F4" w:rsidRDefault="009A5240" w:rsidP="009A5240">
            <w:pPr>
              <w:spacing w:after="0" w:line="240" w:lineRule="auto"/>
              <w:jc w:val="center"/>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13</w:t>
            </w:r>
          </w:p>
        </w:tc>
        <w:tc>
          <w:tcPr>
            <w:tcW w:w="820" w:type="dxa"/>
            <w:tcBorders>
              <w:top w:val="nil"/>
              <w:left w:val="nil"/>
              <w:bottom w:val="single" w:sz="4" w:space="0" w:color="auto"/>
              <w:right w:val="nil"/>
            </w:tcBorders>
            <w:shd w:val="clear" w:color="000000" w:fill="D9D9D9"/>
            <w:vAlign w:val="center"/>
            <w:hideMark/>
          </w:tcPr>
          <w:p w:rsidR="009A5240" w:rsidRPr="00E708F4" w:rsidRDefault="009A5240" w:rsidP="009A5240">
            <w:pPr>
              <w:spacing w:after="0" w:line="240" w:lineRule="auto"/>
              <w:jc w:val="center"/>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14</w:t>
            </w:r>
          </w:p>
        </w:tc>
        <w:tc>
          <w:tcPr>
            <w:tcW w:w="741" w:type="dxa"/>
            <w:tcBorders>
              <w:top w:val="nil"/>
              <w:left w:val="nil"/>
              <w:bottom w:val="single" w:sz="4" w:space="0" w:color="auto"/>
              <w:right w:val="nil"/>
            </w:tcBorders>
            <w:shd w:val="clear" w:color="000000" w:fill="D9D9D9"/>
            <w:vAlign w:val="center"/>
            <w:hideMark/>
          </w:tcPr>
          <w:p w:rsidR="009A5240" w:rsidRPr="00E708F4" w:rsidRDefault="009A5240" w:rsidP="009A5240">
            <w:pPr>
              <w:spacing w:after="0" w:line="240" w:lineRule="auto"/>
              <w:jc w:val="center"/>
              <w:rPr>
                <w:rFonts w:ascii="Times New Roman" w:eastAsia="Times New Roman" w:hAnsi="Times New Roman" w:cs="Times New Roman"/>
                <w:b/>
                <w:bCs/>
                <w:color w:val="000000"/>
                <w:sz w:val="20"/>
                <w:szCs w:val="20"/>
              </w:rPr>
            </w:pPr>
            <w:r w:rsidRPr="00E708F4">
              <w:rPr>
                <w:rFonts w:ascii="Times New Roman" w:eastAsia="Times New Roman" w:hAnsi="Times New Roman" w:cs="Times New Roman"/>
                <w:b/>
                <w:bCs/>
                <w:color w:val="000000"/>
                <w:sz w:val="20"/>
                <w:szCs w:val="20"/>
              </w:rPr>
              <w:t>15.+</w:t>
            </w:r>
          </w:p>
        </w:tc>
      </w:tr>
      <w:tr w:rsidR="009A5240" w:rsidRPr="00E708F4" w:rsidTr="009A5240">
        <w:trPr>
          <w:trHeight w:val="300"/>
        </w:trPr>
        <w:tc>
          <w:tcPr>
            <w:tcW w:w="1985" w:type="dxa"/>
            <w:tcBorders>
              <w:top w:val="nil"/>
              <w:left w:val="nil"/>
              <w:bottom w:val="nil"/>
              <w:right w:val="single" w:sz="4" w:space="0" w:color="auto"/>
            </w:tcBorders>
            <w:shd w:val="clear" w:color="auto" w:fill="auto"/>
            <w:vAlign w:val="center"/>
            <w:hideMark/>
          </w:tcPr>
          <w:p w:rsidR="009A5240" w:rsidRPr="00E708F4" w:rsidRDefault="009A5240" w:rsidP="009A5240">
            <w:pPr>
              <w:spacing w:after="0" w:line="240" w:lineRule="auto"/>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Skutočná veková štruktúra lesov (ha)</w:t>
            </w:r>
          </w:p>
        </w:tc>
        <w:tc>
          <w:tcPr>
            <w:tcW w:w="820" w:type="dxa"/>
            <w:tcBorders>
              <w:top w:val="nil"/>
              <w:left w:val="nil"/>
              <w:bottom w:val="nil"/>
              <w:right w:val="nil"/>
            </w:tcBorders>
            <w:shd w:val="clear" w:color="auto" w:fill="auto"/>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8 984</w:t>
            </w:r>
          </w:p>
        </w:tc>
        <w:tc>
          <w:tcPr>
            <w:tcW w:w="820" w:type="dxa"/>
            <w:tcBorders>
              <w:top w:val="nil"/>
              <w:left w:val="nil"/>
              <w:bottom w:val="nil"/>
              <w:right w:val="nil"/>
            </w:tcBorders>
            <w:shd w:val="clear" w:color="auto" w:fill="auto"/>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157 365</w:t>
            </w:r>
          </w:p>
        </w:tc>
        <w:tc>
          <w:tcPr>
            <w:tcW w:w="820" w:type="dxa"/>
            <w:tcBorders>
              <w:top w:val="nil"/>
              <w:left w:val="nil"/>
              <w:bottom w:val="nil"/>
              <w:right w:val="nil"/>
            </w:tcBorders>
            <w:shd w:val="clear" w:color="auto" w:fill="auto"/>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136 230</w:t>
            </w:r>
          </w:p>
        </w:tc>
        <w:tc>
          <w:tcPr>
            <w:tcW w:w="820" w:type="dxa"/>
            <w:tcBorders>
              <w:top w:val="nil"/>
              <w:left w:val="nil"/>
              <w:bottom w:val="nil"/>
              <w:right w:val="nil"/>
            </w:tcBorders>
            <w:shd w:val="clear" w:color="auto" w:fill="auto"/>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159 198</w:t>
            </w:r>
          </w:p>
        </w:tc>
        <w:tc>
          <w:tcPr>
            <w:tcW w:w="820" w:type="dxa"/>
            <w:tcBorders>
              <w:top w:val="nil"/>
              <w:left w:val="nil"/>
              <w:bottom w:val="nil"/>
              <w:right w:val="nil"/>
            </w:tcBorders>
            <w:shd w:val="clear" w:color="auto" w:fill="auto"/>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139 186</w:t>
            </w:r>
          </w:p>
        </w:tc>
        <w:tc>
          <w:tcPr>
            <w:tcW w:w="820" w:type="dxa"/>
            <w:tcBorders>
              <w:top w:val="nil"/>
              <w:left w:val="nil"/>
              <w:bottom w:val="nil"/>
              <w:right w:val="nil"/>
            </w:tcBorders>
            <w:shd w:val="clear" w:color="auto" w:fill="auto"/>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128 135</w:t>
            </w:r>
          </w:p>
        </w:tc>
        <w:tc>
          <w:tcPr>
            <w:tcW w:w="820" w:type="dxa"/>
            <w:tcBorders>
              <w:top w:val="nil"/>
              <w:left w:val="nil"/>
              <w:bottom w:val="nil"/>
              <w:right w:val="nil"/>
            </w:tcBorders>
            <w:shd w:val="clear" w:color="auto" w:fill="auto"/>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153 085</w:t>
            </w:r>
          </w:p>
        </w:tc>
        <w:tc>
          <w:tcPr>
            <w:tcW w:w="820" w:type="dxa"/>
            <w:tcBorders>
              <w:top w:val="nil"/>
              <w:left w:val="nil"/>
              <w:bottom w:val="nil"/>
              <w:right w:val="nil"/>
            </w:tcBorders>
            <w:shd w:val="clear" w:color="auto" w:fill="auto"/>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199 485</w:t>
            </w:r>
          </w:p>
        </w:tc>
        <w:tc>
          <w:tcPr>
            <w:tcW w:w="820" w:type="dxa"/>
            <w:tcBorders>
              <w:top w:val="nil"/>
              <w:left w:val="nil"/>
              <w:bottom w:val="nil"/>
              <w:right w:val="nil"/>
            </w:tcBorders>
            <w:shd w:val="clear" w:color="auto" w:fill="auto"/>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193 103</w:t>
            </w:r>
          </w:p>
        </w:tc>
        <w:tc>
          <w:tcPr>
            <w:tcW w:w="820" w:type="dxa"/>
            <w:tcBorders>
              <w:top w:val="nil"/>
              <w:left w:val="nil"/>
              <w:bottom w:val="nil"/>
              <w:right w:val="nil"/>
            </w:tcBorders>
            <w:shd w:val="clear" w:color="auto" w:fill="auto"/>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178 269</w:t>
            </w:r>
          </w:p>
        </w:tc>
        <w:tc>
          <w:tcPr>
            <w:tcW w:w="820" w:type="dxa"/>
            <w:tcBorders>
              <w:top w:val="nil"/>
              <w:left w:val="nil"/>
              <w:bottom w:val="nil"/>
              <w:right w:val="nil"/>
            </w:tcBorders>
            <w:shd w:val="clear" w:color="auto" w:fill="auto"/>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168 898</w:t>
            </w:r>
          </w:p>
        </w:tc>
        <w:tc>
          <w:tcPr>
            <w:tcW w:w="820" w:type="dxa"/>
            <w:tcBorders>
              <w:top w:val="nil"/>
              <w:left w:val="nil"/>
              <w:bottom w:val="nil"/>
              <w:right w:val="nil"/>
            </w:tcBorders>
            <w:shd w:val="clear" w:color="auto" w:fill="auto"/>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123 153</w:t>
            </w:r>
          </w:p>
        </w:tc>
        <w:tc>
          <w:tcPr>
            <w:tcW w:w="820" w:type="dxa"/>
            <w:tcBorders>
              <w:top w:val="nil"/>
              <w:left w:val="nil"/>
              <w:bottom w:val="nil"/>
              <w:right w:val="nil"/>
            </w:tcBorders>
            <w:shd w:val="clear" w:color="auto" w:fill="auto"/>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70 264</w:t>
            </w:r>
          </w:p>
        </w:tc>
        <w:tc>
          <w:tcPr>
            <w:tcW w:w="820" w:type="dxa"/>
            <w:tcBorders>
              <w:top w:val="nil"/>
              <w:left w:val="nil"/>
              <w:bottom w:val="nil"/>
              <w:right w:val="nil"/>
            </w:tcBorders>
            <w:shd w:val="clear" w:color="auto" w:fill="auto"/>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41 027</w:t>
            </w:r>
          </w:p>
        </w:tc>
        <w:tc>
          <w:tcPr>
            <w:tcW w:w="820" w:type="dxa"/>
            <w:tcBorders>
              <w:top w:val="nil"/>
              <w:left w:val="nil"/>
              <w:bottom w:val="nil"/>
              <w:right w:val="nil"/>
            </w:tcBorders>
            <w:shd w:val="clear" w:color="auto" w:fill="auto"/>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26 242</w:t>
            </w:r>
          </w:p>
        </w:tc>
        <w:tc>
          <w:tcPr>
            <w:tcW w:w="741" w:type="dxa"/>
            <w:tcBorders>
              <w:top w:val="nil"/>
              <w:left w:val="nil"/>
              <w:bottom w:val="nil"/>
              <w:right w:val="nil"/>
            </w:tcBorders>
            <w:shd w:val="clear" w:color="auto" w:fill="auto"/>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57 484</w:t>
            </w:r>
          </w:p>
        </w:tc>
      </w:tr>
      <w:tr w:rsidR="009A5240" w:rsidRPr="00E708F4" w:rsidTr="009A5240">
        <w:trPr>
          <w:trHeight w:val="300"/>
        </w:trPr>
        <w:tc>
          <w:tcPr>
            <w:tcW w:w="1985" w:type="dxa"/>
            <w:tcBorders>
              <w:top w:val="nil"/>
              <w:left w:val="nil"/>
              <w:bottom w:val="single" w:sz="4" w:space="0" w:color="auto"/>
              <w:right w:val="single" w:sz="4" w:space="0" w:color="auto"/>
            </w:tcBorders>
            <w:shd w:val="clear" w:color="000000" w:fill="F2F2F2"/>
            <w:vAlign w:val="center"/>
            <w:hideMark/>
          </w:tcPr>
          <w:p w:rsidR="009A5240" w:rsidRPr="00E708F4" w:rsidRDefault="009A5240" w:rsidP="009A5240">
            <w:pPr>
              <w:spacing w:after="0" w:line="240" w:lineRule="auto"/>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ormálna veková štruktúra lesov</w:t>
            </w:r>
            <w:r w:rsidRPr="00E708F4">
              <w:rPr>
                <w:rFonts w:ascii="Times New Roman" w:eastAsia="Times New Roman" w:hAnsi="Times New Roman" w:cs="Times New Roman"/>
                <w:color w:val="000000"/>
                <w:sz w:val="20"/>
                <w:szCs w:val="20"/>
              </w:rPr>
              <w:t xml:space="preserve"> (ha)</w:t>
            </w:r>
          </w:p>
        </w:tc>
        <w:tc>
          <w:tcPr>
            <w:tcW w:w="820" w:type="dxa"/>
            <w:tcBorders>
              <w:top w:val="nil"/>
              <w:left w:val="nil"/>
              <w:bottom w:val="single" w:sz="4" w:space="0" w:color="auto"/>
              <w:right w:val="nil"/>
            </w:tcBorders>
            <w:shd w:val="clear" w:color="000000" w:fill="F2F2F2"/>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9 638</w:t>
            </w:r>
          </w:p>
        </w:tc>
        <w:tc>
          <w:tcPr>
            <w:tcW w:w="820" w:type="dxa"/>
            <w:tcBorders>
              <w:top w:val="nil"/>
              <w:left w:val="nil"/>
              <w:bottom w:val="single" w:sz="4" w:space="0" w:color="auto"/>
              <w:right w:val="nil"/>
            </w:tcBorders>
            <w:shd w:val="clear" w:color="000000" w:fill="F2F2F2"/>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160 505</w:t>
            </w:r>
          </w:p>
        </w:tc>
        <w:tc>
          <w:tcPr>
            <w:tcW w:w="820" w:type="dxa"/>
            <w:tcBorders>
              <w:top w:val="nil"/>
              <w:left w:val="nil"/>
              <w:bottom w:val="single" w:sz="4" w:space="0" w:color="auto"/>
              <w:right w:val="nil"/>
            </w:tcBorders>
            <w:shd w:val="clear" w:color="000000" w:fill="F2F2F2"/>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160 505</w:t>
            </w:r>
          </w:p>
        </w:tc>
        <w:tc>
          <w:tcPr>
            <w:tcW w:w="820" w:type="dxa"/>
            <w:tcBorders>
              <w:top w:val="nil"/>
              <w:left w:val="nil"/>
              <w:bottom w:val="single" w:sz="4" w:space="0" w:color="auto"/>
              <w:right w:val="nil"/>
            </w:tcBorders>
            <w:shd w:val="clear" w:color="000000" w:fill="F2F2F2"/>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160 505</w:t>
            </w:r>
          </w:p>
        </w:tc>
        <w:tc>
          <w:tcPr>
            <w:tcW w:w="820" w:type="dxa"/>
            <w:tcBorders>
              <w:top w:val="nil"/>
              <w:left w:val="nil"/>
              <w:bottom w:val="single" w:sz="4" w:space="0" w:color="auto"/>
              <w:right w:val="nil"/>
            </w:tcBorders>
            <w:shd w:val="clear" w:color="000000" w:fill="F2F2F2"/>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160 505</w:t>
            </w:r>
          </w:p>
        </w:tc>
        <w:tc>
          <w:tcPr>
            <w:tcW w:w="820" w:type="dxa"/>
            <w:tcBorders>
              <w:top w:val="nil"/>
              <w:left w:val="nil"/>
              <w:bottom w:val="single" w:sz="4" w:space="0" w:color="auto"/>
              <w:right w:val="nil"/>
            </w:tcBorders>
            <w:shd w:val="clear" w:color="000000" w:fill="F2F2F2"/>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160 505</w:t>
            </w:r>
          </w:p>
        </w:tc>
        <w:tc>
          <w:tcPr>
            <w:tcW w:w="820" w:type="dxa"/>
            <w:tcBorders>
              <w:top w:val="nil"/>
              <w:left w:val="nil"/>
              <w:bottom w:val="single" w:sz="4" w:space="0" w:color="auto"/>
              <w:right w:val="nil"/>
            </w:tcBorders>
            <w:shd w:val="clear" w:color="000000" w:fill="F2F2F2"/>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160 505</w:t>
            </w:r>
          </w:p>
        </w:tc>
        <w:tc>
          <w:tcPr>
            <w:tcW w:w="820" w:type="dxa"/>
            <w:tcBorders>
              <w:top w:val="nil"/>
              <w:left w:val="nil"/>
              <w:bottom w:val="single" w:sz="4" w:space="0" w:color="auto"/>
              <w:right w:val="nil"/>
            </w:tcBorders>
            <w:shd w:val="clear" w:color="000000" w:fill="F2F2F2"/>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160 505</w:t>
            </w:r>
          </w:p>
        </w:tc>
        <w:tc>
          <w:tcPr>
            <w:tcW w:w="820" w:type="dxa"/>
            <w:tcBorders>
              <w:top w:val="nil"/>
              <w:left w:val="nil"/>
              <w:bottom w:val="single" w:sz="4" w:space="0" w:color="auto"/>
              <w:right w:val="nil"/>
            </w:tcBorders>
            <w:shd w:val="clear" w:color="000000" w:fill="F2F2F2"/>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160 505</w:t>
            </w:r>
          </w:p>
        </w:tc>
        <w:tc>
          <w:tcPr>
            <w:tcW w:w="820" w:type="dxa"/>
            <w:tcBorders>
              <w:top w:val="nil"/>
              <w:left w:val="nil"/>
              <w:bottom w:val="single" w:sz="4" w:space="0" w:color="auto"/>
              <w:right w:val="nil"/>
            </w:tcBorders>
            <w:shd w:val="clear" w:color="000000" w:fill="F2F2F2"/>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160 505</w:t>
            </w:r>
          </w:p>
        </w:tc>
        <w:tc>
          <w:tcPr>
            <w:tcW w:w="820" w:type="dxa"/>
            <w:tcBorders>
              <w:top w:val="nil"/>
              <w:left w:val="nil"/>
              <w:bottom w:val="single" w:sz="4" w:space="0" w:color="auto"/>
              <w:right w:val="nil"/>
            </w:tcBorders>
            <w:shd w:val="clear" w:color="000000" w:fill="F2F2F2"/>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160 505</w:t>
            </w:r>
          </w:p>
        </w:tc>
        <w:tc>
          <w:tcPr>
            <w:tcW w:w="820" w:type="dxa"/>
            <w:tcBorders>
              <w:top w:val="nil"/>
              <w:left w:val="nil"/>
              <w:bottom w:val="single" w:sz="4" w:space="0" w:color="auto"/>
              <w:right w:val="nil"/>
            </w:tcBorders>
            <w:shd w:val="clear" w:color="000000" w:fill="F2F2F2"/>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141 245</w:t>
            </w:r>
          </w:p>
        </w:tc>
        <w:tc>
          <w:tcPr>
            <w:tcW w:w="820" w:type="dxa"/>
            <w:tcBorders>
              <w:top w:val="nil"/>
              <w:left w:val="nil"/>
              <w:bottom w:val="single" w:sz="4" w:space="0" w:color="auto"/>
              <w:right w:val="nil"/>
            </w:tcBorders>
            <w:shd w:val="clear" w:color="000000" w:fill="F2F2F2"/>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101 118</w:t>
            </w:r>
          </w:p>
        </w:tc>
        <w:tc>
          <w:tcPr>
            <w:tcW w:w="820" w:type="dxa"/>
            <w:tcBorders>
              <w:top w:val="nil"/>
              <w:left w:val="nil"/>
              <w:bottom w:val="single" w:sz="4" w:space="0" w:color="auto"/>
              <w:right w:val="nil"/>
            </w:tcBorders>
            <w:shd w:val="clear" w:color="000000" w:fill="F2F2F2"/>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60 990</w:t>
            </w:r>
          </w:p>
        </w:tc>
        <w:tc>
          <w:tcPr>
            <w:tcW w:w="820" w:type="dxa"/>
            <w:tcBorders>
              <w:top w:val="nil"/>
              <w:left w:val="nil"/>
              <w:bottom w:val="single" w:sz="4" w:space="0" w:color="auto"/>
              <w:right w:val="nil"/>
            </w:tcBorders>
            <w:shd w:val="clear" w:color="000000" w:fill="F2F2F2"/>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20 863</w:t>
            </w:r>
          </w:p>
        </w:tc>
        <w:tc>
          <w:tcPr>
            <w:tcW w:w="741" w:type="dxa"/>
            <w:tcBorders>
              <w:top w:val="nil"/>
              <w:left w:val="nil"/>
              <w:bottom w:val="single" w:sz="4" w:space="0" w:color="auto"/>
              <w:right w:val="nil"/>
            </w:tcBorders>
            <w:shd w:val="clear" w:color="000000" w:fill="F2F2F2"/>
            <w:vAlign w:val="center"/>
            <w:hideMark/>
          </w:tcPr>
          <w:p w:rsidR="009A5240" w:rsidRPr="00E708F4" w:rsidRDefault="009A5240" w:rsidP="009A5240">
            <w:pPr>
              <w:spacing w:after="0" w:line="240" w:lineRule="auto"/>
              <w:jc w:val="right"/>
              <w:rPr>
                <w:rFonts w:ascii="Times New Roman" w:eastAsia="Times New Roman" w:hAnsi="Times New Roman" w:cs="Times New Roman"/>
                <w:color w:val="000000"/>
                <w:sz w:val="20"/>
                <w:szCs w:val="20"/>
              </w:rPr>
            </w:pPr>
            <w:r w:rsidRPr="00E708F4">
              <w:rPr>
                <w:rFonts w:ascii="Times New Roman" w:eastAsia="Times New Roman" w:hAnsi="Times New Roman" w:cs="Times New Roman"/>
                <w:color w:val="000000"/>
                <w:sz w:val="20"/>
                <w:szCs w:val="20"/>
              </w:rPr>
              <w:t>0</w:t>
            </w:r>
          </w:p>
        </w:tc>
      </w:tr>
    </w:tbl>
    <w:p w:rsidR="009A5240" w:rsidRDefault="009A5240" w:rsidP="009A5240">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 xml:space="preserve">Zdroj: </w:t>
      </w:r>
      <w:r>
        <w:rPr>
          <w:rFonts w:ascii="Times New Roman" w:hAnsi="Times New Roman" w:cs="Times New Roman"/>
          <w:sz w:val="20"/>
          <w:szCs w:val="20"/>
        </w:rPr>
        <w:t>NLC-ÚLZI Zvolen</w:t>
      </w:r>
    </w:p>
    <w:p w:rsidR="009A5240" w:rsidRPr="00D86A54" w:rsidRDefault="009A5240" w:rsidP="00D86A54">
      <w:pPr>
        <w:spacing w:after="0" w:line="240" w:lineRule="auto"/>
        <w:ind w:left="-567"/>
        <w:rPr>
          <w:rFonts w:ascii="Times New Roman" w:hAnsi="Times New Roman" w:cs="Times New Roman"/>
          <w:b/>
          <w:sz w:val="20"/>
          <w:szCs w:val="20"/>
        </w:rPr>
      </w:pPr>
      <w:r w:rsidRPr="00D86A54">
        <w:rPr>
          <w:rFonts w:ascii="Times New Roman" w:hAnsi="Times New Roman" w:cs="Times New Roman"/>
          <w:b/>
          <w:sz w:val="20"/>
          <w:szCs w:val="20"/>
        </w:rPr>
        <w:t>Príloha č. 2</w:t>
      </w:r>
      <w:r w:rsidR="00D86A54">
        <w:rPr>
          <w:rFonts w:ascii="Times New Roman" w:hAnsi="Times New Roman" w:cs="Times New Roman"/>
          <w:b/>
          <w:sz w:val="20"/>
          <w:szCs w:val="20"/>
        </w:rPr>
        <w:t>2</w:t>
      </w:r>
      <w:r w:rsidRPr="00D86A54">
        <w:rPr>
          <w:rFonts w:ascii="Times New Roman" w:hAnsi="Times New Roman" w:cs="Times New Roman"/>
          <w:b/>
          <w:sz w:val="20"/>
          <w:szCs w:val="20"/>
        </w:rPr>
        <w:t xml:space="preserve">: Vývoj ochrany mladých lesných porastov a vykonaných prebierok a </w:t>
      </w:r>
      <w:proofErr w:type="spellStart"/>
      <w:r w:rsidRPr="00D86A54">
        <w:rPr>
          <w:rFonts w:ascii="Times New Roman" w:hAnsi="Times New Roman" w:cs="Times New Roman"/>
          <w:b/>
          <w:sz w:val="20"/>
          <w:szCs w:val="20"/>
        </w:rPr>
        <w:t>prečistiek</w:t>
      </w:r>
      <w:proofErr w:type="spellEnd"/>
    </w:p>
    <w:tbl>
      <w:tblPr>
        <w:tblW w:w="15026" w:type="dxa"/>
        <w:tblInd w:w="-497" w:type="dxa"/>
        <w:tblCellMar>
          <w:left w:w="70" w:type="dxa"/>
          <w:right w:w="70" w:type="dxa"/>
        </w:tblCellMar>
        <w:tblLook w:val="04A0" w:firstRow="1" w:lastRow="0" w:firstColumn="1" w:lastColumn="0" w:noHBand="0" w:noVBand="1"/>
      </w:tblPr>
      <w:tblGrid>
        <w:gridCol w:w="4060"/>
        <w:gridCol w:w="960"/>
        <w:gridCol w:w="1359"/>
        <w:gridCol w:w="1134"/>
        <w:gridCol w:w="1134"/>
        <w:gridCol w:w="960"/>
        <w:gridCol w:w="960"/>
        <w:gridCol w:w="1199"/>
        <w:gridCol w:w="960"/>
        <w:gridCol w:w="1166"/>
        <w:gridCol w:w="1134"/>
      </w:tblGrid>
      <w:tr w:rsidR="009A5240" w:rsidRPr="008263A9" w:rsidTr="009A5240">
        <w:trPr>
          <w:trHeight w:val="293"/>
        </w:trPr>
        <w:tc>
          <w:tcPr>
            <w:tcW w:w="4060" w:type="dxa"/>
            <w:tcBorders>
              <w:top w:val="single" w:sz="4" w:space="0" w:color="auto"/>
              <w:left w:val="nil"/>
              <w:bottom w:val="single" w:sz="4" w:space="0" w:color="auto"/>
              <w:right w:val="single" w:sz="4" w:space="0" w:color="auto"/>
            </w:tcBorders>
            <w:shd w:val="clear" w:color="000000" w:fill="D9D9D9"/>
            <w:noWrap/>
            <w:vAlign w:val="bottom"/>
            <w:hideMark/>
          </w:tcPr>
          <w:p w:rsidR="009A5240" w:rsidRPr="008263A9" w:rsidRDefault="009A5240" w:rsidP="009A5240">
            <w:pPr>
              <w:spacing w:after="0" w:line="240" w:lineRule="auto"/>
              <w:rPr>
                <w:rFonts w:ascii="Times New Roman" w:eastAsia="Times New Roman" w:hAnsi="Times New Roman" w:cs="Times New Roman"/>
                <w:b/>
                <w:bCs/>
                <w:color w:val="000000"/>
                <w:sz w:val="20"/>
                <w:szCs w:val="20"/>
              </w:rPr>
            </w:pPr>
            <w:r w:rsidRPr="008263A9">
              <w:rPr>
                <w:rFonts w:ascii="Times New Roman" w:eastAsia="Times New Roman" w:hAnsi="Times New Roman" w:cs="Times New Roman"/>
                <w:b/>
                <w:bCs/>
                <w:color w:val="000000"/>
                <w:sz w:val="20"/>
                <w:szCs w:val="20"/>
              </w:rPr>
              <w:t> </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8263A9" w:rsidRDefault="009A5240" w:rsidP="009A5240">
            <w:pPr>
              <w:spacing w:after="0" w:line="240" w:lineRule="auto"/>
              <w:jc w:val="right"/>
              <w:rPr>
                <w:rFonts w:ascii="Times New Roman" w:eastAsia="Times New Roman" w:hAnsi="Times New Roman" w:cs="Times New Roman"/>
                <w:b/>
                <w:bCs/>
                <w:color w:val="000000"/>
                <w:sz w:val="20"/>
                <w:szCs w:val="20"/>
              </w:rPr>
            </w:pPr>
            <w:r w:rsidRPr="008263A9">
              <w:rPr>
                <w:rFonts w:ascii="Times New Roman" w:eastAsia="Times New Roman" w:hAnsi="Times New Roman" w:cs="Times New Roman"/>
                <w:b/>
                <w:bCs/>
                <w:color w:val="000000"/>
                <w:sz w:val="20"/>
                <w:szCs w:val="20"/>
              </w:rPr>
              <w:t>2002</w:t>
            </w:r>
          </w:p>
        </w:tc>
        <w:tc>
          <w:tcPr>
            <w:tcW w:w="1359" w:type="dxa"/>
            <w:tcBorders>
              <w:top w:val="single" w:sz="4" w:space="0" w:color="auto"/>
              <w:left w:val="nil"/>
              <w:bottom w:val="single" w:sz="4" w:space="0" w:color="auto"/>
              <w:right w:val="nil"/>
            </w:tcBorders>
            <w:shd w:val="clear" w:color="000000" w:fill="D9D9D9"/>
            <w:noWrap/>
            <w:vAlign w:val="bottom"/>
            <w:hideMark/>
          </w:tcPr>
          <w:p w:rsidR="009A5240" w:rsidRPr="008263A9" w:rsidRDefault="009A5240" w:rsidP="009A5240">
            <w:pPr>
              <w:spacing w:after="0" w:line="240" w:lineRule="auto"/>
              <w:jc w:val="right"/>
              <w:rPr>
                <w:rFonts w:ascii="Times New Roman" w:eastAsia="Times New Roman" w:hAnsi="Times New Roman" w:cs="Times New Roman"/>
                <w:b/>
                <w:bCs/>
                <w:color w:val="000000"/>
                <w:sz w:val="20"/>
                <w:szCs w:val="20"/>
              </w:rPr>
            </w:pPr>
            <w:r w:rsidRPr="008263A9">
              <w:rPr>
                <w:rFonts w:ascii="Times New Roman" w:eastAsia="Times New Roman" w:hAnsi="Times New Roman" w:cs="Times New Roman"/>
                <w:b/>
                <w:bCs/>
                <w:color w:val="000000"/>
                <w:sz w:val="20"/>
                <w:szCs w:val="20"/>
              </w:rPr>
              <w:t>2003</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8263A9" w:rsidRDefault="009A5240" w:rsidP="009A5240">
            <w:pPr>
              <w:spacing w:after="0" w:line="240" w:lineRule="auto"/>
              <w:jc w:val="right"/>
              <w:rPr>
                <w:rFonts w:ascii="Times New Roman" w:eastAsia="Times New Roman" w:hAnsi="Times New Roman" w:cs="Times New Roman"/>
                <w:b/>
                <w:bCs/>
                <w:color w:val="000000"/>
                <w:sz w:val="20"/>
                <w:szCs w:val="20"/>
              </w:rPr>
            </w:pPr>
            <w:r w:rsidRPr="008263A9">
              <w:rPr>
                <w:rFonts w:ascii="Times New Roman" w:eastAsia="Times New Roman" w:hAnsi="Times New Roman" w:cs="Times New Roman"/>
                <w:b/>
                <w:bCs/>
                <w:color w:val="000000"/>
                <w:sz w:val="20"/>
                <w:szCs w:val="20"/>
              </w:rPr>
              <w:t>2004</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8263A9" w:rsidRDefault="009A5240" w:rsidP="009A5240">
            <w:pPr>
              <w:spacing w:after="0" w:line="240" w:lineRule="auto"/>
              <w:jc w:val="right"/>
              <w:rPr>
                <w:rFonts w:ascii="Times New Roman" w:eastAsia="Times New Roman" w:hAnsi="Times New Roman" w:cs="Times New Roman"/>
                <w:b/>
                <w:bCs/>
                <w:color w:val="000000"/>
                <w:sz w:val="20"/>
                <w:szCs w:val="20"/>
              </w:rPr>
            </w:pPr>
            <w:r w:rsidRPr="008263A9">
              <w:rPr>
                <w:rFonts w:ascii="Times New Roman" w:eastAsia="Times New Roman" w:hAnsi="Times New Roman" w:cs="Times New Roman"/>
                <w:b/>
                <w:bCs/>
                <w:color w:val="000000"/>
                <w:sz w:val="20"/>
                <w:szCs w:val="20"/>
              </w:rPr>
              <w:t>2005</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8263A9" w:rsidRDefault="009A5240" w:rsidP="009A5240">
            <w:pPr>
              <w:spacing w:after="0" w:line="240" w:lineRule="auto"/>
              <w:jc w:val="right"/>
              <w:rPr>
                <w:rFonts w:ascii="Times New Roman" w:eastAsia="Times New Roman" w:hAnsi="Times New Roman" w:cs="Times New Roman"/>
                <w:b/>
                <w:bCs/>
                <w:color w:val="000000"/>
                <w:sz w:val="20"/>
                <w:szCs w:val="20"/>
              </w:rPr>
            </w:pPr>
            <w:r w:rsidRPr="008263A9">
              <w:rPr>
                <w:rFonts w:ascii="Times New Roman" w:eastAsia="Times New Roman" w:hAnsi="Times New Roman" w:cs="Times New Roman"/>
                <w:b/>
                <w:bCs/>
                <w:color w:val="000000"/>
                <w:sz w:val="20"/>
                <w:szCs w:val="20"/>
              </w:rPr>
              <w:t>2006</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8263A9" w:rsidRDefault="009A5240" w:rsidP="009A5240">
            <w:pPr>
              <w:spacing w:after="0" w:line="240" w:lineRule="auto"/>
              <w:jc w:val="right"/>
              <w:rPr>
                <w:rFonts w:ascii="Times New Roman" w:eastAsia="Times New Roman" w:hAnsi="Times New Roman" w:cs="Times New Roman"/>
                <w:b/>
                <w:bCs/>
                <w:color w:val="000000"/>
                <w:sz w:val="20"/>
                <w:szCs w:val="20"/>
              </w:rPr>
            </w:pPr>
            <w:r w:rsidRPr="008263A9">
              <w:rPr>
                <w:rFonts w:ascii="Times New Roman" w:eastAsia="Times New Roman" w:hAnsi="Times New Roman" w:cs="Times New Roman"/>
                <w:b/>
                <w:bCs/>
                <w:color w:val="000000"/>
                <w:sz w:val="20"/>
                <w:szCs w:val="20"/>
              </w:rPr>
              <w:t>2007</w:t>
            </w:r>
          </w:p>
        </w:tc>
        <w:tc>
          <w:tcPr>
            <w:tcW w:w="1199" w:type="dxa"/>
            <w:tcBorders>
              <w:top w:val="single" w:sz="4" w:space="0" w:color="auto"/>
              <w:left w:val="nil"/>
              <w:bottom w:val="single" w:sz="4" w:space="0" w:color="auto"/>
              <w:right w:val="nil"/>
            </w:tcBorders>
            <w:shd w:val="clear" w:color="000000" w:fill="D9D9D9"/>
            <w:noWrap/>
            <w:vAlign w:val="bottom"/>
            <w:hideMark/>
          </w:tcPr>
          <w:p w:rsidR="009A5240" w:rsidRPr="008263A9" w:rsidRDefault="009A5240" w:rsidP="009A5240">
            <w:pPr>
              <w:spacing w:after="0" w:line="240" w:lineRule="auto"/>
              <w:jc w:val="right"/>
              <w:rPr>
                <w:rFonts w:ascii="Times New Roman" w:eastAsia="Times New Roman" w:hAnsi="Times New Roman" w:cs="Times New Roman"/>
                <w:b/>
                <w:bCs/>
                <w:color w:val="000000"/>
                <w:sz w:val="20"/>
                <w:szCs w:val="20"/>
              </w:rPr>
            </w:pPr>
            <w:r w:rsidRPr="008263A9">
              <w:rPr>
                <w:rFonts w:ascii="Times New Roman" w:eastAsia="Times New Roman" w:hAnsi="Times New Roman" w:cs="Times New Roman"/>
                <w:b/>
                <w:bCs/>
                <w:color w:val="000000"/>
                <w:sz w:val="20"/>
                <w:szCs w:val="20"/>
              </w:rPr>
              <w:t>2008</w:t>
            </w:r>
          </w:p>
        </w:tc>
        <w:tc>
          <w:tcPr>
            <w:tcW w:w="960" w:type="dxa"/>
            <w:tcBorders>
              <w:top w:val="single" w:sz="4" w:space="0" w:color="auto"/>
              <w:left w:val="nil"/>
              <w:bottom w:val="single" w:sz="4" w:space="0" w:color="auto"/>
              <w:right w:val="nil"/>
            </w:tcBorders>
            <w:shd w:val="clear" w:color="000000" w:fill="D9D9D9"/>
            <w:noWrap/>
            <w:vAlign w:val="bottom"/>
            <w:hideMark/>
          </w:tcPr>
          <w:p w:rsidR="009A5240" w:rsidRPr="008263A9" w:rsidRDefault="009A5240" w:rsidP="009A5240">
            <w:pPr>
              <w:spacing w:after="0" w:line="240" w:lineRule="auto"/>
              <w:jc w:val="right"/>
              <w:rPr>
                <w:rFonts w:ascii="Times New Roman" w:eastAsia="Times New Roman" w:hAnsi="Times New Roman" w:cs="Times New Roman"/>
                <w:b/>
                <w:bCs/>
                <w:color w:val="000000"/>
                <w:sz w:val="20"/>
                <w:szCs w:val="20"/>
              </w:rPr>
            </w:pPr>
            <w:r w:rsidRPr="008263A9">
              <w:rPr>
                <w:rFonts w:ascii="Times New Roman" w:eastAsia="Times New Roman" w:hAnsi="Times New Roman" w:cs="Times New Roman"/>
                <w:b/>
                <w:bCs/>
                <w:color w:val="000000"/>
                <w:sz w:val="20"/>
                <w:szCs w:val="20"/>
              </w:rPr>
              <w:t>2009</w:t>
            </w:r>
          </w:p>
        </w:tc>
        <w:tc>
          <w:tcPr>
            <w:tcW w:w="1166" w:type="dxa"/>
            <w:tcBorders>
              <w:top w:val="single" w:sz="4" w:space="0" w:color="auto"/>
              <w:left w:val="nil"/>
              <w:bottom w:val="single" w:sz="4" w:space="0" w:color="auto"/>
              <w:right w:val="nil"/>
            </w:tcBorders>
            <w:shd w:val="clear" w:color="000000" w:fill="D9D9D9"/>
            <w:noWrap/>
            <w:vAlign w:val="bottom"/>
            <w:hideMark/>
          </w:tcPr>
          <w:p w:rsidR="009A5240" w:rsidRPr="008263A9" w:rsidRDefault="009A5240" w:rsidP="009A5240">
            <w:pPr>
              <w:spacing w:after="0" w:line="240" w:lineRule="auto"/>
              <w:jc w:val="right"/>
              <w:rPr>
                <w:rFonts w:ascii="Times New Roman" w:eastAsia="Times New Roman" w:hAnsi="Times New Roman" w:cs="Times New Roman"/>
                <w:b/>
                <w:bCs/>
                <w:color w:val="000000"/>
                <w:sz w:val="20"/>
                <w:szCs w:val="20"/>
              </w:rPr>
            </w:pPr>
            <w:r w:rsidRPr="008263A9">
              <w:rPr>
                <w:rFonts w:ascii="Times New Roman" w:eastAsia="Times New Roman" w:hAnsi="Times New Roman" w:cs="Times New Roman"/>
                <w:b/>
                <w:bCs/>
                <w:color w:val="000000"/>
                <w:sz w:val="20"/>
                <w:szCs w:val="20"/>
              </w:rPr>
              <w:t>2010</w:t>
            </w:r>
          </w:p>
        </w:tc>
        <w:tc>
          <w:tcPr>
            <w:tcW w:w="1134" w:type="dxa"/>
            <w:tcBorders>
              <w:top w:val="single" w:sz="4" w:space="0" w:color="auto"/>
              <w:left w:val="nil"/>
              <w:bottom w:val="single" w:sz="4" w:space="0" w:color="auto"/>
              <w:right w:val="nil"/>
            </w:tcBorders>
            <w:shd w:val="clear" w:color="000000" w:fill="D9D9D9"/>
            <w:noWrap/>
            <w:vAlign w:val="bottom"/>
            <w:hideMark/>
          </w:tcPr>
          <w:p w:rsidR="009A5240" w:rsidRPr="008263A9" w:rsidRDefault="009A5240" w:rsidP="009A5240">
            <w:pPr>
              <w:spacing w:after="0" w:line="240" w:lineRule="auto"/>
              <w:jc w:val="right"/>
              <w:rPr>
                <w:rFonts w:ascii="Times New Roman" w:eastAsia="Times New Roman" w:hAnsi="Times New Roman" w:cs="Times New Roman"/>
                <w:b/>
                <w:bCs/>
                <w:color w:val="000000"/>
                <w:sz w:val="20"/>
                <w:szCs w:val="20"/>
              </w:rPr>
            </w:pPr>
            <w:r w:rsidRPr="008263A9">
              <w:rPr>
                <w:rFonts w:ascii="Times New Roman" w:eastAsia="Times New Roman" w:hAnsi="Times New Roman" w:cs="Times New Roman"/>
                <w:b/>
                <w:bCs/>
                <w:color w:val="000000"/>
                <w:sz w:val="20"/>
                <w:szCs w:val="20"/>
              </w:rPr>
              <w:t>2011</w:t>
            </w:r>
          </w:p>
        </w:tc>
      </w:tr>
      <w:tr w:rsidR="009A5240" w:rsidRPr="008263A9" w:rsidTr="009A5240">
        <w:trPr>
          <w:trHeight w:val="255"/>
        </w:trPr>
        <w:tc>
          <w:tcPr>
            <w:tcW w:w="4060" w:type="dxa"/>
            <w:tcBorders>
              <w:top w:val="nil"/>
              <w:left w:val="nil"/>
              <w:bottom w:val="nil"/>
              <w:right w:val="single" w:sz="4" w:space="0" w:color="auto"/>
            </w:tcBorders>
            <w:shd w:val="clear" w:color="auto" w:fill="auto"/>
            <w:vAlign w:val="center"/>
            <w:hideMark/>
          </w:tcPr>
          <w:p w:rsidR="009A5240" w:rsidRPr="008263A9" w:rsidRDefault="009A5240" w:rsidP="009A5240">
            <w:pPr>
              <w:spacing w:after="0" w:line="240" w:lineRule="auto"/>
              <w:jc w:val="both"/>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Rozsah ochrany mladých lesných porastov v ha</w:t>
            </w:r>
          </w:p>
        </w:tc>
        <w:tc>
          <w:tcPr>
            <w:tcW w:w="960" w:type="dxa"/>
            <w:tcBorders>
              <w:top w:val="nil"/>
              <w:left w:val="nil"/>
              <w:bottom w:val="nil"/>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73 282</w:t>
            </w:r>
          </w:p>
        </w:tc>
        <w:tc>
          <w:tcPr>
            <w:tcW w:w="1359" w:type="dxa"/>
            <w:tcBorders>
              <w:top w:val="nil"/>
              <w:left w:val="nil"/>
              <w:bottom w:val="nil"/>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67 123</w:t>
            </w:r>
          </w:p>
        </w:tc>
        <w:tc>
          <w:tcPr>
            <w:tcW w:w="1134" w:type="dxa"/>
            <w:tcBorders>
              <w:top w:val="nil"/>
              <w:left w:val="nil"/>
              <w:bottom w:val="nil"/>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66 667</w:t>
            </w:r>
          </w:p>
        </w:tc>
        <w:tc>
          <w:tcPr>
            <w:tcW w:w="1134" w:type="dxa"/>
            <w:tcBorders>
              <w:top w:val="nil"/>
              <w:left w:val="nil"/>
              <w:bottom w:val="nil"/>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65 715</w:t>
            </w:r>
          </w:p>
        </w:tc>
        <w:tc>
          <w:tcPr>
            <w:tcW w:w="960" w:type="dxa"/>
            <w:tcBorders>
              <w:top w:val="nil"/>
              <w:left w:val="nil"/>
              <w:bottom w:val="nil"/>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68 357</w:t>
            </w:r>
          </w:p>
        </w:tc>
        <w:tc>
          <w:tcPr>
            <w:tcW w:w="960" w:type="dxa"/>
            <w:tcBorders>
              <w:top w:val="nil"/>
              <w:left w:val="nil"/>
              <w:bottom w:val="nil"/>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65 055</w:t>
            </w:r>
          </w:p>
        </w:tc>
        <w:tc>
          <w:tcPr>
            <w:tcW w:w="1199" w:type="dxa"/>
            <w:tcBorders>
              <w:top w:val="nil"/>
              <w:left w:val="nil"/>
              <w:bottom w:val="nil"/>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71 745</w:t>
            </w:r>
          </w:p>
        </w:tc>
        <w:tc>
          <w:tcPr>
            <w:tcW w:w="960" w:type="dxa"/>
            <w:tcBorders>
              <w:top w:val="nil"/>
              <w:left w:val="nil"/>
              <w:bottom w:val="nil"/>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50 683</w:t>
            </w:r>
          </w:p>
        </w:tc>
        <w:tc>
          <w:tcPr>
            <w:tcW w:w="1166" w:type="dxa"/>
            <w:tcBorders>
              <w:top w:val="nil"/>
              <w:left w:val="nil"/>
              <w:bottom w:val="nil"/>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66 579</w:t>
            </w:r>
          </w:p>
        </w:tc>
        <w:tc>
          <w:tcPr>
            <w:tcW w:w="1134" w:type="dxa"/>
            <w:tcBorders>
              <w:top w:val="nil"/>
              <w:left w:val="nil"/>
              <w:bottom w:val="nil"/>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74 052</w:t>
            </w:r>
          </w:p>
        </w:tc>
      </w:tr>
      <w:tr w:rsidR="009A5240" w:rsidRPr="008263A9" w:rsidTr="009A5240">
        <w:trPr>
          <w:trHeight w:val="255"/>
        </w:trPr>
        <w:tc>
          <w:tcPr>
            <w:tcW w:w="4060" w:type="dxa"/>
            <w:tcBorders>
              <w:top w:val="nil"/>
              <w:left w:val="nil"/>
              <w:bottom w:val="nil"/>
              <w:right w:val="single" w:sz="4" w:space="0" w:color="auto"/>
            </w:tcBorders>
            <w:shd w:val="clear" w:color="000000" w:fill="F2F2F2"/>
            <w:vAlign w:val="center"/>
            <w:hideMark/>
          </w:tcPr>
          <w:p w:rsidR="009A5240" w:rsidRPr="008263A9" w:rsidRDefault="009A5240" w:rsidP="009A5240">
            <w:pPr>
              <w:spacing w:after="0" w:line="240" w:lineRule="auto"/>
              <w:jc w:val="both"/>
              <w:rPr>
                <w:rFonts w:ascii="Times New Roman" w:eastAsia="Times New Roman" w:hAnsi="Times New Roman" w:cs="Times New Roman"/>
                <w:color w:val="000000"/>
                <w:sz w:val="20"/>
                <w:szCs w:val="20"/>
              </w:rPr>
            </w:pPr>
            <w:proofErr w:type="spellStart"/>
            <w:r w:rsidRPr="008263A9">
              <w:rPr>
                <w:rFonts w:ascii="Times New Roman" w:eastAsia="Times New Roman" w:hAnsi="Times New Roman" w:cs="Times New Roman"/>
                <w:color w:val="000000"/>
                <w:sz w:val="20"/>
                <w:szCs w:val="20"/>
              </w:rPr>
              <w:t>Prečistky</w:t>
            </w:r>
            <w:proofErr w:type="spellEnd"/>
            <w:r w:rsidRPr="008263A9">
              <w:rPr>
                <w:rFonts w:ascii="Times New Roman" w:eastAsia="Times New Roman" w:hAnsi="Times New Roman" w:cs="Times New Roman"/>
                <w:color w:val="000000"/>
                <w:sz w:val="20"/>
                <w:szCs w:val="20"/>
              </w:rPr>
              <w:t xml:space="preserve"> v ha</w:t>
            </w:r>
          </w:p>
        </w:tc>
        <w:tc>
          <w:tcPr>
            <w:tcW w:w="960" w:type="dxa"/>
            <w:tcBorders>
              <w:top w:val="nil"/>
              <w:left w:val="nil"/>
              <w:bottom w:val="nil"/>
              <w:right w:val="nil"/>
            </w:tcBorders>
            <w:shd w:val="clear" w:color="000000" w:fill="F2F2F2"/>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33 932</w:t>
            </w:r>
          </w:p>
        </w:tc>
        <w:tc>
          <w:tcPr>
            <w:tcW w:w="1359" w:type="dxa"/>
            <w:tcBorders>
              <w:top w:val="nil"/>
              <w:left w:val="nil"/>
              <w:bottom w:val="nil"/>
              <w:right w:val="nil"/>
            </w:tcBorders>
            <w:shd w:val="clear" w:color="000000" w:fill="F2F2F2"/>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32 164</w:t>
            </w:r>
          </w:p>
        </w:tc>
        <w:tc>
          <w:tcPr>
            <w:tcW w:w="1134" w:type="dxa"/>
            <w:tcBorders>
              <w:top w:val="nil"/>
              <w:left w:val="nil"/>
              <w:bottom w:val="nil"/>
              <w:right w:val="nil"/>
            </w:tcBorders>
            <w:shd w:val="clear" w:color="000000" w:fill="F2F2F2"/>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30 315</w:t>
            </w:r>
          </w:p>
        </w:tc>
        <w:tc>
          <w:tcPr>
            <w:tcW w:w="1134" w:type="dxa"/>
            <w:tcBorders>
              <w:top w:val="nil"/>
              <w:left w:val="nil"/>
              <w:bottom w:val="nil"/>
              <w:right w:val="nil"/>
            </w:tcBorders>
            <w:shd w:val="clear" w:color="000000" w:fill="F2F2F2"/>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29 079</w:t>
            </w:r>
          </w:p>
        </w:tc>
        <w:tc>
          <w:tcPr>
            <w:tcW w:w="960" w:type="dxa"/>
            <w:tcBorders>
              <w:top w:val="nil"/>
              <w:left w:val="nil"/>
              <w:bottom w:val="nil"/>
              <w:right w:val="nil"/>
            </w:tcBorders>
            <w:shd w:val="clear" w:color="000000" w:fill="F2F2F2"/>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28 383</w:t>
            </w:r>
          </w:p>
        </w:tc>
        <w:tc>
          <w:tcPr>
            <w:tcW w:w="960" w:type="dxa"/>
            <w:tcBorders>
              <w:top w:val="nil"/>
              <w:left w:val="nil"/>
              <w:bottom w:val="nil"/>
              <w:right w:val="nil"/>
            </w:tcBorders>
            <w:shd w:val="clear" w:color="000000" w:fill="F2F2F2"/>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25 595</w:t>
            </w:r>
          </w:p>
        </w:tc>
        <w:tc>
          <w:tcPr>
            <w:tcW w:w="1199" w:type="dxa"/>
            <w:tcBorders>
              <w:top w:val="nil"/>
              <w:left w:val="nil"/>
              <w:bottom w:val="nil"/>
              <w:right w:val="nil"/>
            </w:tcBorders>
            <w:shd w:val="clear" w:color="000000" w:fill="F2F2F2"/>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25 338</w:t>
            </w:r>
          </w:p>
        </w:tc>
        <w:tc>
          <w:tcPr>
            <w:tcW w:w="960" w:type="dxa"/>
            <w:tcBorders>
              <w:top w:val="nil"/>
              <w:left w:val="nil"/>
              <w:bottom w:val="nil"/>
              <w:right w:val="nil"/>
            </w:tcBorders>
            <w:shd w:val="clear" w:color="000000" w:fill="F2F2F2"/>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12 232</w:t>
            </w:r>
          </w:p>
        </w:tc>
        <w:tc>
          <w:tcPr>
            <w:tcW w:w="1166" w:type="dxa"/>
            <w:tcBorders>
              <w:top w:val="nil"/>
              <w:left w:val="nil"/>
              <w:bottom w:val="nil"/>
              <w:right w:val="nil"/>
            </w:tcBorders>
            <w:shd w:val="clear" w:color="000000" w:fill="F2F2F2"/>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18 137</w:t>
            </w:r>
          </w:p>
        </w:tc>
        <w:tc>
          <w:tcPr>
            <w:tcW w:w="1134" w:type="dxa"/>
            <w:tcBorders>
              <w:top w:val="nil"/>
              <w:left w:val="nil"/>
              <w:bottom w:val="nil"/>
              <w:right w:val="nil"/>
            </w:tcBorders>
            <w:shd w:val="clear" w:color="000000" w:fill="F2F2F2"/>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27 117</w:t>
            </w:r>
          </w:p>
        </w:tc>
      </w:tr>
      <w:tr w:rsidR="009A5240" w:rsidRPr="008263A9" w:rsidTr="009A5240">
        <w:trPr>
          <w:trHeight w:val="255"/>
        </w:trPr>
        <w:tc>
          <w:tcPr>
            <w:tcW w:w="4060" w:type="dxa"/>
            <w:tcBorders>
              <w:top w:val="nil"/>
              <w:left w:val="nil"/>
              <w:bottom w:val="single" w:sz="4" w:space="0" w:color="auto"/>
              <w:right w:val="single" w:sz="4" w:space="0" w:color="auto"/>
            </w:tcBorders>
            <w:shd w:val="clear" w:color="auto" w:fill="auto"/>
            <w:vAlign w:val="center"/>
            <w:hideMark/>
          </w:tcPr>
          <w:p w:rsidR="009A5240" w:rsidRPr="008263A9" w:rsidRDefault="009A5240" w:rsidP="009A5240">
            <w:pPr>
              <w:spacing w:after="0" w:line="240" w:lineRule="auto"/>
              <w:jc w:val="both"/>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Prebierky v ha</w:t>
            </w:r>
          </w:p>
        </w:tc>
        <w:tc>
          <w:tcPr>
            <w:tcW w:w="960" w:type="dxa"/>
            <w:tcBorders>
              <w:top w:val="nil"/>
              <w:left w:val="nil"/>
              <w:bottom w:val="single" w:sz="4" w:space="0" w:color="auto"/>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64 449</w:t>
            </w:r>
          </w:p>
        </w:tc>
        <w:tc>
          <w:tcPr>
            <w:tcW w:w="1359" w:type="dxa"/>
            <w:tcBorders>
              <w:top w:val="nil"/>
              <w:left w:val="nil"/>
              <w:bottom w:val="single" w:sz="4" w:space="0" w:color="auto"/>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59 238</w:t>
            </w:r>
          </w:p>
        </w:tc>
        <w:tc>
          <w:tcPr>
            <w:tcW w:w="1134" w:type="dxa"/>
            <w:tcBorders>
              <w:top w:val="nil"/>
              <w:left w:val="nil"/>
              <w:bottom w:val="single" w:sz="4" w:space="0" w:color="auto"/>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55 982</w:t>
            </w:r>
          </w:p>
        </w:tc>
        <w:tc>
          <w:tcPr>
            <w:tcW w:w="1134" w:type="dxa"/>
            <w:tcBorders>
              <w:top w:val="nil"/>
              <w:left w:val="nil"/>
              <w:bottom w:val="single" w:sz="4" w:space="0" w:color="auto"/>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46 070</w:t>
            </w:r>
          </w:p>
        </w:tc>
        <w:tc>
          <w:tcPr>
            <w:tcW w:w="960" w:type="dxa"/>
            <w:tcBorders>
              <w:top w:val="nil"/>
              <w:left w:val="nil"/>
              <w:bottom w:val="single" w:sz="4" w:space="0" w:color="auto"/>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46 566</w:t>
            </w:r>
          </w:p>
        </w:tc>
        <w:tc>
          <w:tcPr>
            <w:tcW w:w="960" w:type="dxa"/>
            <w:tcBorders>
              <w:top w:val="nil"/>
              <w:left w:val="nil"/>
              <w:bottom w:val="single" w:sz="4" w:space="0" w:color="auto"/>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42 513</w:t>
            </w:r>
          </w:p>
        </w:tc>
        <w:tc>
          <w:tcPr>
            <w:tcW w:w="1199" w:type="dxa"/>
            <w:tcBorders>
              <w:top w:val="nil"/>
              <w:left w:val="nil"/>
              <w:bottom w:val="single" w:sz="4" w:space="0" w:color="auto"/>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40 750</w:t>
            </w:r>
          </w:p>
        </w:tc>
        <w:tc>
          <w:tcPr>
            <w:tcW w:w="960" w:type="dxa"/>
            <w:tcBorders>
              <w:top w:val="nil"/>
              <w:left w:val="nil"/>
              <w:bottom w:val="single" w:sz="4" w:space="0" w:color="auto"/>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40 222</w:t>
            </w:r>
          </w:p>
        </w:tc>
        <w:tc>
          <w:tcPr>
            <w:tcW w:w="1166" w:type="dxa"/>
            <w:tcBorders>
              <w:top w:val="nil"/>
              <w:left w:val="nil"/>
              <w:bottom w:val="single" w:sz="4" w:space="0" w:color="auto"/>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39 593</w:t>
            </w:r>
          </w:p>
        </w:tc>
        <w:tc>
          <w:tcPr>
            <w:tcW w:w="1134" w:type="dxa"/>
            <w:tcBorders>
              <w:top w:val="nil"/>
              <w:left w:val="nil"/>
              <w:bottom w:val="single" w:sz="4" w:space="0" w:color="auto"/>
              <w:right w:val="nil"/>
            </w:tcBorders>
            <w:shd w:val="clear" w:color="auto" w:fill="auto"/>
            <w:vAlign w:val="center"/>
            <w:hideMark/>
          </w:tcPr>
          <w:p w:rsidR="009A5240" w:rsidRPr="008263A9" w:rsidRDefault="009A5240" w:rsidP="009A5240">
            <w:pPr>
              <w:spacing w:after="0" w:line="240" w:lineRule="auto"/>
              <w:jc w:val="right"/>
              <w:rPr>
                <w:rFonts w:ascii="Times New Roman" w:eastAsia="Times New Roman" w:hAnsi="Times New Roman" w:cs="Times New Roman"/>
                <w:color w:val="000000"/>
                <w:sz w:val="20"/>
                <w:szCs w:val="20"/>
              </w:rPr>
            </w:pPr>
            <w:r w:rsidRPr="008263A9">
              <w:rPr>
                <w:rFonts w:ascii="Times New Roman" w:eastAsia="Times New Roman" w:hAnsi="Times New Roman" w:cs="Times New Roman"/>
                <w:color w:val="000000"/>
                <w:sz w:val="20"/>
                <w:szCs w:val="20"/>
              </w:rPr>
              <w:t>48 992</w:t>
            </w:r>
          </w:p>
        </w:tc>
      </w:tr>
    </w:tbl>
    <w:p w:rsidR="009A5240" w:rsidRDefault="009A5240" w:rsidP="009A5240">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 xml:space="preserve">Zdroj: </w:t>
      </w:r>
      <w:r>
        <w:rPr>
          <w:rFonts w:ascii="Times New Roman" w:hAnsi="Times New Roman" w:cs="Times New Roman"/>
          <w:sz w:val="20"/>
          <w:szCs w:val="20"/>
        </w:rPr>
        <w:t>NLC-ÚLZI Zvolen</w:t>
      </w:r>
    </w:p>
    <w:p w:rsidR="009A5240" w:rsidRDefault="009A5240" w:rsidP="009A5240">
      <w:pPr>
        <w:ind w:left="-567"/>
        <w:rPr>
          <w:rFonts w:ascii="Times New Roman" w:hAnsi="Times New Roman" w:cs="Times New Roman"/>
          <w:b/>
          <w:sz w:val="24"/>
          <w:szCs w:val="24"/>
        </w:rPr>
      </w:pPr>
    </w:p>
    <w:p w:rsidR="009A5240" w:rsidRPr="00D86A54" w:rsidRDefault="00D86A54" w:rsidP="00D86A54">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lastRenderedPageBreak/>
        <w:t>Príloha č. 23</w:t>
      </w:r>
      <w:r w:rsidR="009A5240" w:rsidRPr="00D86A54">
        <w:rPr>
          <w:rFonts w:ascii="Times New Roman" w:hAnsi="Times New Roman" w:cs="Times New Roman"/>
          <w:b/>
          <w:sz w:val="20"/>
          <w:szCs w:val="20"/>
        </w:rPr>
        <w:t>: Vývoj ponuky surového dreva v tis. m</w:t>
      </w:r>
      <w:r w:rsidR="009A5240" w:rsidRPr="00D86A54">
        <w:rPr>
          <w:rFonts w:ascii="Times New Roman" w:hAnsi="Times New Roman" w:cs="Times New Roman"/>
          <w:b/>
          <w:sz w:val="20"/>
          <w:szCs w:val="20"/>
          <w:vertAlign w:val="superscript"/>
        </w:rPr>
        <w:t>3</w:t>
      </w:r>
    </w:p>
    <w:tbl>
      <w:tblPr>
        <w:tblW w:w="15026" w:type="dxa"/>
        <w:tblInd w:w="-497" w:type="dxa"/>
        <w:tblCellMar>
          <w:left w:w="70" w:type="dxa"/>
          <w:right w:w="70" w:type="dxa"/>
        </w:tblCellMar>
        <w:tblLook w:val="04A0" w:firstRow="1" w:lastRow="0" w:firstColumn="1" w:lastColumn="0" w:noHBand="0" w:noVBand="1"/>
      </w:tblPr>
      <w:tblGrid>
        <w:gridCol w:w="4111"/>
        <w:gridCol w:w="960"/>
        <w:gridCol w:w="1308"/>
        <w:gridCol w:w="1134"/>
        <w:gridCol w:w="1134"/>
        <w:gridCol w:w="960"/>
        <w:gridCol w:w="960"/>
        <w:gridCol w:w="1199"/>
        <w:gridCol w:w="960"/>
        <w:gridCol w:w="1166"/>
        <w:gridCol w:w="1134"/>
      </w:tblGrid>
      <w:tr w:rsidR="009A5240" w:rsidRPr="008A02A4" w:rsidTr="009A5240">
        <w:trPr>
          <w:trHeight w:val="300"/>
        </w:trPr>
        <w:tc>
          <w:tcPr>
            <w:tcW w:w="4111" w:type="dxa"/>
            <w:tcBorders>
              <w:top w:val="single" w:sz="4" w:space="0" w:color="auto"/>
              <w:left w:val="nil"/>
              <w:bottom w:val="single" w:sz="4" w:space="0" w:color="auto"/>
              <w:right w:val="single" w:sz="4" w:space="0" w:color="auto"/>
            </w:tcBorders>
            <w:shd w:val="clear" w:color="000000" w:fill="D9D9D9"/>
            <w:noWrap/>
            <w:vAlign w:val="bottom"/>
            <w:hideMark/>
          </w:tcPr>
          <w:p w:rsidR="009A5240" w:rsidRPr="008A02A4" w:rsidRDefault="009A5240" w:rsidP="009A5240">
            <w:pPr>
              <w:spacing w:after="0" w:line="240" w:lineRule="auto"/>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8A02A4" w:rsidRDefault="009A5240" w:rsidP="009A5240">
            <w:pPr>
              <w:spacing w:after="0" w:line="240" w:lineRule="auto"/>
              <w:jc w:val="right"/>
              <w:rPr>
                <w:rFonts w:ascii="Times New Roman" w:eastAsia="Times New Roman" w:hAnsi="Times New Roman" w:cs="Times New Roman"/>
                <w:b/>
                <w:bCs/>
                <w:color w:val="000000"/>
                <w:sz w:val="20"/>
                <w:szCs w:val="20"/>
              </w:rPr>
            </w:pPr>
            <w:r w:rsidRPr="008A02A4">
              <w:rPr>
                <w:rFonts w:ascii="Times New Roman" w:eastAsia="Times New Roman" w:hAnsi="Times New Roman" w:cs="Times New Roman"/>
                <w:b/>
                <w:bCs/>
                <w:color w:val="000000"/>
                <w:sz w:val="20"/>
                <w:szCs w:val="20"/>
              </w:rPr>
              <w:t>2002</w:t>
            </w:r>
          </w:p>
        </w:tc>
        <w:tc>
          <w:tcPr>
            <w:tcW w:w="1308" w:type="dxa"/>
            <w:tcBorders>
              <w:top w:val="single" w:sz="4" w:space="0" w:color="auto"/>
              <w:left w:val="nil"/>
              <w:bottom w:val="single" w:sz="4" w:space="0" w:color="auto"/>
              <w:right w:val="nil"/>
            </w:tcBorders>
            <w:shd w:val="clear" w:color="000000" w:fill="D9D9D9"/>
            <w:vAlign w:val="center"/>
            <w:hideMark/>
          </w:tcPr>
          <w:p w:rsidR="009A5240" w:rsidRPr="008A02A4" w:rsidRDefault="009A5240" w:rsidP="009A5240">
            <w:pPr>
              <w:spacing w:after="0" w:line="240" w:lineRule="auto"/>
              <w:jc w:val="right"/>
              <w:rPr>
                <w:rFonts w:ascii="Times New Roman" w:eastAsia="Times New Roman" w:hAnsi="Times New Roman" w:cs="Times New Roman"/>
                <w:b/>
                <w:bCs/>
                <w:color w:val="000000"/>
                <w:sz w:val="20"/>
                <w:szCs w:val="20"/>
              </w:rPr>
            </w:pPr>
            <w:r w:rsidRPr="008A02A4">
              <w:rPr>
                <w:rFonts w:ascii="Times New Roman" w:eastAsia="Times New Roman" w:hAnsi="Times New Roman" w:cs="Times New Roman"/>
                <w:b/>
                <w:bCs/>
                <w:color w:val="000000"/>
                <w:sz w:val="20"/>
                <w:szCs w:val="20"/>
              </w:rPr>
              <w:t>2003</w:t>
            </w:r>
          </w:p>
        </w:tc>
        <w:tc>
          <w:tcPr>
            <w:tcW w:w="1134" w:type="dxa"/>
            <w:tcBorders>
              <w:top w:val="single" w:sz="4" w:space="0" w:color="auto"/>
              <w:left w:val="nil"/>
              <w:bottom w:val="single" w:sz="4" w:space="0" w:color="auto"/>
              <w:right w:val="nil"/>
            </w:tcBorders>
            <w:shd w:val="clear" w:color="000000" w:fill="D9D9D9"/>
            <w:vAlign w:val="center"/>
            <w:hideMark/>
          </w:tcPr>
          <w:p w:rsidR="009A5240" w:rsidRPr="008A02A4" w:rsidRDefault="009A5240" w:rsidP="009A5240">
            <w:pPr>
              <w:spacing w:after="0" w:line="240" w:lineRule="auto"/>
              <w:jc w:val="right"/>
              <w:rPr>
                <w:rFonts w:ascii="Times New Roman" w:eastAsia="Times New Roman" w:hAnsi="Times New Roman" w:cs="Times New Roman"/>
                <w:b/>
                <w:bCs/>
                <w:color w:val="000000"/>
                <w:sz w:val="20"/>
                <w:szCs w:val="20"/>
              </w:rPr>
            </w:pPr>
            <w:r w:rsidRPr="008A02A4">
              <w:rPr>
                <w:rFonts w:ascii="Times New Roman" w:eastAsia="Times New Roman" w:hAnsi="Times New Roman" w:cs="Times New Roman"/>
                <w:b/>
                <w:bCs/>
                <w:color w:val="000000"/>
                <w:sz w:val="20"/>
                <w:szCs w:val="20"/>
              </w:rPr>
              <w:t>2004</w:t>
            </w:r>
          </w:p>
        </w:tc>
        <w:tc>
          <w:tcPr>
            <w:tcW w:w="1134" w:type="dxa"/>
            <w:tcBorders>
              <w:top w:val="single" w:sz="4" w:space="0" w:color="auto"/>
              <w:left w:val="nil"/>
              <w:bottom w:val="single" w:sz="4" w:space="0" w:color="auto"/>
              <w:right w:val="nil"/>
            </w:tcBorders>
            <w:shd w:val="clear" w:color="000000" w:fill="D9D9D9"/>
            <w:vAlign w:val="center"/>
            <w:hideMark/>
          </w:tcPr>
          <w:p w:rsidR="009A5240" w:rsidRPr="008A02A4" w:rsidRDefault="009A5240" w:rsidP="009A5240">
            <w:pPr>
              <w:spacing w:after="0" w:line="240" w:lineRule="auto"/>
              <w:jc w:val="right"/>
              <w:rPr>
                <w:rFonts w:ascii="Times New Roman" w:eastAsia="Times New Roman" w:hAnsi="Times New Roman" w:cs="Times New Roman"/>
                <w:b/>
                <w:bCs/>
                <w:color w:val="000000"/>
                <w:sz w:val="20"/>
                <w:szCs w:val="20"/>
              </w:rPr>
            </w:pPr>
            <w:r w:rsidRPr="008A02A4">
              <w:rPr>
                <w:rFonts w:ascii="Times New Roman" w:eastAsia="Times New Roman" w:hAnsi="Times New Roman" w:cs="Times New Roman"/>
                <w:b/>
                <w:bCs/>
                <w:color w:val="000000"/>
                <w:sz w:val="20"/>
                <w:szCs w:val="20"/>
              </w:rPr>
              <w:t>2005</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8A02A4" w:rsidRDefault="009A5240" w:rsidP="009A5240">
            <w:pPr>
              <w:spacing w:after="0" w:line="240" w:lineRule="auto"/>
              <w:jc w:val="right"/>
              <w:rPr>
                <w:rFonts w:ascii="Times New Roman" w:eastAsia="Times New Roman" w:hAnsi="Times New Roman" w:cs="Times New Roman"/>
                <w:b/>
                <w:bCs/>
                <w:color w:val="000000"/>
                <w:sz w:val="20"/>
                <w:szCs w:val="20"/>
              </w:rPr>
            </w:pPr>
            <w:r w:rsidRPr="008A02A4">
              <w:rPr>
                <w:rFonts w:ascii="Times New Roman" w:eastAsia="Times New Roman" w:hAnsi="Times New Roman" w:cs="Times New Roman"/>
                <w:b/>
                <w:bCs/>
                <w:color w:val="000000"/>
                <w:sz w:val="20"/>
                <w:szCs w:val="20"/>
              </w:rPr>
              <w:t>2006</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8A02A4" w:rsidRDefault="009A5240" w:rsidP="009A5240">
            <w:pPr>
              <w:spacing w:after="0" w:line="240" w:lineRule="auto"/>
              <w:jc w:val="right"/>
              <w:rPr>
                <w:rFonts w:ascii="Times New Roman" w:eastAsia="Times New Roman" w:hAnsi="Times New Roman" w:cs="Times New Roman"/>
                <w:b/>
                <w:bCs/>
                <w:color w:val="000000"/>
                <w:sz w:val="20"/>
                <w:szCs w:val="20"/>
              </w:rPr>
            </w:pPr>
            <w:r w:rsidRPr="008A02A4">
              <w:rPr>
                <w:rFonts w:ascii="Times New Roman" w:eastAsia="Times New Roman" w:hAnsi="Times New Roman" w:cs="Times New Roman"/>
                <w:b/>
                <w:bCs/>
                <w:color w:val="000000"/>
                <w:sz w:val="20"/>
                <w:szCs w:val="20"/>
              </w:rPr>
              <w:t>2007</w:t>
            </w:r>
          </w:p>
        </w:tc>
        <w:tc>
          <w:tcPr>
            <w:tcW w:w="1199" w:type="dxa"/>
            <w:tcBorders>
              <w:top w:val="single" w:sz="4" w:space="0" w:color="auto"/>
              <w:left w:val="nil"/>
              <w:bottom w:val="single" w:sz="4" w:space="0" w:color="auto"/>
              <w:right w:val="nil"/>
            </w:tcBorders>
            <w:shd w:val="clear" w:color="000000" w:fill="D9D9D9"/>
            <w:vAlign w:val="center"/>
            <w:hideMark/>
          </w:tcPr>
          <w:p w:rsidR="009A5240" w:rsidRPr="008A02A4" w:rsidRDefault="009A5240" w:rsidP="009A5240">
            <w:pPr>
              <w:spacing w:after="0" w:line="240" w:lineRule="auto"/>
              <w:jc w:val="right"/>
              <w:rPr>
                <w:rFonts w:ascii="Times New Roman" w:eastAsia="Times New Roman" w:hAnsi="Times New Roman" w:cs="Times New Roman"/>
                <w:b/>
                <w:bCs/>
                <w:color w:val="000000"/>
                <w:sz w:val="20"/>
                <w:szCs w:val="20"/>
              </w:rPr>
            </w:pPr>
            <w:r w:rsidRPr="008A02A4">
              <w:rPr>
                <w:rFonts w:ascii="Times New Roman" w:eastAsia="Times New Roman" w:hAnsi="Times New Roman" w:cs="Times New Roman"/>
                <w:b/>
                <w:bCs/>
                <w:color w:val="000000"/>
                <w:sz w:val="20"/>
                <w:szCs w:val="20"/>
              </w:rPr>
              <w:t>2008</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8A02A4" w:rsidRDefault="009A5240" w:rsidP="009A5240">
            <w:pPr>
              <w:spacing w:after="0" w:line="240" w:lineRule="auto"/>
              <w:jc w:val="right"/>
              <w:rPr>
                <w:rFonts w:ascii="Times New Roman" w:eastAsia="Times New Roman" w:hAnsi="Times New Roman" w:cs="Times New Roman"/>
                <w:b/>
                <w:bCs/>
                <w:color w:val="000000"/>
                <w:sz w:val="20"/>
                <w:szCs w:val="20"/>
              </w:rPr>
            </w:pPr>
            <w:r w:rsidRPr="008A02A4">
              <w:rPr>
                <w:rFonts w:ascii="Times New Roman" w:eastAsia="Times New Roman" w:hAnsi="Times New Roman" w:cs="Times New Roman"/>
                <w:b/>
                <w:bCs/>
                <w:color w:val="000000"/>
                <w:sz w:val="20"/>
                <w:szCs w:val="20"/>
              </w:rPr>
              <w:t>2009</w:t>
            </w:r>
          </w:p>
        </w:tc>
        <w:tc>
          <w:tcPr>
            <w:tcW w:w="1166" w:type="dxa"/>
            <w:tcBorders>
              <w:top w:val="single" w:sz="4" w:space="0" w:color="auto"/>
              <w:left w:val="nil"/>
              <w:bottom w:val="single" w:sz="4" w:space="0" w:color="auto"/>
              <w:right w:val="nil"/>
            </w:tcBorders>
            <w:shd w:val="clear" w:color="000000" w:fill="D9D9D9"/>
            <w:vAlign w:val="center"/>
            <w:hideMark/>
          </w:tcPr>
          <w:p w:rsidR="009A5240" w:rsidRPr="008A02A4" w:rsidRDefault="009A5240" w:rsidP="009A5240">
            <w:pPr>
              <w:spacing w:after="0" w:line="240" w:lineRule="auto"/>
              <w:jc w:val="right"/>
              <w:rPr>
                <w:rFonts w:ascii="Times New Roman" w:eastAsia="Times New Roman" w:hAnsi="Times New Roman" w:cs="Times New Roman"/>
                <w:b/>
                <w:bCs/>
                <w:color w:val="000000"/>
                <w:sz w:val="20"/>
                <w:szCs w:val="20"/>
              </w:rPr>
            </w:pPr>
            <w:r w:rsidRPr="008A02A4">
              <w:rPr>
                <w:rFonts w:ascii="Times New Roman" w:eastAsia="Times New Roman" w:hAnsi="Times New Roman" w:cs="Times New Roman"/>
                <w:b/>
                <w:bCs/>
                <w:color w:val="000000"/>
                <w:sz w:val="20"/>
                <w:szCs w:val="20"/>
              </w:rPr>
              <w:t>2010</w:t>
            </w:r>
          </w:p>
        </w:tc>
        <w:tc>
          <w:tcPr>
            <w:tcW w:w="1134" w:type="dxa"/>
            <w:tcBorders>
              <w:top w:val="single" w:sz="4" w:space="0" w:color="auto"/>
              <w:left w:val="nil"/>
              <w:bottom w:val="single" w:sz="4" w:space="0" w:color="auto"/>
              <w:right w:val="nil"/>
            </w:tcBorders>
            <w:shd w:val="clear" w:color="000000" w:fill="D9D9D9"/>
            <w:vAlign w:val="center"/>
            <w:hideMark/>
          </w:tcPr>
          <w:p w:rsidR="009A5240" w:rsidRPr="008A02A4" w:rsidRDefault="009A5240" w:rsidP="009A5240">
            <w:pPr>
              <w:spacing w:after="0" w:line="240" w:lineRule="auto"/>
              <w:jc w:val="right"/>
              <w:rPr>
                <w:rFonts w:ascii="Times New Roman" w:eastAsia="Times New Roman" w:hAnsi="Times New Roman" w:cs="Times New Roman"/>
                <w:b/>
                <w:bCs/>
                <w:color w:val="000000"/>
                <w:sz w:val="20"/>
                <w:szCs w:val="20"/>
              </w:rPr>
            </w:pPr>
            <w:r w:rsidRPr="008A02A4">
              <w:rPr>
                <w:rFonts w:ascii="Times New Roman" w:eastAsia="Times New Roman" w:hAnsi="Times New Roman" w:cs="Times New Roman"/>
                <w:b/>
                <w:bCs/>
                <w:color w:val="000000"/>
                <w:sz w:val="20"/>
                <w:szCs w:val="20"/>
              </w:rPr>
              <w:t>2011</w:t>
            </w:r>
          </w:p>
        </w:tc>
      </w:tr>
      <w:tr w:rsidR="009A5240" w:rsidRPr="008A02A4" w:rsidTr="009A5240">
        <w:trPr>
          <w:trHeight w:val="300"/>
        </w:trPr>
        <w:tc>
          <w:tcPr>
            <w:tcW w:w="4111" w:type="dxa"/>
            <w:tcBorders>
              <w:top w:val="nil"/>
              <w:left w:val="nil"/>
              <w:bottom w:val="nil"/>
              <w:right w:val="single" w:sz="4" w:space="0" w:color="auto"/>
            </w:tcBorders>
            <w:shd w:val="clear" w:color="auto" w:fill="auto"/>
            <w:noWrap/>
            <w:vAlign w:val="bottom"/>
            <w:hideMark/>
          </w:tcPr>
          <w:p w:rsidR="009A5240" w:rsidRPr="008A02A4" w:rsidRDefault="009A5240" w:rsidP="009A5240">
            <w:pPr>
              <w:spacing w:after="0" w:line="240" w:lineRule="auto"/>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Domáci trh (vrátane vlastnej spotreby)</w:t>
            </w:r>
          </w:p>
        </w:tc>
        <w:tc>
          <w:tcPr>
            <w:tcW w:w="960" w:type="dxa"/>
            <w:tcBorders>
              <w:top w:val="nil"/>
              <w:left w:val="nil"/>
              <w:bottom w:val="nil"/>
              <w:right w:val="nil"/>
            </w:tcBorders>
            <w:shd w:val="clear" w:color="auto" w:fill="auto"/>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5 022,00</w:t>
            </w:r>
          </w:p>
        </w:tc>
        <w:tc>
          <w:tcPr>
            <w:tcW w:w="1308" w:type="dxa"/>
            <w:tcBorders>
              <w:top w:val="nil"/>
              <w:left w:val="nil"/>
              <w:bottom w:val="nil"/>
              <w:right w:val="nil"/>
            </w:tcBorders>
            <w:shd w:val="clear" w:color="auto" w:fill="auto"/>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3 052,21</w:t>
            </w:r>
          </w:p>
        </w:tc>
        <w:tc>
          <w:tcPr>
            <w:tcW w:w="1134" w:type="dxa"/>
            <w:tcBorders>
              <w:top w:val="nil"/>
              <w:left w:val="nil"/>
              <w:bottom w:val="nil"/>
              <w:right w:val="nil"/>
            </w:tcBorders>
            <w:shd w:val="clear" w:color="auto" w:fill="auto"/>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3 751,55</w:t>
            </w:r>
          </w:p>
        </w:tc>
        <w:tc>
          <w:tcPr>
            <w:tcW w:w="1134" w:type="dxa"/>
            <w:tcBorders>
              <w:top w:val="nil"/>
              <w:left w:val="nil"/>
              <w:bottom w:val="nil"/>
              <w:right w:val="nil"/>
            </w:tcBorders>
            <w:shd w:val="clear" w:color="auto" w:fill="auto"/>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2 917,08</w:t>
            </w:r>
          </w:p>
        </w:tc>
        <w:tc>
          <w:tcPr>
            <w:tcW w:w="960" w:type="dxa"/>
            <w:tcBorders>
              <w:top w:val="nil"/>
              <w:left w:val="nil"/>
              <w:bottom w:val="nil"/>
              <w:right w:val="nil"/>
            </w:tcBorders>
            <w:shd w:val="clear" w:color="auto" w:fill="auto"/>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2 907,09</w:t>
            </w:r>
          </w:p>
        </w:tc>
        <w:tc>
          <w:tcPr>
            <w:tcW w:w="960" w:type="dxa"/>
            <w:tcBorders>
              <w:top w:val="nil"/>
              <w:left w:val="nil"/>
              <w:bottom w:val="nil"/>
              <w:right w:val="nil"/>
            </w:tcBorders>
            <w:shd w:val="clear" w:color="auto" w:fill="auto"/>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7 846,75</w:t>
            </w:r>
          </w:p>
        </w:tc>
        <w:tc>
          <w:tcPr>
            <w:tcW w:w="1199" w:type="dxa"/>
            <w:tcBorders>
              <w:top w:val="nil"/>
              <w:left w:val="nil"/>
              <w:bottom w:val="nil"/>
              <w:right w:val="nil"/>
            </w:tcBorders>
            <w:shd w:val="clear" w:color="auto" w:fill="auto"/>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8 913,79</w:t>
            </w:r>
          </w:p>
        </w:tc>
        <w:tc>
          <w:tcPr>
            <w:tcW w:w="960" w:type="dxa"/>
            <w:tcBorders>
              <w:top w:val="nil"/>
              <w:left w:val="nil"/>
              <w:bottom w:val="nil"/>
              <w:right w:val="nil"/>
            </w:tcBorders>
            <w:shd w:val="clear" w:color="auto" w:fill="auto"/>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8 404,85</w:t>
            </w:r>
          </w:p>
        </w:tc>
        <w:tc>
          <w:tcPr>
            <w:tcW w:w="1166" w:type="dxa"/>
            <w:tcBorders>
              <w:top w:val="nil"/>
              <w:left w:val="nil"/>
              <w:bottom w:val="nil"/>
              <w:right w:val="nil"/>
            </w:tcBorders>
            <w:shd w:val="clear" w:color="auto" w:fill="auto"/>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8 916,37</w:t>
            </w:r>
          </w:p>
        </w:tc>
        <w:tc>
          <w:tcPr>
            <w:tcW w:w="1134" w:type="dxa"/>
            <w:tcBorders>
              <w:top w:val="nil"/>
              <w:left w:val="nil"/>
              <w:bottom w:val="nil"/>
              <w:right w:val="nil"/>
            </w:tcBorders>
            <w:shd w:val="clear" w:color="auto" w:fill="auto"/>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8 827,68</w:t>
            </w:r>
          </w:p>
        </w:tc>
      </w:tr>
      <w:tr w:rsidR="009A5240" w:rsidRPr="008A02A4" w:rsidTr="009A5240">
        <w:trPr>
          <w:trHeight w:val="300"/>
        </w:trPr>
        <w:tc>
          <w:tcPr>
            <w:tcW w:w="4111" w:type="dxa"/>
            <w:tcBorders>
              <w:top w:val="nil"/>
              <w:left w:val="nil"/>
              <w:bottom w:val="single" w:sz="4" w:space="0" w:color="auto"/>
              <w:right w:val="single" w:sz="4" w:space="0" w:color="auto"/>
            </w:tcBorders>
            <w:shd w:val="clear" w:color="000000" w:fill="F2F2F2"/>
            <w:noWrap/>
            <w:vAlign w:val="bottom"/>
            <w:hideMark/>
          </w:tcPr>
          <w:p w:rsidR="009A5240" w:rsidRPr="008A02A4" w:rsidRDefault="009A5240" w:rsidP="009A5240">
            <w:pPr>
              <w:spacing w:after="0" w:line="240" w:lineRule="auto"/>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Vývoz</w:t>
            </w:r>
          </w:p>
        </w:tc>
        <w:tc>
          <w:tcPr>
            <w:tcW w:w="960" w:type="dxa"/>
            <w:tcBorders>
              <w:top w:val="nil"/>
              <w:left w:val="nil"/>
              <w:bottom w:val="single" w:sz="4" w:space="0" w:color="auto"/>
              <w:right w:val="nil"/>
            </w:tcBorders>
            <w:shd w:val="clear" w:color="000000" w:fill="F2F2F2"/>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634,00</w:t>
            </w:r>
          </w:p>
        </w:tc>
        <w:tc>
          <w:tcPr>
            <w:tcW w:w="1308" w:type="dxa"/>
            <w:tcBorders>
              <w:top w:val="nil"/>
              <w:left w:val="nil"/>
              <w:bottom w:val="single" w:sz="4" w:space="0" w:color="auto"/>
              <w:right w:val="nil"/>
            </w:tcBorders>
            <w:shd w:val="clear" w:color="000000" w:fill="F2F2F2"/>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322,92</w:t>
            </w:r>
          </w:p>
        </w:tc>
        <w:tc>
          <w:tcPr>
            <w:tcW w:w="1134" w:type="dxa"/>
            <w:tcBorders>
              <w:top w:val="nil"/>
              <w:left w:val="nil"/>
              <w:bottom w:val="single" w:sz="4" w:space="0" w:color="auto"/>
              <w:right w:val="nil"/>
            </w:tcBorders>
            <w:shd w:val="clear" w:color="000000" w:fill="F2F2F2"/>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284,66</w:t>
            </w:r>
          </w:p>
        </w:tc>
        <w:tc>
          <w:tcPr>
            <w:tcW w:w="1134" w:type="dxa"/>
            <w:tcBorders>
              <w:top w:val="nil"/>
              <w:left w:val="nil"/>
              <w:bottom w:val="single" w:sz="4" w:space="0" w:color="auto"/>
              <w:right w:val="nil"/>
            </w:tcBorders>
            <w:shd w:val="clear" w:color="000000" w:fill="F2F2F2"/>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160,48</w:t>
            </w:r>
          </w:p>
        </w:tc>
        <w:tc>
          <w:tcPr>
            <w:tcW w:w="960" w:type="dxa"/>
            <w:tcBorders>
              <w:top w:val="nil"/>
              <w:left w:val="nil"/>
              <w:bottom w:val="single" w:sz="4" w:space="0" w:color="auto"/>
              <w:right w:val="nil"/>
            </w:tcBorders>
            <w:shd w:val="clear" w:color="000000" w:fill="F2F2F2"/>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166,99</w:t>
            </w:r>
          </w:p>
        </w:tc>
        <w:tc>
          <w:tcPr>
            <w:tcW w:w="960" w:type="dxa"/>
            <w:tcBorders>
              <w:top w:val="nil"/>
              <w:left w:val="nil"/>
              <w:bottom w:val="single" w:sz="4" w:space="0" w:color="auto"/>
              <w:right w:val="nil"/>
            </w:tcBorders>
            <w:shd w:val="clear" w:color="000000" w:fill="F2F2F2"/>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284,73</w:t>
            </w:r>
          </w:p>
        </w:tc>
        <w:tc>
          <w:tcPr>
            <w:tcW w:w="1199" w:type="dxa"/>
            <w:tcBorders>
              <w:top w:val="nil"/>
              <w:left w:val="nil"/>
              <w:bottom w:val="single" w:sz="4" w:space="0" w:color="auto"/>
              <w:right w:val="nil"/>
            </w:tcBorders>
            <w:shd w:val="clear" w:color="000000" w:fill="F2F2F2"/>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354,76</w:t>
            </w:r>
          </w:p>
        </w:tc>
        <w:tc>
          <w:tcPr>
            <w:tcW w:w="960" w:type="dxa"/>
            <w:tcBorders>
              <w:top w:val="nil"/>
              <w:left w:val="nil"/>
              <w:bottom w:val="single" w:sz="4" w:space="0" w:color="auto"/>
              <w:right w:val="nil"/>
            </w:tcBorders>
            <w:shd w:val="clear" w:color="000000" w:fill="F2F2F2"/>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682,14</w:t>
            </w:r>
          </w:p>
        </w:tc>
        <w:tc>
          <w:tcPr>
            <w:tcW w:w="1166" w:type="dxa"/>
            <w:tcBorders>
              <w:top w:val="nil"/>
              <w:left w:val="nil"/>
              <w:bottom w:val="single" w:sz="4" w:space="0" w:color="auto"/>
              <w:right w:val="nil"/>
            </w:tcBorders>
            <w:shd w:val="clear" w:color="000000" w:fill="F2F2F2"/>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682,70</w:t>
            </w:r>
          </w:p>
        </w:tc>
        <w:tc>
          <w:tcPr>
            <w:tcW w:w="1134" w:type="dxa"/>
            <w:tcBorders>
              <w:top w:val="nil"/>
              <w:left w:val="nil"/>
              <w:bottom w:val="single" w:sz="4" w:space="0" w:color="auto"/>
              <w:right w:val="nil"/>
            </w:tcBorders>
            <w:shd w:val="clear" w:color="000000" w:fill="F2F2F2"/>
            <w:noWrap/>
            <w:vAlign w:val="bottom"/>
            <w:hideMark/>
          </w:tcPr>
          <w:p w:rsidR="009A5240" w:rsidRPr="008A02A4" w:rsidRDefault="009A5240" w:rsidP="009A5240">
            <w:pPr>
              <w:spacing w:after="0" w:line="240" w:lineRule="auto"/>
              <w:jc w:val="right"/>
              <w:rPr>
                <w:rFonts w:ascii="Times New Roman" w:eastAsia="Times New Roman" w:hAnsi="Times New Roman" w:cs="Times New Roman"/>
                <w:color w:val="000000"/>
                <w:sz w:val="20"/>
                <w:szCs w:val="20"/>
              </w:rPr>
            </w:pPr>
            <w:r w:rsidRPr="008A02A4">
              <w:rPr>
                <w:rFonts w:ascii="Times New Roman" w:eastAsia="Times New Roman" w:hAnsi="Times New Roman" w:cs="Times New Roman"/>
                <w:color w:val="000000"/>
                <w:sz w:val="20"/>
                <w:szCs w:val="20"/>
              </w:rPr>
              <w:t>385,23</w:t>
            </w:r>
          </w:p>
        </w:tc>
      </w:tr>
    </w:tbl>
    <w:p w:rsidR="009A5240" w:rsidRPr="00D86A54" w:rsidRDefault="009A5240" w:rsidP="00D86A54">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 xml:space="preserve">Zdroj: </w:t>
      </w:r>
      <w:r w:rsidR="00D86A54">
        <w:rPr>
          <w:rFonts w:ascii="Times New Roman" w:hAnsi="Times New Roman" w:cs="Times New Roman"/>
          <w:sz w:val="20"/>
          <w:szCs w:val="20"/>
        </w:rPr>
        <w:t>NLC-ÚLZI Zvolen</w:t>
      </w:r>
    </w:p>
    <w:p w:rsidR="009A5240" w:rsidRPr="00D86A54" w:rsidRDefault="009A5240" w:rsidP="00D86A54">
      <w:pPr>
        <w:spacing w:after="0" w:line="240" w:lineRule="auto"/>
        <w:ind w:left="-567"/>
        <w:rPr>
          <w:rFonts w:ascii="Times New Roman" w:hAnsi="Times New Roman" w:cs="Times New Roman"/>
          <w:b/>
          <w:sz w:val="20"/>
          <w:szCs w:val="20"/>
        </w:rPr>
      </w:pPr>
      <w:r w:rsidRPr="00D86A54">
        <w:rPr>
          <w:rFonts w:ascii="Times New Roman" w:hAnsi="Times New Roman" w:cs="Times New Roman"/>
          <w:b/>
          <w:sz w:val="20"/>
          <w:szCs w:val="20"/>
        </w:rPr>
        <w:t>Príloha č. 23: Štruktúra vlastníctva lesov</w:t>
      </w:r>
    </w:p>
    <w:tbl>
      <w:tblPr>
        <w:tblW w:w="15026" w:type="dxa"/>
        <w:tblInd w:w="-497" w:type="dxa"/>
        <w:tblCellMar>
          <w:left w:w="70" w:type="dxa"/>
          <w:right w:w="70" w:type="dxa"/>
        </w:tblCellMar>
        <w:tblLook w:val="04A0" w:firstRow="1" w:lastRow="0" w:firstColumn="1" w:lastColumn="0" w:noHBand="0" w:noVBand="1"/>
      </w:tblPr>
      <w:tblGrid>
        <w:gridCol w:w="891"/>
        <w:gridCol w:w="3003"/>
        <w:gridCol w:w="1668"/>
        <w:gridCol w:w="1249"/>
        <w:gridCol w:w="1799"/>
        <w:gridCol w:w="955"/>
        <w:gridCol w:w="1893"/>
        <w:gridCol w:w="931"/>
        <w:gridCol w:w="1397"/>
        <w:gridCol w:w="1240"/>
      </w:tblGrid>
      <w:tr w:rsidR="009A5240" w:rsidRPr="004A45CB" w:rsidTr="00D86A54">
        <w:trPr>
          <w:trHeight w:val="510"/>
        </w:trPr>
        <w:tc>
          <w:tcPr>
            <w:tcW w:w="891" w:type="dxa"/>
            <w:tcBorders>
              <w:top w:val="single" w:sz="4" w:space="0" w:color="auto"/>
              <w:left w:val="nil"/>
              <w:bottom w:val="nil"/>
              <w:right w:val="nil"/>
            </w:tcBorders>
            <w:shd w:val="clear" w:color="000000" w:fill="D9D9D9"/>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 </w:t>
            </w:r>
          </w:p>
        </w:tc>
        <w:tc>
          <w:tcPr>
            <w:tcW w:w="3003" w:type="dxa"/>
            <w:tcBorders>
              <w:top w:val="single" w:sz="4" w:space="0" w:color="auto"/>
              <w:left w:val="nil"/>
              <w:bottom w:val="nil"/>
              <w:right w:val="single" w:sz="4" w:space="0" w:color="auto"/>
            </w:tcBorders>
            <w:shd w:val="clear" w:color="000000" w:fill="D9D9D9"/>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 </w:t>
            </w:r>
          </w:p>
        </w:tc>
        <w:tc>
          <w:tcPr>
            <w:tcW w:w="1668" w:type="dxa"/>
            <w:tcBorders>
              <w:top w:val="single" w:sz="4" w:space="0" w:color="auto"/>
              <w:left w:val="nil"/>
              <w:bottom w:val="nil"/>
              <w:right w:val="nil"/>
            </w:tcBorders>
            <w:shd w:val="clear" w:color="000000" w:fill="D9D9D9"/>
            <w:vAlign w:val="center"/>
            <w:hideMark/>
          </w:tcPr>
          <w:p w:rsidR="009A5240" w:rsidRPr="004A45CB" w:rsidRDefault="009A5240" w:rsidP="009A5240">
            <w:pPr>
              <w:spacing w:after="0" w:line="240" w:lineRule="auto"/>
              <w:jc w:val="center"/>
              <w:rPr>
                <w:rFonts w:ascii="Times New Roman" w:eastAsia="Times New Roman" w:hAnsi="Times New Roman" w:cs="Times New Roman"/>
                <w:b/>
                <w:bCs/>
                <w:color w:val="000000"/>
                <w:sz w:val="20"/>
                <w:szCs w:val="20"/>
              </w:rPr>
            </w:pPr>
            <w:r w:rsidRPr="004A45CB">
              <w:rPr>
                <w:rFonts w:ascii="Times New Roman" w:eastAsia="Times New Roman" w:hAnsi="Times New Roman" w:cs="Times New Roman"/>
                <w:b/>
                <w:bCs/>
                <w:color w:val="000000"/>
                <w:sz w:val="20"/>
                <w:szCs w:val="20"/>
              </w:rPr>
              <w:t>Štátne</w:t>
            </w:r>
          </w:p>
        </w:tc>
        <w:tc>
          <w:tcPr>
            <w:tcW w:w="1249" w:type="dxa"/>
            <w:tcBorders>
              <w:top w:val="single" w:sz="4" w:space="0" w:color="auto"/>
              <w:left w:val="nil"/>
              <w:bottom w:val="nil"/>
              <w:right w:val="nil"/>
            </w:tcBorders>
            <w:shd w:val="clear" w:color="000000" w:fill="D9D9D9"/>
            <w:vAlign w:val="center"/>
            <w:hideMark/>
          </w:tcPr>
          <w:p w:rsidR="009A5240" w:rsidRPr="004A45CB" w:rsidRDefault="009A5240" w:rsidP="009A5240">
            <w:pPr>
              <w:spacing w:after="0" w:line="240" w:lineRule="auto"/>
              <w:jc w:val="center"/>
              <w:rPr>
                <w:rFonts w:ascii="Times New Roman" w:eastAsia="Times New Roman" w:hAnsi="Times New Roman" w:cs="Times New Roman"/>
                <w:b/>
                <w:bCs/>
                <w:color w:val="000000"/>
                <w:sz w:val="20"/>
                <w:szCs w:val="20"/>
              </w:rPr>
            </w:pPr>
            <w:r w:rsidRPr="004A45CB">
              <w:rPr>
                <w:rFonts w:ascii="Times New Roman" w:eastAsia="Times New Roman" w:hAnsi="Times New Roman" w:cs="Times New Roman"/>
                <w:b/>
                <w:bCs/>
                <w:color w:val="000000"/>
                <w:sz w:val="20"/>
                <w:szCs w:val="20"/>
              </w:rPr>
              <w:t>Súkromné</w:t>
            </w:r>
          </w:p>
        </w:tc>
        <w:tc>
          <w:tcPr>
            <w:tcW w:w="1799" w:type="dxa"/>
            <w:tcBorders>
              <w:top w:val="single" w:sz="4" w:space="0" w:color="auto"/>
              <w:left w:val="nil"/>
              <w:bottom w:val="nil"/>
              <w:right w:val="nil"/>
            </w:tcBorders>
            <w:shd w:val="clear" w:color="000000" w:fill="D9D9D9"/>
            <w:vAlign w:val="center"/>
            <w:hideMark/>
          </w:tcPr>
          <w:p w:rsidR="009A5240" w:rsidRPr="004A45CB" w:rsidRDefault="009A5240" w:rsidP="009A5240">
            <w:pPr>
              <w:spacing w:after="0" w:line="240" w:lineRule="auto"/>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Spoločen</w:t>
            </w:r>
            <w:r w:rsidRPr="004A45CB">
              <w:rPr>
                <w:rFonts w:ascii="Times New Roman" w:eastAsia="Times New Roman" w:hAnsi="Times New Roman" w:cs="Times New Roman"/>
                <w:b/>
                <w:bCs/>
                <w:color w:val="000000"/>
                <w:sz w:val="20"/>
                <w:szCs w:val="20"/>
              </w:rPr>
              <w:t>stevné</w:t>
            </w:r>
            <w:proofErr w:type="spellEnd"/>
          </w:p>
        </w:tc>
        <w:tc>
          <w:tcPr>
            <w:tcW w:w="955" w:type="dxa"/>
            <w:tcBorders>
              <w:top w:val="single" w:sz="4" w:space="0" w:color="auto"/>
              <w:left w:val="nil"/>
              <w:bottom w:val="nil"/>
              <w:right w:val="nil"/>
            </w:tcBorders>
            <w:shd w:val="clear" w:color="000000" w:fill="D9D9D9"/>
            <w:vAlign w:val="center"/>
            <w:hideMark/>
          </w:tcPr>
          <w:p w:rsidR="009A5240" w:rsidRPr="004A45CB" w:rsidRDefault="009A5240" w:rsidP="009A5240">
            <w:pPr>
              <w:spacing w:after="0" w:line="240" w:lineRule="auto"/>
              <w:jc w:val="center"/>
              <w:rPr>
                <w:rFonts w:ascii="Times New Roman" w:eastAsia="Times New Roman" w:hAnsi="Times New Roman" w:cs="Times New Roman"/>
                <w:b/>
                <w:bCs/>
                <w:color w:val="000000"/>
                <w:sz w:val="20"/>
                <w:szCs w:val="20"/>
              </w:rPr>
            </w:pPr>
            <w:r w:rsidRPr="004A45CB">
              <w:rPr>
                <w:rFonts w:ascii="Times New Roman" w:eastAsia="Times New Roman" w:hAnsi="Times New Roman" w:cs="Times New Roman"/>
                <w:b/>
                <w:bCs/>
                <w:color w:val="000000"/>
                <w:sz w:val="20"/>
                <w:szCs w:val="20"/>
              </w:rPr>
              <w:t>Cirkevné</w:t>
            </w:r>
          </w:p>
        </w:tc>
        <w:tc>
          <w:tcPr>
            <w:tcW w:w="1893" w:type="dxa"/>
            <w:tcBorders>
              <w:top w:val="single" w:sz="4" w:space="0" w:color="auto"/>
              <w:left w:val="nil"/>
              <w:bottom w:val="nil"/>
              <w:right w:val="nil"/>
            </w:tcBorders>
            <w:shd w:val="clear" w:color="000000" w:fill="D9D9D9"/>
            <w:vAlign w:val="center"/>
            <w:hideMark/>
          </w:tcPr>
          <w:p w:rsidR="009A5240" w:rsidRPr="004A45CB" w:rsidRDefault="009A5240" w:rsidP="009A5240">
            <w:pPr>
              <w:spacing w:after="0" w:line="240" w:lineRule="auto"/>
              <w:jc w:val="center"/>
              <w:rPr>
                <w:rFonts w:ascii="Times New Roman" w:eastAsia="Times New Roman" w:hAnsi="Times New Roman" w:cs="Times New Roman"/>
                <w:b/>
                <w:bCs/>
                <w:color w:val="000000"/>
                <w:sz w:val="20"/>
                <w:szCs w:val="20"/>
              </w:rPr>
            </w:pPr>
            <w:proofErr w:type="spellStart"/>
            <w:r w:rsidRPr="004A45CB">
              <w:rPr>
                <w:rFonts w:ascii="Times New Roman" w:eastAsia="Times New Roman" w:hAnsi="Times New Roman" w:cs="Times New Roman"/>
                <w:b/>
                <w:bCs/>
                <w:color w:val="000000"/>
                <w:sz w:val="20"/>
                <w:szCs w:val="20"/>
              </w:rPr>
              <w:t>Poľnoh</w:t>
            </w:r>
            <w:proofErr w:type="spellEnd"/>
            <w:r w:rsidRPr="004A45CB">
              <w:rPr>
                <w:rFonts w:ascii="Times New Roman" w:eastAsia="Times New Roman" w:hAnsi="Times New Roman" w:cs="Times New Roman"/>
                <w:b/>
                <w:bCs/>
                <w:color w:val="000000"/>
                <w:sz w:val="20"/>
                <w:szCs w:val="20"/>
              </w:rPr>
              <w:t>. družstvá</w:t>
            </w:r>
          </w:p>
        </w:tc>
        <w:tc>
          <w:tcPr>
            <w:tcW w:w="931" w:type="dxa"/>
            <w:tcBorders>
              <w:top w:val="single" w:sz="4" w:space="0" w:color="auto"/>
              <w:left w:val="nil"/>
              <w:bottom w:val="nil"/>
              <w:right w:val="nil"/>
            </w:tcBorders>
            <w:shd w:val="clear" w:color="000000" w:fill="D9D9D9"/>
            <w:vAlign w:val="center"/>
            <w:hideMark/>
          </w:tcPr>
          <w:p w:rsidR="009A5240" w:rsidRPr="004A45CB" w:rsidRDefault="009A5240" w:rsidP="009A5240">
            <w:pPr>
              <w:spacing w:after="0" w:line="240" w:lineRule="auto"/>
              <w:jc w:val="center"/>
              <w:rPr>
                <w:rFonts w:ascii="Times New Roman" w:eastAsia="Times New Roman" w:hAnsi="Times New Roman" w:cs="Times New Roman"/>
                <w:b/>
                <w:bCs/>
                <w:color w:val="000000"/>
                <w:sz w:val="20"/>
                <w:szCs w:val="20"/>
              </w:rPr>
            </w:pPr>
            <w:r w:rsidRPr="004A45CB">
              <w:rPr>
                <w:rFonts w:ascii="Times New Roman" w:eastAsia="Times New Roman" w:hAnsi="Times New Roman" w:cs="Times New Roman"/>
                <w:b/>
                <w:bCs/>
                <w:color w:val="000000"/>
                <w:sz w:val="20"/>
                <w:szCs w:val="20"/>
              </w:rPr>
              <w:t>Obecné</w:t>
            </w:r>
          </w:p>
        </w:tc>
        <w:tc>
          <w:tcPr>
            <w:tcW w:w="1397" w:type="dxa"/>
            <w:tcBorders>
              <w:top w:val="single" w:sz="4" w:space="0" w:color="auto"/>
              <w:left w:val="nil"/>
              <w:bottom w:val="nil"/>
              <w:right w:val="nil"/>
            </w:tcBorders>
            <w:shd w:val="clear" w:color="000000" w:fill="D9D9D9"/>
            <w:vAlign w:val="center"/>
            <w:hideMark/>
          </w:tcPr>
          <w:p w:rsidR="009A5240" w:rsidRPr="004A45CB" w:rsidRDefault="009A5240" w:rsidP="009A5240">
            <w:pPr>
              <w:spacing w:after="0" w:line="240" w:lineRule="auto"/>
              <w:jc w:val="center"/>
              <w:rPr>
                <w:rFonts w:ascii="Times New Roman" w:eastAsia="Times New Roman" w:hAnsi="Times New Roman" w:cs="Times New Roman"/>
                <w:b/>
                <w:bCs/>
                <w:color w:val="000000"/>
                <w:sz w:val="20"/>
                <w:szCs w:val="20"/>
              </w:rPr>
            </w:pPr>
            <w:r w:rsidRPr="004A45CB">
              <w:rPr>
                <w:rFonts w:ascii="Times New Roman" w:eastAsia="Times New Roman" w:hAnsi="Times New Roman" w:cs="Times New Roman"/>
                <w:b/>
                <w:bCs/>
                <w:color w:val="000000"/>
                <w:sz w:val="20"/>
                <w:szCs w:val="20"/>
              </w:rPr>
              <w:t>Neštátne spolu</w:t>
            </w:r>
          </w:p>
        </w:tc>
        <w:tc>
          <w:tcPr>
            <w:tcW w:w="1240" w:type="dxa"/>
            <w:tcBorders>
              <w:top w:val="single" w:sz="4" w:space="0" w:color="auto"/>
              <w:left w:val="nil"/>
              <w:bottom w:val="nil"/>
              <w:right w:val="nil"/>
            </w:tcBorders>
            <w:shd w:val="clear" w:color="000000" w:fill="D9D9D9"/>
            <w:vAlign w:val="center"/>
            <w:hideMark/>
          </w:tcPr>
          <w:p w:rsidR="009A5240" w:rsidRPr="004A45CB" w:rsidRDefault="009A5240" w:rsidP="009A5240">
            <w:pPr>
              <w:spacing w:after="0" w:line="240" w:lineRule="auto"/>
              <w:jc w:val="center"/>
              <w:rPr>
                <w:rFonts w:ascii="Times New Roman" w:eastAsia="Times New Roman" w:hAnsi="Times New Roman" w:cs="Times New Roman"/>
                <w:b/>
                <w:bCs/>
                <w:color w:val="000000"/>
                <w:sz w:val="20"/>
                <w:szCs w:val="20"/>
              </w:rPr>
            </w:pPr>
            <w:r w:rsidRPr="004A45CB">
              <w:rPr>
                <w:rFonts w:ascii="Times New Roman" w:eastAsia="Times New Roman" w:hAnsi="Times New Roman" w:cs="Times New Roman"/>
                <w:b/>
                <w:bCs/>
                <w:color w:val="000000"/>
                <w:sz w:val="20"/>
                <w:szCs w:val="20"/>
              </w:rPr>
              <w:t>Nezistené</w:t>
            </w:r>
          </w:p>
        </w:tc>
      </w:tr>
      <w:tr w:rsidR="009A5240" w:rsidRPr="004A45CB" w:rsidTr="009A5240">
        <w:trPr>
          <w:trHeight w:val="300"/>
        </w:trPr>
        <w:tc>
          <w:tcPr>
            <w:tcW w:w="891" w:type="dxa"/>
            <w:tcBorders>
              <w:top w:val="nil"/>
              <w:left w:val="nil"/>
              <w:bottom w:val="single" w:sz="4" w:space="0" w:color="auto"/>
              <w:right w:val="nil"/>
            </w:tcBorders>
            <w:shd w:val="clear" w:color="000000" w:fill="D9D9D9"/>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 </w:t>
            </w:r>
          </w:p>
        </w:tc>
        <w:tc>
          <w:tcPr>
            <w:tcW w:w="3003" w:type="dxa"/>
            <w:tcBorders>
              <w:top w:val="nil"/>
              <w:left w:val="nil"/>
              <w:bottom w:val="single" w:sz="4" w:space="0" w:color="auto"/>
              <w:right w:val="single" w:sz="4" w:space="0" w:color="auto"/>
            </w:tcBorders>
            <w:shd w:val="clear" w:color="000000" w:fill="D9D9D9"/>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 </w:t>
            </w:r>
          </w:p>
        </w:tc>
        <w:tc>
          <w:tcPr>
            <w:tcW w:w="11132" w:type="dxa"/>
            <w:gridSpan w:val="8"/>
            <w:tcBorders>
              <w:top w:val="nil"/>
              <w:left w:val="nil"/>
              <w:bottom w:val="single" w:sz="4" w:space="0" w:color="auto"/>
              <w:right w:val="nil"/>
            </w:tcBorders>
            <w:shd w:val="clear" w:color="000000" w:fill="D9D9D9"/>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Porastová pôda (%) vo vlastníctve / v obhospodarovaní</w:t>
            </w:r>
          </w:p>
        </w:tc>
      </w:tr>
      <w:tr w:rsidR="009A5240" w:rsidRPr="004A45CB" w:rsidTr="009A5240">
        <w:trPr>
          <w:trHeight w:val="300"/>
        </w:trPr>
        <w:tc>
          <w:tcPr>
            <w:tcW w:w="891" w:type="dxa"/>
            <w:vMerge w:val="restart"/>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2011</w:t>
            </w:r>
          </w:p>
        </w:tc>
        <w:tc>
          <w:tcPr>
            <w:tcW w:w="3003" w:type="dxa"/>
            <w:tcBorders>
              <w:top w:val="nil"/>
              <w:left w:val="nil"/>
              <w:bottom w:val="nil"/>
              <w:right w:val="single" w:sz="4" w:space="0" w:color="auto"/>
            </w:tcBorders>
            <w:shd w:val="clear" w:color="auto" w:fill="auto"/>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vlastníctvo</w:t>
            </w:r>
          </w:p>
        </w:tc>
        <w:tc>
          <w:tcPr>
            <w:tcW w:w="1668"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40,8</w:t>
            </w:r>
          </w:p>
        </w:tc>
        <w:tc>
          <w:tcPr>
            <w:tcW w:w="1249"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11,3</w:t>
            </w:r>
          </w:p>
        </w:tc>
        <w:tc>
          <w:tcPr>
            <w:tcW w:w="1799"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24,5</w:t>
            </w:r>
          </w:p>
        </w:tc>
        <w:tc>
          <w:tcPr>
            <w:tcW w:w="955"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2,9</w:t>
            </w:r>
          </w:p>
        </w:tc>
        <w:tc>
          <w:tcPr>
            <w:tcW w:w="1893"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0,3</w:t>
            </w:r>
          </w:p>
        </w:tc>
        <w:tc>
          <w:tcPr>
            <w:tcW w:w="931"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9,4</w:t>
            </w:r>
          </w:p>
        </w:tc>
        <w:tc>
          <w:tcPr>
            <w:tcW w:w="1397"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48,3</w:t>
            </w:r>
          </w:p>
        </w:tc>
        <w:tc>
          <w:tcPr>
            <w:tcW w:w="1240"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10,9</w:t>
            </w:r>
          </w:p>
        </w:tc>
      </w:tr>
      <w:tr w:rsidR="009A5240" w:rsidRPr="004A45CB" w:rsidTr="009A5240">
        <w:trPr>
          <w:trHeight w:val="300"/>
        </w:trPr>
        <w:tc>
          <w:tcPr>
            <w:tcW w:w="891" w:type="dxa"/>
            <w:vMerge/>
            <w:tcBorders>
              <w:top w:val="nil"/>
              <w:left w:val="nil"/>
              <w:bottom w:val="nil"/>
              <w:right w:val="nil"/>
            </w:tcBorders>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p>
        </w:tc>
        <w:tc>
          <w:tcPr>
            <w:tcW w:w="3003" w:type="dxa"/>
            <w:tcBorders>
              <w:top w:val="nil"/>
              <w:left w:val="nil"/>
              <w:bottom w:val="nil"/>
              <w:right w:val="single" w:sz="4" w:space="0" w:color="auto"/>
            </w:tcBorders>
            <w:shd w:val="clear" w:color="auto" w:fill="auto"/>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obhospodarovanie</w:t>
            </w:r>
          </w:p>
        </w:tc>
        <w:tc>
          <w:tcPr>
            <w:tcW w:w="1668"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55,1</w:t>
            </w:r>
          </w:p>
        </w:tc>
        <w:tc>
          <w:tcPr>
            <w:tcW w:w="1249"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6,5</w:t>
            </w:r>
          </w:p>
        </w:tc>
        <w:tc>
          <w:tcPr>
            <w:tcW w:w="1799"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27,9</w:t>
            </w:r>
          </w:p>
        </w:tc>
        <w:tc>
          <w:tcPr>
            <w:tcW w:w="955"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1,3</w:t>
            </w:r>
          </w:p>
        </w:tc>
        <w:tc>
          <w:tcPr>
            <w:tcW w:w="1893"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0,3</w:t>
            </w:r>
          </w:p>
        </w:tc>
        <w:tc>
          <w:tcPr>
            <w:tcW w:w="931"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8,9</w:t>
            </w:r>
          </w:p>
        </w:tc>
        <w:tc>
          <w:tcPr>
            <w:tcW w:w="1397"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44,9</w:t>
            </w:r>
          </w:p>
        </w:tc>
        <w:tc>
          <w:tcPr>
            <w:tcW w:w="1240"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w:t>
            </w:r>
          </w:p>
        </w:tc>
      </w:tr>
      <w:tr w:rsidR="009A5240" w:rsidRPr="004A45CB" w:rsidTr="009A5240">
        <w:trPr>
          <w:trHeight w:val="300"/>
        </w:trPr>
        <w:tc>
          <w:tcPr>
            <w:tcW w:w="891" w:type="dxa"/>
            <w:vMerge w:val="restart"/>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2010</w:t>
            </w:r>
          </w:p>
        </w:tc>
        <w:tc>
          <w:tcPr>
            <w:tcW w:w="3003" w:type="dxa"/>
            <w:tcBorders>
              <w:top w:val="nil"/>
              <w:left w:val="nil"/>
              <w:bottom w:val="nil"/>
              <w:right w:val="single" w:sz="4" w:space="0" w:color="auto"/>
            </w:tcBorders>
            <w:shd w:val="clear" w:color="000000" w:fill="F2F2F2"/>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vlastníctvo</w:t>
            </w:r>
          </w:p>
        </w:tc>
        <w:tc>
          <w:tcPr>
            <w:tcW w:w="1668"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40,9</w:t>
            </w:r>
          </w:p>
        </w:tc>
        <w:tc>
          <w:tcPr>
            <w:tcW w:w="1249"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12,3</w:t>
            </w:r>
          </w:p>
        </w:tc>
        <w:tc>
          <w:tcPr>
            <w:tcW w:w="1799"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25</w:t>
            </w:r>
          </w:p>
        </w:tc>
        <w:tc>
          <w:tcPr>
            <w:tcW w:w="955"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2,9</w:t>
            </w:r>
          </w:p>
        </w:tc>
        <w:tc>
          <w:tcPr>
            <w:tcW w:w="1893"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0,3</w:t>
            </w:r>
          </w:p>
        </w:tc>
        <w:tc>
          <w:tcPr>
            <w:tcW w:w="931"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9,4</w:t>
            </w:r>
          </w:p>
        </w:tc>
        <w:tc>
          <w:tcPr>
            <w:tcW w:w="1397"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49,9</w:t>
            </w:r>
          </w:p>
        </w:tc>
        <w:tc>
          <w:tcPr>
            <w:tcW w:w="1240"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9,2</w:t>
            </w:r>
          </w:p>
        </w:tc>
      </w:tr>
      <w:tr w:rsidR="009A5240" w:rsidRPr="004A45CB" w:rsidTr="009A5240">
        <w:trPr>
          <w:trHeight w:val="300"/>
        </w:trPr>
        <w:tc>
          <w:tcPr>
            <w:tcW w:w="891" w:type="dxa"/>
            <w:vMerge/>
            <w:tcBorders>
              <w:top w:val="nil"/>
              <w:left w:val="nil"/>
              <w:bottom w:val="nil"/>
              <w:right w:val="nil"/>
            </w:tcBorders>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p>
        </w:tc>
        <w:tc>
          <w:tcPr>
            <w:tcW w:w="3003" w:type="dxa"/>
            <w:tcBorders>
              <w:top w:val="nil"/>
              <w:left w:val="nil"/>
              <w:bottom w:val="nil"/>
              <w:right w:val="single" w:sz="4" w:space="0" w:color="auto"/>
            </w:tcBorders>
            <w:shd w:val="clear" w:color="000000" w:fill="F2F2F2"/>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obhospodarovanie</w:t>
            </w:r>
          </w:p>
        </w:tc>
        <w:tc>
          <w:tcPr>
            <w:tcW w:w="1668"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55,4</w:t>
            </w:r>
          </w:p>
        </w:tc>
        <w:tc>
          <w:tcPr>
            <w:tcW w:w="1249"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6,4</w:t>
            </w:r>
          </w:p>
        </w:tc>
        <w:tc>
          <w:tcPr>
            <w:tcW w:w="1799"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27,4</w:t>
            </w:r>
          </w:p>
        </w:tc>
        <w:tc>
          <w:tcPr>
            <w:tcW w:w="955"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1,4</w:t>
            </w:r>
          </w:p>
        </w:tc>
        <w:tc>
          <w:tcPr>
            <w:tcW w:w="1893"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0,3</w:t>
            </w:r>
          </w:p>
        </w:tc>
        <w:tc>
          <w:tcPr>
            <w:tcW w:w="931"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9,1</w:t>
            </w:r>
          </w:p>
        </w:tc>
        <w:tc>
          <w:tcPr>
            <w:tcW w:w="1397"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45,6</w:t>
            </w:r>
          </w:p>
        </w:tc>
        <w:tc>
          <w:tcPr>
            <w:tcW w:w="1240"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w:t>
            </w:r>
          </w:p>
        </w:tc>
      </w:tr>
      <w:tr w:rsidR="009A5240" w:rsidRPr="004A45CB" w:rsidTr="009A5240">
        <w:trPr>
          <w:trHeight w:val="300"/>
        </w:trPr>
        <w:tc>
          <w:tcPr>
            <w:tcW w:w="891" w:type="dxa"/>
            <w:vMerge w:val="restart"/>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2009</w:t>
            </w:r>
          </w:p>
        </w:tc>
        <w:tc>
          <w:tcPr>
            <w:tcW w:w="3003" w:type="dxa"/>
            <w:tcBorders>
              <w:top w:val="nil"/>
              <w:left w:val="nil"/>
              <w:bottom w:val="nil"/>
              <w:right w:val="single" w:sz="4" w:space="0" w:color="auto"/>
            </w:tcBorders>
            <w:shd w:val="clear" w:color="auto" w:fill="auto"/>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vlastníctvo</w:t>
            </w:r>
          </w:p>
        </w:tc>
        <w:tc>
          <w:tcPr>
            <w:tcW w:w="1668"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40,9</w:t>
            </w:r>
          </w:p>
        </w:tc>
        <w:tc>
          <w:tcPr>
            <w:tcW w:w="1249"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13,4</w:t>
            </w:r>
          </w:p>
        </w:tc>
        <w:tc>
          <w:tcPr>
            <w:tcW w:w="1799"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26</w:t>
            </w:r>
          </w:p>
        </w:tc>
        <w:tc>
          <w:tcPr>
            <w:tcW w:w="955"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3</w:t>
            </w:r>
          </w:p>
        </w:tc>
        <w:tc>
          <w:tcPr>
            <w:tcW w:w="1893"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0,3</w:t>
            </w:r>
          </w:p>
        </w:tc>
        <w:tc>
          <w:tcPr>
            <w:tcW w:w="931"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9,7</w:t>
            </w:r>
          </w:p>
        </w:tc>
        <w:tc>
          <w:tcPr>
            <w:tcW w:w="1397"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52,4</w:t>
            </w:r>
          </w:p>
        </w:tc>
        <w:tc>
          <w:tcPr>
            <w:tcW w:w="1240"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6,7</w:t>
            </w:r>
          </w:p>
        </w:tc>
      </w:tr>
      <w:tr w:rsidR="009A5240" w:rsidRPr="004A45CB" w:rsidTr="009A5240">
        <w:trPr>
          <w:trHeight w:val="300"/>
        </w:trPr>
        <w:tc>
          <w:tcPr>
            <w:tcW w:w="891" w:type="dxa"/>
            <w:vMerge/>
            <w:tcBorders>
              <w:top w:val="nil"/>
              <w:left w:val="nil"/>
              <w:bottom w:val="nil"/>
              <w:right w:val="nil"/>
            </w:tcBorders>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p>
        </w:tc>
        <w:tc>
          <w:tcPr>
            <w:tcW w:w="3003" w:type="dxa"/>
            <w:tcBorders>
              <w:top w:val="nil"/>
              <w:left w:val="nil"/>
              <w:bottom w:val="nil"/>
              <w:right w:val="single" w:sz="4" w:space="0" w:color="auto"/>
            </w:tcBorders>
            <w:shd w:val="clear" w:color="auto" w:fill="auto"/>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obhospodarovanie</w:t>
            </w:r>
          </w:p>
        </w:tc>
        <w:tc>
          <w:tcPr>
            <w:tcW w:w="1668"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54,8</w:t>
            </w:r>
          </w:p>
        </w:tc>
        <w:tc>
          <w:tcPr>
            <w:tcW w:w="1249"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6,9</w:t>
            </w:r>
          </w:p>
        </w:tc>
        <w:tc>
          <w:tcPr>
            <w:tcW w:w="1799"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27,4</w:t>
            </w:r>
          </w:p>
        </w:tc>
        <w:tc>
          <w:tcPr>
            <w:tcW w:w="955"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1,6</w:t>
            </w:r>
          </w:p>
        </w:tc>
        <w:tc>
          <w:tcPr>
            <w:tcW w:w="1893"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0,3</w:t>
            </w:r>
          </w:p>
        </w:tc>
        <w:tc>
          <w:tcPr>
            <w:tcW w:w="931"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9</w:t>
            </w:r>
          </w:p>
        </w:tc>
        <w:tc>
          <w:tcPr>
            <w:tcW w:w="1397"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45,2</w:t>
            </w:r>
          </w:p>
        </w:tc>
        <w:tc>
          <w:tcPr>
            <w:tcW w:w="1240"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w:t>
            </w:r>
          </w:p>
        </w:tc>
      </w:tr>
      <w:tr w:rsidR="009A5240" w:rsidRPr="004A45CB" w:rsidTr="009A5240">
        <w:trPr>
          <w:trHeight w:val="300"/>
        </w:trPr>
        <w:tc>
          <w:tcPr>
            <w:tcW w:w="891" w:type="dxa"/>
            <w:vMerge w:val="restart"/>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2008</w:t>
            </w:r>
          </w:p>
        </w:tc>
        <w:tc>
          <w:tcPr>
            <w:tcW w:w="3003" w:type="dxa"/>
            <w:tcBorders>
              <w:top w:val="nil"/>
              <w:left w:val="nil"/>
              <w:bottom w:val="nil"/>
              <w:right w:val="single" w:sz="4" w:space="0" w:color="auto"/>
            </w:tcBorders>
            <w:shd w:val="clear" w:color="000000" w:fill="F2F2F2"/>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vlastníctvo</w:t>
            </w:r>
          </w:p>
        </w:tc>
        <w:tc>
          <w:tcPr>
            <w:tcW w:w="1668"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40,2</w:t>
            </w:r>
          </w:p>
        </w:tc>
        <w:tc>
          <w:tcPr>
            <w:tcW w:w="1249"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13</w:t>
            </w:r>
          </w:p>
        </w:tc>
        <w:tc>
          <w:tcPr>
            <w:tcW w:w="1799"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25,6</w:t>
            </w:r>
          </w:p>
        </w:tc>
        <w:tc>
          <w:tcPr>
            <w:tcW w:w="955"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3</w:t>
            </w:r>
          </w:p>
        </w:tc>
        <w:tc>
          <w:tcPr>
            <w:tcW w:w="1893"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0,2</w:t>
            </w:r>
          </w:p>
        </w:tc>
        <w:tc>
          <w:tcPr>
            <w:tcW w:w="931"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9,7</w:t>
            </w:r>
          </w:p>
        </w:tc>
        <w:tc>
          <w:tcPr>
            <w:tcW w:w="1397"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51,5</w:t>
            </w:r>
          </w:p>
        </w:tc>
        <w:tc>
          <w:tcPr>
            <w:tcW w:w="1240"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8,2</w:t>
            </w:r>
          </w:p>
        </w:tc>
      </w:tr>
      <w:tr w:rsidR="009A5240" w:rsidRPr="004A45CB" w:rsidTr="009A5240">
        <w:trPr>
          <w:trHeight w:val="300"/>
        </w:trPr>
        <w:tc>
          <w:tcPr>
            <w:tcW w:w="891" w:type="dxa"/>
            <w:vMerge/>
            <w:tcBorders>
              <w:top w:val="nil"/>
              <w:left w:val="nil"/>
              <w:bottom w:val="nil"/>
              <w:right w:val="nil"/>
            </w:tcBorders>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p>
        </w:tc>
        <w:tc>
          <w:tcPr>
            <w:tcW w:w="3003" w:type="dxa"/>
            <w:tcBorders>
              <w:top w:val="nil"/>
              <w:left w:val="nil"/>
              <w:bottom w:val="nil"/>
              <w:right w:val="single" w:sz="4" w:space="0" w:color="auto"/>
            </w:tcBorders>
            <w:shd w:val="clear" w:color="000000" w:fill="F2F2F2"/>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obhospodarovanie</w:t>
            </w:r>
          </w:p>
        </w:tc>
        <w:tc>
          <w:tcPr>
            <w:tcW w:w="1668"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55,1</w:t>
            </w:r>
          </w:p>
        </w:tc>
        <w:tc>
          <w:tcPr>
            <w:tcW w:w="1249"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7,2</w:t>
            </w:r>
          </w:p>
        </w:tc>
        <w:tc>
          <w:tcPr>
            <w:tcW w:w="1799"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26,9</w:t>
            </w:r>
          </w:p>
        </w:tc>
        <w:tc>
          <w:tcPr>
            <w:tcW w:w="955"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1,7</w:t>
            </w:r>
          </w:p>
        </w:tc>
        <w:tc>
          <w:tcPr>
            <w:tcW w:w="1893"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0,3</w:t>
            </w:r>
          </w:p>
        </w:tc>
        <w:tc>
          <w:tcPr>
            <w:tcW w:w="931"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8,8</w:t>
            </w:r>
          </w:p>
        </w:tc>
        <w:tc>
          <w:tcPr>
            <w:tcW w:w="1397"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44,9</w:t>
            </w:r>
          </w:p>
        </w:tc>
        <w:tc>
          <w:tcPr>
            <w:tcW w:w="1240"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w:t>
            </w:r>
          </w:p>
        </w:tc>
      </w:tr>
      <w:tr w:rsidR="009A5240" w:rsidRPr="004A45CB" w:rsidTr="009A5240">
        <w:trPr>
          <w:trHeight w:val="300"/>
        </w:trPr>
        <w:tc>
          <w:tcPr>
            <w:tcW w:w="891" w:type="dxa"/>
            <w:vMerge w:val="restart"/>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2007</w:t>
            </w:r>
          </w:p>
        </w:tc>
        <w:tc>
          <w:tcPr>
            <w:tcW w:w="3003" w:type="dxa"/>
            <w:tcBorders>
              <w:top w:val="nil"/>
              <w:left w:val="nil"/>
              <w:bottom w:val="nil"/>
              <w:right w:val="single" w:sz="4" w:space="0" w:color="auto"/>
            </w:tcBorders>
            <w:shd w:val="clear" w:color="auto" w:fill="auto"/>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vlastníctvo</w:t>
            </w:r>
          </w:p>
        </w:tc>
        <w:tc>
          <w:tcPr>
            <w:tcW w:w="1668"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41,4</w:t>
            </w:r>
          </w:p>
        </w:tc>
        <w:tc>
          <w:tcPr>
            <w:tcW w:w="1249"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14,3</w:t>
            </w:r>
          </w:p>
        </w:tc>
        <w:tc>
          <w:tcPr>
            <w:tcW w:w="1799"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25,5</w:t>
            </w:r>
          </w:p>
        </w:tc>
        <w:tc>
          <w:tcPr>
            <w:tcW w:w="955"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3,2</w:t>
            </w:r>
          </w:p>
        </w:tc>
        <w:tc>
          <w:tcPr>
            <w:tcW w:w="1893"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0,2</w:t>
            </w:r>
          </w:p>
        </w:tc>
        <w:tc>
          <w:tcPr>
            <w:tcW w:w="931"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9,8</w:t>
            </w:r>
          </w:p>
        </w:tc>
        <w:tc>
          <w:tcPr>
            <w:tcW w:w="1397"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53</w:t>
            </w:r>
          </w:p>
        </w:tc>
        <w:tc>
          <w:tcPr>
            <w:tcW w:w="1240"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5,6</w:t>
            </w:r>
          </w:p>
        </w:tc>
      </w:tr>
      <w:tr w:rsidR="009A5240" w:rsidRPr="004A45CB" w:rsidTr="009A5240">
        <w:trPr>
          <w:trHeight w:val="300"/>
        </w:trPr>
        <w:tc>
          <w:tcPr>
            <w:tcW w:w="891" w:type="dxa"/>
            <w:vMerge/>
            <w:tcBorders>
              <w:top w:val="nil"/>
              <w:left w:val="nil"/>
              <w:bottom w:val="nil"/>
              <w:right w:val="nil"/>
            </w:tcBorders>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p>
        </w:tc>
        <w:tc>
          <w:tcPr>
            <w:tcW w:w="3003" w:type="dxa"/>
            <w:tcBorders>
              <w:top w:val="nil"/>
              <w:left w:val="nil"/>
              <w:bottom w:val="nil"/>
              <w:right w:val="single" w:sz="4" w:space="0" w:color="auto"/>
            </w:tcBorders>
            <w:shd w:val="clear" w:color="auto" w:fill="auto"/>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obhospodarovanie</w:t>
            </w:r>
          </w:p>
        </w:tc>
        <w:tc>
          <w:tcPr>
            <w:tcW w:w="1668"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55,5</w:t>
            </w:r>
          </w:p>
        </w:tc>
        <w:tc>
          <w:tcPr>
            <w:tcW w:w="1249"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7,2</w:t>
            </w:r>
          </w:p>
        </w:tc>
        <w:tc>
          <w:tcPr>
            <w:tcW w:w="1799"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26</w:t>
            </w:r>
          </w:p>
        </w:tc>
        <w:tc>
          <w:tcPr>
            <w:tcW w:w="955"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2,1</w:t>
            </w:r>
          </w:p>
        </w:tc>
        <w:tc>
          <w:tcPr>
            <w:tcW w:w="1893"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0,3</w:t>
            </w:r>
          </w:p>
        </w:tc>
        <w:tc>
          <w:tcPr>
            <w:tcW w:w="931"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8,9</w:t>
            </w:r>
          </w:p>
        </w:tc>
        <w:tc>
          <w:tcPr>
            <w:tcW w:w="1397"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44,5</w:t>
            </w:r>
          </w:p>
        </w:tc>
        <w:tc>
          <w:tcPr>
            <w:tcW w:w="1240"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w:t>
            </w:r>
          </w:p>
        </w:tc>
      </w:tr>
      <w:tr w:rsidR="009A5240" w:rsidRPr="004A45CB" w:rsidTr="009A5240">
        <w:trPr>
          <w:trHeight w:val="300"/>
        </w:trPr>
        <w:tc>
          <w:tcPr>
            <w:tcW w:w="891" w:type="dxa"/>
            <w:vMerge w:val="restart"/>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2006</w:t>
            </w:r>
          </w:p>
        </w:tc>
        <w:tc>
          <w:tcPr>
            <w:tcW w:w="3003" w:type="dxa"/>
            <w:tcBorders>
              <w:top w:val="nil"/>
              <w:left w:val="nil"/>
              <w:bottom w:val="nil"/>
              <w:right w:val="single" w:sz="4" w:space="0" w:color="auto"/>
            </w:tcBorders>
            <w:shd w:val="clear" w:color="000000" w:fill="F2F2F2"/>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vlastníctvo</w:t>
            </w:r>
          </w:p>
        </w:tc>
        <w:tc>
          <w:tcPr>
            <w:tcW w:w="1668"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41,1</w:t>
            </w:r>
          </w:p>
        </w:tc>
        <w:tc>
          <w:tcPr>
            <w:tcW w:w="1249"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15</w:t>
            </w:r>
          </w:p>
        </w:tc>
        <w:tc>
          <w:tcPr>
            <w:tcW w:w="1799"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25,3</w:t>
            </w:r>
          </w:p>
        </w:tc>
        <w:tc>
          <w:tcPr>
            <w:tcW w:w="955"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3,1</w:t>
            </w:r>
          </w:p>
        </w:tc>
        <w:tc>
          <w:tcPr>
            <w:tcW w:w="1893"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0,2</w:t>
            </w:r>
          </w:p>
        </w:tc>
        <w:tc>
          <w:tcPr>
            <w:tcW w:w="931"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9,8</w:t>
            </w:r>
          </w:p>
        </w:tc>
        <w:tc>
          <w:tcPr>
            <w:tcW w:w="1397"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53,4</w:t>
            </w:r>
          </w:p>
        </w:tc>
        <w:tc>
          <w:tcPr>
            <w:tcW w:w="1240"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5,5</w:t>
            </w:r>
          </w:p>
        </w:tc>
      </w:tr>
      <w:tr w:rsidR="009A5240" w:rsidRPr="004A45CB" w:rsidTr="009A5240">
        <w:trPr>
          <w:trHeight w:val="300"/>
        </w:trPr>
        <w:tc>
          <w:tcPr>
            <w:tcW w:w="891" w:type="dxa"/>
            <w:vMerge/>
            <w:tcBorders>
              <w:top w:val="nil"/>
              <w:left w:val="nil"/>
              <w:bottom w:val="nil"/>
              <w:right w:val="nil"/>
            </w:tcBorders>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p>
        </w:tc>
        <w:tc>
          <w:tcPr>
            <w:tcW w:w="3003" w:type="dxa"/>
            <w:tcBorders>
              <w:top w:val="nil"/>
              <w:left w:val="nil"/>
              <w:bottom w:val="nil"/>
              <w:right w:val="single" w:sz="4" w:space="0" w:color="auto"/>
            </w:tcBorders>
            <w:shd w:val="clear" w:color="000000" w:fill="F2F2F2"/>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obhospodarovanie</w:t>
            </w:r>
          </w:p>
        </w:tc>
        <w:tc>
          <w:tcPr>
            <w:tcW w:w="1668"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56,1</w:t>
            </w:r>
          </w:p>
        </w:tc>
        <w:tc>
          <w:tcPr>
            <w:tcW w:w="1249"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7,2</w:t>
            </w:r>
          </w:p>
        </w:tc>
        <w:tc>
          <w:tcPr>
            <w:tcW w:w="1799"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25,5</w:t>
            </w:r>
          </w:p>
        </w:tc>
        <w:tc>
          <w:tcPr>
            <w:tcW w:w="955"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w:t>
            </w:r>
          </w:p>
        </w:tc>
        <w:tc>
          <w:tcPr>
            <w:tcW w:w="1893"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0,3</w:t>
            </w:r>
          </w:p>
        </w:tc>
        <w:tc>
          <w:tcPr>
            <w:tcW w:w="931"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8,9</w:t>
            </w:r>
          </w:p>
        </w:tc>
        <w:tc>
          <w:tcPr>
            <w:tcW w:w="1397"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43,9</w:t>
            </w:r>
          </w:p>
        </w:tc>
        <w:tc>
          <w:tcPr>
            <w:tcW w:w="1240" w:type="dxa"/>
            <w:tcBorders>
              <w:top w:val="nil"/>
              <w:left w:val="nil"/>
              <w:bottom w:val="nil"/>
              <w:right w:val="nil"/>
            </w:tcBorders>
            <w:shd w:val="clear" w:color="000000" w:fill="F2F2F2"/>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w:t>
            </w:r>
          </w:p>
        </w:tc>
      </w:tr>
      <w:tr w:rsidR="009A5240" w:rsidRPr="004A45CB" w:rsidTr="009A5240">
        <w:trPr>
          <w:trHeight w:val="300"/>
        </w:trPr>
        <w:tc>
          <w:tcPr>
            <w:tcW w:w="891" w:type="dxa"/>
            <w:vMerge w:val="restart"/>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2005</w:t>
            </w:r>
          </w:p>
        </w:tc>
        <w:tc>
          <w:tcPr>
            <w:tcW w:w="3003" w:type="dxa"/>
            <w:tcBorders>
              <w:top w:val="nil"/>
              <w:left w:val="nil"/>
              <w:bottom w:val="nil"/>
              <w:right w:val="single" w:sz="4" w:space="0" w:color="auto"/>
            </w:tcBorders>
            <w:shd w:val="clear" w:color="auto" w:fill="auto"/>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vlastníctvo</w:t>
            </w:r>
          </w:p>
        </w:tc>
        <w:tc>
          <w:tcPr>
            <w:tcW w:w="1668"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41,8</w:t>
            </w:r>
          </w:p>
        </w:tc>
        <w:tc>
          <w:tcPr>
            <w:tcW w:w="1249"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14,2</w:t>
            </w:r>
          </w:p>
        </w:tc>
        <w:tc>
          <w:tcPr>
            <w:tcW w:w="1799"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24,9</w:t>
            </w:r>
          </w:p>
        </w:tc>
        <w:tc>
          <w:tcPr>
            <w:tcW w:w="955"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3,4</w:t>
            </w:r>
          </w:p>
        </w:tc>
        <w:tc>
          <w:tcPr>
            <w:tcW w:w="1893"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0,1</w:t>
            </w:r>
          </w:p>
        </w:tc>
        <w:tc>
          <w:tcPr>
            <w:tcW w:w="931"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9,7</w:t>
            </w:r>
          </w:p>
        </w:tc>
        <w:tc>
          <w:tcPr>
            <w:tcW w:w="1397"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52,3</w:t>
            </w:r>
          </w:p>
        </w:tc>
        <w:tc>
          <w:tcPr>
            <w:tcW w:w="1240" w:type="dxa"/>
            <w:tcBorders>
              <w:top w:val="nil"/>
              <w:left w:val="nil"/>
              <w:bottom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5,9</w:t>
            </w:r>
          </w:p>
        </w:tc>
      </w:tr>
      <w:tr w:rsidR="009A5240" w:rsidRPr="004A45CB" w:rsidTr="00D86A54">
        <w:trPr>
          <w:trHeight w:val="300"/>
        </w:trPr>
        <w:tc>
          <w:tcPr>
            <w:tcW w:w="891" w:type="dxa"/>
            <w:vMerge/>
            <w:tcBorders>
              <w:top w:val="nil"/>
              <w:left w:val="nil"/>
              <w:right w:val="nil"/>
            </w:tcBorders>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p>
        </w:tc>
        <w:tc>
          <w:tcPr>
            <w:tcW w:w="3003" w:type="dxa"/>
            <w:tcBorders>
              <w:top w:val="nil"/>
              <w:left w:val="nil"/>
              <w:right w:val="single" w:sz="4" w:space="0" w:color="auto"/>
            </w:tcBorders>
            <w:shd w:val="clear" w:color="auto" w:fill="auto"/>
            <w:vAlign w:val="center"/>
            <w:hideMark/>
          </w:tcPr>
          <w:p w:rsidR="009A5240" w:rsidRPr="004A45CB" w:rsidRDefault="009A5240" w:rsidP="009A5240">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obhospodarovanie</w:t>
            </w:r>
          </w:p>
        </w:tc>
        <w:tc>
          <w:tcPr>
            <w:tcW w:w="1668" w:type="dxa"/>
            <w:tcBorders>
              <w:top w:val="nil"/>
              <w:left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58,5</w:t>
            </w:r>
          </w:p>
        </w:tc>
        <w:tc>
          <w:tcPr>
            <w:tcW w:w="1249" w:type="dxa"/>
            <w:tcBorders>
              <w:top w:val="nil"/>
              <w:left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6,3</w:t>
            </w:r>
          </w:p>
        </w:tc>
        <w:tc>
          <w:tcPr>
            <w:tcW w:w="1799" w:type="dxa"/>
            <w:tcBorders>
              <w:top w:val="nil"/>
              <w:left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23,8</w:t>
            </w:r>
          </w:p>
        </w:tc>
        <w:tc>
          <w:tcPr>
            <w:tcW w:w="955" w:type="dxa"/>
            <w:tcBorders>
              <w:top w:val="nil"/>
              <w:left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2,5</w:t>
            </w:r>
          </w:p>
        </w:tc>
        <w:tc>
          <w:tcPr>
            <w:tcW w:w="1893" w:type="dxa"/>
            <w:tcBorders>
              <w:top w:val="nil"/>
              <w:left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0,2</w:t>
            </w:r>
          </w:p>
        </w:tc>
        <w:tc>
          <w:tcPr>
            <w:tcW w:w="931" w:type="dxa"/>
            <w:tcBorders>
              <w:top w:val="nil"/>
              <w:left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8,7</w:t>
            </w:r>
          </w:p>
        </w:tc>
        <w:tc>
          <w:tcPr>
            <w:tcW w:w="1397" w:type="dxa"/>
            <w:tcBorders>
              <w:top w:val="nil"/>
              <w:left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41,5</w:t>
            </w:r>
          </w:p>
        </w:tc>
        <w:tc>
          <w:tcPr>
            <w:tcW w:w="1240" w:type="dxa"/>
            <w:tcBorders>
              <w:top w:val="nil"/>
              <w:left w:val="nil"/>
              <w:right w:val="nil"/>
            </w:tcBorders>
            <w:shd w:val="clear" w:color="auto" w:fill="auto"/>
            <w:vAlign w:val="center"/>
            <w:hideMark/>
          </w:tcPr>
          <w:p w:rsidR="009A5240" w:rsidRPr="004A45CB" w:rsidRDefault="009A5240" w:rsidP="009A5240">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w:t>
            </w:r>
          </w:p>
        </w:tc>
      </w:tr>
      <w:tr w:rsidR="00D86A54" w:rsidRPr="004A45CB" w:rsidTr="00D86A54">
        <w:trPr>
          <w:trHeight w:val="300"/>
        </w:trPr>
        <w:tc>
          <w:tcPr>
            <w:tcW w:w="891" w:type="dxa"/>
            <w:vMerge w:val="restart"/>
            <w:tcBorders>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2004</w:t>
            </w:r>
          </w:p>
        </w:tc>
        <w:tc>
          <w:tcPr>
            <w:tcW w:w="3003" w:type="dxa"/>
            <w:tcBorders>
              <w:left w:val="nil"/>
              <w:bottom w:val="nil"/>
              <w:right w:val="single" w:sz="4" w:space="0" w:color="auto"/>
            </w:tcBorders>
            <w:shd w:val="clear" w:color="000000" w:fill="F2F2F2"/>
            <w:vAlign w:val="center"/>
            <w:hideMark/>
          </w:tcPr>
          <w:p w:rsidR="00D86A54" w:rsidRPr="004A45CB" w:rsidRDefault="00D86A54" w:rsidP="00D86A54">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vlastníctvo</w:t>
            </w:r>
          </w:p>
        </w:tc>
        <w:tc>
          <w:tcPr>
            <w:tcW w:w="1668" w:type="dxa"/>
            <w:tcBorders>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42,1</w:t>
            </w:r>
          </w:p>
        </w:tc>
        <w:tc>
          <w:tcPr>
            <w:tcW w:w="1249" w:type="dxa"/>
            <w:tcBorders>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14,6</w:t>
            </w:r>
          </w:p>
        </w:tc>
        <w:tc>
          <w:tcPr>
            <w:tcW w:w="1799" w:type="dxa"/>
            <w:tcBorders>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24,4</w:t>
            </w:r>
          </w:p>
        </w:tc>
        <w:tc>
          <w:tcPr>
            <w:tcW w:w="955" w:type="dxa"/>
            <w:tcBorders>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3,4</w:t>
            </w:r>
          </w:p>
        </w:tc>
        <w:tc>
          <w:tcPr>
            <w:tcW w:w="1893" w:type="dxa"/>
            <w:tcBorders>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0,2</w:t>
            </w:r>
          </w:p>
        </w:tc>
        <w:tc>
          <w:tcPr>
            <w:tcW w:w="931" w:type="dxa"/>
            <w:tcBorders>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9,9</w:t>
            </w:r>
          </w:p>
        </w:tc>
        <w:tc>
          <w:tcPr>
            <w:tcW w:w="1397" w:type="dxa"/>
            <w:tcBorders>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52,5</w:t>
            </w:r>
          </w:p>
        </w:tc>
        <w:tc>
          <w:tcPr>
            <w:tcW w:w="1240" w:type="dxa"/>
            <w:tcBorders>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5,4</w:t>
            </w:r>
          </w:p>
        </w:tc>
      </w:tr>
      <w:tr w:rsidR="00D86A54" w:rsidRPr="004A45CB" w:rsidTr="00D86A54">
        <w:trPr>
          <w:trHeight w:val="300"/>
        </w:trPr>
        <w:tc>
          <w:tcPr>
            <w:tcW w:w="891" w:type="dxa"/>
            <w:vMerge/>
            <w:tcBorders>
              <w:top w:val="nil"/>
              <w:left w:val="nil"/>
              <w:bottom w:val="nil"/>
              <w:right w:val="nil"/>
            </w:tcBorders>
            <w:vAlign w:val="center"/>
            <w:hideMark/>
          </w:tcPr>
          <w:p w:rsidR="00D86A54" w:rsidRPr="004A45CB" w:rsidRDefault="00D86A54" w:rsidP="00D86A54">
            <w:pPr>
              <w:spacing w:after="0" w:line="240" w:lineRule="auto"/>
              <w:rPr>
                <w:rFonts w:ascii="Times New Roman" w:eastAsia="Times New Roman" w:hAnsi="Times New Roman" w:cs="Times New Roman"/>
                <w:color w:val="000000"/>
                <w:sz w:val="20"/>
                <w:szCs w:val="20"/>
              </w:rPr>
            </w:pPr>
          </w:p>
        </w:tc>
        <w:tc>
          <w:tcPr>
            <w:tcW w:w="3003" w:type="dxa"/>
            <w:tcBorders>
              <w:top w:val="nil"/>
              <w:left w:val="nil"/>
              <w:bottom w:val="nil"/>
              <w:right w:val="single" w:sz="4" w:space="0" w:color="auto"/>
            </w:tcBorders>
            <w:shd w:val="clear" w:color="000000" w:fill="F2F2F2"/>
            <w:vAlign w:val="center"/>
            <w:hideMark/>
          </w:tcPr>
          <w:p w:rsidR="00D86A54" w:rsidRPr="004A45CB" w:rsidRDefault="00D86A54" w:rsidP="00D86A54">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obhospodarovanie</w:t>
            </w:r>
          </w:p>
        </w:tc>
        <w:tc>
          <w:tcPr>
            <w:tcW w:w="1668" w:type="dxa"/>
            <w:tcBorders>
              <w:top w:val="nil"/>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59,4</w:t>
            </w:r>
          </w:p>
        </w:tc>
        <w:tc>
          <w:tcPr>
            <w:tcW w:w="1249" w:type="dxa"/>
            <w:tcBorders>
              <w:top w:val="nil"/>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6,2</w:t>
            </w:r>
          </w:p>
        </w:tc>
        <w:tc>
          <w:tcPr>
            <w:tcW w:w="1799" w:type="dxa"/>
            <w:tcBorders>
              <w:top w:val="nil"/>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23</w:t>
            </w:r>
          </w:p>
        </w:tc>
        <w:tc>
          <w:tcPr>
            <w:tcW w:w="955" w:type="dxa"/>
            <w:tcBorders>
              <w:top w:val="nil"/>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2,5</w:t>
            </w:r>
          </w:p>
        </w:tc>
        <w:tc>
          <w:tcPr>
            <w:tcW w:w="1893" w:type="dxa"/>
            <w:tcBorders>
              <w:top w:val="nil"/>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0,2</w:t>
            </w:r>
          </w:p>
        </w:tc>
        <w:tc>
          <w:tcPr>
            <w:tcW w:w="931" w:type="dxa"/>
            <w:tcBorders>
              <w:top w:val="nil"/>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8,7</w:t>
            </w:r>
          </w:p>
        </w:tc>
        <w:tc>
          <w:tcPr>
            <w:tcW w:w="1397" w:type="dxa"/>
            <w:tcBorders>
              <w:top w:val="nil"/>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40,6</w:t>
            </w:r>
          </w:p>
        </w:tc>
        <w:tc>
          <w:tcPr>
            <w:tcW w:w="1240" w:type="dxa"/>
            <w:tcBorders>
              <w:top w:val="nil"/>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w:t>
            </w:r>
          </w:p>
        </w:tc>
      </w:tr>
      <w:tr w:rsidR="00D86A54" w:rsidRPr="004A45CB" w:rsidTr="00D86A54">
        <w:trPr>
          <w:trHeight w:val="300"/>
        </w:trPr>
        <w:tc>
          <w:tcPr>
            <w:tcW w:w="891" w:type="dxa"/>
            <w:vMerge w:val="restart"/>
            <w:tcBorders>
              <w:top w:val="nil"/>
              <w:left w:val="nil"/>
              <w:bottom w:val="nil"/>
              <w:right w:val="nil"/>
            </w:tcBorders>
            <w:shd w:val="clear" w:color="auto" w:fill="auto"/>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2003</w:t>
            </w:r>
          </w:p>
        </w:tc>
        <w:tc>
          <w:tcPr>
            <w:tcW w:w="3003" w:type="dxa"/>
            <w:tcBorders>
              <w:top w:val="nil"/>
              <w:left w:val="nil"/>
              <w:bottom w:val="nil"/>
              <w:right w:val="single" w:sz="4" w:space="0" w:color="auto"/>
            </w:tcBorders>
            <w:shd w:val="clear" w:color="auto" w:fill="auto"/>
            <w:vAlign w:val="center"/>
            <w:hideMark/>
          </w:tcPr>
          <w:p w:rsidR="00D86A54" w:rsidRPr="004A45CB" w:rsidRDefault="00D86A54" w:rsidP="00D86A54">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vlastníctvo</w:t>
            </w:r>
          </w:p>
        </w:tc>
        <w:tc>
          <w:tcPr>
            <w:tcW w:w="1668" w:type="dxa"/>
            <w:tcBorders>
              <w:top w:val="nil"/>
              <w:left w:val="nil"/>
              <w:bottom w:val="nil"/>
              <w:right w:val="nil"/>
            </w:tcBorders>
            <w:shd w:val="clear" w:color="auto" w:fill="auto"/>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42,2</w:t>
            </w:r>
          </w:p>
        </w:tc>
        <w:tc>
          <w:tcPr>
            <w:tcW w:w="1249" w:type="dxa"/>
            <w:tcBorders>
              <w:top w:val="nil"/>
              <w:left w:val="nil"/>
              <w:bottom w:val="nil"/>
              <w:right w:val="nil"/>
            </w:tcBorders>
            <w:shd w:val="clear" w:color="auto" w:fill="auto"/>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12</w:t>
            </w:r>
          </w:p>
        </w:tc>
        <w:tc>
          <w:tcPr>
            <w:tcW w:w="1799" w:type="dxa"/>
            <w:tcBorders>
              <w:top w:val="nil"/>
              <w:left w:val="nil"/>
              <w:bottom w:val="nil"/>
              <w:right w:val="nil"/>
            </w:tcBorders>
            <w:shd w:val="clear" w:color="auto" w:fill="auto"/>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24,3</w:t>
            </w:r>
          </w:p>
        </w:tc>
        <w:tc>
          <w:tcPr>
            <w:tcW w:w="955" w:type="dxa"/>
            <w:tcBorders>
              <w:top w:val="nil"/>
              <w:left w:val="nil"/>
              <w:bottom w:val="nil"/>
              <w:right w:val="nil"/>
            </w:tcBorders>
            <w:shd w:val="clear" w:color="auto" w:fill="auto"/>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3,2</w:t>
            </w:r>
          </w:p>
        </w:tc>
        <w:tc>
          <w:tcPr>
            <w:tcW w:w="1893" w:type="dxa"/>
            <w:tcBorders>
              <w:top w:val="nil"/>
              <w:left w:val="nil"/>
              <w:bottom w:val="nil"/>
              <w:right w:val="nil"/>
            </w:tcBorders>
            <w:shd w:val="clear" w:color="auto" w:fill="auto"/>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0,1</w:t>
            </w:r>
          </w:p>
        </w:tc>
        <w:tc>
          <w:tcPr>
            <w:tcW w:w="931" w:type="dxa"/>
            <w:tcBorders>
              <w:top w:val="nil"/>
              <w:left w:val="nil"/>
              <w:bottom w:val="nil"/>
              <w:right w:val="nil"/>
            </w:tcBorders>
            <w:shd w:val="clear" w:color="auto" w:fill="auto"/>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9,7</w:t>
            </w:r>
          </w:p>
        </w:tc>
        <w:tc>
          <w:tcPr>
            <w:tcW w:w="1397" w:type="dxa"/>
            <w:tcBorders>
              <w:top w:val="nil"/>
              <w:left w:val="nil"/>
              <w:bottom w:val="nil"/>
              <w:right w:val="nil"/>
            </w:tcBorders>
            <w:shd w:val="clear" w:color="auto" w:fill="auto"/>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49,3</w:t>
            </w:r>
          </w:p>
        </w:tc>
        <w:tc>
          <w:tcPr>
            <w:tcW w:w="1240" w:type="dxa"/>
            <w:tcBorders>
              <w:top w:val="nil"/>
              <w:left w:val="nil"/>
              <w:bottom w:val="nil"/>
              <w:right w:val="nil"/>
            </w:tcBorders>
            <w:shd w:val="clear" w:color="auto" w:fill="auto"/>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8,5</w:t>
            </w:r>
          </w:p>
        </w:tc>
      </w:tr>
      <w:tr w:rsidR="00D86A54" w:rsidRPr="004A45CB" w:rsidTr="00D86A54">
        <w:trPr>
          <w:trHeight w:val="300"/>
        </w:trPr>
        <w:tc>
          <w:tcPr>
            <w:tcW w:w="891" w:type="dxa"/>
            <w:vMerge/>
            <w:tcBorders>
              <w:top w:val="nil"/>
              <w:left w:val="nil"/>
              <w:bottom w:val="nil"/>
              <w:right w:val="nil"/>
            </w:tcBorders>
            <w:vAlign w:val="center"/>
            <w:hideMark/>
          </w:tcPr>
          <w:p w:rsidR="00D86A54" w:rsidRPr="004A45CB" w:rsidRDefault="00D86A54" w:rsidP="00D86A54">
            <w:pPr>
              <w:spacing w:after="0" w:line="240" w:lineRule="auto"/>
              <w:rPr>
                <w:rFonts w:ascii="Times New Roman" w:eastAsia="Times New Roman" w:hAnsi="Times New Roman" w:cs="Times New Roman"/>
                <w:color w:val="000000"/>
                <w:sz w:val="20"/>
                <w:szCs w:val="20"/>
              </w:rPr>
            </w:pPr>
          </w:p>
        </w:tc>
        <w:tc>
          <w:tcPr>
            <w:tcW w:w="3003" w:type="dxa"/>
            <w:tcBorders>
              <w:top w:val="nil"/>
              <w:left w:val="nil"/>
              <w:bottom w:val="nil"/>
              <w:right w:val="single" w:sz="4" w:space="0" w:color="auto"/>
            </w:tcBorders>
            <w:shd w:val="clear" w:color="auto" w:fill="auto"/>
            <w:vAlign w:val="center"/>
            <w:hideMark/>
          </w:tcPr>
          <w:p w:rsidR="00D86A54" w:rsidRPr="004A45CB" w:rsidRDefault="00D86A54" w:rsidP="00D86A54">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obhospodarovanie</w:t>
            </w:r>
          </w:p>
        </w:tc>
        <w:tc>
          <w:tcPr>
            <w:tcW w:w="1668" w:type="dxa"/>
            <w:tcBorders>
              <w:top w:val="nil"/>
              <w:left w:val="nil"/>
              <w:bottom w:val="nil"/>
              <w:right w:val="nil"/>
            </w:tcBorders>
            <w:shd w:val="clear" w:color="auto" w:fill="auto"/>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61,5</w:t>
            </w:r>
          </w:p>
        </w:tc>
        <w:tc>
          <w:tcPr>
            <w:tcW w:w="1249" w:type="dxa"/>
            <w:tcBorders>
              <w:top w:val="nil"/>
              <w:left w:val="nil"/>
              <w:bottom w:val="nil"/>
              <w:right w:val="nil"/>
            </w:tcBorders>
            <w:shd w:val="clear" w:color="auto" w:fill="auto"/>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5,9</w:t>
            </w:r>
          </w:p>
        </w:tc>
        <w:tc>
          <w:tcPr>
            <w:tcW w:w="1799" w:type="dxa"/>
            <w:tcBorders>
              <w:top w:val="nil"/>
              <w:left w:val="nil"/>
              <w:bottom w:val="nil"/>
              <w:right w:val="nil"/>
            </w:tcBorders>
            <w:shd w:val="clear" w:color="auto" w:fill="auto"/>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21,6</w:t>
            </w:r>
          </w:p>
        </w:tc>
        <w:tc>
          <w:tcPr>
            <w:tcW w:w="955" w:type="dxa"/>
            <w:tcBorders>
              <w:top w:val="nil"/>
              <w:left w:val="nil"/>
              <w:bottom w:val="nil"/>
              <w:right w:val="nil"/>
            </w:tcBorders>
            <w:shd w:val="clear" w:color="auto" w:fill="auto"/>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2,1</w:t>
            </w:r>
          </w:p>
        </w:tc>
        <w:tc>
          <w:tcPr>
            <w:tcW w:w="1893" w:type="dxa"/>
            <w:tcBorders>
              <w:top w:val="nil"/>
              <w:left w:val="nil"/>
              <w:bottom w:val="nil"/>
              <w:right w:val="nil"/>
            </w:tcBorders>
            <w:shd w:val="clear" w:color="auto" w:fill="auto"/>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0,2</w:t>
            </w:r>
          </w:p>
        </w:tc>
        <w:tc>
          <w:tcPr>
            <w:tcW w:w="931" w:type="dxa"/>
            <w:tcBorders>
              <w:top w:val="nil"/>
              <w:left w:val="nil"/>
              <w:bottom w:val="nil"/>
              <w:right w:val="nil"/>
            </w:tcBorders>
            <w:shd w:val="clear" w:color="auto" w:fill="auto"/>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8,7</w:t>
            </w:r>
          </w:p>
        </w:tc>
        <w:tc>
          <w:tcPr>
            <w:tcW w:w="1397" w:type="dxa"/>
            <w:tcBorders>
              <w:top w:val="nil"/>
              <w:left w:val="nil"/>
              <w:bottom w:val="nil"/>
              <w:right w:val="nil"/>
            </w:tcBorders>
            <w:shd w:val="clear" w:color="auto" w:fill="auto"/>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38,5</w:t>
            </w:r>
          </w:p>
        </w:tc>
        <w:tc>
          <w:tcPr>
            <w:tcW w:w="1240" w:type="dxa"/>
            <w:tcBorders>
              <w:top w:val="nil"/>
              <w:left w:val="nil"/>
              <w:bottom w:val="nil"/>
              <w:right w:val="nil"/>
            </w:tcBorders>
            <w:shd w:val="clear" w:color="auto" w:fill="auto"/>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w:t>
            </w:r>
          </w:p>
        </w:tc>
      </w:tr>
      <w:tr w:rsidR="00D86A54" w:rsidRPr="004A45CB" w:rsidTr="00D86A54">
        <w:trPr>
          <w:trHeight w:val="300"/>
        </w:trPr>
        <w:tc>
          <w:tcPr>
            <w:tcW w:w="891" w:type="dxa"/>
            <w:vMerge w:val="restart"/>
            <w:tcBorders>
              <w:top w:val="nil"/>
              <w:left w:val="nil"/>
              <w:bottom w:val="single" w:sz="4" w:space="0" w:color="000000"/>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2002</w:t>
            </w:r>
          </w:p>
        </w:tc>
        <w:tc>
          <w:tcPr>
            <w:tcW w:w="3003" w:type="dxa"/>
            <w:tcBorders>
              <w:top w:val="nil"/>
              <w:left w:val="nil"/>
              <w:bottom w:val="nil"/>
              <w:right w:val="single" w:sz="4" w:space="0" w:color="auto"/>
            </w:tcBorders>
            <w:shd w:val="clear" w:color="000000" w:fill="F2F2F2"/>
            <w:vAlign w:val="center"/>
            <w:hideMark/>
          </w:tcPr>
          <w:p w:rsidR="00D86A54" w:rsidRPr="004A45CB" w:rsidRDefault="00D86A54" w:rsidP="00D86A54">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vlastníctvo</w:t>
            </w:r>
          </w:p>
        </w:tc>
        <w:tc>
          <w:tcPr>
            <w:tcW w:w="1668" w:type="dxa"/>
            <w:tcBorders>
              <w:top w:val="nil"/>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42,8</w:t>
            </w:r>
          </w:p>
        </w:tc>
        <w:tc>
          <w:tcPr>
            <w:tcW w:w="1249" w:type="dxa"/>
            <w:tcBorders>
              <w:top w:val="nil"/>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12,9</w:t>
            </w:r>
          </w:p>
        </w:tc>
        <w:tc>
          <w:tcPr>
            <w:tcW w:w="1799" w:type="dxa"/>
            <w:tcBorders>
              <w:top w:val="nil"/>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24</w:t>
            </w:r>
          </w:p>
        </w:tc>
        <w:tc>
          <w:tcPr>
            <w:tcW w:w="955" w:type="dxa"/>
            <w:tcBorders>
              <w:top w:val="nil"/>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3,2</w:t>
            </w:r>
          </w:p>
        </w:tc>
        <w:tc>
          <w:tcPr>
            <w:tcW w:w="1893" w:type="dxa"/>
            <w:tcBorders>
              <w:top w:val="nil"/>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0,1</w:t>
            </w:r>
          </w:p>
        </w:tc>
        <w:tc>
          <w:tcPr>
            <w:tcW w:w="931" w:type="dxa"/>
            <w:tcBorders>
              <w:top w:val="nil"/>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9,7</w:t>
            </w:r>
          </w:p>
        </w:tc>
        <w:tc>
          <w:tcPr>
            <w:tcW w:w="1397" w:type="dxa"/>
            <w:tcBorders>
              <w:top w:val="nil"/>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49,9</w:t>
            </w:r>
          </w:p>
        </w:tc>
        <w:tc>
          <w:tcPr>
            <w:tcW w:w="1240" w:type="dxa"/>
            <w:tcBorders>
              <w:top w:val="nil"/>
              <w:left w:val="nil"/>
              <w:bottom w:val="nil"/>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7,3</w:t>
            </w:r>
          </w:p>
        </w:tc>
      </w:tr>
      <w:tr w:rsidR="00D86A54" w:rsidRPr="004A45CB" w:rsidTr="00D86A54">
        <w:trPr>
          <w:trHeight w:val="300"/>
        </w:trPr>
        <w:tc>
          <w:tcPr>
            <w:tcW w:w="891" w:type="dxa"/>
            <w:vMerge/>
            <w:tcBorders>
              <w:top w:val="nil"/>
              <w:left w:val="nil"/>
              <w:bottom w:val="single" w:sz="4" w:space="0" w:color="000000"/>
              <w:right w:val="nil"/>
            </w:tcBorders>
            <w:vAlign w:val="center"/>
            <w:hideMark/>
          </w:tcPr>
          <w:p w:rsidR="00D86A54" w:rsidRPr="004A45CB" w:rsidRDefault="00D86A54" w:rsidP="00D86A54">
            <w:pPr>
              <w:spacing w:after="0" w:line="240" w:lineRule="auto"/>
              <w:rPr>
                <w:rFonts w:ascii="Times New Roman" w:eastAsia="Times New Roman" w:hAnsi="Times New Roman" w:cs="Times New Roman"/>
                <w:color w:val="000000"/>
                <w:sz w:val="20"/>
                <w:szCs w:val="20"/>
              </w:rPr>
            </w:pPr>
          </w:p>
        </w:tc>
        <w:tc>
          <w:tcPr>
            <w:tcW w:w="3003" w:type="dxa"/>
            <w:tcBorders>
              <w:top w:val="nil"/>
              <w:left w:val="nil"/>
              <w:bottom w:val="single" w:sz="4" w:space="0" w:color="auto"/>
              <w:right w:val="single" w:sz="4" w:space="0" w:color="auto"/>
            </w:tcBorders>
            <w:shd w:val="clear" w:color="000000" w:fill="F2F2F2"/>
            <w:vAlign w:val="center"/>
            <w:hideMark/>
          </w:tcPr>
          <w:p w:rsidR="00D86A54" w:rsidRPr="004A45CB" w:rsidRDefault="00D86A54" w:rsidP="00D86A54">
            <w:pPr>
              <w:spacing w:after="0" w:line="240" w:lineRule="auto"/>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obhospodarovanie</w:t>
            </w:r>
          </w:p>
        </w:tc>
        <w:tc>
          <w:tcPr>
            <w:tcW w:w="1668" w:type="dxa"/>
            <w:tcBorders>
              <w:top w:val="nil"/>
              <w:left w:val="nil"/>
              <w:bottom w:val="single" w:sz="4" w:space="0" w:color="auto"/>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62,3</w:t>
            </w:r>
          </w:p>
        </w:tc>
        <w:tc>
          <w:tcPr>
            <w:tcW w:w="1249" w:type="dxa"/>
            <w:tcBorders>
              <w:top w:val="nil"/>
              <w:left w:val="nil"/>
              <w:bottom w:val="single" w:sz="4" w:space="0" w:color="auto"/>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6,1</w:t>
            </w:r>
          </w:p>
        </w:tc>
        <w:tc>
          <w:tcPr>
            <w:tcW w:w="1799" w:type="dxa"/>
            <w:tcBorders>
              <w:top w:val="nil"/>
              <w:left w:val="nil"/>
              <w:bottom w:val="single" w:sz="4" w:space="0" w:color="auto"/>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20,6</w:t>
            </w:r>
          </w:p>
        </w:tc>
        <w:tc>
          <w:tcPr>
            <w:tcW w:w="955" w:type="dxa"/>
            <w:tcBorders>
              <w:top w:val="nil"/>
              <w:left w:val="nil"/>
              <w:bottom w:val="single" w:sz="4" w:space="0" w:color="auto"/>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2,1</w:t>
            </w:r>
          </w:p>
        </w:tc>
        <w:tc>
          <w:tcPr>
            <w:tcW w:w="1893" w:type="dxa"/>
            <w:tcBorders>
              <w:top w:val="nil"/>
              <w:left w:val="nil"/>
              <w:bottom w:val="single" w:sz="4" w:space="0" w:color="auto"/>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0,2</w:t>
            </w:r>
          </w:p>
        </w:tc>
        <w:tc>
          <w:tcPr>
            <w:tcW w:w="931" w:type="dxa"/>
            <w:tcBorders>
              <w:top w:val="nil"/>
              <w:left w:val="nil"/>
              <w:bottom w:val="single" w:sz="4" w:space="0" w:color="auto"/>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8,7</w:t>
            </w:r>
          </w:p>
        </w:tc>
        <w:tc>
          <w:tcPr>
            <w:tcW w:w="1397" w:type="dxa"/>
            <w:tcBorders>
              <w:top w:val="nil"/>
              <w:left w:val="nil"/>
              <w:bottom w:val="single" w:sz="4" w:space="0" w:color="auto"/>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37,7</w:t>
            </w:r>
          </w:p>
        </w:tc>
        <w:tc>
          <w:tcPr>
            <w:tcW w:w="1240" w:type="dxa"/>
            <w:tcBorders>
              <w:top w:val="nil"/>
              <w:left w:val="nil"/>
              <w:bottom w:val="single" w:sz="4" w:space="0" w:color="auto"/>
              <w:right w:val="nil"/>
            </w:tcBorders>
            <w:shd w:val="clear" w:color="000000" w:fill="F2F2F2"/>
            <w:vAlign w:val="center"/>
            <w:hideMark/>
          </w:tcPr>
          <w:p w:rsidR="00D86A54" w:rsidRPr="004A45CB" w:rsidRDefault="00D86A54" w:rsidP="00D86A54">
            <w:pPr>
              <w:spacing w:after="0" w:line="240" w:lineRule="auto"/>
              <w:jc w:val="center"/>
              <w:rPr>
                <w:rFonts w:ascii="Times New Roman" w:eastAsia="Times New Roman" w:hAnsi="Times New Roman" w:cs="Times New Roman"/>
                <w:color w:val="000000"/>
                <w:sz w:val="20"/>
                <w:szCs w:val="20"/>
              </w:rPr>
            </w:pPr>
            <w:r w:rsidRPr="004A45CB">
              <w:rPr>
                <w:rFonts w:ascii="Times New Roman" w:eastAsia="Times New Roman" w:hAnsi="Times New Roman" w:cs="Times New Roman"/>
                <w:color w:val="000000"/>
                <w:sz w:val="20"/>
                <w:szCs w:val="20"/>
              </w:rPr>
              <w:t>-</w:t>
            </w:r>
          </w:p>
        </w:tc>
      </w:tr>
    </w:tbl>
    <w:p w:rsidR="00D86A54" w:rsidRDefault="00D86A54" w:rsidP="00D86A54">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 xml:space="preserve">Zdroj: </w:t>
      </w:r>
      <w:r>
        <w:rPr>
          <w:rFonts w:ascii="Times New Roman" w:hAnsi="Times New Roman" w:cs="Times New Roman"/>
          <w:sz w:val="20"/>
          <w:szCs w:val="20"/>
        </w:rPr>
        <w:t>NLC-ÚLZI Zvolen</w:t>
      </w:r>
    </w:p>
    <w:p w:rsidR="009A5240" w:rsidRDefault="009A5240" w:rsidP="00D86A54">
      <w:pPr>
        <w:ind w:right="-457"/>
        <w:rPr>
          <w:rFonts w:ascii="Times New Roman" w:hAnsi="Times New Roman" w:cs="Times New Roman"/>
          <w:sz w:val="20"/>
          <w:szCs w:val="20"/>
        </w:rPr>
      </w:pPr>
    </w:p>
    <w:p w:rsidR="00D86A54" w:rsidRDefault="00D86A54" w:rsidP="00D86A54">
      <w:pPr>
        <w:ind w:right="-457"/>
        <w:rPr>
          <w:rFonts w:ascii="Times New Roman" w:hAnsi="Times New Roman" w:cs="Times New Roman"/>
          <w:sz w:val="20"/>
          <w:szCs w:val="20"/>
        </w:rPr>
      </w:pPr>
    </w:p>
    <w:p w:rsidR="00A93F56" w:rsidRDefault="00A93F56" w:rsidP="00D86A54">
      <w:pPr>
        <w:ind w:right="-457"/>
        <w:rPr>
          <w:rFonts w:ascii="Times New Roman" w:hAnsi="Times New Roman" w:cs="Times New Roman"/>
          <w:sz w:val="20"/>
          <w:szCs w:val="20"/>
        </w:rPr>
      </w:pPr>
    </w:p>
    <w:p w:rsidR="009A5240" w:rsidRPr="00D86A54" w:rsidRDefault="00D86A54" w:rsidP="00D86A54">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lastRenderedPageBreak/>
        <w:t>Príloha č. 25</w:t>
      </w:r>
      <w:r w:rsidR="009A5240" w:rsidRPr="00D86A54">
        <w:rPr>
          <w:rFonts w:ascii="Times New Roman" w:hAnsi="Times New Roman" w:cs="Times New Roman"/>
          <w:b/>
          <w:sz w:val="20"/>
          <w:szCs w:val="20"/>
        </w:rPr>
        <w:t>: Stav zamestnanosti v pôdohospodárstve</w:t>
      </w:r>
    </w:p>
    <w:tbl>
      <w:tblPr>
        <w:tblW w:w="14987" w:type="dxa"/>
        <w:tblInd w:w="-497" w:type="dxa"/>
        <w:tblCellMar>
          <w:left w:w="70" w:type="dxa"/>
          <w:right w:w="70" w:type="dxa"/>
        </w:tblCellMar>
        <w:tblLook w:val="04A0" w:firstRow="1" w:lastRow="0" w:firstColumn="1" w:lastColumn="0" w:noHBand="0" w:noVBand="1"/>
      </w:tblPr>
      <w:tblGrid>
        <w:gridCol w:w="5387"/>
        <w:gridCol w:w="960"/>
        <w:gridCol w:w="960"/>
        <w:gridCol w:w="960"/>
        <w:gridCol w:w="960"/>
        <w:gridCol w:w="960"/>
        <w:gridCol w:w="960"/>
        <w:gridCol w:w="960"/>
        <w:gridCol w:w="960"/>
        <w:gridCol w:w="960"/>
        <w:gridCol w:w="960"/>
      </w:tblGrid>
      <w:tr w:rsidR="009A5240" w:rsidRPr="00D5424E" w:rsidTr="009A5240">
        <w:trPr>
          <w:trHeight w:val="300"/>
        </w:trPr>
        <w:tc>
          <w:tcPr>
            <w:tcW w:w="5387" w:type="dxa"/>
            <w:tcBorders>
              <w:top w:val="single" w:sz="4" w:space="0" w:color="auto"/>
              <w:left w:val="nil"/>
              <w:bottom w:val="single" w:sz="4" w:space="0" w:color="auto"/>
              <w:right w:val="nil"/>
            </w:tcBorders>
            <w:shd w:val="clear" w:color="000000" w:fill="D9D9D9"/>
            <w:vAlign w:val="center"/>
            <w:hideMark/>
          </w:tcPr>
          <w:p w:rsidR="009A5240" w:rsidRPr="00D5424E" w:rsidRDefault="009A5240" w:rsidP="009A5240">
            <w:pPr>
              <w:spacing w:after="0" w:line="240" w:lineRule="auto"/>
              <w:jc w:val="both"/>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D5424E" w:rsidRDefault="009A5240" w:rsidP="009A5240">
            <w:pPr>
              <w:spacing w:after="0" w:line="240" w:lineRule="auto"/>
              <w:jc w:val="right"/>
              <w:rPr>
                <w:rFonts w:ascii="Times New Roman" w:eastAsia="Times New Roman" w:hAnsi="Times New Roman" w:cs="Times New Roman"/>
                <w:b/>
                <w:bCs/>
                <w:color w:val="000000"/>
                <w:sz w:val="20"/>
                <w:szCs w:val="20"/>
              </w:rPr>
            </w:pPr>
            <w:r w:rsidRPr="00D5424E">
              <w:rPr>
                <w:rFonts w:ascii="Times New Roman" w:eastAsia="Times New Roman" w:hAnsi="Times New Roman" w:cs="Times New Roman"/>
                <w:b/>
                <w:bCs/>
                <w:color w:val="000000"/>
                <w:sz w:val="20"/>
                <w:szCs w:val="20"/>
              </w:rPr>
              <w:t>2002</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D5424E" w:rsidRDefault="009A5240" w:rsidP="009A5240">
            <w:pPr>
              <w:spacing w:after="0" w:line="240" w:lineRule="auto"/>
              <w:jc w:val="right"/>
              <w:rPr>
                <w:rFonts w:ascii="Times New Roman" w:eastAsia="Times New Roman" w:hAnsi="Times New Roman" w:cs="Times New Roman"/>
                <w:b/>
                <w:bCs/>
                <w:color w:val="000000"/>
                <w:sz w:val="20"/>
                <w:szCs w:val="20"/>
              </w:rPr>
            </w:pPr>
            <w:r w:rsidRPr="00D5424E">
              <w:rPr>
                <w:rFonts w:ascii="Times New Roman" w:eastAsia="Times New Roman" w:hAnsi="Times New Roman" w:cs="Times New Roman"/>
                <w:b/>
                <w:bCs/>
                <w:color w:val="000000"/>
                <w:sz w:val="20"/>
                <w:szCs w:val="20"/>
              </w:rPr>
              <w:t>2003</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D5424E" w:rsidRDefault="009A5240" w:rsidP="009A5240">
            <w:pPr>
              <w:spacing w:after="0" w:line="240" w:lineRule="auto"/>
              <w:jc w:val="right"/>
              <w:rPr>
                <w:rFonts w:ascii="Times New Roman" w:eastAsia="Times New Roman" w:hAnsi="Times New Roman" w:cs="Times New Roman"/>
                <w:b/>
                <w:bCs/>
                <w:color w:val="000000"/>
                <w:sz w:val="20"/>
                <w:szCs w:val="20"/>
              </w:rPr>
            </w:pPr>
            <w:r w:rsidRPr="00D5424E">
              <w:rPr>
                <w:rFonts w:ascii="Times New Roman" w:eastAsia="Times New Roman" w:hAnsi="Times New Roman" w:cs="Times New Roman"/>
                <w:b/>
                <w:bCs/>
                <w:color w:val="000000"/>
                <w:sz w:val="20"/>
                <w:szCs w:val="20"/>
              </w:rPr>
              <w:t>2004</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D5424E" w:rsidRDefault="009A5240" w:rsidP="009A5240">
            <w:pPr>
              <w:spacing w:after="0" w:line="240" w:lineRule="auto"/>
              <w:jc w:val="right"/>
              <w:rPr>
                <w:rFonts w:ascii="Times New Roman" w:eastAsia="Times New Roman" w:hAnsi="Times New Roman" w:cs="Times New Roman"/>
                <w:b/>
                <w:bCs/>
                <w:color w:val="000000"/>
                <w:sz w:val="20"/>
                <w:szCs w:val="20"/>
              </w:rPr>
            </w:pPr>
            <w:r w:rsidRPr="00D5424E">
              <w:rPr>
                <w:rFonts w:ascii="Times New Roman" w:eastAsia="Times New Roman" w:hAnsi="Times New Roman" w:cs="Times New Roman"/>
                <w:b/>
                <w:bCs/>
                <w:color w:val="000000"/>
                <w:sz w:val="20"/>
                <w:szCs w:val="20"/>
              </w:rPr>
              <w:t>2005</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D5424E" w:rsidRDefault="009A5240" w:rsidP="009A5240">
            <w:pPr>
              <w:spacing w:after="0" w:line="240" w:lineRule="auto"/>
              <w:jc w:val="right"/>
              <w:rPr>
                <w:rFonts w:ascii="Times New Roman" w:eastAsia="Times New Roman" w:hAnsi="Times New Roman" w:cs="Times New Roman"/>
                <w:b/>
                <w:bCs/>
                <w:color w:val="000000"/>
                <w:sz w:val="20"/>
                <w:szCs w:val="20"/>
              </w:rPr>
            </w:pPr>
            <w:r w:rsidRPr="00D5424E">
              <w:rPr>
                <w:rFonts w:ascii="Times New Roman" w:eastAsia="Times New Roman" w:hAnsi="Times New Roman" w:cs="Times New Roman"/>
                <w:b/>
                <w:bCs/>
                <w:color w:val="000000"/>
                <w:sz w:val="20"/>
                <w:szCs w:val="20"/>
              </w:rPr>
              <w:t>2006</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D5424E" w:rsidRDefault="009A5240" w:rsidP="009A5240">
            <w:pPr>
              <w:spacing w:after="0" w:line="240" w:lineRule="auto"/>
              <w:jc w:val="right"/>
              <w:rPr>
                <w:rFonts w:ascii="Times New Roman" w:eastAsia="Times New Roman" w:hAnsi="Times New Roman" w:cs="Times New Roman"/>
                <w:b/>
                <w:bCs/>
                <w:color w:val="000000"/>
                <w:sz w:val="20"/>
                <w:szCs w:val="20"/>
              </w:rPr>
            </w:pPr>
            <w:r w:rsidRPr="00D5424E">
              <w:rPr>
                <w:rFonts w:ascii="Times New Roman" w:eastAsia="Times New Roman" w:hAnsi="Times New Roman" w:cs="Times New Roman"/>
                <w:b/>
                <w:bCs/>
                <w:color w:val="000000"/>
                <w:sz w:val="20"/>
                <w:szCs w:val="20"/>
              </w:rPr>
              <w:t>2007</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D5424E" w:rsidRDefault="009A5240" w:rsidP="009A5240">
            <w:pPr>
              <w:spacing w:after="0" w:line="240" w:lineRule="auto"/>
              <w:jc w:val="right"/>
              <w:rPr>
                <w:rFonts w:ascii="Times New Roman" w:eastAsia="Times New Roman" w:hAnsi="Times New Roman" w:cs="Times New Roman"/>
                <w:b/>
                <w:bCs/>
                <w:color w:val="000000"/>
                <w:sz w:val="20"/>
                <w:szCs w:val="20"/>
              </w:rPr>
            </w:pPr>
            <w:r w:rsidRPr="00D5424E">
              <w:rPr>
                <w:rFonts w:ascii="Times New Roman" w:eastAsia="Times New Roman" w:hAnsi="Times New Roman" w:cs="Times New Roman"/>
                <w:b/>
                <w:bCs/>
                <w:color w:val="000000"/>
                <w:sz w:val="20"/>
                <w:szCs w:val="20"/>
              </w:rPr>
              <w:t>2008</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D5424E" w:rsidRDefault="009A5240" w:rsidP="009A5240">
            <w:pPr>
              <w:spacing w:after="0" w:line="240" w:lineRule="auto"/>
              <w:jc w:val="right"/>
              <w:rPr>
                <w:rFonts w:ascii="Times New Roman" w:eastAsia="Times New Roman" w:hAnsi="Times New Roman" w:cs="Times New Roman"/>
                <w:b/>
                <w:bCs/>
                <w:color w:val="000000"/>
                <w:sz w:val="20"/>
                <w:szCs w:val="20"/>
              </w:rPr>
            </w:pPr>
            <w:r w:rsidRPr="00D5424E">
              <w:rPr>
                <w:rFonts w:ascii="Times New Roman" w:eastAsia="Times New Roman" w:hAnsi="Times New Roman" w:cs="Times New Roman"/>
                <w:b/>
                <w:bCs/>
                <w:color w:val="000000"/>
                <w:sz w:val="20"/>
                <w:szCs w:val="20"/>
              </w:rPr>
              <w:t>2009</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D5424E" w:rsidRDefault="009A5240" w:rsidP="009A5240">
            <w:pPr>
              <w:spacing w:after="0" w:line="240" w:lineRule="auto"/>
              <w:jc w:val="right"/>
              <w:rPr>
                <w:rFonts w:ascii="Times New Roman" w:eastAsia="Times New Roman" w:hAnsi="Times New Roman" w:cs="Times New Roman"/>
                <w:b/>
                <w:bCs/>
                <w:color w:val="000000"/>
                <w:sz w:val="20"/>
                <w:szCs w:val="20"/>
              </w:rPr>
            </w:pPr>
            <w:r w:rsidRPr="00D5424E">
              <w:rPr>
                <w:rFonts w:ascii="Times New Roman" w:eastAsia="Times New Roman" w:hAnsi="Times New Roman" w:cs="Times New Roman"/>
                <w:b/>
                <w:bCs/>
                <w:color w:val="000000"/>
                <w:sz w:val="20"/>
                <w:szCs w:val="20"/>
              </w:rPr>
              <w:t>2010</w:t>
            </w:r>
          </w:p>
        </w:tc>
        <w:tc>
          <w:tcPr>
            <w:tcW w:w="960" w:type="dxa"/>
            <w:tcBorders>
              <w:top w:val="single" w:sz="4" w:space="0" w:color="auto"/>
              <w:left w:val="nil"/>
              <w:bottom w:val="single" w:sz="4" w:space="0" w:color="auto"/>
              <w:right w:val="nil"/>
            </w:tcBorders>
            <w:shd w:val="clear" w:color="000000" w:fill="D9D9D9"/>
            <w:vAlign w:val="center"/>
            <w:hideMark/>
          </w:tcPr>
          <w:p w:rsidR="009A5240" w:rsidRPr="00D5424E" w:rsidRDefault="009A5240" w:rsidP="009A5240">
            <w:pPr>
              <w:spacing w:after="0" w:line="240" w:lineRule="auto"/>
              <w:jc w:val="right"/>
              <w:rPr>
                <w:rFonts w:ascii="Times New Roman" w:eastAsia="Times New Roman" w:hAnsi="Times New Roman" w:cs="Times New Roman"/>
                <w:b/>
                <w:bCs/>
                <w:color w:val="000000"/>
                <w:sz w:val="20"/>
                <w:szCs w:val="20"/>
              </w:rPr>
            </w:pPr>
            <w:r w:rsidRPr="00D5424E">
              <w:rPr>
                <w:rFonts w:ascii="Times New Roman" w:eastAsia="Times New Roman" w:hAnsi="Times New Roman" w:cs="Times New Roman"/>
                <w:b/>
                <w:bCs/>
                <w:color w:val="000000"/>
                <w:sz w:val="20"/>
                <w:szCs w:val="20"/>
              </w:rPr>
              <w:t>2011</w:t>
            </w:r>
          </w:p>
        </w:tc>
      </w:tr>
      <w:tr w:rsidR="009A5240" w:rsidRPr="00D5424E" w:rsidTr="009A5240">
        <w:trPr>
          <w:trHeight w:val="300"/>
        </w:trPr>
        <w:tc>
          <w:tcPr>
            <w:tcW w:w="5387" w:type="dxa"/>
            <w:tcBorders>
              <w:top w:val="nil"/>
              <w:left w:val="nil"/>
              <w:bottom w:val="nil"/>
              <w:right w:val="nil"/>
            </w:tcBorders>
            <w:shd w:val="clear" w:color="auto" w:fill="auto"/>
            <w:vAlign w:val="center"/>
            <w:hideMark/>
          </w:tcPr>
          <w:p w:rsidR="009A5240" w:rsidRPr="00D5424E" w:rsidRDefault="009A5240" w:rsidP="009A5240">
            <w:pPr>
              <w:spacing w:after="0" w:line="240" w:lineRule="auto"/>
              <w:jc w:val="both"/>
              <w:rPr>
                <w:rFonts w:ascii="Times New Roman" w:eastAsia="Times New Roman" w:hAnsi="Times New Roman" w:cs="Times New Roman"/>
                <w:bCs/>
                <w:color w:val="000000"/>
                <w:sz w:val="20"/>
                <w:szCs w:val="20"/>
              </w:rPr>
            </w:pPr>
            <w:r w:rsidRPr="00D5424E">
              <w:rPr>
                <w:rFonts w:ascii="Times New Roman" w:eastAsia="Times New Roman" w:hAnsi="Times New Roman" w:cs="Times New Roman"/>
                <w:bCs/>
                <w:color w:val="000000"/>
                <w:sz w:val="20"/>
                <w:szCs w:val="20"/>
              </w:rPr>
              <w:t>Stav pracujúcich v poľnohospodárstve v tis. osôb</w:t>
            </w:r>
          </w:p>
        </w:tc>
        <w:tc>
          <w:tcPr>
            <w:tcW w:w="960" w:type="dxa"/>
            <w:tcBorders>
              <w:top w:val="nil"/>
              <w:left w:val="nil"/>
              <w:bottom w:val="nil"/>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108,9</w:t>
            </w:r>
          </w:p>
        </w:tc>
        <w:tc>
          <w:tcPr>
            <w:tcW w:w="960" w:type="dxa"/>
            <w:tcBorders>
              <w:top w:val="nil"/>
              <w:left w:val="nil"/>
              <w:bottom w:val="nil"/>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99,4</w:t>
            </w:r>
          </w:p>
        </w:tc>
        <w:tc>
          <w:tcPr>
            <w:tcW w:w="960" w:type="dxa"/>
            <w:tcBorders>
              <w:top w:val="nil"/>
              <w:left w:val="nil"/>
              <w:bottom w:val="nil"/>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86,6</w:t>
            </w:r>
          </w:p>
        </w:tc>
        <w:tc>
          <w:tcPr>
            <w:tcW w:w="960" w:type="dxa"/>
            <w:tcBorders>
              <w:top w:val="nil"/>
              <w:left w:val="nil"/>
              <w:bottom w:val="nil"/>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81,5</w:t>
            </w:r>
          </w:p>
        </w:tc>
        <w:tc>
          <w:tcPr>
            <w:tcW w:w="960" w:type="dxa"/>
            <w:tcBorders>
              <w:top w:val="nil"/>
              <w:left w:val="nil"/>
              <w:bottom w:val="nil"/>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77,4</w:t>
            </w:r>
          </w:p>
        </w:tc>
        <w:tc>
          <w:tcPr>
            <w:tcW w:w="960" w:type="dxa"/>
            <w:tcBorders>
              <w:top w:val="nil"/>
              <w:left w:val="nil"/>
              <w:bottom w:val="nil"/>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75,5</w:t>
            </w:r>
          </w:p>
        </w:tc>
        <w:tc>
          <w:tcPr>
            <w:tcW w:w="960" w:type="dxa"/>
            <w:tcBorders>
              <w:top w:val="nil"/>
              <w:left w:val="nil"/>
              <w:bottom w:val="nil"/>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70,8</w:t>
            </w:r>
          </w:p>
        </w:tc>
        <w:tc>
          <w:tcPr>
            <w:tcW w:w="960" w:type="dxa"/>
            <w:tcBorders>
              <w:top w:val="nil"/>
              <w:left w:val="nil"/>
              <w:bottom w:val="nil"/>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65,3</w:t>
            </w:r>
          </w:p>
        </w:tc>
        <w:tc>
          <w:tcPr>
            <w:tcW w:w="960" w:type="dxa"/>
            <w:tcBorders>
              <w:top w:val="nil"/>
              <w:left w:val="nil"/>
              <w:bottom w:val="nil"/>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56,3</w:t>
            </w:r>
          </w:p>
        </w:tc>
        <w:tc>
          <w:tcPr>
            <w:tcW w:w="960" w:type="dxa"/>
            <w:tcBorders>
              <w:top w:val="nil"/>
              <w:left w:val="nil"/>
              <w:bottom w:val="nil"/>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51,6</w:t>
            </w:r>
          </w:p>
        </w:tc>
      </w:tr>
      <w:tr w:rsidR="009A5240" w:rsidRPr="00D5424E" w:rsidTr="009A5240">
        <w:trPr>
          <w:trHeight w:val="300"/>
        </w:trPr>
        <w:tc>
          <w:tcPr>
            <w:tcW w:w="5387" w:type="dxa"/>
            <w:tcBorders>
              <w:top w:val="nil"/>
              <w:left w:val="nil"/>
              <w:bottom w:val="nil"/>
              <w:right w:val="nil"/>
            </w:tcBorders>
            <w:shd w:val="clear" w:color="000000" w:fill="F2F2F2"/>
            <w:vAlign w:val="center"/>
            <w:hideMark/>
          </w:tcPr>
          <w:p w:rsidR="009A5240" w:rsidRPr="00D5424E" w:rsidRDefault="009A5240" w:rsidP="009A5240">
            <w:pPr>
              <w:spacing w:after="0" w:line="240" w:lineRule="auto"/>
              <w:jc w:val="both"/>
              <w:rPr>
                <w:rFonts w:ascii="Times New Roman" w:eastAsia="Times New Roman" w:hAnsi="Times New Roman" w:cs="Times New Roman"/>
                <w:bCs/>
                <w:color w:val="000000"/>
                <w:sz w:val="20"/>
                <w:szCs w:val="20"/>
              </w:rPr>
            </w:pPr>
            <w:r w:rsidRPr="00D5424E">
              <w:rPr>
                <w:rFonts w:ascii="Times New Roman" w:eastAsia="Times New Roman" w:hAnsi="Times New Roman" w:cs="Times New Roman"/>
                <w:bCs/>
                <w:color w:val="000000"/>
                <w:sz w:val="20"/>
                <w:szCs w:val="20"/>
              </w:rPr>
              <w:t>Stav pracujúcich v potravinárstve v tis. osôb</w:t>
            </w:r>
          </w:p>
        </w:tc>
        <w:tc>
          <w:tcPr>
            <w:tcW w:w="960" w:type="dxa"/>
            <w:tcBorders>
              <w:top w:val="nil"/>
              <w:left w:val="nil"/>
              <w:bottom w:val="nil"/>
              <w:right w:val="nil"/>
            </w:tcBorders>
            <w:shd w:val="clear" w:color="000000" w:fill="F2F2F2"/>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66,4</w:t>
            </w:r>
          </w:p>
        </w:tc>
        <w:tc>
          <w:tcPr>
            <w:tcW w:w="960" w:type="dxa"/>
            <w:tcBorders>
              <w:top w:val="nil"/>
              <w:left w:val="nil"/>
              <w:bottom w:val="nil"/>
              <w:right w:val="nil"/>
            </w:tcBorders>
            <w:shd w:val="clear" w:color="000000" w:fill="F2F2F2"/>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55,6</w:t>
            </w:r>
          </w:p>
        </w:tc>
        <w:tc>
          <w:tcPr>
            <w:tcW w:w="960" w:type="dxa"/>
            <w:tcBorders>
              <w:top w:val="nil"/>
              <w:left w:val="nil"/>
              <w:bottom w:val="nil"/>
              <w:right w:val="nil"/>
            </w:tcBorders>
            <w:shd w:val="clear" w:color="000000" w:fill="F2F2F2"/>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58,8</w:t>
            </w:r>
          </w:p>
        </w:tc>
        <w:tc>
          <w:tcPr>
            <w:tcW w:w="960" w:type="dxa"/>
            <w:tcBorders>
              <w:top w:val="nil"/>
              <w:left w:val="nil"/>
              <w:bottom w:val="nil"/>
              <w:right w:val="nil"/>
            </w:tcBorders>
            <w:shd w:val="clear" w:color="000000" w:fill="F2F2F2"/>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59,4</w:t>
            </w:r>
          </w:p>
        </w:tc>
        <w:tc>
          <w:tcPr>
            <w:tcW w:w="960" w:type="dxa"/>
            <w:tcBorders>
              <w:top w:val="nil"/>
              <w:left w:val="nil"/>
              <w:bottom w:val="nil"/>
              <w:right w:val="nil"/>
            </w:tcBorders>
            <w:shd w:val="clear" w:color="000000" w:fill="F2F2F2"/>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57,5</w:t>
            </w:r>
          </w:p>
        </w:tc>
        <w:tc>
          <w:tcPr>
            <w:tcW w:w="960" w:type="dxa"/>
            <w:tcBorders>
              <w:top w:val="nil"/>
              <w:left w:val="nil"/>
              <w:bottom w:val="nil"/>
              <w:right w:val="nil"/>
            </w:tcBorders>
            <w:shd w:val="clear" w:color="000000" w:fill="F2F2F2"/>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58,7</w:t>
            </w:r>
          </w:p>
        </w:tc>
        <w:tc>
          <w:tcPr>
            <w:tcW w:w="960" w:type="dxa"/>
            <w:tcBorders>
              <w:top w:val="nil"/>
              <w:left w:val="nil"/>
              <w:bottom w:val="nil"/>
              <w:right w:val="nil"/>
            </w:tcBorders>
            <w:shd w:val="clear" w:color="000000" w:fill="F2F2F2"/>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56,3</w:t>
            </w:r>
          </w:p>
        </w:tc>
        <w:tc>
          <w:tcPr>
            <w:tcW w:w="960" w:type="dxa"/>
            <w:tcBorders>
              <w:top w:val="nil"/>
              <w:left w:val="nil"/>
              <w:bottom w:val="nil"/>
              <w:right w:val="nil"/>
            </w:tcBorders>
            <w:shd w:val="clear" w:color="000000" w:fill="F2F2F2"/>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60,1</w:t>
            </w:r>
          </w:p>
        </w:tc>
        <w:tc>
          <w:tcPr>
            <w:tcW w:w="960" w:type="dxa"/>
            <w:tcBorders>
              <w:top w:val="nil"/>
              <w:left w:val="nil"/>
              <w:bottom w:val="nil"/>
              <w:right w:val="nil"/>
            </w:tcBorders>
            <w:shd w:val="clear" w:color="000000" w:fill="F2F2F2"/>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55,3</w:t>
            </w:r>
          </w:p>
        </w:tc>
        <w:tc>
          <w:tcPr>
            <w:tcW w:w="960" w:type="dxa"/>
            <w:tcBorders>
              <w:top w:val="nil"/>
              <w:left w:val="nil"/>
              <w:bottom w:val="nil"/>
              <w:right w:val="nil"/>
            </w:tcBorders>
            <w:shd w:val="clear" w:color="000000" w:fill="F2F2F2"/>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49,6</w:t>
            </w:r>
          </w:p>
        </w:tc>
      </w:tr>
      <w:tr w:rsidR="009A5240" w:rsidRPr="00D5424E" w:rsidTr="009A5240">
        <w:trPr>
          <w:trHeight w:val="300"/>
        </w:trPr>
        <w:tc>
          <w:tcPr>
            <w:tcW w:w="5387" w:type="dxa"/>
            <w:tcBorders>
              <w:top w:val="nil"/>
              <w:left w:val="nil"/>
              <w:bottom w:val="single" w:sz="4" w:space="0" w:color="auto"/>
              <w:right w:val="nil"/>
            </w:tcBorders>
            <w:shd w:val="clear" w:color="auto" w:fill="auto"/>
            <w:vAlign w:val="center"/>
            <w:hideMark/>
          </w:tcPr>
          <w:p w:rsidR="009A5240" w:rsidRPr="00D5424E" w:rsidRDefault="009A5240" w:rsidP="009A5240">
            <w:pPr>
              <w:spacing w:after="0" w:line="240" w:lineRule="auto"/>
              <w:jc w:val="both"/>
              <w:rPr>
                <w:rFonts w:ascii="Times New Roman" w:eastAsia="Times New Roman" w:hAnsi="Times New Roman" w:cs="Times New Roman"/>
                <w:bCs/>
                <w:color w:val="000000"/>
                <w:sz w:val="20"/>
                <w:szCs w:val="20"/>
              </w:rPr>
            </w:pPr>
            <w:r w:rsidRPr="00D5424E">
              <w:rPr>
                <w:rFonts w:ascii="Times New Roman" w:eastAsia="Times New Roman" w:hAnsi="Times New Roman" w:cs="Times New Roman"/>
                <w:bCs/>
                <w:color w:val="000000"/>
                <w:sz w:val="20"/>
                <w:szCs w:val="20"/>
              </w:rPr>
              <w:t>Stav pracujúcich v lesníctve v tis. osôb</w:t>
            </w:r>
          </w:p>
        </w:tc>
        <w:tc>
          <w:tcPr>
            <w:tcW w:w="960" w:type="dxa"/>
            <w:tcBorders>
              <w:top w:val="nil"/>
              <w:left w:val="nil"/>
              <w:bottom w:val="single" w:sz="4" w:space="0" w:color="auto"/>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20,5</w:t>
            </w:r>
          </w:p>
        </w:tc>
        <w:tc>
          <w:tcPr>
            <w:tcW w:w="960" w:type="dxa"/>
            <w:tcBorders>
              <w:top w:val="nil"/>
              <w:left w:val="nil"/>
              <w:bottom w:val="single" w:sz="4" w:space="0" w:color="auto"/>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18,1</w:t>
            </w:r>
          </w:p>
        </w:tc>
        <w:tc>
          <w:tcPr>
            <w:tcW w:w="960" w:type="dxa"/>
            <w:tcBorders>
              <w:top w:val="nil"/>
              <w:left w:val="nil"/>
              <w:bottom w:val="single" w:sz="4" w:space="0" w:color="auto"/>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14,9</w:t>
            </w:r>
          </w:p>
        </w:tc>
        <w:tc>
          <w:tcPr>
            <w:tcW w:w="960" w:type="dxa"/>
            <w:tcBorders>
              <w:top w:val="nil"/>
              <w:left w:val="nil"/>
              <w:bottom w:val="single" w:sz="4" w:space="0" w:color="auto"/>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13,7</w:t>
            </w:r>
          </w:p>
        </w:tc>
        <w:tc>
          <w:tcPr>
            <w:tcW w:w="960" w:type="dxa"/>
            <w:tcBorders>
              <w:top w:val="nil"/>
              <w:left w:val="nil"/>
              <w:bottom w:val="single" w:sz="4" w:space="0" w:color="auto"/>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12,0</w:t>
            </w:r>
          </w:p>
        </w:tc>
        <w:tc>
          <w:tcPr>
            <w:tcW w:w="960" w:type="dxa"/>
            <w:tcBorders>
              <w:top w:val="nil"/>
              <w:left w:val="nil"/>
              <w:bottom w:val="single" w:sz="4" w:space="0" w:color="auto"/>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12,0</w:t>
            </w:r>
          </w:p>
        </w:tc>
        <w:tc>
          <w:tcPr>
            <w:tcW w:w="960" w:type="dxa"/>
            <w:tcBorders>
              <w:top w:val="nil"/>
              <w:left w:val="nil"/>
              <w:bottom w:val="single" w:sz="4" w:space="0" w:color="auto"/>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14,2</w:t>
            </w:r>
          </w:p>
        </w:tc>
        <w:tc>
          <w:tcPr>
            <w:tcW w:w="960" w:type="dxa"/>
            <w:tcBorders>
              <w:top w:val="nil"/>
              <w:left w:val="nil"/>
              <w:bottom w:val="single" w:sz="4" w:space="0" w:color="auto"/>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10,9</w:t>
            </w:r>
          </w:p>
        </w:tc>
        <w:tc>
          <w:tcPr>
            <w:tcW w:w="960" w:type="dxa"/>
            <w:tcBorders>
              <w:top w:val="nil"/>
              <w:left w:val="nil"/>
              <w:bottom w:val="single" w:sz="4" w:space="0" w:color="auto"/>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10,1</w:t>
            </w:r>
          </w:p>
        </w:tc>
        <w:tc>
          <w:tcPr>
            <w:tcW w:w="960" w:type="dxa"/>
            <w:tcBorders>
              <w:top w:val="nil"/>
              <w:left w:val="nil"/>
              <w:bottom w:val="single" w:sz="4" w:space="0" w:color="auto"/>
              <w:right w:val="nil"/>
            </w:tcBorders>
            <w:shd w:val="clear" w:color="auto" w:fill="auto"/>
            <w:vAlign w:val="center"/>
            <w:hideMark/>
          </w:tcPr>
          <w:p w:rsidR="009A5240" w:rsidRPr="00D5424E" w:rsidRDefault="009A5240" w:rsidP="009A5240">
            <w:pPr>
              <w:spacing w:after="0" w:line="240" w:lineRule="auto"/>
              <w:jc w:val="right"/>
              <w:rPr>
                <w:rFonts w:ascii="Times New Roman" w:eastAsia="Times New Roman" w:hAnsi="Times New Roman" w:cs="Times New Roman"/>
                <w:color w:val="000000"/>
                <w:sz w:val="20"/>
                <w:szCs w:val="20"/>
              </w:rPr>
            </w:pPr>
            <w:r w:rsidRPr="00D5424E">
              <w:rPr>
                <w:rFonts w:ascii="Times New Roman" w:eastAsia="Times New Roman" w:hAnsi="Times New Roman" w:cs="Times New Roman"/>
                <w:color w:val="000000"/>
                <w:sz w:val="20"/>
                <w:szCs w:val="20"/>
              </w:rPr>
              <w:t>10,0</w:t>
            </w:r>
          </w:p>
        </w:tc>
      </w:tr>
    </w:tbl>
    <w:p w:rsidR="009A5240" w:rsidRDefault="009A5240" w:rsidP="009A5240">
      <w:pPr>
        <w:ind w:left="-851" w:right="-457"/>
        <w:jc w:val="right"/>
        <w:rPr>
          <w:rFonts w:ascii="Times New Roman" w:hAnsi="Times New Roman" w:cs="Times New Roman"/>
          <w:sz w:val="20"/>
          <w:szCs w:val="20"/>
        </w:rPr>
      </w:pPr>
      <w:r w:rsidRPr="001C4707">
        <w:rPr>
          <w:rFonts w:ascii="Times New Roman" w:hAnsi="Times New Roman" w:cs="Times New Roman"/>
          <w:sz w:val="20"/>
          <w:szCs w:val="20"/>
        </w:rPr>
        <w:t xml:space="preserve">Zdroj: </w:t>
      </w:r>
      <w:r>
        <w:rPr>
          <w:rFonts w:ascii="Times New Roman" w:hAnsi="Times New Roman" w:cs="Times New Roman"/>
          <w:sz w:val="20"/>
          <w:szCs w:val="20"/>
        </w:rPr>
        <w:t>NLC-ÚLZI Zvolen</w:t>
      </w:r>
    </w:p>
    <w:p w:rsidR="009A5240" w:rsidRDefault="009A5240" w:rsidP="009A5240">
      <w:pPr>
        <w:ind w:left="-851" w:right="-457"/>
        <w:rPr>
          <w:rFonts w:ascii="Times New Roman" w:hAnsi="Times New Roman" w:cs="Times New Roman"/>
          <w:sz w:val="20"/>
          <w:szCs w:val="20"/>
        </w:rPr>
      </w:pPr>
    </w:p>
    <w:p w:rsidR="009A5240" w:rsidRDefault="009A5240" w:rsidP="009A5240">
      <w:pPr>
        <w:ind w:left="-851" w:right="-457"/>
        <w:rPr>
          <w:rFonts w:ascii="Times New Roman" w:hAnsi="Times New Roman" w:cs="Times New Roman"/>
          <w:sz w:val="20"/>
          <w:szCs w:val="20"/>
        </w:rPr>
      </w:pPr>
    </w:p>
    <w:p w:rsidR="009A5240" w:rsidRDefault="009A5240" w:rsidP="009A5240">
      <w:pPr>
        <w:ind w:left="-851" w:right="-457"/>
        <w:rPr>
          <w:rFonts w:ascii="Times New Roman" w:hAnsi="Times New Roman" w:cs="Times New Roman"/>
          <w:sz w:val="20"/>
          <w:szCs w:val="20"/>
        </w:rPr>
      </w:pPr>
    </w:p>
    <w:p w:rsidR="009A5240" w:rsidRDefault="009A5240" w:rsidP="009A5240">
      <w:pPr>
        <w:ind w:left="-851" w:right="-457"/>
        <w:rPr>
          <w:rFonts w:ascii="Times New Roman" w:hAnsi="Times New Roman" w:cs="Times New Roman"/>
          <w:sz w:val="20"/>
          <w:szCs w:val="20"/>
        </w:rPr>
      </w:pPr>
    </w:p>
    <w:p w:rsidR="009A5240" w:rsidRDefault="009A5240" w:rsidP="009A5240">
      <w:pPr>
        <w:ind w:left="-851" w:right="-457"/>
        <w:rPr>
          <w:rFonts w:ascii="Times New Roman" w:hAnsi="Times New Roman" w:cs="Times New Roman"/>
          <w:sz w:val="20"/>
          <w:szCs w:val="20"/>
        </w:rPr>
      </w:pPr>
    </w:p>
    <w:p w:rsidR="009A5240" w:rsidRDefault="009A5240" w:rsidP="009A5240">
      <w:pPr>
        <w:ind w:left="-851" w:right="-457"/>
        <w:rPr>
          <w:rFonts w:ascii="Times New Roman" w:hAnsi="Times New Roman" w:cs="Times New Roman"/>
          <w:sz w:val="20"/>
          <w:szCs w:val="20"/>
        </w:rPr>
      </w:pPr>
    </w:p>
    <w:p w:rsidR="009A5240" w:rsidRDefault="009A5240" w:rsidP="009A5240">
      <w:pPr>
        <w:ind w:left="-851" w:right="-457"/>
        <w:rPr>
          <w:rFonts w:ascii="Times New Roman" w:hAnsi="Times New Roman" w:cs="Times New Roman"/>
          <w:sz w:val="20"/>
          <w:szCs w:val="20"/>
        </w:rPr>
      </w:pPr>
    </w:p>
    <w:p w:rsidR="009A5240" w:rsidRDefault="009A5240" w:rsidP="009A5240">
      <w:pPr>
        <w:ind w:left="-851" w:right="-457"/>
        <w:rPr>
          <w:rFonts w:ascii="Times New Roman" w:hAnsi="Times New Roman" w:cs="Times New Roman"/>
          <w:sz w:val="20"/>
          <w:szCs w:val="20"/>
        </w:rPr>
      </w:pPr>
    </w:p>
    <w:p w:rsidR="009A5240" w:rsidRDefault="009A5240" w:rsidP="009A5240">
      <w:pPr>
        <w:ind w:left="-851" w:right="-457"/>
        <w:rPr>
          <w:rFonts w:ascii="Times New Roman" w:hAnsi="Times New Roman" w:cs="Times New Roman"/>
          <w:sz w:val="20"/>
          <w:szCs w:val="20"/>
        </w:rPr>
      </w:pPr>
    </w:p>
    <w:p w:rsidR="009A5240" w:rsidRPr="001C4707" w:rsidRDefault="009A5240" w:rsidP="009A5240">
      <w:pPr>
        <w:ind w:left="-851" w:right="-457"/>
        <w:rPr>
          <w:rFonts w:ascii="Times New Roman" w:hAnsi="Times New Roman" w:cs="Times New Roman"/>
          <w:sz w:val="20"/>
          <w:szCs w:val="20"/>
        </w:rPr>
      </w:pPr>
    </w:p>
    <w:p w:rsidR="009A5240" w:rsidRPr="009A5240" w:rsidRDefault="009A5240" w:rsidP="009A5240">
      <w:pPr>
        <w:spacing w:after="0" w:line="240" w:lineRule="auto"/>
        <w:jc w:val="both"/>
        <w:rPr>
          <w:rFonts w:ascii="Times New Roman" w:eastAsia="Calibri" w:hAnsi="Times New Roman"/>
          <w:sz w:val="24"/>
          <w:szCs w:val="24"/>
        </w:rPr>
      </w:pPr>
    </w:p>
    <w:sectPr w:rsidR="009A5240" w:rsidRPr="009A5240" w:rsidSect="00997D47">
      <w:pgSz w:w="16838" w:h="11906" w:orient="landscape"/>
      <w:pgMar w:top="567" w:right="1418" w:bottom="426"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94" w:rsidRDefault="00123294" w:rsidP="00997F3D">
      <w:pPr>
        <w:spacing w:after="0" w:line="240" w:lineRule="auto"/>
      </w:pPr>
      <w:r>
        <w:separator/>
      </w:r>
    </w:p>
    <w:p w:rsidR="00123294" w:rsidRDefault="00123294"/>
  </w:endnote>
  <w:endnote w:type="continuationSeparator" w:id="0">
    <w:p w:rsidR="00123294" w:rsidRDefault="00123294" w:rsidP="00997F3D">
      <w:pPr>
        <w:spacing w:after="0" w:line="240" w:lineRule="auto"/>
      </w:pPr>
      <w:r>
        <w:continuationSeparator/>
      </w:r>
    </w:p>
    <w:p w:rsidR="00123294" w:rsidRDefault="00123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ws Serif EE">
    <w:altName w:val="Symbol"/>
    <w:charset w:val="02"/>
    <w:family w:val="swiss"/>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TimesNewRomanPSMT">
    <w:altName w:val="Times New Roman"/>
    <w:charset w:val="00"/>
    <w:family w:val="roman"/>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0262696"/>
      <w:docPartObj>
        <w:docPartGallery w:val="Page Numbers (Bottom of Page)"/>
        <w:docPartUnique/>
      </w:docPartObj>
    </w:sdtPr>
    <w:sdtEndPr/>
    <w:sdtContent>
      <w:p w:rsidR="00980583" w:rsidRPr="00A93F56" w:rsidRDefault="00980583">
        <w:pPr>
          <w:pStyle w:val="Pta"/>
          <w:jc w:val="right"/>
          <w:rPr>
            <w:sz w:val="20"/>
          </w:rPr>
        </w:pPr>
        <w:r w:rsidRPr="00A93F56">
          <w:rPr>
            <w:rFonts w:ascii="Times New Roman" w:hAnsi="Times New Roman"/>
            <w:sz w:val="20"/>
          </w:rPr>
          <w:fldChar w:fldCharType="begin"/>
        </w:r>
        <w:r w:rsidRPr="00A93F56">
          <w:rPr>
            <w:rFonts w:ascii="Times New Roman" w:hAnsi="Times New Roman"/>
            <w:sz w:val="20"/>
          </w:rPr>
          <w:instrText xml:space="preserve"> PAGE   \* MERGEFORMAT </w:instrText>
        </w:r>
        <w:r w:rsidRPr="00A93F56">
          <w:rPr>
            <w:rFonts w:ascii="Times New Roman" w:hAnsi="Times New Roman"/>
            <w:sz w:val="20"/>
          </w:rPr>
          <w:fldChar w:fldCharType="separate"/>
        </w:r>
        <w:r w:rsidR="00FB0238">
          <w:rPr>
            <w:rFonts w:ascii="Times New Roman" w:hAnsi="Times New Roman"/>
            <w:noProof/>
            <w:sz w:val="20"/>
          </w:rPr>
          <w:t>133</w:t>
        </w:r>
        <w:r w:rsidRPr="00A93F56">
          <w:rPr>
            <w:rFonts w:ascii="Times New Roman" w:hAnsi="Times New Roman"/>
            <w:sz w:val="20"/>
          </w:rPr>
          <w:fldChar w:fldCharType="end"/>
        </w:r>
      </w:p>
    </w:sdtContent>
  </w:sdt>
  <w:p w:rsidR="00980583" w:rsidRDefault="00980583">
    <w:pPr>
      <w:pStyle w:val="Pta"/>
    </w:pPr>
  </w:p>
  <w:p w:rsidR="00980583" w:rsidRDefault="009805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94" w:rsidRDefault="00123294" w:rsidP="00997F3D">
      <w:pPr>
        <w:spacing w:after="0" w:line="240" w:lineRule="auto"/>
      </w:pPr>
      <w:r>
        <w:separator/>
      </w:r>
    </w:p>
    <w:p w:rsidR="00123294" w:rsidRDefault="00123294"/>
  </w:footnote>
  <w:footnote w:type="continuationSeparator" w:id="0">
    <w:p w:rsidR="00123294" w:rsidRDefault="00123294" w:rsidP="00997F3D">
      <w:pPr>
        <w:spacing w:after="0" w:line="240" w:lineRule="auto"/>
      </w:pPr>
      <w:r>
        <w:continuationSeparator/>
      </w:r>
    </w:p>
    <w:p w:rsidR="00123294" w:rsidRDefault="001232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87EEB9C"/>
    <w:lvl w:ilvl="0">
      <w:start w:val="1"/>
      <w:numFmt w:val="bullet"/>
      <w:pStyle w:val="Zoznamsodrkami2"/>
      <w:lvlText w:val=""/>
      <w:lvlJc w:val="left"/>
      <w:pPr>
        <w:tabs>
          <w:tab w:val="num" w:pos="643"/>
        </w:tabs>
        <w:ind w:left="643" w:hanging="360"/>
      </w:pPr>
      <w:rPr>
        <w:rFonts w:ascii="Symbol" w:hAnsi="Symbol" w:hint="default"/>
      </w:rPr>
    </w:lvl>
  </w:abstractNum>
  <w:abstractNum w:abstractNumId="1">
    <w:nsid w:val="00B01FAD"/>
    <w:multiLevelType w:val="hybridMultilevel"/>
    <w:tmpl w:val="E4A8C08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0D22575"/>
    <w:multiLevelType w:val="hybridMultilevel"/>
    <w:tmpl w:val="7ABE26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29251D6"/>
    <w:multiLevelType w:val="hybridMultilevel"/>
    <w:tmpl w:val="9CC48714"/>
    <w:lvl w:ilvl="0" w:tplc="A0521A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4CB1523"/>
    <w:multiLevelType w:val="hybridMultilevel"/>
    <w:tmpl w:val="F250684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98C6C06"/>
    <w:multiLevelType w:val="hybridMultilevel"/>
    <w:tmpl w:val="0C661D3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C6D7593"/>
    <w:multiLevelType w:val="hybridMultilevel"/>
    <w:tmpl w:val="9E689CA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DE546EC"/>
    <w:multiLevelType w:val="hybridMultilevel"/>
    <w:tmpl w:val="2E4C8B9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FBC47E8"/>
    <w:multiLevelType w:val="hybridMultilevel"/>
    <w:tmpl w:val="91C246C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0C62F19"/>
    <w:multiLevelType w:val="hybridMultilevel"/>
    <w:tmpl w:val="9CC48714"/>
    <w:lvl w:ilvl="0" w:tplc="A0521A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D02772"/>
    <w:multiLevelType w:val="hybridMultilevel"/>
    <w:tmpl w:val="F774DD0A"/>
    <w:lvl w:ilvl="0" w:tplc="858E261E">
      <w:start w:val="1"/>
      <w:numFmt w:val="decimal"/>
      <w:lvlText w:val="%1.)"/>
      <w:lvlJc w:val="left"/>
      <w:pPr>
        <w:tabs>
          <w:tab w:val="num" w:pos="750"/>
        </w:tabs>
        <w:ind w:left="750" w:hanging="390"/>
      </w:pPr>
      <w:rPr>
        <w:rFonts w:hint="default"/>
      </w:rPr>
    </w:lvl>
    <w:lvl w:ilvl="1" w:tplc="7D04A54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8DB51C9"/>
    <w:multiLevelType w:val="hybridMultilevel"/>
    <w:tmpl w:val="A422459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D190704"/>
    <w:multiLevelType w:val="hybridMultilevel"/>
    <w:tmpl w:val="966C4054"/>
    <w:lvl w:ilvl="0" w:tplc="041B0005">
      <w:start w:val="1"/>
      <w:numFmt w:val="bullet"/>
      <w:lvlText w:val=""/>
      <w:lvlJc w:val="left"/>
      <w:pPr>
        <w:ind w:left="720" w:hanging="360"/>
      </w:pPr>
      <w:rPr>
        <w:rFonts w:ascii="Wingdings" w:hAnsi="Wingdings" w:hint="default"/>
      </w:rPr>
    </w:lvl>
    <w:lvl w:ilvl="1" w:tplc="3536A5EA">
      <w:numFmt w:val="bullet"/>
      <w:lvlText w:val="-"/>
      <w:lvlJc w:val="left"/>
      <w:pPr>
        <w:ind w:left="1785" w:hanging="705"/>
      </w:pPr>
      <w:rPr>
        <w:rFonts w:ascii="Times New Roman" w:eastAsiaTheme="minorEastAsia"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E20770D"/>
    <w:multiLevelType w:val="hybridMultilevel"/>
    <w:tmpl w:val="E72036C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EF005B4"/>
    <w:multiLevelType w:val="hybridMultilevel"/>
    <w:tmpl w:val="F73077B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65C5D5C"/>
    <w:multiLevelType w:val="multilevel"/>
    <w:tmpl w:val="B33EC3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421D87"/>
    <w:multiLevelType w:val="hybridMultilevel"/>
    <w:tmpl w:val="EE0E2AB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405672D"/>
    <w:multiLevelType w:val="hybridMultilevel"/>
    <w:tmpl w:val="DCB46C6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9510835"/>
    <w:multiLevelType w:val="hybridMultilevel"/>
    <w:tmpl w:val="9426F5A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B237B31"/>
    <w:multiLevelType w:val="hybridMultilevel"/>
    <w:tmpl w:val="8F86B36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B3C3216"/>
    <w:multiLevelType w:val="hybridMultilevel"/>
    <w:tmpl w:val="5914D6AA"/>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785" w:hanging="705"/>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D163C42"/>
    <w:multiLevelType w:val="hybridMultilevel"/>
    <w:tmpl w:val="CC7C6B4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EE4777B"/>
    <w:multiLevelType w:val="hybridMultilevel"/>
    <w:tmpl w:val="0E8422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0554346"/>
    <w:multiLevelType w:val="hybridMultilevel"/>
    <w:tmpl w:val="E2C06636"/>
    <w:lvl w:ilvl="0" w:tplc="BE2C3734">
      <w:numFmt w:val="bullet"/>
      <w:lvlText w:val="-"/>
      <w:lvlJc w:val="left"/>
      <w:pPr>
        <w:ind w:left="720" w:hanging="360"/>
      </w:pPr>
      <w:rPr>
        <w:rFonts w:ascii="Times New Roman" w:eastAsia="Times New Roman" w:hAnsi="Times New Roman" w:hint="default"/>
        <w:i w:val="0"/>
      </w:rPr>
    </w:lvl>
    <w:lvl w:ilvl="1" w:tplc="BE2C3734">
      <w:numFmt w:val="bullet"/>
      <w:lvlText w:val="-"/>
      <w:lvlJc w:val="left"/>
      <w:pPr>
        <w:ind w:left="1440" w:hanging="360"/>
      </w:pPr>
      <w:rPr>
        <w:rFonts w:ascii="Times New Roman" w:eastAsia="Times New Roman" w:hAnsi="Times New Roman" w:hint="default"/>
        <w:i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16D2D87"/>
    <w:multiLevelType w:val="hybridMultilevel"/>
    <w:tmpl w:val="AF4C919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7D60E5B"/>
    <w:multiLevelType w:val="hybridMultilevel"/>
    <w:tmpl w:val="4B521A0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8AE0922"/>
    <w:multiLevelType w:val="hybridMultilevel"/>
    <w:tmpl w:val="3EF4AA2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16C6894"/>
    <w:multiLevelType w:val="hybridMultilevel"/>
    <w:tmpl w:val="67548AD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C5B581E"/>
    <w:multiLevelType w:val="hybridMultilevel"/>
    <w:tmpl w:val="8A5C5428"/>
    <w:lvl w:ilvl="0" w:tplc="041B001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D28215E"/>
    <w:multiLevelType w:val="hybridMultilevel"/>
    <w:tmpl w:val="785CC2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D612F7B"/>
    <w:multiLevelType w:val="hybridMultilevel"/>
    <w:tmpl w:val="8294D5A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F451E69"/>
    <w:multiLevelType w:val="hybridMultilevel"/>
    <w:tmpl w:val="C99295B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0DF2671"/>
    <w:multiLevelType w:val="hybridMultilevel"/>
    <w:tmpl w:val="13DAD14C"/>
    <w:lvl w:ilvl="0" w:tplc="041B001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3E3596D"/>
    <w:multiLevelType w:val="hybridMultilevel"/>
    <w:tmpl w:val="C1AA1EA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4780CE0"/>
    <w:multiLevelType w:val="hybridMultilevel"/>
    <w:tmpl w:val="3184F59A"/>
    <w:lvl w:ilvl="0" w:tplc="041B0005">
      <w:start w:val="1"/>
      <w:numFmt w:val="bullet"/>
      <w:lvlText w:val=""/>
      <w:lvlJc w:val="left"/>
      <w:pPr>
        <w:ind w:left="720" w:hanging="360"/>
      </w:pPr>
      <w:rPr>
        <w:rFonts w:ascii="Wingdings" w:hAnsi="Wingdings" w:hint="default"/>
      </w:rPr>
    </w:lvl>
    <w:lvl w:ilvl="1" w:tplc="BD980768">
      <w:numFmt w:val="bullet"/>
      <w:lvlText w:val="•"/>
      <w:lvlJc w:val="left"/>
      <w:pPr>
        <w:ind w:left="1785" w:hanging="705"/>
      </w:pPr>
      <w:rPr>
        <w:rFonts w:ascii="Times New Roman" w:eastAsiaTheme="minorEastAsia"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80377AF"/>
    <w:multiLevelType w:val="hybridMultilevel"/>
    <w:tmpl w:val="8A5A149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D2B5511"/>
    <w:multiLevelType w:val="singleLevel"/>
    <w:tmpl w:val="74A09970"/>
    <w:lvl w:ilvl="0">
      <w:start w:val="1"/>
      <w:numFmt w:val="bullet"/>
      <w:pStyle w:val="Zoznamsodrkami"/>
      <w:lvlText w:val=""/>
      <w:lvlJc w:val="left"/>
      <w:pPr>
        <w:tabs>
          <w:tab w:val="num" w:pos="283"/>
        </w:tabs>
        <w:ind w:left="283" w:hanging="283"/>
      </w:pPr>
      <w:rPr>
        <w:rFonts w:ascii="Symbol" w:hAnsi="Symbol" w:hint="default"/>
      </w:rPr>
    </w:lvl>
  </w:abstractNum>
  <w:abstractNum w:abstractNumId="37">
    <w:nsid w:val="76D1724D"/>
    <w:multiLevelType w:val="hybridMultilevel"/>
    <w:tmpl w:val="A7BEBD8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740119F"/>
    <w:multiLevelType w:val="hybridMultilevel"/>
    <w:tmpl w:val="54A6CCB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78F5190C"/>
    <w:multiLevelType w:val="hybridMultilevel"/>
    <w:tmpl w:val="B866B6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AD92A4C"/>
    <w:multiLevelType w:val="hybridMultilevel"/>
    <w:tmpl w:val="A76EC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F6D5999"/>
    <w:multiLevelType w:val="hybridMultilevel"/>
    <w:tmpl w:val="18D884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7"/>
  </w:num>
  <w:num w:numId="4">
    <w:abstractNumId w:val="4"/>
  </w:num>
  <w:num w:numId="5">
    <w:abstractNumId w:val="29"/>
  </w:num>
  <w:num w:numId="6">
    <w:abstractNumId w:val="5"/>
  </w:num>
  <w:num w:numId="7">
    <w:abstractNumId w:val="18"/>
  </w:num>
  <w:num w:numId="8">
    <w:abstractNumId w:val="15"/>
  </w:num>
  <w:num w:numId="9">
    <w:abstractNumId w:val="25"/>
  </w:num>
  <w:num w:numId="10">
    <w:abstractNumId w:val="36"/>
  </w:num>
  <w:num w:numId="11">
    <w:abstractNumId w:val="7"/>
  </w:num>
  <w:num w:numId="12">
    <w:abstractNumId w:val="0"/>
  </w:num>
  <w:num w:numId="13">
    <w:abstractNumId w:val="41"/>
  </w:num>
  <w:num w:numId="14">
    <w:abstractNumId w:val="16"/>
  </w:num>
  <w:num w:numId="15">
    <w:abstractNumId w:val="27"/>
  </w:num>
  <w:num w:numId="16">
    <w:abstractNumId w:val="39"/>
  </w:num>
  <w:num w:numId="17">
    <w:abstractNumId w:val="28"/>
  </w:num>
  <w:num w:numId="18">
    <w:abstractNumId w:val="37"/>
  </w:num>
  <w:num w:numId="19">
    <w:abstractNumId w:val="32"/>
  </w:num>
  <w:num w:numId="20">
    <w:abstractNumId w:val="35"/>
  </w:num>
  <w:num w:numId="21">
    <w:abstractNumId w:val="6"/>
  </w:num>
  <w:num w:numId="22">
    <w:abstractNumId w:val="24"/>
  </w:num>
  <w:num w:numId="23">
    <w:abstractNumId w:val="26"/>
  </w:num>
  <w:num w:numId="24">
    <w:abstractNumId w:val="1"/>
  </w:num>
  <w:num w:numId="25">
    <w:abstractNumId w:val="40"/>
  </w:num>
  <w:num w:numId="26">
    <w:abstractNumId w:val="33"/>
  </w:num>
  <w:num w:numId="27">
    <w:abstractNumId w:val="38"/>
  </w:num>
  <w:num w:numId="28">
    <w:abstractNumId w:val="14"/>
  </w:num>
  <w:num w:numId="29">
    <w:abstractNumId w:val="30"/>
  </w:num>
  <w:num w:numId="30">
    <w:abstractNumId w:val="3"/>
  </w:num>
  <w:num w:numId="31">
    <w:abstractNumId w:val="9"/>
  </w:num>
  <w:num w:numId="32">
    <w:abstractNumId w:val="19"/>
  </w:num>
  <w:num w:numId="33">
    <w:abstractNumId w:val="11"/>
  </w:num>
  <w:num w:numId="34">
    <w:abstractNumId w:val="31"/>
  </w:num>
  <w:num w:numId="35">
    <w:abstractNumId w:val="10"/>
  </w:num>
  <w:num w:numId="36">
    <w:abstractNumId w:val="34"/>
  </w:num>
  <w:num w:numId="37">
    <w:abstractNumId w:val="23"/>
  </w:num>
  <w:num w:numId="38">
    <w:abstractNumId w:val="12"/>
  </w:num>
  <w:num w:numId="39">
    <w:abstractNumId w:val="22"/>
  </w:num>
  <w:num w:numId="40">
    <w:abstractNumId w:val="20"/>
  </w:num>
  <w:num w:numId="41">
    <w:abstractNumId w:val="8"/>
  </w:num>
  <w:num w:numId="42">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C2"/>
    <w:rsid w:val="00003E91"/>
    <w:rsid w:val="0000496B"/>
    <w:rsid w:val="0000713C"/>
    <w:rsid w:val="00007A00"/>
    <w:rsid w:val="00007CBC"/>
    <w:rsid w:val="00012C30"/>
    <w:rsid w:val="00012CB7"/>
    <w:rsid w:val="00013709"/>
    <w:rsid w:val="00013BD1"/>
    <w:rsid w:val="0001510B"/>
    <w:rsid w:val="000154F3"/>
    <w:rsid w:val="00015827"/>
    <w:rsid w:val="00015E85"/>
    <w:rsid w:val="00017726"/>
    <w:rsid w:val="00017D57"/>
    <w:rsid w:val="0002086B"/>
    <w:rsid w:val="00020F06"/>
    <w:rsid w:val="00023D55"/>
    <w:rsid w:val="00024A34"/>
    <w:rsid w:val="00025BEF"/>
    <w:rsid w:val="00026B33"/>
    <w:rsid w:val="00026F29"/>
    <w:rsid w:val="000272FF"/>
    <w:rsid w:val="000319A3"/>
    <w:rsid w:val="00032360"/>
    <w:rsid w:val="00033134"/>
    <w:rsid w:val="000334F8"/>
    <w:rsid w:val="00036C47"/>
    <w:rsid w:val="000437EE"/>
    <w:rsid w:val="0004467E"/>
    <w:rsid w:val="00046936"/>
    <w:rsid w:val="000479CE"/>
    <w:rsid w:val="00056EB0"/>
    <w:rsid w:val="00060C8C"/>
    <w:rsid w:val="00063A4B"/>
    <w:rsid w:val="00063C0F"/>
    <w:rsid w:val="00064647"/>
    <w:rsid w:val="000653CE"/>
    <w:rsid w:val="00066B79"/>
    <w:rsid w:val="00075CD9"/>
    <w:rsid w:val="00075FD5"/>
    <w:rsid w:val="0008160F"/>
    <w:rsid w:val="00083204"/>
    <w:rsid w:val="00087889"/>
    <w:rsid w:val="00094719"/>
    <w:rsid w:val="0009525B"/>
    <w:rsid w:val="000957FC"/>
    <w:rsid w:val="000A3A8D"/>
    <w:rsid w:val="000A50D7"/>
    <w:rsid w:val="000A5206"/>
    <w:rsid w:val="000B0523"/>
    <w:rsid w:val="000B0D07"/>
    <w:rsid w:val="000B27E1"/>
    <w:rsid w:val="000B35C0"/>
    <w:rsid w:val="000B46AE"/>
    <w:rsid w:val="000B558C"/>
    <w:rsid w:val="000B5CAC"/>
    <w:rsid w:val="000B65F7"/>
    <w:rsid w:val="000B696A"/>
    <w:rsid w:val="000C1445"/>
    <w:rsid w:val="000C380F"/>
    <w:rsid w:val="000C3DB2"/>
    <w:rsid w:val="000C5AFE"/>
    <w:rsid w:val="000C7503"/>
    <w:rsid w:val="000C767F"/>
    <w:rsid w:val="000D3756"/>
    <w:rsid w:val="000D50B8"/>
    <w:rsid w:val="000D68DC"/>
    <w:rsid w:val="000D7BF0"/>
    <w:rsid w:val="000E029B"/>
    <w:rsid w:val="000E2AF7"/>
    <w:rsid w:val="000E32D8"/>
    <w:rsid w:val="000E44B1"/>
    <w:rsid w:val="000E603F"/>
    <w:rsid w:val="000F0ED5"/>
    <w:rsid w:val="000F1441"/>
    <w:rsid w:val="000F1E5C"/>
    <w:rsid w:val="000F4C53"/>
    <w:rsid w:val="000F6819"/>
    <w:rsid w:val="000F6F7E"/>
    <w:rsid w:val="00102CF3"/>
    <w:rsid w:val="00104CDF"/>
    <w:rsid w:val="00107E74"/>
    <w:rsid w:val="001123AF"/>
    <w:rsid w:val="00112AFF"/>
    <w:rsid w:val="00112DEA"/>
    <w:rsid w:val="00113793"/>
    <w:rsid w:val="001178EA"/>
    <w:rsid w:val="001215FA"/>
    <w:rsid w:val="00122DAD"/>
    <w:rsid w:val="00123294"/>
    <w:rsid w:val="00125AE0"/>
    <w:rsid w:val="00126508"/>
    <w:rsid w:val="00126ADC"/>
    <w:rsid w:val="00131420"/>
    <w:rsid w:val="0013245B"/>
    <w:rsid w:val="0013415B"/>
    <w:rsid w:val="00135614"/>
    <w:rsid w:val="0013695C"/>
    <w:rsid w:val="001527FA"/>
    <w:rsid w:val="00152C12"/>
    <w:rsid w:val="00155936"/>
    <w:rsid w:val="00156332"/>
    <w:rsid w:val="0015708C"/>
    <w:rsid w:val="00157ED5"/>
    <w:rsid w:val="001620EB"/>
    <w:rsid w:val="00163323"/>
    <w:rsid w:val="00163509"/>
    <w:rsid w:val="001642FD"/>
    <w:rsid w:val="0016524B"/>
    <w:rsid w:val="00171ED5"/>
    <w:rsid w:val="001728E6"/>
    <w:rsid w:val="00173659"/>
    <w:rsid w:val="00174974"/>
    <w:rsid w:val="001754C3"/>
    <w:rsid w:val="00176BA0"/>
    <w:rsid w:val="00177B7A"/>
    <w:rsid w:val="00180210"/>
    <w:rsid w:val="001824AB"/>
    <w:rsid w:val="001824BA"/>
    <w:rsid w:val="001834CD"/>
    <w:rsid w:val="00183D42"/>
    <w:rsid w:val="00183FDB"/>
    <w:rsid w:val="00184366"/>
    <w:rsid w:val="00186F31"/>
    <w:rsid w:val="001930F5"/>
    <w:rsid w:val="0019327A"/>
    <w:rsid w:val="00193623"/>
    <w:rsid w:val="001950DE"/>
    <w:rsid w:val="00196E82"/>
    <w:rsid w:val="001A0A7E"/>
    <w:rsid w:val="001B1F92"/>
    <w:rsid w:val="001B202B"/>
    <w:rsid w:val="001B2AAA"/>
    <w:rsid w:val="001B31FF"/>
    <w:rsid w:val="001B7C90"/>
    <w:rsid w:val="001C2862"/>
    <w:rsid w:val="001C7485"/>
    <w:rsid w:val="001D18FC"/>
    <w:rsid w:val="001D2131"/>
    <w:rsid w:val="001D21A7"/>
    <w:rsid w:val="001D28FC"/>
    <w:rsid w:val="001D3462"/>
    <w:rsid w:val="001D3E5F"/>
    <w:rsid w:val="001D3FE2"/>
    <w:rsid w:val="001D60AB"/>
    <w:rsid w:val="001D72C3"/>
    <w:rsid w:val="001D758F"/>
    <w:rsid w:val="001D7716"/>
    <w:rsid w:val="001E10F7"/>
    <w:rsid w:val="001E1D98"/>
    <w:rsid w:val="001E63F7"/>
    <w:rsid w:val="001F1317"/>
    <w:rsid w:val="001F26C7"/>
    <w:rsid w:val="001F691B"/>
    <w:rsid w:val="001F6A74"/>
    <w:rsid w:val="001F7768"/>
    <w:rsid w:val="002003A5"/>
    <w:rsid w:val="002005EB"/>
    <w:rsid w:val="00200A10"/>
    <w:rsid w:val="002015A8"/>
    <w:rsid w:val="00201985"/>
    <w:rsid w:val="00205BF3"/>
    <w:rsid w:val="002073B4"/>
    <w:rsid w:val="00211FB4"/>
    <w:rsid w:val="00212E18"/>
    <w:rsid w:val="00214519"/>
    <w:rsid w:val="002178DA"/>
    <w:rsid w:val="00217F3F"/>
    <w:rsid w:val="00217F8B"/>
    <w:rsid w:val="00220ABA"/>
    <w:rsid w:val="00220D2B"/>
    <w:rsid w:val="00220F70"/>
    <w:rsid w:val="002233E6"/>
    <w:rsid w:val="002252AB"/>
    <w:rsid w:val="00227738"/>
    <w:rsid w:val="00230317"/>
    <w:rsid w:val="00231617"/>
    <w:rsid w:val="002316F9"/>
    <w:rsid w:val="00232624"/>
    <w:rsid w:val="002346FB"/>
    <w:rsid w:val="00234CCD"/>
    <w:rsid w:val="0024015E"/>
    <w:rsid w:val="002414E3"/>
    <w:rsid w:val="00243427"/>
    <w:rsid w:val="002435D2"/>
    <w:rsid w:val="00246802"/>
    <w:rsid w:val="00251118"/>
    <w:rsid w:val="00252123"/>
    <w:rsid w:val="00252D5E"/>
    <w:rsid w:val="00254AD4"/>
    <w:rsid w:val="00254C55"/>
    <w:rsid w:val="002571BB"/>
    <w:rsid w:val="0026074D"/>
    <w:rsid w:val="002608BB"/>
    <w:rsid w:val="00260FDC"/>
    <w:rsid w:val="00261C0E"/>
    <w:rsid w:val="0026261F"/>
    <w:rsid w:val="002626C6"/>
    <w:rsid w:val="00262DF9"/>
    <w:rsid w:val="00263AA0"/>
    <w:rsid w:val="00264729"/>
    <w:rsid w:val="00264C52"/>
    <w:rsid w:val="00266AE6"/>
    <w:rsid w:val="00267E12"/>
    <w:rsid w:val="00271130"/>
    <w:rsid w:val="00272B53"/>
    <w:rsid w:val="0027461B"/>
    <w:rsid w:val="0027556D"/>
    <w:rsid w:val="0027563B"/>
    <w:rsid w:val="0027754B"/>
    <w:rsid w:val="00277636"/>
    <w:rsid w:val="0028218B"/>
    <w:rsid w:val="00282B74"/>
    <w:rsid w:val="002839A7"/>
    <w:rsid w:val="00283BB1"/>
    <w:rsid w:val="0028430F"/>
    <w:rsid w:val="0028571F"/>
    <w:rsid w:val="00285771"/>
    <w:rsid w:val="0028634D"/>
    <w:rsid w:val="002910E9"/>
    <w:rsid w:val="002925B9"/>
    <w:rsid w:val="002945DD"/>
    <w:rsid w:val="0029681D"/>
    <w:rsid w:val="002A0C96"/>
    <w:rsid w:val="002A0E76"/>
    <w:rsid w:val="002A4352"/>
    <w:rsid w:val="002A56A3"/>
    <w:rsid w:val="002A59B2"/>
    <w:rsid w:val="002A7003"/>
    <w:rsid w:val="002A7639"/>
    <w:rsid w:val="002A7940"/>
    <w:rsid w:val="002B0D5B"/>
    <w:rsid w:val="002B0DF2"/>
    <w:rsid w:val="002B5CA9"/>
    <w:rsid w:val="002B7DF0"/>
    <w:rsid w:val="002C3FC8"/>
    <w:rsid w:val="002C3FF3"/>
    <w:rsid w:val="002C4C22"/>
    <w:rsid w:val="002C5CF1"/>
    <w:rsid w:val="002C6718"/>
    <w:rsid w:val="002D28C6"/>
    <w:rsid w:val="002D3C2C"/>
    <w:rsid w:val="002D778F"/>
    <w:rsid w:val="002E2A48"/>
    <w:rsid w:val="002F2162"/>
    <w:rsid w:val="002F2CE8"/>
    <w:rsid w:val="002F31F7"/>
    <w:rsid w:val="002F445C"/>
    <w:rsid w:val="002F6F20"/>
    <w:rsid w:val="002F71BE"/>
    <w:rsid w:val="0030067A"/>
    <w:rsid w:val="0030136E"/>
    <w:rsid w:val="003057C1"/>
    <w:rsid w:val="00305F5E"/>
    <w:rsid w:val="00306134"/>
    <w:rsid w:val="00306349"/>
    <w:rsid w:val="0030760E"/>
    <w:rsid w:val="003118EC"/>
    <w:rsid w:val="00312262"/>
    <w:rsid w:val="0031256C"/>
    <w:rsid w:val="0031388F"/>
    <w:rsid w:val="00313B96"/>
    <w:rsid w:val="003156D3"/>
    <w:rsid w:val="00315FA0"/>
    <w:rsid w:val="003204DF"/>
    <w:rsid w:val="0032409C"/>
    <w:rsid w:val="003242BF"/>
    <w:rsid w:val="00325A32"/>
    <w:rsid w:val="00325BA3"/>
    <w:rsid w:val="003344F8"/>
    <w:rsid w:val="00337953"/>
    <w:rsid w:val="0034029F"/>
    <w:rsid w:val="00341E78"/>
    <w:rsid w:val="00342C7E"/>
    <w:rsid w:val="00344E77"/>
    <w:rsid w:val="003504A3"/>
    <w:rsid w:val="00350B8C"/>
    <w:rsid w:val="00352722"/>
    <w:rsid w:val="00352EE9"/>
    <w:rsid w:val="00354800"/>
    <w:rsid w:val="00357C25"/>
    <w:rsid w:val="003609DC"/>
    <w:rsid w:val="00360B21"/>
    <w:rsid w:val="00364020"/>
    <w:rsid w:val="00366EAD"/>
    <w:rsid w:val="003702F6"/>
    <w:rsid w:val="003703A4"/>
    <w:rsid w:val="00371706"/>
    <w:rsid w:val="00372F93"/>
    <w:rsid w:val="0037324D"/>
    <w:rsid w:val="003735CD"/>
    <w:rsid w:val="00373B3E"/>
    <w:rsid w:val="003748B8"/>
    <w:rsid w:val="003748EC"/>
    <w:rsid w:val="00374AB7"/>
    <w:rsid w:val="0037507D"/>
    <w:rsid w:val="003758F1"/>
    <w:rsid w:val="003764D3"/>
    <w:rsid w:val="00377A0F"/>
    <w:rsid w:val="00381DC8"/>
    <w:rsid w:val="00382C7F"/>
    <w:rsid w:val="00382D8A"/>
    <w:rsid w:val="00384247"/>
    <w:rsid w:val="00392C1B"/>
    <w:rsid w:val="003939BD"/>
    <w:rsid w:val="00393C0D"/>
    <w:rsid w:val="003961F0"/>
    <w:rsid w:val="0039698D"/>
    <w:rsid w:val="003A3C13"/>
    <w:rsid w:val="003A44A0"/>
    <w:rsid w:val="003A49E7"/>
    <w:rsid w:val="003A5431"/>
    <w:rsid w:val="003A592A"/>
    <w:rsid w:val="003A6ACA"/>
    <w:rsid w:val="003B3313"/>
    <w:rsid w:val="003B499A"/>
    <w:rsid w:val="003B4FA5"/>
    <w:rsid w:val="003B6A4E"/>
    <w:rsid w:val="003C03F6"/>
    <w:rsid w:val="003C246C"/>
    <w:rsid w:val="003C5C0E"/>
    <w:rsid w:val="003D2096"/>
    <w:rsid w:val="003D40A5"/>
    <w:rsid w:val="003D480F"/>
    <w:rsid w:val="003D51B8"/>
    <w:rsid w:val="003D5BBD"/>
    <w:rsid w:val="003D6938"/>
    <w:rsid w:val="003D76CD"/>
    <w:rsid w:val="003E07EB"/>
    <w:rsid w:val="003E1DE4"/>
    <w:rsid w:val="003E28DC"/>
    <w:rsid w:val="003E36AF"/>
    <w:rsid w:val="003E6F64"/>
    <w:rsid w:val="003F06B5"/>
    <w:rsid w:val="003F0AFE"/>
    <w:rsid w:val="003F1577"/>
    <w:rsid w:val="003F21F1"/>
    <w:rsid w:val="003F2874"/>
    <w:rsid w:val="003F7254"/>
    <w:rsid w:val="003F777D"/>
    <w:rsid w:val="00401741"/>
    <w:rsid w:val="00404E35"/>
    <w:rsid w:val="004051FA"/>
    <w:rsid w:val="00411A0D"/>
    <w:rsid w:val="0041527F"/>
    <w:rsid w:val="0041579A"/>
    <w:rsid w:val="00415EA2"/>
    <w:rsid w:val="00415F91"/>
    <w:rsid w:val="00416254"/>
    <w:rsid w:val="0042041E"/>
    <w:rsid w:val="0042091A"/>
    <w:rsid w:val="00420D0A"/>
    <w:rsid w:val="00421761"/>
    <w:rsid w:val="00425665"/>
    <w:rsid w:val="00425994"/>
    <w:rsid w:val="00426828"/>
    <w:rsid w:val="0043012F"/>
    <w:rsid w:val="00431BBB"/>
    <w:rsid w:val="00433E42"/>
    <w:rsid w:val="00433F33"/>
    <w:rsid w:val="0043448D"/>
    <w:rsid w:val="00434B86"/>
    <w:rsid w:val="004358D5"/>
    <w:rsid w:val="00436D58"/>
    <w:rsid w:val="00440A22"/>
    <w:rsid w:val="00443480"/>
    <w:rsid w:val="0044663F"/>
    <w:rsid w:val="00450C37"/>
    <w:rsid w:val="00450D08"/>
    <w:rsid w:val="00451920"/>
    <w:rsid w:val="00451A71"/>
    <w:rsid w:val="00451B15"/>
    <w:rsid w:val="0045357B"/>
    <w:rsid w:val="00453824"/>
    <w:rsid w:val="004548E5"/>
    <w:rsid w:val="00454E90"/>
    <w:rsid w:val="00454E96"/>
    <w:rsid w:val="00455066"/>
    <w:rsid w:val="00455250"/>
    <w:rsid w:val="004554F3"/>
    <w:rsid w:val="00455896"/>
    <w:rsid w:val="00456FC2"/>
    <w:rsid w:val="00457FA6"/>
    <w:rsid w:val="00462984"/>
    <w:rsid w:val="004651FE"/>
    <w:rsid w:val="004653A7"/>
    <w:rsid w:val="004671DA"/>
    <w:rsid w:val="004677C5"/>
    <w:rsid w:val="00470885"/>
    <w:rsid w:val="00471792"/>
    <w:rsid w:val="004717B6"/>
    <w:rsid w:val="00472A59"/>
    <w:rsid w:val="00472E46"/>
    <w:rsid w:val="00473CE3"/>
    <w:rsid w:val="00474F81"/>
    <w:rsid w:val="00485221"/>
    <w:rsid w:val="00490C0F"/>
    <w:rsid w:val="00491179"/>
    <w:rsid w:val="0049143F"/>
    <w:rsid w:val="00491CE1"/>
    <w:rsid w:val="004922F7"/>
    <w:rsid w:val="00492501"/>
    <w:rsid w:val="004947E6"/>
    <w:rsid w:val="004A070D"/>
    <w:rsid w:val="004A3774"/>
    <w:rsid w:val="004A57E7"/>
    <w:rsid w:val="004B13BC"/>
    <w:rsid w:val="004B2EDD"/>
    <w:rsid w:val="004B5916"/>
    <w:rsid w:val="004C0FD5"/>
    <w:rsid w:val="004C1754"/>
    <w:rsid w:val="004C2B72"/>
    <w:rsid w:val="004C2DA2"/>
    <w:rsid w:val="004C3901"/>
    <w:rsid w:val="004C67C6"/>
    <w:rsid w:val="004D005A"/>
    <w:rsid w:val="004D1B8B"/>
    <w:rsid w:val="004D50F9"/>
    <w:rsid w:val="004D6C7B"/>
    <w:rsid w:val="004E0FBB"/>
    <w:rsid w:val="004E2E3F"/>
    <w:rsid w:val="004E47F4"/>
    <w:rsid w:val="004F1B36"/>
    <w:rsid w:val="004F20C5"/>
    <w:rsid w:val="004F2DA4"/>
    <w:rsid w:val="004F2E19"/>
    <w:rsid w:val="004F3204"/>
    <w:rsid w:val="004F324D"/>
    <w:rsid w:val="004F588B"/>
    <w:rsid w:val="004F737D"/>
    <w:rsid w:val="00501E9B"/>
    <w:rsid w:val="00501EA3"/>
    <w:rsid w:val="00502094"/>
    <w:rsid w:val="00502A07"/>
    <w:rsid w:val="005035C8"/>
    <w:rsid w:val="00506F3E"/>
    <w:rsid w:val="00507B81"/>
    <w:rsid w:val="00510896"/>
    <w:rsid w:val="00510E2C"/>
    <w:rsid w:val="005112BA"/>
    <w:rsid w:val="00513123"/>
    <w:rsid w:val="005146D2"/>
    <w:rsid w:val="00521745"/>
    <w:rsid w:val="00522CF3"/>
    <w:rsid w:val="00524F32"/>
    <w:rsid w:val="00526AF8"/>
    <w:rsid w:val="00526D66"/>
    <w:rsid w:val="00534805"/>
    <w:rsid w:val="00534D3B"/>
    <w:rsid w:val="00535521"/>
    <w:rsid w:val="0053569D"/>
    <w:rsid w:val="005407A4"/>
    <w:rsid w:val="005416F0"/>
    <w:rsid w:val="0054243E"/>
    <w:rsid w:val="00546AAE"/>
    <w:rsid w:val="00547CD9"/>
    <w:rsid w:val="00547FBF"/>
    <w:rsid w:val="00552F47"/>
    <w:rsid w:val="0055783F"/>
    <w:rsid w:val="00561E15"/>
    <w:rsid w:val="00565C6B"/>
    <w:rsid w:val="00565D7A"/>
    <w:rsid w:val="00576C75"/>
    <w:rsid w:val="0057789A"/>
    <w:rsid w:val="00577939"/>
    <w:rsid w:val="00577AE1"/>
    <w:rsid w:val="005808FC"/>
    <w:rsid w:val="0058175F"/>
    <w:rsid w:val="00582D76"/>
    <w:rsid w:val="00585E7C"/>
    <w:rsid w:val="00585FA8"/>
    <w:rsid w:val="00586207"/>
    <w:rsid w:val="0058715B"/>
    <w:rsid w:val="005872D8"/>
    <w:rsid w:val="00590A93"/>
    <w:rsid w:val="005919D2"/>
    <w:rsid w:val="00595EF1"/>
    <w:rsid w:val="005966D8"/>
    <w:rsid w:val="00597786"/>
    <w:rsid w:val="005A3A29"/>
    <w:rsid w:val="005A4E5D"/>
    <w:rsid w:val="005A5867"/>
    <w:rsid w:val="005A7F2E"/>
    <w:rsid w:val="005B21B8"/>
    <w:rsid w:val="005B22C1"/>
    <w:rsid w:val="005B311B"/>
    <w:rsid w:val="005B334C"/>
    <w:rsid w:val="005B3A16"/>
    <w:rsid w:val="005B47A8"/>
    <w:rsid w:val="005B4A3C"/>
    <w:rsid w:val="005B6C8A"/>
    <w:rsid w:val="005C2AFE"/>
    <w:rsid w:val="005C3069"/>
    <w:rsid w:val="005C4EFE"/>
    <w:rsid w:val="005C713D"/>
    <w:rsid w:val="005D09A6"/>
    <w:rsid w:val="005D0D0F"/>
    <w:rsid w:val="005D212D"/>
    <w:rsid w:val="005D27E5"/>
    <w:rsid w:val="005D2B75"/>
    <w:rsid w:val="005D34D7"/>
    <w:rsid w:val="005D5CE8"/>
    <w:rsid w:val="005D6C18"/>
    <w:rsid w:val="005E36EB"/>
    <w:rsid w:val="005E4542"/>
    <w:rsid w:val="005E4AED"/>
    <w:rsid w:val="005E50E9"/>
    <w:rsid w:val="005E56F1"/>
    <w:rsid w:val="005E694B"/>
    <w:rsid w:val="005F06FB"/>
    <w:rsid w:val="005F0E61"/>
    <w:rsid w:val="005F1914"/>
    <w:rsid w:val="005F212F"/>
    <w:rsid w:val="005F4002"/>
    <w:rsid w:val="0060453F"/>
    <w:rsid w:val="00604564"/>
    <w:rsid w:val="006052B6"/>
    <w:rsid w:val="00611079"/>
    <w:rsid w:val="00611841"/>
    <w:rsid w:val="00611C48"/>
    <w:rsid w:val="00611CC9"/>
    <w:rsid w:val="00612639"/>
    <w:rsid w:val="00613EDE"/>
    <w:rsid w:val="00616E63"/>
    <w:rsid w:val="006175B9"/>
    <w:rsid w:val="00617A84"/>
    <w:rsid w:val="006200B8"/>
    <w:rsid w:val="00620D75"/>
    <w:rsid w:val="00623056"/>
    <w:rsid w:val="00623819"/>
    <w:rsid w:val="00623AC2"/>
    <w:rsid w:val="006268D8"/>
    <w:rsid w:val="00627D5A"/>
    <w:rsid w:val="00630E06"/>
    <w:rsid w:val="006316DB"/>
    <w:rsid w:val="006326E4"/>
    <w:rsid w:val="00632C3D"/>
    <w:rsid w:val="006341B6"/>
    <w:rsid w:val="006367E0"/>
    <w:rsid w:val="00636841"/>
    <w:rsid w:val="00641380"/>
    <w:rsid w:val="0064205F"/>
    <w:rsid w:val="006426A1"/>
    <w:rsid w:val="00644171"/>
    <w:rsid w:val="00647B60"/>
    <w:rsid w:val="00651663"/>
    <w:rsid w:val="00653995"/>
    <w:rsid w:val="00656FEB"/>
    <w:rsid w:val="006616E1"/>
    <w:rsid w:val="006631DA"/>
    <w:rsid w:val="00663D19"/>
    <w:rsid w:val="006646F3"/>
    <w:rsid w:val="00667762"/>
    <w:rsid w:val="00667895"/>
    <w:rsid w:val="0067255D"/>
    <w:rsid w:val="00674524"/>
    <w:rsid w:val="00674CF0"/>
    <w:rsid w:val="006750D5"/>
    <w:rsid w:val="0067591E"/>
    <w:rsid w:val="00675E09"/>
    <w:rsid w:val="00676FF5"/>
    <w:rsid w:val="00680054"/>
    <w:rsid w:val="00680629"/>
    <w:rsid w:val="006846B5"/>
    <w:rsid w:val="00685557"/>
    <w:rsid w:val="0068665F"/>
    <w:rsid w:val="006869D4"/>
    <w:rsid w:val="00686A79"/>
    <w:rsid w:val="0069312E"/>
    <w:rsid w:val="00695BF0"/>
    <w:rsid w:val="00696EE6"/>
    <w:rsid w:val="006977E2"/>
    <w:rsid w:val="006A34BD"/>
    <w:rsid w:val="006A470A"/>
    <w:rsid w:val="006A52A0"/>
    <w:rsid w:val="006B04DB"/>
    <w:rsid w:val="006B19BA"/>
    <w:rsid w:val="006B5EAD"/>
    <w:rsid w:val="006B72D9"/>
    <w:rsid w:val="006C0DA7"/>
    <w:rsid w:val="006C202F"/>
    <w:rsid w:val="006C32F9"/>
    <w:rsid w:val="006C363F"/>
    <w:rsid w:val="006C7EA4"/>
    <w:rsid w:val="006D0C40"/>
    <w:rsid w:val="006D47B7"/>
    <w:rsid w:val="006E0F19"/>
    <w:rsid w:val="006E4862"/>
    <w:rsid w:val="006E735B"/>
    <w:rsid w:val="006E743A"/>
    <w:rsid w:val="006F02F1"/>
    <w:rsid w:val="006F22C6"/>
    <w:rsid w:val="006F2C04"/>
    <w:rsid w:val="006F3B92"/>
    <w:rsid w:val="006F4699"/>
    <w:rsid w:val="006F5DAC"/>
    <w:rsid w:val="006F6B81"/>
    <w:rsid w:val="006F7D07"/>
    <w:rsid w:val="007010A5"/>
    <w:rsid w:val="00707091"/>
    <w:rsid w:val="00711A39"/>
    <w:rsid w:val="00711A97"/>
    <w:rsid w:val="00711D67"/>
    <w:rsid w:val="00711F2A"/>
    <w:rsid w:val="00714F5C"/>
    <w:rsid w:val="00715911"/>
    <w:rsid w:val="007167B4"/>
    <w:rsid w:val="00716D15"/>
    <w:rsid w:val="0071708E"/>
    <w:rsid w:val="007200CD"/>
    <w:rsid w:val="00721F7D"/>
    <w:rsid w:val="00722091"/>
    <w:rsid w:val="007232AD"/>
    <w:rsid w:val="007239DD"/>
    <w:rsid w:val="007249D2"/>
    <w:rsid w:val="00726964"/>
    <w:rsid w:val="00726C45"/>
    <w:rsid w:val="00726D14"/>
    <w:rsid w:val="00727C68"/>
    <w:rsid w:val="00727CDE"/>
    <w:rsid w:val="00730709"/>
    <w:rsid w:val="00730864"/>
    <w:rsid w:val="007350BA"/>
    <w:rsid w:val="007364AC"/>
    <w:rsid w:val="00740295"/>
    <w:rsid w:val="00744222"/>
    <w:rsid w:val="00750F3A"/>
    <w:rsid w:val="00756DAE"/>
    <w:rsid w:val="007600D0"/>
    <w:rsid w:val="00760C0E"/>
    <w:rsid w:val="00761A1D"/>
    <w:rsid w:val="00762F10"/>
    <w:rsid w:val="00763591"/>
    <w:rsid w:val="0076385A"/>
    <w:rsid w:val="00764397"/>
    <w:rsid w:val="00766688"/>
    <w:rsid w:val="00766BC0"/>
    <w:rsid w:val="00767936"/>
    <w:rsid w:val="007728AF"/>
    <w:rsid w:val="00773412"/>
    <w:rsid w:val="0077623C"/>
    <w:rsid w:val="00783F50"/>
    <w:rsid w:val="0078595B"/>
    <w:rsid w:val="007914A8"/>
    <w:rsid w:val="00792418"/>
    <w:rsid w:val="00793174"/>
    <w:rsid w:val="0079447D"/>
    <w:rsid w:val="007949C0"/>
    <w:rsid w:val="007961E1"/>
    <w:rsid w:val="00796EBD"/>
    <w:rsid w:val="007A0493"/>
    <w:rsid w:val="007A1333"/>
    <w:rsid w:val="007A2CAE"/>
    <w:rsid w:val="007B0C01"/>
    <w:rsid w:val="007B3471"/>
    <w:rsid w:val="007B3C09"/>
    <w:rsid w:val="007B562B"/>
    <w:rsid w:val="007B5BCA"/>
    <w:rsid w:val="007B72B7"/>
    <w:rsid w:val="007B7BF4"/>
    <w:rsid w:val="007C31B0"/>
    <w:rsid w:val="007C3619"/>
    <w:rsid w:val="007C47A7"/>
    <w:rsid w:val="007C4C24"/>
    <w:rsid w:val="007C4D75"/>
    <w:rsid w:val="007C5739"/>
    <w:rsid w:val="007C6F17"/>
    <w:rsid w:val="007D206F"/>
    <w:rsid w:val="007D513F"/>
    <w:rsid w:val="007D5DE6"/>
    <w:rsid w:val="007D6D83"/>
    <w:rsid w:val="007E08FC"/>
    <w:rsid w:val="007E0C02"/>
    <w:rsid w:val="007E6EE1"/>
    <w:rsid w:val="007E7396"/>
    <w:rsid w:val="007F119F"/>
    <w:rsid w:val="007F186A"/>
    <w:rsid w:val="007F2A9F"/>
    <w:rsid w:val="007F301D"/>
    <w:rsid w:val="007F42DE"/>
    <w:rsid w:val="007F5537"/>
    <w:rsid w:val="007F65E9"/>
    <w:rsid w:val="007F7707"/>
    <w:rsid w:val="007F7B56"/>
    <w:rsid w:val="00801F58"/>
    <w:rsid w:val="00803715"/>
    <w:rsid w:val="00804DBA"/>
    <w:rsid w:val="00812D61"/>
    <w:rsid w:val="00812EB3"/>
    <w:rsid w:val="008139B4"/>
    <w:rsid w:val="0081462D"/>
    <w:rsid w:val="00814CBE"/>
    <w:rsid w:val="00815091"/>
    <w:rsid w:val="00816471"/>
    <w:rsid w:val="008177AE"/>
    <w:rsid w:val="00817CC2"/>
    <w:rsid w:val="00817EFC"/>
    <w:rsid w:val="00820490"/>
    <w:rsid w:val="008237C7"/>
    <w:rsid w:val="00823940"/>
    <w:rsid w:val="00824D0E"/>
    <w:rsid w:val="00824F55"/>
    <w:rsid w:val="008250D7"/>
    <w:rsid w:val="00825350"/>
    <w:rsid w:val="00830BDF"/>
    <w:rsid w:val="00833CD5"/>
    <w:rsid w:val="00837DA2"/>
    <w:rsid w:val="00844545"/>
    <w:rsid w:val="00847019"/>
    <w:rsid w:val="008475C4"/>
    <w:rsid w:val="00850910"/>
    <w:rsid w:val="00851E26"/>
    <w:rsid w:val="008523B9"/>
    <w:rsid w:val="00854835"/>
    <w:rsid w:val="0085524C"/>
    <w:rsid w:val="008559AA"/>
    <w:rsid w:val="00860D47"/>
    <w:rsid w:val="008626F5"/>
    <w:rsid w:val="00864C28"/>
    <w:rsid w:val="00867B0C"/>
    <w:rsid w:val="00880423"/>
    <w:rsid w:val="00881395"/>
    <w:rsid w:val="00882113"/>
    <w:rsid w:val="00883B48"/>
    <w:rsid w:val="008861CD"/>
    <w:rsid w:val="00896022"/>
    <w:rsid w:val="0089623F"/>
    <w:rsid w:val="00896CB0"/>
    <w:rsid w:val="008A0331"/>
    <w:rsid w:val="008A0B34"/>
    <w:rsid w:val="008A1A17"/>
    <w:rsid w:val="008A3732"/>
    <w:rsid w:val="008A4416"/>
    <w:rsid w:val="008A5CD2"/>
    <w:rsid w:val="008A67C4"/>
    <w:rsid w:val="008A6CD4"/>
    <w:rsid w:val="008A7B4C"/>
    <w:rsid w:val="008B0730"/>
    <w:rsid w:val="008B08E2"/>
    <w:rsid w:val="008B1083"/>
    <w:rsid w:val="008B18C7"/>
    <w:rsid w:val="008B3A1B"/>
    <w:rsid w:val="008B54F4"/>
    <w:rsid w:val="008B5695"/>
    <w:rsid w:val="008B6DB0"/>
    <w:rsid w:val="008B719F"/>
    <w:rsid w:val="008C3068"/>
    <w:rsid w:val="008D1E11"/>
    <w:rsid w:val="008D433D"/>
    <w:rsid w:val="008D7CAE"/>
    <w:rsid w:val="008E0B91"/>
    <w:rsid w:val="008E114F"/>
    <w:rsid w:val="008E4A6C"/>
    <w:rsid w:val="008E4DDE"/>
    <w:rsid w:val="008E50B1"/>
    <w:rsid w:val="008E526F"/>
    <w:rsid w:val="008F22A7"/>
    <w:rsid w:val="008F49F9"/>
    <w:rsid w:val="008F51FB"/>
    <w:rsid w:val="00900892"/>
    <w:rsid w:val="0090187B"/>
    <w:rsid w:val="00903645"/>
    <w:rsid w:val="00910567"/>
    <w:rsid w:val="00910784"/>
    <w:rsid w:val="00910FE6"/>
    <w:rsid w:val="0091297C"/>
    <w:rsid w:val="00915E7B"/>
    <w:rsid w:val="00915EF1"/>
    <w:rsid w:val="009166C7"/>
    <w:rsid w:val="009167E8"/>
    <w:rsid w:val="00920151"/>
    <w:rsid w:val="0092070F"/>
    <w:rsid w:val="00920F00"/>
    <w:rsid w:val="00921A55"/>
    <w:rsid w:val="009252FA"/>
    <w:rsid w:val="00926F59"/>
    <w:rsid w:val="00927F7E"/>
    <w:rsid w:val="0093017B"/>
    <w:rsid w:val="009302ED"/>
    <w:rsid w:val="009314A4"/>
    <w:rsid w:val="009339F6"/>
    <w:rsid w:val="009371DB"/>
    <w:rsid w:val="009406FD"/>
    <w:rsid w:val="00941A61"/>
    <w:rsid w:val="0094422D"/>
    <w:rsid w:val="0094538C"/>
    <w:rsid w:val="00945BCD"/>
    <w:rsid w:val="00946D64"/>
    <w:rsid w:val="00950A9A"/>
    <w:rsid w:val="009513D0"/>
    <w:rsid w:val="00952F7C"/>
    <w:rsid w:val="00953250"/>
    <w:rsid w:val="00955E83"/>
    <w:rsid w:val="00960B36"/>
    <w:rsid w:val="00962995"/>
    <w:rsid w:val="009629FC"/>
    <w:rsid w:val="00963FF0"/>
    <w:rsid w:val="00964420"/>
    <w:rsid w:val="0096535D"/>
    <w:rsid w:val="00966597"/>
    <w:rsid w:val="009667DA"/>
    <w:rsid w:val="00971445"/>
    <w:rsid w:val="00971A6D"/>
    <w:rsid w:val="00974703"/>
    <w:rsid w:val="0097752F"/>
    <w:rsid w:val="00977E33"/>
    <w:rsid w:val="009801A1"/>
    <w:rsid w:val="00980583"/>
    <w:rsid w:val="00981E47"/>
    <w:rsid w:val="00981EA0"/>
    <w:rsid w:val="00986B85"/>
    <w:rsid w:val="00987124"/>
    <w:rsid w:val="00990228"/>
    <w:rsid w:val="009905A5"/>
    <w:rsid w:val="009933A0"/>
    <w:rsid w:val="00994222"/>
    <w:rsid w:val="0099541A"/>
    <w:rsid w:val="009963E6"/>
    <w:rsid w:val="0099683C"/>
    <w:rsid w:val="00997D47"/>
    <w:rsid w:val="00997F3D"/>
    <w:rsid w:val="009A08B2"/>
    <w:rsid w:val="009A0E67"/>
    <w:rsid w:val="009A3F32"/>
    <w:rsid w:val="009A43E2"/>
    <w:rsid w:val="009A4AE5"/>
    <w:rsid w:val="009A50B1"/>
    <w:rsid w:val="009A5240"/>
    <w:rsid w:val="009A55DA"/>
    <w:rsid w:val="009B2487"/>
    <w:rsid w:val="009B3A95"/>
    <w:rsid w:val="009B41B3"/>
    <w:rsid w:val="009B4684"/>
    <w:rsid w:val="009B4950"/>
    <w:rsid w:val="009B5C4A"/>
    <w:rsid w:val="009C07E3"/>
    <w:rsid w:val="009C07EC"/>
    <w:rsid w:val="009C0FDF"/>
    <w:rsid w:val="009C1C45"/>
    <w:rsid w:val="009C251D"/>
    <w:rsid w:val="009C321A"/>
    <w:rsid w:val="009C40BA"/>
    <w:rsid w:val="009C575A"/>
    <w:rsid w:val="009D3296"/>
    <w:rsid w:val="009D367C"/>
    <w:rsid w:val="009D3D66"/>
    <w:rsid w:val="009D3E92"/>
    <w:rsid w:val="009D47B3"/>
    <w:rsid w:val="009D4885"/>
    <w:rsid w:val="009E6361"/>
    <w:rsid w:val="009E68AF"/>
    <w:rsid w:val="009E77DD"/>
    <w:rsid w:val="009F0D48"/>
    <w:rsid w:val="009F4E91"/>
    <w:rsid w:val="009F619D"/>
    <w:rsid w:val="009F726B"/>
    <w:rsid w:val="009F75CC"/>
    <w:rsid w:val="00A00101"/>
    <w:rsid w:val="00A0089C"/>
    <w:rsid w:val="00A0096A"/>
    <w:rsid w:val="00A01DD6"/>
    <w:rsid w:val="00A03C6F"/>
    <w:rsid w:val="00A0486B"/>
    <w:rsid w:val="00A059D1"/>
    <w:rsid w:val="00A060F2"/>
    <w:rsid w:val="00A06456"/>
    <w:rsid w:val="00A14BF6"/>
    <w:rsid w:val="00A16726"/>
    <w:rsid w:val="00A168B2"/>
    <w:rsid w:val="00A21458"/>
    <w:rsid w:val="00A22E03"/>
    <w:rsid w:val="00A22FD7"/>
    <w:rsid w:val="00A231A5"/>
    <w:rsid w:val="00A27089"/>
    <w:rsid w:val="00A270DB"/>
    <w:rsid w:val="00A300C0"/>
    <w:rsid w:val="00A32E77"/>
    <w:rsid w:val="00A350B8"/>
    <w:rsid w:val="00A35B7E"/>
    <w:rsid w:val="00A404AC"/>
    <w:rsid w:val="00A41B06"/>
    <w:rsid w:val="00A42F88"/>
    <w:rsid w:val="00A43980"/>
    <w:rsid w:val="00A45A94"/>
    <w:rsid w:val="00A461E5"/>
    <w:rsid w:val="00A50321"/>
    <w:rsid w:val="00A5172D"/>
    <w:rsid w:val="00A60BA7"/>
    <w:rsid w:val="00A6114A"/>
    <w:rsid w:val="00A644E1"/>
    <w:rsid w:val="00A6713F"/>
    <w:rsid w:val="00A724CE"/>
    <w:rsid w:val="00A72BE2"/>
    <w:rsid w:val="00A73D60"/>
    <w:rsid w:val="00A749C3"/>
    <w:rsid w:val="00A7533C"/>
    <w:rsid w:val="00A801B6"/>
    <w:rsid w:val="00A81EBA"/>
    <w:rsid w:val="00A821BE"/>
    <w:rsid w:val="00A8294F"/>
    <w:rsid w:val="00A847E4"/>
    <w:rsid w:val="00A855A4"/>
    <w:rsid w:val="00A86420"/>
    <w:rsid w:val="00A87069"/>
    <w:rsid w:val="00A90361"/>
    <w:rsid w:val="00A90B6F"/>
    <w:rsid w:val="00A9154D"/>
    <w:rsid w:val="00A92374"/>
    <w:rsid w:val="00A93567"/>
    <w:rsid w:val="00A93F56"/>
    <w:rsid w:val="00A9483B"/>
    <w:rsid w:val="00A94E06"/>
    <w:rsid w:val="00A94F5E"/>
    <w:rsid w:val="00A95AFA"/>
    <w:rsid w:val="00AA0731"/>
    <w:rsid w:val="00AA2A41"/>
    <w:rsid w:val="00AA2FAA"/>
    <w:rsid w:val="00AA5B74"/>
    <w:rsid w:val="00AA687A"/>
    <w:rsid w:val="00AB2383"/>
    <w:rsid w:val="00AB23EF"/>
    <w:rsid w:val="00AB3AA3"/>
    <w:rsid w:val="00AB4E09"/>
    <w:rsid w:val="00AB50F4"/>
    <w:rsid w:val="00AC0325"/>
    <w:rsid w:val="00AC057E"/>
    <w:rsid w:val="00AC1493"/>
    <w:rsid w:val="00AC2345"/>
    <w:rsid w:val="00AC3B37"/>
    <w:rsid w:val="00AC62A7"/>
    <w:rsid w:val="00AD2093"/>
    <w:rsid w:val="00AD24F4"/>
    <w:rsid w:val="00AD4D98"/>
    <w:rsid w:val="00AD52BA"/>
    <w:rsid w:val="00AD55AD"/>
    <w:rsid w:val="00AD5B5B"/>
    <w:rsid w:val="00AE192C"/>
    <w:rsid w:val="00AE2226"/>
    <w:rsid w:val="00AE7E83"/>
    <w:rsid w:val="00AF124A"/>
    <w:rsid w:val="00AF1E12"/>
    <w:rsid w:val="00AF4E2F"/>
    <w:rsid w:val="00AF633F"/>
    <w:rsid w:val="00B003B0"/>
    <w:rsid w:val="00B021D5"/>
    <w:rsid w:val="00B02771"/>
    <w:rsid w:val="00B044A9"/>
    <w:rsid w:val="00B04C0B"/>
    <w:rsid w:val="00B0542B"/>
    <w:rsid w:val="00B078B8"/>
    <w:rsid w:val="00B0796C"/>
    <w:rsid w:val="00B10F80"/>
    <w:rsid w:val="00B12997"/>
    <w:rsid w:val="00B13618"/>
    <w:rsid w:val="00B15371"/>
    <w:rsid w:val="00B16261"/>
    <w:rsid w:val="00B16AD0"/>
    <w:rsid w:val="00B16F47"/>
    <w:rsid w:val="00B173C5"/>
    <w:rsid w:val="00B1745E"/>
    <w:rsid w:val="00B1781B"/>
    <w:rsid w:val="00B256A2"/>
    <w:rsid w:val="00B25F07"/>
    <w:rsid w:val="00B34324"/>
    <w:rsid w:val="00B34B0C"/>
    <w:rsid w:val="00B34E99"/>
    <w:rsid w:val="00B374AD"/>
    <w:rsid w:val="00B37EB4"/>
    <w:rsid w:val="00B41EC0"/>
    <w:rsid w:val="00B427B6"/>
    <w:rsid w:val="00B43FF6"/>
    <w:rsid w:val="00B45912"/>
    <w:rsid w:val="00B47749"/>
    <w:rsid w:val="00B50323"/>
    <w:rsid w:val="00B515FB"/>
    <w:rsid w:val="00B51797"/>
    <w:rsid w:val="00B51D5F"/>
    <w:rsid w:val="00B54034"/>
    <w:rsid w:val="00B566D0"/>
    <w:rsid w:val="00B57D68"/>
    <w:rsid w:val="00B60E16"/>
    <w:rsid w:val="00B6149E"/>
    <w:rsid w:val="00B6254F"/>
    <w:rsid w:val="00B649B0"/>
    <w:rsid w:val="00B64EA7"/>
    <w:rsid w:val="00B654BB"/>
    <w:rsid w:val="00B65E8E"/>
    <w:rsid w:val="00B674AD"/>
    <w:rsid w:val="00B67CF6"/>
    <w:rsid w:val="00B70CFE"/>
    <w:rsid w:val="00B72163"/>
    <w:rsid w:val="00B74700"/>
    <w:rsid w:val="00B7536A"/>
    <w:rsid w:val="00B75CC8"/>
    <w:rsid w:val="00B7617C"/>
    <w:rsid w:val="00B80CD2"/>
    <w:rsid w:val="00B82EAE"/>
    <w:rsid w:val="00B840ED"/>
    <w:rsid w:val="00B845B0"/>
    <w:rsid w:val="00B85028"/>
    <w:rsid w:val="00B85667"/>
    <w:rsid w:val="00B85684"/>
    <w:rsid w:val="00B86750"/>
    <w:rsid w:val="00B87405"/>
    <w:rsid w:val="00B87C5C"/>
    <w:rsid w:val="00B907DE"/>
    <w:rsid w:val="00B9176E"/>
    <w:rsid w:val="00B9190D"/>
    <w:rsid w:val="00B948AF"/>
    <w:rsid w:val="00BA145C"/>
    <w:rsid w:val="00BA170D"/>
    <w:rsid w:val="00BA5F6B"/>
    <w:rsid w:val="00BA6C07"/>
    <w:rsid w:val="00BA7686"/>
    <w:rsid w:val="00BB1064"/>
    <w:rsid w:val="00BB7853"/>
    <w:rsid w:val="00BC19C4"/>
    <w:rsid w:val="00BC3D78"/>
    <w:rsid w:val="00BC5F46"/>
    <w:rsid w:val="00BC7C07"/>
    <w:rsid w:val="00BD06FD"/>
    <w:rsid w:val="00BD1661"/>
    <w:rsid w:val="00BD39DA"/>
    <w:rsid w:val="00BD3B11"/>
    <w:rsid w:val="00BD5728"/>
    <w:rsid w:val="00BD64D0"/>
    <w:rsid w:val="00BD7099"/>
    <w:rsid w:val="00BE137F"/>
    <w:rsid w:val="00BE1615"/>
    <w:rsid w:val="00BE170E"/>
    <w:rsid w:val="00BE2683"/>
    <w:rsid w:val="00BE29EE"/>
    <w:rsid w:val="00BE44BF"/>
    <w:rsid w:val="00BE48E1"/>
    <w:rsid w:val="00BE6314"/>
    <w:rsid w:val="00BE691E"/>
    <w:rsid w:val="00BE7D19"/>
    <w:rsid w:val="00BF0543"/>
    <w:rsid w:val="00BF15D3"/>
    <w:rsid w:val="00BF1916"/>
    <w:rsid w:val="00BF23F9"/>
    <w:rsid w:val="00BF439C"/>
    <w:rsid w:val="00BF603D"/>
    <w:rsid w:val="00BF6E79"/>
    <w:rsid w:val="00C04609"/>
    <w:rsid w:val="00C05A1C"/>
    <w:rsid w:val="00C100DD"/>
    <w:rsid w:val="00C104D5"/>
    <w:rsid w:val="00C109A7"/>
    <w:rsid w:val="00C132FD"/>
    <w:rsid w:val="00C135BF"/>
    <w:rsid w:val="00C1511A"/>
    <w:rsid w:val="00C163B2"/>
    <w:rsid w:val="00C1719A"/>
    <w:rsid w:val="00C17C9C"/>
    <w:rsid w:val="00C234A1"/>
    <w:rsid w:val="00C23DB9"/>
    <w:rsid w:val="00C276A3"/>
    <w:rsid w:val="00C276A6"/>
    <w:rsid w:val="00C30A56"/>
    <w:rsid w:val="00C32F26"/>
    <w:rsid w:val="00C33D72"/>
    <w:rsid w:val="00C348E8"/>
    <w:rsid w:val="00C34EF2"/>
    <w:rsid w:val="00C36300"/>
    <w:rsid w:val="00C37B4A"/>
    <w:rsid w:val="00C41BCF"/>
    <w:rsid w:val="00C4315A"/>
    <w:rsid w:val="00C448B2"/>
    <w:rsid w:val="00C4638D"/>
    <w:rsid w:val="00C47C48"/>
    <w:rsid w:val="00C5344B"/>
    <w:rsid w:val="00C553FC"/>
    <w:rsid w:val="00C55549"/>
    <w:rsid w:val="00C5630E"/>
    <w:rsid w:val="00C647A4"/>
    <w:rsid w:val="00C66824"/>
    <w:rsid w:val="00C66FD4"/>
    <w:rsid w:val="00C678A9"/>
    <w:rsid w:val="00C71440"/>
    <w:rsid w:val="00C75F63"/>
    <w:rsid w:val="00C77E00"/>
    <w:rsid w:val="00C822DC"/>
    <w:rsid w:val="00C829E4"/>
    <w:rsid w:val="00C8344F"/>
    <w:rsid w:val="00C8426B"/>
    <w:rsid w:val="00C84CEB"/>
    <w:rsid w:val="00C84D7D"/>
    <w:rsid w:val="00C85671"/>
    <w:rsid w:val="00C859BE"/>
    <w:rsid w:val="00C86B29"/>
    <w:rsid w:val="00C872E0"/>
    <w:rsid w:val="00C923AA"/>
    <w:rsid w:val="00C9574D"/>
    <w:rsid w:val="00C96B19"/>
    <w:rsid w:val="00C970F8"/>
    <w:rsid w:val="00C97835"/>
    <w:rsid w:val="00C97E6C"/>
    <w:rsid w:val="00CA02BA"/>
    <w:rsid w:val="00CA05C7"/>
    <w:rsid w:val="00CA2C8A"/>
    <w:rsid w:val="00CA347E"/>
    <w:rsid w:val="00CA4993"/>
    <w:rsid w:val="00CA5FC9"/>
    <w:rsid w:val="00CA6C04"/>
    <w:rsid w:val="00CB064E"/>
    <w:rsid w:val="00CB1C5A"/>
    <w:rsid w:val="00CB502E"/>
    <w:rsid w:val="00CB5851"/>
    <w:rsid w:val="00CB66FC"/>
    <w:rsid w:val="00CB75B3"/>
    <w:rsid w:val="00CB75C7"/>
    <w:rsid w:val="00CC0745"/>
    <w:rsid w:val="00CC38B3"/>
    <w:rsid w:val="00CC3FF0"/>
    <w:rsid w:val="00CD0305"/>
    <w:rsid w:val="00CD4514"/>
    <w:rsid w:val="00CD5720"/>
    <w:rsid w:val="00CD6C83"/>
    <w:rsid w:val="00CD7057"/>
    <w:rsid w:val="00CD7ED5"/>
    <w:rsid w:val="00CE158F"/>
    <w:rsid w:val="00CE170E"/>
    <w:rsid w:val="00CE1726"/>
    <w:rsid w:val="00CE2A75"/>
    <w:rsid w:val="00CE2DCF"/>
    <w:rsid w:val="00CE4A02"/>
    <w:rsid w:val="00CE5F2C"/>
    <w:rsid w:val="00CF1F09"/>
    <w:rsid w:val="00CF31DC"/>
    <w:rsid w:val="00CF4A65"/>
    <w:rsid w:val="00CF73F1"/>
    <w:rsid w:val="00CF7553"/>
    <w:rsid w:val="00D00A51"/>
    <w:rsid w:val="00D01A69"/>
    <w:rsid w:val="00D0272E"/>
    <w:rsid w:val="00D02EDB"/>
    <w:rsid w:val="00D03236"/>
    <w:rsid w:val="00D04537"/>
    <w:rsid w:val="00D06024"/>
    <w:rsid w:val="00D12FB9"/>
    <w:rsid w:val="00D16741"/>
    <w:rsid w:val="00D17D90"/>
    <w:rsid w:val="00D17F75"/>
    <w:rsid w:val="00D21AC0"/>
    <w:rsid w:val="00D25A6B"/>
    <w:rsid w:val="00D25DF5"/>
    <w:rsid w:val="00D25F2E"/>
    <w:rsid w:val="00D275AE"/>
    <w:rsid w:val="00D275C4"/>
    <w:rsid w:val="00D317BF"/>
    <w:rsid w:val="00D35542"/>
    <w:rsid w:val="00D41394"/>
    <w:rsid w:val="00D41464"/>
    <w:rsid w:val="00D42324"/>
    <w:rsid w:val="00D4647D"/>
    <w:rsid w:val="00D50514"/>
    <w:rsid w:val="00D50573"/>
    <w:rsid w:val="00D50690"/>
    <w:rsid w:val="00D51013"/>
    <w:rsid w:val="00D51273"/>
    <w:rsid w:val="00D518D1"/>
    <w:rsid w:val="00D530DA"/>
    <w:rsid w:val="00D54362"/>
    <w:rsid w:val="00D56BB8"/>
    <w:rsid w:val="00D57F63"/>
    <w:rsid w:val="00D602E8"/>
    <w:rsid w:val="00D6047F"/>
    <w:rsid w:val="00D6078B"/>
    <w:rsid w:val="00D60ED7"/>
    <w:rsid w:val="00D62655"/>
    <w:rsid w:val="00D64157"/>
    <w:rsid w:val="00D646B1"/>
    <w:rsid w:val="00D652DF"/>
    <w:rsid w:val="00D67564"/>
    <w:rsid w:val="00D67AEA"/>
    <w:rsid w:val="00D71A05"/>
    <w:rsid w:val="00D722E0"/>
    <w:rsid w:val="00D736EF"/>
    <w:rsid w:val="00D74EF5"/>
    <w:rsid w:val="00D751E3"/>
    <w:rsid w:val="00D7582E"/>
    <w:rsid w:val="00D77D80"/>
    <w:rsid w:val="00D82751"/>
    <w:rsid w:val="00D8288E"/>
    <w:rsid w:val="00D82A6F"/>
    <w:rsid w:val="00D83473"/>
    <w:rsid w:val="00D847B1"/>
    <w:rsid w:val="00D8579C"/>
    <w:rsid w:val="00D8589E"/>
    <w:rsid w:val="00D86A54"/>
    <w:rsid w:val="00D87052"/>
    <w:rsid w:val="00D87141"/>
    <w:rsid w:val="00D87694"/>
    <w:rsid w:val="00D916AA"/>
    <w:rsid w:val="00D92673"/>
    <w:rsid w:val="00D95A66"/>
    <w:rsid w:val="00D960DE"/>
    <w:rsid w:val="00D97F71"/>
    <w:rsid w:val="00DA336E"/>
    <w:rsid w:val="00DA394E"/>
    <w:rsid w:val="00DA7226"/>
    <w:rsid w:val="00DB10C2"/>
    <w:rsid w:val="00DB3AF9"/>
    <w:rsid w:val="00DB49CD"/>
    <w:rsid w:val="00DB5984"/>
    <w:rsid w:val="00DC09FE"/>
    <w:rsid w:val="00DC2041"/>
    <w:rsid w:val="00DC2D88"/>
    <w:rsid w:val="00DC6C3C"/>
    <w:rsid w:val="00DC7544"/>
    <w:rsid w:val="00DC7ABB"/>
    <w:rsid w:val="00DD09F2"/>
    <w:rsid w:val="00DD0BB5"/>
    <w:rsid w:val="00DD0D81"/>
    <w:rsid w:val="00DD4BF4"/>
    <w:rsid w:val="00DD549C"/>
    <w:rsid w:val="00DD71D3"/>
    <w:rsid w:val="00DE0E34"/>
    <w:rsid w:val="00DE1518"/>
    <w:rsid w:val="00DE40CF"/>
    <w:rsid w:val="00DE6083"/>
    <w:rsid w:val="00DE7125"/>
    <w:rsid w:val="00DE745B"/>
    <w:rsid w:val="00DF0ADE"/>
    <w:rsid w:val="00DF19D8"/>
    <w:rsid w:val="00DF289D"/>
    <w:rsid w:val="00DF438E"/>
    <w:rsid w:val="00DF5F6B"/>
    <w:rsid w:val="00DF6DE9"/>
    <w:rsid w:val="00E015A4"/>
    <w:rsid w:val="00E0319C"/>
    <w:rsid w:val="00E043FB"/>
    <w:rsid w:val="00E05A4F"/>
    <w:rsid w:val="00E1196B"/>
    <w:rsid w:val="00E129C5"/>
    <w:rsid w:val="00E13C2B"/>
    <w:rsid w:val="00E13F88"/>
    <w:rsid w:val="00E15550"/>
    <w:rsid w:val="00E17E40"/>
    <w:rsid w:val="00E21DF9"/>
    <w:rsid w:val="00E24A08"/>
    <w:rsid w:val="00E24B4A"/>
    <w:rsid w:val="00E25EA1"/>
    <w:rsid w:val="00E27F74"/>
    <w:rsid w:val="00E348A7"/>
    <w:rsid w:val="00E35E02"/>
    <w:rsid w:val="00E35F7D"/>
    <w:rsid w:val="00E366AE"/>
    <w:rsid w:val="00E36E8C"/>
    <w:rsid w:val="00E36EF3"/>
    <w:rsid w:val="00E4176C"/>
    <w:rsid w:val="00E47270"/>
    <w:rsid w:val="00E5009A"/>
    <w:rsid w:val="00E5384D"/>
    <w:rsid w:val="00E53966"/>
    <w:rsid w:val="00E56AAD"/>
    <w:rsid w:val="00E56F8E"/>
    <w:rsid w:val="00E5783C"/>
    <w:rsid w:val="00E6088A"/>
    <w:rsid w:val="00E63A69"/>
    <w:rsid w:val="00E63C06"/>
    <w:rsid w:val="00E63C0E"/>
    <w:rsid w:val="00E646CD"/>
    <w:rsid w:val="00E66206"/>
    <w:rsid w:val="00E66AC3"/>
    <w:rsid w:val="00E67412"/>
    <w:rsid w:val="00E705C6"/>
    <w:rsid w:val="00E70B36"/>
    <w:rsid w:val="00E750E1"/>
    <w:rsid w:val="00E75204"/>
    <w:rsid w:val="00E752A9"/>
    <w:rsid w:val="00E762C3"/>
    <w:rsid w:val="00E76A23"/>
    <w:rsid w:val="00E8029E"/>
    <w:rsid w:val="00E80D96"/>
    <w:rsid w:val="00E812BF"/>
    <w:rsid w:val="00E8164C"/>
    <w:rsid w:val="00E82823"/>
    <w:rsid w:val="00E836A4"/>
    <w:rsid w:val="00E86C45"/>
    <w:rsid w:val="00E95DFC"/>
    <w:rsid w:val="00EA2489"/>
    <w:rsid w:val="00EA2AB3"/>
    <w:rsid w:val="00EA4A8E"/>
    <w:rsid w:val="00EA5916"/>
    <w:rsid w:val="00EA6189"/>
    <w:rsid w:val="00EB011C"/>
    <w:rsid w:val="00EB042F"/>
    <w:rsid w:val="00EB19B1"/>
    <w:rsid w:val="00EB262F"/>
    <w:rsid w:val="00EB3B6F"/>
    <w:rsid w:val="00EB3D44"/>
    <w:rsid w:val="00EC0AD0"/>
    <w:rsid w:val="00EC31DF"/>
    <w:rsid w:val="00EC3F59"/>
    <w:rsid w:val="00EC503D"/>
    <w:rsid w:val="00EC5FFF"/>
    <w:rsid w:val="00EC6DF2"/>
    <w:rsid w:val="00EC7C57"/>
    <w:rsid w:val="00ED0162"/>
    <w:rsid w:val="00ED3D23"/>
    <w:rsid w:val="00ED4670"/>
    <w:rsid w:val="00ED53BF"/>
    <w:rsid w:val="00ED6252"/>
    <w:rsid w:val="00ED70B8"/>
    <w:rsid w:val="00EE0E93"/>
    <w:rsid w:val="00EE2F5E"/>
    <w:rsid w:val="00EE3295"/>
    <w:rsid w:val="00EE523C"/>
    <w:rsid w:val="00EE7558"/>
    <w:rsid w:val="00EE7CE9"/>
    <w:rsid w:val="00EF0933"/>
    <w:rsid w:val="00EF0F29"/>
    <w:rsid w:val="00EF2DA3"/>
    <w:rsid w:val="00EF4EAF"/>
    <w:rsid w:val="00EF5233"/>
    <w:rsid w:val="00F01872"/>
    <w:rsid w:val="00F01D6D"/>
    <w:rsid w:val="00F024F0"/>
    <w:rsid w:val="00F02ECA"/>
    <w:rsid w:val="00F04765"/>
    <w:rsid w:val="00F05CBA"/>
    <w:rsid w:val="00F10181"/>
    <w:rsid w:val="00F124FA"/>
    <w:rsid w:val="00F13B0D"/>
    <w:rsid w:val="00F13C88"/>
    <w:rsid w:val="00F140CA"/>
    <w:rsid w:val="00F145BD"/>
    <w:rsid w:val="00F1652D"/>
    <w:rsid w:val="00F169D9"/>
    <w:rsid w:val="00F17470"/>
    <w:rsid w:val="00F20D4A"/>
    <w:rsid w:val="00F217E8"/>
    <w:rsid w:val="00F22F32"/>
    <w:rsid w:val="00F24714"/>
    <w:rsid w:val="00F25C25"/>
    <w:rsid w:val="00F261BB"/>
    <w:rsid w:val="00F26204"/>
    <w:rsid w:val="00F26357"/>
    <w:rsid w:val="00F27A4D"/>
    <w:rsid w:val="00F30D03"/>
    <w:rsid w:val="00F31AF3"/>
    <w:rsid w:val="00F33E20"/>
    <w:rsid w:val="00F35142"/>
    <w:rsid w:val="00F40B05"/>
    <w:rsid w:val="00F45455"/>
    <w:rsid w:val="00F45A41"/>
    <w:rsid w:val="00F46349"/>
    <w:rsid w:val="00F46C8F"/>
    <w:rsid w:val="00F4718F"/>
    <w:rsid w:val="00F501E7"/>
    <w:rsid w:val="00F51B95"/>
    <w:rsid w:val="00F544BD"/>
    <w:rsid w:val="00F60CA9"/>
    <w:rsid w:val="00F63A66"/>
    <w:rsid w:val="00F65476"/>
    <w:rsid w:val="00F6585B"/>
    <w:rsid w:val="00F749E9"/>
    <w:rsid w:val="00F74D6C"/>
    <w:rsid w:val="00F7690B"/>
    <w:rsid w:val="00F8211E"/>
    <w:rsid w:val="00F82D9E"/>
    <w:rsid w:val="00F839C5"/>
    <w:rsid w:val="00F8437D"/>
    <w:rsid w:val="00F84719"/>
    <w:rsid w:val="00F86557"/>
    <w:rsid w:val="00F8743E"/>
    <w:rsid w:val="00F901D8"/>
    <w:rsid w:val="00F9486B"/>
    <w:rsid w:val="00FA22B3"/>
    <w:rsid w:val="00FA3428"/>
    <w:rsid w:val="00FA3CAB"/>
    <w:rsid w:val="00FB0238"/>
    <w:rsid w:val="00FB1089"/>
    <w:rsid w:val="00FB16B1"/>
    <w:rsid w:val="00FB28CB"/>
    <w:rsid w:val="00FC06CB"/>
    <w:rsid w:val="00FC1B37"/>
    <w:rsid w:val="00FC3910"/>
    <w:rsid w:val="00FC4C19"/>
    <w:rsid w:val="00FC7480"/>
    <w:rsid w:val="00FC7EB5"/>
    <w:rsid w:val="00FD057E"/>
    <w:rsid w:val="00FD3964"/>
    <w:rsid w:val="00FD47BB"/>
    <w:rsid w:val="00FD596E"/>
    <w:rsid w:val="00FD770A"/>
    <w:rsid w:val="00FE130E"/>
    <w:rsid w:val="00FE1791"/>
    <w:rsid w:val="00FE5E79"/>
    <w:rsid w:val="00FE6E54"/>
    <w:rsid w:val="00FE771B"/>
    <w:rsid w:val="00FE7CEC"/>
    <w:rsid w:val="00FF06E1"/>
    <w:rsid w:val="00FF2EA5"/>
    <w:rsid w:val="00FF3EAE"/>
    <w:rsid w:val="00FF42BF"/>
    <w:rsid w:val="00FF637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1A61"/>
  </w:style>
  <w:style w:type="paragraph" w:styleId="Nadpis1">
    <w:name w:val="heading 1"/>
    <w:basedOn w:val="Normlny"/>
    <w:next w:val="Normlny"/>
    <w:link w:val="Nadpis1Char"/>
    <w:uiPriority w:val="9"/>
    <w:qFormat/>
    <w:rsid w:val="00E35F7D"/>
    <w:pPr>
      <w:keepNext/>
      <w:keepLines/>
      <w:pBdr>
        <w:bottom w:val="single" w:sz="4" w:space="1" w:color="auto"/>
      </w:pBdr>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B515FB"/>
    <w:pPr>
      <w:keepNext/>
      <w:keepLines/>
      <w:spacing w:after="0" w:line="240" w:lineRule="auto"/>
      <w:outlineLvl w:val="1"/>
    </w:pPr>
    <w:rPr>
      <w:rFonts w:ascii="Times New Roman" w:eastAsiaTheme="majorEastAsia" w:hAnsi="Times New Roman" w:cstheme="majorBidi"/>
      <w:b/>
      <w:bCs/>
      <w:sz w:val="24"/>
      <w:szCs w:val="26"/>
      <w:u w:val="single"/>
    </w:rPr>
  </w:style>
  <w:style w:type="paragraph" w:styleId="Nadpis3">
    <w:name w:val="heading 3"/>
    <w:basedOn w:val="Normlny"/>
    <w:next w:val="Normlny"/>
    <w:link w:val="Nadpis3Char"/>
    <w:uiPriority w:val="9"/>
    <w:unhideWhenUsed/>
    <w:qFormat/>
    <w:rsid w:val="00B515FB"/>
    <w:pPr>
      <w:keepNext/>
      <w:keepLines/>
      <w:spacing w:after="0" w:line="240" w:lineRule="auto"/>
      <w:outlineLvl w:val="2"/>
    </w:pPr>
    <w:rPr>
      <w:rFonts w:ascii="Times New Roman" w:eastAsiaTheme="majorEastAsia" w:hAnsi="Times New Roman" w:cstheme="majorBidi"/>
      <w:b/>
      <w:bCs/>
      <w:sz w:val="24"/>
    </w:rPr>
  </w:style>
  <w:style w:type="paragraph" w:styleId="Nadpis5">
    <w:name w:val="heading 5"/>
    <w:basedOn w:val="Normlny"/>
    <w:next w:val="Normlny"/>
    <w:link w:val="Nadpis5Char"/>
    <w:uiPriority w:val="9"/>
    <w:semiHidden/>
    <w:unhideWhenUsed/>
    <w:qFormat/>
    <w:rsid w:val="001950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81EBA"/>
    <w:pPr>
      <w:ind w:left="720"/>
      <w:contextualSpacing/>
    </w:pPr>
  </w:style>
  <w:style w:type="paragraph" w:styleId="Textbubliny">
    <w:name w:val="Balloon Text"/>
    <w:basedOn w:val="Normlny"/>
    <w:link w:val="TextbublinyChar"/>
    <w:uiPriority w:val="99"/>
    <w:semiHidden/>
    <w:unhideWhenUsed/>
    <w:rsid w:val="00997F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3D"/>
    <w:rPr>
      <w:rFonts w:ascii="Tahoma" w:hAnsi="Tahoma" w:cs="Tahoma"/>
      <w:sz w:val="16"/>
      <w:szCs w:val="16"/>
    </w:rPr>
  </w:style>
  <w:style w:type="paragraph" w:styleId="Textpoznmkypodiarou">
    <w:name w:val="footnote text"/>
    <w:aliases w:val="Footnote Text Char1,Footnote Text Char Char,Fo Char Char,Fotnot Char Char,Fo Char,Fotnot CharFootN,ft,ADB,single space,fn,FOOTNOTES,Text poznámky pod čiarou 007,_Poznámka pod čiarou,footnote text,Text pozn. pod čarou Char"/>
    <w:basedOn w:val="Normlny"/>
    <w:link w:val="TextpoznmkypodiarouChar"/>
    <w:uiPriority w:val="99"/>
    <w:semiHidden/>
    <w:rsid w:val="00997F3D"/>
    <w:pPr>
      <w:spacing w:after="0" w:line="240" w:lineRule="auto"/>
    </w:pPr>
    <w:rPr>
      <w:rFonts w:ascii="Calibri" w:eastAsia="Times New Roman" w:hAnsi="Calibri" w:cs="Times New Roman"/>
      <w:sz w:val="20"/>
      <w:szCs w:val="20"/>
    </w:rPr>
  </w:style>
  <w:style w:type="character" w:customStyle="1" w:styleId="TextpoznmkypodiarouChar">
    <w:name w:val="Text poznámky pod čiarou Char"/>
    <w:aliases w:val="Footnote Text Char1 Char,Footnote Text Char Char Char,Fo Char Char Char,Fotnot Char Char Char,Fo Char Char1,Fotnot CharFootN Char,ft Char,ADB Char,single space Char,fn Char,FOOTNOTES Char,Text poznámky pod čiarou 007 Char"/>
    <w:basedOn w:val="Predvolenpsmoodseku"/>
    <w:link w:val="Textpoznmkypodiarou"/>
    <w:uiPriority w:val="99"/>
    <w:semiHidden/>
    <w:rsid w:val="00997F3D"/>
    <w:rPr>
      <w:rFonts w:ascii="Calibri" w:eastAsia="Times New Roman" w:hAnsi="Calibri" w:cs="Times New Roman"/>
      <w:sz w:val="20"/>
      <w:szCs w:val="20"/>
      <w:lang w:eastAsia="sk-SK"/>
    </w:rPr>
  </w:style>
  <w:style w:type="character" w:styleId="Odkaznapoznmkupodiarou">
    <w:name w:val="footnote reference"/>
    <w:aliases w:val="PGI Fußnote Ziffer,number"/>
    <w:basedOn w:val="Predvolenpsmoodseku"/>
    <w:uiPriority w:val="99"/>
    <w:semiHidden/>
    <w:rsid w:val="00997F3D"/>
    <w:rPr>
      <w:rFonts w:cs="Times New Roman"/>
      <w:vertAlign w:val="superscript"/>
    </w:rPr>
  </w:style>
  <w:style w:type="character" w:styleId="Hypertextovprepojenie">
    <w:name w:val="Hyperlink"/>
    <w:basedOn w:val="Predvolenpsmoodseku"/>
    <w:uiPriority w:val="99"/>
    <w:rsid w:val="00DA7226"/>
    <w:rPr>
      <w:rFonts w:cs="Times New Roman"/>
      <w:color w:val="0000FF"/>
      <w:u w:val="single"/>
    </w:rPr>
  </w:style>
  <w:style w:type="paragraph" w:customStyle="1" w:styleId="Odsekzoznamu1">
    <w:name w:val="Odsek zoznamu1"/>
    <w:basedOn w:val="Normlny"/>
    <w:link w:val="ListParagraphChar1"/>
    <w:rsid w:val="00E750E1"/>
    <w:pPr>
      <w:spacing w:after="0" w:line="240" w:lineRule="auto"/>
      <w:ind w:left="720" w:firstLine="454"/>
      <w:jc w:val="both"/>
    </w:pPr>
    <w:rPr>
      <w:rFonts w:ascii="Times New Roman" w:eastAsia="Times New Roman" w:hAnsi="Times New Roman" w:cs="Times New Roman"/>
      <w:color w:val="000000"/>
      <w:sz w:val="24"/>
      <w:szCs w:val="24"/>
      <w:lang w:eastAsia="cs-CZ"/>
    </w:rPr>
  </w:style>
  <w:style w:type="character" w:customStyle="1" w:styleId="ListParagraphChar1">
    <w:name w:val="List Paragraph Char1"/>
    <w:basedOn w:val="Predvolenpsmoodseku"/>
    <w:link w:val="Odsekzoznamu1"/>
    <w:locked/>
    <w:rsid w:val="00E750E1"/>
    <w:rPr>
      <w:rFonts w:ascii="Times New Roman" w:eastAsia="Times New Roman" w:hAnsi="Times New Roman" w:cs="Times New Roman"/>
      <w:color w:val="000000"/>
      <w:sz w:val="24"/>
      <w:szCs w:val="24"/>
      <w:lang w:eastAsia="cs-CZ"/>
    </w:rPr>
  </w:style>
  <w:style w:type="paragraph" w:styleId="Zarkazkladnhotextu3">
    <w:name w:val="Body Text Indent 3"/>
    <w:basedOn w:val="Normlny"/>
    <w:link w:val="Zarkazkladnhotextu3Char"/>
    <w:semiHidden/>
    <w:rsid w:val="00E750E1"/>
    <w:pPr>
      <w:overflowPunct w:val="0"/>
      <w:autoSpaceDE w:val="0"/>
      <w:autoSpaceDN w:val="0"/>
      <w:adjustRightInd w:val="0"/>
      <w:spacing w:after="0" w:line="240" w:lineRule="auto"/>
      <w:ind w:left="284"/>
      <w:jc w:val="both"/>
      <w:textAlignment w:val="baseline"/>
    </w:pPr>
    <w:rPr>
      <w:rFonts w:ascii="Times New Roman" w:eastAsia="Times New Roman" w:hAnsi="Times New Roman" w:cs="Times New Roman"/>
      <w:sz w:val="24"/>
      <w:szCs w:val="20"/>
    </w:rPr>
  </w:style>
  <w:style w:type="character" w:customStyle="1" w:styleId="Zarkazkladnhotextu3Char">
    <w:name w:val="Zarážka základného textu 3 Char"/>
    <w:basedOn w:val="Predvolenpsmoodseku"/>
    <w:link w:val="Zarkazkladnhotextu3"/>
    <w:semiHidden/>
    <w:rsid w:val="00E750E1"/>
    <w:rPr>
      <w:rFonts w:ascii="Times New Roman" w:eastAsia="Times New Roman" w:hAnsi="Times New Roman" w:cs="Times New Roman"/>
      <w:sz w:val="24"/>
      <w:szCs w:val="20"/>
      <w:lang w:eastAsia="sk-SK"/>
    </w:rPr>
  </w:style>
  <w:style w:type="paragraph" w:customStyle="1" w:styleId="Normln12">
    <w:name w:val="Normální 12"/>
    <w:basedOn w:val="Normlny"/>
    <w:rsid w:val="00FF42BF"/>
    <w:pPr>
      <w:overflowPunct w:val="0"/>
      <w:autoSpaceDE w:val="0"/>
      <w:autoSpaceDN w:val="0"/>
      <w:adjustRightInd w:val="0"/>
      <w:spacing w:after="0" w:line="320" w:lineRule="exact"/>
      <w:ind w:firstLine="426"/>
      <w:jc w:val="both"/>
      <w:textAlignment w:val="baseline"/>
    </w:pPr>
    <w:rPr>
      <w:rFonts w:ascii="Times New Roman" w:eastAsia="Calibri" w:hAnsi="Times New Roman" w:cs="Times New Roman"/>
      <w:sz w:val="24"/>
      <w:szCs w:val="24"/>
      <w:lang w:val="cs-CZ"/>
    </w:rPr>
  </w:style>
  <w:style w:type="paragraph" w:styleId="Zkladntext">
    <w:name w:val="Body Text"/>
    <w:basedOn w:val="Normlny"/>
    <w:link w:val="ZkladntextChar"/>
    <w:uiPriority w:val="99"/>
    <w:unhideWhenUsed/>
    <w:rsid w:val="00D17F75"/>
    <w:pPr>
      <w:spacing w:after="120"/>
    </w:pPr>
  </w:style>
  <w:style w:type="character" w:customStyle="1" w:styleId="ZkladntextChar">
    <w:name w:val="Základný text Char"/>
    <w:basedOn w:val="Predvolenpsmoodseku"/>
    <w:link w:val="Zkladntext"/>
    <w:uiPriority w:val="99"/>
    <w:rsid w:val="00D17F75"/>
  </w:style>
  <w:style w:type="paragraph" w:styleId="Normlnywebov">
    <w:name w:val="Normal (Web)"/>
    <w:basedOn w:val="Normlny"/>
    <w:semiHidden/>
    <w:rsid w:val="00D17F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Odsekzoznamu1"/>
    <w:link w:val="2Char"/>
    <w:autoRedefine/>
    <w:rsid w:val="003D5BBD"/>
    <w:pPr>
      <w:ind w:left="0" w:firstLine="0"/>
      <w:jc w:val="left"/>
    </w:pPr>
    <w:rPr>
      <w:color w:val="auto"/>
      <w:sz w:val="18"/>
      <w:szCs w:val="18"/>
      <w:lang w:eastAsia="en-US"/>
    </w:rPr>
  </w:style>
  <w:style w:type="character" w:customStyle="1" w:styleId="2Char">
    <w:name w:val="2 Char"/>
    <w:basedOn w:val="Predvolenpsmoodseku"/>
    <w:link w:val="2"/>
    <w:locked/>
    <w:rsid w:val="003D5BBD"/>
    <w:rPr>
      <w:rFonts w:ascii="Times New Roman" w:eastAsia="Times New Roman" w:hAnsi="Times New Roman" w:cs="Times New Roman"/>
      <w:sz w:val="18"/>
      <w:szCs w:val="18"/>
      <w:lang w:eastAsia="en-US"/>
    </w:rPr>
  </w:style>
  <w:style w:type="paragraph" w:customStyle="1" w:styleId="Obycajntext">
    <w:name w:val="Obycajný text"/>
    <w:basedOn w:val="Normlny"/>
    <w:rsid w:val="007B0C01"/>
    <w:pPr>
      <w:spacing w:after="0" w:line="240" w:lineRule="auto"/>
    </w:pPr>
    <w:rPr>
      <w:rFonts w:ascii="Courier New" w:eastAsia="Times New Roman" w:hAnsi="Courier New" w:cs="Times New Roman"/>
      <w:sz w:val="20"/>
      <w:szCs w:val="20"/>
      <w:lang w:val="en-US"/>
    </w:rPr>
  </w:style>
  <w:style w:type="paragraph" w:styleId="Zkladntext2">
    <w:name w:val="Body Text 2"/>
    <w:basedOn w:val="Normlny"/>
    <w:link w:val="Zkladntext2Char"/>
    <w:uiPriority w:val="99"/>
    <w:semiHidden/>
    <w:unhideWhenUsed/>
    <w:rsid w:val="00CA02BA"/>
    <w:pPr>
      <w:spacing w:after="120" w:line="480" w:lineRule="auto"/>
    </w:pPr>
  </w:style>
  <w:style w:type="character" w:customStyle="1" w:styleId="Zkladntext2Char">
    <w:name w:val="Základný text 2 Char"/>
    <w:basedOn w:val="Predvolenpsmoodseku"/>
    <w:link w:val="Zkladntext2"/>
    <w:uiPriority w:val="99"/>
    <w:semiHidden/>
    <w:rsid w:val="00CA02BA"/>
  </w:style>
  <w:style w:type="paragraph" w:styleId="Zarkazkladnhotextu">
    <w:name w:val="Body Text Indent"/>
    <w:basedOn w:val="Normlny"/>
    <w:link w:val="ZarkazkladnhotextuChar"/>
    <w:uiPriority w:val="99"/>
    <w:semiHidden/>
    <w:unhideWhenUsed/>
    <w:rsid w:val="00CA02BA"/>
    <w:pPr>
      <w:spacing w:after="120"/>
      <w:ind w:left="283"/>
    </w:pPr>
  </w:style>
  <w:style w:type="character" w:customStyle="1" w:styleId="ZarkazkladnhotextuChar">
    <w:name w:val="Zarážka základného textu Char"/>
    <w:basedOn w:val="Predvolenpsmoodseku"/>
    <w:link w:val="Zarkazkladnhotextu"/>
    <w:uiPriority w:val="99"/>
    <w:semiHidden/>
    <w:rsid w:val="00CA02BA"/>
  </w:style>
  <w:style w:type="paragraph" w:styleId="Hlavika">
    <w:name w:val="header"/>
    <w:basedOn w:val="Normlny"/>
    <w:link w:val="HlavikaChar"/>
    <w:uiPriority w:val="99"/>
    <w:unhideWhenUsed/>
    <w:rsid w:val="000D7B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D7BF0"/>
  </w:style>
  <w:style w:type="paragraph" w:styleId="Pta">
    <w:name w:val="footer"/>
    <w:basedOn w:val="Normlny"/>
    <w:link w:val="PtaChar"/>
    <w:uiPriority w:val="99"/>
    <w:unhideWhenUsed/>
    <w:rsid w:val="000D7BF0"/>
    <w:pPr>
      <w:tabs>
        <w:tab w:val="center" w:pos="4536"/>
        <w:tab w:val="right" w:pos="9072"/>
      </w:tabs>
      <w:spacing w:after="0" w:line="240" w:lineRule="auto"/>
    </w:pPr>
  </w:style>
  <w:style w:type="character" w:customStyle="1" w:styleId="PtaChar">
    <w:name w:val="Päta Char"/>
    <w:basedOn w:val="Predvolenpsmoodseku"/>
    <w:link w:val="Pta"/>
    <w:uiPriority w:val="99"/>
    <w:rsid w:val="000D7BF0"/>
  </w:style>
  <w:style w:type="paragraph" w:customStyle="1" w:styleId="Default">
    <w:name w:val="Default"/>
    <w:rsid w:val="00D25DF5"/>
    <w:pPr>
      <w:autoSpaceDE w:val="0"/>
      <w:autoSpaceDN w:val="0"/>
      <w:adjustRightInd w:val="0"/>
      <w:spacing w:after="0" w:line="240" w:lineRule="auto"/>
    </w:pPr>
    <w:rPr>
      <w:rFonts w:ascii="Calibri" w:hAnsi="Calibri" w:cs="Calibri"/>
      <w:color w:val="000000"/>
      <w:sz w:val="24"/>
      <w:szCs w:val="24"/>
    </w:rPr>
  </w:style>
  <w:style w:type="character" w:styleId="Odkaznakomentr">
    <w:name w:val="annotation reference"/>
    <w:basedOn w:val="Predvolenpsmoodseku"/>
    <w:semiHidden/>
    <w:unhideWhenUsed/>
    <w:rsid w:val="003758F1"/>
    <w:rPr>
      <w:sz w:val="16"/>
      <w:szCs w:val="16"/>
    </w:rPr>
  </w:style>
  <w:style w:type="paragraph" w:styleId="Textkomentra">
    <w:name w:val="annotation text"/>
    <w:basedOn w:val="Normlny"/>
    <w:link w:val="TextkomentraChar"/>
    <w:semiHidden/>
    <w:unhideWhenUsed/>
    <w:rsid w:val="003758F1"/>
    <w:pPr>
      <w:spacing w:line="240" w:lineRule="auto"/>
    </w:pPr>
    <w:rPr>
      <w:sz w:val="20"/>
      <w:szCs w:val="20"/>
    </w:rPr>
  </w:style>
  <w:style w:type="character" w:customStyle="1" w:styleId="TextkomentraChar">
    <w:name w:val="Text komentára Char"/>
    <w:basedOn w:val="Predvolenpsmoodseku"/>
    <w:link w:val="Textkomentra"/>
    <w:uiPriority w:val="99"/>
    <w:semiHidden/>
    <w:rsid w:val="003758F1"/>
    <w:rPr>
      <w:sz w:val="20"/>
      <w:szCs w:val="20"/>
    </w:rPr>
  </w:style>
  <w:style w:type="paragraph" w:styleId="Predmetkomentra">
    <w:name w:val="annotation subject"/>
    <w:basedOn w:val="Textkomentra"/>
    <w:next w:val="Textkomentra"/>
    <w:link w:val="PredmetkomentraChar"/>
    <w:uiPriority w:val="99"/>
    <w:semiHidden/>
    <w:unhideWhenUsed/>
    <w:rsid w:val="003758F1"/>
    <w:rPr>
      <w:b/>
      <w:bCs/>
    </w:rPr>
  </w:style>
  <w:style w:type="character" w:customStyle="1" w:styleId="PredmetkomentraChar">
    <w:name w:val="Predmet komentára Char"/>
    <w:basedOn w:val="TextkomentraChar"/>
    <w:link w:val="Predmetkomentra"/>
    <w:uiPriority w:val="99"/>
    <w:semiHidden/>
    <w:rsid w:val="003758F1"/>
    <w:rPr>
      <w:b/>
      <w:bCs/>
      <w:sz w:val="20"/>
      <w:szCs w:val="20"/>
    </w:rPr>
  </w:style>
  <w:style w:type="paragraph" w:customStyle="1" w:styleId="ZkladntextbBodyTextCharZkladntextCharbtheading3BodyText-Level2Body">
    <w:name w:val="Základný text.b.Body Text Char.Základní text Char.bt.heading3.Body Text - Level 2.Body"/>
    <w:basedOn w:val="Normlny"/>
    <w:rsid w:val="00D56BB8"/>
    <w:pPr>
      <w:spacing w:after="0" w:line="240" w:lineRule="auto"/>
      <w:jc w:val="center"/>
    </w:pPr>
    <w:rPr>
      <w:rFonts w:ascii="Times New Roman" w:eastAsia="Times New Roman" w:hAnsi="Times New Roman" w:cs="Times New Roman"/>
      <w:b/>
      <w:sz w:val="24"/>
      <w:szCs w:val="20"/>
    </w:rPr>
  </w:style>
  <w:style w:type="paragraph" w:styleId="Obsah1">
    <w:name w:val="toc 1"/>
    <w:basedOn w:val="Normlny"/>
    <w:next w:val="Normlny"/>
    <w:autoRedefine/>
    <w:uiPriority w:val="39"/>
    <w:unhideWhenUsed/>
    <w:rsid w:val="00A86420"/>
    <w:pPr>
      <w:tabs>
        <w:tab w:val="left" w:pos="440"/>
        <w:tab w:val="right" w:leader="dot" w:pos="9062"/>
      </w:tabs>
      <w:spacing w:before="120" w:after="120"/>
      <w:ind w:left="220" w:hanging="220"/>
    </w:pPr>
    <w:rPr>
      <w:rFonts w:cstheme="minorHAnsi"/>
      <w:b/>
      <w:bCs/>
      <w:caps/>
      <w:sz w:val="20"/>
      <w:szCs w:val="20"/>
    </w:rPr>
  </w:style>
  <w:style w:type="paragraph" w:styleId="Obsah2">
    <w:name w:val="toc 2"/>
    <w:basedOn w:val="Normlny"/>
    <w:next w:val="Normlny"/>
    <w:autoRedefine/>
    <w:uiPriority w:val="39"/>
    <w:unhideWhenUsed/>
    <w:rsid w:val="00766BC0"/>
    <w:pPr>
      <w:tabs>
        <w:tab w:val="left" w:pos="880"/>
        <w:tab w:val="right" w:leader="dot" w:pos="9062"/>
      </w:tabs>
      <w:spacing w:after="0"/>
      <w:ind w:left="851" w:hanging="851"/>
    </w:pPr>
    <w:rPr>
      <w:rFonts w:cstheme="minorHAnsi"/>
      <w:smallCaps/>
      <w:sz w:val="20"/>
      <w:szCs w:val="20"/>
    </w:rPr>
  </w:style>
  <w:style w:type="paragraph" w:styleId="Obsah3">
    <w:name w:val="toc 3"/>
    <w:basedOn w:val="Normlny"/>
    <w:next w:val="Normlny"/>
    <w:autoRedefine/>
    <w:uiPriority w:val="39"/>
    <w:unhideWhenUsed/>
    <w:rsid w:val="00766BC0"/>
    <w:pPr>
      <w:tabs>
        <w:tab w:val="left" w:pos="1100"/>
        <w:tab w:val="right" w:leader="dot" w:pos="9062"/>
      </w:tabs>
      <w:spacing w:after="0"/>
      <w:ind w:left="1134" w:hanging="694"/>
    </w:pPr>
    <w:rPr>
      <w:rFonts w:cstheme="minorHAnsi"/>
      <w:i/>
      <w:iCs/>
      <w:sz w:val="20"/>
      <w:szCs w:val="20"/>
    </w:rPr>
  </w:style>
  <w:style w:type="paragraph" w:styleId="Obsah4">
    <w:name w:val="toc 4"/>
    <w:basedOn w:val="Normlny"/>
    <w:next w:val="Normlny"/>
    <w:autoRedefine/>
    <w:uiPriority w:val="39"/>
    <w:unhideWhenUsed/>
    <w:rsid w:val="00E35F7D"/>
    <w:pPr>
      <w:spacing w:after="0"/>
      <w:ind w:left="660"/>
    </w:pPr>
    <w:rPr>
      <w:rFonts w:cstheme="minorHAnsi"/>
      <w:sz w:val="18"/>
      <w:szCs w:val="18"/>
    </w:rPr>
  </w:style>
  <w:style w:type="paragraph" w:styleId="Obsah5">
    <w:name w:val="toc 5"/>
    <w:basedOn w:val="Normlny"/>
    <w:next w:val="Normlny"/>
    <w:autoRedefine/>
    <w:uiPriority w:val="39"/>
    <w:unhideWhenUsed/>
    <w:rsid w:val="00E35F7D"/>
    <w:pPr>
      <w:spacing w:after="0"/>
      <w:ind w:left="880"/>
    </w:pPr>
    <w:rPr>
      <w:rFonts w:cstheme="minorHAnsi"/>
      <w:sz w:val="18"/>
      <w:szCs w:val="18"/>
    </w:rPr>
  </w:style>
  <w:style w:type="paragraph" w:styleId="Obsah6">
    <w:name w:val="toc 6"/>
    <w:basedOn w:val="Normlny"/>
    <w:next w:val="Normlny"/>
    <w:autoRedefine/>
    <w:uiPriority w:val="39"/>
    <w:unhideWhenUsed/>
    <w:rsid w:val="00E35F7D"/>
    <w:pPr>
      <w:spacing w:after="0"/>
      <w:ind w:left="1100"/>
    </w:pPr>
    <w:rPr>
      <w:rFonts w:cstheme="minorHAnsi"/>
      <w:sz w:val="18"/>
      <w:szCs w:val="18"/>
    </w:rPr>
  </w:style>
  <w:style w:type="paragraph" w:styleId="Obsah7">
    <w:name w:val="toc 7"/>
    <w:basedOn w:val="Normlny"/>
    <w:next w:val="Normlny"/>
    <w:autoRedefine/>
    <w:uiPriority w:val="39"/>
    <w:unhideWhenUsed/>
    <w:rsid w:val="00E35F7D"/>
    <w:pPr>
      <w:spacing w:after="0"/>
      <w:ind w:left="1320"/>
    </w:pPr>
    <w:rPr>
      <w:rFonts w:cstheme="minorHAnsi"/>
      <w:sz w:val="18"/>
      <w:szCs w:val="18"/>
    </w:rPr>
  </w:style>
  <w:style w:type="paragraph" w:styleId="Obsah8">
    <w:name w:val="toc 8"/>
    <w:basedOn w:val="Normlny"/>
    <w:next w:val="Normlny"/>
    <w:autoRedefine/>
    <w:uiPriority w:val="39"/>
    <w:unhideWhenUsed/>
    <w:rsid w:val="00E35F7D"/>
    <w:pPr>
      <w:spacing w:after="0"/>
      <w:ind w:left="1540"/>
    </w:pPr>
    <w:rPr>
      <w:rFonts w:cstheme="minorHAnsi"/>
      <w:sz w:val="18"/>
      <w:szCs w:val="18"/>
    </w:rPr>
  </w:style>
  <w:style w:type="paragraph" w:styleId="Obsah9">
    <w:name w:val="toc 9"/>
    <w:basedOn w:val="Normlny"/>
    <w:next w:val="Normlny"/>
    <w:autoRedefine/>
    <w:uiPriority w:val="39"/>
    <w:unhideWhenUsed/>
    <w:rsid w:val="00E35F7D"/>
    <w:pPr>
      <w:spacing w:after="0"/>
      <w:ind w:left="1760"/>
    </w:pPr>
    <w:rPr>
      <w:rFonts w:cstheme="minorHAnsi"/>
      <w:sz w:val="18"/>
      <w:szCs w:val="18"/>
    </w:rPr>
  </w:style>
  <w:style w:type="character" w:customStyle="1" w:styleId="Nadpis1Char">
    <w:name w:val="Nadpis 1 Char"/>
    <w:basedOn w:val="Predvolenpsmoodseku"/>
    <w:link w:val="Nadpis1"/>
    <w:uiPriority w:val="9"/>
    <w:rsid w:val="00E35F7D"/>
    <w:rPr>
      <w:rFonts w:ascii="Times New Roman" w:eastAsiaTheme="majorEastAsia" w:hAnsi="Times New Roman" w:cstheme="majorBidi"/>
      <w:b/>
      <w:bCs/>
      <w:sz w:val="28"/>
      <w:szCs w:val="28"/>
    </w:rPr>
  </w:style>
  <w:style w:type="paragraph" w:styleId="Hlavikaobsahu">
    <w:name w:val="TOC Heading"/>
    <w:basedOn w:val="Nadpis1"/>
    <w:next w:val="Normlny"/>
    <w:uiPriority w:val="39"/>
    <w:unhideWhenUsed/>
    <w:qFormat/>
    <w:rsid w:val="00E35F7D"/>
    <w:pPr>
      <w:outlineLvl w:val="9"/>
    </w:pPr>
  </w:style>
  <w:style w:type="character" w:customStyle="1" w:styleId="Nadpis2Char">
    <w:name w:val="Nadpis 2 Char"/>
    <w:basedOn w:val="Predvolenpsmoodseku"/>
    <w:link w:val="Nadpis2"/>
    <w:uiPriority w:val="9"/>
    <w:rsid w:val="00B515FB"/>
    <w:rPr>
      <w:rFonts w:ascii="Times New Roman" w:eastAsiaTheme="majorEastAsia" w:hAnsi="Times New Roman" w:cstheme="majorBidi"/>
      <w:b/>
      <w:bCs/>
      <w:sz w:val="24"/>
      <w:szCs w:val="26"/>
      <w:u w:val="single"/>
    </w:rPr>
  </w:style>
  <w:style w:type="character" w:customStyle="1" w:styleId="Nadpis3Char">
    <w:name w:val="Nadpis 3 Char"/>
    <w:basedOn w:val="Predvolenpsmoodseku"/>
    <w:link w:val="Nadpis3"/>
    <w:uiPriority w:val="9"/>
    <w:rsid w:val="00B515FB"/>
    <w:rPr>
      <w:rFonts w:ascii="Times New Roman" w:eastAsiaTheme="majorEastAsia" w:hAnsi="Times New Roman" w:cstheme="majorBidi"/>
      <w:b/>
      <w:bCs/>
      <w:sz w:val="24"/>
    </w:rPr>
  </w:style>
  <w:style w:type="character" w:customStyle="1" w:styleId="st">
    <w:name w:val="st"/>
    <w:basedOn w:val="Predvolenpsmoodseku"/>
    <w:rsid w:val="007F7B56"/>
  </w:style>
  <w:style w:type="paragraph" w:customStyle="1" w:styleId="CharCharCharCharCharChar1Char">
    <w:name w:val="Char Char Char Char Char Char1 Char"/>
    <w:basedOn w:val="Normlny"/>
    <w:rsid w:val="00212E18"/>
    <w:pPr>
      <w:tabs>
        <w:tab w:val="num" w:pos="567"/>
      </w:tabs>
      <w:spacing w:after="0" w:line="240" w:lineRule="exact"/>
      <w:ind w:left="567" w:hanging="567"/>
    </w:pPr>
    <w:rPr>
      <w:rFonts w:ascii="Times New Roman Bold" w:eastAsia="Times New Roman" w:hAnsi="Times New Roman Bold" w:cs="Times New Roman Bold"/>
      <w:b/>
      <w:bCs/>
      <w:sz w:val="26"/>
      <w:szCs w:val="26"/>
      <w:lang w:eastAsia="en-US"/>
    </w:rPr>
  </w:style>
  <w:style w:type="paragraph" w:styleId="Zoznamsodrkami">
    <w:name w:val="List Bullet"/>
    <w:basedOn w:val="Normlny"/>
    <w:rsid w:val="003F0AFE"/>
    <w:pPr>
      <w:numPr>
        <w:numId w:val="10"/>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default0">
    <w:name w:val="default"/>
    <w:basedOn w:val="Normlny"/>
    <w:rsid w:val="00277636"/>
    <w:pPr>
      <w:spacing w:before="100" w:beforeAutospacing="1" w:after="100" w:afterAutospacing="1" w:line="240" w:lineRule="auto"/>
    </w:pPr>
    <w:rPr>
      <w:rFonts w:ascii="Calibri" w:eastAsia="Calibri" w:hAnsi="Calibri" w:cs="Calibri"/>
      <w:lang w:eastAsia="en-US"/>
    </w:rPr>
  </w:style>
  <w:style w:type="paragraph" w:styleId="Zoznamsodrkami2">
    <w:name w:val="List Bullet 2"/>
    <w:basedOn w:val="Normlny"/>
    <w:uiPriority w:val="99"/>
    <w:semiHidden/>
    <w:unhideWhenUsed/>
    <w:rsid w:val="00277636"/>
    <w:pPr>
      <w:numPr>
        <w:numId w:val="12"/>
      </w:numPr>
      <w:contextualSpacing/>
    </w:pPr>
  </w:style>
  <w:style w:type="paragraph" w:customStyle="1" w:styleId="text">
    <w:name w:val="text"/>
    <w:basedOn w:val="Normlny"/>
    <w:rsid w:val="00801F58"/>
    <w:pPr>
      <w:overflowPunct w:val="0"/>
      <w:autoSpaceDE w:val="0"/>
      <w:autoSpaceDN w:val="0"/>
      <w:adjustRightInd w:val="0"/>
      <w:spacing w:after="0" w:line="240" w:lineRule="auto"/>
      <w:jc w:val="both"/>
      <w:textAlignment w:val="baseline"/>
    </w:pPr>
    <w:rPr>
      <w:rFonts w:ascii="News Serif EE" w:eastAsia="Times New Roman" w:hAnsi="News Serif EE" w:cs="Times New Roman"/>
      <w:sz w:val="24"/>
      <w:szCs w:val="20"/>
      <w:lang w:val="en-GB"/>
    </w:rPr>
  </w:style>
  <w:style w:type="paragraph" w:customStyle="1" w:styleId="ZkladntextIMP">
    <w:name w:val="Základní text_IMP"/>
    <w:basedOn w:val="Normlny"/>
    <w:rsid w:val="001D7716"/>
    <w:pPr>
      <w:suppressAutoHyphens/>
      <w:spacing w:after="0" w:line="228" w:lineRule="auto"/>
    </w:pPr>
    <w:rPr>
      <w:rFonts w:ascii="Times New Roman" w:eastAsia="Calibri" w:hAnsi="Times New Roman" w:cs="Times New Roman"/>
      <w:sz w:val="24"/>
      <w:szCs w:val="20"/>
      <w:lang w:val="cs-CZ" w:eastAsia="en-US"/>
    </w:rPr>
  </w:style>
  <w:style w:type="character" w:customStyle="1" w:styleId="ff2">
    <w:name w:val="ff2"/>
    <w:basedOn w:val="Predvolenpsmoodseku"/>
    <w:rsid w:val="0090187B"/>
  </w:style>
  <w:style w:type="paragraph" w:customStyle="1" w:styleId="CharCharCharChar">
    <w:name w:val="Char Char Char Char"/>
    <w:basedOn w:val="Normlny"/>
    <w:rsid w:val="008237C7"/>
    <w:pPr>
      <w:spacing w:after="160" w:line="240" w:lineRule="exact"/>
    </w:pPr>
    <w:rPr>
      <w:rFonts w:ascii="Tahoma" w:eastAsia="Times New Roman" w:hAnsi="Tahoma" w:cs="Tahoma"/>
      <w:sz w:val="20"/>
      <w:szCs w:val="20"/>
      <w:lang w:val="en-US" w:eastAsia="en-US"/>
    </w:rPr>
  </w:style>
  <w:style w:type="paragraph" w:customStyle="1" w:styleId="Normalny">
    <w:name w:val="Normalny"/>
    <w:link w:val="NormalnyChar"/>
    <w:rsid w:val="00015E8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US"/>
    </w:rPr>
  </w:style>
  <w:style w:type="character" w:customStyle="1" w:styleId="NormalnyChar">
    <w:name w:val="Normalny Char"/>
    <w:link w:val="Normalny"/>
    <w:rsid w:val="00015E85"/>
    <w:rPr>
      <w:rFonts w:ascii="Times New Roman" w:eastAsia="Times New Roman" w:hAnsi="Times New Roman" w:cs="Times New Roman"/>
      <w:sz w:val="24"/>
      <w:szCs w:val="24"/>
      <w:lang w:val="en-US"/>
    </w:rPr>
  </w:style>
  <w:style w:type="paragraph" w:styleId="Popis">
    <w:name w:val="caption"/>
    <w:basedOn w:val="Normlny"/>
    <w:next w:val="Normlny"/>
    <w:qFormat/>
    <w:rsid w:val="00015E85"/>
    <w:pPr>
      <w:tabs>
        <w:tab w:val="right" w:pos="284"/>
      </w:tabs>
      <w:spacing w:before="120" w:after="60" w:line="240" w:lineRule="auto"/>
      <w:ind w:left="1741" w:hanging="1741"/>
      <w:jc w:val="both"/>
    </w:pPr>
    <w:rPr>
      <w:rFonts w:ascii="Times New Roman" w:eastAsia="Times New Roman" w:hAnsi="Times New Roman" w:cs="Times New Roman"/>
      <w:b/>
      <w:szCs w:val="24"/>
    </w:rPr>
  </w:style>
  <w:style w:type="paragraph" w:customStyle="1" w:styleId="Odsekzoznamu2">
    <w:name w:val="Odsek zoznamu2"/>
    <w:basedOn w:val="Normlny"/>
    <w:rsid w:val="003156D3"/>
    <w:pPr>
      <w:ind w:left="720"/>
      <w:contextualSpacing/>
    </w:pPr>
    <w:rPr>
      <w:rFonts w:ascii="Calibri" w:eastAsia="Times New Roman" w:hAnsi="Calibri" w:cs="Times New Roman"/>
    </w:rPr>
  </w:style>
  <w:style w:type="character" w:customStyle="1" w:styleId="TextkomentraChar1">
    <w:name w:val="Text komentára Char1"/>
    <w:basedOn w:val="Predvolenpsmoodseku"/>
    <w:semiHidden/>
    <w:locked/>
    <w:rsid w:val="00450D08"/>
    <w:rPr>
      <w:rFonts w:cs="Times New Roman"/>
      <w:sz w:val="20"/>
      <w:szCs w:val="20"/>
    </w:rPr>
  </w:style>
  <w:style w:type="character" w:customStyle="1" w:styleId="Nadpis5Char">
    <w:name w:val="Nadpis 5 Char"/>
    <w:basedOn w:val="Predvolenpsmoodseku"/>
    <w:link w:val="Nadpis5"/>
    <w:uiPriority w:val="9"/>
    <w:semiHidden/>
    <w:rsid w:val="001950DE"/>
    <w:rPr>
      <w:rFonts w:asciiTheme="majorHAnsi" w:eastAsiaTheme="majorEastAsia" w:hAnsiTheme="majorHAnsi" w:cstheme="majorBidi"/>
      <w:color w:val="243F60" w:themeColor="accent1" w:themeShade="7F"/>
    </w:rPr>
  </w:style>
  <w:style w:type="paragraph" w:customStyle="1" w:styleId="Odsekzoznamu3">
    <w:name w:val="Odsek zoznamu3"/>
    <w:basedOn w:val="Normlny"/>
    <w:qFormat/>
    <w:rsid w:val="001950DE"/>
    <w:pPr>
      <w:spacing w:after="0" w:line="240" w:lineRule="auto"/>
      <w:ind w:left="720"/>
    </w:pPr>
    <w:rPr>
      <w:rFonts w:ascii="Times New Roman" w:eastAsia="Times New Roman" w:hAnsi="Times New Roman" w:cs="Times New Roman"/>
      <w:sz w:val="24"/>
      <w:szCs w:val="24"/>
      <w:lang w:eastAsia="cs-CZ"/>
    </w:rPr>
  </w:style>
  <w:style w:type="table" w:styleId="Mriekatabuky">
    <w:name w:val="Table Grid"/>
    <w:basedOn w:val="Normlnatabuka"/>
    <w:uiPriority w:val="59"/>
    <w:rsid w:val="004D6C7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1A61"/>
  </w:style>
  <w:style w:type="paragraph" w:styleId="Nadpis1">
    <w:name w:val="heading 1"/>
    <w:basedOn w:val="Normlny"/>
    <w:next w:val="Normlny"/>
    <w:link w:val="Nadpis1Char"/>
    <w:uiPriority w:val="9"/>
    <w:qFormat/>
    <w:rsid w:val="00E35F7D"/>
    <w:pPr>
      <w:keepNext/>
      <w:keepLines/>
      <w:pBdr>
        <w:bottom w:val="single" w:sz="4" w:space="1" w:color="auto"/>
      </w:pBdr>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B515FB"/>
    <w:pPr>
      <w:keepNext/>
      <w:keepLines/>
      <w:spacing w:after="0" w:line="240" w:lineRule="auto"/>
      <w:outlineLvl w:val="1"/>
    </w:pPr>
    <w:rPr>
      <w:rFonts w:ascii="Times New Roman" w:eastAsiaTheme="majorEastAsia" w:hAnsi="Times New Roman" w:cstheme="majorBidi"/>
      <w:b/>
      <w:bCs/>
      <w:sz w:val="24"/>
      <w:szCs w:val="26"/>
      <w:u w:val="single"/>
    </w:rPr>
  </w:style>
  <w:style w:type="paragraph" w:styleId="Nadpis3">
    <w:name w:val="heading 3"/>
    <w:basedOn w:val="Normlny"/>
    <w:next w:val="Normlny"/>
    <w:link w:val="Nadpis3Char"/>
    <w:uiPriority w:val="9"/>
    <w:unhideWhenUsed/>
    <w:qFormat/>
    <w:rsid w:val="00B515FB"/>
    <w:pPr>
      <w:keepNext/>
      <w:keepLines/>
      <w:spacing w:after="0" w:line="240" w:lineRule="auto"/>
      <w:outlineLvl w:val="2"/>
    </w:pPr>
    <w:rPr>
      <w:rFonts w:ascii="Times New Roman" w:eastAsiaTheme="majorEastAsia" w:hAnsi="Times New Roman" w:cstheme="majorBidi"/>
      <w:b/>
      <w:bCs/>
      <w:sz w:val="24"/>
    </w:rPr>
  </w:style>
  <w:style w:type="paragraph" w:styleId="Nadpis5">
    <w:name w:val="heading 5"/>
    <w:basedOn w:val="Normlny"/>
    <w:next w:val="Normlny"/>
    <w:link w:val="Nadpis5Char"/>
    <w:uiPriority w:val="9"/>
    <w:semiHidden/>
    <w:unhideWhenUsed/>
    <w:qFormat/>
    <w:rsid w:val="001950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81EBA"/>
    <w:pPr>
      <w:ind w:left="720"/>
      <w:contextualSpacing/>
    </w:pPr>
  </w:style>
  <w:style w:type="paragraph" w:styleId="Textbubliny">
    <w:name w:val="Balloon Text"/>
    <w:basedOn w:val="Normlny"/>
    <w:link w:val="TextbublinyChar"/>
    <w:uiPriority w:val="99"/>
    <w:semiHidden/>
    <w:unhideWhenUsed/>
    <w:rsid w:val="00997F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3D"/>
    <w:rPr>
      <w:rFonts w:ascii="Tahoma" w:hAnsi="Tahoma" w:cs="Tahoma"/>
      <w:sz w:val="16"/>
      <w:szCs w:val="16"/>
    </w:rPr>
  </w:style>
  <w:style w:type="paragraph" w:styleId="Textpoznmkypodiarou">
    <w:name w:val="footnote text"/>
    <w:aliases w:val="Footnote Text Char1,Footnote Text Char Char,Fo Char Char,Fotnot Char Char,Fo Char,Fotnot CharFootN,ft,ADB,single space,fn,FOOTNOTES,Text poznámky pod čiarou 007,_Poznámka pod čiarou,footnote text,Text pozn. pod čarou Char"/>
    <w:basedOn w:val="Normlny"/>
    <w:link w:val="TextpoznmkypodiarouChar"/>
    <w:uiPriority w:val="99"/>
    <w:semiHidden/>
    <w:rsid w:val="00997F3D"/>
    <w:pPr>
      <w:spacing w:after="0" w:line="240" w:lineRule="auto"/>
    </w:pPr>
    <w:rPr>
      <w:rFonts w:ascii="Calibri" w:eastAsia="Times New Roman" w:hAnsi="Calibri" w:cs="Times New Roman"/>
      <w:sz w:val="20"/>
      <w:szCs w:val="20"/>
    </w:rPr>
  </w:style>
  <w:style w:type="character" w:customStyle="1" w:styleId="TextpoznmkypodiarouChar">
    <w:name w:val="Text poznámky pod čiarou Char"/>
    <w:aliases w:val="Footnote Text Char1 Char,Footnote Text Char Char Char,Fo Char Char Char,Fotnot Char Char Char,Fo Char Char1,Fotnot CharFootN Char,ft Char,ADB Char,single space Char,fn Char,FOOTNOTES Char,Text poznámky pod čiarou 007 Char"/>
    <w:basedOn w:val="Predvolenpsmoodseku"/>
    <w:link w:val="Textpoznmkypodiarou"/>
    <w:uiPriority w:val="99"/>
    <w:semiHidden/>
    <w:rsid w:val="00997F3D"/>
    <w:rPr>
      <w:rFonts w:ascii="Calibri" w:eastAsia="Times New Roman" w:hAnsi="Calibri" w:cs="Times New Roman"/>
      <w:sz w:val="20"/>
      <w:szCs w:val="20"/>
      <w:lang w:eastAsia="sk-SK"/>
    </w:rPr>
  </w:style>
  <w:style w:type="character" w:styleId="Odkaznapoznmkupodiarou">
    <w:name w:val="footnote reference"/>
    <w:aliases w:val="PGI Fußnote Ziffer,number"/>
    <w:basedOn w:val="Predvolenpsmoodseku"/>
    <w:uiPriority w:val="99"/>
    <w:semiHidden/>
    <w:rsid w:val="00997F3D"/>
    <w:rPr>
      <w:rFonts w:cs="Times New Roman"/>
      <w:vertAlign w:val="superscript"/>
    </w:rPr>
  </w:style>
  <w:style w:type="character" w:styleId="Hypertextovprepojenie">
    <w:name w:val="Hyperlink"/>
    <w:basedOn w:val="Predvolenpsmoodseku"/>
    <w:uiPriority w:val="99"/>
    <w:rsid w:val="00DA7226"/>
    <w:rPr>
      <w:rFonts w:cs="Times New Roman"/>
      <w:color w:val="0000FF"/>
      <w:u w:val="single"/>
    </w:rPr>
  </w:style>
  <w:style w:type="paragraph" w:customStyle="1" w:styleId="Odsekzoznamu1">
    <w:name w:val="Odsek zoznamu1"/>
    <w:basedOn w:val="Normlny"/>
    <w:link w:val="ListParagraphChar1"/>
    <w:rsid w:val="00E750E1"/>
    <w:pPr>
      <w:spacing w:after="0" w:line="240" w:lineRule="auto"/>
      <w:ind w:left="720" w:firstLine="454"/>
      <w:jc w:val="both"/>
    </w:pPr>
    <w:rPr>
      <w:rFonts w:ascii="Times New Roman" w:eastAsia="Times New Roman" w:hAnsi="Times New Roman" w:cs="Times New Roman"/>
      <w:color w:val="000000"/>
      <w:sz w:val="24"/>
      <w:szCs w:val="24"/>
      <w:lang w:eastAsia="cs-CZ"/>
    </w:rPr>
  </w:style>
  <w:style w:type="character" w:customStyle="1" w:styleId="ListParagraphChar1">
    <w:name w:val="List Paragraph Char1"/>
    <w:basedOn w:val="Predvolenpsmoodseku"/>
    <w:link w:val="Odsekzoznamu1"/>
    <w:locked/>
    <w:rsid w:val="00E750E1"/>
    <w:rPr>
      <w:rFonts w:ascii="Times New Roman" w:eastAsia="Times New Roman" w:hAnsi="Times New Roman" w:cs="Times New Roman"/>
      <w:color w:val="000000"/>
      <w:sz w:val="24"/>
      <w:szCs w:val="24"/>
      <w:lang w:eastAsia="cs-CZ"/>
    </w:rPr>
  </w:style>
  <w:style w:type="paragraph" w:styleId="Zarkazkladnhotextu3">
    <w:name w:val="Body Text Indent 3"/>
    <w:basedOn w:val="Normlny"/>
    <w:link w:val="Zarkazkladnhotextu3Char"/>
    <w:semiHidden/>
    <w:rsid w:val="00E750E1"/>
    <w:pPr>
      <w:overflowPunct w:val="0"/>
      <w:autoSpaceDE w:val="0"/>
      <w:autoSpaceDN w:val="0"/>
      <w:adjustRightInd w:val="0"/>
      <w:spacing w:after="0" w:line="240" w:lineRule="auto"/>
      <w:ind w:left="284"/>
      <w:jc w:val="both"/>
      <w:textAlignment w:val="baseline"/>
    </w:pPr>
    <w:rPr>
      <w:rFonts w:ascii="Times New Roman" w:eastAsia="Times New Roman" w:hAnsi="Times New Roman" w:cs="Times New Roman"/>
      <w:sz w:val="24"/>
      <w:szCs w:val="20"/>
    </w:rPr>
  </w:style>
  <w:style w:type="character" w:customStyle="1" w:styleId="Zarkazkladnhotextu3Char">
    <w:name w:val="Zarážka základného textu 3 Char"/>
    <w:basedOn w:val="Predvolenpsmoodseku"/>
    <w:link w:val="Zarkazkladnhotextu3"/>
    <w:semiHidden/>
    <w:rsid w:val="00E750E1"/>
    <w:rPr>
      <w:rFonts w:ascii="Times New Roman" w:eastAsia="Times New Roman" w:hAnsi="Times New Roman" w:cs="Times New Roman"/>
      <w:sz w:val="24"/>
      <w:szCs w:val="20"/>
      <w:lang w:eastAsia="sk-SK"/>
    </w:rPr>
  </w:style>
  <w:style w:type="paragraph" w:customStyle="1" w:styleId="Normln12">
    <w:name w:val="Normální 12"/>
    <w:basedOn w:val="Normlny"/>
    <w:rsid w:val="00FF42BF"/>
    <w:pPr>
      <w:overflowPunct w:val="0"/>
      <w:autoSpaceDE w:val="0"/>
      <w:autoSpaceDN w:val="0"/>
      <w:adjustRightInd w:val="0"/>
      <w:spacing w:after="0" w:line="320" w:lineRule="exact"/>
      <w:ind w:firstLine="426"/>
      <w:jc w:val="both"/>
      <w:textAlignment w:val="baseline"/>
    </w:pPr>
    <w:rPr>
      <w:rFonts w:ascii="Times New Roman" w:eastAsia="Calibri" w:hAnsi="Times New Roman" w:cs="Times New Roman"/>
      <w:sz w:val="24"/>
      <w:szCs w:val="24"/>
      <w:lang w:val="cs-CZ"/>
    </w:rPr>
  </w:style>
  <w:style w:type="paragraph" w:styleId="Zkladntext">
    <w:name w:val="Body Text"/>
    <w:basedOn w:val="Normlny"/>
    <w:link w:val="ZkladntextChar"/>
    <w:uiPriority w:val="99"/>
    <w:unhideWhenUsed/>
    <w:rsid w:val="00D17F75"/>
    <w:pPr>
      <w:spacing w:after="120"/>
    </w:pPr>
  </w:style>
  <w:style w:type="character" w:customStyle="1" w:styleId="ZkladntextChar">
    <w:name w:val="Základný text Char"/>
    <w:basedOn w:val="Predvolenpsmoodseku"/>
    <w:link w:val="Zkladntext"/>
    <w:uiPriority w:val="99"/>
    <w:rsid w:val="00D17F75"/>
  </w:style>
  <w:style w:type="paragraph" w:styleId="Normlnywebov">
    <w:name w:val="Normal (Web)"/>
    <w:basedOn w:val="Normlny"/>
    <w:semiHidden/>
    <w:rsid w:val="00D17F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Odsekzoznamu1"/>
    <w:link w:val="2Char"/>
    <w:autoRedefine/>
    <w:rsid w:val="003D5BBD"/>
    <w:pPr>
      <w:ind w:left="0" w:firstLine="0"/>
      <w:jc w:val="left"/>
    </w:pPr>
    <w:rPr>
      <w:color w:val="auto"/>
      <w:sz w:val="18"/>
      <w:szCs w:val="18"/>
      <w:lang w:eastAsia="en-US"/>
    </w:rPr>
  </w:style>
  <w:style w:type="character" w:customStyle="1" w:styleId="2Char">
    <w:name w:val="2 Char"/>
    <w:basedOn w:val="Predvolenpsmoodseku"/>
    <w:link w:val="2"/>
    <w:locked/>
    <w:rsid w:val="003D5BBD"/>
    <w:rPr>
      <w:rFonts w:ascii="Times New Roman" w:eastAsia="Times New Roman" w:hAnsi="Times New Roman" w:cs="Times New Roman"/>
      <w:sz w:val="18"/>
      <w:szCs w:val="18"/>
      <w:lang w:eastAsia="en-US"/>
    </w:rPr>
  </w:style>
  <w:style w:type="paragraph" w:customStyle="1" w:styleId="Obycajntext">
    <w:name w:val="Obycajný text"/>
    <w:basedOn w:val="Normlny"/>
    <w:rsid w:val="007B0C01"/>
    <w:pPr>
      <w:spacing w:after="0" w:line="240" w:lineRule="auto"/>
    </w:pPr>
    <w:rPr>
      <w:rFonts w:ascii="Courier New" w:eastAsia="Times New Roman" w:hAnsi="Courier New" w:cs="Times New Roman"/>
      <w:sz w:val="20"/>
      <w:szCs w:val="20"/>
      <w:lang w:val="en-US"/>
    </w:rPr>
  </w:style>
  <w:style w:type="paragraph" w:styleId="Zkladntext2">
    <w:name w:val="Body Text 2"/>
    <w:basedOn w:val="Normlny"/>
    <w:link w:val="Zkladntext2Char"/>
    <w:uiPriority w:val="99"/>
    <w:semiHidden/>
    <w:unhideWhenUsed/>
    <w:rsid w:val="00CA02BA"/>
    <w:pPr>
      <w:spacing w:after="120" w:line="480" w:lineRule="auto"/>
    </w:pPr>
  </w:style>
  <w:style w:type="character" w:customStyle="1" w:styleId="Zkladntext2Char">
    <w:name w:val="Základný text 2 Char"/>
    <w:basedOn w:val="Predvolenpsmoodseku"/>
    <w:link w:val="Zkladntext2"/>
    <w:uiPriority w:val="99"/>
    <w:semiHidden/>
    <w:rsid w:val="00CA02BA"/>
  </w:style>
  <w:style w:type="paragraph" w:styleId="Zarkazkladnhotextu">
    <w:name w:val="Body Text Indent"/>
    <w:basedOn w:val="Normlny"/>
    <w:link w:val="ZarkazkladnhotextuChar"/>
    <w:uiPriority w:val="99"/>
    <w:semiHidden/>
    <w:unhideWhenUsed/>
    <w:rsid w:val="00CA02BA"/>
    <w:pPr>
      <w:spacing w:after="120"/>
      <w:ind w:left="283"/>
    </w:pPr>
  </w:style>
  <w:style w:type="character" w:customStyle="1" w:styleId="ZarkazkladnhotextuChar">
    <w:name w:val="Zarážka základného textu Char"/>
    <w:basedOn w:val="Predvolenpsmoodseku"/>
    <w:link w:val="Zarkazkladnhotextu"/>
    <w:uiPriority w:val="99"/>
    <w:semiHidden/>
    <w:rsid w:val="00CA02BA"/>
  </w:style>
  <w:style w:type="paragraph" w:styleId="Hlavika">
    <w:name w:val="header"/>
    <w:basedOn w:val="Normlny"/>
    <w:link w:val="HlavikaChar"/>
    <w:uiPriority w:val="99"/>
    <w:unhideWhenUsed/>
    <w:rsid w:val="000D7B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D7BF0"/>
  </w:style>
  <w:style w:type="paragraph" w:styleId="Pta">
    <w:name w:val="footer"/>
    <w:basedOn w:val="Normlny"/>
    <w:link w:val="PtaChar"/>
    <w:uiPriority w:val="99"/>
    <w:unhideWhenUsed/>
    <w:rsid w:val="000D7BF0"/>
    <w:pPr>
      <w:tabs>
        <w:tab w:val="center" w:pos="4536"/>
        <w:tab w:val="right" w:pos="9072"/>
      </w:tabs>
      <w:spacing w:after="0" w:line="240" w:lineRule="auto"/>
    </w:pPr>
  </w:style>
  <w:style w:type="character" w:customStyle="1" w:styleId="PtaChar">
    <w:name w:val="Päta Char"/>
    <w:basedOn w:val="Predvolenpsmoodseku"/>
    <w:link w:val="Pta"/>
    <w:uiPriority w:val="99"/>
    <w:rsid w:val="000D7BF0"/>
  </w:style>
  <w:style w:type="paragraph" w:customStyle="1" w:styleId="Default">
    <w:name w:val="Default"/>
    <w:rsid w:val="00D25DF5"/>
    <w:pPr>
      <w:autoSpaceDE w:val="0"/>
      <w:autoSpaceDN w:val="0"/>
      <w:adjustRightInd w:val="0"/>
      <w:spacing w:after="0" w:line="240" w:lineRule="auto"/>
    </w:pPr>
    <w:rPr>
      <w:rFonts w:ascii="Calibri" w:hAnsi="Calibri" w:cs="Calibri"/>
      <w:color w:val="000000"/>
      <w:sz w:val="24"/>
      <w:szCs w:val="24"/>
    </w:rPr>
  </w:style>
  <w:style w:type="character" w:styleId="Odkaznakomentr">
    <w:name w:val="annotation reference"/>
    <w:basedOn w:val="Predvolenpsmoodseku"/>
    <w:semiHidden/>
    <w:unhideWhenUsed/>
    <w:rsid w:val="003758F1"/>
    <w:rPr>
      <w:sz w:val="16"/>
      <w:szCs w:val="16"/>
    </w:rPr>
  </w:style>
  <w:style w:type="paragraph" w:styleId="Textkomentra">
    <w:name w:val="annotation text"/>
    <w:basedOn w:val="Normlny"/>
    <w:link w:val="TextkomentraChar"/>
    <w:semiHidden/>
    <w:unhideWhenUsed/>
    <w:rsid w:val="003758F1"/>
    <w:pPr>
      <w:spacing w:line="240" w:lineRule="auto"/>
    </w:pPr>
    <w:rPr>
      <w:sz w:val="20"/>
      <w:szCs w:val="20"/>
    </w:rPr>
  </w:style>
  <w:style w:type="character" w:customStyle="1" w:styleId="TextkomentraChar">
    <w:name w:val="Text komentára Char"/>
    <w:basedOn w:val="Predvolenpsmoodseku"/>
    <w:link w:val="Textkomentra"/>
    <w:uiPriority w:val="99"/>
    <w:semiHidden/>
    <w:rsid w:val="003758F1"/>
    <w:rPr>
      <w:sz w:val="20"/>
      <w:szCs w:val="20"/>
    </w:rPr>
  </w:style>
  <w:style w:type="paragraph" w:styleId="Predmetkomentra">
    <w:name w:val="annotation subject"/>
    <w:basedOn w:val="Textkomentra"/>
    <w:next w:val="Textkomentra"/>
    <w:link w:val="PredmetkomentraChar"/>
    <w:uiPriority w:val="99"/>
    <w:semiHidden/>
    <w:unhideWhenUsed/>
    <w:rsid w:val="003758F1"/>
    <w:rPr>
      <w:b/>
      <w:bCs/>
    </w:rPr>
  </w:style>
  <w:style w:type="character" w:customStyle="1" w:styleId="PredmetkomentraChar">
    <w:name w:val="Predmet komentára Char"/>
    <w:basedOn w:val="TextkomentraChar"/>
    <w:link w:val="Predmetkomentra"/>
    <w:uiPriority w:val="99"/>
    <w:semiHidden/>
    <w:rsid w:val="003758F1"/>
    <w:rPr>
      <w:b/>
      <w:bCs/>
      <w:sz w:val="20"/>
      <w:szCs w:val="20"/>
    </w:rPr>
  </w:style>
  <w:style w:type="paragraph" w:customStyle="1" w:styleId="ZkladntextbBodyTextCharZkladntextCharbtheading3BodyText-Level2Body">
    <w:name w:val="Základný text.b.Body Text Char.Základní text Char.bt.heading3.Body Text - Level 2.Body"/>
    <w:basedOn w:val="Normlny"/>
    <w:rsid w:val="00D56BB8"/>
    <w:pPr>
      <w:spacing w:after="0" w:line="240" w:lineRule="auto"/>
      <w:jc w:val="center"/>
    </w:pPr>
    <w:rPr>
      <w:rFonts w:ascii="Times New Roman" w:eastAsia="Times New Roman" w:hAnsi="Times New Roman" w:cs="Times New Roman"/>
      <w:b/>
      <w:sz w:val="24"/>
      <w:szCs w:val="20"/>
    </w:rPr>
  </w:style>
  <w:style w:type="paragraph" w:styleId="Obsah1">
    <w:name w:val="toc 1"/>
    <w:basedOn w:val="Normlny"/>
    <w:next w:val="Normlny"/>
    <w:autoRedefine/>
    <w:uiPriority w:val="39"/>
    <w:unhideWhenUsed/>
    <w:rsid w:val="00A86420"/>
    <w:pPr>
      <w:tabs>
        <w:tab w:val="left" w:pos="440"/>
        <w:tab w:val="right" w:leader="dot" w:pos="9062"/>
      </w:tabs>
      <w:spacing w:before="120" w:after="120"/>
      <w:ind w:left="220" w:hanging="220"/>
    </w:pPr>
    <w:rPr>
      <w:rFonts w:cstheme="minorHAnsi"/>
      <w:b/>
      <w:bCs/>
      <w:caps/>
      <w:sz w:val="20"/>
      <w:szCs w:val="20"/>
    </w:rPr>
  </w:style>
  <w:style w:type="paragraph" w:styleId="Obsah2">
    <w:name w:val="toc 2"/>
    <w:basedOn w:val="Normlny"/>
    <w:next w:val="Normlny"/>
    <w:autoRedefine/>
    <w:uiPriority w:val="39"/>
    <w:unhideWhenUsed/>
    <w:rsid w:val="00766BC0"/>
    <w:pPr>
      <w:tabs>
        <w:tab w:val="left" w:pos="880"/>
        <w:tab w:val="right" w:leader="dot" w:pos="9062"/>
      </w:tabs>
      <w:spacing w:after="0"/>
      <w:ind w:left="851" w:hanging="851"/>
    </w:pPr>
    <w:rPr>
      <w:rFonts w:cstheme="minorHAnsi"/>
      <w:smallCaps/>
      <w:sz w:val="20"/>
      <w:szCs w:val="20"/>
    </w:rPr>
  </w:style>
  <w:style w:type="paragraph" w:styleId="Obsah3">
    <w:name w:val="toc 3"/>
    <w:basedOn w:val="Normlny"/>
    <w:next w:val="Normlny"/>
    <w:autoRedefine/>
    <w:uiPriority w:val="39"/>
    <w:unhideWhenUsed/>
    <w:rsid w:val="00766BC0"/>
    <w:pPr>
      <w:tabs>
        <w:tab w:val="left" w:pos="1100"/>
        <w:tab w:val="right" w:leader="dot" w:pos="9062"/>
      </w:tabs>
      <w:spacing w:after="0"/>
      <w:ind w:left="1134" w:hanging="694"/>
    </w:pPr>
    <w:rPr>
      <w:rFonts w:cstheme="minorHAnsi"/>
      <w:i/>
      <w:iCs/>
      <w:sz w:val="20"/>
      <w:szCs w:val="20"/>
    </w:rPr>
  </w:style>
  <w:style w:type="paragraph" w:styleId="Obsah4">
    <w:name w:val="toc 4"/>
    <w:basedOn w:val="Normlny"/>
    <w:next w:val="Normlny"/>
    <w:autoRedefine/>
    <w:uiPriority w:val="39"/>
    <w:unhideWhenUsed/>
    <w:rsid w:val="00E35F7D"/>
    <w:pPr>
      <w:spacing w:after="0"/>
      <w:ind w:left="660"/>
    </w:pPr>
    <w:rPr>
      <w:rFonts w:cstheme="minorHAnsi"/>
      <w:sz w:val="18"/>
      <w:szCs w:val="18"/>
    </w:rPr>
  </w:style>
  <w:style w:type="paragraph" w:styleId="Obsah5">
    <w:name w:val="toc 5"/>
    <w:basedOn w:val="Normlny"/>
    <w:next w:val="Normlny"/>
    <w:autoRedefine/>
    <w:uiPriority w:val="39"/>
    <w:unhideWhenUsed/>
    <w:rsid w:val="00E35F7D"/>
    <w:pPr>
      <w:spacing w:after="0"/>
      <w:ind w:left="880"/>
    </w:pPr>
    <w:rPr>
      <w:rFonts w:cstheme="minorHAnsi"/>
      <w:sz w:val="18"/>
      <w:szCs w:val="18"/>
    </w:rPr>
  </w:style>
  <w:style w:type="paragraph" w:styleId="Obsah6">
    <w:name w:val="toc 6"/>
    <w:basedOn w:val="Normlny"/>
    <w:next w:val="Normlny"/>
    <w:autoRedefine/>
    <w:uiPriority w:val="39"/>
    <w:unhideWhenUsed/>
    <w:rsid w:val="00E35F7D"/>
    <w:pPr>
      <w:spacing w:after="0"/>
      <w:ind w:left="1100"/>
    </w:pPr>
    <w:rPr>
      <w:rFonts w:cstheme="minorHAnsi"/>
      <w:sz w:val="18"/>
      <w:szCs w:val="18"/>
    </w:rPr>
  </w:style>
  <w:style w:type="paragraph" w:styleId="Obsah7">
    <w:name w:val="toc 7"/>
    <w:basedOn w:val="Normlny"/>
    <w:next w:val="Normlny"/>
    <w:autoRedefine/>
    <w:uiPriority w:val="39"/>
    <w:unhideWhenUsed/>
    <w:rsid w:val="00E35F7D"/>
    <w:pPr>
      <w:spacing w:after="0"/>
      <w:ind w:left="1320"/>
    </w:pPr>
    <w:rPr>
      <w:rFonts w:cstheme="minorHAnsi"/>
      <w:sz w:val="18"/>
      <w:szCs w:val="18"/>
    </w:rPr>
  </w:style>
  <w:style w:type="paragraph" w:styleId="Obsah8">
    <w:name w:val="toc 8"/>
    <w:basedOn w:val="Normlny"/>
    <w:next w:val="Normlny"/>
    <w:autoRedefine/>
    <w:uiPriority w:val="39"/>
    <w:unhideWhenUsed/>
    <w:rsid w:val="00E35F7D"/>
    <w:pPr>
      <w:spacing w:after="0"/>
      <w:ind w:left="1540"/>
    </w:pPr>
    <w:rPr>
      <w:rFonts w:cstheme="minorHAnsi"/>
      <w:sz w:val="18"/>
      <w:szCs w:val="18"/>
    </w:rPr>
  </w:style>
  <w:style w:type="paragraph" w:styleId="Obsah9">
    <w:name w:val="toc 9"/>
    <w:basedOn w:val="Normlny"/>
    <w:next w:val="Normlny"/>
    <w:autoRedefine/>
    <w:uiPriority w:val="39"/>
    <w:unhideWhenUsed/>
    <w:rsid w:val="00E35F7D"/>
    <w:pPr>
      <w:spacing w:after="0"/>
      <w:ind w:left="1760"/>
    </w:pPr>
    <w:rPr>
      <w:rFonts w:cstheme="minorHAnsi"/>
      <w:sz w:val="18"/>
      <w:szCs w:val="18"/>
    </w:rPr>
  </w:style>
  <w:style w:type="character" w:customStyle="1" w:styleId="Nadpis1Char">
    <w:name w:val="Nadpis 1 Char"/>
    <w:basedOn w:val="Predvolenpsmoodseku"/>
    <w:link w:val="Nadpis1"/>
    <w:uiPriority w:val="9"/>
    <w:rsid w:val="00E35F7D"/>
    <w:rPr>
      <w:rFonts w:ascii="Times New Roman" w:eastAsiaTheme="majorEastAsia" w:hAnsi="Times New Roman" w:cstheme="majorBidi"/>
      <w:b/>
      <w:bCs/>
      <w:sz w:val="28"/>
      <w:szCs w:val="28"/>
    </w:rPr>
  </w:style>
  <w:style w:type="paragraph" w:styleId="Hlavikaobsahu">
    <w:name w:val="TOC Heading"/>
    <w:basedOn w:val="Nadpis1"/>
    <w:next w:val="Normlny"/>
    <w:uiPriority w:val="39"/>
    <w:unhideWhenUsed/>
    <w:qFormat/>
    <w:rsid w:val="00E35F7D"/>
    <w:pPr>
      <w:outlineLvl w:val="9"/>
    </w:pPr>
  </w:style>
  <w:style w:type="character" w:customStyle="1" w:styleId="Nadpis2Char">
    <w:name w:val="Nadpis 2 Char"/>
    <w:basedOn w:val="Predvolenpsmoodseku"/>
    <w:link w:val="Nadpis2"/>
    <w:uiPriority w:val="9"/>
    <w:rsid w:val="00B515FB"/>
    <w:rPr>
      <w:rFonts w:ascii="Times New Roman" w:eastAsiaTheme="majorEastAsia" w:hAnsi="Times New Roman" w:cstheme="majorBidi"/>
      <w:b/>
      <w:bCs/>
      <w:sz w:val="24"/>
      <w:szCs w:val="26"/>
      <w:u w:val="single"/>
    </w:rPr>
  </w:style>
  <w:style w:type="character" w:customStyle="1" w:styleId="Nadpis3Char">
    <w:name w:val="Nadpis 3 Char"/>
    <w:basedOn w:val="Predvolenpsmoodseku"/>
    <w:link w:val="Nadpis3"/>
    <w:uiPriority w:val="9"/>
    <w:rsid w:val="00B515FB"/>
    <w:rPr>
      <w:rFonts w:ascii="Times New Roman" w:eastAsiaTheme="majorEastAsia" w:hAnsi="Times New Roman" w:cstheme="majorBidi"/>
      <w:b/>
      <w:bCs/>
      <w:sz w:val="24"/>
    </w:rPr>
  </w:style>
  <w:style w:type="character" w:customStyle="1" w:styleId="st">
    <w:name w:val="st"/>
    <w:basedOn w:val="Predvolenpsmoodseku"/>
    <w:rsid w:val="007F7B56"/>
  </w:style>
  <w:style w:type="paragraph" w:customStyle="1" w:styleId="CharCharCharCharCharChar1Char">
    <w:name w:val="Char Char Char Char Char Char1 Char"/>
    <w:basedOn w:val="Normlny"/>
    <w:rsid w:val="00212E18"/>
    <w:pPr>
      <w:tabs>
        <w:tab w:val="num" w:pos="567"/>
      </w:tabs>
      <w:spacing w:after="0" w:line="240" w:lineRule="exact"/>
      <w:ind w:left="567" w:hanging="567"/>
    </w:pPr>
    <w:rPr>
      <w:rFonts w:ascii="Times New Roman Bold" w:eastAsia="Times New Roman" w:hAnsi="Times New Roman Bold" w:cs="Times New Roman Bold"/>
      <w:b/>
      <w:bCs/>
      <w:sz w:val="26"/>
      <w:szCs w:val="26"/>
      <w:lang w:eastAsia="en-US"/>
    </w:rPr>
  </w:style>
  <w:style w:type="paragraph" w:styleId="Zoznamsodrkami">
    <w:name w:val="List Bullet"/>
    <w:basedOn w:val="Normlny"/>
    <w:rsid w:val="003F0AFE"/>
    <w:pPr>
      <w:numPr>
        <w:numId w:val="10"/>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default0">
    <w:name w:val="default"/>
    <w:basedOn w:val="Normlny"/>
    <w:rsid w:val="00277636"/>
    <w:pPr>
      <w:spacing w:before="100" w:beforeAutospacing="1" w:after="100" w:afterAutospacing="1" w:line="240" w:lineRule="auto"/>
    </w:pPr>
    <w:rPr>
      <w:rFonts w:ascii="Calibri" w:eastAsia="Calibri" w:hAnsi="Calibri" w:cs="Calibri"/>
      <w:lang w:eastAsia="en-US"/>
    </w:rPr>
  </w:style>
  <w:style w:type="paragraph" w:styleId="Zoznamsodrkami2">
    <w:name w:val="List Bullet 2"/>
    <w:basedOn w:val="Normlny"/>
    <w:uiPriority w:val="99"/>
    <w:semiHidden/>
    <w:unhideWhenUsed/>
    <w:rsid w:val="00277636"/>
    <w:pPr>
      <w:numPr>
        <w:numId w:val="12"/>
      </w:numPr>
      <w:contextualSpacing/>
    </w:pPr>
  </w:style>
  <w:style w:type="paragraph" w:customStyle="1" w:styleId="text">
    <w:name w:val="text"/>
    <w:basedOn w:val="Normlny"/>
    <w:rsid w:val="00801F58"/>
    <w:pPr>
      <w:overflowPunct w:val="0"/>
      <w:autoSpaceDE w:val="0"/>
      <w:autoSpaceDN w:val="0"/>
      <w:adjustRightInd w:val="0"/>
      <w:spacing w:after="0" w:line="240" w:lineRule="auto"/>
      <w:jc w:val="both"/>
      <w:textAlignment w:val="baseline"/>
    </w:pPr>
    <w:rPr>
      <w:rFonts w:ascii="News Serif EE" w:eastAsia="Times New Roman" w:hAnsi="News Serif EE" w:cs="Times New Roman"/>
      <w:sz w:val="24"/>
      <w:szCs w:val="20"/>
      <w:lang w:val="en-GB"/>
    </w:rPr>
  </w:style>
  <w:style w:type="paragraph" w:customStyle="1" w:styleId="ZkladntextIMP">
    <w:name w:val="Základní text_IMP"/>
    <w:basedOn w:val="Normlny"/>
    <w:rsid w:val="001D7716"/>
    <w:pPr>
      <w:suppressAutoHyphens/>
      <w:spacing w:after="0" w:line="228" w:lineRule="auto"/>
    </w:pPr>
    <w:rPr>
      <w:rFonts w:ascii="Times New Roman" w:eastAsia="Calibri" w:hAnsi="Times New Roman" w:cs="Times New Roman"/>
      <w:sz w:val="24"/>
      <w:szCs w:val="20"/>
      <w:lang w:val="cs-CZ" w:eastAsia="en-US"/>
    </w:rPr>
  </w:style>
  <w:style w:type="character" w:customStyle="1" w:styleId="ff2">
    <w:name w:val="ff2"/>
    <w:basedOn w:val="Predvolenpsmoodseku"/>
    <w:rsid w:val="0090187B"/>
  </w:style>
  <w:style w:type="paragraph" w:customStyle="1" w:styleId="CharCharCharChar">
    <w:name w:val="Char Char Char Char"/>
    <w:basedOn w:val="Normlny"/>
    <w:rsid w:val="008237C7"/>
    <w:pPr>
      <w:spacing w:after="160" w:line="240" w:lineRule="exact"/>
    </w:pPr>
    <w:rPr>
      <w:rFonts w:ascii="Tahoma" w:eastAsia="Times New Roman" w:hAnsi="Tahoma" w:cs="Tahoma"/>
      <w:sz w:val="20"/>
      <w:szCs w:val="20"/>
      <w:lang w:val="en-US" w:eastAsia="en-US"/>
    </w:rPr>
  </w:style>
  <w:style w:type="paragraph" w:customStyle="1" w:styleId="Normalny">
    <w:name w:val="Normalny"/>
    <w:link w:val="NormalnyChar"/>
    <w:rsid w:val="00015E8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US"/>
    </w:rPr>
  </w:style>
  <w:style w:type="character" w:customStyle="1" w:styleId="NormalnyChar">
    <w:name w:val="Normalny Char"/>
    <w:link w:val="Normalny"/>
    <w:rsid w:val="00015E85"/>
    <w:rPr>
      <w:rFonts w:ascii="Times New Roman" w:eastAsia="Times New Roman" w:hAnsi="Times New Roman" w:cs="Times New Roman"/>
      <w:sz w:val="24"/>
      <w:szCs w:val="24"/>
      <w:lang w:val="en-US"/>
    </w:rPr>
  </w:style>
  <w:style w:type="paragraph" w:styleId="Popis">
    <w:name w:val="caption"/>
    <w:basedOn w:val="Normlny"/>
    <w:next w:val="Normlny"/>
    <w:qFormat/>
    <w:rsid w:val="00015E85"/>
    <w:pPr>
      <w:tabs>
        <w:tab w:val="right" w:pos="284"/>
      </w:tabs>
      <w:spacing w:before="120" w:after="60" w:line="240" w:lineRule="auto"/>
      <w:ind w:left="1741" w:hanging="1741"/>
      <w:jc w:val="both"/>
    </w:pPr>
    <w:rPr>
      <w:rFonts w:ascii="Times New Roman" w:eastAsia="Times New Roman" w:hAnsi="Times New Roman" w:cs="Times New Roman"/>
      <w:b/>
      <w:szCs w:val="24"/>
    </w:rPr>
  </w:style>
  <w:style w:type="paragraph" w:customStyle="1" w:styleId="Odsekzoznamu2">
    <w:name w:val="Odsek zoznamu2"/>
    <w:basedOn w:val="Normlny"/>
    <w:rsid w:val="003156D3"/>
    <w:pPr>
      <w:ind w:left="720"/>
      <w:contextualSpacing/>
    </w:pPr>
    <w:rPr>
      <w:rFonts w:ascii="Calibri" w:eastAsia="Times New Roman" w:hAnsi="Calibri" w:cs="Times New Roman"/>
    </w:rPr>
  </w:style>
  <w:style w:type="character" w:customStyle="1" w:styleId="TextkomentraChar1">
    <w:name w:val="Text komentára Char1"/>
    <w:basedOn w:val="Predvolenpsmoodseku"/>
    <w:semiHidden/>
    <w:locked/>
    <w:rsid w:val="00450D08"/>
    <w:rPr>
      <w:rFonts w:cs="Times New Roman"/>
      <w:sz w:val="20"/>
      <w:szCs w:val="20"/>
    </w:rPr>
  </w:style>
  <w:style w:type="character" w:customStyle="1" w:styleId="Nadpis5Char">
    <w:name w:val="Nadpis 5 Char"/>
    <w:basedOn w:val="Predvolenpsmoodseku"/>
    <w:link w:val="Nadpis5"/>
    <w:uiPriority w:val="9"/>
    <w:semiHidden/>
    <w:rsid w:val="001950DE"/>
    <w:rPr>
      <w:rFonts w:asciiTheme="majorHAnsi" w:eastAsiaTheme="majorEastAsia" w:hAnsiTheme="majorHAnsi" w:cstheme="majorBidi"/>
      <w:color w:val="243F60" w:themeColor="accent1" w:themeShade="7F"/>
    </w:rPr>
  </w:style>
  <w:style w:type="paragraph" w:customStyle="1" w:styleId="Odsekzoznamu3">
    <w:name w:val="Odsek zoznamu3"/>
    <w:basedOn w:val="Normlny"/>
    <w:qFormat/>
    <w:rsid w:val="001950DE"/>
    <w:pPr>
      <w:spacing w:after="0" w:line="240" w:lineRule="auto"/>
      <w:ind w:left="720"/>
    </w:pPr>
    <w:rPr>
      <w:rFonts w:ascii="Times New Roman" w:eastAsia="Times New Roman" w:hAnsi="Times New Roman" w:cs="Times New Roman"/>
      <w:sz w:val="24"/>
      <w:szCs w:val="24"/>
      <w:lang w:eastAsia="cs-CZ"/>
    </w:rPr>
  </w:style>
  <w:style w:type="table" w:styleId="Mriekatabuky">
    <w:name w:val="Table Grid"/>
    <w:basedOn w:val="Normlnatabuka"/>
    <w:uiPriority w:val="59"/>
    <w:rsid w:val="004D6C7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854">
      <w:bodyDiv w:val="1"/>
      <w:marLeft w:val="0"/>
      <w:marRight w:val="0"/>
      <w:marTop w:val="0"/>
      <w:marBottom w:val="0"/>
      <w:divBdr>
        <w:top w:val="none" w:sz="0" w:space="0" w:color="auto"/>
        <w:left w:val="none" w:sz="0" w:space="0" w:color="auto"/>
        <w:bottom w:val="none" w:sz="0" w:space="0" w:color="auto"/>
        <w:right w:val="none" w:sz="0" w:space="0" w:color="auto"/>
      </w:divBdr>
    </w:div>
    <w:div w:id="93481130">
      <w:bodyDiv w:val="1"/>
      <w:marLeft w:val="0"/>
      <w:marRight w:val="0"/>
      <w:marTop w:val="0"/>
      <w:marBottom w:val="0"/>
      <w:divBdr>
        <w:top w:val="none" w:sz="0" w:space="0" w:color="auto"/>
        <w:left w:val="none" w:sz="0" w:space="0" w:color="auto"/>
        <w:bottom w:val="none" w:sz="0" w:space="0" w:color="auto"/>
        <w:right w:val="none" w:sz="0" w:space="0" w:color="auto"/>
      </w:divBdr>
    </w:div>
    <w:div w:id="97141660">
      <w:bodyDiv w:val="1"/>
      <w:marLeft w:val="0"/>
      <w:marRight w:val="0"/>
      <w:marTop w:val="0"/>
      <w:marBottom w:val="0"/>
      <w:divBdr>
        <w:top w:val="none" w:sz="0" w:space="0" w:color="auto"/>
        <w:left w:val="none" w:sz="0" w:space="0" w:color="auto"/>
        <w:bottom w:val="none" w:sz="0" w:space="0" w:color="auto"/>
        <w:right w:val="none" w:sz="0" w:space="0" w:color="auto"/>
      </w:divBdr>
    </w:div>
    <w:div w:id="125126366">
      <w:bodyDiv w:val="1"/>
      <w:marLeft w:val="0"/>
      <w:marRight w:val="0"/>
      <w:marTop w:val="0"/>
      <w:marBottom w:val="0"/>
      <w:divBdr>
        <w:top w:val="none" w:sz="0" w:space="0" w:color="auto"/>
        <w:left w:val="none" w:sz="0" w:space="0" w:color="auto"/>
        <w:bottom w:val="none" w:sz="0" w:space="0" w:color="auto"/>
        <w:right w:val="none" w:sz="0" w:space="0" w:color="auto"/>
      </w:divBdr>
    </w:div>
    <w:div w:id="145556137">
      <w:bodyDiv w:val="1"/>
      <w:marLeft w:val="0"/>
      <w:marRight w:val="0"/>
      <w:marTop w:val="0"/>
      <w:marBottom w:val="0"/>
      <w:divBdr>
        <w:top w:val="none" w:sz="0" w:space="0" w:color="auto"/>
        <w:left w:val="none" w:sz="0" w:space="0" w:color="auto"/>
        <w:bottom w:val="none" w:sz="0" w:space="0" w:color="auto"/>
        <w:right w:val="none" w:sz="0" w:space="0" w:color="auto"/>
      </w:divBdr>
    </w:div>
    <w:div w:id="149716826">
      <w:bodyDiv w:val="1"/>
      <w:marLeft w:val="0"/>
      <w:marRight w:val="0"/>
      <w:marTop w:val="0"/>
      <w:marBottom w:val="0"/>
      <w:divBdr>
        <w:top w:val="none" w:sz="0" w:space="0" w:color="auto"/>
        <w:left w:val="none" w:sz="0" w:space="0" w:color="auto"/>
        <w:bottom w:val="none" w:sz="0" w:space="0" w:color="auto"/>
        <w:right w:val="none" w:sz="0" w:space="0" w:color="auto"/>
      </w:divBdr>
    </w:div>
    <w:div w:id="174653945">
      <w:bodyDiv w:val="1"/>
      <w:marLeft w:val="0"/>
      <w:marRight w:val="0"/>
      <w:marTop w:val="0"/>
      <w:marBottom w:val="0"/>
      <w:divBdr>
        <w:top w:val="none" w:sz="0" w:space="0" w:color="auto"/>
        <w:left w:val="none" w:sz="0" w:space="0" w:color="auto"/>
        <w:bottom w:val="none" w:sz="0" w:space="0" w:color="auto"/>
        <w:right w:val="none" w:sz="0" w:space="0" w:color="auto"/>
      </w:divBdr>
    </w:div>
    <w:div w:id="175582214">
      <w:bodyDiv w:val="1"/>
      <w:marLeft w:val="0"/>
      <w:marRight w:val="0"/>
      <w:marTop w:val="0"/>
      <w:marBottom w:val="0"/>
      <w:divBdr>
        <w:top w:val="none" w:sz="0" w:space="0" w:color="auto"/>
        <w:left w:val="none" w:sz="0" w:space="0" w:color="auto"/>
        <w:bottom w:val="none" w:sz="0" w:space="0" w:color="auto"/>
        <w:right w:val="none" w:sz="0" w:space="0" w:color="auto"/>
      </w:divBdr>
    </w:div>
    <w:div w:id="182747059">
      <w:bodyDiv w:val="1"/>
      <w:marLeft w:val="0"/>
      <w:marRight w:val="0"/>
      <w:marTop w:val="0"/>
      <w:marBottom w:val="0"/>
      <w:divBdr>
        <w:top w:val="none" w:sz="0" w:space="0" w:color="auto"/>
        <w:left w:val="none" w:sz="0" w:space="0" w:color="auto"/>
        <w:bottom w:val="none" w:sz="0" w:space="0" w:color="auto"/>
        <w:right w:val="none" w:sz="0" w:space="0" w:color="auto"/>
      </w:divBdr>
    </w:div>
    <w:div w:id="188380367">
      <w:bodyDiv w:val="1"/>
      <w:marLeft w:val="0"/>
      <w:marRight w:val="0"/>
      <w:marTop w:val="0"/>
      <w:marBottom w:val="0"/>
      <w:divBdr>
        <w:top w:val="none" w:sz="0" w:space="0" w:color="auto"/>
        <w:left w:val="none" w:sz="0" w:space="0" w:color="auto"/>
        <w:bottom w:val="none" w:sz="0" w:space="0" w:color="auto"/>
        <w:right w:val="none" w:sz="0" w:space="0" w:color="auto"/>
      </w:divBdr>
    </w:div>
    <w:div w:id="200241492">
      <w:bodyDiv w:val="1"/>
      <w:marLeft w:val="0"/>
      <w:marRight w:val="0"/>
      <w:marTop w:val="0"/>
      <w:marBottom w:val="0"/>
      <w:divBdr>
        <w:top w:val="none" w:sz="0" w:space="0" w:color="auto"/>
        <w:left w:val="none" w:sz="0" w:space="0" w:color="auto"/>
        <w:bottom w:val="none" w:sz="0" w:space="0" w:color="auto"/>
        <w:right w:val="none" w:sz="0" w:space="0" w:color="auto"/>
      </w:divBdr>
    </w:div>
    <w:div w:id="244002618">
      <w:bodyDiv w:val="1"/>
      <w:marLeft w:val="0"/>
      <w:marRight w:val="0"/>
      <w:marTop w:val="0"/>
      <w:marBottom w:val="0"/>
      <w:divBdr>
        <w:top w:val="none" w:sz="0" w:space="0" w:color="auto"/>
        <w:left w:val="none" w:sz="0" w:space="0" w:color="auto"/>
        <w:bottom w:val="none" w:sz="0" w:space="0" w:color="auto"/>
        <w:right w:val="none" w:sz="0" w:space="0" w:color="auto"/>
      </w:divBdr>
    </w:div>
    <w:div w:id="256641090">
      <w:bodyDiv w:val="1"/>
      <w:marLeft w:val="0"/>
      <w:marRight w:val="0"/>
      <w:marTop w:val="0"/>
      <w:marBottom w:val="0"/>
      <w:divBdr>
        <w:top w:val="none" w:sz="0" w:space="0" w:color="auto"/>
        <w:left w:val="none" w:sz="0" w:space="0" w:color="auto"/>
        <w:bottom w:val="none" w:sz="0" w:space="0" w:color="auto"/>
        <w:right w:val="none" w:sz="0" w:space="0" w:color="auto"/>
      </w:divBdr>
    </w:div>
    <w:div w:id="271715055">
      <w:bodyDiv w:val="1"/>
      <w:marLeft w:val="0"/>
      <w:marRight w:val="0"/>
      <w:marTop w:val="0"/>
      <w:marBottom w:val="0"/>
      <w:divBdr>
        <w:top w:val="none" w:sz="0" w:space="0" w:color="auto"/>
        <w:left w:val="none" w:sz="0" w:space="0" w:color="auto"/>
        <w:bottom w:val="none" w:sz="0" w:space="0" w:color="auto"/>
        <w:right w:val="none" w:sz="0" w:space="0" w:color="auto"/>
      </w:divBdr>
    </w:div>
    <w:div w:id="274169781">
      <w:bodyDiv w:val="1"/>
      <w:marLeft w:val="0"/>
      <w:marRight w:val="0"/>
      <w:marTop w:val="0"/>
      <w:marBottom w:val="0"/>
      <w:divBdr>
        <w:top w:val="none" w:sz="0" w:space="0" w:color="auto"/>
        <w:left w:val="none" w:sz="0" w:space="0" w:color="auto"/>
        <w:bottom w:val="none" w:sz="0" w:space="0" w:color="auto"/>
        <w:right w:val="none" w:sz="0" w:space="0" w:color="auto"/>
      </w:divBdr>
    </w:div>
    <w:div w:id="290596742">
      <w:bodyDiv w:val="1"/>
      <w:marLeft w:val="0"/>
      <w:marRight w:val="0"/>
      <w:marTop w:val="0"/>
      <w:marBottom w:val="0"/>
      <w:divBdr>
        <w:top w:val="none" w:sz="0" w:space="0" w:color="auto"/>
        <w:left w:val="none" w:sz="0" w:space="0" w:color="auto"/>
        <w:bottom w:val="none" w:sz="0" w:space="0" w:color="auto"/>
        <w:right w:val="none" w:sz="0" w:space="0" w:color="auto"/>
      </w:divBdr>
    </w:div>
    <w:div w:id="298071581">
      <w:bodyDiv w:val="1"/>
      <w:marLeft w:val="0"/>
      <w:marRight w:val="0"/>
      <w:marTop w:val="0"/>
      <w:marBottom w:val="0"/>
      <w:divBdr>
        <w:top w:val="none" w:sz="0" w:space="0" w:color="auto"/>
        <w:left w:val="none" w:sz="0" w:space="0" w:color="auto"/>
        <w:bottom w:val="none" w:sz="0" w:space="0" w:color="auto"/>
        <w:right w:val="none" w:sz="0" w:space="0" w:color="auto"/>
      </w:divBdr>
    </w:div>
    <w:div w:id="324407229">
      <w:bodyDiv w:val="1"/>
      <w:marLeft w:val="0"/>
      <w:marRight w:val="0"/>
      <w:marTop w:val="0"/>
      <w:marBottom w:val="0"/>
      <w:divBdr>
        <w:top w:val="none" w:sz="0" w:space="0" w:color="auto"/>
        <w:left w:val="none" w:sz="0" w:space="0" w:color="auto"/>
        <w:bottom w:val="none" w:sz="0" w:space="0" w:color="auto"/>
        <w:right w:val="none" w:sz="0" w:space="0" w:color="auto"/>
      </w:divBdr>
    </w:div>
    <w:div w:id="381635163">
      <w:bodyDiv w:val="1"/>
      <w:marLeft w:val="0"/>
      <w:marRight w:val="0"/>
      <w:marTop w:val="0"/>
      <w:marBottom w:val="0"/>
      <w:divBdr>
        <w:top w:val="none" w:sz="0" w:space="0" w:color="auto"/>
        <w:left w:val="none" w:sz="0" w:space="0" w:color="auto"/>
        <w:bottom w:val="none" w:sz="0" w:space="0" w:color="auto"/>
        <w:right w:val="none" w:sz="0" w:space="0" w:color="auto"/>
      </w:divBdr>
    </w:div>
    <w:div w:id="405688627">
      <w:bodyDiv w:val="1"/>
      <w:marLeft w:val="0"/>
      <w:marRight w:val="0"/>
      <w:marTop w:val="0"/>
      <w:marBottom w:val="0"/>
      <w:divBdr>
        <w:top w:val="none" w:sz="0" w:space="0" w:color="auto"/>
        <w:left w:val="none" w:sz="0" w:space="0" w:color="auto"/>
        <w:bottom w:val="none" w:sz="0" w:space="0" w:color="auto"/>
        <w:right w:val="none" w:sz="0" w:space="0" w:color="auto"/>
      </w:divBdr>
    </w:div>
    <w:div w:id="417213982">
      <w:bodyDiv w:val="1"/>
      <w:marLeft w:val="0"/>
      <w:marRight w:val="0"/>
      <w:marTop w:val="0"/>
      <w:marBottom w:val="0"/>
      <w:divBdr>
        <w:top w:val="none" w:sz="0" w:space="0" w:color="auto"/>
        <w:left w:val="none" w:sz="0" w:space="0" w:color="auto"/>
        <w:bottom w:val="none" w:sz="0" w:space="0" w:color="auto"/>
        <w:right w:val="none" w:sz="0" w:space="0" w:color="auto"/>
      </w:divBdr>
    </w:div>
    <w:div w:id="418601869">
      <w:bodyDiv w:val="1"/>
      <w:marLeft w:val="0"/>
      <w:marRight w:val="0"/>
      <w:marTop w:val="0"/>
      <w:marBottom w:val="0"/>
      <w:divBdr>
        <w:top w:val="none" w:sz="0" w:space="0" w:color="auto"/>
        <w:left w:val="none" w:sz="0" w:space="0" w:color="auto"/>
        <w:bottom w:val="none" w:sz="0" w:space="0" w:color="auto"/>
        <w:right w:val="none" w:sz="0" w:space="0" w:color="auto"/>
      </w:divBdr>
    </w:div>
    <w:div w:id="436099472">
      <w:bodyDiv w:val="1"/>
      <w:marLeft w:val="0"/>
      <w:marRight w:val="0"/>
      <w:marTop w:val="0"/>
      <w:marBottom w:val="0"/>
      <w:divBdr>
        <w:top w:val="none" w:sz="0" w:space="0" w:color="auto"/>
        <w:left w:val="none" w:sz="0" w:space="0" w:color="auto"/>
        <w:bottom w:val="none" w:sz="0" w:space="0" w:color="auto"/>
        <w:right w:val="none" w:sz="0" w:space="0" w:color="auto"/>
      </w:divBdr>
    </w:div>
    <w:div w:id="473567538">
      <w:bodyDiv w:val="1"/>
      <w:marLeft w:val="0"/>
      <w:marRight w:val="0"/>
      <w:marTop w:val="0"/>
      <w:marBottom w:val="0"/>
      <w:divBdr>
        <w:top w:val="none" w:sz="0" w:space="0" w:color="auto"/>
        <w:left w:val="none" w:sz="0" w:space="0" w:color="auto"/>
        <w:bottom w:val="none" w:sz="0" w:space="0" w:color="auto"/>
        <w:right w:val="none" w:sz="0" w:space="0" w:color="auto"/>
      </w:divBdr>
    </w:div>
    <w:div w:id="489175373">
      <w:bodyDiv w:val="1"/>
      <w:marLeft w:val="0"/>
      <w:marRight w:val="0"/>
      <w:marTop w:val="0"/>
      <w:marBottom w:val="0"/>
      <w:divBdr>
        <w:top w:val="none" w:sz="0" w:space="0" w:color="auto"/>
        <w:left w:val="none" w:sz="0" w:space="0" w:color="auto"/>
        <w:bottom w:val="none" w:sz="0" w:space="0" w:color="auto"/>
        <w:right w:val="none" w:sz="0" w:space="0" w:color="auto"/>
      </w:divBdr>
    </w:div>
    <w:div w:id="523642113">
      <w:bodyDiv w:val="1"/>
      <w:marLeft w:val="0"/>
      <w:marRight w:val="0"/>
      <w:marTop w:val="0"/>
      <w:marBottom w:val="0"/>
      <w:divBdr>
        <w:top w:val="none" w:sz="0" w:space="0" w:color="auto"/>
        <w:left w:val="none" w:sz="0" w:space="0" w:color="auto"/>
        <w:bottom w:val="none" w:sz="0" w:space="0" w:color="auto"/>
        <w:right w:val="none" w:sz="0" w:space="0" w:color="auto"/>
      </w:divBdr>
    </w:div>
    <w:div w:id="559443652">
      <w:bodyDiv w:val="1"/>
      <w:marLeft w:val="0"/>
      <w:marRight w:val="0"/>
      <w:marTop w:val="0"/>
      <w:marBottom w:val="0"/>
      <w:divBdr>
        <w:top w:val="none" w:sz="0" w:space="0" w:color="auto"/>
        <w:left w:val="none" w:sz="0" w:space="0" w:color="auto"/>
        <w:bottom w:val="none" w:sz="0" w:space="0" w:color="auto"/>
        <w:right w:val="none" w:sz="0" w:space="0" w:color="auto"/>
      </w:divBdr>
    </w:div>
    <w:div w:id="606809491">
      <w:bodyDiv w:val="1"/>
      <w:marLeft w:val="0"/>
      <w:marRight w:val="0"/>
      <w:marTop w:val="0"/>
      <w:marBottom w:val="0"/>
      <w:divBdr>
        <w:top w:val="none" w:sz="0" w:space="0" w:color="auto"/>
        <w:left w:val="none" w:sz="0" w:space="0" w:color="auto"/>
        <w:bottom w:val="none" w:sz="0" w:space="0" w:color="auto"/>
        <w:right w:val="none" w:sz="0" w:space="0" w:color="auto"/>
      </w:divBdr>
    </w:div>
    <w:div w:id="609432300">
      <w:bodyDiv w:val="1"/>
      <w:marLeft w:val="0"/>
      <w:marRight w:val="0"/>
      <w:marTop w:val="0"/>
      <w:marBottom w:val="0"/>
      <w:divBdr>
        <w:top w:val="none" w:sz="0" w:space="0" w:color="auto"/>
        <w:left w:val="none" w:sz="0" w:space="0" w:color="auto"/>
        <w:bottom w:val="none" w:sz="0" w:space="0" w:color="auto"/>
        <w:right w:val="none" w:sz="0" w:space="0" w:color="auto"/>
      </w:divBdr>
    </w:div>
    <w:div w:id="617419069">
      <w:bodyDiv w:val="1"/>
      <w:marLeft w:val="0"/>
      <w:marRight w:val="0"/>
      <w:marTop w:val="0"/>
      <w:marBottom w:val="0"/>
      <w:divBdr>
        <w:top w:val="none" w:sz="0" w:space="0" w:color="auto"/>
        <w:left w:val="none" w:sz="0" w:space="0" w:color="auto"/>
        <w:bottom w:val="none" w:sz="0" w:space="0" w:color="auto"/>
        <w:right w:val="none" w:sz="0" w:space="0" w:color="auto"/>
      </w:divBdr>
    </w:div>
    <w:div w:id="655457669">
      <w:bodyDiv w:val="1"/>
      <w:marLeft w:val="0"/>
      <w:marRight w:val="0"/>
      <w:marTop w:val="0"/>
      <w:marBottom w:val="0"/>
      <w:divBdr>
        <w:top w:val="none" w:sz="0" w:space="0" w:color="auto"/>
        <w:left w:val="none" w:sz="0" w:space="0" w:color="auto"/>
        <w:bottom w:val="none" w:sz="0" w:space="0" w:color="auto"/>
        <w:right w:val="none" w:sz="0" w:space="0" w:color="auto"/>
      </w:divBdr>
    </w:div>
    <w:div w:id="706568978">
      <w:bodyDiv w:val="1"/>
      <w:marLeft w:val="0"/>
      <w:marRight w:val="0"/>
      <w:marTop w:val="0"/>
      <w:marBottom w:val="0"/>
      <w:divBdr>
        <w:top w:val="none" w:sz="0" w:space="0" w:color="auto"/>
        <w:left w:val="none" w:sz="0" w:space="0" w:color="auto"/>
        <w:bottom w:val="none" w:sz="0" w:space="0" w:color="auto"/>
        <w:right w:val="none" w:sz="0" w:space="0" w:color="auto"/>
      </w:divBdr>
    </w:div>
    <w:div w:id="721175521">
      <w:bodyDiv w:val="1"/>
      <w:marLeft w:val="0"/>
      <w:marRight w:val="0"/>
      <w:marTop w:val="0"/>
      <w:marBottom w:val="0"/>
      <w:divBdr>
        <w:top w:val="none" w:sz="0" w:space="0" w:color="auto"/>
        <w:left w:val="none" w:sz="0" w:space="0" w:color="auto"/>
        <w:bottom w:val="none" w:sz="0" w:space="0" w:color="auto"/>
        <w:right w:val="none" w:sz="0" w:space="0" w:color="auto"/>
      </w:divBdr>
    </w:div>
    <w:div w:id="764495881">
      <w:bodyDiv w:val="1"/>
      <w:marLeft w:val="0"/>
      <w:marRight w:val="0"/>
      <w:marTop w:val="0"/>
      <w:marBottom w:val="0"/>
      <w:divBdr>
        <w:top w:val="none" w:sz="0" w:space="0" w:color="auto"/>
        <w:left w:val="none" w:sz="0" w:space="0" w:color="auto"/>
        <w:bottom w:val="none" w:sz="0" w:space="0" w:color="auto"/>
        <w:right w:val="none" w:sz="0" w:space="0" w:color="auto"/>
      </w:divBdr>
    </w:div>
    <w:div w:id="783110881">
      <w:bodyDiv w:val="1"/>
      <w:marLeft w:val="0"/>
      <w:marRight w:val="0"/>
      <w:marTop w:val="0"/>
      <w:marBottom w:val="0"/>
      <w:divBdr>
        <w:top w:val="none" w:sz="0" w:space="0" w:color="auto"/>
        <w:left w:val="none" w:sz="0" w:space="0" w:color="auto"/>
        <w:bottom w:val="none" w:sz="0" w:space="0" w:color="auto"/>
        <w:right w:val="none" w:sz="0" w:space="0" w:color="auto"/>
      </w:divBdr>
    </w:div>
    <w:div w:id="783773861">
      <w:bodyDiv w:val="1"/>
      <w:marLeft w:val="0"/>
      <w:marRight w:val="0"/>
      <w:marTop w:val="0"/>
      <w:marBottom w:val="0"/>
      <w:divBdr>
        <w:top w:val="none" w:sz="0" w:space="0" w:color="auto"/>
        <w:left w:val="none" w:sz="0" w:space="0" w:color="auto"/>
        <w:bottom w:val="none" w:sz="0" w:space="0" w:color="auto"/>
        <w:right w:val="none" w:sz="0" w:space="0" w:color="auto"/>
      </w:divBdr>
    </w:div>
    <w:div w:id="808865113">
      <w:bodyDiv w:val="1"/>
      <w:marLeft w:val="0"/>
      <w:marRight w:val="0"/>
      <w:marTop w:val="0"/>
      <w:marBottom w:val="0"/>
      <w:divBdr>
        <w:top w:val="none" w:sz="0" w:space="0" w:color="auto"/>
        <w:left w:val="none" w:sz="0" w:space="0" w:color="auto"/>
        <w:bottom w:val="none" w:sz="0" w:space="0" w:color="auto"/>
        <w:right w:val="none" w:sz="0" w:space="0" w:color="auto"/>
      </w:divBdr>
    </w:div>
    <w:div w:id="845024248">
      <w:bodyDiv w:val="1"/>
      <w:marLeft w:val="0"/>
      <w:marRight w:val="0"/>
      <w:marTop w:val="0"/>
      <w:marBottom w:val="0"/>
      <w:divBdr>
        <w:top w:val="none" w:sz="0" w:space="0" w:color="auto"/>
        <w:left w:val="none" w:sz="0" w:space="0" w:color="auto"/>
        <w:bottom w:val="none" w:sz="0" w:space="0" w:color="auto"/>
        <w:right w:val="none" w:sz="0" w:space="0" w:color="auto"/>
      </w:divBdr>
    </w:div>
    <w:div w:id="859776727">
      <w:bodyDiv w:val="1"/>
      <w:marLeft w:val="0"/>
      <w:marRight w:val="0"/>
      <w:marTop w:val="0"/>
      <w:marBottom w:val="0"/>
      <w:divBdr>
        <w:top w:val="none" w:sz="0" w:space="0" w:color="auto"/>
        <w:left w:val="none" w:sz="0" w:space="0" w:color="auto"/>
        <w:bottom w:val="none" w:sz="0" w:space="0" w:color="auto"/>
        <w:right w:val="none" w:sz="0" w:space="0" w:color="auto"/>
      </w:divBdr>
    </w:div>
    <w:div w:id="874200537">
      <w:bodyDiv w:val="1"/>
      <w:marLeft w:val="0"/>
      <w:marRight w:val="0"/>
      <w:marTop w:val="0"/>
      <w:marBottom w:val="0"/>
      <w:divBdr>
        <w:top w:val="none" w:sz="0" w:space="0" w:color="auto"/>
        <w:left w:val="none" w:sz="0" w:space="0" w:color="auto"/>
        <w:bottom w:val="none" w:sz="0" w:space="0" w:color="auto"/>
        <w:right w:val="none" w:sz="0" w:space="0" w:color="auto"/>
      </w:divBdr>
    </w:div>
    <w:div w:id="889340960">
      <w:bodyDiv w:val="1"/>
      <w:marLeft w:val="0"/>
      <w:marRight w:val="0"/>
      <w:marTop w:val="0"/>
      <w:marBottom w:val="0"/>
      <w:divBdr>
        <w:top w:val="none" w:sz="0" w:space="0" w:color="auto"/>
        <w:left w:val="none" w:sz="0" w:space="0" w:color="auto"/>
        <w:bottom w:val="none" w:sz="0" w:space="0" w:color="auto"/>
        <w:right w:val="none" w:sz="0" w:space="0" w:color="auto"/>
      </w:divBdr>
    </w:div>
    <w:div w:id="915701371">
      <w:bodyDiv w:val="1"/>
      <w:marLeft w:val="0"/>
      <w:marRight w:val="0"/>
      <w:marTop w:val="0"/>
      <w:marBottom w:val="0"/>
      <w:divBdr>
        <w:top w:val="none" w:sz="0" w:space="0" w:color="auto"/>
        <w:left w:val="none" w:sz="0" w:space="0" w:color="auto"/>
        <w:bottom w:val="none" w:sz="0" w:space="0" w:color="auto"/>
        <w:right w:val="none" w:sz="0" w:space="0" w:color="auto"/>
      </w:divBdr>
    </w:div>
    <w:div w:id="976565836">
      <w:bodyDiv w:val="1"/>
      <w:marLeft w:val="0"/>
      <w:marRight w:val="0"/>
      <w:marTop w:val="0"/>
      <w:marBottom w:val="0"/>
      <w:divBdr>
        <w:top w:val="none" w:sz="0" w:space="0" w:color="auto"/>
        <w:left w:val="none" w:sz="0" w:space="0" w:color="auto"/>
        <w:bottom w:val="none" w:sz="0" w:space="0" w:color="auto"/>
        <w:right w:val="none" w:sz="0" w:space="0" w:color="auto"/>
      </w:divBdr>
    </w:div>
    <w:div w:id="976643495">
      <w:bodyDiv w:val="1"/>
      <w:marLeft w:val="0"/>
      <w:marRight w:val="0"/>
      <w:marTop w:val="0"/>
      <w:marBottom w:val="0"/>
      <w:divBdr>
        <w:top w:val="none" w:sz="0" w:space="0" w:color="auto"/>
        <w:left w:val="none" w:sz="0" w:space="0" w:color="auto"/>
        <w:bottom w:val="none" w:sz="0" w:space="0" w:color="auto"/>
        <w:right w:val="none" w:sz="0" w:space="0" w:color="auto"/>
      </w:divBdr>
    </w:div>
    <w:div w:id="1013721507">
      <w:bodyDiv w:val="1"/>
      <w:marLeft w:val="0"/>
      <w:marRight w:val="0"/>
      <w:marTop w:val="0"/>
      <w:marBottom w:val="0"/>
      <w:divBdr>
        <w:top w:val="none" w:sz="0" w:space="0" w:color="auto"/>
        <w:left w:val="none" w:sz="0" w:space="0" w:color="auto"/>
        <w:bottom w:val="none" w:sz="0" w:space="0" w:color="auto"/>
        <w:right w:val="none" w:sz="0" w:space="0" w:color="auto"/>
      </w:divBdr>
    </w:div>
    <w:div w:id="1058943023">
      <w:bodyDiv w:val="1"/>
      <w:marLeft w:val="0"/>
      <w:marRight w:val="0"/>
      <w:marTop w:val="0"/>
      <w:marBottom w:val="0"/>
      <w:divBdr>
        <w:top w:val="none" w:sz="0" w:space="0" w:color="auto"/>
        <w:left w:val="none" w:sz="0" w:space="0" w:color="auto"/>
        <w:bottom w:val="none" w:sz="0" w:space="0" w:color="auto"/>
        <w:right w:val="none" w:sz="0" w:space="0" w:color="auto"/>
      </w:divBdr>
    </w:div>
    <w:div w:id="1091699262">
      <w:bodyDiv w:val="1"/>
      <w:marLeft w:val="0"/>
      <w:marRight w:val="0"/>
      <w:marTop w:val="0"/>
      <w:marBottom w:val="0"/>
      <w:divBdr>
        <w:top w:val="none" w:sz="0" w:space="0" w:color="auto"/>
        <w:left w:val="none" w:sz="0" w:space="0" w:color="auto"/>
        <w:bottom w:val="none" w:sz="0" w:space="0" w:color="auto"/>
        <w:right w:val="none" w:sz="0" w:space="0" w:color="auto"/>
      </w:divBdr>
    </w:div>
    <w:div w:id="1128821140">
      <w:bodyDiv w:val="1"/>
      <w:marLeft w:val="0"/>
      <w:marRight w:val="0"/>
      <w:marTop w:val="0"/>
      <w:marBottom w:val="0"/>
      <w:divBdr>
        <w:top w:val="none" w:sz="0" w:space="0" w:color="auto"/>
        <w:left w:val="none" w:sz="0" w:space="0" w:color="auto"/>
        <w:bottom w:val="none" w:sz="0" w:space="0" w:color="auto"/>
        <w:right w:val="none" w:sz="0" w:space="0" w:color="auto"/>
      </w:divBdr>
    </w:div>
    <w:div w:id="1147673497">
      <w:bodyDiv w:val="1"/>
      <w:marLeft w:val="0"/>
      <w:marRight w:val="0"/>
      <w:marTop w:val="0"/>
      <w:marBottom w:val="0"/>
      <w:divBdr>
        <w:top w:val="none" w:sz="0" w:space="0" w:color="auto"/>
        <w:left w:val="none" w:sz="0" w:space="0" w:color="auto"/>
        <w:bottom w:val="none" w:sz="0" w:space="0" w:color="auto"/>
        <w:right w:val="none" w:sz="0" w:space="0" w:color="auto"/>
      </w:divBdr>
    </w:div>
    <w:div w:id="1153566143">
      <w:bodyDiv w:val="1"/>
      <w:marLeft w:val="0"/>
      <w:marRight w:val="0"/>
      <w:marTop w:val="0"/>
      <w:marBottom w:val="0"/>
      <w:divBdr>
        <w:top w:val="none" w:sz="0" w:space="0" w:color="auto"/>
        <w:left w:val="none" w:sz="0" w:space="0" w:color="auto"/>
        <w:bottom w:val="none" w:sz="0" w:space="0" w:color="auto"/>
        <w:right w:val="none" w:sz="0" w:space="0" w:color="auto"/>
      </w:divBdr>
    </w:div>
    <w:div w:id="1162427954">
      <w:bodyDiv w:val="1"/>
      <w:marLeft w:val="0"/>
      <w:marRight w:val="0"/>
      <w:marTop w:val="0"/>
      <w:marBottom w:val="0"/>
      <w:divBdr>
        <w:top w:val="none" w:sz="0" w:space="0" w:color="auto"/>
        <w:left w:val="none" w:sz="0" w:space="0" w:color="auto"/>
        <w:bottom w:val="none" w:sz="0" w:space="0" w:color="auto"/>
        <w:right w:val="none" w:sz="0" w:space="0" w:color="auto"/>
      </w:divBdr>
    </w:div>
    <w:div w:id="1181355725">
      <w:bodyDiv w:val="1"/>
      <w:marLeft w:val="0"/>
      <w:marRight w:val="0"/>
      <w:marTop w:val="0"/>
      <w:marBottom w:val="0"/>
      <w:divBdr>
        <w:top w:val="none" w:sz="0" w:space="0" w:color="auto"/>
        <w:left w:val="none" w:sz="0" w:space="0" w:color="auto"/>
        <w:bottom w:val="none" w:sz="0" w:space="0" w:color="auto"/>
        <w:right w:val="none" w:sz="0" w:space="0" w:color="auto"/>
      </w:divBdr>
    </w:div>
    <w:div w:id="1211306495">
      <w:bodyDiv w:val="1"/>
      <w:marLeft w:val="0"/>
      <w:marRight w:val="0"/>
      <w:marTop w:val="0"/>
      <w:marBottom w:val="0"/>
      <w:divBdr>
        <w:top w:val="none" w:sz="0" w:space="0" w:color="auto"/>
        <w:left w:val="none" w:sz="0" w:space="0" w:color="auto"/>
        <w:bottom w:val="none" w:sz="0" w:space="0" w:color="auto"/>
        <w:right w:val="none" w:sz="0" w:space="0" w:color="auto"/>
      </w:divBdr>
    </w:div>
    <w:div w:id="1229001294">
      <w:bodyDiv w:val="1"/>
      <w:marLeft w:val="0"/>
      <w:marRight w:val="0"/>
      <w:marTop w:val="0"/>
      <w:marBottom w:val="0"/>
      <w:divBdr>
        <w:top w:val="none" w:sz="0" w:space="0" w:color="auto"/>
        <w:left w:val="none" w:sz="0" w:space="0" w:color="auto"/>
        <w:bottom w:val="none" w:sz="0" w:space="0" w:color="auto"/>
        <w:right w:val="none" w:sz="0" w:space="0" w:color="auto"/>
      </w:divBdr>
    </w:div>
    <w:div w:id="1229806695">
      <w:bodyDiv w:val="1"/>
      <w:marLeft w:val="0"/>
      <w:marRight w:val="0"/>
      <w:marTop w:val="0"/>
      <w:marBottom w:val="0"/>
      <w:divBdr>
        <w:top w:val="none" w:sz="0" w:space="0" w:color="auto"/>
        <w:left w:val="none" w:sz="0" w:space="0" w:color="auto"/>
        <w:bottom w:val="none" w:sz="0" w:space="0" w:color="auto"/>
        <w:right w:val="none" w:sz="0" w:space="0" w:color="auto"/>
      </w:divBdr>
    </w:div>
    <w:div w:id="1230573350">
      <w:bodyDiv w:val="1"/>
      <w:marLeft w:val="0"/>
      <w:marRight w:val="0"/>
      <w:marTop w:val="0"/>
      <w:marBottom w:val="0"/>
      <w:divBdr>
        <w:top w:val="none" w:sz="0" w:space="0" w:color="auto"/>
        <w:left w:val="none" w:sz="0" w:space="0" w:color="auto"/>
        <w:bottom w:val="none" w:sz="0" w:space="0" w:color="auto"/>
        <w:right w:val="none" w:sz="0" w:space="0" w:color="auto"/>
      </w:divBdr>
    </w:div>
    <w:div w:id="1241674352">
      <w:bodyDiv w:val="1"/>
      <w:marLeft w:val="0"/>
      <w:marRight w:val="0"/>
      <w:marTop w:val="0"/>
      <w:marBottom w:val="0"/>
      <w:divBdr>
        <w:top w:val="none" w:sz="0" w:space="0" w:color="auto"/>
        <w:left w:val="none" w:sz="0" w:space="0" w:color="auto"/>
        <w:bottom w:val="none" w:sz="0" w:space="0" w:color="auto"/>
        <w:right w:val="none" w:sz="0" w:space="0" w:color="auto"/>
      </w:divBdr>
    </w:div>
    <w:div w:id="1244219222">
      <w:bodyDiv w:val="1"/>
      <w:marLeft w:val="0"/>
      <w:marRight w:val="0"/>
      <w:marTop w:val="0"/>
      <w:marBottom w:val="0"/>
      <w:divBdr>
        <w:top w:val="none" w:sz="0" w:space="0" w:color="auto"/>
        <w:left w:val="none" w:sz="0" w:space="0" w:color="auto"/>
        <w:bottom w:val="none" w:sz="0" w:space="0" w:color="auto"/>
        <w:right w:val="none" w:sz="0" w:space="0" w:color="auto"/>
      </w:divBdr>
    </w:div>
    <w:div w:id="1252469713">
      <w:bodyDiv w:val="1"/>
      <w:marLeft w:val="0"/>
      <w:marRight w:val="0"/>
      <w:marTop w:val="0"/>
      <w:marBottom w:val="0"/>
      <w:divBdr>
        <w:top w:val="none" w:sz="0" w:space="0" w:color="auto"/>
        <w:left w:val="none" w:sz="0" w:space="0" w:color="auto"/>
        <w:bottom w:val="none" w:sz="0" w:space="0" w:color="auto"/>
        <w:right w:val="none" w:sz="0" w:space="0" w:color="auto"/>
      </w:divBdr>
    </w:div>
    <w:div w:id="1264343088">
      <w:bodyDiv w:val="1"/>
      <w:marLeft w:val="0"/>
      <w:marRight w:val="0"/>
      <w:marTop w:val="0"/>
      <w:marBottom w:val="0"/>
      <w:divBdr>
        <w:top w:val="none" w:sz="0" w:space="0" w:color="auto"/>
        <w:left w:val="none" w:sz="0" w:space="0" w:color="auto"/>
        <w:bottom w:val="none" w:sz="0" w:space="0" w:color="auto"/>
        <w:right w:val="none" w:sz="0" w:space="0" w:color="auto"/>
      </w:divBdr>
    </w:div>
    <w:div w:id="1270355835">
      <w:bodyDiv w:val="1"/>
      <w:marLeft w:val="0"/>
      <w:marRight w:val="0"/>
      <w:marTop w:val="0"/>
      <w:marBottom w:val="0"/>
      <w:divBdr>
        <w:top w:val="none" w:sz="0" w:space="0" w:color="auto"/>
        <w:left w:val="none" w:sz="0" w:space="0" w:color="auto"/>
        <w:bottom w:val="none" w:sz="0" w:space="0" w:color="auto"/>
        <w:right w:val="none" w:sz="0" w:space="0" w:color="auto"/>
      </w:divBdr>
    </w:div>
    <w:div w:id="1335108190">
      <w:bodyDiv w:val="1"/>
      <w:marLeft w:val="0"/>
      <w:marRight w:val="0"/>
      <w:marTop w:val="0"/>
      <w:marBottom w:val="0"/>
      <w:divBdr>
        <w:top w:val="none" w:sz="0" w:space="0" w:color="auto"/>
        <w:left w:val="none" w:sz="0" w:space="0" w:color="auto"/>
        <w:bottom w:val="none" w:sz="0" w:space="0" w:color="auto"/>
        <w:right w:val="none" w:sz="0" w:space="0" w:color="auto"/>
      </w:divBdr>
    </w:div>
    <w:div w:id="1343629708">
      <w:bodyDiv w:val="1"/>
      <w:marLeft w:val="0"/>
      <w:marRight w:val="0"/>
      <w:marTop w:val="0"/>
      <w:marBottom w:val="0"/>
      <w:divBdr>
        <w:top w:val="none" w:sz="0" w:space="0" w:color="auto"/>
        <w:left w:val="none" w:sz="0" w:space="0" w:color="auto"/>
        <w:bottom w:val="none" w:sz="0" w:space="0" w:color="auto"/>
        <w:right w:val="none" w:sz="0" w:space="0" w:color="auto"/>
      </w:divBdr>
    </w:div>
    <w:div w:id="1394355007">
      <w:bodyDiv w:val="1"/>
      <w:marLeft w:val="0"/>
      <w:marRight w:val="0"/>
      <w:marTop w:val="0"/>
      <w:marBottom w:val="0"/>
      <w:divBdr>
        <w:top w:val="none" w:sz="0" w:space="0" w:color="auto"/>
        <w:left w:val="none" w:sz="0" w:space="0" w:color="auto"/>
        <w:bottom w:val="none" w:sz="0" w:space="0" w:color="auto"/>
        <w:right w:val="none" w:sz="0" w:space="0" w:color="auto"/>
      </w:divBdr>
    </w:div>
    <w:div w:id="1422917662">
      <w:bodyDiv w:val="1"/>
      <w:marLeft w:val="0"/>
      <w:marRight w:val="0"/>
      <w:marTop w:val="0"/>
      <w:marBottom w:val="0"/>
      <w:divBdr>
        <w:top w:val="none" w:sz="0" w:space="0" w:color="auto"/>
        <w:left w:val="none" w:sz="0" w:space="0" w:color="auto"/>
        <w:bottom w:val="none" w:sz="0" w:space="0" w:color="auto"/>
        <w:right w:val="none" w:sz="0" w:space="0" w:color="auto"/>
      </w:divBdr>
    </w:div>
    <w:div w:id="1426223404">
      <w:bodyDiv w:val="1"/>
      <w:marLeft w:val="0"/>
      <w:marRight w:val="0"/>
      <w:marTop w:val="0"/>
      <w:marBottom w:val="0"/>
      <w:divBdr>
        <w:top w:val="none" w:sz="0" w:space="0" w:color="auto"/>
        <w:left w:val="none" w:sz="0" w:space="0" w:color="auto"/>
        <w:bottom w:val="none" w:sz="0" w:space="0" w:color="auto"/>
        <w:right w:val="none" w:sz="0" w:space="0" w:color="auto"/>
      </w:divBdr>
    </w:div>
    <w:div w:id="1442644330">
      <w:bodyDiv w:val="1"/>
      <w:marLeft w:val="0"/>
      <w:marRight w:val="0"/>
      <w:marTop w:val="0"/>
      <w:marBottom w:val="0"/>
      <w:divBdr>
        <w:top w:val="none" w:sz="0" w:space="0" w:color="auto"/>
        <w:left w:val="none" w:sz="0" w:space="0" w:color="auto"/>
        <w:bottom w:val="none" w:sz="0" w:space="0" w:color="auto"/>
        <w:right w:val="none" w:sz="0" w:space="0" w:color="auto"/>
      </w:divBdr>
    </w:div>
    <w:div w:id="1487552128">
      <w:bodyDiv w:val="1"/>
      <w:marLeft w:val="0"/>
      <w:marRight w:val="0"/>
      <w:marTop w:val="0"/>
      <w:marBottom w:val="0"/>
      <w:divBdr>
        <w:top w:val="none" w:sz="0" w:space="0" w:color="auto"/>
        <w:left w:val="none" w:sz="0" w:space="0" w:color="auto"/>
        <w:bottom w:val="none" w:sz="0" w:space="0" w:color="auto"/>
        <w:right w:val="none" w:sz="0" w:space="0" w:color="auto"/>
      </w:divBdr>
    </w:div>
    <w:div w:id="1526484797">
      <w:bodyDiv w:val="1"/>
      <w:marLeft w:val="0"/>
      <w:marRight w:val="0"/>
      <w:marTop w:val="0"/>
      <w:marBottom w:val="0"/>
      <w:divBdr>
        <w:top w:val="none" w:sz="0" w:space="0" w:color="auto"/>
        <w:left w:val="none" w:sz="0" w:space="0" w:color="auto"/>
        <w:bottom w:val="none" w:sz="0" w:space="0" w:color="auto"/>
        <w:right w:val="none" w:sz="0" w:space="0" w:color="auto"/>
      </w:divBdr>
    </w:div>
    <w:div w:id="1545673571">
      <w:bodyDiv w:val="1"/>
      <w:marLeft w:val="0"/>
      <w:marRight w:val="0"/>
      <w:marTop w:val="0"/>
      <w:marBottom w:val="0"/>
      <w:divBdr>
        <w:top w:val="none" w:sz="0" w:space="0" w:color="auto"/>
        <w:left w:val="none" w:sz="0" w:space="0" w:color="auto"/>
        <w:bottom w:val="none" w:sz="0" w:space="0" w:color="auto"/>
        <w:right w:val="none" w:sz="0" w:space="0" w:color="auto"/>
      </w:divBdr>
    </w:div>
    <w:div w:id="1575427722">
      <w:bodyDiv w:val="1"/>
      <w:marLeft w:val="0"/>
      <w:marRight w:val="0"/>
      <w:marTop w:val="0"/>
      <w:marBottom w:val="0"/>
      <w:divBdr>
        <w:top w:val="none" w:sz="0" w:space="0" w:color="auto"/>
        <w:left w:val="none" w:sz="0" w:space="0" w:color="auto"/>
        <w:bottom w:val="none" w:sz="0" w:space="0" w:color="auto"/>
        <w:right w:val="none" w:sz="0" w:space="0" w:color="auto"/>
      </w:divBdr>
    </w:div>
    <w:div w:id="1616446749">
      <w:bodyDiv w:val="1"/>
      <w:marLeft w:val="0"/>
      <w:marRight w:val="0"/>
      <w:marTop w:val="0"/>
      <w:marBottom w:val="0"/>
      <w:divBdr>
        <w:top w:val="none" w:sz="0" w:space="0" w:color="auto"/>
        <w:left w:val="none" w:sz="0" w:space="0" w:color="auto"/>
        <w:bottom w:val="none" w:sz="0" w:space="0" w:color="auto"/>
        <w:right w:val="none" w:sz="0" w:space="0" w:color="auto"/>
      </w:divBdr>
    </w:div>
    <w:div w:id="1620792187">
      <w:bodyDiv w:val="1"/>
      <w:marLeft w:val="0"/>
      <w:marRight w:val="0"/>
      <w:marTop w:val="0"/>
      <w:marBottom w:val="0"/>
      <w:divBdr>
        <w:top w:val="none" w:sz="0" w:space="0" w:color="auto"/>
        <w:left w:val="none" w:sz="0" w:space="0" w:color="auto"/>
        <w:bottom w:val="none" w:sz="0" w:space="0" w:color="auto"/>
        <w:right w:val="none" w:sz="0" w:space="0" w:color="auto"/>
      </w:divBdr>
    </w:div>
    <w:div w:id="1627083378">
      <w:bodyDiv w:val="1"/>
      <w:marLeft w:val="0"/>
      <w:marRight w:val="0"/>
      <w:marTop w:val="0"/>
      <w:marBottom w:val="0"/>
      <w:divBdr>
        <w:top w:val="none" w:sz="0" w:space="0" w:color="auto"/>
        <w:left w:val="none" w:sz="0" w:space="0" w:color="auto"/>
        <w:bottom w:val="none" w:sz="0" w:space="0" w:color="auto"/>
        <w:right w:val="none" w:sz="0" w:space="0" w:color="auto"/>
      </w:divBdr>
    </w:div>
    <w:div w:id="1639844718">
      <w:bodyDiv w:val="1"/>
      <w:marLeft w:val="0"/>
      <w:marRight w:val="0"/>
      <w:marTop w:val="0"/>
      <w:marBottom w:val="0"/>
      <w:divBdr>
        <w:top w:val="none" w:sz="0" w:space="0" w:color="auto"/>
        <w:left w:val="none" w:sz="0" w:space="0" w:color="auto"/>
        <w:bottom w:val="none" w:sz="0" w:space="0" w:color="auto"/>
        <w:right w:val="none" w:sz="0" w:space="0" w:color="auto"/>
      </w:divBdr>
    </w:div>
    <w:div w:id="1686519800">
      <w:bodyDiv w:val="1"/>
      <w:marLeft w:val="0"/>
      <w:marRight w:val="0"/>
      <w:marTop w:val="0"/>
      <w:marBottom w:val="0"/>
      <w:divBdr>
        <w:top w:val="none" w:sz="0" w:space="0" w:color="auto"/>
        <w:left w:val="none" w:sz="0" w:space="0" w:color="auto"/>
        <w:bottom w:val="none" w:sz="0" w:space="0" w:color="auto"/>
        <w:right w:val="none" w:sz="0" w:space="0" w:color="auto"/>
      </w:divBdr>
    </w:div>
    <w:div w:id="1701927369">
      <w:bodyDiv w:val="1"/>
      <w:marLeft w:val="0"/>
      <w:marRight w:val="0"/>
      <w:marTop w:val="0"/>
      <w:marBottom w:val="0"/>
      <w:divBdr>
        <w:top w:val="none" w:sz="0" w:space="0" w:color="auto"/>
        <w:left w:val="none" w:sz="0" w:space="0" w:color="auto"/>
        <w:bottom w:val="none" w:sz="0" w:space="0" w:color="auto"/>
        <w:right w:val="none" w:sz="0" w:space="0" w:color="auto"/>
      </w:divBdr>
    </w:div>
    <w:div w:id="1708405921">
      <w:bodyDiv w:val="1"/>
      <w:marLeft w:val="0"/>
      <w:marRight w:val="0"/>
      <w:marTop w:val="0"/>
      <w:marBottom w:val="0"/>
      <w:divBdr>
        <w:top w:val="none" w:sz="0" w:space="0" w:color="auto"/>
        <w:left w:val="none" w:sz="0" w:space="0" w:color="auto"/>
        <w:bottom w:val="none" w:sz="0" w:space="0" w:color="auto"/>
        <w:right w:val="none" w:sz="0" w:space="0" w:color="auto"/>
      </w:divBdr>
    </w:div>
    <w:div w:id="1716470346">
      <w:bodyDiv w:val="1"/>
      <w:marLeft w:val="0"/>
      <w:marRight w:val="0"/>
      <w:marTop w:val="0"/>
      <w:marBottom w:val="0"/>
      <w:divBdr>
        <w:top w:val="none" w:sz="0" w:space="0" w:color="auto"/>
        <w:left w:val="none" w:sz="0" w:space="0" w:color="auto"/>
        <w:bottom w:val="none" w:sz="0" w:space="0" w:color="auto"/>
        <w:right w:val="none" w:sz="0" w:space="0" w:color="auto"/>
      </w:divBdr>
    </w:div>
    <w:div w:id="1742408332">
      <w:bodyDiv w:val="1"/>
      <w:marLeft w:val="0"/>
      <w:marRight w:val="0"/>
      <w:marTop w:val="0"/>
      <w:marBottom w:val="0"/>
      <w:divBdr>
        <w:top w:val="none" w:sz="0" w:space="0" w:color="auto"/>
        <w:left w:val="none" w:sz="0" w:space="0" w:color="auto"/>
        <w:bottom w:val="none" w:sz="0" w:space="0" w:color="auto"/>
        <w:right w:val="none" w:sz="0" w:space="0" w:color="auto"/>
      </w:divBdr>
    </w:div>
    <w:div w:id="1780029713">
      <w:bodyDiv w:val="1"/>
      <w:marLeft w:val="0"/>
      <w:marRight w:val="0"/>
      <w:marTop w:val="0"/>
      <w:marBottom w:val="0"/>
      <w:divBdr>
        <w:top w:val="none" w:sz="0" w:space="0" w:color="auto"/>
        <w:left w:val="none" w:sz="0" w:space="0" w:color="auto"/>
        <w:bottom w:val="none" w:sz="0" w:space="0" w:color="auto"/>
        <w:right w:val="none" w:sz="0" w:space="0" w:color="auto"/>
      </w:divBdr>
    </w:div>
    <w:div w:id="1805272882">
      <w:bodyDiv w:val="1"/>
      <w:marLeft w:val="0"/>
      <w:marRight w:val="0"/>
      <w:marTop w:val="0"/>
      <w:marBottom w:val="0"/>
      <w:divBdr>
        <w:top w:val="none" w:sz="0" w:space="0" w:color="auto"/>
        <w:left w:val="none" w:sz="0" w:space="0" w:color="auto"/>
        <w:bottom w:val="none" w:sz="0" w:space="0" w:color="auto"/>
        <w:right w:val="none" w:sz="0" w:space="0" w:color="auto"/>
      </w:divBdr>
    </w:div>
    <w:div w:id="1809516909">
      <w:bodyDiv w:val="1"/>
      <w:marLeft w:val="0"/>
      <w:marRight w:val="0"/>
      <w:marTop w:val="0"/>
      <w:marBottom w:val="0"/>
      <w:divBdr>
        <w:top w:val="none" w:sz="0" w:space="0" w:color="auto"/>
        <w:left w:val="none" w:sz="0" w:space="0" w:color="auto"/>
        <w:bottom w:val="none" w:sz="0" w:space="0" w:color="auto"/>
        <w:right w:val="none" w:sz="0" w:space="0" w:color="auto"/>
      </w:divBdr>
    </w:div>
    <w:div w:id="1822311186">
      <w:bodyDiv w:val="1"/>
      <w:marLeft w:val="0"/>
      <w:marRight w:val="0"/>
      <w:marTop w:val="0"/>
      <w:marBottom w:val="0"/>
      <w:divBdr>
        <w:top w:val="none" w:sz="0" w:space="0" w:color="auto"/>
        <w:left w:val="none" w:sz="0" w:space="0" w:color="auto"/>
        <w:bottom w:val="none" w:sz="0" w:space="0" w:color="auto"/>
        <w:right w:val="none" w:sz="0" w:space="0" w:color="auto"/>
      </w:divBdr>
    </w:div>
    <w:div w:id="1833989558">
      <w:bodyDiv w:val="1"/>
      <w:marLeft w:val="0"/>
      <w:marRight w:val="0"/>
      <w:marTop w:val="0"/>
      <w:marBottom w:val="0"/>
      <w:divBdr>
        <w:top w:val="none" w:sz="0" w:space="0" w:color="auto"/>
        <w:left w:val="none" w:sz="0" w:space="0" w:color="auto"/>
        <w:bottom w:val="none" w:sz="0" w:space="0" w:color="auto"/>
        <w:right w:val="none" w:sz="0" w:space="0" w:color="auto"/>
      </w:divBdr>
    </w:div>
    <w:div w:id="1848667776">
      <w:bodyDiv w:val="1"/>
      <w:marLeft w:val="0"/>
      <w:marRight w:val="0"/>
      <w:marTop w:val="0"/>
      <w:marBottom w:val="0"/>
      <w:divBdr>
        <w:top w:val="none" w:sz="0" w:space="0" w:color="auto"/>
        <w:left w:val="none" w:sz="0" w:space="0" w:color="auto"/>
        <w:bottom w:val="none" w:sz="0" w:space="0" w:color="auto"/>
        <w:right w:val="none" w:sz="0" w:space="0" w:color="auto"/>
      </w:divBdr>
    </w:div>
    <w:div w:id="1854152301">
      <w:bodyDiv w:val="1"/>
      <w:marLeft w:val="0"/>
      <w:marRight w:val="0"/>
      <w:marTop w:val="0"/>
      <w:marBottom w:val="0"/>
      <w:divBdr>
        <w:top w:val="none" w:sz="0" w:space="0" w:color="auto"/>
        <w:left w:val="none" w:sz="0" w:space="0" w:color="auto"/>
        <w:bottom w:val="none" w:sz="0" w:space="0" w:color="auto"/>
        <w:right w:val="none" w:sz="0" w:space="0" w:color="auto"/>
      </w:divBdr>
    </w:div>
    <w:div w:id="1885292083">
      <w:bodyDiv w:val="1"/>
      <w:marLeft w:val="0"/>
      <w:marRight w:val="0"/>
      <w:marTop w:val="0"/>
      <w:marBottom w:val="0"/>
      <w:divBdr>
        <w:top w:val="none" w:sz="0" w:space="0" w:color="auto"/>
        <w:left w:val="none" w:sz="0" w:space="0" w:color="auto"/>
        <w:bottom w:val="none" w:sz="0" w:space="0" w:color="auto"/>
        <w:right w:val="none" w:sz="0" w:space="0" w:color="auto"/>
      </w:divBdr>
    </w:div>
    <w:div w:id="1892572298">
      <w:bodyDiv w:val="1"/>
      <w:marLeft w:val="0"/>
      <w:marRight w:val="0"/>
      <w:marTop w:val="0"/>
      <w:marBottom w:val="0"/>
      <w:divBdr>
        <w:top w:val="none" w:sz="0" w:space="0" w:color="auto"/>
        <w:left w:val="none" w:sz="0" w:space="0" w:color="auto"/>
        <w:bottom w:val="none" w:sz="0" w:space="0" w:color="auto"/>
        <w:right w:val="none" w:sz="0" w:space="0" w:color="auto"/>
      </w:divBdr>
    </w:div>
    <w:div w:id="1905991316">
      <w:bodyDiv w:val="1"/>
      <w:marLeft w:val="0"/>
      <w:marRight w:val="0"/>
      <w:marTop w:val="0"/>
      <w:marBottom w:val="0"/>
      <w:divBdr>
        <w:top w:val="none" w:sz="0" w:space="0" w:color="auto"/>
        <w:left w:val="none" w:sz="0" w:space="0" w:color="auto"/>
        <w:bottom w:val="none" w:sz="0" w:space="0" w:color="auto"/>
        <w:right w:val="none" w:sz="0" w:space="0" w:color="auto"/>
      </w:divBdr>
    </w:div>
    <w:div w:id="1906989723">
      <w:bodyDiv w:val="1"/>
      <w:marLeft w:val="0"/>
      <w:marRight w:val="0"/>
      <w:marTop w:val="0"/>
      <w:marBottom w:val="0"/>
      <w:divBdr>
        <w:top w:val="none" w:sz="0" w:space="0" w:color="auto"/>
        <w:left w:val="none" w:sz="0" w:space="0" w:color="auto"/>
        <w:bottom w:val="none" w:sz="0" w:space="0" w:color="auto"/>
        <w:right w:val="none" w:sz="0" w:space="0" w:color="auto"/>
      </w:divBdr>
    </w:div>
    <w:div w:id="1927882540">
      <w:bodyDiv w:val="1"/>
      <w:marLeft w:val="0"/>
      <w:marRight w:val="0"/>
      <w:marTop w:val="0"/>
      <w:marBottom w:val="0"/>
      <w:divBdr>
        <w:top w:val="none" w:sz="0" w:space="0" w:color="auto"/>
        <w:left w:val="none" w:sz="0" w:space="0" w:color="auto"/>
        <w:bottom w:val="none" w:sz="0" w:space="0" w:color="auto"/>
        <w:right w:val="none" w:sz="0" w:space="0" w:color="auto"/>
      </w:divBdr>
    </w:div>
    <w:div w:id="1933004001">
      <w:bodyDiv w:val="1"/>
      <w:marLeft w:val="0"/>
      <w:marRight w:val="0"/>
      <w:marTop w:val="0"/>
      <w:marBottom w:val="0"/>
      <w:divBdr>
        <w:top w:val="none" w:sz="0" w:space="0" w:color="auto"/>
        <w:left w:val="none" w:sz="0" w:space="0" w:color="auto"/>
        <w:bottom w:val="none" w:sz="0" w:space="0" w:color="auto"/>
        <w:right w:val="none" w:sz="0" w:space="0" w:color="auto"/>
      </w:divBdr>
    </w:div>
    <w:div w:id="1945265522">
      <w:bodyDiv w:val="1"/>
      <w:marLeft w:val="0"/>
      <w:marRight w:val="0"/>
      <w:marTop w:val="0"/>
      <w:marBottom w:val="0"/>
      <w:divBdr>
        <w:top w:val="none" w:sz="0" w:space="0" w:color="auto"/>
        <w:left w:val="none" w:sz="0" w:space="0" w:color="auto"/>
        <w:bottom w:val="none" w:sz="0" w:space="0" w:color="auto"/>
        <w:right w:val="none" w:sz="0" w:space="0" w:color="auto"/>
      </w:divBdr>
    </w:div>
    <w:div w:id="1961254017">
      <w:bodyDiv w:val="1"/>
      <w:marLeft w:val="0"/>
      <w:marRight w:val="0"/>
      <w:marTop w:val="0"/>
      <w:marBottom w:val="0"/>
      <w:divBdr>
        <w:top w:val="none" w:sz="0" w:space="0" w:color="auto"/>
        <w:left w:val="none" w:sz="0" w:space="0" w:color="auto"/>
        <w:bottom w:val="none" w:sz="0" w:space="0" w:color="auto"/>
        <w:right w:val="none" w:sz="0" w:space="0" w:color="auto"/>
      </w:divBdr>
    </w:div>
    <w:div w:id="1999112813">
      <w:bodyDiv w:val="1"/>
      <w:marLeft w:val="0"/>
      <w:marRight w:val="0"/>
      <w:marTop w:val="0"/>
      <w:marBottom w:val="0"/>
      <w:divBdr>
        <w:top w:val="none" w:sz="0" w:space="0" w:color="auto"/>
        <w:left w:val="none" w:sz="0" w:space="0" w:color="auto"/>
        <w:bottom w:val="none" w:sz="0" w:space="0" w:color="auto"/>
        <w:right w:val="none" w:sz="0" w:space="0" w:color="auto"/>
      </w:divBdr>
    </w:div>
    <w:div w:id="2005861255">
      <w:bodyDiv w:val="1"/>
      <w:marLeft w:val="0"/>
      <w:marRight w:val="0"/>
      <w:marTop w:val="0"/>
      <w:marBottom w:val="0"/>
      <w:divBdr>
        <w:top w:val="none" w:sz="0" w:space="0" w:color="auto"/>
        <w:left w:val="none" w:sz="0" w:space="0" w:color="auto"/>
        <w:bottom w:val="none" w:sz="0" w:space="0" w:color="auto"/>
        <w:right w:val="none" w:sz="0" w:space="0" w:color="auto"/>
      </w:divBdr>
    </w:div>
    <w:div w:id="2005932202">
      <w:bodyDiv w:val="1"/>
      <w:marLeft w:val="0"/>
      <w:marRight w:val="0"/>
      <w:marTop w:val="0"/>
      <w:marBottom w:val="0"/>
      <w:divBdr>
        <w:top w:val="none" w:sz="0" w:space="0" w:color="auto"/>
        <w:left w:val="none" w:sz="0" w:space="0" w:color="auto"/>
        <w:bottom w:val="none" w:sz="0" w:space="0" w:color="auto"/>
        <w:right w:val="none" w:sz="0" w:space="0" w:color="auto"/>
      </w:divBdr>
    </w:div>
    <w:div w:id="2033527706">
      <w:bodyDiv w:val="1"/>
      <w:marLeft w:val="0"/>
      <w:marRight w:val="0"/>
      <w:marTop w:val="0"/>
      <w:marBottom w:val="0"/>
      <w:divBdr>
        <w:top w:val="none" w:sz="0" w:space="0" w:color="auto"/>
        <w:left w:val="none" w:sz="0" w:space="0" w:color="auto"/>
        <w:bottom w:val="none" w:sz="0" w:space="0" w:color="auto"/>
        <w:right w:val="none" w:sz="0" w:space="0" w:color="auto"/>
      </w:divBdr>
    </w:div>
    <w:div w:id="2041197215">
      <w:bodyDiv w:val="1"/>
      <w:marLeft w:val="0"/>
      <w:marRight w:val="0"/>
      <w:marTop w:val="0"/>
      <w:marBottom w:val="0"/>
      <w:divBdr>
        <w:top w:val="none" w:sz="0" w:space="0" w:color="auto"/>
        <w:left w:val="none" w:sz="0" w:space="0" w:color="auto"/>
        <w:bottom w:val="none" w:sz="0" w:space="0" w:color="auto"/>
        <w:right w:val="none" w:sz="0" w:space="0" w:color="auto"/>
      </w:divBdr>
    </w:div>
    <w:div w:id="2042198995">
      <w:bodyDiv w:val="1"/>
      <w:marLeft w:val="0"/>
      <w:marRight w:val="0"/>
      <w:marTop w:val="0"/>
      <w:marBottom w:val="0"/>
      <w:divBdr>
        <w:top w:val="none" w:sz="0" w:space="0" w:color="auto"/>
        <w:left w:val="none" w:sz="0" w:space="0" w:color="auto"/>
        <w:bottom w:val="none" w:sz="0" w:space="0" w:color="auto"/>
        <w:right w:val="none" w:sz="0" w:space="0" w:color="auto"/>
      </w:divBdr>
    </w:div>
    <w:div w:id="2053536070">
      <w:bodyDiv w:val="1"/>
      <w:marLeft w:val="0"/>
      <w:marRight w:val="0"/>
      <w:marTop w:val="0"/>
      <w:marBottom w:val="0"/>
      <w:divBdr>
        <w:top w:val="none" w:sz="0" w:space="0" w:color="auto"/>
        <w:left w:val="none" w:sz="0" w:space="0" w:color="auto"/>
        <w:bottom w:val="none" w:sz="0" w:space="0" w:color="auto"/>
        <w:right w:val="none" w:sz="0" w:space="0" w:color="auto"/>
      </w:divBdr>
    </w:div>
    <w:div w:id="2069961839">
      <w:bodyDiv w:val="1"/>
      <w:marLeft w:val="0"/>
      <w:marRight w:val="0"/>
      <w:marTop w:val="0"/>
      <w:marBottom w:val="0"/>
      <w:divBdr>
        <w:top w:val="none" w:sz="0" w:space="0" w:color="auto"/>
        <w:left w:val="none" w:sz="0" w:space="0" w:color="auto"/>
        <w:bottom w:val="none" w:sz="0" w:space="0" w:color="auto"/>
        <w:right w:val="none" w:sz="0" w:space="0" w:color="auto"/>
      </w:divBdr>
    </w:div>
    <w:div w:id="2070104207">
      <w:bodyDiv w:val="1"/>
      <w:marLeft w:val="0"/>
      <w:marRight w:val="0"/>
      <w:marTop w:val="0"/>
      <w:marBottom w:val="0"/>
      <w:divBdr>
        <w:top w:val="none" w:sz="0" w:space="0" w:color="auto"/>
        <w:left w:val="none" w:sz="0" w:space="0" w:color="auto"/>
        <w:bottom w:val="none" w:sz="0" w:space="0" w:color="auto"/>
        <w:right w:val="none" w:sz="0" w:space="0" w:color="auto"/>
      </w:divBdr>
    </w:div>
    <w:div w:id="2071683600">
      <w:bodyDiv w:val="1"/>
      <w:marLeft w:val="0"/>
      <w:marRight w:val="0"/>
      <w:marTop w:val="0"/>
      <w:marBottom w:val="0"/>
      <w:divBdr>
        <w:top w:val="none" w:sz="0" w:space="0" w:color="auto"/>
        <w:left w:val="none" w:sz="0" w:space="0" w:color="auto"/>
        <w:bottom w:val="none" w:sz="0" w:space="0" w:color="auto"/>
        <w:right w:val="none" w:sz="0" w:space="0" w:color="auto"/>
      </w:divBdr>
    </w:div>
    <w:div w:id="2073038025">
      <w:bodyDiv w:val="1"/>
      <w:marLeft w:val="0"/>
      <w:marRight w:val="0"/>
      <w:marTop w:val="0"/>
      <w:marBottom w:val="0"/>
      <w:divBdr>
        <w:top w:val="none" w:sz="0" w:space="0" w:color="auto"/>
        <w:left w:val="none" w:sz="0" w:space="0" w:color="auto"/>
        <w:bottom w:val="none" w:sz="0" w:space="0" w:color="auto"/>
        <w:right w:val="none" w:sz="0" w:space="0" w:color="auto"/>
      </w:divBdr>
    </w:div>
    <w:div w:id="2079355760">
      <w:bodyDiv w:val="1"/>
      <w:marLeft w:val="0"/>
      <w:marRight w:val="0"/>
      <w:marTop w:val="0"/>
      <w:marBottom w:val="0"/>
      <w:divBdr>
        <w:top w:val="none" w:sz="0" w:space="0" w:color="auto"/>
        <w:left w:val="none" w:sz="0" w:space="0" w:color="auto"/>
        <w:bottom w:val="none" w:sz="0" w:space="0" w:color="auto"/>
        <w:right w:val="none" w:sz="0" w:space="0" w:color="auto"/>
      </w:divBdr>
    </w:div>
    <w:div w:id="2114202269">
      <w:bodyDiv w:val="1"/>
      <w:marLeft w:val="0"/>
      <w:marRight w:val="0"/>
      <w:marTop w:val="0"/>
      <w:marBottom w:val="0"/>
      <w:divBdr>
        <w:top w:val="none" w:sz="0" w:space="0" w:color="auto"/>
        <w:left w:val="none" w:sz="0" w:space="0" w:color="auto"/>
        <w:bottom w:val="none" w:sz="0" w:space="0" w:color="auto"/>
        <w:right w:val="none" w:sz="0" w:space="0" w:color="auto"/>
      </w:divBdr>
    </w:div>
    <w:div w:id="21221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chart" Target="charts/chart45.xml"/><Relationship Id="rId63" Type="http://schemas.openxmlformats.org/officeDocument/2006/relationships/chart" Target="charts/chart53.xml"/><Relationship Id="rId68" Type="http://schemas.openxmlformats.org/officeDocument/2006/relationships/chart" Target="charts/chart58.xml"/><Relationship Id="rId76" Type="http://schemas.openxmlformats.org/officeDocument/2006/relationships/chart" Target="charts/chart66.xml"/><Relationship Id="rId84" Type="http://schemas.openxmlformats.org/officeDocument/2006/relationships/chart" Target="charts/chart74.xm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hart" Target="charts/chart61.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5.xml"/><Relationship Id="rId53" Type="http://schemas.openxmlformats.org/officeDocument/2006/relationships/chart" Target="charts/chart43.xml"/><Relationship Id="rId58" Type="http://schemas.openxmlformats.org/officeDocument/2006/relationships/chart" Target="charts/chart48.xml"/><Relationship Id="rId66" Type="http://schemas.openxmlformats.org/officeDocument/2006/relationships/chart" Target="charts/chart56.xml"/><Relationship Id="rId74" Type="http://schemas.openxmlformats.org/officeDocument/2006/relationships/chart" Target="charts/chart64.xml"/><Relationship Id="rId79" Type="http://schemas.openxmlformats.org/officeDocument/2006/relationships/chart" Target="charts/chart69.xml"/><Relationship Id="rId87" Type="http://schemas.openxmlformats.org/officeDocument/2006/relationships/chart" Target="charts/chart77.xml"/><Relationship Id="rId5" Type="http://schemas.openxmlformats.org/officeDocument/2006/relationships/settings" Target="settings.xml"/><Relationship Id="rId61" Type="http://schemas.openxmlformats.org/officeDocument/2006/relationships/chart" Target="charts/chart51.xml"/><Relationship Id="rId82" Type="http://schemas.openxmlformats.org/officeDocument/2006/relationships/chart" Target="charts/chart72.xml"/><Relationship Id="rId90" Type="http://schemas.openxmlformats.org/officeDocument/2006/relationships/fontTable" Target="fontTable.xml"/><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hyperlink" Target="http://sk.wikipedia.org/wiki/Obilnin%C3%A1rstvo" TargetMode="External"/><Relationship Id="rId48" Type="http://schemas.openxmlformats.org/officeDocument/2006/relationships/chart" Target="charts/chart38.xml"/><Relationship Id="rId56" Type="http://schemas.openxmlformats.org/officeDocument/2006/relationships/chart" Target="charts/chart46.xml"/><Relationship Id="rId64" Type="http://schemas.openxmlformats.org/officeDocument/2006/relationships/chart" Target="charts/chart54.xml"/><Relationship Id="rId69" Type="http://schemas.openxmlformats.org/officeDocument/2006/relationships/chart" Target="charts/chart59.xml"/><Relationship Id="rId77" Type="http://schemas.openxmlformats.org/officeDocument/2006/relationships/chart" Target="charts/chart67.xml"/><Relationship Id="rId8" Type="http://schemas.openxmlformats.org/officeDocument/2006/relationships/endnotes" Target="endnotes.xml"/><Relationship Id="rId51" Type="http://schemas.openxmlformats.org/officeDocument/2006/relationships/chart" Target="charts/chart41.xml"/><Relationship Id="rId72" Type="http://schemas.openxmlformats.org/officeDocument/2006/relationships/chart" Target="charts/chart62.xml"/><Relationship Id="rId80" Type="http://schemas.openxmlformats.org/officeDocument/2006/relationships/chart" Target="charts/chart70.xml"/><Relationship Id="rId85" Type="http://schemas.openxmlformats.org/officeDocument/2006/relationships/chart" Target="charts/chart75.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6.xml"/><Relationship Id="rId59" Type="http://schemas.openxmlformats.org/officeDocument/2006/relationships/chart" Target="charts/chart49.xml"/><Relationship Id="rId67" Type="http://schemas.openxmlformats.org/officeDocument/2006/relationships/chart" Target="charts/chart57.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chart" Target="charts/chart44.xml"/><Relationship Id="rId62" Type="http://schemas.openxmlformats.org/officeDocument/2006/relationships/chart" Target="charts/chart52.xml"/><Relationship Id="rId70" Type="http://schemas.openxmlformats.org/officeDocument/2006/relationships/chart" Target="charts/chart60.xml"/><Relationship Id="rId75" Type="http://schemas.openxmlformats.org/officeDocument/2006/relationships/chart" Target="charts/chart65.xml"/><Relationship Id="rId83" Type="http://schemas.openxmlformats.org/officeDocument/2006/relationships/chart" Target="charts/chart73.xml"/><Relationship Id="rId88" Type="http://schemas.openxmlformats.org/officeDocument/2006/relationships/chart" Target="charts/chart78.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39.xml"/><Relationship Id="rId57" Type="http://schemas.openxmlformats.org/officeDocument/2006/relationships/chart" Target="charts/chart47.xm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hyperlink" Target="http://sk.wikipedia.org/wiki/Strukoviny" TargetMode="External"/><Relationship Id="rId52" Type="http://schemas.openxmlformats.org/officeDocument/2006/relationships/chart" Target="charts/chart42.xml"/><Relationship Id="rId60" Type="http://schemas.openxmlformats.org/officeDocument/2006/relationships/chart" Target="charts/chart50.xml"/><Relationship Id="rId65" Type="http://schemas.openxmlformats.org/officeDocument/2006/relationships/chart" Target="charts/chart55.xml"/><Relationship Id="rId73" Type="http://schemas.openxmlformats.org/officeDocument/2006/relationships/chart" Target="charts/chart63.xml"/><Relationship Id="rId78" Type="http://schemas.openxmlformats.org/officeDocument/2006/relationships/chart" Target="charts/chart68.xml"/><Relationship Id="rId81" Type="http://schemas.openxmlformats.org/officeDocument/2006/relationships/chart" Target="charts/chart71.xml"/><Relationship Id="rId86" Type="http://schemas.openxmlformats.org/officeDocument/2006/relationships/chart" Target="charts/chart76.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tej.bobovnik\Documents\MINISTER\koncepcia%20podohospodarstvo\Tabulky\121023_zamestnanos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atej.bobovnik\AppData\Local\Microsoft\Windows\Temporary%20Internet%20Files\Content.Outlook\OSPSKBZY\Koncepcia%20-%20indexy%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atej.bobovnik\AppData\Local\Microsoft\Windows\Temporary%20Internet%20Files\Content.Outlook\OSPSKBZY\Koncepcia%20-%20indexy%20(1).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matej.bobovnik\Documents\MINISTER\koncepcia%20podohospodarstvo\koncepcia%20po%20pripomienkach_febru&#225;r%202013\130220_vypocty_grafy_koncepci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atej.bobovnik\AppData\Local\Microsoft\Windows\Temporary%20Internet%20Files\Content.Outlook\OSPSKBZY\K&#243;pia%20-%20120906_vypocet%20sebestacnosti%20v%20zakladnych%20artikloch%20(2).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matej.bobovnik\Documents\MINISTER\koncepcia%20podohospodarstvo\koncepcia%20po%20pripomienkach_febru&#225;r%202013\130220_vypocty_grafy_koncepci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0924_cen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0924_ceny.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matej.bobovnik\AppData\Local\Microsoft\Windows\Temporary%20Internet%20Files\Content.Outlook\OSPSKBZY\K&#243;pia%20-%20120906_vypocet%20sebestacnosti%20v%20zakladnych%20artikloch%20(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atej.bobovnik\Documents\MINISTER\koncepcia%20podohospodarstvo\Tabulky\121023_zamestnanost.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0924_cen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0924_ceny.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matej.bobovnik\Documents\MINISTER\koncepcia%20podohospodarstvo\Tabulky\120924_ceny.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0924_ceny.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matej.bobovnik\Documents\MINISTER\koncepcia%20podohospodarstvo\Tabulky\121023_zamestnanost.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0924_ceny.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0924_ceny.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0924_ceny.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G:\koncepcia%20podohospodarstvo\Tabulky\120906_vypocet%20sebestacnosti%20v%20zakladnych%20artikloch_II%20cast.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0924_ceny.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0924_cen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4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4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0924_ceny.xlsx" TargetMode="External"/></Relationships>
</file>

<file path=word/charts/_rels/chart45.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46.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0924_ceny.xlsx" TargetMode="External"/></Relationships>
</file>

<file path=word/charts/_rels/chart48.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0924_cen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tej.bobovnik\AppData\Local\Microsoft\Windows\Temporary%20Internet%20Files\Content.Outlook\OSPSKBZY\V&#253;voj%20podielu%20potrav&#237;n%20v%20obchodnej%20sieti%20v%20rokoch%202010%20a%2020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0924_ceny.xlsx" TargetMode="External"/></Relationships>
</file>

<file path=word/charts/_rels/chart51.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0924_ceny.xlsx" TargetMode="External"/></Relationships>
</file>

<file path=word/charts/_rels/chart53.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54.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0924_ceny.xlsx" TargetMode="External"/></Relationships>
</file>

<file path=word/charts/_rels/chart56.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Zo&#353;it1"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1009_lesne%20hospodarstv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tej.bobovnik\AppData\Local\Microsoft\Windows\Temporary%20Internet%20Files\Content.Outlook\OSPSKBZY\koncepcia%20grafy.xlsx" TargetMode="External"/></Relationships>
</file>

<file path=word/charts/_rels/chart60.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Zo&#353;it1" TargetMode="External"/></Relationships>
</file>

<file path=word/charts/_rels/chart61.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Zo&#353;it1" TargetMode="External"/></Relationships>
</file>

<file path=word/charts/_rels/chart62.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C:\Users\matej.bobovnik\Documents\MINISTER\koncepcia%20podohospodarstvo\Tabulky\121009_lesne%20hospodarstvo.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G:\koncepcia%20podohospodarstvo\Tabulky\120906_vypocet%20sebestacnosti%20v%20zakladnych%20artikloch_II%20cast.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G:\koncepcia%20podohospodarstvo\Tabulky\120906_vypocet%20sebestacnosti%20v%20zakladnych%20artikloch_II%20cast.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G:\koncepcia%20podohospodarstvo\Tabulky\120906_vypocet%20sebestacnosti%20v%20zakladnych%20artikloch_II%20cast.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HP\Desktop\120906_vypocet%20sebestacnosti%20v%20zakladnych%20artikloch_II%20cast.xlsx" TargetMode="External"/></Relationships>
</file>

<file path=word/charts/_rels/chart67.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oleObject" Target="file:///C:\Users\HP\Desktop\120906_vypocet%20sebestacnosti%20v%20zakladnych%20artikloch_II%20cast.xlsx" TargetMode="External"/></Relationships>
</file>

<file path=word/charts/_rels/chart68.xml.rels><?xml version="1.0" encoding="UTF-8" standalone="yes"?>
<Relationships xmlns="http://schemas.openxmlformats.org/package/2006/relationships"><Relationship Id="rId2" Type="http://schemas.openxmlformats.org/officeDocument/2006/relationships/chartUserShapes" Target="../drawings/drawing34.xml"/><Relationship Id="rId1" Type="http://schemas.openxmlformats.org/officeDocument/2006/relationships/oleObject" Target="file:///C:\Users\matej.bobovnik\Documents\MINISTER\koncepcia%20podohospodarstvo\koncepcia%20po%20pripomienkach_febru&#225;r%202013\130220_vypocty_grafy_koncepcia.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HP\AppData\Local\Temp\Zo&#353;it1%20duri.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121029_vypocet%20sebestacnosti%20v%20zakladnych%20artikloch.xlsx" TargetMode="External"/></Relationships>
</file>

<file path=word/charts/_rels/chart71.xml.rels><?xml version="1.0" encoding="UTF-8" standalone="yes"?>
<Relationships xmlns="http://schemas.openxmlformats.org/package/2006/relationships"><Relationship Id="rId2" Type="http://schemas.openxmlformats.org/officeDocument/2006/relationships/chartUserShapes" Target="../drawings/drawing35.xml"/><Relationship Id="rId1" Type="http://schemas.openxmlformats.org/officeDocument/2006/relationships/oleObject" Target="file:///C:\Users\matej.bobovnik\Documents\MINISTER\koncepcia%20podohospodarstvo\121029_vypocet%20sebestacnosti%20v%20zakladnych%20artikloch.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121029_vypocet%20sebestacnosti%20v%20zakladnych%20artikloch.xlsx" TargetMode="External"/></Relationships>
</file>

<file path=word/charts/_rels/chart73.xml.rels><?xml version="1.0" encoding="UTF-8" standalone="yes"?>
<Relationships xmlns="http://schemas.openxmlformats.org/package/2006/relationships"><Relationship Id="rId2" Type="http://schemas.openxmlformats.org/officeDocument/2006/relationships/chartUserShapes" Target="../drawings/drawing36.xml"/><Relationship Id="rId1" Type="http://schemas.openxmlformats.org/officeDocument/2006/relationships/oleObject" Target="file:///C:\Users\matej.bobovnik\Documents\MINISTER\koncepcia%20podohospodarstvo\koncepcia%20po%20pripomienkach_febru&#225;r%202013\130220_vypocty_grafy_koncepcia.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koncepcia%20po%20pripomienkach_febru&#225;r%202013\130220_vypocty_grafy_koncepcia.xlsx" TargetMode="External"/></Relationships>
</file>

<file path=word/charts/_rels/chart75.xml.rels><?xml version="1.0" encoding="UTF-8" standalone="yes"?>
<Relationships xmlns="http://schemas.openxmlformats.org/package/2006/relationships"><Relationship Id="rId2" Type="http://schemas.openxmlformats.org/officeDocument/2006/relationships/chartUserShapes" Target="../drawings/drawing37.xml"/><Relationship Id="rId1" Type="http://schemas.openxmlformats.org/officeDocument/2006/relationships/oleObject" Target="file:///C:\Users\HP\Desktop\MINISTER\koncepcia%20podohospodarstvo\koncepcia%20po%20pripomienkach_febru&#225;r%202013\130220_vypocty_grafy_koncepcia.xlsx" TargetMode="External"/></Relationships>
</file>

<file path=word/charts/_rels/chart76.xml.rels><?xml version="1.0" encoding="UTF-8" standalone="yes"?>
<Relationships xmlns="http://schemas.openxmlformats.org/package/2006/relationships"><Relationship Id="rId2" Type="http://schemas.openxmlformats.org/officeDocument/2006/relationships/chartUserShapes" Target="../drawings/drawing38.xml"/><Relationship Id="rId1" Type="http://schemas.openxmlformats.org/officeDocument/2006/relationships/oleObject" Target="file:///C:\Users\HP\Desktop\MINISTER\koncepcia%20podohospodarstvo\koncepcia%20po%20pripomienkach_febru&#225;r%202013\130220_vypocty_grafy_koncepcia.xlsx" TargetMode="External"/></Relationships>
</file>

<file path=word/charts/_rels/chart77.xml.rels><?xml version="1.0" encoding="UTF-8" standalone="yes"?>
<Relationships xmlns="http://schemas.openxmlformats.org/package/2006/relationships"><Relationship Id="rId2" Type="http://schemas.openxmlformats.org/officeDocument/2006/relationships/chartUserShapes" Target="../drawings/drawing39.xml"/><Relationship Id="rId1" Type="http://schemas.openxmlformats.org/officeDocument/2006/relationships/oleObject" Target="file:///C:\Users\HP\Desktop\MINISTER\koncepcia%20podohospodarstvo\koncepcia%20po%20pripomienkach_febru&#225;r%202013\130220_vypocty_grafy_koncepcia.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koncepcia%20po%20pripomienkach_febru&#225;r%202013\130224_vypocty_grafy_koncepci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matej.bobovnik\Documents\MINISTER\koncepcia%20podohospodarstvo\Tabulky\120906_vypocet%20sebestacnosti%20v%20zakladnych%20artikloch_II%20ca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dLbls>
            <c:dLbl>
              <c:idx val="0"/>
              <c:layout>
                <c:manualLayout>
                  <c:x val="-1.984640418700688E-2"/>
                  <c:y val="-6.3465021349410802E-2"/>
                </c:manualLayout>
              </c:layout>
              <c:showLegendKey val="0"/>
              <c:showVal val="1"/>
              <c:showCatName val="0"/>
              <c:showSerName val="0"/>
              <c:showPercent val="0"/>
              <c:showBubbleSize val="0"/>
            </c:dLbl>
            <c:dLbl>
              <c:idx val="1"/>
              <c:layout>
                <c:manualLayout>
                  <c:x val="-8.3333333333333454E-3"/>
                  <c:y val="-3.2407407407407454E-2"/>
                </c:manualLayout>
              </c:layout>
              <c:showLegendKey val="0"/>
              <c:showVal val="1"/>
              <c:showCatName val="0"/>
              <c:showSerName val="0"/>
              <c:showPercent val="0"/>
              <c:showBubbleSize val="0"/>
            </c:dLbl>
            <c:dLbl>
              <c:idx val="2"/>
              <c:layout>
                <c:manualLayout>
                  <c:x val="-1.1111111111111125E-2"/>
                  <c:y val="-3.703703703703707E-2"/>
                </c:manualLayout>
              </c:layout>
              <c:showLegendKey val="0"/>
              <c:showVal val="1"/>
              <c:showCatName val="0"/>
              <c:showSerName val="0"/>
              <c:showPercent val="0"/>
              <c:showBubbleSize val="0"/>
            </c:dLbl>
            <c:dLbl>
              <c:idx val="3"/>
              <c:layout>
                <c:manualLayout>
                  <c:x val="-1.3888888888888912E-2"/>
                  <c:y val="-2.7777777777777853E-2"/>
                </c:manualLayout>
              </c:layout>
              <c:showLegendKey val="0"/>
              <c:showVal val="1"/>
              <c:showCatName val="0"/>
              <c:showSerName val="0"/>
              <c:showPercent val="0"/>
              <c:showBubbleSize val="0"/>
            </c:dLbl>
            <c:dLbl>
              <c:idx val="4"/>
              <c:layout>
                <c:manualLayout>
                  <c:x val="-1.6666666666666687E-2"/>
                  <c:y val="-4.1666666666666685E-2"/>
                </c:manualLayout>
              </c:layout>
              <c:showLegendKey val="0"/>
              <c:showVal val="1"/>
              <c:showCatName val="0"/>
              <c:showSerName val="0"/>
              <c:showPercent val="0"/>
              <c:showBubbleSize val="0"/>
            </c:dLbl>
            <c:dLbl>
              <c:idx val="5"/>
              <c:layout>
                <c:manualLayout>
                  <c:x val="-2.4999999999999897E-2"/>
                  <c:y val="-5.092592592592593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(polnohospodarstvo!$N$3,polnohospodarstvo!$S$3:$W$3)</c:f>
              <c:numCache>
                <c:formatCode>General</c:formatCode>
                <c:ptCount val="6"/>
                <c:pt idx="0">
                  <c:v>2002</c:v>
                </c:pt>
                <c:pt idx="1">
                  <c:v>2007</c:v>
                </c:pt>
                <c:pt idx="2">
                  <c:v>2008</c:v>
                </c:pt>
                <c:pt idx="3">
                  <c:v>2009</c:v>
                </c:pt>
                <c:pt idx="4">
                  <c:v>2010</c:v>
                </c:pt>
                <c:pt idx="5">
                  <c:v>2011</c:v>
                </c:pt>
              </c:numCache>
            </c:numRef>
          </c:cat>
          <c:val>
            <c:numRef>
              <c:f>(polnohospodarstvo!$N$4,polnohospodarstvo!$S$4:$W$4)</c:f>
              <c:numCache>
                <c:formatCode>General</c:formatCode>
                <c:ptCount val="6"/>
                <c:pt idx="0">
                  <c:v>108.9</c:v>
                </c:pt>
                <c:pt idx="1">
                  <c:v>75.5</c:v>
                </c:pt>
                <c:pt idx="2">
                  <c:v>70.8</c:v>
                </c:pt>
                <c:pt idx="3">
                  <c:v>65.3</c:v>
                </c:pt>
                <c:pt idx="4">
                  <c:v>56.3</c:v>
                </c:pt>
                <c:pt idx="5">
                  <c:v>51.6</c:v>
                </c:pt>
              </c:numCache>
            </c:numRef>
          </c:val>
          <c:smooth val="0"/>
        </c:ser>
        <c:dLbls>
          <c:showLegendKey val="0"/>
          <c:showVal val="0"/>
          <c:showCatName val="0"/>
          <c:showSerName val="0"/>
          <c:showPercent val="0"/>
          <c:showBubbleSize val="0"/>
        </c:dLbls>
        <c:marker val="1"/>
        <c:smooth val="0"/>
        <c:axId val="223139712"/>
        <c:axId val="223141248"/>
      </c:lineChart>
      <c:catAx>
        <c:axId val="223139712"/>
        <c:scaling>
          <c:orientation val="minMax"/>
        </c:scaling>
        <c:delete val="0"/>
        <c:axPos val="b"/>
        <c:numFmt formatCode="General" sourceLinked="1"/>
        <c:majorTickMark val="out"/>
        <c:minorTickMark val="none"/>
        <c:tickLblPos val="nextTo"/>
        <c:crossAx val="223141248"/>
        <c:crosses val="autoZero"/>
        <c:auto val="1"/>
        <c:lblAlgn val="ctr"/>
        <c:lblOffset val="100"/>
        <c:noMultiLvlLbl val="0"/>
      </c:catAx>
      <c:valAx>
        <c:axId val="223141248"/>
        <c:scaling>
          <c:orientation val="minMax"/>
          <c:min val="40"/>
        </c:scaling>
        <c:delete val="0"/>
        <c:axPos val="l"/>
        <c:numFmt formatCode="General" sourceLinked="1"/>
        <c:majorTickMark val="out"/>
        <c:minorTickMark val="none"/>
        <c:tickLblPos val="nextTo"/>
        <c:crossAx val="223139712"/>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7515067901872662E-2"/>
          <c:y val="2.8092457101755376E-2"/>
          <c:w val="0.91016609109502911"/>
          <c:h val="0.72808080557482602"/>
        </c:manualLayout>
      </c:layout>
      <c:barChart>
        <c:barDir val="col"/>
        <c:grouping val="clustered"/>
        <c:varyColors val="0"/>
        <c:ser>
          <c:idx val="0"/>
          <c:order val="0"/>
          <c:tx>
            <c:strRef>
              <c:f>HD!$B$20:$C$20</c:f>
              <c:strCache>
                <c:ptCount val="1"/>
                <c:pt idx="0">
                  <c:v>Ceny prvovýrobcov</c:v>
                </c:pt>
              </c:strCache>
            </c:strRef>
          </c:tx>
          <c:invertIfNegative val="0"/>
          <c:dLbls>
            <c:dLbl>
              <c:idx val="0"/>
              <c:layout>
                <c:manualLayout>
                  <c:x val="-6.9565230092932702E-3"/>
                  <c:y val="0"/>
                </c:manualLayout>
              </c:layout>
              <c:showLegendKey val="0"/>
              <c:showVal val="1"/>
              <c:showCatName val="0"/>
              <c:showSerName val="0"/>
              <c:showPercent val="0"/>
              <c:showBubbleSize val="0"/>
            </c:dLbl>
            <c:dLbl>
              <c:idx val="1"/>
              <c:layout>
                <c:manualLayout>
                  <c:x val="-6.9565230092932277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HD!$E$19:$I$19</c:f>
              <c:numCache>
                <c:formatCode>General</c:formatCode>
                <c:ptCount val="5"/>
                <c:pt idx="0">
                  <c:v>2007</c:v>
                </c:pt>
                <c:pt idx="1">
                  <c:v>2008</c:v>
                </c:pt>
                <c:pt idx="2">
                  <c:v>2009</c:v>
                </c:pt>
                <c:pt idx="3">
                  <c:v>2010</c:v>
                </c:pt>
                <c:pt idx="4">
                  <c:v>2011</c:v>
                </c:pt>
              </c:numCache>
            </c:numRef>
          </c:cat>
          <c:val>
            <c:numRef>
              <c:f>HD!$E$20:$I$20</c:f>
              <c:numCache>
                <c:formatCode>0.00_)</c:formatCode>
                <c:ptCount val="5"/>
                <c:pt idx="0">
                  <c:v>2.1961965577906168</c:v>
                </c:pt>
                <c:pt idx="1">
                  <c:v>2.1876274999999996</c:v>
                </c:pt>
                <c:pt idx="2">
                  <c:v>2.1563824999999972</c:v>
                </c:pt>
                <c:pt idx="3">
                  <c:v>2.1842600000000001</c:v>
                </c:pt>
                <c:pt idx="4">
                  <c:v>2.2842074999999999</c:v>
                </c:pt>
              </c:numCache>
            </c:numRef>
          </c:val>
        </c:ser>
        <c:ser>
          <c:idx val="1"/>
          <c:order val="1"/>
          <c:tx>
            <c:strRef>
              <c:f>HD!$B$21:$C$21</c:f>
              <c:strCache>
                <c:ptCount val="1"/>
                <c:pt idx="0">
                  <c:v>Ceny spracovateľov</c:v>
                </c:pt>
              </c:strCache>
            </c:strRef>
          </c:tx>
          <c:invertIfNegative val="0"/>
          <c:dLbls>
            <c:dLbl>
              <c:idx val="1"/>
              <c:layout>
                <c:manualLayout>
                  <c:x val="-6.9565230092932702E-3"/>
                  <c:y val="2.2845006791165166E-17"/>
                </c:manualLayout>
              </c:layout>
              <c:showLegendKey val="0"/>
              <c:showVal val="1"/>
              <c:showCatName val="0"/>
              <c:showSerName val="0"/>
              <c:showPercent val="0"/>
              <c:showBubbleSize val="0"/>
            </c:dLbl>
            <c:dLbl>
              <c:idx val="2"/>
              <c:layout>
                <c:manualLayout>
                  <c:x val="-4.6376820061955048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HD!$E$19:$I$19</c:f>
              <c:numCache>
                <c:formatCode>General</c:formatCode>
                <c:ptCount val="5"/>
                <c:pt idx="0">
                  <c:v>2007</c:v>
                </c:pt>
                <c:pt idx="1">
                  <c:v>2008</c:v>
                </c:pt>
                <c:pt idx="2">
                  <c:v>2009</c:v>
                </c:pt>
                <c:pt idx="3">
                  <c:v>2010</c:v>
                </c:pt>
                <c:pt idx="4">
                  <c:v>2011</c:v>
                </c:pt>
              </c:numCache>
            </c:numRef>
          </c:cat>
          <c:val>
            <c:numRef>
              <c:f>HD!$E$21:$I$21</c:f>
              <c:numCache>
                <c:formatCode>General</c:formatCode>
                <c:ptCount val="5"/>
                <c:pt idx="0">
                  <c:v>4.8100000000000005</c:v>
                </c:pt>
                <c:pt idx="1">
                  <c:v>5.1400000000000006</c:v>
                </c:pt>
                <c:pt idx="2" formatCode="0.00">
                  <c:v>4.9250000000000007</c:v>
                </c:pt>
                <c:pt idx="3">
                  <c:v>4.9800000000000004</c:v>
                </c:pt>
                <c:pt idx="4">
                  <c:v>5.67</c:v>
                </c:pt>
              </c:numCache>
            </c:numRef>
          </c:val>
        </c:ser>
        <c:ser>
          <c:idx val="2"/>
          <c:order val="2"/>
          <c:tx>
            <c:strRef>
              <c:f>HD!$B$22:$C$22</c:f>
              <c:strCache>
                <c:ptCount val="1"/>
                <c:pt idx="0">
                  <c:v>Spotrebiteľské ceny</c:v>
                </c:pt>
              </c:strCache>
            </c:strRef>
          </c:tx>
          <c:invertIfNegative val="0"/>
          <c:dLbls>
            <c:showLegendKey val="0"/>
            <c:showVal val="1"/>
            <c:showCatName val="0"/>
            <c:showSerName val="0"/>
            <c:showPercent val="0"/>
            <c:showBubbleSize val="0"/>
            <c:showLeaderLines val="0"/>
          </c:dLbls>
          <c:cat>
            <c:numRef>
              <c:f>HD!$E$19:$I$19</c:f>
              <c:numCache>
                <c:formatCode>General</c:formatCode>
                <c:ptCount val="5"/>
                <c:pt idx="0">
                  <c:v>2007</c:v>
                </c:pt>
                <c:pt idx="1">
                  <c:v>2008</c:v>
                </c:pt>
                <c:pt idx="2">
                  <c:v>2009</c:v>
                </c:pt>
                <c:pt idx="3">
                  <c:v>2010</c:v>
                </c:pt>
                <c:pt idx="4">
                  <c:v>2011</c:v>
                </c:pt>
              </c:numCache>
            </c:numRef>
          </c:cat>
          <c:val>
            <c:numRef>
              <c:f>HD!$E$22:$I$22</c:f>
              <c:numCache>
                <c:formatCode>0.00_)</c:formatCode>
                <c:ptCount val="5"/>
                <c:pt idx="0">
                  <c:v>5.18</c:v>
                </c:pt>
                <c:pt idx="1">
                  <c:v>5.24</c:v>
                </c:pt>
                <c:pt idx="2">
                  <c:v>5.23</c:v>
                </c:pt>
                <c:pt idx="3">
                  <c:v>5.26</c:v>
                </c:pt>
                <c:pt idx="4">
                  <c:v>5.95</c:v>
                </c:pt>
              </c:numCache>
            </c:numRef>
          </c:val>
        </c:ser>
        <c:dLbls>
          <c:showLegendKey val="0"/>
          <c:showVal val="0"/>
          <c:showCatName val="0"/>
          <c:showSerName val="0"/>
          <c:showPercent val="0"/>
          <c:showBubbleSize val="0"/>
        </c:dLbls>
        <c:gapWidth val="150"/>
        <c:axId val="114453888"/>
        <c:axId val="114467968"/>
      </c:barChart>
      <c:catAx>
        <c:axId val="114453888"/>
        <c:scaling>
          <c:orientation val="minMax"/>
        </c:scaling>
        <c:delete val="0"/>
        <c:axPos val="b"/>
        <c:numFmt formatCode="General" sourceLinked="1"/>
        <c:majorTickMark val="out"/>
        <c:minorTickMark val="none"/>
        <c:tickLblPos val="nextTo"/>
        <c:crossAx val="114467968"/>
        <c:crosses val="autoZero"/>
        <c:auto val="1"/>
        <c:lblAlgn val="ctr"/>
        <c:lblOffset val="100"/>
        <c:noMultiLvlLbl val="0"/>
      </c:catAx>
      <c:valAx>
        <c:axId val="114467968"/>
        <c:scaling>
          <c:orientation val="minMax"/>
          <c:max val="6.5"/>
          <c:min val="1.5"/>
        </c:scaling>
        <c:delete val="0"/>
        <c:axPos val="l"/>
        <c:numFmt formatCode="0.00_)" sourceLinked="1"/>
        <c:majorTickMark val="out"/>
        <c:minorTickMark val="none"/>
        <c:tickLblPos val="nextTo"/>
        <c:crossAx val="114453888"/>
        <c:crosses val="autoZero"/>
        <c:crossBetween val="between"/>
        <c:majorUnit val="0.5"/>
      </c:valAx>
    </c:plotArea>
    <c:legend>
      <c:legendPos val="b"/>
      <c:layout>
        <c:manualLayout>
          <c:xMode val="edge"/>
          <c:yMode val="edge"/>
          <c:x val="8.4288346399397265E-2"/>
          <c:y val="0.89581054640897162"/>
          <c:w val="0.90098841054221801"/>
          <c:h val="7.0195193132642983E-2"/>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8396227483049747E-2"/>
          <c:y val="2.7350223454381716E-2"/>
          <c:w val="0.91160377251695035"/>
          <c:h val="0.71286531007972542"/>
        </c:manualLayout>
      </c:layout>
      <c:lineChart>
        <c:grouping val="standard"/>
        <c:varyColors val="0"/>
        <c:ser>
          <c:idx val="0"/>
          <c:order val="0"/>
          <c:tx>
            <c:strRef>
              <c:f>HD!$B$41:$C$41</c:f>
              <c:strCache>
                <c:ptCount val="1"/>
                <c:pt idx="0">
                  <c:v>Index cien prvovýrobcov</c:v>
                </c:pt>
              </c:strCache>
            </c:strRef>
          </c:tx>
          <c:dLbls>
            <c:dLbl>
              <c:idx val="0"/>
              <c:layout>
                <c:manualLayout>
                  <c:x val="-4.4057979058857367E-2"/>
                  <c:y val="4.4817919262812346E-2"/>
                </c:manualLayout>
              </c:layout>
              <c:showLegendKey val="0"/>
              <c:showVal val="1"/>
              <c:showCatName val="0"/>
              <c:showSerName val="0"/>
              <c:showPercent val="0"/>
              <c:showBubbleSize val="0"/>
            </c:dLbl>
            <c:dLbl>
              <c:idx val="1"/>
              <c:layout>
                <c:manualLayout>
                  <c:x val="-4.1739138055759545E-2"/>
                  <c:y val="3.5854335410249877E-2"/>
                </c:manualLayout>
              </c:layout>
              <c:showLegendKey val="0"/>
              <c:showVal val="1"/>
              <c:showCatName val="0"/>
              <c:showSerName val="0"/>
              <c:showPercent val="0"/>
              <c:showBubbleSize val="0"/>
            </c:dLbl>
            <c:dLbl>
              <c:idx val="2"/>
              <c:layout>
                <c:manualLayout>
                  <c:x val="2.1919713933120065E-5"/>
                  <c:y val="-3.3230933993180153E-2"/>
                </c:manualLayout>
              </c:layout>
              <c:showLegendKey val="0"/>
              <c:showVal val="1"/>
              <c:showCatName val="0"/>
              <c:showSerName val="0"/>
              <c:showPercent val="0"/>
              <c:showBubbleSize val="0"/>
            </c:dLbl>
            <c:dLbl>
              <c:idx val="3"/>
              <c:layout>
                <c:manualLayout>
                  <c:x val="-5.1014502068150502E-2"/>
                  <c:y val="4.929971118909352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HD!$E$40:$H$40</c:f>
              <c:strCache>
                <c:ptCount val="4"/>
                <c:pt idx="0">
                  <c:v>2008/2007</c:v>
                </c:pt>
                <c:pt idx="1">
                  <c:v>2009/2008</c:v>
                </c:pt>
                <c:pt idx="2">
                  <c:v>2010/2009</c:v>
                </c:pt>
                <c:pt idx="3">
                  <c:v>2011/2010</c:v>
                </c:pt>
              </c:strCache>
            </c:strRef>
          </c:cat>
          <c:val>
            <c:numRef>
              <c:f>HD!$E$41:$H$41</c:f>
              <c:numCache>
                <c:formatCode>General</c:formatCode>
                <c:ptCount val="4"/>
                <c:pt idx="0">
                  <c:v>99.55</c:v>
                </c:pt>
                <c:pt idx="1">
                  <c:v>98.63</c:v>
                </c:pt>
                <c:pt idx="2">
                  <c:v>100.93</c:v>
                </c:pt>
                <c:pt idx="3">
                  <c:v>104.59</c:v>
                </c:pt>
              </c:numCache>
            </c:numRef>
          </c:val>
          <c:smooth val="1"/>
        </c:ser>
        <c:ser>
          <c:idx val="1"/>
          <c:order val="1"/>
          <c:tx>
            <c:strRef>
              <c:f>HD!$B$42:$C$42</c:f>
              <c:strCache>
                <c:ptCount val="1"/>
                <c:pt idx="0">
                  <c:v>Index cien spracovateľov</c:v>
                </c:pt>
              </c:strCache>
            </c:strRef>
          </c:tx>
          <c:dLbls>
            <c:dLbl>
              <c:idx val="0"/>
              <c:layout>
                <c:manualLayout>
                  <c:x val="-4.8695661065052805E-2"/>
                  <c:y val="-4.4817919262812318E-2"/>
                </c:manualLayout>
              </c:layout>
              <c:tx>
                <c:rich>
                  <a:bodyPr/>
                  <a:lstStyle/>
                  <a:p>
                    <a:r>
                      <a:rPr lang="en-US" sz="900" baseline="0"/>
                      <a:t>106,86</a:t>
                    </a:r>
                    <a:r>
                      <a:rPr lang="sk-SK" sz="900" baseline="0"/>
                      <a:t> </a:t>
                    </a:r>
                    <a:endParaRPr lang="en-US"/>
                  </a:p>
                </c:rich>
              </c:tx>
              <c:showLegendKey val="0"/>
              <c:showVal val="1"/>
              <c:showCatName val="0"/>
              <c:showSerName val="0"/>
              <c:showPercent val="0"/>
              <c:showBubbleSize val="0"/>
            </c:dLbl>
            <c:dLbl>
              <c:idx val="1"/>
              <c:layout>
                <c:manualLayout>
                  <c:x val="-4.4057979058857367E-2"/>
                  <c:y val="5.8263295041656109E-2"/>
                </c:manualLayout>
              </c:layout>
              <c:showLegendKey val="0"/>
              <c:showVal val="1"/>
              <c:showCatName val="0"/>
              <c:showSerName val="0"/>
              <c:showPercent val="0"/>
              <c:showBubbleSize val="0"/>
            </c:dLbl>
            <c:dLbl>
              <c:idx val="2"/>
              <c:layout>
                <c:manualLayout>
                  <c:x val="-6.9573172023722971E-2"/>
                  <c:y val="-8.1203162558007844E-2"/>
                </c:manualLayout>
              </c:layout>
              <c:showLegendKey val="0"/>
              <c:showVal val="1"/>
              <c:showCatName val="0"/>
              <c:showSerName val="0"/>
              <c:showPercent val="0"/>
              <c:showBubbleSize val="0"/>
            </c:dLbl>
            <c:dLbl>
              <c:idx val="3"/>
              <c:layout>
                <c:manualLayout>
                  <c:x val="-4.4057979058857367E-2"/>
                  <c:y val="-4.033612733653116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HD!$E$40:$H$40</c:f>
              <c:strCache>
                <c:ptCount val="4"/>
                <c:pt idx="0">
                  <c:v>2008/2007</c:v>
                </c:pt>
                <c:pt idx="1">
                  <c:v>2009/2008</c:v>
                </c:pt>
                <c:pt idx="2">
                  <c:v>2010/2009</c:v>
                </c:pt>
                <c:pt idx="3">
                  <c:v>2011/2010</c:v>
                </c:pt>
              </c:strCache>
            </c:strRef>
          </c:cat>
          <c:val>
            <c:numRef>
              <c:f>HD!$E$42:$H$42</c:f>
              <c:numCache>
                <c:formatCode>General</c:formatCode>
                <c:ptCount val="4"/>
                <c:pt idx="0">
                  <c:v>106.86</c:v>
                </c:pt>
                <c:pt idx="1">
                  <c:v>95.910000000000025</c:v>
                </c:pt>
                <c:pt idx="2">
                  <c:v>101.01</c:v>
                </c:pt>
                <c:pt idx="3">
                  <c:v>113.86</c:v>
                </c:pt>
              </c:numCache>
            </c:numRef>
          </c:val>
          <c:smooth val="1"/>
        </c:ser>
        <c:ser>
          <c:idx val="2"/>
          <c:order val="2"/>
          <c:tx>
            <c:strRef>
              <c:f>HD!$B$43:$C$43</c:f>
              <c:strCache>
                <c:ptCount val="1"/>
                <c:pt idx="0">
                  <c:v>Index spotrebiteľských cien</c:v>
                </c:pt>
              </c:strCache>
            </c:strRef>
          </c:tx>
          <c:dLbls>
            <c:dLbl>
              <c:idx val="0"/>
              <c:layout>
                <c:manualLayout>
                  <c:x val="-5.1014502068150502E-2"/>
                  <c:y val="-4.4817919262812346E-2"/>
                </c:manualLayout>
              </c:layout>
              <c:showLegendKey val="0"/>
              <c:showVal val="1"/>
              <c:showCatName val="0"/>
              <c:showSerName val="0"/>
              <c:showPercent val="0"/>
              <c:showBubbleSize val="0"/>
            </c:dLbl>
            <c:dLbl>
              <c:idx val="1"/>
              <c:layout>
                <c:manualLayout>
                  <c:x val="-3.9420297052661792E-2"/>
                  <c:y val="-4.9299711189093522E-2"/>
                </c:manualLayout>
              </c:layout>
              <c:showLegendKey val="0"/>
              <c:showVal val="1"/>
              <c:showCatName val="0"/>
              <c:showSerName val="0"/>
              <c:showPercent val="0"/>
              <c:showBubbleSize val="0"/>
            </c:dLbl>
            <c:dLbl>
              <c:idx val="2"/>
              <c:layout>
                <c:manualLayout>
                  <c:x val="-5.1014502068150447E-2"/>
                  <c:y val="0.11081921307640848"/>
                </c:manualLayout>
              </c:layout>
              <c:showLegendKey val="0"/>
              <c:showVal val="1"/>
              <c:showCatName val="0"/>
              <c:showSerName val="0"/>
              <c:showPercent val="0"/>
              <c:showBubbleSize val="0"/>
            </c:dLbl>
            <c:dLbl>
              <c:idx val="3"/>
              <c:layout>
                <c:manualLayout>
                  <c:x val="-4.6376820061955051E-2"/>
                  <c:y val="7.209243402047496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HD!$E$40:$H$40</c:f>
              <c:strCache>
                <c:ptCount val="4"/>
                <c:pt idx="0">
                  <c:v>2008/2007</c:v>
                </c:pt>
                <c:pt idx="1">
                  <c:v>2009/2008</c:v>
                </c:pt>
                <c:pt idx="2">
                  <c:v>2010/2009</c:v>
                </c:pt>
                <c:pt idx="3">
                  <c:v>2011/2010</c:v>
                </c:pt>
              </c:strCache>
            </c:strRef>
          </c:cat>
          <c:val>
            <c:numRef>
              <c:f>HD!$E$43:$H$43</c:f>
              <c:numCache>
                <c:formatCode>General</c:formatCode>
                <c:ptCount val="4"/>
                <c:pt idx="0">
                  <c:v>101.14999999999999</c:v>
                </c:pt>
                <c:pt idx="1">
                  <c:v>99.81</c:v>
                </c:pt>
                <c:pt idx="2">
                  <c:v>100.57</c:v>
                </c:pt>
                <c:pt idx="3">
                  <c:v>113.11999999999999</c:v>
                </c:pt>
              </c:numCache>
            </c:numRef>
          </c:val>
          <c:smooth val="1"/>
        </c:ser>
        <c:dLbls>
          <c:showLegendKey val="0"/>
          <c:showVal val="0"/>
          <c:showCatName val="0"/>
          <c:showSerName val="0"/>
          <c:showPercent val="0"/>
          <c:showBubbleSize val="0"/>
        </c:dLbls>
        <c:marker val="1"/>
        <c:smooth val="0"/>
        <c:axId val="114494848"/>
        <c:axId val="114521216"/>
      </c:lineChart>
      <c:catAx>
        <c:axId val="114494848"/>
        <c:scaling>
          <c:orientation val="minMax"/>
        </c:scaling>
        <c:delete val="0"/>
        <c:axPos val="b"/>
        <c:majorTickMark val="out"/>
        <c:minorTickMark val="none"/>
        <c:tickLblPos val="nextTo"/>
        <c:crossAx val="114521216"/>
        <c:crosses val="autoZero"/>
        <c:auto val="1"/>
        <c:lblAlgn val="ctr"/>
        <c:lblOffset val="100"/>
        <c:noMultiLvlLbl val="0"/>
      </c:catAx>
      <c:valAx>
        <c:axId val="114521216"/>
        <c:scaling>
          <c:orientation val="minMax"/>
          <c:max val="120"/>
          <c:min val="90"/>
        </c:scaling>
        <c:delete val="0"/>
        <c:axPos val="l"/>
        <c:numFmt formatCode="#,##0.00" sourceLinked="0"/>
        <c:majorTickMark val="out"/>
        <c:minorTickMark val="none"/>
        <c:tickLblPos val="nextTo"/>
        <c:crossAx val="114494848"/>
        <c:crosses val="autoZero"/>
        <c:crossBetween val="between"/>
        <c:majorUnit val="5"/>
      </c:valAx>
    </c:plotArea>
    <c:legend>
      <c:legendPos val="b"/>
      <c:layout>
        <c:manualLayout>
          <c:xMode val="edge"/>
          <c:yMode val="edge"/>
          <c:x val="8.7100442336831868E-2"/>
          <c:y val="0.86012082786724298"/>
          <c:w val="0.90463757245465204"/>
          <c:h val="0.13539721521076581"/>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346540127315377"/>
          <c:y val="0.17177092446777489"/>
          <c:w val="0.76548284285195356"/>
          <c:h val="0.60075422863808814"/>
        </c:manualLayout>
      </c:layout>
      <c:barChart>
        <c:barDir val="col"/>
        <c:grouping val="clustered"/>
        <c:varyColors val="0"/>
        <c:ser>
          <c:idx val="0"/>
          <c:order val="0"/>
          <c:tx>
            <c:strRef>
              <c:f>bravčové!$A$19</c:f>
              <c:strCache>
                <c:ptCount val="1"/>
                <c:pt idx="0">
                  <c:v>ošípané v tis. ks</c:v>
                </c:pt>
              </c:strCache>
            </c:strRef>
          </c:tx>
          <c:spPr>
            <a:solidFill>
              <a:schemeClr val="bg1">
                <a:lumMod val="65000"/>
              </a:schemeClr>
            </a:solidFill>
          </c:spPr>
          <c:invertIfNegative val="0"/>
          <c:dLbls>
            <c:dLbl>
              <c:idx val="1"/>
              <c:layout>
                <c:manualLayout>
                  <c:x val="0"/>
                  <c:y val="2.7777777777777832E-2"/>
                </c:manualLayout>
              </c:layout>
              <c:showLegendKey val="0"/>
              <c:showVal val="1"/>
              <c:showCatName val="0"/>
              <c:showSerName val="0"/>
              <c:showPercent val="0"/>
              <c:showBubbleSize val="0"/>
            </c:dLbl>
            <c:dLbl>
              <c:idx val="2"/>
              <c:layout>
                <c:manualLayout>
                  <c:x val="0"/>
                  <c:y val="2.3148148148148147E-2"/>
                </c:manualLayout>
              </c:layout>
              <c:showLegendKey val="0"/>
              <c:showVal val="1"/>
              <c:showCatName val="0"/>
              <c:showSerName val="0"/>
              <c:showPercent val="0"/>
              <c:showBubbleSize val="0"/>
            </c:dLbl>
            <c:dLbl>
              <c:idx val="3"/>
              <c:layout>
                <c:manualLayout>
                  <c:x val="0"/>
                  <c:y val="1.8518518518518535E-2"/>
                </c:manualLayout>
              </c:layout>
              <c:showLegendKey val="0"/>
              <c:showVal val="1"/>
              <c:showCatName val="0"/>
              <c:showSerName val="0"/>
              <c:showPercent val="0"/>
              <c:showBubbleSize val="0"/>
            </c:dLbl>
            <c:dLbl>
              <c:idx val="4"/>
              <c:layout>
                <c:manualLayout>
                  <c:x val="5.1039487483168526E-3"/>
                  <c:y val="8.79629629629630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bravčové!$B$18:$F$18</c:f>
              <c:numCache>
                <c:formatCode>General</c:formatCode>
                <c:ptCount val="5"/>
                <c:pt idx="0">
                  <c:v>2002</c:v>
                </c:pt>
                <c:pt idx="1">
                  <c:v>2008</c:v>
                </c:pt>
                <c:pt idx="2">
                  <c:v>2009</c:v>
                </c:pt>
                <c:pt idx="3">
                  <c:v>2010</c:v>
                </c:pt>
                <c:pt idx="4">
                  <c:v>2011</c:v>
                </c:pt>
              </c:numCache>
            </c:numRef>
          </c:cat>
          <c:val>
            <c:numRef>
              <c:f>bravčové!$B$19:$F$19</c:f>
              <c:numCache>
                <c:formatCode>0.0</c:formatCode>
                <c:ptCount val="5"/>
                <c:pt idx="0" formatCode="General">
                  <c:v>1553.9</c:v>
                </c:pt>
                <c:pt idx="1">
                  <c:v>748.5</c:v>
                </c:pt>
                <c:pt idx="2">
                  <c:v>740.9</c:v>
                </c:pt>
                <c:pt idx="3">
                  <c:v>687.3</c:v>
                </c:pt>
                <c:pt idx="4">
                  <c:v>580.4</c:v>
                </c:pt>
              </c:numCache>
            </c:numRef>
          </c:val>
        </c:ser>
        <c:dLbls>
          <c:showLegendKey val="0"/>
          <c:showVal val="0"/>
          <c:showCatName val="0"/>
          <c:showSerName val="0"/>
          <c:showPercent val="0"/>
          <c:showBubbleSize val="0"/>
        </c:dLbls>
        <c:gapWidth val="300"/>
        <c:axId val="114544640"/>
        <c:axId val="114546176"/>
      </c:barChart>
      <c:lineChart>
        <c:grouping val="standard"/>
        <c:varyColors val="0"/>
        <c:ser>
          <c:idx val="1"/>
          <c:order val="1"/>
          <c:tx>
            <c:strRef>
              <c:f>bravčové!$A$20</c:f>
              <c:strCache>
                <c:ptCount val="1"/>
                <c:pt idx="0">
                  <c:v>spotreba bravčového na obyvateľa v kg za rok</c:v>
                </c:pt>
              </c:strCache>
            </c:strRef>
          </c:tx>
          <c:spPr>
            <a:ln>
              <a:solidFill>
                <a:schemeClr val="tx1">
                  <a:lumMod val="75000"/>
                  <a:lumOff val="25000"/>
                </a:schemeClr>
              </a:solidFill>
            </a:ln>
          </c:spPr>
          <c:marker>
            <c:spPr>
              <a:solidFill>
                <a:schemeClr val="tx1">
                  <a:lumMod val="65000"/>
                  <a:lumOff val="35000"/>
                </a:schemeClr>
              </a:solidFill>
              <a:ln>
                <a:solidFill>
                  <a:schemeClr val="tx1">
                    <a:lumMod val="75000"/>
                    <a:lumOff val="25000"/>
                  </a:schemeClr>
                </a:solidFill>
              </a:ln>
            </c:spPr>
          </c:marker>
          <c:dLbls>
            <c:dLbl>
              <c:idx val="0"/>
              <c:layout>
                <c:manualLayout>
                  <c:x val="-8.6767128721386616E-2"/>
                  <c:y val="4.6296296296296337E-3"/>
                </c:manualLayout>
              </c:layout>
              <c:showLegendKey val="0"/>
              <c:showVal val="1"/>
              <c:showCatName val="0"/>
              <c:showSerName val="0"/>
              <c:showPercent val="0"/>
              <c:showBubbleSize val="0"/>
            </c:dLbl>
            <c:dLbl>
              <c:idx val="1"/>
              <c:layout>
                <c:manualLayout>
                  <c:x val="-5.1039487483168507E-2"/>
                  <c:y val="-5.0925925925925923E-2"/>
                </c:manualLayout>
              </c:layout>
              <c:showLegendKey val="0"/>
              <c:showVal val="1"/>
              <c:showCatName val="0"/>
              <c:showSerName val="0"/>
              <c:showPercent val="0"/>
              <c:showBubbleSize val="0"/>
            </c:dLbl>
            <c:dLbl>
              <c:idx val="2"/>
              <c:layout>
                <c:manualLayout>
                  <c:x val="-4.5935538734851671E-2"/>
                  <c:y val="-4.6296296296296349E-2"/>
                </c:manualLayout>
              </c:layout>
              <c:showLegendKey val="0"/>
              <c:showVal val="1"/>
              <c:showCatName val="0"/>
              <c:showSerName val="0"/>
              <c:showPercent val="0"/>
              <c:showBubbleSize val="0"/>
            </c:dLbl>
            <c:dLbl>
              <c:idx val="3"/>
              <c:layout>
                <c:manualLayout>
                  <c:x val="-5.8695410605643823E-2"/>
                  <c:y val="4.1666302128900552E-2"/>
                </c:manualLayout>
              </c:layout>
              <c:showLegendKey val="0"/>
              <c:showVal val="1"/>
              <c:showCatName val="0"/>
              <c:showSerName val="0"/>
              <c:showPercent val="0"/>
              <c:showBubbleSize val="0"/>
            </c:dLbl>
            <c:dLbl>
              <c:idx val="4"/>
              <c:layout>
                <c:manualLayout>
                  <c:x val="-2.8071718115742692E-2"/>
                  <c:y val="-4.629629629629634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bravčové!$C$18:$F$18</c:f>
              <c:numCache>
                <c:formatCode>General</c:formatCode>
                <c:ptCount val="4"/>
                <c:pt idx="0">
                  <c:v>2008</c:v>
                </c:pt>
                <c:pt idx="1">
                  <c:v>2009</c:v>
                </c:pt>
                <c:pt idx="2">
                  <c:v>2010</c:v>
                </c:pt>
                <c:pt idx="3">
                  <c:v>2011</c:v>
                </c:pt>
              </c:numCache>
            </c:numRef>
          </c:cat>
          <c:val>
            <c:numRef>
              <c:f>bravčové!$B$20:$F$20</c:f>
              <c:numCache>
                <c:formatCode>0.0</c:formatCode>
                <c:ptCount val="5"/>
                <c:pt idx="0" formatCode="General">
                  <c:v>31.3</c:v>
                </c:pt>
                <c:pt idx="1">
                  <c:v>32.300000000000004</c:v>
                </c:pt>
                <c:pt idx="2">
                  <c:v>32</c:v>
                </c:pt>
                <c:pt idx="3">
                  <c:v>30.8</c:v>
                </c:pt>
                <c:pt idx="4">
                  <c:v>31.6</c:v>
                </c:pt>
              </c:numCache>
            </c:numRef>
          </c:val>
          <c:smooth val="0"/>
        </c:ser>
        <c:dLbls>
          <c:showLegendKey val="0"/>
          <c:showVal val="0"/>
          <c:showCatName val="0"/>
          <c:showSerName val="0"/>
          <c:showPercent val="0"/>
          <c:showBubbleSize val="0"/>
        </c:dLbls>
        <c:marker val="1"/>
        <c:smooth val="0"/>
        <c:axId val="114582272"/>
        <c:axId val="114547712"/>
      </c:lineChart>
      <c:catAx>
        <c:axId val="114544640"/>
        <c:scaling>
          <c:orientation val="minMax"/>
        </c:scaling>
        <c:delete val="0"/>
        <c:axPos val="b"/>
        <c:numFmt formatCode="General" sourceLinked="1"/>
        <c:majorTickMark val="none"/>
        <c:minorTickMark val="none"/>
        <c:tickLblPos val="nextTo"/>
        <c:crossAx val="114546176"/>
        <c:crosses val="autoZero"/>
        <c:auto val="1"/>
        <c:lblAlgn val="ctr"/>
        <c:lblOffset val="100"/>
        <c:noMultiLvlLbl val="0"/>
      </c:catAx>
      <c:valAx>
        <c:axId val="114546176"/>
        <c:scaling>
          <c:orientation val="minMax"/>
        </c:scaling>
        <c:delete val="0"/>
        <c:axPos val="l"/>
        <c:numFmt formatCode="General" sourceLinked="1"/>
        <c:majorTickMark val="out"/>
        <c:minorTickMark val="none"/>
        <c:tickLblPos val="nextTo"/>
        <c:crossAx val="114544640"/>
        <c:crosses val="autoZero"/>
        <c:crossBetween val="between"/>
      </c:valAx>
      <c:valAx>
        <c:axId val="114547712"/>
        <c:scaling>
          <c:orientation val="minMax"/>
          <c:min val="25"/>
        </c:scaling>
        <c:delete val="0"/>
        <c:axPos val="r"/>
        <c:numFmt formatCode="General" sourceLinked="1"/>
        <c:majorTickMark val="out"/>
        <c:minorTickMark val="none"/>
        <c:tickLblPos val="nextTo"/>
        <c:crossAx val="114582272"/>
        <c:crosses val="max"/>
        <c:crossBetween val="between"/>
      </c:valAx>
      <c:catAx>
        <c:axId val="114582272"/>
        <c:scaling>
          <c:orientation val="minMax"/>
        </c:scaling>
        <c:delete val="1"/>
        <c:axPos val="b"/>
        <c:numFmt formatCode="General" sourceLinked="1"/>
        <c:majorTickMark val="out"/>
        <c:minorTickMark val="none"/>
        <c:tickLblPos val="nextTo"/>
        <c:crossAx val="114547712"/>
        <c:crosses val="autoZero"/>
        <c:auto val="1"/>
        <c:lblAlgn val="ctr"/>
        <c:lblOffset val="100"/>
        <c:noMultiLvlLbl val="0"/>
      </c:catAx>
      <c:spPr>
        <a:noFill/>
        <a:ln w="25400">
          <a:noFill/>
        </a:ln>
      </c:spPr>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279671691804016"/>
          <c:y val="5.1360265585927392E-2"/>
          <c:w val="0.86279680427122163"/>
          <c:h val="0.65174919801691522"/>
        </c:manualLayout>
      </c:layout>
      <c:lineChart>
        <c:grouping val="standard"/>
        <c:varyColors val="0"/>
        <c:ser>
          <c:idx val="0"/>
          <c:order val="0"/>
          <c:tx>
            <c:strRef>
              <c:f>bravčové!$A$67</c:f>
              <c:strCache>
                <c:ptCount val="1"/>
                <c:pt idx="0">
                  <c:v>index vývoja počtu ošípaných</c:v>
                </c:pt>
              </c:strCache>
            </c:strRef>
          </c:tx>
          <c:spPr>
            <a:ln>
              <a:solidFill>
                <a:schemeClr val="bg1">
                  <a:lumMod val="50000"/>
                </a:schemeClr>
              </a:solidFill>
              <a:prstDash val="sysDash"/>
            </a:ln>
          </c:spPr>
          <c:marker>
            <c:symbol val="none"/>
          </c:marker>
          <c:cat>
            <c:strRef>
              <c:f>bravčové!$B$66:$E$66</c:f>
              <c:strCache>
                <c:ptCount val="4"/>
                <c:pt idx="0">
                  <c:v>2007/2008</c:v>
                </c:pt>
                <c:pt idx="1">
                  <c:v>2008/2009</c:v>
                </c:pt>
                <c:pt idx="2">
                  <c:v>2009/2010</c:v>
                </c:pt>
                <c:pt idx="3">
                  <c:v>2010/2011</c:v>
                </c:pt>
              </c:strCache>
            </c:strRef>
          </c:cat>
          <c:val>
            <c:numRef>
              <c:f>bravčové!$B$67:$E$67</c:f>
              <c:numCache>
                <c:formatCode>0.00%</c:formatCode>
                <c:ptCount val="4"/>
                <c:pt idx="0">
                  <c:v>0.78632209265679165</c:v>
                </c:pt>
                <c:pt idx="1">
                  <c:v>0.98984635938543752</c:v>
                </c:pt>
                <c:pt idx="2">
                  <c:v>0.92765555405587896</c:v>
                </c:pt>
                <c:pt idx="3">
                  <c:v>0.84446384402735275</c:v>
                </c:pt>
              </c:numCache>
            </c:numRef>
          </c:val>
          <c:smooth val="0"/>
        </c:ser>
        <c:ser>
          <c:idx val="1"/>
          <c:order val="1"/>
          <c:tx>
            <c:strRef>
              <c:f>bravčové!$A$68</c:f>
              <c:strCache>
                <c:ptCount val="1"/>
                <c:pt idx="0">
                  <c:v>index vývoja počtu prasníc</c:v>
                </c:pt>
              </c:strCache>
            </c:strRef>
          </c:tx>
          <c:spPr>
            <a:ln>
              <a:solidFill>
                <a:schemeClr val="bg1">
                  <a:lumMod val="75000"/>
                </a:schemeClr>
              </a:solidFill>
              <a:prstDash val="sysDot"/>
            </a:ln>
          </c:spPr>
          <c:marker>
            <c:symbol val="none"/>
          </c:marker>
          <c:cat>
            <c:strRef>
              <c:f>bravčové!$B$66:$E$66</c:f>
              <c:strCache>
                <c:ptCount val="4"/>
                <c:pt idx="0">
                  <c:v>2007/2008</c:v>
                </c:pt>
                <c:pt idx="1">
                  <c:v>2008/2009</c:v>
                </c:pt>
                <c:pt idx="2">
                  <c:v>2009/2010</c:v>
                </c:pt>
                <c:pt idx="3">
                  <c:v>2010/2011</c:v>
                </c:pt>
              </c:strCache>
            </c:strRef>
          </c:cat>
          <c:val>
            <c:numRef>
              <c:f>bravčové!$B$68:$E$68</c:f>
              <c:numCache>
                <c:formatCode>0.00%</c:formatCode>
                <c:ptCount val="4"/>
                <c:pt idx="0">
                  <c:v>0.71774193548387299</c:v>
                </c:pt>
                <c:pt idx="1">
                  <c:v>0.98651685393258426</c:v>
                </c:pt>
                <c:pt idx="2">
                  <c:v>0.94077448747152703</c:v>
                </c:pt>
                <c:pt idx="3">
                  <c:v>0.90556900726392253</c:v>
                </c:pt>
              </c:numCache>
            </c:numRef>
          </c:val>
          <c:smooth val="0"/>
        </c:ser>
        <c:ser>
          <c:idx val="2"/>
          <c:order val="2"/>
          <c:tx>
            <c:strRef>
              <c:f>bravčové!$A$69</c:f>
              <c:strCache>
                <c:ptCount val="1"/>
                <c:pt idx="0">
                  <c:v>index vývoja hrubej domácej produkcie</c:v>
                </c:pt>
              </c:strCache>
            </c:strRef>
          </c:tx>
          <c:spPr>
            <a:ln>
              <a:solidFill>
                <a:schemeClr val="tx1">
                  <a:lumMod val="95000"/>
                  <a:lumOff val="5000"/>
                </a:schemeClr>
              </a:solidFill>
            </a:ln>
          </c:spPr>
          <c:marker>
            <c:symbol val="none"/>
          </c:marker>
          <c:cat>
            <c:strRef>
              <c:f>bravčové!$B$66:$E$66</c:f>
              <c:strCache>
                <c:ptCount val="4"/>
                <c:pt idx="0">
                  <c:v>2007/2008</c:v>
                </c:pt>
                <c:pt idx="1">
                  <c:v>2008/2009</c:v>
                </c:pt>
                <c:pt idx="2">
                  <c:v>2009/2010</c:v>
                </c:pt>
                <c:pt idx="3">
                  <c:v>2010/2011</c:v>
                </c:pt>
              </c:strCache>
            </c:strRef>
          </c:cat>
          <c:val>
            <c:numRef>
              <c:f>bravčové!$B$69:$E$69</c:f>
              <c:numCache>
                <c:formatCode>0.00%</c:formatCode>
                <c:ptCount val="4"/>
                <c:pt idx="0">
                  <c:v>0.85190374084863152</c:v>
                </c:pt>
                <c:pt idx="1">
                  <c:v>0.86798431655686326</c:v>
                </c:pt>
                <c:pt idx="2">
                  <c:v>1.00072783567088</c:v>
                </c:pt>
                <c:pt idx="3">
                  <c:v>1.0181942023296864</c:v>
                </c:pt>
              </c:numCache>
            </c:numRef>
          </c:val>
          <c:smooth val="0"/>
        </c:ser>
        <c:dLbls>
          <c:showLegendKey val="0"/>
          <c:showVal val="0"/>
          <c:showCatName val="0"/>
          <c:showSerName val="0"/>
          <c:showPercent val="0"/>
          <c:showBubbleSize val="0"/>
        </c:dLbls>
        <c:marker val="1"/>
        <c:smooth val="0"/>
        <c:axId val="114600960"/>
        <c:axId val="114602752"/>
      </c:lineChart>
      <c:catAx>
        <c:axId val="114600960"/>
        <c:scaling>
          <c:orientation val="minMax"/>
        </c:scaling>
        <c:delete val="0"/>
        <c:axPos val="b"/>
        <c:majorTickMark val="out"/>
        <c:minorTickMark val="none"/>
        <c:tickLblPos val="nextTo"/>
        <c:crossAx val="114602752"/>
        <c:crosses val="autoZero"/>
        <c:auto val="1"/>
        <c:lblAlgn val="ctr"/>
        <c:lblOffset val="100"/>
        <c:noMultiLvlLbl val="0"/>
      </c:catAx>
      <c:valAx>
        <c:axId val="114602752"/>
        <c:scaling>
          <c:orientation val="minMax"/>
          <c:min val="0.70000000000000062"/>
        </c:scaling>
        <c:delete val="0"/>
        <c:axPos val="l"/>
        <c:numFmt formatCode="0.00%" sourceLinked="1"/>
        <c:majorTickMark val="out"/>
        <c:minorTickMark val="none"/>
        <c:tickLblPos val="nextTo"/>
        <c:crossAx val="114600960"/>
        <c:crosses val="autoZero"/>
        <c:crossBetween val="between"/>
      </c:valAx>
    </c:plotArea>
    <c:legend>
      <c:legendPos val="b"/>
      <c:layout>
        <c:manualLayout>
          <c:xMode val="edge"/>
          <c:yMode val="edge"/>
          <c:x val="9.4275571333481245E-2"/>
          <c:y val="0.8452886730280218"/>
          <c:w val="0.87801179823707864"/>
          <c:h val="0.15471141095426788"/>
        </c:manualLayout>
      </c:layout>
      <c:overlay val="0"/>
      <c:txPr>
        <a:bodyPr/>
        <a:lstStyle/>
        <a:p>
          <a:pPr>
            <a:defRPr sz="900"/>
          </a:pPr>
          <a:endParaRPr lang="sk-SK"/>
        </a:p>
      </c:txPr>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1"/>
          <c:order val="1"/>
          <c:tx>
            <c:strRef>
              <c:f>bravčové!$A$41</c:f>
              <c:strCache>
                <c:ptCount val="1"/>
                <c:pt idx="0">
                  <c:v>Hrubá domáca produkcia v tonách jatočnej hmotnosti</c:v>
                </c:pt>
              </c:strCache>
            </c:strRef>
          </c:tx>
          <c:invertIfNegative val="0"/>
          <c:dLbls>
            <c:showLegendKey val="0"/>
            <c:showVal val="1"/>
            <c:showCatName val="0"/>
            <c:showSerName val="0"/>
            <c:showPercent val="0"/>
            <c:showBubbleSize val="0"/>
            <c:showLeaderLines val="0"/>
          </c:dLbls>
          <c:cat>
            <c:numRef>
              <c:f>bravčové!$B$39:$F$39</c:f>
              <c:numCache>
                <c:formatCode>General</c:formatCode>
                <c:ptCount val="5"/>
                <c:pt idx="0">
                  <c:v>2002</c:v>
                </c:pt>
                <c:pt idx="1">
                  <c:v>2008</c:v>
                </c:pt>
                <c:pt idx="2">
                  <c:v>2009</c:v>
                </c:pt>
                <c:pt idx="3">
                  <c:v>2010</c:v>
                </c:pt>
                <c:pt idx="4">
                  <c:v>2011</c:v>
                </c:pt>
              </c:numCache>
            </c:numRef>
          </c:cat>
          <c:val>
            <c:numRef>
              <c:f>bravčové!$B$41:$F$41</c:f>
              <c:numCache>
                <c:formatCode>#,##0</c:formatCode>
                <c:ptCount val="5"/>
                <c:pt idx="0">
                  <c:v>162517</c:v>
                </c:pt>
                <c:pt idx="1">
                  <c:v>99723</c:v>
                </c:pt>
                <c:pt idx="2">
                  <c:v>86558</c:v>
                </c:pt>
                <c:pt idx="3">
                  <c:v>86621</c:v>
                </c:pt>
                <c:pt idx="4">
                  <c:v>88197</c:v>
                </c:pt>
              </c:numCache>
            </c:numRef>
          </c:val>
        </c:ser>
        <c:dLbls>
          <c:showLegendKey val="0"/>
          <c:showVal val="0"/>
          <c:showCatName val="0"/>
          <c:showSerName val="0"/>
          <c:showPercent val="0"/>
          <c:showBubbleSize val="0"/>
        </c:dLbls>
        <c:gapWidth val="150"/>
        <c:axId val="218311680"/>
        <c:axId val="218321664"/>
      </c:barChart>
      <c:lineChart>
        <c:grouping val="standard"/>
        <c:varyColors val="0"/>
        <c:ser>
          <c:idx val="0"/>
          <c:order val="0"/>
          <c:tx>
            <c:strRef>
              <c:f>bravčové!$A$40</c:f>
              <c:strCache>
                <c:ptCount val="1"/>
                <c:pt idx="0">
                  <c:v>zabitia jatočných ošípaných na bitúnkoch v tonách jatočnej hmotnosti </c:v>
                </c:pt>
              </c:strCache>
            </c:strRef>
          </c:tx>
          <c:dLbls>
            <c:dLbl>
              <c:idx val="0"/>
              <c:layout>
                <c:manualLayout>
                  <c:x val="-8.0555774278215225E-2"/>
                  <c:y val="6.9444079906678419E-2"/>
                </c:manualLayout>
              </c:layout>
              <c:showLegendKey val="0"/>
              <c:showVal val="1"/>
              <c:showCatName val="0"/>
              <c:showSerName val="0"/>
              <c:showPercent val="0"/>
              <c:showBubbleSize val="0"/>
            </c:dLbl>
            <c:dLbl>
              <c:idx val="1"/>
              <c:layout>
                <c:manualLayout>
                  <c:x val="-7.2222222222222299E-2"/>
                  <c:y val="5.0925925925925923E-2"/>
                </c:manualLayout>
              </c:layout>
              <c:showLegendKey val="0"/>
              <c:showVal val="1"/>
              <c:showCatName val="0"/>
              <c:showSerName val="0"/>
              <c:showPercent val="0"/>
              <c:showBubbleSize val="0"/>
            </c:dLbl>
            <c:dLbl>
              <c:idx val="2"/>
              <c:layout>
                <c:manualLayout>
                  <c:x val="-7.5000000000000011E-2"/>
                  <c:y val="6.4814814814814908E-2"/>
                </c:manualLayout>
              </c:layout>
              <c:showLegendKey val="0"/>
              <c:showVal val="1"/>
              <c:showCatName val="0"/>
              <c:showSerName val="0"/>
              <c:showPercent val="0"/>
              <c:showBubbleSize val="0"/>
            </c:dLbl>
            <c:dLbl>
              <c:idx val="3"/>
              <c:layout>
                <c:manualLayout>
                  <c:x val="-5.8333333333333348E-2"/>
                  <c:y val="6.01851851851851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bravčové!$B$39:$F$39</c:f>
              <c:numCache>
                <c:formatCode>General</c:formatCode>
                <c:ptCount val="5"/>
                <c:pt idx="0">
                  <c:v>2002</c:v>
                </c:pt>
                <c:pt idx="1">
                  <c:v>2008</c:v>
                </c:pt>
                <c:pt idx="2">
                  <c:v>2009</c:v>
                </c:pt>
                <c:pt idx="3">
                  <c:v>2010</c:v>
                </c:pt>
                <c:pt idx="4">
                  <c:v>2011</c:v>
                </c:pt>
              </c:numCache>
            </c:numRef>
          </c:cat>
          <c:val>
            <c:numRef>
              <c:f>bravčové!$B$40:$F$40</c:f>
              <c:numCache>
                <c:formatCode>#,##0.0</c:formatCode>
                <c:ptCount val="5"/>
                <c:pt idx="0">
                  <c:v>131863</c:v>
                </c:pt>
                <c:pt idx="1">
                  <c:v>82168.3</c:v>
                </c:pt>
                <c:pt idx="2">
                  <c:v>70142.7</c:v>
                </c:pt>
                <c:pt idx="3">
                  <c:v>68598.2</c:v>
                </c:pt>
                <c:pt idx="4">
                  <c:v>56907.8</c:v>
                </c:pt>
              </c:numCache>
            </c:numRef>
          </c:val>
          <c:smooth val="0"/>
        </c:ser>
        <c:dLbls>
          <c:showLegendKey val="0"/>
          <c:showVal val="0"/>
          <c:showCatName val="0"/>
          <c:showSerName val="0"/>
          <c:showPercent val="0"/>
          <c:showBubbleSize val="0"/>
        </c:dLbls>
        <c:marker val="1"/>
        <c:smooth val="0"/>
        <c:axId val="218311680"/>
        <c:axId val="218321664"/>
      </c:lineChart>
      <c:catAx>
        <c:axId val="218311680"/>
        <c:scaling>
          <c:orientation val="minMax"/>
        </c:scaling>
        <c:delete val="0"/>
        <c:axPos val="b"/>
        <c:numFmt formatCode="General" sourceLinked="1"/>
        <c:majorTickMark val="out"/>
        <c:minorTickMark val="none"/>
        <c:tickLblPos val="nextTo"/>
        <c:crossAx val="218321664"/>
        <c:crosses val="autoZero"/>
        <c:auto val="1"/>
        <c:lblAlgn val="ctr"/>
        <c:lblOffset val="100"/>
        <c:noMultiLvlLbl val="0"/>
      </c:catAx>
      <c:valAx>
        <c:axId val="218321664"/>
        <c:scaling>
          <c:orientation val="minMax"/>
        </c:scaling>
        <c:delete val="0"/>
        <c:axPos val="l"/>
        <c:numFmt formatCode="#,##0" sourceLinked="1"/>
        <c:majorTickMark val="out"/>
        <c:minorTickMark val="none"/>
        <c:tickLblPos val="nextTo"/>
        <c:crossAx val="218311680"/>
        <c:crosses val="autoZero"/>
        <c:crossBetween val="between"/>
      </c:valAx>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bravčové!$C$20:$F$20</c:f>
              <c:strCache>
                <c:ptCount val="1"/>
                <c:pt idx="0">
                  <c:v>32,3 32,0 30,8 31,6</c:v>
                </c:pt>
              </c:strCache>
            </c:strRef>
          </c:tx>
          <c:marker>
            <c:symbol val="none"/>
          </c:marker>
          <c:dLbls>
            <c:dLbl>
              <c:idx val="0"/>
              <c:layout>
                <c:manualLayout>
                  <c:x val="-8.6111111111110972E-2"/>
                  <c:y val="-1.0609445340016716E-17"/>
                </c:manualLayout>
              </c:layout>
              <c:showLegendKey val="0"/>
              <c:showVal val="1"/>
              <c:showCatName val="0"/>
              <c:showSerName val="0"/>
              <c:showPercent val="0"/>
              <c:showBubbleSize val="0"/>
            </c:dLbl>
            <c:dLbl>
              <c:idx val="1"/>
              <c:layout>
                <c:manualLayout>
                  <c:x val="-3.6111111111111198E-2"/>
                  <c:y val="-3.7037037037037056E-2"/>
                </c:manualLayout>
              </c:layout>
              <c:showLegendKey val="0"/>
              <c:showVal val="1"/>
              <c:showCatName val="0"/>
              <c:showSerName val="0"/>
              <c:showPercent val="0"/>
              <c:showBubbleSize val="0"/>
            </c:dLbl>
            <c:dLbl>
              <c:idx val="2"/>
              <c:layout>
                <c:manualLayout>
                  <c:x val="-1.108269413313152E-2"/>
                  <c:y val="2.7777777777777821E-2"/>
                </c:manualLayout>
              </c:layout>
              <c:showLegendKey val="0"/>
              <c:showVal val="1"/>
              <c:showCatName val="0"/>
              <c:showSerName val="0"/>
              <c:showPercent val="0"/>
              <c:showBubbleSize val="0"/>
            </c:dLbl>
            <c:dLbl>
              <c:idx val="3"/>
              <c:layout>
                <c:manualLayout>
                  <c:x val="-2.4936061799545807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bravčové!$C$18:$F$18</c:f>
              <c:numCache>
                <c:formatCode>General</c:formatCode>
                <c:ptCount val="4"/>
                <c:pt idx="0">
                  <c:v>2008</c:v>
                </c:pt>
                <c:pt idx="1">
                  <c:v>2009</c:v>
                </c:pt>
                <c:pt idx="2">
                  <c:v>2010</c:v>
                </c:pt>
                <c:pt idx="3">
                  <c:v>2011</c:v>
                </c:pt>
              </c:numCache>
            </c:numRef>
          </c:cat>
          <c:val>
            <c:numRef>
              <c:f>bravčové!$C$20:$F$20</c:f>
              <c:numCache>
                <c:formatCode>0.0</c:formatCode>
                <c:ptCount val="4"/>
                <c:pt idx="0">
                  <c:v>32.300000000000004</c:v>
                </c:pt>
                <c:pt idx="1">
                  <c:v>32</c:v>
                </c:pt>
                <c:pt idx="2">
                  <c:v>30.8</c:v>
                </c:pt>
                <c:pt idx="3">
                  <c:v>31.6</c:v>
                </c:pt>
              </c:numCache>
            </c:numRef>
          </c:val>
          <c:smooth val="0"/>
        </c:ser>
        <c:ser>
          <c:idx val="1"/>
          <c:order val="1"/>
          <c:tx>
            <c:v>rok 2002</c:v>
          </c:tx>
          <c:marker>
            <c:symbol val="none"/>
          </c:marker>
          <c:val>
            <c:numRef>
              <c:f>bravčové!$C$22:$F$22</c:f>
              <c:numCache>
                <c:formatCode>General</c:formatCode>
                <c:ptCount val="4"/>
                <c:pt idx="0">
                  <c:v>31.3</c:v>
                </c:pt>
                <c:pt idx="1">
                  <c:v>31.3</c:v>
                </c:pt>
                <c:pt idx="2">
                  <c:v>31.3</c:v>
                </c:pt>
                <c:pt idx="3">
                  <c:v>31.3</c:v>
                </c:pt>
              </c:numCache>
            </c:numRef>
          </c:val>
          <c:smooth val="0"/>
        </c:ser>
        <c:dLbls>
          <c:showLegendKey val="0"/>
          <c:showVal val="0"/>
          <c:showCatName val="0"/>
          <c:showSerName val="0"/>
          <c:showPercent val="0"/>
          <c:showBubbleSize val="0"/>
        </c:dLbls>
        <c:marker val="1"/>
        <c:smooth val="0"/>
        <c:axId val="218360064"/>
        <c:axId val="218365952"/>
      </c:lineChart>
      <c:catAx>
        <c:axId val="218360064"/>
        <c:scaling>
          <c:orientation val="minMax"/>
        </c:scaling>
        <c:delete val="0"/>
        <c:axPos val="b"/>
        <c:numFmt formatCode="General" sourceLinked="1"/>
        <c:majorTickMark val="none"/>
        <c:minorTickMark val="none"/>
        <c:tickLblPos val="nextTo"/>
        <c:crossAx val="218365952"/>
        <c:crosses val="autoZero"/>
        <c:auto val="1"/>
        <c:lblAlgn val="ctr"/>
        <c:lblOffset val="100"/>
        <c:noMultiLvlLbl val="0"/>
      </c:catAx>
      <c:valAx>
        <c:axId val="218365952"/>
        <c:scaling>
          <c:orientation val="minMax"/>
          <c:min val="29"/>
        </c:scaling>
        <c:delete val="0"/>
        <c:axPos val="l"/>
        <c:numFmt formatCode="0.0" sourceLinked="1"/>
        <c:majorTickMark val="none"/>
        <c:minorTickMark val="none"/>
        <c:tickLblPos val="nextTo"/>
        <c:crossAx val="218360064"/>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6954898833287613E-2"/>
          <c:y val="8.7139962873510446E-2"/>
          <c:w val="0.89886444378862607"/>
          <c:h val="0.66366472415987743"/>
        </c:manualLayout>
      </c:layout>
      <c:barChart>
        <c:barDir val="col"/>
        <c:grouping val="clustered"/>
        <c:varyColors val="0"/>
        <c:ser>
          <c:idx val="0"/>
          <c:order val="0"/>
          <c:tx>
            <c:strRef>
              <c:f>osipane!$A$3:$B$3</c:f>
              <c:strCache>
                <c:ptCount val="1"/>
                <c:pt idx="0">
                  <c:v>Ceny prvovýrobcov</c:v>
                </c:pt>
              </c:strCache>
            </c:strRef>
          </c:tx>
          <c:invertIfNegative val="0"/>
          <c:dLbls>
            <c:showLegendKey val="0"/>
            <c:showVal val="1"/>
            <c:showCatName val="0"/>
            <c:showSerName val="0"/>
            <c:showPercent val="0"/>
            <c:showBubbleSize val="0"/>
            <c:showLeaderLines val="0"/>
          </c:dLbls>
          <c:cat>
            <c:numRef>
              <c:f>osipane!$C$2:$G$2</c:f>
              <c:numCache>
                <c:formatCode>General</c:formatCode>
                <c:ptCount val="5"/>
                <c:pt idx="0">
                  <c:v>2007</c:v>
                </c:pt>
                <c:pt idx="1">
                  <c:v>2008</c:v>
                </c:pt>
                <c:pt idx="2">
                  <c:v>2009</c:v>
                </c:pt>
                <c:pt idx="3">
                  <c:v>2010</c:v>
                </c:pt>
                <c:pt idx="4">
                  <c:v>2011</c:v>
                </c:pt>
              </c:numCache>
            </c:numRef>
          </c:cat>
          <c:val>
            <c:numRef>
              <c:f>osipane!$C$3:$G$3</c:f>
              <c:numCache>
                <c:formatCode>0.00_)</c:formatCode>
                <c:ptCount val="5"/>
                <c:pt idx="0">
                  <c:v>1.5033525858062815</c:v>
                </c:pt>
                <c:pt idx="1">
                  <c:v>1.6517294031733378</c:v>
                </c:pt>
                <c:pt idx="2">
                  <c:v>1.47</c:v>
                </c:pt>
                <c:pt idx="3">
                  <c:v>1.3900000000000001</c:v>
                </c:pt>
                <c:pt idx="4">
                  <c:v>1.52</c:v>
                </c:pt>
              </c:numCache>
            </c:numRef>
          </c:val>
        </c:ser>
        <c:ser>
          <c:idx val="1"/>
          <c:order val="1"/>
          <c:tx>
            <c:strRef>
              <c:f>osipane!$A$4:$B$4</c:f>
              <c:strCache>
                <c:ptCount val="1"/>
                <c:pt idx="0">
                  <c:v>Ceny spracovateľov</c:v>
                </c:pt>
              </c:strCache>
            </c:strRef>
          </c:tx>
          <c:invertIfNegative val="0"/>
          <c:dLbls>
            <c:showLegendKey val="0"/>
            <c:showVal val="1"/>
            <c:showCatName val="0"/>
            <c:showSerName val="0"/>
            <c:showPercent val="0"/>
            <c:showBubbleSize val="0"/>
            <c:showLeaderLines val="0"/>
          </c:dLbls>
          <c:cat>
            <c:numRef>
              <c:f>osipane!$C$2:$G$2</c:f>
              <c:numCache>
                <c:formatCode>General</c:formatCode>
                <c:ptCount val="5"/>
                <c:pt idx="0">
                  <c:v>2007</c:v>
                </c:pt>
                <c:pt idx="1">
                  <c:v>2008</c:v>
                </c:pt>
                <c:pt idx="2">
                  <c:v>2009</c:v>
                </c:pt>
                <c:pt idx="3">
                  <c:v>2010</c:v>
                </c:pt>
                <c:pt idx="4">
                  <c:v>2011</c:v>
                </c:pt>
              </c:numCache>
            </c:numRef>
          </c:cat>
          <c:val>
            <c:numRef>
              <c:f>osipane!$C$4:$G$4</c:f>
              <c:numCache>
                <c:formatCode>0.00_)</c:formatCode>
                <c:ptCount val="5"/>
                <c:pt idx="0">
                  <c:v>3.0071200955984891</c:v>
                </c:pt>
                <c:pt idx="1">
                  <c:v>3.1788488348934423</c:v>
                </c:pt>
                <c:pt idx="2">
                  <c:v>2.7610000000000001</c:v>
                </c:pt>
                <c:pt idx="3">
                  <c:v>2.5473333333333352</c:v>
                </c:pt>
                <c:pt idx="4">
                  <c:v>2.7204999999999999</c:v>
                </c:pt>
              </c:numCache>
            </c:numRef>
          </c:val>
        </c:ser>
        <c:ser>
          <c:idx val="2"/>
          <c:order val="2"/>
          <c:tx>
            <c:strRef>
              <c:f>osipane!$A$5:$B$5</c:f>
              <c:strCache>
                <c:ptCount val="1"/>
                <c:pt idx="0">
                  <c:v>Spotrebiteľské ceny</c:v>
                </c:pt>
              </c:strCache>
            </c:strRef>
          </c:tx>
          <c:invertIfNegative val="0"/>
          <c:dLbls>
            <c:showLegendKey val="0"/>
            <c:showVal val="1"/>
            <c:showCatName val="0"/>
            <c:showSerName val="0"/>
            <c:showPercent val="0"/>
            <c:showBubbleSize val="0"/>
            <c:showLeaderLines val="0"/>
          </c:dLbls>
          <c:cat>
            <c:numRef>
              <c:f>osipane!$C$2:$G$2</c:f>
              <c:numCache>
                <c:formatCode>General</c:formatCode>
                <c:ptCount val="5"/>
                <c:pt idx="0">
                  <c:v>2007</c:v>
                </c:pt>
                <c:pt idx="1">
                  <c:v>2008</c:v>
                </c:pt>
                <c:pt idx="2">
                  <c:v>2009</c:v>
                </c:pt>
                <c:pt idx="3">
                  <c:v>2010</c:v>
                </c:pt>
                <c:pt idx="4">
                  <c:v>2011</c:v>
                </c:pt>
              </c:numCache>
            </c:numRef>
          </c:cat>
          <c:val>
            <c:numRef>
              <c:f>osipane!$C$5:$G$5</c:f>
              <c:numCache>
                <c:formatCode>0.00_)</c:formatCode>
                <c:ptCount val="5"/>
                <c:pt idx="0">
                  <c:v>4.0516165438491694</c:v>
                </c:pt>
                <c:pt idx="1">
                  <c:v>4.2010776958994507</c:v>
                </c:pt>
                <c:pt idx="2">
                  <c:v>3.7794999999999987</c:v>
                </c:pt>
                <c:pt idx="3">
                  <c:v>3.6185</c:v>
                </c:pt>
                <c:pt idx="4">
                  <c:v>3.8856666666666664</c:v>
                </c:pt>
              </c:numCache>
            </c:numRef>
          </c:val>
        </c:ser>
        <c:dLbls>
          <c:showLegendKey val="0"/>
          <c:showVal val="0"/>
          <c:showCatName val="0"/>
          <c:showSerName val="0"/>
          <c:showPercent val="0"/>
          <c:showBubbleSize val="0"/>
        </c:dLbls>
        <c:gapWidth val="150"/>
        <c:axId val="218384256"/>
        <c:axId val="218385792"/>
      </c:barChart>
      <c:catAx>
        <c:axId val="218384256"/>
        <c:scaling>
          <c:orientation val="minMax"/>
        </c:scaling>
        <c:delete val="0"/>
        <c:axPos val="b"/>
        <c:numFmt formatCode="General" sourceLinked="1"/>
        <c:majorTickMark val="out"/>
        <c:minorTickMark val="none"/>
        <c:tickLblPos val="nextTo"/>
        <c:crossAx val="218385792"/>
        <c:crosses val="autoZero"/>
        <c:auto val="1"/>
        <c:lblAlgn val="ctr"/>
        <c:lblOffset val="100"/>
        <c:noMultiLvlLbl val="0"/>
      </c:catAx>
      <c:valAx>
        <c:axId val="218385792"/>
        <c:scaling>
          <c:orientation val="minMax"/>
        </c:scaling>
        <c:delete val="0"/>
        <c:axPos val="l"/>
        <c:numFmt formatCode="0.00_)" sourceLinked="1"/>
        <c:majorTickMark val="out"/>
        <c:minorTickMark val="none"/>
        <c:tickLblPos val="nextTo"/>
        <c:crossAx val="218384256"/>
        <c:crosses val="autoZero"/>
        <c:crossBetween val="between"/>
      </c:valAx>
    </c:plotArea>
    <c:legend>
      <c:legendPos val="b"/>
      <c:layout>
        <c:manualLayout>
          <c:xMode val="edge"/>
          <c:yMode val="edge"/>
          <c:x val="0.14396674530873793"/>
          <c:y val="0.86557707426032915"/>
          <c:w val="0.71206633628919125"/>
          <c:h val="0.13442292573967082"/>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osipane!$A$8</c:f>
              <c:strCache>
                <c:ptCount val="1"/>
                <c:pt idx="0">
                  <c:v>Index cien prvovýrobcov</c:v>
                </c:pt>
              </c:strCache>
            </c:strRef>
          </c:tx>
          <c:dLbls>
            <c:dLbl>
              <c:idx val="0"/>
              <c:layout>
                <c:manualLayout>
                  <c:x val="-0.11456429006703241"/>
                  <c:y val="-4.6296296296296363E-2"/>
                </c:manualLayout>
              </c:layout>
              <c:showLegendKey val="0"/>
              <c:showVal val="1"/>
              <c:showCatName val="0"/>
              <c:showSerName val="0"/>
              <c:showPercent val="0"/>
              <c:showBubbleSize val="0"/>
            </c:dLbl>
            <c:dLbl>
              <c:idx val="1"/>
              <c:layout>
                <c:manualLayout>
                  <c:x val="-1.5387691058782207E-2"/>
                  <c:y val="9.2592175231798121E-3"/>
                </c:manualLayout>
              </c:layout>
              <c:showLegendKey val="0"/>
              <c:showVal val="1"/>
              <c:showCatName val="0"/>
              <c:showSerName val="0"/>
              <c:showPercent val="0"/>
              <c:showBubbleSize val="0"/>
            </c:dLbl>
            <c:dLbl>
              <c:idx val="2"/>
              <c:layout>
                <c:manualLayout>
                  <c:x val="-6.825106642291294E-2"/>
                  <c:y val="-8.3333333333333343E-2"/>
                </c:manualLayout>
              </c:layout>
              <c:showLegendKey val="0"/>
              <c:showVal val="1"/>
              <c:showCatName val="0"/>
              <c:showSerName val="0"/>
              <c:showPercent val="0"/>
              <c:showBubbleSize val="0"/>
            </c:dLbl>
            <c:dLbl>
              <c:idx val="3"/>
              <c:layout>
                <c:manualLayout>
                  <c:x val="-4.8750761730652042E-2"/>
                  <c:y val="-5.555555555555548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osipane!$D$7:$G$7</c:f>
              <c:strCache>
                <c:ptCount val="4"/>
                <c:pt idx="0">
                  <c:v>2008/2007</c:v>
                </c:pt>
                <c:pt idx="1">
                  <c:v>2009/2008</c:v>
                </c:pt>
                <c:pt idx="2">
                  <c:v>2010/2009</c:v>
                </c:pt>
                <c:pt idx="3">
                  <c:v>2011/2010</c:v>
                </c:pt>
              </c:strCache>
            </c:strRef>
          </c:cat>
          <c:val>
            <c:numRef>
              <c:f>osipane!$D$8:$G$8</c:f>
              <c:numCache>
                <c:formatCode>0.00%</c:formatCode>
                <c:ptCount val="4"/>
                <c:pt idx="0">
                  <c:v>1.0986972841686906</c:v>
                </c:pt>
                <c:pt idx="1">
                  <c:v>0.88997628617363367</c:v>
                </c:pt>
                <c:pt idx="2">
                  <c:v>0.94557823129251695</c:v>
                </c:pt>
                <c:pt idx="3">
                  <c:v>1.0935251798561161</c:v>
                </c:pt>
              </c:numCache>
            </c:numRef>
          </c:val>
          <c:smooth val="0"/>
        </c:ser>
        <c:ser>
          <c:idx val="1"/>
          <c:order val="1"/>
          <c:tx>
            <c:strRef>
              <c:f>osipane!$A$9</c:f>
              <c:strCache>
                <c:ptCount val="1"/>
                <c:pt idx="0">
                  <c:v>Index cien spracovateľov</c:v>
                </c:pt>
              </c:strCache>
            </c:strRef>
          </c:tx>
          <c:dLbls>
            <c:dLbl>
              <c:idx val="0"/>
              <c:layout>
                <c:manualLayout>
                  <c:x val="-0.12431444241316272"/>
                  <c:y val="-1.3888888888888911E-2"/>
                </c:manualLayout>
              </c:layout>
              <c:showLegendKey val="0"/>
              <c:showVal val="1"/>
              <c:showCatName val="0"/>
              <c:showSerName val="0"/>
              <c:showPercent val="0"/>
              <c:showBubbleSize val="0"/>
            </c:dLbl>
            <c:dLbl>
              <c:idx val="1"/>
              <c:layout>
                <c:manualLayout>
                  <c:x val="-0.10013328186691563"/>
                  <c:y val="5.7451834914078485E-4"/>
                </c:manualLayout>
              </c:layout>
              <c:showLegendKey val="0"/>
              <c:showVal val="1"/>
              <c:showCatName val="0"/>
              <c:showSerName val="0"/>
              <c:showPercent val="0"/>
              <c:showBubbleSize val="0"/>
            </c:dLbl>
            <c:dLbl>
              <c:idx val="2"/>
              <c:layout>
                <c:manualLayout>
                  <c:x val="-5.1188391899739422E-2"/>
                  <c:y val="3.8794383987077415E-2"/>
                </c:manualLayout>
              </c:layout>
              <c:showLegendKey val="0"/>
              <c:showVal val="1"/>
              <c:showCatName val="0"/>
              <c:showSerName val="0"/>
              <c:showPercent val="0"/>
              <c:showBubbleSize val="0"/>
            </c:dLbl>
            <c:dLbl>
              <c:idx val="3"/>
              <c:layout>
                <c:manualLayout>
                  <c:x val="-1.7062766605728221E-2"/>
                  <c:y val="4.629629629629636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osipane!$D$7:$G$7</c:f>
              <c:strCache>
                <c:ptCount val="4"/>
                <c:pt idx="0">
                  <c:v>2008/2007</c:v>
                </c:pt>
                <c:pt idx="1">
                  <c:v>2009/2008</c:v>
                </c:pt>
                <c:pt idx="2">
                  <c:v>2010/2009</c:v>
                </c:pt>
                <c:pt idx="3">
                  <c:v>2011/2010</c:v>
                </c:pt>
              </c:strCache>
            </c:strRef>
          </c:cat>
          <c:val>
            <c:numRef>
              <c:f>osipane!$D$9:$G$9</c:f>
              <c:numCache>
                <c:formatCode>0.00%</c:formatCode>
                <c:ptCount val="4"/>
                <c:pt idx="0">
                  <c:v>1.0571073764384467</c:v>
                </c:pt>
                <c:pt idx="1">
                  <c:v>0.86855341144038689</c:v>
                </c:pt>
                <c:pt idx="2">
                  <c:v>0.92261257998309776</c:v>
                </c:pt>
                <c:pt idx="3">
                  <c:v>1.0679795864956818</c:v>
                </c:pt>
              </c:numCache>
            </c:numRef>
          </c:val>
          <c:smooth val="0"/>
        </c:ser>
        <c:ser>
          <c:idx val="2"/>
          <c:order val="2"/>
          <c:tx>
            <c:strRef>
              <c:f>osipane!$A$10</c:f>
              <c:strCache>
                <c:ptCount val="1"/>
                <c:pt idx="0">
                  <c:v>Index spotrebiteľských cien</c:v>
                </c:pt>
              </c:strCache>
            </c:strRef>
          </c:tx>
          <c:dLbls>
            <c:dLbl>
              <c:idx val="0"/>
              <c:layout>
                <c:manualLayout>
                  <c:x val="-9.2626447288238975E-2"/>
                  <c:y val="6.0185185185185147E-2"/>
                </c:manualLayout>
              </c:layout>
              <c:showLegendKey val="0"/>
              <c:showVal val="1"/>
              <c:showCatName val="0"/>
              <c:showSerName val="0"/>
              <c:showPercent val="0"/>
              <c:showBubbleSize val="0"/>
            </c:dLbl>
            <c:dLbl>
              <c:idx val="1"/>
              <c:layout>
                <c:manualLayout>
                  <c:x val="-2.9250457038391225E-2"/>
                  <c:y val="-7.407407407407407E-2"/>
                </c:manualLayout>
              </c:layout>
              <c:showLegendKey val="0"/>
              <c:showVal val="1"/>
              <c:showCatName val="0"/>
              <c:showSerName val="0"/>
              <c:showPercent val="0"/>
              <c:showBubbleSize val="0"/>
            </c:dLbl>
            <c:dLbl>
              <c:idx val="2"/>
              <c:layout>
                <c:manualLayout>
                  <c:x val="-4.8752681051980155E-3"/>
                  <c:y val="1.8518518518518538E-2"/>
                </c:manualLayout>
              </c:layout>
              <c:showLegendKey val="0"/>
              <c:showVal val="1"/>
              <c:showCatName val="0"/>
              <c:showSerName val="0"/>
              <c:showPercent val="0"/>
              <c:showBubbleSize val="0"/>
            </c:dLbl>
            <c:dLbl>
              <c:idx val="3"/>
              <c:layout>
                <c:manualLayout>
                  <c:x val="-4.8750761730652044E-3"/>
                  <c:y val="-9.259259259259281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osipane!$D$7:$G$7</c:f>
              <c:strCache>
                <c:ptCount val="4"/>
                <c:pt idx="0">
                  <c:v>2008/2007</c:v>
                </c:pt>
                <c:pt idx="1">
                  <c:v>2009/2008</c:v>
                </c:pt>
                <c:pt idx="2">
                  <c:v>2010/2009</c:v>
                </c:pt>
                <c:pt idx="3">
                  <c:v>2011/2010</c:v>
                </c:pt>
              </c:strCache>
            </c:strRef>
          </c:cat>
          <c:val>
            <c:numRef>
              <c:f>osipane!$D$10:$G$10</c:f>
              <c:numCache>
                <c:formatCode>0.00%</c:formatCode>
                <c:ptCount val="4"/>
                <c:pt idx="0">
                  <c:v>1.0368892639352021</c:v>
                </c:pt>
                <c:pt idx="1">
                  <c:v>0.89965010732580963</c:v>
                </c:pt>
                <c:pt idx="2">
                  <c:v>0.95740177272125948</c:v>
                </c:pt>
                <c:pt idx="3">
                  <c:v>1.0738335406015382</c:v>
                </c:pt>
              </c:numCache>
            </c:numRef>
          </c:val>
          <c:smooth val="0"/>
        </c:ser>
        <c:dLbls>
          <c:showLegendKey val="0"/>
          <c:showVal val="0"/>
          <c:showCatName val="0"/>
          <c:showSerName val="0"/>
          <c:showPercent val="0"/>
          <c:showBubbleSize val="0"/>
        </c:dLbls>
        <c:marker val="1"/>
        <c:smooth val="0"/>
        <c:axId val="218421120"/>
        <c:axId val="218422656"/>
      </c:lineChart>
      <c:catAx>
        <c:axId val="218421120"/>
        <c:scaling>
          <c:orientation val="minMax"/>
        </c:scaling>
        <c:delete val="0"/>
        <c:axPos val="b"/>
        <c:majorTickMark val="out"/>
        <c:minorTickMark val="none"/>
        <c:tickLblPos val="nextTo"/>
        <c:crossAx val="218422656"/>
        <c:crosses val="autoZero"/>
        <c:auto val="1"/>
        <c:lblAlgn val="ctr"/>
        <c:lblOffset val="100"/>
        <c:noMultiLvlLbl val="0"/>
      </c:catAx>
      <c:valAx>
        <c:axId val="218422656"/>
        <c:scaling>
          <c:orientation val="minMax"/>
          <c:min val="0.85000000000000064"/>
        </c:scaling>
        <c:delete val="0"/>
        <c:axPos val="l"/>
        <c:numFmt formatCode="0.00%" sourceLinked="1"/>
        <c:majorTickMark val="out"/>
        <c:minorTickMark val="none"/>
        <c:tickLblPos val="nextTo"/>
        <c:crossAx val="218421120"/>
        <c:crosses val="autoZero"/>
        <c:crossBetween val="between"/>
      </c:valAx>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8871429617553351"/>
          <c:y val="0.13269361083261672"/>
          <c:w val="0.63712835455039585"/>
          <c:h val="0.63983174096192152"/>
        </c:manualLayout>
      </c:layout>
      <c:lineChart>
        <c:grouping val="standard"/>
        <c:varyColors val="0"/>
        <c:ser>
          <c:idx val="0"/>
          <c:order val="0"/>
          <c:tx>
            <c:strRef>
              <c:f>hydina!$A$17</c:f>
              <c:strCache>
                <c:ptCount val="1"/>
                <c:pt idx="0">
                  <c:v>Hrubá domáca produkcia v tonách jatočnej hmotnosti</c:v>
                </c:pt>
              </c:strCache>
            </c:strRef>
          </c:tx>
          <c:spPr>
            <a:ln>
              <a:solidFill>
                <a:schemeClr val="tx1">
                  <a:lumMod val="95000"/>
                  <a:lumOff val="5000"/>
                </a:schemeClr>
              </a:solidFill>
            </a:ln>
          </c:spPr>
          <c:marker>
            <c:spPr>
              <a:solidFill>
                <a:schemeClr val="tx1"/>
              </a:solidFill>
            </c:spPr>
          </c:marker>
          <c:dLbls>
            <c:dLbl>
              <c:idx val="0"/>
              <c:layout>
                <c:manualLayout>
                  <c:x val="-7.395496717441627E-2"/>
                  <c:y val="6.0586342968869493E-2"/>
                </c:manualLayout>
              </c:layout>
              <c:showLegendKey val="0"/>
              <c:showVal val="1"/>
              <c:showCatName val="0"/>
              <c:showSerName val="0"/>
              <c:showPercent val="0"/>
              <c:showBubbleSize val="0"/>
            </c:dLbl>
            <c:dLbl>
              <c:idx val="1"/>
              <c:layout>
                <c:manualLayout>
                  <c:x val="-1.4906832298136665E-2"/>
                  <c:y val="-4.3496439272410828E-2"/>
                </c:manualLayout>
              </c:layout>
              <c:showLegendKey val="0"/>
              <c:showVal val="1"/>
              <c:showCatName val="0"/>
              <c:showSerName val="0"/>
              <c:showPercent val="0"/>
              <c:showBubbleSize val="0"/>
            </c:dLbl>
            <c:dLbl>
              <c:idx val="2"/>
              <c:layout>
                <c:manualLayout>
                  <c:x val="-3.4782608695652174E-2"/>
                  <c:y val="4.6842319216442337E-2"/>
                </c:manualLayout>
              </c:layout>
              <c:showLegendKey val="0"/>
              <c:showVal val="1"/>
              <c:showCatName val="0"/>
              <c:showSerName val="0"/>
              <c:showPercent val="0"/>
              <c:showBubbleSize val="0"/>
            </c:dLbl>
            <c:dLbl>
              <c:idx val="3"/>
              <c:layout>
                <c:manualLayout>
                  <c:x val="-4.3064182194616982E-2"/>
                  <c:y val="4.3496439272410828E-2"/>
                </c:manualLayout>
              </c:layout>
              <c:showLegendKey val="0"/>
              <c:showVal val="1"/>
              <c:showCatName val="0"/>
              <c:showSerName val="0"/>
              <c:showPercent val="0"/>
              <c:showBubbleSize val="0"/>
            </c:dLbl>
            <c:dLbl>
              <c:idx val="4"/>
              <c:layout>
                <c:manualLayout>
                  <c:x val="-2.4844720496894412E-2"/>
                  <c:y val="3.680467938434758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hydina!$B$16:$F$16</c:f>
              <c:numCache>
                <c:formatCode>General</c:formatCode>
                <c:ptCount val="5"/>
                <c:pt idx="0">
                  <c:v>2002</c:v>
                </c:pt>
                <c:pt idx="1">
                  <c:v>2008</c:v>
                </c:pt>
                <c:pt idx="2">
                  <c:v>2009</c:v>
                </c:pt>
                <c:pt idx="3">
                  <c:v>2010</c:v>
                </c:pt>
                <c:pt idx="4">
                  <c:v>2011</c:v>
                </c:pt>
              </c:numCache>
            </c:numRef>
          </c:cat>
          <c:val>
            <c:numRef>
              <c:f>hydina!$B$17:$F$17</c:f>
              <c:numCache>
                <c:formatCode>#,##0</c:formatCode>
                <c:ptCount val="5"/>
                <c:pt idx="0">
                  <c:v>98109</c:v>
                </c:pt>
                <c:pt idx="1">
                  <c:v>75130</c:v>
                </c:pt>
                <c:pt idx="2">
                  <c:v>79088</c:v>
                </c:pt>
                <c:pt idx="3">
                  <c:v>87998</c:v>
                </c:pt>
                <c:pt idx="4">
                  <c:v>72253</c:v>
                </c:pt>
              </c:numCache>
            </c:numRef>
          </c:val>
          <c:smooth val="0"/>
        </c:ser>
        <c:dLbls>
          <c:showLegendKey val="0"/>
          <c:showVal val="0"/>
          <c:showCatName val="0"/>
          <c:showSerName val="0"/>
          <c:showPercent val="0"/>
          <c:showBubbleSize val="0"/>
        </c:dLbls>
        <c:marker val="1"/>
        <c:smooth val="0"/>
        <c:axId val="218679552"/>
        <c:axId val="218693632"/>
      </c:lineChart>
      <c:lineChart>
        <c:grouping val="standard"/>
        <c:varyColors val="0"/>
        <c:ser>
          <c:idx val="1"/>
          <c:order val="1"/>
          <c:tx>
            <c:strRef>
              <c:f>hydina!$A$18</c:f>
              <c:strCache>
                <c:ptCount val="1"/>
                <c:pt idx="0">
                  <c:v>Počet hydiny v tis. kusov</c:v>
                </c:pt>
              </c:strCache>
            </c:strRef>
          </c:tx>
          <c:spPr>
            <a:ln>
              <a:solidFill>
                <a:schemeClr val="bg1">
                  <a:lumMod val="75000"/>
                </a:schemeClr>
              </a:solidFill>
            </a:ln>
          </c:spPr>
          <c:dLbls>
            <c:dLbl>
              <c:idx val="0"/>
              <c:layout>
                <c:manualLayout>
                  <c:x val="-6.9534989995714933E-2"/>
                  <c:y val="-5.7212861788321495E-2"/>
                </c:manualLayout>
              </c:layout>
              <c:showLegendKey val="0"/>
              <c:showVal val="1"/>
              <c:showCatName val="0"/>
              <c:showSerName val="0"/>
              <c:showPercent val="0"/>
              <c:showBubbleSize val="0"/>
            </c:dLbl>
            <c:dLbl>
              <c:idx val="1"/>
              <c:layout>
                <c:manualLayout>
                  <c:x val="-4.9689440993788823E-2"/>
                  <c:y val="4.3496439272410828E-2"/>
                </c:manualLayout>
              </c:layout>
              <c:showLegendKey val="0"/>
              <c:showVal val="1"/>
              <c:showCatName val="0"/>
              <c:showSerName val="0"/>
              <c:showPercent val="0"/>
              <c:showBubbleSize val="0"/>
            </c:dLbl>
            <c:dLbl>
              <c:idx val="2"/>
              <c:layout>
                <c:manualLayout>
                  <c:x val="-8.7784679089027026E-2"/>
                  <c:y val="2.0075279664189646E-2"/>
                </c:manualLayout>
              </c:layout>
              <c:showLegendKey val="0"/>
              <c:showVal val="1"/>
              <c:showCatName val="0"/>
              <c:showSerName val="0"/>
              <c:showPercent val="0"/>
              <c:showBubbleSize val="0"/>
            </c:dLbl>
            <c:dLbl>
              <c:idx val="3"/>
              <c:layout>
                <c:manualLayout>
                  <c:x val="-2.4844720496894412E-2"/>
                  <c:y val="-5.3534079104505528E-2"/>
                </c:manualLayout>
              </c:layout>
              <c:showLegendKey val="0"/>
              <c:showVal val="1"/>
              <c:showCatName val="0"/>
              <c:showSerName val="0"/>
              <c:showPercent val="0"/>
              <c:showBubbleSize val="0"/>
            </c:dLbl>
            <c:dLbl>
              <c:idx val="4"/>
              <c:layout>
                <c:manualLayout>
                  <c:x val="-1.6563146997929608E-2"/>
                  <c:y val="-3.011291949628443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hydina!$B$16:$F$16</c:f>
              <c:numCache>
                <c:formatCode>General</c:formatCode>
                <c:ptCount val="5"/>
                <c:pt idx="0">
                  <c:v>2002</c:v>
                </c:pt>
                <c:pt idx="1">
                  <c:v>2008</c:v>
                </c:pt>
                <c:pt idx="2">
                  <c:v>2009</c:v>
                </c:pt>
                <c:pt idx="3">
                  <c:v>2010</c:v>
                </c:pt>
                <c:pt idx="4">
                  <c:v>2011</c:v>
                </c:pt>
              </c:numCache>
            </c:numRef>
          </c:cat>
          <c:val>
            <c:numRef>
              <c:f>hydina!$B$18:$F$18</c:f>
              <c:numCache>
                <c:formatCode>#,##0.0</c:formatCode>
                <c:ptCount val="5"/>
                <c:pt idx="0" formatCode="#,##0">
                  <c:v>13959.4</c:v>
                </c:pt>
                <c:pt idx="1">
                  <c:v>11228.1</c:v>
                </c:pt>
                <c:pt idx="2">
                  <c:v>13583.3</c:v>
                </c:pt>
                <c:pt idx="3">
                  <c:v>12991.9</c:v>
                </c:pt>
                <c:pt idx="4">
                  <c:v>11375.6</c:v>
                </c:pt>
              </c:numCache>
            </c:numRef>
          </c:val>
          <c:smooth val="0"/>
        </c:ser>
        <c:dLbls>
          <c:showLegendKey val="0"/>
          <c:showVal val="0"/>
          <c:showCatName val="0"/>
          <c:showSerName val="0"/>
          <c:showPercent val="0"/>
          <c:showBubbleSize val="0"/>
        </c:dLbls>
        <c:marker val="1"/>
        <c:smooth val="0"/>
        <c:axId val="218696704"/>
        <c:axId val="218695168"/>
      </c:lineChart>
      <c:catAx>
        <c:axId val="218679552"/>
        <c:scaling>
          <c:orientation val="minMax"/>
        </c:scaling>
        <c:delete val="0"/>
        <c:axPos val="b"/>
        <c:numFmt formatCode="General" sourceLinked="1"/>
        <c:majorTickMark val="out"/>
        <c:minorTickMark val="none"/>
        <c:tickLblPos val="nextTo"/>
        <c:crossAx val="218693632"/>
        <c:crosses val="autoZero"/>
        <c:auto val="1"/>
        <c:lblAlgn val="ctr"/>
        <c:lblOffset val="100"/>
        <c:noMultiLvlLbl val="0"/>
      </c:catAx>
      <c:valAx>
        <c:axId val="218693632"/>
        <c:scaling>
          <c:orientation val="minMax"/>
          <c:min val="60000"/>
        </c:scaling>
        <c:delete val="0"/>
        <c:axPos val="l"/>
        <c:numFmt formatCode="#,##0" sourceLinked="1"/>
        <c:majorTickMark val="out"/>
        <c:minorTickMark val="none"/>
        <c:tickLblPos val="nextTo"/>
        <c:crossAx val="218679552"/>
        <c:crosses val="autoZero"/>
        <c:crossBetween val="between"/>
      </c:valAx>
      <c:valAx>
        <c:axId val="218695168"/>
        <c:scaling>
          <c:orientation val="minMax"/>
          <c:min val="10000"/>
        </c:scaling>
        <c:delete val="0"/>
        <c:axPos val="r"/>
        <c:numFmt formatCode="#,##0" sourceLinked="1"/>
        <c:majorTickMark val="out"/>
        <c:minorTickMark val="none"/>
        <c:tickLblPos val="nextTo"/>
        <c:crossAx val="218696704"/>
        <c:crosses val="max"/>
        <c:crossBetween val="between"/>
      </c:valAx>
      <c:catAx>
        <c:axId val="218696704"/>
        <c:scaling>
          <c:orientation val="minMax"/>
        </c:scaling>
        <c:delete val="1"/>
        <c:axPos val="b"/>
        <c:numFmt formatCode="General" sourceLinked="1"/>
        <c:majorTickMark val="out"/>
        <c:minorTickMark val="none"/>
        <c:tickLblPos val="nextTo"/>
        <c:crossAx val="218695168"/>
        <c:crosses val="autoZero"/>
        <c:auto val="1"/>
        <c:lblAlgn val="ctr"/>
        <c:lblOffset val="100"/>
        <c:noMultiLvlLbl val="0"/>
      </c:catAx>
    </c:plotArea>
    <c:legend>
      <c:legendPos val="b"/>
      <c:layout>
        <c:manualLayout>
          <c:xMode val="edge"/>
          <c:yMode val="edge"/>
          <c:x val="6.2534096281443186E-2"/>
          <c:y val="0.8482419508535034"/>
          <c:w val="0.89812008281573497"/>
          <c:h val="0.13168276948230806"/>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hydina!$A$22</c:f>
              <c:strCache>
                <c:ptCount val="1"/>
                <c:pt idx="0">
                  <c:v>Hrubá domáca produkcia v tonách jatočnej hmotnosti</c:v>
                </c:pt>
              </c:strCache>
            </c:strRef>
          </c:tx>
          <c:spPr>
            <a:solidFill>
              <a:schemeClr val="bg1">
                <a:lumMod val="75000"/>
              </a:schemeClr>
            </a:solidFill>
          </c:spPr>
          <c:invertIfNegative val="0"/>
          <c:dLbls>
            <c:showLegendKey val="0"/>
            <c:showVal val="1"/>
            <c:showCatName val="0"/>
            <c:showSerName val="0"/>
            <c:showPercent val="0"/>
            <c:showBubbleSize val="0"/>
            <c:showLeaderLines val="0"/>
          </c:dLbls>
          <c:cat>
            <c:numRef>
              <c:f>hydina!$B$21:$E$21</c:f>
              <c:numCache>
                <c:formatCode>General</c:formatCode>
                <c:ptCount val="4"/>
                <c:pt idx="0">
                  <c:v>2008</c:v>
                </c:pt>
                <c:pt idx="1">
                  <c:v>2009</c:v>
                </c:pt>
                <c:pt idx="2">
                  <c:v>2010</c:v>
                </c:pt>
                <c:pt idx="3">
                  <c:v>2011</c:v>
                </c:pt>
              </c:numCache>
            </c:numRef>
          </c:cat>
          <c:val>
            <c:numRef>
              <c:f>hydina!$B$22:$E$22</c:f>
              <c:numCache>
                <c:formatCode>#,##0</c:formatCode>
                <c:ptCount val="4"/>
                <c:pt idx="0">
                  <c:v>75130</c:v>
                </c:pt>
                <c:pt idx="1">
                  <c:v>79088</c:v>
                </c:pt>
                <c:pt idx="2">
                  <c:v>87998</c:v>
                </c:pt>
                <c:pt idx="3">
                  <c:v>72253</c:v>
                </c:pt>
              </c:numCache>
            </c:numRef>
          </c:val>
        </c:ser>
        <c:dLbls>
          <c:showLegendKey val="0"/>
          <c:showVal val="0"/>
          <c:showCatName val="0"/>
          <c:showSerName val="0"/>
          <c:showPercent val="0"/>
          <c:showBubbleSize val="0"/>
        </c:dLbls>
        <c:gapWidth val="150"/>
        <c:axId val="218752896"/>
        <c:axId val="218754432"/>
      </c:barChart>
      <c:lineChart>
        <c:grouping val="standard"/>
        <c:varyColors val="0"/>
        <c:ser>
          <c:idx val="1"/>
          <c:order val="1"/>
          <c:tx>
            <c:strRef>
              <c:f>hydina!$A$23</c:f>
              <c:strCache>
                <c:ptCount val="1"/>
                <c:pt idx="0">
                  <c:v>Zabitia jatočnej hydiny na bitúnkoch v tonách jatočnej hmotnosti</c:v>
                </c:pt>
              </c:strCache>
            </c:strRef>
          </c:tx>
          <c:spPr>
            <a:ln>
              <a:solidFill>
                <a:schemeClr val="tx1"/>
              </a:solidFill>
            </a:ln>
          </c:spPr>
          <c:marker>
            <c:spPr>
              <a:solidFill>
                <a:schemeClr val="tx1"/>
              </a:solidFill>
            </c:spPr>
          </c:marker>
          <c:dLbls>
            <c:dLbl>
              <c:idx val="0"/>
              <c:layout>
                <c:manualLayout>
                  <c:x val="-5.5555555555555483E-2"/>
                  <c:y val="5.5555555555555483E-2"/>
                </c:manualLayout>
              </c:layout>
              <c:showLegendKey val="0"/>
              <c:showVal val="1"/>
              <c:showCatName val="0"/>
              <c:showSerName val="0"/>
              <c:showPercent val="0"/>
              <c:showBubbleSize val="0"/>
            </c:dLbl>
            <c:dLbl>
              <c:idx val="1"/>
              <c:layout>
                <c:manualLayout>
                  <c:x val="-6.9444444444444503E-2"/>
                  <c:y val="4.6296296296296363E-2"/>
                </c:manualLayout>
              </c:layout>
              <c:showLegendKey val="0"/>
              <c:showVal val="1"/>
              <c:showCatName val="0"/>
              <c:showSerName val="0"/>
              <c:showPercent val="0"/>
              <c:showBubbleSize val="0"/>
            </c:dLbl>
            <c:dLbl>
              <c:idx val="2"/>
              <c:layout>
                <c:manualLayout>
                  <c:x val="-6.3888888888888884E-2"/>
                  <c:y val="5.0925925925925992E-2"/>
                </c:manualLayout>
              </c:layout>
              <c:showLegendKey val="0"/>
              <c:showVal val="1"/>
              <c:showCatName val="0"/>
              <c:showSerName val="0"/>
              <c:showPercent val="0"/>
              <c:showBubbleSize val="0"/>
            </c:dLbl>
            <c:dLbl>
              <c:idx val="3"/>
              <c:layout>
                <c:manualLayout>
                  <c:x val="-6.1111111111111123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hydina!$B$21:$E$21</c:f>
              <c:numCache>
                <c:formatCode>General</c:formatCode>
                <c:ptCount val="4"/>
                <c:pt idx="0">
                  <c:v>2008</c:v>
                </c:pt>
                <c:pt idx="1">
                  <c:v>2009</c:v>
                </c:pt>
                <c:pt idx="2">
                  <c:v>2010</c:v>
                </c:pt>
                <c:pt idx="3">
                  <c:v>2011</c:v>
                </c:pt>
              </c:numCache>
            </c:numRef>
          </c:cat>
          <c:val>
            <c:numRef>
              <c:f>hydina!$B$23:$E$23</c:f>
              <c:numCache>
                <c:formatCode>#,##0.0</c:formatCode>
                <c:ptCount val="4"/>
                <c:pt idx="0">
                  <c:v>70787</c:v>
                </c:pt>
                <c:pt idx="1">
                  <c:v>68890.100000000006</c:v>
                </c:pt>
                <c:pt idx="2">
                  <c:v>63956.5</c:v>
                </c:pt>
                <c:pt idx="3">
                  <c:v>56687.8</c:v>
                </c:pt>
              </c:numCache>
            </c:numRef>
          </c:val>
          <c:smooth val="0"/>
        </c:ser>
        <c:dLbls>
          <c:showLegendKey val="0"/>
          <c:showVal val="0"/>
          <c:showCatName val="0"/>
          <c:showSerName val="0"/>
          <c:showPercent val="0"/>
          <c:showBubbleSize val="0"/>
        </c:dLbls>
        <c:marker val="1"/>
        <c:smooth val="0"/>
        <c:axId val="218752896"/>
        <c:axId val="218754432"/>
      </c:lineChart>
      <c:catAx>
        <c:axId val="218752896"/>
        <c:scaling>
          <c:orientation val="minMax"/>
        </c:scaling>
        <c:delete val="0"/>
        <c:axPos val="b"/>
        <c:numFmt formatCode="General" sourceLinked="1"/>
        <c:majorTickMark val="out"/>
        <c:minorTickMark val="none"/>
        <c:tickLblPos val="nextTo"/>
        <c:crossAx val="218754432"/>
        <c:crosses val="autoZero"/>
        <c:auto val="1"/>
        <c:lblAlgn val="ctr"/>
        <c:lblOffset val="100"/>
        <c:noMultiLvlLbl val="0"/>
      </c:catAx>
      <c:valAx>
        <c:axId val="218754432"/>
        <c:scaling>
          <c:orientation val="minMax"/>
        </c:scaling>
        <c:delete val="0"/>
        <c:axPos val="l"/>
        <c:numFmt formatCode="#,##0" sourceLinked="1"/>
        <c:majorTickMark val="out"/>
        <c:minorTickMark val="none"/>
        <c:tickLblPos val="nextTo"/>
        <c:crossAx val="218752896"/>
        <c:crosses val="autoZero"/>
        <c:crossBetween val="between"/>
      </c:valAx>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dLbls>
            <c:dLbl>
              <c:idx val="0"/>
              <c:layout>
                <c:manualLayout>
                  <c:x val="-5.2044239010163439E-2"/>
                  <c:y val="0.12896747281589824"/>
                </c:manualLayout>
              </c:layout>
              <c:showLegendKey val="0"/>
              <c:showVal val="1"/>
              <c:showCatName val="0"/>
              <c:showSerName val="0"/>
              <c:showPercent val="0"/>
              <c:showBubbleSize val="0"/>
            </c:dLbl>
            <c:dLbl>
              <c:idx val="1"/>
              <c:layout>
                <c:manualLayout>
                  <c:x val="-5.9561630567813981E-2"/>
                  <c:y val="0.12632249093863268"/>
                </c:manualLayout>
              </c:layout>
              <c:showLegendKey val="0"/>
              <c:showVal val="1"/>
              <c:showCatName val="0"/>
              <c:showSerName val="0"/>
              <c:showPercent val="0"/>
              <c:showBubbleSize val="0"/>
            </c:dLbl>
            <c:dLbl>
              <c:idx val="2"/>
              <c:layout>
                <c:manualLayout>
                  <c:x val="-4.4119726346528901E-2"/>
                  <c:y val="0.1190476190476191"/>
                </c:manualLayout>
              </c:layout>
              <c:showLegendKey val="0"/>
              <c:showVal val="1"/>
              <c:showCatName val="0"/>
              <c:showSerName val="0"/>
              <c:showPercent val="0"/>
              <c:showBubbleSize val="0"/>
            </c:dLbl>
            <c:dLbl>
              <c:idx val="3"/>
              <c:layout>
                <c:manualLayout>
                  <c:x val="-5.2943671615834638E-2"/>
                  <c:y val="0.1190476190476191"/>
                </c:manualLayout>
              </c:layout>
              <c:showLegendKey val="0"/>
              <c:showVal val="1"/>
              <c:showCatName val="0"/>
              <c:showSerName val="0"/>
              <c:showPercent val="0"/>
              <c:showBubbleSize val="0"/>
            </c:dLbl>
            <c:dLbl>
              <c:idx val="4"/>
              <c:layout>
                <c:manualLayout>
                  <c:x val="-5.0737685298508209E-2"/>
                  <c:y val="9.92063492063492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potravinarstvo!$B$1:$G$1</c:f>
              <c:numCache>
                <c:formatCode>General</c:formatCode>
                <c:ptCount val="6"/>
                <c:pt idx="0">
                  <c:v>2002</c:v>
                </c:pt>
                <c:pt idx="1">
                  <c:v>2007</c:v>
                </c:pt>
                <c:pt idx="2">
                  <c:v>2008</c:v>
                </c:pt>
                <c:pt idx="3">
                  <c:v>2009</c:v>
                </c:pt>
                <c:pt idx="4">
                  <c:v>2010</c:v>
                </c:pt>
                <c:pt idx="5">
                  <c:v>2011</c:v>
                </c:pt>
              </c:numCache>
            </c:numRef>
          </c:cat>
          <c:val>
            <c:numRef>
              <c:f>potravinarstvo!$B$2:$G$2</c:f>
              <c:numCache>
                <c:formatCode>General</c:formatCode>
                <c:ptCount val="6"/>
                <c:pt idx="0">
                  <c:v>66.400000000000006</c:v>
                </c:pt>
                <c:pt idx="1">
                  <c:v>58.7</c:v>
                </c:pt>
                <c:pt idx="2">
                  <c:v>56.3</c:v>
                </c:pt>
                <c:pt idx="3">
                  <c:v>60.1</c:v>
                </c:pt>
                <c:pt idx="4">
                  <c:v>55.3</c:v>
                </c:pt>
                <c:pt idx="5">
                  <c:v>49.6</c:v>
                </c:pt>
              </c:numCache>
            </c:numRef>
          </c:val>
          <c:smooth val="0"/>
        </c:ser>
        <c:dLbls>
          <c:showLegendKey val="0"/>
          <c:showVal val="0"/>
          <c:showCatName val="0"/>
          <c:showSerName val="0"/>
          <c:showPercent val="0"/>
          <c:showBubbleSize val="0"/>
        </c:dLbls>
        <c:marker val="1"/>
        <c:smooth val="0"/>
        <c:axId val="114232704"/>
        <c:axId val="114250880"/>
      </c:lineChart>
      <c:catAx>
        <c:axId val="114232704"/>
        <c:scaling>
          <c:orientation val="minMax"/>
        </c:scaling>
        <c:delete val="0"/>
        <c:axPos val="b"/>
        <c:numFmt formatCode="General" sourceLinked="1"/>
        <c:majorTickMark val="out"/>
        <c:minorTickMark val="none"/>
        <c:tickLblPos val="nextTo"/>
        <c:crossAx val="114250880"/>
        <c:crosses val="autoZero"/>
        <c:auto val="1"/>
        <c:lblAlgn val="ctr"/>
        <c:lblOffset val="100"/>
        <c:noMultiLvlLbl val="0"/>
      </c:catAx>
      <c:valAx>
        <c:axId val="114250880"/>
        <c:scaling>
          <c:orientation val="minMax"/>
          <c:min val="40"/>
        </c:scaling>
        <c:delete val="0"/>
        <c:axPos val="l"/>
        <c:numFmt formatCode="General" sourceLinked="1"/>
        <c:majorTickMark val="out"/>
        <c:minorTickMark val="none"/>
        <c:tickLblPos val="nextTo"/>
        <c:crossAx val="114232704"/>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dLbls>
            <c:dLbl>
              <c:idx val="2"/>
              <c:layout>
                <c:manualLayout>
                  <c:x val="-1.6666666666666687E-2"/>
                  <c:y val="4.166666666666676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hydina!$B$44:$E$44</c:f>
              <c:numCache>
                <c:formatCode>General</c:formatCode>
                <c:ptCount val="4"/>
                <c:pt idx="0">
                  <c:v>2008</c:v>
                </c:pt>
                <c:pt idx="1">
                  <c:v>2009</c:v>
                </c:pt>
                <c:pt idx="2">
                  <c:v>2010</c:v>
                </c:pt>
                <c:pt idx="3">
                  <c:v>2011</c:v>
                </c:pt>
              </c:numCache>
            </c:numRef>
          </c:cat>
          <c:val>
            <c:numRef>
              <c:f>hydina!$B$45:$E$45</c:f>
              <c:numCache>
                <c:formatCode>#,##0.0</c:formatCode>
                <c:ptCount val="4"/>
                <c:pt idx="0">
                  <c:v>19.3</c:v>
                </c:pt>
                <c:pt idx="1">
                  <c:v>20.7</c:v>
                </c:pt>
                <c:pt idx="2">
                  <c:v>19</c:v>
                </c:pt>
                <c:pt idx="3">
                  <c:v>19.3</c:v>
                </c:pt>
              </c:numCache>
            </c:numRef>
          </c:val>
          <c:smooth val="0"/>
        </c:ser>
        <c:ser>
          <c:idx val="1"/>
          <c:order val="1"/>
          <c:tx>
            <c:v>rok 2002</c:v>
          </c:tx>
          <c:marker>
            <c:symbol val="none"/>
          </c:marker>
          <c:val>
            <c:numRef>
              <c:f>hydina!$B$48:$E$48</c:f>
              <c:numCache>
                <c:formatCode>General</c:formatCode>
                <c:ptCount val="4"/>
                <c:pt idx="0">
                  <c:v>20.100000000000001</c:v>
                </c:pt>
                <c:pt idx="1">
                  <c:v>20.100000000000001</c:v>
                </c:pt>
                <c:pt idx="2">
                  <c:v>20.100000000000001</c:v>
                </c:pt>
                <c:pt idx="3">
                  <c:v>20.100000000000001</c:v>
                </c:pt>
              </c:numCache>
            </c:numRef>
          </c:val>
          <c:smooth val="0"/>
        </c:ser>
        <c:dLbls>
          <c:showLegendKey val="0"/>
          <c:showVal val="0"/>
          <c:showCatName val="0"/>
          <c:showSerName val="0"/>
          <c:showPercent val="0"/>
          <c:showBubbleSize val="0"/>
        </c:dLbls>
        <c:marker val="1"/>
        <c:smooth val="0"/>
        <c:axId val="218780800"/>
        <c:axId val="218782336"/>
      </c:lineChart>
      <c:catAx>
        <c:axId val="218780800"/>
        <c:scaling>
          <c:orientation val="minMax"/>
        </c:scaling>
        <c:delete val="0"/>
        <c:axPos val="b"/>
        <c:numFmt formatCode="General" sourceLinked="1"/>
        <c:majorTickMark val="out"/>
        <c:minorTickMark val="none"/>
        <c:tickLblPos val="nextTo"/>
        <c:crossAx val="218782336"/>
        <c:crosses val="autoZero"/>
        <c:auto val="1"/>
        <c:lblAlgn val="ctr"/>
        <c:lblOffset val="100"/>
        <c:noMultiLvlLbl val="0"/>
      </c:catAx>
      <c:valAx>
        <c:axId val="218782336"/>
        <c:scaling>
          <c:orientation val="minMax"/>
        </c:scaling>
        <c:delete val="0"/>
        <c:axPos val="l"/>
        <c:numFmt formatCode="#,##0.0" sourceLinked="1"/>
        <c:majorTickMark val="out"/>
        <c:minorTickMark val="none"/>
        <c:tickLblPos val="nextTo"/>
        <c:crossAx val="218780800"/>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7518778376795022E-2"/>
          <c:y val="6.6285025610123519E-2"/>
          <c:w val="0.89812338282781057"/>
          <c:h val="0.70184264779496719"/>
        </c:manualLayout>
      </c:layout>
      <c:barChart>
        <c:barDir val="col"/>
        <c:grouping val="clustered"/>
        <c:varyColors val="0"/>
        <c:ser>
          <c:idx val="0"/>
          <c:order val="0"/>
          <c:tx>
            <c:strRef>
              <c:f>hydina!$A$3:$B$3</c:f>
              <c:strCache>
                <c:ptCount val="1"/>
                <c:pt idx="0">
                  <c:v>Ceny prvovýrobcov</c:v>
                </c:pt>
              </c:strCache>
            </c:strRef>
          </c:tx>
          <c:invertIfNegative val="0"/>
          <c:dLbls>
            <c:showLegendKey val="0"/>
            <c:showVal val="1"/>
            <c:showCatName val="0"/>
            <c:showSerName val="0"/>
            <c:showPercent val="0"/>
            <c:showBubbleSize val="0"/>
            <c:showLeaderLines val="0"/>
          </c:dLbls>
          <c:cat>
            <c:numRef>
              <c:f>hydina!$C$2:$G$2</c:f>
              <c:numCache>
                <c:formatCode>General</c:formatCode>
                <c:ptCount val="5"/>
                <c:pt idx="0">
                  <c:v>2007</c:v>
                </c:pt>
                <c:pt idx="1">
                  <c:v>2008</c:v>
                </c:pt>
                <c:pt idx="2">
                  <c:v>2009</c:v>
                </c:pt>
                <c:pt idx="3">
                  <c:v>2010</c:v>
                </c:pt>
                <c:pt idx="4">
                  <c:v>2011</c:v>
                </c:pt>
              </c:numCache>
            </c:numRef>
          </c:cat>
          <c:val>
            <c:numRef>
              <c:f>hydina!$C$3:$G$3</c:f>
              <c:numCache>
                <c:formatCode>0.00_)</c:formatCode>
                <c:ptCount val="5"/>
                <c:pt idx="0">
                  <c:v>0.89500000000000002</c:v>
                </c:pt>
                <c:pt idx="1">
                  <c:v>0.97540000000000004</c:v>
                </c:pt>
                <c:pt idx="2">
                  <c:v>0.79270000000000063</c:v>
                </c:pt>
                <c:pt idx="3">
                  <c:v>0.78839999999999999</c:v>
                </c:pt>
                <c:pt idx="4">
                  <c:v>0.91179999999999994</c:v>
                </c:pt>
              </c:numCache>
            </c:numRef>
          </c:val>
        </c:ser>
        <c:ser>
          <c:idx val="1"/>
          <c:order val="1"/>
          <c:tx>
            <c:strRef>
              <c:f>hydina!$A$4:$B$4</c:f>
              <c:strCache>
                <c:ptCount val="1"/>
                <c:pt idx="0">
                  <c:v>Ceny spracovateľov</c:v>
                </c:pt>
              </c:strCache>
            </c:strRef>
          </c:tx>
          <c:invertIfNegative val="0"/>
          <c:dLbls>
            <c:showLegendKey val="0"/>
            <c:showVal val="1"/>
            <c:showCatName val="0"/>
            <c:showSerName val="0"/>
            <c:showPercent val="0"/>
            <c:showBubbleSize val="0"/>
            <c:showLeaderLines val="0"/>
          </c:dLbls>
          <c:cat>
            <c:numRef>
              <c:f>hydina!$C$2:$G$2</c:f>
              <c:numCache>
                <c:formatCode>General</c:formatCode>
                <c:ptCount val="5"/>
                <c:pt idx="0">
                  <c:v>2007</c:v>
                </c:pt>
                <c:pt idx="1">
                  <c:v>2008</c:v>
                </c:pt>
                <c:pt idx="2">
                  <c:v>2009</c:v>
                </c:pt>
                <c:pt idx="3">
                  <c:v>2010</c:v>
                </c:pt>
                <c:pt idx="4">
                  <c:v>2011</c:v>
                </c:pt>
              </c:numCache>
            </c:numRef>
          </c:cat>
          <c:val>
            <c:numRef>
              <c:f>hydina!$C$4:$G$4</c:f>
              <c:numCache>
                <c:formatCode>0.00_)</c:formatCode>
                <c:ptCount val="5"/>
                <c:pt idx="1">
                  <c:v>1.8941666666666681</c:v>
                </c:pt>
                <c:pt idx="2">
                  <c:v>1.6883333333333341</c:v>
                </c:pt>
                <c:pt idx="3">
                  <c:v>1.6883333333333341</c:v>
                </c:pt>
                <c:pt idx="4">
                  <c:v>1.798333333333334</c:v>
                </c:pt>
              </c:numCache>
            </c:numRef>
          </c:val>
        </c:ser>
        <c:ser>
          <c:idx val="2"/>
          <c:order val="2"/>
          <c:tx>
            <c:strRef>
              <c:f>hydina!$A$5:$B$5</c:f>
              <c:strCache>
                <c:ptCount val="1"/>
                <c:pt idx="0">
                  <c:v>Spotrebiteľské ceny</c:v>
                </c:pt>
              </c:strCache>
            </c:strRef>
          </c:tx>
          <c:invertIfNegative val="0"/>
          <c:dLbls>
            <c:showLegendKey val="0"/>
            <c:showVal val="1"/>
            <c:showCatName val="0"/>
            <c:showSerName val="0"/>
            <c:showPercent val="0"/>
            <c:showBubbleSize val="0"/>
            <c:showLeaderLines val="0"/>
          </c:dLbls>
          <c:cat>
            <c:numRef>
              <c:f>hydina!$C$2:$G$2</c:f>
              <c:numCache>
                <c:formatCode>General</c:formatCode>
                <c:ptCount val="5"/>
                <c:pt idx="0">
                  <c:v>2007</c:v>
                </c:pt>
                <c:pt idx="1">
                  <c:v>2008</c:v>
                </c:pt>
                <c:pt idx="2">
                  <c:v>2009</c:v>
                </c:pt>
                <c:pt idx="3">
                  <c:v>2010</c:v>
                </c:pt>
                <c:pt idx="4">
                  <c:v>2011</c:v>
                </c:pt>
              </c:numCache>
            </c:numRef>
          </c:cat>
          <c:val>
            <c:numRef>
              <c:f>hydina!$C$5:$G$5</c:f>
              <c:numCache>
                <c:formatCode>0.00_)</c:formatCode>
                <c:ptCount val="5"/>
                <c:pt idx="0">
                  <c:v>2.3299999999999987</c:v>
                </c:pt>
                <c:pt idx="1">
                  <c:v>2.5099999999999998</c:v>
                </c:pt>
                <c:pt idx="2">
                  <c:v>2.29</c:v>
                </c:pt>
                <c:pt idx="3">
                  <c:v>2.23</c:v>
                </c:pt>
                <c:pt idx="4">
                  <c:v>2.4099999999999997</c:v>
                </c:pt>
              </c:numCache>
            </c:numRef>
          </c:val>
        </c:ser>
        <c:dLbls>
          <c:showLegendKey val="0"/>
          <c:showVal val="0"/>
          <c:showCatName val="0"/>
          <c:showSerName val="0"/>
          <c:showPercent val="0"/>
          <c:showBubbleSize val="0"/>
        </c:dLbls>
        <c:gapWidth val="150"/>
        <c:axId val="218820992"/>
        <c:axId val="218822528"/>
      </c:barChart>
      <c:catAx>
        <c:axId val="218820992"/>
        <c:scaling>
          <c:orientation val="minMax"/>
        </c:scaling>
        <c:delete val="0"/>
        <c:axPos val="b"/>
        <c:numFmt formatCode="General" sourceLinked="1"/>
        <c:majorTickMark val="out"/>
        <c:minorTickMark val="none"/>
        <c:tickLblPos val="nextTo"/>
        <c:crossAx val="218822528"/>
        <c:crosses val="autoZero"/>
        <c:auto val="1"/>
        <c:lblAlgn val="ctr"/>
        <c:lblOffset val="100"/>
        <c:noMultiLvlLbl val="0"/>
      </c:catAx>
      <c:valAx>
        <c:axId val="218822528"/>
        <c:scaling>
          <c:orientation val="minMax"/>
        </c:scaling>
        <c:delete val="0"/>
        <c:axPos val="l"/>
        <c:numFmt formatCode="0.00_)" sourceLinked="1"/>
        <c:majorTickMark val="out"/>
        <c:minorTickMark val="none"/>
        <c:tickLblPos val="nextTo"/>
        <c:crossAx val="218820992"/>
        <c:crosses val="autoZero"/>
        <c:crossBetween val="between"/>
      </c:valAx>
    </c:plotArea>
    <c:legend>
      <c:legendPos val="b"/>
      <c:layout>
        <c:manualLayout>
          <c:xMode val="edge"/>
          <c:yMode val="edge"/>
          <c:x val="0.14139399673732347"/>
          <c:y val="0.89779010374531742"/>
          <c:w val="0.71721200652535377"/>
          <c:h val="0.10220981369818813"/>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hydina!$B$27</c:f>
              <c:strCache>
                <c:ptCount val="1"/>
                <c:pt idx="0">
                  <c:v>Index cien prvovýrobcov</c:v>
                </c:pt>
              </c:strCache>
            </c:strRef>
          </c:tx>
          <c:dLbls>
            <c:dLbl>
              <c:idx val="0"/>
              <c:layout>
                <c:manualLayout>
                  <c:x val="-3.9729837107667858E-2"/>
                  <c:y val="-3.9506166694870545E-2"/>
                </c:manualLayout>
              </c:layout>
              <c:showLegendKey val="0"/>
              <c:showVal val="1"/>
              <c:showCatName val="0"/>
              <c:showSerName val="0"/>
              <c:showPercent val="0"/>
              <c:showBubbleSize val="0"/>
            </c:dLbl>
            <c:dLbl>
              <c:idx val="1"/>
              <c:layout>
                <c:manualLayout>
                  <c:x val="-3.9999994000750806E-2"/>
                  <c:y val="3.5555550025383492E-2"/>
                </c:manualLayout>
              </c:layout>
              <c:showLegendKey val="0"/>
              <c:showVal val="1"/>
              <c:showCatName val="0"/>
              <c:showSerName val="0"/>
              <c:showPercent val="0"/>
              <c:showBubbleSize val="0"/>
            </c:dLbl>
            <c:dLbl>
              <c:idx val="2"/>
              <c:layout>
                <c:manualLayout>
                  <c:x val="-6.3568569915530134E-3"/>
                  <c:y val="-1.8588386421485841E-3"/>
                </c:manualLayout>
              </c:layout>
              <c:showLegendKey val="0"/>
              <c:showVal val="1"/>
              <c:showCatName val="0"/>
              <c:showSerName val="0"/>
              <c:showPercent val="0"/>
              <c:showBubbleSize val="0"/>
            </c:dLbl>
            <c:dLbl>
              <c:idx val="3"/>
              <c:layout>
                <c:manualLayout>
                  <c:x val="-5.2443384982121664E-2"/>
                  <c:y val="-3.555555002538349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hydina!$D$26:$G$26</c:f>
              <c:strCache>
                <c:ptCount val="4"/>
                <c:pt idx="0">
                  <c:v>2008/2007</c:v>
                </c:pt>
                <c:pt idx="1">
                  <c:v>2009/2008</c:v>
                </c:pt>
                <c:pt idx="2">
                  <c:v>2010/2009</c:v>
                </c:pt>
                <c:pt idx="3">
                  <c:v>2011/2010</c:v>
                </c:pt>
              </c:strCache>
            </c:strRef>
          </c:cat>
          <c:val>
            <c:numRef>
              <c:f>hydina!$D$27:$G$27</c:f>
              <c:numCache>
                <c:formatCode>0.00%</c:formatCode>
                <c:ptCount val="4"/>
                <c:pt idx="0">
                  <c:v>1.0898324022346355</c:v>
                </c:pt>
                <c:pt idx="1">
                  <c:v>0.81269222882919911</c:v>
                </c:pt>
                <c:pt idx="2">
                  <c:v>0.99457550145073759</c:v>
                </c:pt>
                <c:pt idx="3">
                  <c:v>1.1565195332318638</c:v>
                </c:pt>
              </c:numCache>
            </c:numRef>
          </c:val>
          <c:smooth val="0"/>
        </c:ser>
        <c:ser>
          <c:idx val="1"/>
          <c:order val="1"/>
          <c:tx>
            <c:strRef>
              <c:f>hydina!$B$28</c:f>
              <c:strCache>
                <c:ptCount val="1"/>
                <c:pt idx="0">
                  <c:v>Index cien spracovateľov</c:v>
                </c:pt>
              </c:strCache>
            </c:strRef>
          </c:tx>
          <c:dLbls>
            <c:dLbl>
              <c:idx val="1"/>
              <c:layout>
                <c:manualLayout>
                  <c:x val="-3.6551450139054434E-2"/>
                  <c:y val="1.9753083347435311E-2"/>
                </c:manualLayout>
              </c:layout>
              <c:showLegendKey val="0"/>
              <c:showVal val="1"/>
              <c:showCatName val="0"/>
              <c:showSerName val="0"/>
              <c:showPercent val="0"/>
              <c:showBubbleSize val="0"/>
            </c:dLbl>
            <c:dLbl>
              <c:idx val="2"/>
              <c:layout>
                <c:manualLayout>
                  <c:x val="-5.7210965435041797E-2"/>
                  <c:y val="-4.3456783364357557E-2"/>
                </c:manualLayout>
              </c:layout>
              <c:showLegendKey val="0"/>
              <c:showVal val="1"/>
              <c:showCatName val="0"/>
              <c:showSerName val="0"/>
              <c:showPercent val="0"/>
              <c:showBubbleSize val="0"/>
            </c:dLbl>
            <c:dLbl>
              <c:idx val="3"/>
              <c:layout>
                <c:manualLayout>
                  <c:x val="-2.5427095748907436E-2"/>
                  <c:y val="2.765400561423069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hydina!$D$26:$G$26</c:f>
              <c:strCache>
                <c:ptCount val="4"/>
                <c:pt idx="0">
                  <c:v>2008/2007</c:v>
                </c:pt>
                <c:pt idx="1">
                  <c:v>2009/2008</c:v>
                </c:pt>
                <c:pt idx="2">
                  <c:v>2010/2009</c:v>
                </c:pt>
                <c:pt idx="3">
                  <c:v>2011/2010</c:v>
                </c:pt>
              </c:strCache>
            </c:strRef>
          </c:cat>
          <c:val>
            <c:numRef>
              <c:f>hydina!$D$28:$G$28</c:f>
              <c:numCache>
                <c:formatCode>0.00%</c:formatCode>
                <c:ptCount val="4"/>
                <c:pt idx="1">
                  <c:v>0.89133304003519553</c:v>
                </c:pt>
                <c:pt idx="2">
                  <c:v>1</c:v>
                </c:pt>
                <c:pt idx="3">
                  <c:v>1.0651530108588361</c:v>
                </c:pt>
              </c:numCache>
            </c:numRef>
          </c:val>
          <c:smooth val="0"/>
        </c:ser>
        <c:ser>
          <c:idx val="2"/>
          <c:order val="2"/>
          <c:tx>
            <c:strRef>
              <c:f>hydina!$B$29</c:f>
              <c:strCache>
                <c:ptCount val="1"/>
                <c:pt idx="0">
                  <c:v>Index spotrebiteľských cien</c:v>
                </c:pt>
              </c:strCache>
            </c:strRef>
          </c:tx>
          <c:dLbls>
            <c:dLbl>
              <c:idx val="0"/>
              <c:layout>
                <c:manualLayout>
                  <c:x val="-5.7210965435041797E-2"/>
                  <c:y val="4.7407400033844763E-2"/>
                </c:manualLayout>
              </c:layout>
              <c:showLegendKey val="0"/>
              <c:showVal val="1"/>
              <c:showCatName val="0"/>
              <c:showSerName val="0"/>
              <c:showPercent val="0"/>
              <c:showBubbleSize val="0"/>
            </c:dLbl>
            <c:dLbl>
              <c:idx val="1"/>
              <c:layout>
                <c:manualLayout>
                  <c:x val="-3.1783869686134399E-2"/>
                  <c:y val="-3.9506166694870545E-2"/>
                </c:manualLayout>
              </c:layout>
              <c:showLegendKey val="0"/>
              <c:showVal val="1"/>
              <c:showCatName val="0"/>
              <c:showSerName val="0"/>
              <c:showPercent val="0"/>
              <c:showBubbleSize val="0"/>
            </c:dLbl>
            <c:dLbl>
              <c:idx val="2"/>
              <c:layout>
                <c:manualLayout>
                  <c:x val="-4.2908224076281344E-2"/>
                  <c:y val="5.9259250042305832E-2"/>
                </c:manualLayout>
              </c:layout>
              <c:showLegendKey val="0"/>
              <c:showVal val="1"/>
              <c:showCatName val="0"/>
              <c:showSerName val="0"/>
              <c:showPercent val="0"/>
              <c:showBubbleSize val="0"/>
            </c:dLbl>
            <c:dLbl>
              <c:idx val="3"/>
              <c:layout>
                <c:manualLayout>
                  <c:x val="-2.2248708780294033E-2"/>
                  <c:y val="-3.55555500253834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hydina!$D$26:$G$26</c:f>
              <c:strCache>
                <c:ptCount val="4"/>
                <c:pt idx="0">
                  <c:v>2008/2007</c:v>
                </c:pt>
                <c:pt idx="1">
                  <c:v>2009/2008</c:v>
                </c:pt>
                <c:pt idx="2">
                  <c:v>2010/2009</c:v>
                </c:pt>
                <c:pt idx="3">
                  <c:v>2011/2010</c:v>
                </c:pt>
              </c:strCache>
            </c:strRef>
          </c:cat>
          <c:val>
            <c:numRef>
              <c:f>hydina!$D$29:$G$29</c:f>
              <c:numCache>
                <c:formatCode>0.00%</c:formatCode>
                <c:ptCount val="4"/>
                <c:pt idx="0">
                  <c:v>1.0772532188841186</c:v>
                </c:pt>
                <c:pt idx="1">
                  <c:v>0.91235059760956183</c:v>
                </c:pt>
                <c:pt idx="2">
                  <c:v>0.97379912663755575</c:v>
                </c:pt>
                <c:pt idx="3">
                  <c:v>1.0807174887892381</c:v>
                </c:pt>
              </c:numCache>
            </c:numRef>
          </c:val>
          <c:smooth val="0"/>
        </c:ser>
        <c:dLbls>
          <c:showLegendKey val="0"/>
          <c:showVal val="0"/>
          <c:showCatName val="0"/>
          <c:showSerName val="0"/>
          <c:showPercent val="0"/>
          <c:showBubbleSize val="0"/>
        </c:dLbls>
        <c:marker val="1"/>
        <c:smooth val="0"/>
        <c:axId val="218866048"/>
        <c:axId val="218867584"/>
      </c:lineChart>
      <c:catAx>
        <c:axId val="218866048"/>
        <c:scaling>
          <c:orientation val="minMax"/>
        </c:scaling>
        <c:delete val="0"/>
        <c:axPos val="b"/>
        <c:majorTickMark val="out"/>
        <c:minorTickMark val="none"/>
        <c:tickLblPos val="nextTo"/>
        <c:crossAx val="218867584"/>
        <c:crosses val="autoZero"/>
        <c:auto val="1"/>
        <c:lblAlgn val="ctr"/>
        <c:lblOffset val="100"/>
        <c:noMultiLvlLbl val="0"/>
      </c:catAx>
      <c:valAx>
        <c:axId val="218867584"/>
        <c:scaling>
          <c:orientation val="minMax"/>
          <c:min val="0.70000000000000062"/>
        </c:scaling>
        <c:delete val="0"/>
        <c:axPos val="l"/>
        <c:numFmt formatCode="0.00%" sourceLinked="1"/>
        <c:majorTickMark val="out"/>
        <c:minorTickMark val="none"/>
        <c:tickLblPos val="nextTo"/>
        <c:crossAx val="218866048"/>
        <c:crosses val="autoZero"/>
        <c:crossBetween val="between"/>
      </c:valAx>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0200579323188997E-2"/>
          <c:y val="0.12598851883822984"/>
          <c:w val="0.84971911478098205"/>
          <c:h val="0.63294614225743673"/>
        </c:manualLayout>
      </c:layout>
      <c:barChart>
        <c:barDir val="col"/>
        <c:grouping val="clustered"/>
        <c:varyColors val="0"/>
        <c:ser>
          <c:idx val="0"/>
          <c:order val="0"/>
          <c:tx>
            <c:v>Hrubá domáca produkcia v tonách jatočnej hmotnosti</c:v>
          </c:tx>
          <c:spPr>
            <a:solidFill>
              <a:schemeClr val="bg1">
                <a:lumMod val="75000"/>
              </a:schemeClr>
            </a:solidFill>
          </c:spPr>
          <c:invertIfNegative val="0"/>
          <c:dLbls>
            <c:dLbl>
              <c:idx val="3"/>
              <c:layout>
                <c:manualLayout>
                  <c:x val="-7.6747761580529094E-17"/>
                  <c:y val="-4.314994117564445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ovce!$B$2:$G$2</c:f>
              <c:numCache>
                <c:formatCode>General</c:formatCode>
                <c:ptCount val="6"/>
                <c:pt idx="0">
                  <c:v>2002</c:v>
                </c:pt>
                <c:pt idx="1">
                  <c:v>2007</c:v>
                </c:pt>
                <c:pt idx="2">
                  <c:v>2008</c:v>
                </c:pt>
                <c:pt idx="3">
                  <c:v>2009</c:v>
                </c:pt>
                <c:pt idx="4">
                  <c:v>2010</c:v>
                </c:pt>
                <c:pt idx="5">
                  <c:v>2011</c:v>
                </c:pt>
              </c:numCache>
            </c:numRef>
          </c:cat>
          <c:val>
            <c:numRef>
              <c:f>ovce!$B$4:$G$4</c:f>
              <c:numCache>
                <c:formatCode>#,##0</c:formatCode>
                <c:ptCount val="6"/>
                <c:pt idx="0">
                  <c:v>1795</c:v>
                </c:pt>
                <c:pt idx="1">
                  <c:v>1012</c:v>
                </c:pt>
                <c:pt idx="2">
                  <c:v>1178</c:v>
                </c:pt>
                <c:pt idx="3">
                  <c:v>1208</c:v>
                </c:pt>
                <c:pt idx="4">
                  <c:v>1345</c:v>
                </c:pt>
                <c:pt idx="5">
                  <c:v>1188</c:v>
                </c:pt>
              </c:numCache>
            </c:numRef>
          </c:val>
        </c:ser>
        <c:dLbls>
          <c:showLegendKey val="0"/>
          <c:showVal val="0"/>
          <c:showCatName val="0"/>
          <c:showSerName val="0"/>
          <c:showPercent val="0"/>
          <c:showBubbleSize val="0"/>
        </c:dLbls>
        <c:gapWidth val="150"/>
        <c:axId val="218933504"/>
        <c:axId val="218939392"/>
      </c:barChart>
      <c:lineChart>
        <c:grouping val="standard"/>
        <c:varyColors val="0"/>
        <c:ser>
          <c:idx val="1"/>
          <c:order val="1"/>
          <c:tx>
            <c:v>Vývoz v tonách jatočnej hmotnosti</c:v>
          </c:tx>
          <c:spPr>
            <a:ln>
              <a:solidFill>
                <a:schemeClr val="tx1">
                  <a:lumMod val="50000"/>
                  <a:lumOff val="50000"/>
                </a:schemeClr>
              </a:solidFill>
            </a:ln>
          </c:spPr>
          <c:marker>
            <c:spPr>
              <a:solidFill>
                <a:schemeClr val="tx1">
                  <a:lumMod val="50000"/>
                  <a:lumOff val="50000"/>
                </a:schemeClr>
              </a:solidFill>
            </c:spPr>
          </c:marker>
          <c:dLbls>
            <c:dLbl>
              <c:idx val="0"/>
              <c:layout>
                <c:manualLayout>
                  <c:x val="-6.5486570783876194E-2"/>
                  <c:y val="-4.4668109642054341E-3"/>
                </c:manualLayout>
              </c:layout>
              <c:showLegendKey val="0"/>
              <c:showVal val="1"/>
              <c:showCatName val="0"/>
              <c:showSerName val="0"/>
              <c:showPercent val="0"/>
              <c:showBubbleSize val="0"/>
            </c:dLbl>
            <c:dLbl>
              <c:idx val="1"/>
              <c:layout>
                <c:manualLayout>
                  <c:x val="-1.8838304552590262E-2"/>
                  <c:y val="-3.1643290195472656E-2"/>
                </c:manualLayout>
              </c:layout>
              <c:showLegendKey val="0"/>
              <c:showVal val="1"/>
              <c:showCatName val="0"/>
              <c:showSerName val="0"/>
              <c:showPercent val="0"/>
              <c:showBubbleSize val="0"/>
            </c:dLbl>
            <c:dLbl>
              <c:idx val="2"/>
              <c:layout>
                <c:manualLayout>
                  <c:x val="-4.7530184076492704E-2"/>
                  <c:y val="-3.4519947905117594E-2"/>
                </c:manualLayout>
              </c:layout>
              <c:showLegendKey val="0"/>
              <c:showVal val="1"/>
              <c:showCatName val="0"/>
              <c:showSerName val="0"/>
              <c:showPercent val="0"/>
              <c:showBubbleSize val="0"/>
            </c:dLbl>
            <c:dLbl>
              <c:idx val="3"/>
              <c:layout>
                <c:manualLayout>
                  <c:x val="-3.5583464154892788E-2"/>
                  <c:y val="-3.1643290195472656E-2"/>
                </c:manualLayout>
              </c:layout>
              <c:showLegendKey val="0"/>
              <c:showVal val="1"/>
              <c:showCatName val="0"/>
              <c:showSerName val="0"/>
              <c:showPercent val="0"/>
              <c:showBubbleSize val="0"/>
            </c:dLbl>
            <c:dLbl>
              <c:idx val="4"/>
              <c:layout>
                <c:manualLayout>
                  <c:x val="-2.5117739403453691E-2"/>
                  <c:y val="-2.5889964705386698E-2"/>
                </c:manualLayout>
              </c:layout>
              <c:showLegendKey val="0"/>
              <c:showVal val="1"/>
              <c:showCatName val="0"/>
              <c:showSerName val="0"/>
              <c:showPercent val="0"/>
              <c:showBubbleSize val="0"/>
            </c:dLbl>
            <c:dLbl>
              <c:idx val="5"/>
              <c:layout>
                <c:manualLayout>
                  <c:x val="-1.2558832905173536E-2"/>
                  <c:y val="8.338747500427623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ovce!$B$8:$G$8</c:f>
              <c:numCache>
                <c:formatCode>#,##0</c:formatCode>
                <c:ptCount val="6"/>
                <c:pt idx="0">
                  <c:v>751</c:v>
                </c:pt>
                <c:pt idx="1">
                  <c:v>752</c:v>
                </c:pt>
                <c:pt idx="2">
                  <c:v>788</c:v>
                </c:pt>
                <c:pt idx="3">
                  <c:v>502</c:v>
                </c:pt>
                <c:pt idx="4">
                  <c:v>661</c:v>
                </c:pt>
                <c:pt idx="5">
                  <c:v>784</c:v>
                </c:pt>
              </c:numCache>
            </c:numRef>
          </c:val>
          <c:smooth val="0"/>
        </c:ser>
        <c:dLbls>
          <c:showLegendKey val="0"/>
          <c:showVal val="0"/>
          <c:showCatName val="0"/>
          <c:showSerName val="0"/>
          <c:showPercent val="0"/>
          <c:showBubbleSize val="0"/>
        </c:dLbls>
        <c:marker val="1"/>
        <c:smooth val="0"/>
        <c:axId val="218933504"/>
        <c:axId val="218939392"/>
      </c:lineChart>
      <c:lineChart>
        <c:grouping val="standard"/>
        <c:varyColors val="0"/>
        <c:ser>
          <c:idx val="2"/>
          <c:order val="2"/>
          <c:tx>
            <c:strRef>
              <c:f>ovce!$I$2</c:f>
              <c:strCache>
                <c:ptCount val="1"/>
                <c:pt idx="0">
                  <c:v>spotreba ovčieho mäsa na obyvateľa v kg za rok</c:v>
                </c:pt>
              </c:strCache>
            </c:strRef>
          </c:tx>
          <c:spPr>
            <a:ln>
              <a:solidFill>
                <a:schemeClr val="tx1"/>
              </a:solidFill>
            </a:ln>
          </c:spPr>
          <c:marker>
            <c:spPr>
              <a:solidFill>
                <a:schemeClr val="tx1"/>
              </a:solidFill>
            </c:spPr>
          </c:marker>
          <c:dLbls>
            <c:dLbl>
              <c:idx val="0"/>
              <c:layout>
                <c:manualLayout>
                  <c:x val="-6.8527442854732029E-2"/>
                  <c:y val="0"/>
                </c:manualLayout>
              </c:layout>
              <c:showLegendKey val="0"/>
              <c:showVal val="1"/>
              <c:showCatName val="0"/>
              <c:showSerName val="0"/>
              <c:showPercent val="0"/>
              <c:showBubbleSize val="0"/>
            </c:dLbl>
            <c:dLbl>
              <c:idx val="1"/>
              <c:layout>
                <c:manualLayout>
                  <c:x val="-1.4652014652014652E-2"/>
                  <c:y val="2.0136639215300772E-2"/>
                </c:manualLayout>
              </c:layout>
              <c:showLegendKey val="0"/>
              <c:showVal val="1"/>
              <c:showCatName val="0"/>
              <c:showSerName val="0"/>
              <c:showPercent val="0"/>
              <c:showBubbleSize val="0"/>
            </c:dLbl>
            <c:dLbl>
              <c:idx val="2"/>
              <c:layout>
                <c:manualLayout>
                  <c:x val="-4.3640152013052241E-2"/>
                  <c:y val="3.7396721681565895E-2"/>
                </c:manualLayout>
              </c:layout>
              <c:showLegendKey val="0"/>
              <c:showVal val="1"/>
              <c:showCatName val="0"/>
              <c:showSerName val="0"/>
              <c:showPercent val="0"/>
              <c:showBubbleSize val="0"/>
            </c:dLbl>
            <c:dLbl>
              <c:idx val="3"/>
              <c:layout>
                <c:manualLayout>
                  <c:x val="-2.3024759267728866E-2"/>
                  <c:y val="2.3013301960343752E-2"/>
                </c:manualLayout>
              </c:layout>
              <c:showLegendKey val="0"/>
              <c:showVal val="1"/>
              <c:showCatName val="0"/>
              <c:showSerName val="0"/>
              <c:showPercent val="0"/>
              <c:showBubbleSize val="0"/>
            </c:dLbl>
            <c:dLbl>
              <c:idx val="4"/>
              <c:layout>
                <c:manualLayout>
                  <c:x val="-4.1862899005756182E-2"/>
                  <c:y val="2.5889964705386698E-2"/>
                </c:manualLayout>
              </c:layout>
              <c:showLegendKey val="0"/>
              <c:showVal val="1"/>
              <c:showCatName val="0"/>
              <c:showSerName val="0"/>
              <c:showPercent val="0"/>
              <c:showBubbleSize val="0"/>
            </c:dLbl>
            <c:dLbl>
              <c:idx val="5"/>
              <c:layout>
                <c:manualLayout>
                  <c:x val="-1.4987676082014997E-2"/>
                  <c:y val="-1.66774950008552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ovce!$I$4:$N$4</c:f>
              <c:numCache>
                <c:formatCode>0.00</c:formatCode>
                <c:ptCount val="6"/>
                <c:pt idx="0">
                  <c:v>0.2</c:v>
                </c:pt>
                <c:pt idx="1">
                  <c:v>8.0000000000000043E-2</c:v>
                </c:pt>
                <c:pt idx="2">
                  <c:v>0.1</c:v>
                </c:pt>
                <c:pt idx="3">
                  <c:v>0.16</c:v>
                </c:pt>
                <c:pt idx="4">
                  <c:v>0.16</c:v>
                </c:pt>
                <c:pt idx="5">
                  <c:v>0.113</c:v>
                </c:pt>
              </c:numCache>
            </c:numRef>
          </c:val>
          <c:smooth val="0"/>
        </c:ser>
        <c:dLbls>
          <c:showLegendKey val="0"/>
          <c:showVal val="0"/>
          <c:showCatName val="0"/>
          <c:showSerName val="0"/>
          <c:showPercent val="0"/>
          <c:showBubbleSize val="0"/>
        </c:dLbls>
        <c:marker val="1"/>
        <c:smooth val="0"/>
        <c:axId val="218942464"/>
        <c:axId val="218940928"/>
      </c:lineChart>
      <c:catAx>
        <c:axId val="218933504"/>
        <c:scaling>
          <c:orientation val="minMax"/>
        </c:scaling>
        <c:delete val="0"/>
        <c:axPos val="b"/>
        <c:numFmt formatCode="General" sourceLinked="1"/>
        <c:majorTickMark val="out"/>
        <c:minorTickMark val="none"/>
        <c:tickLblPos val="nextTo"/>
        <c:crossAx val="218939392"/>
        <c:crosses val="autoZero"/>
        <c:auto val="1"/>
        <c:lblAlgn val="ctr"/>
        <c:lblOffset val="100"/>
        <c:noMultiLvlLbl val="0"/>
      </c:catAx>
      <c:valAx>
        <c:axId val="218939392"/>
        <c:scaling>
          <c:orientation val="minMax"/>
        </c:scaling>
        <c:delete val="0"/>
        <c:axPos val="l"/>
        <c:numFmt formatCode="#,##0" sourceLinked="1"/>
        <c:majorTickMark val="out"/>
        <c:minorTickMark val="none"/>
        <c:tickLblPos val="nextTo"/>
        <c:crossAx val="218933504"/>
        <c:crosses val="autoZero"/>
        <c:crossBetween val="between"/>
      </c:valAx>
      <c:valAx>
        <c:axId val="218940928"/>
        <c:scaling>
          <c:orientation val="minMax"/>
        </c:scaling>
        <c:delete val="0"/>
        <c:axPos val="r"/>
        <c:numFmt formatCode="0.00" sourceLinked="1"/>
        <c:majorTickMark val="out"/>
        <c:minorTickMark val="none"/>
        <c:tickLblPos val="nextTo"/>
        <c:crossAx val="218942464"/>
        <c:crosses val="max"/>
        <c:crossBetween val="between"/>
      </c:valAx>
      <c:catAx>
        <c:axId val="218942464"/>
        <c:scaling>
          <c:orientation val="minMax"/>
        </c:scaling>
        <c:delete val="1"/>
        <c:axPos val="b"/>
        <c:majorTickMark val="out"/>
        <c:minorTickMark val="none"/>
        <c:tickLblPos val="nextTo"/>
        <c:crossAx val="218940928"/>
        <c:crosses val="autoZero"/>
        <c:auto val="1"/>
        <c:lblAlgn val="ctr"/>
        <c:lblOffset val="100"/>
        <c:noMultiLvlLbl val="0"/>
      </c:catAx>
    </c:plotArea>
    <c:legend>
      <c:legendPos val="b"/>
      <c:layout>
        <c:manualLayout>
          <c:xMode val="edge"/>
          <c:yMode val="edge"/>
          <c:x val="5.1924704993391864E-2"/>
          <c:y val="0.84824746531527262"/>
          <c:w val="0.92242063492063497"/>
          <c:h val="0.12671777377765939"/>
        </c:manualLayout>
      </c:layout>
      <c:overlay val="0"/>
      <c:txPr>
        <a:bodyPr/>
        <a:lstStyle/>
        <a:p>
          <a:pPr>
            <a:defRPr sz="900" baseline="0"/>
          </a:pPr>
          <a:endParaRPr lang="sk-SK"/>
        </a:p>
      </c:txPr>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643285214348212"/>
          <c:y val="0.14399314668999738"/>
          <c:w val="0.78648140857392823"/>
          <c:h val="0.65744519728312489"/>
        </c:manualLayout>
      </c:layout>
      <c:lineChart>
        <c:grouping val="standard"/>
        <c:varyColors val="0"/>
        <c:ser>
          <c:idx val="1"/>
          <c:order val="1"/>
          <c:tx>
            <c:strRef>
              <c:f>ovce!$A$43</c:f>
              <c:strCache>
                <c:ptCount val="1"/>
                <c:pt idx="0">
                  <c:v>Hrubá domáca produkcia v tonách jatočnej hmotnosti</c:v>
                </c:pt>
              </c:strCache>
            </c:strRef>
          </c:tx>
          <c:dLbls>
            <c:dLbl>
              <c:idx val="0"/>
              <c:layout>
                <c:manualLayout>
                  <c:x val="-8.0555555555555727E-2"/>
                  <c:y val="3.0784026120367371E-2"/>
                </c:manualLayout>
              </c:layout>
              <c:showLegendKey val="0"/>
              <c:showVal val="1"/>
              <c:showCatName val="0"/>
              <c:showSerName val="0"/>
              <c:showPercent val="0"/>
              <c:showBubbleSize val="0"/>
            </c:dLbl>
            <c:dLbl>
              <c:idx val="1"/>
              <c:layout>
                <c:manualLayout>
                  <c:x val="-1.1111111111111125E-2"/>
                  <c:y val="1.1544009795137864E-2"/>
                </c:manualLayout>
              </c:layout>
              <c:showLegendKey val="0"/>
              <c:showVal val="1"/>
              <c:showCatName val="0"/>
              <c:showSerName val="0"/>
              <c:showPercent val="0"/>
              <c:showBubbleSize val="0"/>
            </c:dLbl>
            <c:dLbl>
              <c:idx val="2"/>
              <c:layout>
                <c:manualLayout>
                  <c:x val="-2.5000000000000001E-2"/>
                  <c:y val="2.3088019590275451E-2"/>
                </c:manualLayout>
              </c:layout>
              <c:showLegendKey val="0"/>
              <c:showVal val="1"/>
              <c:showCatName val="0"/>
              <c:showSerName val="0"/>
              <c:showPercent val="0"/>
              <c:showBubbleSize val="0"/>
            </c:dLbl>
            <c:dLbl>
              <c:idx val="3"/>
              <c:layout>
                <c:manualLayout>
                  <c:x val="-1.6666666666666687E-2"/>
                  <c:y val="1.1544009795137797E-2"/>
                </c:manualLayout>
              </c:layout>
              <c:showLegendKey val="0"/>
              <c:showVal val="1"/>
              <c:showCatName val="0"/>
              <c:showSerName val="0"/>
              <c:showPercent val="0"/>
              <c:showBubbleSize val="0"/>
            </c:dLbl>
            <c:dLbl>
              <c:idx val="4"/>
              <c:layout>
                <c:manualLayout>
                  <c:x val="-1.6666666666666687E-2"/>
                  <c:y val="0"/>
                </c:manualLayout>
              </c:layout>
              <c:showLegendKey val="0"/>
              <c:showVal val="1"/>
              <c:showCatName val="0"/>
              <c:showSerName val="0"/>
              <c:showPercent val="0"/>
              <c:showBubbleSize val="0"/>
            </c:dLbl>
            <c:dLbl>
              <c:idx val="5"/>
              <c:layout>
                <c:manualLayout>
                  <c:x val="-3.888888888888889E-2"/>
                  <c:y val="3.07840261203674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ovce!$B$41:$G$41</c:f>
              <c:numCache>
                <c:formatCode>General</c:formatCode>
                <c:ptCount val="6"/>
                <c:pt idx="0">
                  <c:v>2002</c:v>
                </c:pt>
                <c:pt idx="1">
                  <c:v>2007</c:v>
                </c:pt>
                <c:pt idx="2">
                  <c:v>2008</c:v>
                </c:pt>
                <c:pt idx="3">
                  <c:v>2009</c:v>
                </c:pt>
                <c:pt idx="4">
                  <c:v>2010</c:v>
                </c:pt>
                <c:pt idx="5">
                  <c:v>2011</c:v>
                </c:pt>
              </c:numCache>
            </c:numRef>
          </c:cat>
          <c:val>
            <c:numRef>
              <c:f>ovce!$B$43:$G$43</c:f>
              <c:numCache>
                <c:formatCode>#,##0</c:formatCode>
                <c:ptCount val="6"/>
                <c:pt idx="0">
                  <c:v>1795</c:v>
                </c:pt>
                <c:pt idx="1">
                  <c:v>1012</c:v>
                </c:pt>
                <c:pt idx="2">
                  <c:v>1178</c:v>
                </c:pt>
                <c:pt idx="3">
                  <c:v>1208</c:v>
                </c:pt>
                <c:pt idx="4">
                  <c:v>1345</c:v>
                </c:pt>
                <c:pt idx="5">
                  <c:v>1188</c:v>
                </c:pt>
              </c:numCache>
            </c:numRef>
          </c:val>
          <c:smooth val="0"/>
        </c:ser>
        <c:dLbls>
          <c:showLegendKey val="0"/>
          <c:showVal val="0"/>
          <c:showCatName val="0"/>
          <c:showSerName val="0"/>
          <c:showPercent val="0"/>
          <c:showBubbleSize val="0"/>
        </c:dLbls>
        <c:marker val="1"/>
        <c:smooth val="0"/>
        <c:axId val="223766784"/>
        <c:axId val="223789056"/>
      </c:lineChart>
      <c:lineChart>
        <c:grouping val="standard"/>
        <c:varyColors val="0"/>
        <c:ser>
          <c:idx val="0"/>
          <c:order val="0"/>
          <c:tx>
            <c:strRef>
              <c:f>ovce!$A$42</c:f>
              <c:strCache>
                <c:ptCount val="1"/>
                <c:pt idx="0">
                  <c:v>Početnosť oviec v tis. ks</c:v>
                </c:pt>
              </c:strCache>
            </c:strRef>
          </c:tx>
          <c:dLbls>
            <c:dLbl>
              <c:idx val="0"/>
              <c:layout>
                <c:manualLayout>
                  <c:x val="-7.5000000000000011E-2"/>
                  <c:y val="-4.2328035915505116E-2"/>
                </c:manualLayout>
              </c:layout>
              <c:showLegendKey val="0"/>
              <c:showVal val="1"/>
              <c:showCatName val="0"/>
              <c:showSerName val="0"/>
              <c:showPercent val="0"/>
              <c:showBubbleSize val="0"/>
            </c:dLbl>
            <c:dLbl>
              <c:idx val="1"/>
              <c:layout>
                <c:manualLayout>
                  <c:x val="-5.5555555555555483E-2"/>
                  <c:y val="-4.6176039180551041E-2"/>
                </c:manualLayout>
              </c:layout>
              <c:showLegendKey val="0"/>
              <c:showVal val="1"/>
              <c:showCatName val="0"/>
              <c:showSerName val="0"/>
              <c:showPercent val="0"/>
              <c:showBubbleSize val="0"/>
            </c:dLbl>
            <c:dLbl>
              <c:idx val="2"/>
              <c:layout>
                <c:manualLayout>
                  <c:x val="-6.666666666666668E-2"/>
                  <c:y val="-2.6936022855321446E-2"/>
                </c:manualLayout>
              </c:layout>
              <c:showLegendKey val="0"/>
              <c:showVal val="1"/>
              <c:showCatName val="0"/>
              <c:showSerName val="0"/>
              <c:showPercent val="0"/>
              <c:showBubbleSize val="0"/>
            </c:dLbl>
            <c:dLbl>
              <c:idx val="3"/>
              <c:layout>
                <c:manualLayout>
                  <c:x val="-7.5000000000000011E-2"/>
                  <c:y val="-3.0784026120367371E-2"/>
                </c:manualLayout>
              </c:layout>
              <c:showLegendKey val="0"/>
              <c:showVal val="1"/>
              <c:showCatName val="0"/>
              <c:showSerName val="0"/>
              <c:showPercent val="0"/>
              <c:showBubbleSize val="0"/>
            </c:dLbl>
            <c:dLbl>
              <c:idx val="4"/>
              <c:layout>
                <c:manualLayout>
                  <c:x val="-1.1111111111111125E-2"/>
                  <c:y val="-3.4632029385413286E-2"/>
                </c:manualLayout>
              </c:layout>
              <c:showLegendKey val="0"/>
              <c:showVal val="1"/>
              <c:showCatName val="0"/>
              <c:showSerName val="0"/>
              <c:showPercent val="0"/>
              <c:showBubbleSize val="0"/>
            </c:dLbl>
            <c:dLbl>
              <c:idx val="5"/>
              <c:layout>
                <c:manualLayout>
                  <c:x val="-3.0555555555555579E-2"/>
                  <c:y val="-3.463202938541328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ovce!$B$41:$G$41</c:f>
              <c:numCache>
                <c:formatCode>General</c:formatCode>
                <c:ptCount val="6"/>
                <c:pt idx="0">
                  <c:v>2002</c:v>
                </c:pt>
                <c:pt idx="1">
                  <c:v>2007</c:v>
                </c:pt>
                <c:pt idx="2">
                  <c:v>2008</c:v>
                </c:pt>
                <c:pt idx="3">
                  <c:v>2009</c:v>
                </c:pt>
                <c:pt idx="4">
                  <c:v>2010</c:v>
                </c:pt>
                <c:pt idx="5">
                  <c:v>2011</c:v>
                </c:pt>
              </c:numCache>
            </c:numRef>
          </c:cat>
          <c:val>
            <c:numRef>
              <c:f>ovce!$B$42:$G$42</c:f>
              <c:numCache>
                <c:formatCode>#,##0.0</c:formatCode>
                <c:ptCount val="6"/>
                <c:pt idx="0">
                  <c:v>316</c:v>
                </c:pt>
                <c:pt idx="1">
                  <c:v>347.2</c:v>
                </c:pt>
                <c:pt idx="2">
                  <c:v>361.6</c:v>
                </c:pt>
                <c:pt idx="3">
                  <c:v>377</c:v>
                </c:pt>
                <c:pt idx="4">
                  <c:v>394.2</c:v>
                </c:pt>
                <c:pt idx="5">
                  <c:v>393.9</c:v>
                </c:pt>
              </c:numCache>
            </c:numRef>
          </c:val>
          <c:smooth val="0"/>
        </c:ser>
        <c:dLbls>
          <c:showLegendKey val="0"/>
          <c:showVal val="0"/>
          <c:showCatName val="0"/>
          <c:showSerName val="0"/>
          <c:showPercent val="0"/>
          <c:showBubbleSize val="0"/>
        </c:dLbls>
        <c:marker val="1"/>
        <c:smooth val="0"/>
        <c:axId val="223792128"/>
        <c:axId val="223790592"/>
      </c:lineChart>
      <c:catAx>
        <c:axId val="223766784"/>
        <c:scaling>
          <c:orientation val="minMax"/>
        </c:scaling>
        <c:delete val="0"/>
        <c:axPos val="b"/>
        <c:numFmt formatCode="General" sourceLinked="1"/>
        <c:majorTickMark val="out"/>
        <c:minorTickMark val="none"/>
        <c:tickLblPos val="nextTo"/>
        <c:crossAx val="223789056"/>
        <c:crosses val="autoZero"/>
        <c:auto val="1"/>
        <c:lblAlgn val="ctr"/>
        <c:lblOffset val="100"/>
        <c:noMultiLvlLbl val="0"/>
      </c:catAx>
      <c:valAx>
        <c:axId val="223789056"/>
        <c:scaling>
          <c:orientation val="minMax"/>
          <c:min val="900"/>
        </c:scaling>
        <c:delete val="0"/>
        <c:axPos val="l"/>
        <c:numFmt formatCode="#,##0" sourceLinked="1"/>
        <c:majorTickMark val="out"/>
        <c:minorTickMark val="none"/>
        <c:tickLblPos val="nextTo"/>
        <c:crossAx val="223766784"/>
        <c:crosses val="autoZero"/>
        <c:crossBetween val="between"/>
      </c:valAx>
      <c:valAx>
        <c:axId val="223790592"/>
        <c:scaling>
          <c:orientation val="minMax"/>
          <c:min val="300"/>
        </c:scaling>
        <c:delete val="0"/>
        <c:axPos val="r"/>
        <c:numFmt formatCode="#,##0.0" sourceLinked="1"/>
        <c:majorTickMark val="out"/>
        <c:minorTickMark val="none"/>
        <c:tickLblPos val="nextTo"/>
        <c:crossAx val="223792128"/>
        <c:crosses val="max"/>
        <c:crossBetween val="between"/>
      </c:valAx>
      <c:catAx>
        <c:axId val="223792128"/>
        <c:scaling>
          <c:orientation val="minMax"/>
        </c:scaling>
        <c:delete val="1"/>
        <c:axPos val="b"/>
        <c:numFmt formatCode="General" sourceLinked="1"/>
        <c:majorTickMark val="out"/>
        <c:minorTickMark val="none"/>
        <c:tickLblPos val="nextTo"/>
        <c:crossAx val="223790592"/>
        <c:crosses val="autoZero"/>
        <c:auto val="1"/>
        <c:lblAlgn val="ctr"/>
        <c:lblOffset val="100"/>
        <c:noMultiLvlLbl val="0"/>
      </c:catAx>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ovce!$A$4</c:f>
              <c:strCache>
                <c:ptCount val="1"/>
                <c:pt idx="0">
                  <c:v>Hrubá domáca produkcia</c:v>
                </c:pt>
              </c:strCache>
            </c:strRef>
          </c:tx>
          <c:spPr>
            <a:solidFill>
              <a:schemeClr val="bg1">
                <a:lumMod val="75000"/>
              </a:schemeClr>
            </a:solidFill>
          </c:spPr>
          <c:invertIfNegative val="0"/>
          <c:cat>
            <c:numRef>
              <c:f>ovce!$C$2:$G$2</c:f>
              <c:numCache>
                <c:formatCode>General</c:formatCode>
                <c:ptCount val="5"/>
                <c:pt idx="0">
                  <c:v>2007</c:v>
                </c:pt>
                <c:pt idx="1">
                  <c:v>2008</c:v>
                </c:pt>
                <c:pt idx="2">
                  <c:v>2009</c:v>
                </c:pt>
                <c:pt idx="3">
                  <c:v>2010</c:v>
                </c:pt>
                <c:pt idx="4">
                  <c:v>2011</c:v>
                </c:pt>
              </c:numCache>
            </c:numRef>
          </c:cat>
          <c:val>
            <c:numRef>
              <c:f>ovce!$C$4:$G$4</c:f>
              <c:numCache>
                <c:formatCode>#,##0</c:formatCode>
                <c:ptCount val="5"/>
                <c:pt idx="0">
                  <c:v>1012</c:v>
                </c:pt>
                <c:pt idx="1">
                  <c:v>1178</c:v>
                </c:pt>
                <c:pt idx="2">
                  <c:v>1208</c:v>
                </c:pt>
                <c:pt idx="3">
                  <c:v>1345</c:v>
                </c:pt>
                <c:pt idx="4">
                  <c:v>1188</c:v>
                </c:pt>
              </c:numCache>
            </c:numRef>
          </c:val>
        </c:ser>
        <c:dLbls>
          <c:showLegendKey val="0"/>
          <c:showVal val="0"/>
          <c:showCatName val="0"/>
          <c:showSerName val="0"/>
          <c:showPercent val="0"/>
          <c:showBubbleSize val="0"/>
        </c:dLbls>
        <c:gapWidth val="300"/>
        <c:axId val="218584960"/>
        <c:axId val="218586496"/>
      </c:barChart>
      <c:lineChart>
        <c:grouping val="standard"/>
        <c:varyColors val="0"/>
        <c:ser>
          <c:idx val="1"/>
          <c:order val="1"/>
          <c:tx>
            <c:strRef>
              <c:f>ovce!$A$10</c:f>
              <c:strCache>
                <c:ptCount val="1"/>
                <c:pt idx="0">
                  <c:v>Spotreba mäsa</c:v>
                </c:pt>
              </c:strCache>
            </c:strRef>
          </c:tx>
          <c:spPr>
            <a:ln>
              <a:solidFill>
                <a:schemeClr val="tx1">
                  <a:lumMod val="50000"/>
                  <a:lumOff val="50000"/>
                </a:schemeClr>
              </a:solidFill>
            </a:ln>
          </c:spPr>
          <c:marker>
            <c:symbol val="none"/>
          </c:marker>
          <c:val>
            <c:numRef>
              <c:f>ovce!$C$10:$G$10</c:f>
              <c:numCache>
                <c:formatCode>#,##0</c:formatCode>
                <c:ptCount val="5"/>
                <c:pt idx="0">
                  <c:v>300</c:v>
                </c:pt>
                <c:pt idx="1">
                  <c:v>437</c:v>
                </c:pt>
                <c:pt idx="2">
                  <c:v>725</c:v>
                </c:pt>
                <c:pt idx="3">
                  <c:v>706</c:v>
                </c:pt>
                <c:pt idx="4">
                  <c:v>471</c:v>
                </c:pt>
              </c:numCache>
            </c:numRef>
          </c:val>
          <c:smooth val="0"/>
        </c:ser>
        <c:ser>
          <c:idx val="2"/>
          <c:order val="2"/>
          <c:tx>
            <c:v>Zabitia jatočných oviec</c:v>
          </c:tx>
          <c:spPr>
            <a:ln>
              <a:solidFill>
                <a:schemeClr val="tx1"/>
              </a:solidFill>
            </a:ln>
          </c:spPr>
          <c:marker>
            <c:spPr>
              <a:solidFill>
                <a:schemeClr val="tx1"/>
              </a:solidFill>
            </c:spPr>
          </c:marker>
          <c:dLbls>
            <c:dLbl>
              <c:idx val="0"/>
              <c:layout>
                <c:manualLayout>
                  <c:x val="-4.3842682140554472E-2"/>
                  <c:y val="-3.1620548985846285E-2"/>
                </c:manualLayout>
              </c:layout>
              <c:showLegendKey val="0"/>
              <c:showVal val="1"/>
              <c:showCatName val="0"/>
              <c:showSerName val="0"/>
              <c:showPercent val="0"/>
              <c:showBubbleSize val="0"/>
            </c:dLbl>
            <c:dLbl>
              <c:idx val="1"/>
              <c:layout>
                <c:manualLayout>
                  <c:x val="-4.1263763891545395E-2"/>
                  <c:y val="-4.6951846979891666E-2"/>
                </c:manualLayout>
              </c:layout>
              <c:showLegendKey val="0"/>
              <c:showVal val="1"/>
              <c:showCatName val="0"/>
              <c:showSerName val="0"/>
              <c:showPercent val="0"/>
              <c:showBubbleSize val="0"/>
            </c:dLbl>
            <c:dLbl>
              <c:idx val="2"/>
              <c:layout>
                <c:manualLayout>
                  <c:x val="-3.0947779646186988E-2"/>
                  <c:y val="4.1042802272361366E-2"/>
                </c:manualLayout>
              </c:layout>
              <c:showLegendKey val="0"/>
              <c:showVal val="1"/>
              <c:showCatName val="0"/>
              <c:showSerName val="0"/>
              <c:showPercent val="0"/>
              <c:showBubbleSize val="0"/>
            </c:dLbl>
            <c:dLbl>
              <c:idx val="3"/>
              <c:layout>
                <c:manualLayout>
                  <c:x val="-5.6737588652482372E-2"/>
                  <c:y val="3.8647337649367806E-2"/>
                </c:manualLayout>
              </c:layout>
              <c:showLegendKey val="0"/>
              <c:showVal val="1"/>
              <c:showCatName val="0"/>
              <c:showSerName val="0"/>
              <c:showPercent val="0"/>
              <c:showBubbleSize val="0"/>
            </c:dLbl>
            <c:dLbl>
              <c:idx val="4"/>
              <c:layout>
                <c:manualLayout>
                  <c:x val="-3.094770331110239E-2"/>
                  <c:y val="-4.463760051195016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ovce!$C$16:$G$16</c:f>
              <c:numCache>
                <c:formatCode>General</c:formatCode>
                <c:ptCount val="5"/>
                <c:pt idx="0">
                  <c:v>677.2</c:v>
                </c:pt>
                <c:pt idx="1">
                  <c:v>665.1</c:v>
                </c:pt>
                <c:pt idx="2" formatCode="#,##0">
                  <c:v>580.9</c:v>
                </c:pt>
                <c:pt idx="3">
                  <c:v>651.6</c:v>
                </c:pt>
                <c:pt idx="4">
                  <c:v>526.20000000000005</c:v>
                </c:pt>
              </c:numCache>
            </c:numRef>
          </c:val>
          <c:smooth val="0"/>
        </c:ser>
        <c:dLbls>
          <c:showLegendKey val="0"/>
          <c:showVal val="0"/>
          <c:showCatName val="0"/>
          <c:showSerName val="0"/>
          <c:showPercent val="0"/>
          <c:showBubbleSize val="0"/>
        </c:dLbls>
        <c:marker val="1"/>
        <c:smooth val="0"/>
        <c:axId val="218584960"/>
        <c:axId val="218586496"/>
      </c:lineChart>
      <c:catAx>
        <c:axId val="218584960"/>
        <c:scaling>
          <c:orientation val="minMax"/>
        </c:scaling>
        <c:delete val="0"/>
        <c:axPos val="b"/>
        <c:numFmt formatCode="General" sourceLinked="1"/>
        <c:majorTickMark val="none"/>
        <c:minorTickMark val="none"/>
        <c:tickLblPos val="nextTo"/>
        <c:crossAx val="218586496"/>
        <c:crosses val="autoZero"/>
        <c:auto val="1"/>
        <c:lblAlgn val="ctr"/>
        <c:lblOffset val="100"/>
        <c:noMultiLvlLbl val="0"/>
      </c:catAx>
      <c:valAx>
        <c:axId val="218586496"/>
        <c:scaling>
          <c:orientation val="minMax"/>
        </c:scaling>
        <c:delete val="0"/>
        <c:axPos val="l"/>
        <c:title>
          <c:tx>
            <c:rich>
              <a:bodyPr/>
              <a:lstStyle/>
              <a:p>
                <a:pPr>
                  <a:defRPr b="0"/>
                </a:pPr>
                <a:r>
                  <a:rPr lang="sk-SK" b="0"/>
                  <a:t>tony jatočnej hmotnosti</a:t>
                </a:r>
              </a:p>
            </c:rich>
          </c:tx>
          <c:layout>
            <c:manualLayout>
              <c:xMode val="edge"/>
              <c:yMode val="edge"/>
              <c:x val="2.8368794326241127E-2"/>
              <c:y val="2.4937630334480678E-2"/>
            </c:manualLayout>
          </c:layout>
          <c:overlay val="0"/>
        </c:title>
        <c:numFmt formatCode="#,##0" sourceLinked="1"/>
        <c:majorTickMark val="out"/>
        <c:minorTickMark val="none"/>
        <c:tickLblPos val="nextTo"/>
        <c:crossAx val="218584960"/>
        <c:crosses val="autoZero"/>
        <c:crossBetween val="between"/>
      </c:valAx>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0298556430446208E-2"/>
          <c:y val="0.11574074074074084"/>
          <c:w val="0.81940288713910769"/>
          <c:h val="0.59748432487605574"/>
        </c:manualLayout>
      </c:layout>
      <c:lineChart>
        <c:grouping val="standard"/>
        <c:varyColors val="0"/>
        <c:ser>
          <c:idx val="0"/>
          <c:order val="0"/>
          <c:tx>
            <c:strRef>
              <c:f>ovce!$A$2</c:f>
              <c:strCache>
                <c:ptCount val="1"/>
                <c:pt idx="0">
                  <c:v>priemerné výkupné ceny jatočných jahniat a oviec v EUR/kg</c:v>
                </c:pt>
              </c:strCache>
            </c:strRef>
          </c:tx>
          <c:dLbls>
            <c:dLbl>
              <c:idx val="0"/>
              <c:layout>
                <c:manualLayout>
                  <c:x val="-5.554493097264817E-2"/>
                  <c:y val="4.0090416973881812E-2"/>
                </c:manualLayout>
              </c:layout>
              <c:showLegendKey val="0"/>
              <c:showVal val="1"/>
              <c:showCatName val="0"/>
              <c:showSerName val="0"/>
              <c:showPercent val="0"/>
              <c:showBubbleSize val="0"/>
            </c:dLbl>
            <c:dLbl>
              <c:idx val="1"/>
              <c:layout>
                <c:manualLayout>
                  <c:x val="-2.2222237760917498E-2"/>
                  <c:y val="-4.1617403183014871E-2"/>
                </c:manualLayout>
              </c:layout>
              <c:showLegendKey val="0"/>
              <c:showVal val="1"/>
              <c:showCatName val="0"/>
              <c:showSerName val="0"/>
              <c:showPercent val="0"/>
              <c:showBubbleSize val="0"/>
            </c:dLbl>
            <c:dLbl>
              <c:idx val="2"/>
              <c:layout>
                <c:manualLayout>
                  <c:x val="-2.2779751332149198E-2"/>
                  <c:y val="4.1621252084868658E-2"/>
                </c:manualLayout>
              </c:layout>
              <c:showLegendKey val="0"/>
              <c:showVal val="1"/>
              <c:showCatName val="0"/>
              <c:showSerName val="0"/>
              <c:showPercent val="0"/>
              <c:showBubbleSize val="0"/>
            </c:dLbl>
            <c:dLbl>
              <c:idx val="3"/>
              <c:layout>
                <c:manualLayout>
                  <c:x val="-2.2779882688289021E-2"/>
                  <c:y val="4.0090416973881812E-2"/>
                </c:manualLayout>
              </c:layout>
              <c:showLegendKey val="0"/>
              <c:showVal val="1"/>
              <c:showCatName val="0"/>
              <c:showSerName val="0"/>
              <c:showPercent val="0"/>
              <c:showBubbleSize val="0"/>
            </c:dLbl>
            <c:dLbl>
              <c:idx val="4"/>
              <c:layout>
                <c:manualLayout>
                  <c:x val="-2.5000000000000001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ovce!$B$1:$F$1</c:f>
              <c:numCache>
                <c:formatCode>General</c:formatCode>
                <c:ptCount val="5"/>
                <c:pt idx="0">
                  <c:v>2007</c:v>
                </c:pt>
                <c:pt idx="1">
                  <c:v>2008</c:v>
                </c:pt>
                <c:pt idx="2">
                  <c:v>2009</c:v>
                </c:pt>
                <c:pt idx="3">
                  <c:v>2010</c:v>
                </c:pt>
                <c:pt idx="4">
                  <c:v>2011</c:v>
                </c:pt>
              </c:numCache>
            </c:numRef>
          </c:cat>
          <c:val>
            <c:numRef>
              <c:f>ovce!$B$2:$F$2</c:f>
              <c:numCache>
                <c:formatCode>0.00</c:formatCode>
                <c:ptCount val="5"/>
                <c:pt idx="0">
                  <c:v>1.6700000000000013</c:v>
                </c:pt>
                <c:pt idx="1">
                  <c:v>1.7449999999999988</c:v>
                </c:pt>
                <c:pt idx="2">
                  <c:v>1.3900000000000001</c:v>
                </c:pt>
                <c:pt idx="3">
                  <c:v>1.4</c:v>
                </c:pt>
                <c:pt idx="4">
                  <c:v>1.4500000000000002</c:v>
                </c:pt>
              </c:numCache>
            </c:numRef>
          </c:val>
          <c:smooth val="0"/>
        </c:ser>
        <c:dLbls>
          <c:showLegendKey val="0"/>
          <c:showVal val="0"/>
          <c:showCatName val="0"/>
          <c:showSerName val="0"/>
          <c:showPercent val="0"/>
          <c:showBubbleSize val="0"/>
        </c:dLbls>
        <c:marker val="1"/>
        <c:smooth val="0"/>
        <c:axId val="219092864"/>
        <c:axId val="219094400"/>
      </c:lineChart>
      <c:lineChart>
        <c:grouping val="standard"/>
        <c:varyColors val="0"/>
        <c:ser>
          <c:idx val="1"/>
          <c:order val="1"/>
          <c:tx>
            <c:strRef>
              <c:f>ovce!$A$5</c:f>
              <c:strCache>
                <c:ptCount val="1"/>
                <c:pt idx="0">
                  <c:v>spotreba ovčieho mäsa na obyvateľa v kg za rok</c:v>
                </c:pt>
              </c:strCache>
            </c:strRef>
          </c:tx>
          <c:dLbls>
            <c:dLbl>
              <c:idx val="2"/>
              <c:layout>
                <c:manualLayout>
                  <c:x val="-2.2222222222222251E-2"/>
                  <c:y val="-3.7037037037037056E-2"/>
                </c:manualLayout>
              </c:layout>
              <c:showLegendKey val="0"/>
              <c:showVal val="1"/>
              <c:showCatName val="0"/>
              <c:showSerName val="0"/>
              <c:showPercent val="0"/>
              <c:showBubbleSize val="0"/>
            </c:dLbl>
            <c:dLbl>
              <c:idx val="4"/>
              <c:layout>
                <c:manualLayout>
                  <c:x val="-2.2222222222222251E-2"/>
                  <c:y val="-4.166666666666671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ovce!$B$5:$F$5</c:f>
              <c:numCache>
                <c:formatCode>0.00</c:formatCode>
                <c:ptCount val="5"/>
                <c:pt idx="0">
                  <c:v>8.0000000000000043E-2</c:v>
                </c:pt>
                <c:pt idx="1">
                  <c:v>0.1</c:v>
                </c:pt>
                <c:pt idx="2">
                  <c:v>0.16</c:v>
                </c:pt>
                <c:pt idx="3">
                  <c:v>0.16</c:v>
                </c:pt>
                <c:pt idx="4">
                  <c:v>0.113</c:v>
                </c:pt>
              </c:numCache>
            </c:numRef>
          </c:val>
          <c:smooth val="0"/>
        </c:ser>
        <c:dLbls>
          <c:showLegendKey val="0"/>
          <c:showVal val="0"/>
          <c:showCatName val="0"/>
          <c:showSerName val="0"/>
          <c:showPercent val="0"/>
          <c:showBubbleSize val="0"/>
        </c:dLbls>
        <c:marker val="1"/>
        <c:smooth val="0"/>
        <c:axId val="219105920"/>
        <c:axId val="219104384"/>
      </c:lineChart>
      <c:catAx>
        <c:axId val="219092864"/>
        <c:scaling>
          <c:orientation val="minMax"/>
        </c:scaling>
        <c:delete val="0"/>
        <c:axPos val="b"/>
        <c:numFmt formatCode="General" sourceLinked="1"/>
        <c:majorTickMark val="out"/>
        <c:minorTickMark val="none"/>
        <c:tickLblPos val="nextTo"/>
        <c:crossAx val="219094400"/>
        <c:crosses val="autoZero"/>
        <c:auto val="1"/>
        <c:lblAlgn val="ctr"/>
        <c:lblOffset val="100"/>
        <c:noMultiLvlLbl val="0"/>
      </c:catAx>
      <c:valAx>
        <c:axId val="219094400"/>
        <c:scaling>
          <c:orientation val="minMax"/>
          <c:min val="1.2"/>
        </c:scaling>
        <c:delete val="0"/>
        <c:axPos val="l"/>
        <c:numFmt formatCode="0.00" sourceLinked="1"/>
        <c:majorTickMark val="out"/>
        <c:minorTickMark val="none"/>
        <c:tickLblPos val="nextTo"/>
        <c:crossAx val="219092864"/>
        <c:crosses val="autoZero"/>
        <c:crossBetween val="between"/>
      </c:valAx>
      <c:valAx>
        <c:axId val="219104384"/>
        <c:scaling>
          <c:orientation val="minMax"/>
          <c:min val="5.0000000000000024E-2"/>
        </c:scaling>
        <c:delete val="0"/>
        <c:axPos val="r"/>
        <c:numFmt formatCode="0.00" sourceLinked="1"/>
        <c:majorTickMark val="out"/>
        <c:minorTickMark val="none"/>
        <c:tickLblPos val="nextTo"/>
        <c:crossAx val="219105920"/>
        <c:crosses val="max"/>
        <c:crossBetween val="between"/>
      </c:valAx>
      <c:catAx>
        <c:axId val="219105920"/>
        <c:scaling>
          <c:orientation val="minMax"/>
        </c:scaling>
        <c:delete val="1"/>
        <c:axPos val="b"/>
        <c:majorTickMark val="out"/>
        <c:minorTickMark val="none"/>
        <c:tickLblPos val="nextTo"/>
        <c:crossAx val="219104384"/>
        <c:crosses val="autoZero"/>
        <c:auto val="1"/>
        <c:lblAlgn val="ctr"/>
        <c:lblOffset val="100"/>
        <c:noMultiLvlLbl val="0"/>
      </c:catAx>
    </c:plotArea>
    <c:legend>
      <c:legendPos val="b"/>
      <c:layout>
        <c:manualLayout>
          <c:xMode val="edge"/>
          <c:yMode val="edge"/>
          <c:x val="0.16494122459825741"/>
          <c:y val="0.81295953523548292"/>
          <c:w val="0.7078538431874497"/>
          <c:h val="0.18704059040590426"/>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5279855643044643"/>
          <c:y val="0.18839510244465521"/>
          <c:w val="0.76384733158355334"/>
          <c:h val="0.59642580164188463"/>
        </c:manualLayout>
      </c:layout>
      <c:lineChart>
        <c:grouping val="standard"/>
        <c:varyColors val="0"/>
        <c:ser>
          <c:idx val="0"/>
          <c:order val="0"/>
          <c:tx>
            <c:strRef>
              <c:f>'mlieko a mliečne výrobky'!$K$4</c:f>
              <c:strCache>
                <c:ptCount val="1"/>
                <c:pt idx="0">
                  <c:v>Hrubá domáca produkcia v tonách</c:v>
                </c:pt>
              </c:strCache>
            </c:strRef>
          </c:tx>
          <c:dLbls>
            <c:dLbl>
              <c:idx val="0"/>
              <c:layout>
                <c:manualLayout>
                  <c:x val="-9.4524538576446049E-2"/>
                  <c:y val="-5.1547358861511156E-2"/>
                </c:manualLayout>
              </c:layout>
              <c:showLegendKey val="0"/>
              <c:showVal val="1"/>
              <c:showCatName val="0"/>
              <c:showSerName val="0"/>
              <c:showPercent val="0"/>
              <c:showBubbleSize val="0"/>
            </c:dLbl>
            <c:dLbl>
              <c:idx val="2"/>
              <c:layout>
                <c:manualLayout>
                  <c:x val="-1.6666666666666687E-2"/>
                  <c:y val="-4.6296296296296363E-2"/>
                </c:manualLayout>
              </c:layout>
              <c:showLegendKey val="0"/>
              <c:showVal val="1"/>
              <c:showCatName val="0"/>
              <c:showSerName val="0"/>
              <c:showPercent val="0"/>
              <c:showBubbleSize val="0"/>
            </c:dLbl>
            <c:dLbl>
              <c:idx val="3"/>
              <c:layout>
                <c:manualLayout>
                  <c:x val="-3.0555555555555579E-2"/>
                  <c:y val="-5.0925925925925923E-2"/>
                </c:manualLayout>
              </c:layout>
              <c:showLegendKey val="0"/>
              <c:showVal val="1"/>
              <c:showCatName val="0"/>
              <c:showSerName val="0"/>
              <c:showPercent val="0"/>
              <c:showBubbleSize val="0"/>
            </c:dLbl>
            <c:dLbl>
              <c:idx val="4"/>
              <c:layout>
                <c:manualLayout>
                  <c:x val="-6.6666666666666763E-2"/>
                  <c:y val="-5.09259259259259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'mlieko a mliečne výrobky'!$L$3:$P$3</c:f>
              <c:numCache>
                <c:formatCode>General</c:formatCode>
                <c:ptCount val="5"/>
                <c:pt idx="0">
                  <c:v>2002</c:v>
                </c:pt>
                <c:pt idx="1">
                  <c:v>2008</c:v>
                </c:pt>
                <c:pt idx="2">
                  <c:v>2009</c:v>
                </c:pt>
                <c:pt idx="3">
                  <c:v>2010</c:v>
                </c:pt>
                <c:pt idx="4">
                  <c:v>2011</c:v>
                </c:pt>
              </c:numCache>
            </c:numRef>
          </c:cat>
          <c:val>
            <c:numRef>
              <c:f>'mlieko a mliečne výrobky'!$L$4:$P$4</c:f>
              <c:numCache>
                <c:formatCode>#,##0</c:formatCode>
                <c:ptCount val="5"/>
                <c:pt idx="0">
                  <c:v>1197800</c:v>
                </c:pt>
                <c:pt idx="1">
                  <c:v>1057249</c:v>
                </c:pt>
                <c:pt idx="2">
                  <c:v>957327</c:v>
                </c:pt>
                <c:pt idx="3">
                  <c:v>917977</c:v>
                </c:pt>
                <c:pt idx="4">
                  <c:v>928315</c:v>
                </c:pt>
              </c:numCache>
            </c:numRef>
          </c:val>
          <c:smooth val="0"/>
        </c:ser>
        <c:dLbls>
          <c:showLegendKey val="0"/>
          <c:showVal val="0"/>
          <c:showCatName val="0"/>
          <c:showSerName val="0"/>
          <c:showPercent val="0"/>
          <c:showBubbleSize val="0"/>
        </c:dLbls>
        <c:marker val="1"/>
        <c:smooth val="0"/>
        <c:axId val="219138304"/>
        <c:axId val="219164672"/>
      </c:lineChart>
      <c:lineChart>
        <c:grouping val="standard"/>
        <c:varyColors val="0"/>
        <c:ser>
          <c:idx val="1"/>
          <c:order val="1"/>
          <c:tx>
            <c:strRef>
              <c:f>'mlieko a mliečne výrobky'!$K$5</c:f>
              <c:strCache>
                <c:ptCount val="1"/>
                <c:pt idx="0">
                  <c:v>Priemerný počet dojníc v tis. ks</c:v>
                </c:pt>
              </c:strCache>
            </c:strRef>
          </c:tx>
          <c:dLbls>
            <c:dLbl>
              <c:idx val="0"/>
              <c:layout>
                <c:manualLayout>
                  <c:x val="-5.7414088997627864E-2"/>
                  <c:y val="5.092601091753432E-2"/>
                </c:manualLayout>
              </c:layout>
              <c:showLegendKey val="0"/>
              <c:showVal val="1"/>
              <c:showCatName val="0"/>
              <c:showSerName val="0"/>
              <c:showPercent val="0"/>
              <c:showBubbleSize val="0"/>
            </c:dLbl>
            <c:dLbl>
              <c:idx val="1"/>
              <c:layout>
                <c:manualLayout>
                  <c:x val="-8.8888888888888865E-2"/>
                  <c:y val="4.6296296296296346E-3"/>
                </c:manualLayout>
              </c:layout>
              <c:showLegendKey val="0"/>
              <c:showVal val="1"/>
              <c:showCatName val="0"/>
              <c:showSerName val="0"/>
              <c:showPercent val="0"/>
              <c:showBubbleSize val="0"/>
            </c:dLbl>
            <c:dLbl>
              <c:idx val="2"/>
              <c:layout>
                <c:manualLayout>
                  <c:x val="-6.666666666666668E-2"/>
                  <c:y val="4.1666666666666761E-2"/>
                </c:manualLayout>
              </c:layout>
              <c:showLegendKey val="0"/>
              <c:showVal val="1"/>
              <c:showCatName val="0"/>
              <c:showSerName val="0"/>
              <c:showPercent val="0"/>
              <c:showBubbleSize val="0"/>
            </c:dLbl>
            <c:dLbl>
              <c:idx val="3"/>
              <c:layout>
                <c:manualLayout>
                  <c:x val="-7.2222222222222299E-2"/>
                  <c:y val="3.703703703703705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'mlieko a mliečne výrobky'!$L$3:$P$3</c:f>
              <c:numCache>
                <c:formatCode>General</c:formatCode>
                <c:ptCount val="5"/>
                <c:pt idx="0">
                  <c:v>2002</c:v>
                </c:pt>
                <c:pt idx="1">
                  <c:v>2008</c:v>
                </c:pt>
                <c:pt idx="2">
                  <c:v>2009</c:v>
                </c:pt>
                <c:pt idx="3">
                  <c:v>2010</c:v>
                </c:pt>
                <c:pt idx="4">
                  <c:v>2011</c:v>
                </c:pt>
              </c:numCache>
            </c:numRef>
          </c:cat>
          <c:val>
            <c:numRef>
              <c:f>'mlieko a mliečne výrobky'!$L$5:$P$5</c:f>
              <c:numCache>
                <c:formatCode>#,##0</c:formatCode>
                <c:ptCount val="5"/>
                <c:pt idx="0">
                  <c:v>237</c:v>
                </c:pt>
                <c:pt idx="1">
                  <c:v>176</c:v>
                </c:pt>
                <c:pt idx="2">
                  <c:v>166</c:v>
                </c:pt>
                <c:pt idx="3">
                  <c:v>161</c:v>
                </c:pt>
                <c:pt idx="4">
                  <c:v>156</c:v>
                </c:pt>
              </c:numCache>
            </c:numRef>
          </c:val>
          <c:smooth val="0"/>
        </c:ser>
        <c:dLbls>
          <c:showLegendKey val="0"/>
          <c:showVal val="0"/>
          <c:showCatName val="0"/>
          <c:showSerName val="0"/>
          <c:showPercent val="0"/>
          <c:showBubbleSize val="0"/>
        </c:dLbls>
        <c:marker val="1"/>
        <c:smooth val="0"/>
        <c:axId val="219167744"/>
        <c:axId val="219166208"/>
      </c:lineChart>
      <c:catAx>
        <c:axId val="219138304"/>
        <c:scaling>
          <c:orientation val="minMax"/>
        </c:scaling>
        <c:delete val="0"/>
        <c:axPos val="b"/>
        <c:numFmt formatCode="General" sourceLinked="1"/>
        <c:majorTickMark val="out"/>
        <c:minorTickMark val="none"/>
        <c:tickLblPos val="nextTo"/>
        <c:crossAx val="219164672"/>
        <c:crosses val="autoZero"/>
        <c:auto val="1"/>
        <c:lblAlgn val="ctr"/>
        <c:lblOffset val="100"/>
        <c:noMultiLvlLbl val="0"/>
      </c:catAx>
      <c:valAx>
        <c:axId val="219164672"/>
        <c:scaling>
          <c:orientation val="minMax"/>
          <c:min val="800000"/>
        </c:scaling>
        <c:delete val="0"/>
        <c:axPos val="l"/>
        <c:numFmt formatCode="#,##0" sourceLinked="1"/>
        <c:majorTickMark val="out"/>
        <c:minorTickMark val="none"/>
        <c:tickLblPos val="nextTo"/>
        <c:crossAx val="219138304"/>
        <c:crosses val="autoZero"/>
        <c:crossBetween val="between"/>
      </c:valAx>
      <c:valAx>
        <c:axId val="219166208"/>
        <c:scaling>
          <c:orientation val="minMax"/>
          <c:min val="150"/>
        </c:scaling>
        <c:delete val="0"/>
        <c:axPos val="r"/>
        <c:numFmt formatCode="#,##0" sourceLinked="1"/>
        <c:majorTickMark val="out"/>
        <c:minorTickMark val="none"/>
        <c:tickLblPos val="nextTo"/>
        <c:crossAx val="219167744"/>
        <c:crosses val="max"/>
        <c:crossBetween val="between"/>
      </c:valAx>
      <c:catAx>
        <c:axId val="219167744"/>
        <c:scaling>
          <c:orientation val="minMax"/>
        </c:scaling>
        <c:delete val="1"/>
        <c:axPos val="b"/>
        <c:numFmt formatCode="General" sourceLinked="1"/>
        <c:majorTickMark val="out"/>
        <c:minorTickMark val="none"/>
        <c:tickLblPos val="nextTo"/>
        <c:crossAx val="219166208"/>
        <c:crosses val="autoZero"/>
        <c:auto val="1"/>
        <c:lblAlgn val="ctr"/>
        <c:lblOffset val="100"/>
        <c:noMultiLvlLbl val="0"/>
      </c:catAx>
    </c:plotArea>
    <c:legend>
      <c:legendPos val="b"/>
      <c:layout>
        <c:manualLayout>
          <c:xMode val="edge"/>
          <c:yMode val="edge"/>
          <c:x val="8.7953396350846522E-2"/>
          <c:y val="0.89037690967142769"/>
          <c:w val="0.82409320729830815"/>
          <c:h val="0.10962309032857173"/>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015507436570428"/>
          <c:y val="0.14399314668999738"/>
          <c:w val="0.81377318460192449"/>
          <c:h val="0.62853200641586471"/>
        </c:manualLayout>
      </c:layout>
      <c:lineChart>
        <c:grouping val="standard"/>
        <c:varyColors val="0"/>
        <c:ser>
          <c:idx val="1"/>
          <c:order val="1"/>
          <c:tx>
            <c:strRef>
              <c:f>'mlieko a mliečne výrobky'!$K$6</c:f>
              <c:strCache>
                <c:ptCount val="1"/>
                <c:pt idx="0">
                  <c:v>Úžitkovosť (v kg)</c:v>
                </c:pt>
              </c:strCache>
            </c:strRef>
          </c:tx>
          <c:dLbls>
            <c:dLbl>
              <c:idx val="0"/>
              <c:layout>
                <c:manualLayout>
                  <c:x val="-7.2623239436619733E-2"/>
                  <c:y val="-6.561679790026255E-2"/>
                </c:manualLayout>
              </c:layout>
              <c:showLegendKey val="0"/>
              <c:showVal val="1"/>
              <c:showCatName val="0"/>
              <c:showSerName val="0"/>
              <c:showPercent val="0"/>
              <c:showBubbleSize val="0"/>
            </c:dLbl>
            <c:dLbl>
              <c:idx val="1"/>
              <c:layout>
                <c:manualLayout>
                  <c:x val="-2.4207788499407471E-2"/>
                  <c:y val="5.4728312850492435E-2"/>
                </c:manualLayout>
              </c:layout>
              <c:showLegendKey val="0"/>
              <c:showVal val="1"/>
              <c:showCatName val="0"/>
              <c:showSerName val="0"/>
              <c:showPercent val="0"/>
              <c:showBubbleSize val="0"/>
            </c:dLbl>
            <c:dLbl>
              <c:idx val="2"/>
              <c:layout>
                <c:manualLayout>
                  <c:x val="-1.6666666666666687E-2"/>
                  <c:y val="-4.16666666666666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'mlieko a mliečne výrobky'!$L$3:$P$3</c:f>
              <c:numCache>
                <c:formatCode>General</c:formatCode>
                <c:ptCount val="5"/>
                <c:pt idx="0">
                  <c:v>2002</c:v>
                </c:pt>
                <c:pt idx="1">
                  <c:v>2008</c:v>
                </c:pt>
                <c:pt idx="2">
                  <c:v>2009</c:v>
                </c:pt>
                <c:pt idx="3">
                  <c:v>2010</c:v>
                </c:pt>
                <c:pt idx="4">
                  <c:v>2011</c:v>
                </c:pt>
              </c:numCache>
            </c:numRef>
          </c:cat>
          <c:val>
            <c:numRef>
              <c:f>'mlieko a mliečne výrobky'!$L$6:$P$6</c:f>
              <c:numCache>
                <c:formatCode>#,##0</c:formatCode>
                <c:ptCount val="5"/>
                <c:pt idx="0">
                  <c:v>5045</c:v>
                </c:pt>
                <c:pt idx="1">
                  <c:v>6025</c:v>
                </c:pt>
                <c:pt idx="2">
                  <c:v>5770</c:v>
                </c:pt>
                <c:pt idx="3">
                  <c:v>5692</c:v>
                </c:pt>
                <c:pt idx="4">
                  <c:v>5946</c:v>
                </c:pt>
              </c:numCache>
            </c:numRef>
          </c:val>
          <c:smooth val="0"/>
        </c:ser>
        <c:dLbls>
          <c:showLegendKey val="0"/>
          <c:showVal val="0"/>
          <c:showCatName val="0"/>
          <c:showSerName val="0"/>
          <c:showPercent val="0"/>
          <c:showBubbleSize val="0"/>
        </c:dLbls>
        <c:marker val="1"/>
        <c:smooth val="0"/>
        <c:axId val="219208704"/>
        <c:axId val="219218688"/>
      </c:lineChart>
      <c:lineChart>
        <c:grouping val="standard"/>
        <c:varyColors val="0"/>
        <c:ser>
          <c:idx val="0"/>
          <c:order val="0"/>
          <c:tx>
            <c:strRef>
              <c:f>'mlieko a mliečne výrobky'!$K$5</c:f>
              <c:strCache>
                <c:ptCount val="1"/>
                <c:pt idx="0">
                  <c:v>Priemerný počet dojníc v tis. ks</c:v>
                </c:pt>
              </c:strCache>
            </c:strRef>
          </c:tx>
          <c:dLbls>
            <c:dLbl>
              <c:idx val="0"/>
              <c:layout>
                <c:manualLayout>
                  <c:x val="-5.0611575305640394E-2"/>
                  <c:y val="4.9741617754075929E-2"/>
                </c:manualLayout>
              </c:layout>
              <c:showLegendKey val="0"/>
              <c:showVal val="1"/>
              <c:showCatName val="0"/>
              <c:showSerName val="0"/>
              <c:showPercent val="0"/>
              <c:showBubbleSize val="0"/>
            </c:dLbl>
            <c:dLbl>
              <c:idx val="1"/>
              <c:layout>
                <c:manualLayout>
                  <c:x val="-5.5555555555555558E-3"/>
                  <c:y val="-4.1666666666666664E-2"/>
                </c:manualLayout>
              </c:layout>
              <c:showLegendKey val="0"/>
              <c:showVal val="1"/>
              <c:showCatName val="0"/>
              <c:showSerName val="0"/>
              <c:showPercent val="0"/>
              <c:showBubbleSize val="0"/>
            </c:dLbl>
            <c:dLbl>
              <c:idx val="2"/>
              <c:layout>
                <c:manualLayout>
                  <c:x val="-2.2222222222222251E-2"/>
                  <c:y val="-2.7777777777777769E-2"/>
                </c:manualLayout>
              </c:layout>
              <c:showLegendKey val="0"/>
              <c:showVal val="1"/>
              <c:showCatName val="0"/>
              <c:showSerName val="0"/>
              <c:showPercent val="0"/>
              <c:showBubbleSize val="0"/>
            </c:dLbl>
            <c:dLbl>
              <c:idx val="3"/>
              <c:layout>
                <c:manualLayout>
                  <c:x val="-2.5000000000000001E-2"/>
                  <c:y val="-2.777777777777784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'mlieko a mliečne výrobky'!$L$3:$P$3</c:f>
              <c:numCache>
                <c:formatCode>General</c:formatCode>
                <c:ptCount val="5"/>
                <c:pt idx="0">
                  <c:v>2002</c:v>
                </c:pt>
                <c:pt idx="1">
                  <c:v>2008</c:v>
                </c:pt>
                <c:pt idx="2">
                  <c:v>2009</c:v>
                </c:pt>
                <c:pt idx="3">
                  <c:v>2010</c:v>
                </c:pt>
                <c:pt idx="4">
                  <c:v>2011</c:v>
                </c:pt>
              </c:numCache>
            </c:numRef>
          </c:cat>
          <c:val>
            <c:numRef>
              <c:f>'mlieko a mliečne výrobky'!$L$5:$P$5</c:f>
              <c:numCache>
                <c:formatCode>#,##0</c:formatCode>
                <c:ptCount val="5"/>
                <c:pt idx="0">
                  <c:v>237</c:v>
                </c:pt>
                <c:pt idx="1">
                  <c:v>176</c:v>
                </c:pt>
                <c:pt idx="2">
                  <c:v>166</c:v>
                </c:pt>
                <c:pt idx="3">
                  <c:v>161</c:v>
                </c:pt>
                <c:pt idx="4">
                  <c:v>156</c:v>
                </c:pt>
              </c:numCache>
            </c:numRef>
          </c:val>
          <c:smooth val="0"/>
        </c:ser>
        <c:dLbls>
          <c:showLegendKey val="0"/>
          <c:showVal val="0"/>
          <c:showCatName val="0"/>
          <c:showSerName val="0"/>
          <c:showPercent val="0"/>
          <c:showBubbleSize val="0"/>
        </c:dLbls>
        <c:marker val="1"/>
        <c:smooth val="0"/>
        <c:axId val="219230208"/>
        <c:axId val="219220224"/>
      </c:lineChart>
      <c:catAx>
        <c:axId val="219208704"/>
        <c:scaling>
          <c:orientation val="minMax"/>
        </c:scaling>
        <c:delete val="0"/>
        <c:axPos val="b"/>
        <c:numFmt formatCode="General" sourceLinked="1"/>
        <c:majorTickMark val="out"/>
        <c:minorTickMark val="none"/>
        <c:tickLblPos val="nextTo"/>
        <c:crossAx val="219218688"/>
        <c:crosses val="autoZero"/>
        <c:auto val="1"/>
        <c:lblAlgn val="ctr"/>
        <c:lblOffset val="100"/>
        <c:noMultiLvlLbl val="0"/>
      </c:catAx>
      <c:valAx>
        <c:axId val="219218688"/>
        <c:scaling>
          <c:orientation val="minMax"/>
          <c:min val="5000"/>
        </c:scaling>
        <c:delete val="0"/>
        <c:axPos val="l"/>
        <c:numFmt formatCode="#,##0" sourceLinked="1"/>
        <c:majorTickMark val="out"/>
        <c:minorTickMark val="none"/>
        <c:tickLblPos val="nextTo"/>
        <c:crossAx val="219208704"/>
        <c:crosses val="autoZero"/>
        <c:crossBetween val="between"/>
      </c:valAx>
      <c:valAx>
        <c:axId val="219220224"/>
        <c:scaling>
          <c:orientation val="minMax"/>
          <c:min val="150"/>
        </c:scaling>
        <c:delete val="0"/>
        <c:axPos val="r"/>
        <c:numFmt formatCode="#,##0" sourceLinked="1"/>
        <c:majorTickMark val="out"/>
        <c:minorTickMark val="none"/>
        <c:tickLblPos val="nextTo"/>
        <c:crossAx val="219230208"/>
        <c:crosses val="max"/>
        <c:crossBetween val="between"/>
      </c:valAx>
      <c:catAx>
        <c:axId val="219230208"/>
        <c:scaling>
          <c:orientation val="minMax"/>
        </c:scaling>
        <c:delete val="1"/>
        <c:axPos val="b"/>
        <c:numFmt formatCode="General" sourceLinked="1"/>
        <c:majorTickMark val="out"/>
        <c:minorTickMark val="none"/>
        <c:tickLblPos val="nextTo"/>
        <c:crossAx val="219220224"/>
        <c:crosses val="autoZero"/>
        <c:auto val="1"/>
        <c:lblAlgn val="ctr"/>
        <c:lblOffset val="100"/>
        <c:noMultiLvlLbl val="0"/>
      </c:catAx>
      <c:spPr>
        <a:noFill/>
        <a:ln w="25400">
          <a:noFill/>
        </a:ln>
      </c:spPr>
    </c:plotArea>
    <c:legend>
      <c:legendPos val="b"/>
      <c:layout>
        <c:manualLayout>
          <c:xMode val="edge"/>
          <c:yMode val="edge"/>
          <c:x val="0.17425176056338029"/>
          <c:y val="0.86658141385492371"/>
          <c:w val="0.65149647887323969"/>
          <c:h val="0.13341858614507654"/>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7041109848064768E-2"/>
          <c:y val="6.6848982072318444E-2"/>
          <c:w val="0.89875114367306264"/>
          <c:h val="0.69930590945958626"/>
        </c:manualLayout>
      </c:layout>
      <c:barChart>
        <c:barDir val="col"/>
        <c:grouping val="clustered"/>
        <c:varyColors val="0"/>
        <c:ser>
          <c:idx val="0"/>
          <c:order val="0"/>
          <c:tx>
            <c:strRef>
              <c:f>mlieko!$A$3:$B$3</c:f>
              <c:strCache>
                <c:ptCount val="1"/>
                <c:pt idx="0">
                  <c:v>Ceny prvovýrobcov</c:v>
                </c:pt>
              </c:strCache>
            </c:strRef>
          </c:tx>
          <c:invertIfNegative val="0"/>
          <c:dLbls>
            <c:showLegendKey val="0"/>
            <c:showVal val="1"/>
            <c:showCatName val="0"/>
            <c:showSerName val="0"/>
            <c:showPercent val="0"/>
            <c:showBubbleSize val="0"/>
            <c:showLeaderLines val="0"/>
          </c:dLbls>
          <c:cat>
            <c:numRef>
              <c:f>mlieko!$C$2:$G$2</c:f>
              <c:numCache>
                <c:formatCode>General</c:formatCode>
                <c:ptCount val="5"/>
                <c:pt idx="0">
                  <c:v>2007</c:v>
                </c:pt>
                <c:pt idx="1">
                  <c:v>2008</c:v>
                </c:pt>
                <c:pt idx="2">
                  <c:v>2009</c:v>
                </c:pt>
                <c:pt idx="3">
                  <c:v>2010</c:v>
                </c:pt>
                <c:pt idx="4">
                  <c:v>2011</c:v>
                </c:pt>
              </c:numCache>
            </c:numRef>
          </c:cat>
          <c:val>
            <c:numRef>
              <c:f>mlieko!$C$3:$G$3</c:f>
              <c:numCache>
                <c:formatCode>0.00_)</c:formatCode>
                <c:ptCount val="5"/>
                <c:pt idx="0">
                  <c:v>0.32360000000000033</c:v>
                </c:pt>
                <c:pt idx="1">
                  <c:v>0.3376000000000004</c:v>
                </c:pt>
                <c:pt idx="2">
                  <c:v>0.20820000000000016</c:v>
                </c:pt>
                <c:pt idx="3">
                  <c:v>0.27240000000000031</c:v>
                </c:pt>
                <c:pt idx="4">
                  <c:v>0.31620000000000031</c:v>
                </c:pt>
              </c:numCache>
            </c:numRef>
          </c:val>
        </c:ser>
        <c:ser>
          <c:idx val="1"/>
          <c:order val="1"/>
          <c:tx>
            <c:strRef>
              <c:f>mlieko!$A$4:$B$4</c:f>
              <c:strCache>
                <c:ptCount val="1"/>
                <c:pt idx="0">
                  <c:v>Ceny spracovateľov</c:v>
                </c:pt>
              </c:strCache>
            </c:strRef>
          </c:tx>
          <c:invertIfNegative val="0"/>
          <c:dLbls>
            <c:showLegendKey val="0"/>
            <c:showVal val="1"/>
            <c:showCatName val="0"/>
            <c:showSerName val="0"/>
            <c:showPercent val="0"/>
            <c:showBubbleSize val="0"/>
            <c:showLeaderLines val="0"/>
          </c:dLbls>
          <c:cat>
            <c:numRef>
              <c:f>mlieko!$C$2:$G$2</c:f>
              <c:numCache>
                <c:formatCode>General</c:formatCode>
                <c:ptCount val="5"/>
                <c:pt idx="0">
                  <c:v>2007</c:v>
                </c:pt>
                <c:pt idx="1">
                  <c:v>2008</c:v>
                </c:pt>
                <c:pt idx="2">
                  <c:v>2009</c:v>
                </c:pt>
                <c:pt idx="3">
                  <c:v>2010</c:v>
                </c:pt>
                <c:pt idx="4">
                  <c:v>2011</c:v>
                </c:pt>
              </c:numCache>
            </c:numRef>
          </c:cat>
          <c:val>
            <c:numRef>
              <c:f>mlieko!$C$4:$G$4</c:f>
              <c:numCache>
                <c:formatCode>0.00_)</c:formatCode>
                <c:ptCount val="5"/>
                <c:pt idx="0">
                  <c:v>0.5166666666666665</c:v>
                </c:pt>
                <c:pt idx="1">
                  <c:v>0.54666666666666652</c:v>
                </c:pt>
                <c:pt idx="2">
                  <c:v>0.38333333333333336</c:v>
                </c:pt>
                <c:pt idx="3">
                  <c:v>0.42333333333333334</c:v>
                </c:pt>
                <c:pt idx="4">
                  <c:v>0.46</c:v>
                </c:pt>
              </c:numCache>
            </c:numRef>
          </c:val>
        </c:ser>
        <c:ser>
          <c:idx val="2"/>
          <c:order val="2"/>
          <c:tx>
            <c:strRef>
              <c:f>mlieko!$A$5:$B$5</c:f>
              <c:strCache>
                <c:ptCount val="1"/>
                <c:pt idx="0">
                  <c:v>Spotrebiteľské ceny</c:v>
                </c:pt>
              </c:strCache>
            </c:strRef>
          </c:tx>
          <c:invertIfNegative val="0"/>
          <c:dLbls>
            <c:showLegendKey val="0"/>
            <c:showVal val="1"/>
            <c:showCatName val="0"/>
            <c:showSerName val="0"/>
            <c:showPercent val="0"/>
            <c:showBubbleSize val="0"/>
            <c:showLeaderLines val="0"/>
          </c:dLbls>
          <c:cat>
            <c:numRef>
              <c:f>mlieko!$C$2:$G$2</c:f>
              <c:numCache>
                <c:formatCode>General</c:formatCode>
                <c:ptCount val="5"/>
                <c:pt idx="0">
                  <c:v>2007</c:v>
                </c:pt>
                <c:pt idx="1">
                  <c:v>2008</c:v>
                </c:pt>
                <c:pt idx="2">
                  <c:v>2009</c:v>
                </c:pt>
                <c:pt idx="3">
                  <c:v>2010</c:v>
                </c:pt>
                <c:pt idx="4">
                  <c:v>2011</c:v>
                </c:pt>
              </c:numCache>
            </c:numRef>
          </c:cat>
          <c:val>
            <c:numRef>
              <c:f>mlieko!$C$5:$G$5</c:f>
              <c:numCache>
                <c:formatCode>0.00_)</c:formatCode>
                <c:ptCount val="5"/>
                <c:pt idx="0">
                  <c:v>0.70000000000000062</c:v>
                </c:pt>
                <c:pt idx="1">
                  <c:v>0.76000000000000079</c:v>
                </c:pt>
                <c:pt idx="2">
                  <c:v>0.62500000000000078</c:v>
                </c:pt>
                <c:pt idx="3">
                  <c:v>0.64500000000000079</c:v>
                </c:pt>
                <c:pt idx="4">
                  <c:v>0.72000000000000064</c:v>
                </c:pt>
              </c:numCache>
            </c:numRef>
          </c:val>
        </c:ser>
        <c:dLbls>
          <c:showLegendKey val="0"/>
          <c:showVal val="0"/>
          <c:showCatName val="0"/>
          <c:showSerName val="0"/>
          <c:showPercent val="0"/>
          <c:showBubbleSize val="0"/>
        </c:dLbls>
        <c:gapWidth val="150"/>
        <c:axId val="219262336"/>
        <c:axId val="219268224"/>
      </c:barChart>
      <c:catAx>
        <c:axId val="219262336"/>
        <c:scaling>
          <c:orientation val="minMax"/>
        </c:scaling>
        <c:delete val="0"/>
        <c:axPos val="b"/>
        <c:numFmt formatCode="General" sourceLinked="1"/>
        <c:majorTickMark val="out"/>
        <c:minorTickMark val="none"/>
        <c:tickLblPos val="nextTo"/>
        <c:crossAx val="219268224"/>
        <c:crosses val="autoZero"/>
        <c:auto val="1"/>
        <c:lblAlgn val="ctr"/>
        <c:lblOffset val="100"/>
        <c:noMultiLvlLbl val="0"/>
      </c:catAx>
      <c:valAx>
        <c:axId val="219268224"/>
        <c:scaling>
          <c:orientation val="minMax"/>
        </c:scaling>
        <c:delete val="0"/>
        <c:axPos val="l"/>
        <c:numFmt formatCode="0.00_)" sourceLinked="1"/>
        <c:majorTickMark val="out"/>
        <c:minorTickMark val="none"/>
        <c:tickLblPos val="nextTo"/>
        <c:crossAx val="219262336"/>
        <c:crosses val="autoZero"/>
        <c:crossBetween val="between"/>
      </c:valAx>
    </c:plotArea>
    <c:legend>
      <c:legendPos val="b"/>
      <c:layout>
        <c:manualLayout>
          <c:xMode val="edge"/>
          <c:yMode val="edge"/>
          <c:x val="0.14357498336475547"/>
          <c:y val="0.89690566254423354"/>
          <c:w val="0.7128498599866927"/>
          <c:h val="0.10309433745576697"/>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dLbls>
            <c:dLbl>
              <c:idx val="0"/>
              <c:layout>
                <c:manualLayout>
                  <c:x val="-3.6111111111111177E-2"/>
                  <c:y val="-6.9444444444444503E-2"/>
                </c:manualLayout>
              </c:layout>
              <c:showLegendKey val="0"/>
              <c:showVal val="1"/>
              <c:showCatName val="0"/>
              <c:showSerName val="0"/>
              <c:showPercent val="0"/>
              <c:showBubbleSize val="0"/>
            </c:dLbl>
            <c:dLbl>
              <c:idx val="1"/>
              <c:layout>
                <c:manualLayout>
                  <c:x val="0"/>
                  <c:y val="-1.3888888888888871E-2"/>
                </c:manualLayout>
              </c:layout>
              <c:showLegendKey val="0"/>
              <c:showVal val="1"/>
              <c:showCatName val="0"/>
              <c:showSerName val="0"/>
              <c:showPercent val="0"/>
              <c:showBubbleSize val="0"/>
            </c:dLbl>
            <c:dLbl>
              <c:idx val="2"/>
              <c:layout>
                <c:manualLayout>
                  <c:x val="-1.1111111111111125E-2"/>
                  <c:y val="-2.7777777777777842E-2"/>
                </c:manualLayout>
              </c:layout>
              <c:showLegendKey val="0"/>
              <c:showVal val="1"/>
              <c:showCatName val="0"/>
              <c:showSerName val="0"/>
              <c:showPercent val="0"/>
              <c:showBubbleSize val="0"/>
            </c:dLbl>
            <c:dLbl>
              <c:idx val="3"/>
              <c:layout>
                <c:manualLayout>
                  <c:x val="-5.5555555555555558E-3"/>
                  <c:y val="-3.7037037037037056E-2"/>
                </c:manualLayout>
              </c:layout>
              <c:showLegendKey val="0"/>
              <c:showVal val="1"/>
              <c:showCatName val="0"/>
              <c:showSerName val="0"/>
              <c:showPercent val="0"/>
              <c:showBubbleSize val="0"/>
            </c:dLbl>
            <c:dLbl>
              <c:idx val="4"/>
              <c:layout>
                <c:manualLayout>
                  <c:x val="-2.7777777777777842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lesnictvo!$A$2:$E$2</c:f>
              <c:numCache>
                <c:formatCode>General</c:formatCode>
                <c:ptCount val="5"/>
                <c:pt idx="0">
                  <c:v>2002</c:v>
                </c:pt>
                <c:pt idx="1">
                  <c:v>2008</c:v>
                </c:pt>
                <c:pt idx="2">
                  <c:v>2009</c:v>
                </c:pt>
                <c:pt idx="3">
                  <c:v>2010</c:v>
                </c:pt>
                <c:pt idx="4">
                  <c:v>2011</c:v>
                </c:pt>
              </c:numCache>
            </c:numRef>
          </c:cat>
          <c:val>
            <c:numRef>
              <c:f>lesnictvo!$A$3:$E$3</c:f>
              <c:numCache>
                <c:formatCode>0.0</c:formatCode>
                <c:ptCount val="5"/>
                <c:pt idx="0">
                  <c:v>20.5</c:v>
                </c:pt>
                <c:pt idx="1">
                  <c:v>14.2</c:v>
                </c:pt>
                <c:pt idx="2">
                  <c:v>10.9</c:v>
                </c:pt>
                <c:pt idx="3">
                  <c:v>10.1</c:v>
                </c:pt>
                <c:pt idx="4">
                  <c:v>10</c:v>
                </c:pt>
              </c:numCache>
            </c:numRef>
          </c:val>
          <c:smooth val="0"/>
        </c:ser>
        <c:dLbls>
          <c:showLegendKey val="0"/>
          <c:showVal val="0"/>
          <c:showCatName val="0"/>
          <c:showSerName val="0"/>
          <c:showPercent val="0"/>
          <c:showBubbleSize val="0"/>
        </c:dLbls>
        <c:marker val="1"/>
        <c:smooth val="0"/>
        <c:axId val="114267264"/>
        <c:axId val="114268800"/>
      </c:lineChart>
      <c:catAx>
        <c:axId val="114267264"/>
        <c:scaling>
          <c:orientation val="minMax"/>
        </c:scaling>
        <c:delete val="0"/>
        <c:axPos val="b"/>
        <c:numFmt formatCode="General" sourceLinked="1"/>
        <c:majorTickMark val="out"/>
        <c:minorTickMark val="none"/>
        <c:tickLblPos val="nextTo"/>
        <c:crossAx val="114268800"/>
        <c:crosses val="autoZero"/>
        <c:auto val="1"/>
        <c:lblAlgn val="ctr"/>
        <c:lblOffset val="100"/>
        <c:noMultiLvlLbl val="0"/>
      </c:catAx>
      <c:valAx>
        <c:axId val="114268800"/>
        <c:scaling>
          <c:orientation val="minMax"/>
        </c:scaling>
        <c:delete val="0"/>
        <c:axPos val="l"/>
        <c:numFmt formatCode="0.0" sourceLinked="1"/>
        <c:majorTickMark val="out"/>
        <c:minorTickMark val="none"/>
        <c:tickLblPos val="nextTo"/>
        <c:crossAx val="114267264"/>
        <c:crosses val="autoZero"/>
        <c:crossBetween val="between"/>
      </c:valAx>
      <c:spPr>
        <a:noFill/>
        <a:ln>
          <a:noFill/>
        </a:ln>
      </c:spPr>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mlieko!$A$8:$B$8</c:f>
              <c:strCache>
                <c:ptCount val="1"/>
                <c:pt idx="0">
                  <c:v>Index cien prvovýrobcov</c:v>
                </c:pt>
              </c:strCache>
            </c:strRef>
          </c:tx>
          <c:dLbls>
            <c:dLbl>
              <c:idx val="0"/>
              <c:layout>
                <c:manualLayout>
                  <c:x val="-0.10432569974554706"/>
                  <c:y val="6.9444444444444434E-2"/>
                </c:manualLayout>
              </c:layout>
              <c:showLegendKey val="0"/>
              <c:showVal val="1"/>
              <c:showCatName val="0"/>
              <c:showSerName val="0"/>
              <c:showPercent val="0"/>
              <c:showBubbleSize val="0"/>
            </c:dLbl>
            <c:dLbl>
              <c:idx val="1"/>
              <c:layout>
                <c:manualLayout>
                  <c:x val="-6.1068702290076327E-2"/>
                  <c:y val="3.2407407407407454E-2"/>
                </c:manualLayout>
              </c:layout>
              <c:showLegendKey val="0"/>
              <c:showVal val="1"/>
              <c:showCatName val="0"/>
              <c:showSerName val="0"/>
              <c:showPercent val="0"/>
              <c:showBubbleSize val="0"/>
            </c:dLbl>
            <c:dLbl>
              <c:idx val="2"/>
              <c:layout>
                <c:manualLayout>
                  <c:x val="-9.3874855819387079E-2"/>
                  <c:y val="-7.3857680260651939E-2"/>
                </c:manualLayout>
              </c:layout>
              <c:showLegendKey val="0"/>
              <c:showVal val="1"/>
              <c:showCatName val="0"/>
              <c:showSerName val="0"/>
              <c:showPercent val="0"/>
              <c:showBubbleSize val="0"/>
            </c:dLbl>
            <c:dLbl>
              <c:idx val="3"/>
              <c:layout>
                <c:manualLayout>
                  <c:x val="-5.5979643765903295E-2"/>
                  <c:y val="-6.481481481481490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mlieko!$C$7:$F$7</c:f>
              <c:strCache>
                <c:ptCount val="4"/>
                <c:pt idx="0">
                  <c:v>2008/2007</c:v>
                </c:pt>
                <c:pt idx="1">
                  <c:v>2009/2008</c:v>
                </c:pt>
                <c:pt idx="2">
                  <c:v>2010/2009</c:v>
                </c:pt>
                <c:pt idx="3">
                  <c:v>2011/2010</c:v>
                </c:pt>
              </c:strCache>
            </c:strRef>
          </c:cat>
          <c:val>
            <c:numRef>
              <c:f>mlieko!$C$8:$F$8</c:f>
              <c:numCache>
                <c:formatCode>0.00%</c:formatCode>
                <c:ptCount val="4"/>
                <c:pt idx="0">
                  <c:v>1.0432632880098862</c:v>
                </c:pt>
                <c:pt idx="1">
                  <c:v>0.61670616113744059</c:v>
                </c:pt>
                <c:pt idx="2">
                  <c:v>1.3083573487031701</c:v>
                </c:pt>
                <c:pt idx="3">
                  <c:v>1.1607929515418518</c:v>
                </c:pt>
              </c:numCache>
            </c:numRef>
          </c:val>
          <c:smooth val="0"/>
        </c:ser>
        <c:ser>
          <c:idx val="1"/>
          <c:order val="1"/>
          <c:tx>
            <c:strRef>
              <c:f>mlieko!$A$9:$B$9</c:f>
              <c:strCache>
                <c:ptCount val="1"/>
                <c:pt idx="0">
                  <c:v>Index cien spracovateľov</c:v>
                </c:pt>
              </c:strCache>
            </c:strRef>
          </c:tx>
          <c:dLbls>
            <c:dLbl>
              <c:idx val="0"/>
              <c:layout>
                <c:manualLayout>
                  <c:x val="-0.11792846151713432"/>
                  <c:y val="0"/>
                </c:manualLayout>
              </c:layout>
              <c:showLegendKey val="0"/>
              <c:showVal val="1"/>
              <c:showCatName val="0"/>
              <c:showSerName val="0"/>
              <c:showPercent val="0"/>
              <c:showBubbleSize val="0"/>
            </c:dLbl>
            <c:dLbl>
              <c:idx val="1"/>
              <c:layout>
                <c:manualLayout>
                  <c:x val="-1.9927549729208179E-3"/>
                  <c:y val="-1.9989611697857842E-2"/>
                </c:manualLayout>
              </c:layout>
              <c:showLegendKey val="0"/>
              <c:showVal val="1"/>
              <c:showCatName val="0"/>
              <c:showSerName val="0"/>
              <c:showPercent val="0"/>
              <c:showBubbleSize val="0"/>
            </c:dLbl>
            <c:dLbl>
              <c:idx val="2"/>
              <c:layout>
                <c:manualLayout>
                  <c:x val="-3.5623409669211195E-2"/>
                  <c:y val="-3.7037037037037056E-2"/>
                </c:manualLayout>
              </c:layout>
              <c:showLegendKey val="0"/>
              <c:showVal val="1"/>
              <c:showCatName val="0"/>
              <c:showSerName val="0"/>
              <c:showPercent val="0"/>
              <c:showBubbleSize val="0"/>
            </c:dLbl>
            <c:dLbl>
              <c:idx val="3"/>
              <c:layout>
                <c:manualLayout>
                  <c:x val="-7.6335877862595422E-2"/>
                  <c:y val="6.01851851851851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mlieko!$C$7:$F$7</c:f>
              <c:strCache>
                <c:ptCount val="4"/>
                <c:pt idx="0">
                  <c:v>2008/2007</c:v>
                </c:pt>
                <c:pt idx="1">
                  <c:v>2009/2008</c:v>
                </c:pt>
                <c:pt idx="2">
                  <c:v>2010/2009</c:v>
                </c:pt>
                <c:pt idx="3">
                  <c:v>2011/2010</c:v>
                </c:pt>
              </c:strCache>
            </c:strRef>
          </c:cat>
          <c:val>
            <c:numRef>
              <c:f>mlieko!$C$9:$F$9</c:f>
              <c:numCache>
                <c:formatCode>0.00%</c:formatCode>
                <c:ptCount val="4"/>
                <c:pt idx="0">
                  <c:v>1.0580645161290319</c:v>
                </c:pt>
                <c:pt idx="1">
                  <c:v>0.7012195121951228</c:v>
                </c:pt>
                <c:pt idx="2">
                  <c:v>1.1043478260869588</c:v>
                </c:pt>
                <c:pt idx="3">
                  <c:v>1.0866141732283463</c:v>
                </c:pt>
              </c:numCache>
            </c:numRef>
          </c:val>
          <c:smooth val="0"/>
        </c:ser>
        <c:ser>
          <c:idx val="2"/>
          <c:order val="2"/>
          <c:tx>
            <c:strRef>
              <c:f>mlieko!$A$10:$B$10</c:f>
              <c:strCache>
                <c:ptCount val="1"/>
                <c:pt idx="0">
                  <c:v>Index spotrebiteľských cien</c:v>
                </c:pt>
              </c:strCache>
            </c:strRef>
          </c:tx>
          <c:dLbls>
            <c:dLbl>
              <c:idx val="0"/>
              <c:layout>
                <c:manualLayout>
                  <c:x val="-1.9444444444444445E-2"/>
                  <c:y val="-6.4814814814814908E-2"/>
                </c:manualLayout>
              </c:layout>
              <c:showLegendKey val="0"/>
              <c:showVal val="1"/>
              <c:showCatName val="0"/>
              <c:showSerName val="0"/>
              <c:showPercent val="0"/>
              <c:showBubbleSize val="0"/>
            </c:dLbl>
            <c:dLbl>
              <c:idx val="1"/>
              <c:layout>
                <c:manualLayout>
                  <c:x val="-5.3435114503816793E-2"/>
                  <c:y val="-7.8703703703703803E-2"/>
                </c:manualLayout>
              </c:layout>
              <c:showLegendKey val="0"/>
              <c:showVal val="1"/>
              <c:showCatName val="0"/>
              <c:showSerName val="0"/>
              <c:showPercent val="0"/>
              <c:showBubbleSize val="0"/>
            </c:dLbl>
            <c:dLbl>
              <c:idx val="2"/>
              <c:layout>
                <c:manualLayout>
                  <c:x val="-3.8167938931297704E-2"/>
                  <c:y val="6.0185185185185217E-2"/>
                </c:manualLayout>
              </c:layout>
              <c:showLegendKey val="0"/>
              <c:showVal val="1"/>
              <c:showCatName val="0"/>
              <c:showSerName val="0"/>
              <c:showPercent val="0"/>
              <c:showBubbleSize val="0"/>
            </c:dLbl>
            <c:dLbl>
              <c:idx val="3"/>
              <c:layout>
                <c:manualLayout>
                  <c:x val="0"/>
                  <c:y val="-4.629629629629590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mlieko!$C$7:$F$7</c:f>
              <c:strCache>
                <c:ptCount val="4"/>
                <c:pt idx="0">
                  <c:v>2008/2007</c:v>
                </c:pt>
                <c:pt idx="1">
                  <c:v>2009/2008</c:v>
                </c:pt>
                <c:pt idx="2">
                  <c:v>2010/2009</c:v>
                </c:pt>
                <c:pt idx="3">
                  <c:v>2011/2010</c:v>
                </c:pt>
              </c:strCache>
            </c:strRef>
          </c:cat>
          <c:val>
            <c:numRef>
              <c:f>mlieko!$C$10:$F$10</c:f>
              <c:numCache>
                <c:formatCode>0.00%</c:formatCode>
                <c:ptCount val="4"/>
                <c:pt idx="0">
                  <c:v>1.0857142857142843</c:v>
                </c:pt>
                <c:pt idx="1">
                  <c:v>0.82236842105263086</c:v>
                </c:pt>
                <c:pt idx="2">
                  <c:v>1.032</c:v>
                </c:pt>
                <c:pt idx="3">
                  <c:v>1.1162790697674421</c:v>
                </c:pt>
              </c:numCache>
            </c:numRef>
          </c:val>
          <c:smooth val="0"/>
        </c:ser>
        <c:dLbls>
          <c:showLegendKey val="0"/>
          <c:showVal val="0"/>
          <c:showCatName val="0"/>
          <c:showSerName val="0"/>
          <c:showPercent val="0"/>
          <c:showBubbleSize val="0"/>
        </c:dLbls>
        <c:marker val="1"/>
        <c:smooth val="0"/>
        <c:axId val="223440256"/>
        <c:axId val="223462528"/>
      </c:lineChart>
      <c:catAx>
        <c:axId val="223440256"/>
        <c:scaling>
          <c:orientation val="minMax"/>
        </c:scaling>
        <c:delete val="0"/>
        <c:axPos val="b"/>
        <c:majorTickMark val="out"/>
        <c:minorTickMark val="none"/>
        <c:tickLblPos val="nextTo"/>
        <c:crossAx val="223462528"/>
        <c:crosses val="autoZero"/>
        <c:auto val="1"/>
        <c:lblAlgn val="ctr"/>
        <c:lblOffset val="100"/>
        <c:noMultiLvlLbl val="0"/>
      </c:catAx>
      <c:valAx>
        <c:axId val="223462528"/>
        <c:scaling>
          <c:orientation val="minMax"/>
          <c:min val="0.5"/>
        </c:scaling>
        <c:delete val="0"/>
        <c:axPos val="l"/>
        <c:numFmt formatCode="0.00%" sourceLinked="1"/>
        <c:majorTickMark val="out"/>
        <c:minorTickMark val="none"/>
        <c:tickLblPos val="nextTo"/>
        <c:crossAx val="223440256"/>
        <c:crosses val="autoZero"/>
        <c:crossBetween val="between"/>
      </c:valAx>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1982905923296439E-2"/>
          <c:y val="8.1421169504071064E-2"/>
          <c:w val="0.90365925528130964"/>
          <c:h val="0.74452228445537572"/>
        </c:manualLayout>
      </c:layout>
      <c:lineChart>
        <c:grouping val="standard"/>
        <c:varyColors val="0"/>
        <c:ser>
          <c:idx val="0"/>
          <c:order val="0"/>
          <c:dLbls>
            <c:dLbl>
              <c:idx val="2"/>
              <c:layout>
                <c:manualLayout>
                  <c:x val="-3.6111111111111149E-2"/>
                  <c:y val="-5.09259259259259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vajcia!$B$15:$E$15</c:f>
              <c:numCache>
                <c:formatCode>General</c:formatCode>
                <c:ptCount val="4"/>
                <c:pt idx="0">
                  <c:v>2008</c:v>
                </c:pt>
                <c:pt idx="1">
                  <c:v>2009</c:v>
                </c:pt>
                <c:pt idx="2">
                  <c:v>2010</c:v>
                </c:pt>
                <c:pt idx="3">
                  <c:v>2011</c:v>
                </c:pt>
              </c:numCache>
            </c:numRef>
          </c:cat>
          <c:val>
            <c:numRef>
              <c:f>vajcia!$B$16:$E$16</c:f>
              <c:numCache>
                <c:formatCode>0.0</c:formatCode>
                <c:ptCount val="4"/>
                <c:pt idx="0">
                  <c:v>12.4</c:v>
                </c:pt>
                <c:pt idx="1">
                  <c:v>12</c:v>
                </c:pt>
                <c:pt idx="2">
                  <c:v>12.7</c:v>
                </c:pt>
                <c:pt idx="3">
                  <c:v>12.6</c:v>
                </c:pt>
              </c:numCache>
            </c:numRef>
          </c:val>
          <c:smooth val="0"/>
        </c:ser>
        <c:ser>
          <c:idx val="1"/>
          <c:order val="1"/>
          <c:marker>
            <c:symbol val="none"/>
          </c:marker>
          <c:val>
            <c:numRef>
              <c:f>vajcia!$B$19:$E$19</c:f>
              <c:numCache>
                <c:formatCode>General</c:formatCode>
                <c:ptCount val="4"/>
                <c:pt idx="0">
                  <c:v>11.9</c:v>
                </c:pt>
                <c:pt idx="1">
                  <c:v>11.9</c:v>
                </c:pt>
                <c:pt idx="2">
                  <c:v>11.9</c:v>
                </c:pt>
                <c:pt idx="3">
                  <c:v>11.9</c:v>
                </c:pt>
              </c:numCache>
            </c:numRef>
          </c:val>
          <c:smooth val="0"/>
        </c:ser>
        <c:dLbls>
          <c:showLegendKey val="0"/>
          <c:showVal val="0"/>
          <c:showCatName val="0"/>
          <c:showSerName val="0"/>
          <c:showPercent val="0"/>
          <c:showBubbleSize val="0"/>
        </c:dLbls>
        <c:marker val="1"/>
        <c:smooth val="0"/>
        <c:axId val="223475968"/>
        <c:axId val="223805440"/>
      </c:lineChart>
      <c:catAx>
        <c:axId val="223475968"/>
        <c:scaling>
          <c:orientation val="minMax"/>
        </c:scaling>
        <c:delete val="0"/>
        <c:axPos val="b"/>
        <c:numFmt formatCode="General" sourceLinked="1"/>
        <c:majorTickMark val="out"/>
        <c:minorTickMark val="none"/>
        <c:tickLblPos val="nextTo"/>
        <c:crossAx val="223805440"/>
        <c:crosses val="autoZero"/>
        <c:auto val="1"/>
        <c:lblAlgn val="ctr"/>
        <c:lblOffset val="100"/>
        <c:noMultiLvlLbl val="0"/>
      </c:catAx>
      <c:valAx>
        <c:axId val="223805440"/>
        <c:scaling>
          <c:orientation val="minMax"/>
        </c:scaling>
        <c:delete val="0"/>
        <c:axPos val="l"/>
        <c:numFmt formatCode="0.0" sourceLinked="1"/>
        <c:majorTickMark val="out"/>
        <c:minorTickMark val="none"/>
        <c:tickLblPos val="nextTo"/>
        <c:crossAx val="223475968"/>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vajcia!$A$3:$B$3</c:f>
              <c:strCache>
                <c:ptCount val="1"/>
                <c:pt idx="0">
                  <c:v>Ceny prvovýrobcov</c:v>
                </c:pt>
              </c:strCache>
            </c:strRef>
          </c:tx>
          <c:invertIfNegative val="0"/>
          <c:dLbls>
            <c:showLegendKey val="0"/>
            <c:showVal val="1"/>
            <c:showCatName val="0"/>
            <c:showSerName val="0"/>
            <c:showPercent val="0"/>
            <c:showBubbleSize val="0"/>
            <c:showLeaderLines val="0"/>
          </c:dLbls>
          <c:cat>
            <c:numRef>
              <c:f>vajcia!$C$2:$G$2</c:f>
              <c:numCache>
                <c:formatCode>General</c:formatCode>
                <c:ptCount val="5"/>
                <c:pt idx="0">
                  <c:v>2007</c:v>
                </c:pt>
                <c:pt idx="1">
                  <c:v>2008</c:v>
                </c:pt>
                <c:pt idx="2">
                  <c:v>2009</c:v>
                </c:pt>
                <c:pt idx="3">
                  <c:v>2010</c:v>
                </c:pt>
                <c:pt idx="4">
                  <c:v>2011</c:v>
                </c:pt>
              </c:numCache>
            </c:numRef>
          </c:cat>
          <c:val>
            <c:numRef>
              <c:f>vajcia!$C$3:$G$3</c:f>
              <c:numCache>
                <c:formatCode>0.00_)</c:formatCode>
                <c:ptCount val="5"/>
                <c:pt idx="0">
                  <c:v>7.0300000000000085E-2</c:v>
                </c:pt>
                <c:pt idx="1">
                  <c:v>7.3449999999999988E-2</c:v>
                </c:pt>
                <c:pt idx="2">
                  <c:v>7.7300000000000091E-2</c:v>
                </c:pt>
                <c:pt idx="3">
                  <c:v>7.2449999999999987E-2</c:v>
                </c:pt>
                <c:pt idx="4">
                  <c:v>6.7650000000000002E-2</c:v>
                </c:pt>
              </c:numCache>
            </c:numRef>
          </c:val>
        </c:ser>
        <c:ser>
          <c:idx val="1"/>
          <c:order val="1"/>
          <c:tx>
            <c:strRef>
              <c:f>vajcia!$A$4:$B$4</c:f>
              <c:strCache>
                <c:ptCount val="1"/>
                <c:pt idx="0">
                  <c:v>Spotrebiteľské ceny</c:v>
                </c:pt>
              </c:strCache>
            </c:strRef>
          </c:tx>
          <c:invertIfNegative val="0"/>
          <c:dLbls>
            <c:showLegendKey val="0"/>
            <c:showVal val="1"/>
            <c:showCatName val="0"/>
            <c:showSerName val="0"/>
            <c:showPercent val="0"/>
            <c:showBubbleSize val="0"/>
            <c:showLeaderLines val="0"/>
          </c:dLbls>
          <c:cat>
            <c:numRef>
              <c:f>vajcia!$C$2:$G$2</c:f>
              <c:numCache>
                <c:formatCode>General</c:formatCode>
                <c:ptCount val="5"/>
                <c:pt idx="0">
                  <c:v>2007</c:v>
                </c:pt>
                <c:pt idx="1">
                  <c:v>2008</c:v>
                </c:pt>
                <c:pt idx="2">
                  <c:v>2009</c:v>
                </c:pt>
                <c:pt idx="3">
                  <c:v>2010</c:v>
                </c:pt>
                <c:pt idx="4">
                  <c:v>2011</c:v>
                </c:pt>
              </c:numCache>
            </c:numRef>
          </c:cat>
          <c:val>
            <c:numRef>
              <c:f>vajcia!$C$4:$G$4</c:f>
              <c:numCache>
                <c:formatCode>0.00_)</c:formatCode>
                <c:ptCount val="5"/>
                <c:pt idx="0">
                  <c:v>0.10900000000000008</c:v>
                </c:pt>
                <c:pt idx="1">
                  <c:v>0.11799999999999998</c:v>
                </c:pt>
                <c:pt idx="2">
                  <c:v>0.11700000000000002</c:v>
                </c:pt>
                <c:pt idx="3">
                  <c:v>0.12000000000000002</c:v>
                </c:pt>
                <c:pt idx="4">
                  <c:v>0.12759999999999999</c:v>
                </c:pt>
              </c:numCache>
            </c:numRef>
          </c:val>
        </c:ser>
        <c:dLbls>
          <c:showLegendKey val="0"/>
          <c:showVal val="0"/>
          <c:showCatName val="0"/>
          <c:showSerName val="0"/>
          <c:showPercent val="0"/>
          <c:showBubbleSize val="0"/>
        </c:dLbls>
        <c:gapWidth val="150"/>
        <c:axId val="223838976"/>
        <c:axId val="223840512"/>
      </c:barChart>
      <c:catAx>
        <c:axId val="223838976"/>
        <c:scaling>
          <c:orientation val="minMax"/>
        </c:scaling>
        <c:delete val="0"/>
        <c:axPos val="b"/>
        <c:numFmt formatCode="General" sourceLinked="1"/>
        <c:majorTickMark val="out"/>
        <c:minorTickMark val="none"/>
        <c:tickLblPos val="nextTo"/>
        <c:crossAx val="223840512"/>
        <c:crosses val="autoZero"/>
        <c:auto val="1"/>
        <c:lblAlgn val="ctr"/>
        <c:lblOffset val="100"/>
        <c:noMultiLvlLbl val="0"/>
      </c:catAx>
      <c:valAx>
        <c:axId val="223840512"/>
        <c:scaling>
          <c:orientation val="minMax"/>
        </c:scaling>
        <c:delete val="0"/>
        <c:axPos val="l"/>
        <c:numFmt formatCode="0.00_)" sourceLinked="1"/>
        <c:majorTickMark val="out"/>
        <c:minorTickMark val="none"/>
        <c:tickLblPos val="nextTo"/>
        <c:crossAx val="223838976"/>
        <c:crosses val="autoZero"/>
        <c:crossBetween val="between"/>
      </c:valAx>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vajcia!$A$9:$B$9</c:f>
              <c:strCache>
                <c:ptCount val="1"/>
                <c:pt idx="0">
                  <c:v>Index cien prvovýrobcov</c:v>
                </c:pt>
              </c:strCache>
            </c:strRef>
          </c:tx>
          <c:dLbls>
            <c:dLbl>
              <c:idx val="0"/>
              <c:layout>
                <c:manualLayout>
                  <c:x val="-0.10555555555555562"/>
                  <c:y val="5.0925925925925923E-2"/>
                </c:manualLayout>
              </c:layout>
              <c:showLegendKey val="0"/>
              <c:showVal val="1"/>
              <c:showCatName val="0"/>
              <c:showSerName val="0"/>
              <c:showPercent val="0"/>
              <c:showBubbleSize val="0"/>
            </c:dLbl>
            <c:dLbl>
              <c:idx val="1"/>
              <c:layout>
                <c:manualLayout>
                  <c:x val="0"/>
                  <c:y val="-1.8518518518518459E-2"/>
                </c:manualLayout>
              </c:layout>
              <c:showLegendKey val="0"/>
              <c:showVal val="1"/>
              <c:showCatName val="0"/>
              <c:showSerName val="0"/>
              <c:showPercent val="0"/>
              <c:showBubbleSize val="0"/>
            </c:dLbl>
            <c:dLbl>
              <c:idx val="3"/>
              <c:layout>
                <c:manualLayout>
                  <c:x val="-1.3286093888396812E-2"/>
                  <c:y val="-7.470288624787785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vajcia!$C$8:$F$8</c:f>
              <c:strCache>
                <c:ptCount val="4"/>
                <c:pt idx="0">
                  <c:v>2008/2007</c:v>
                </c:pt>
                <c:pt idx="1">
                  <c:v>2009/2008</c:v>
                </c:pt>
                <c:pt idx="2">
                  <c:v>2010/2009</c:v>
                </c:pt>
                <c:pt idx="3">
                  <c:v>2011/2010</c:v>
                </c:pt>
              </c:strCache>
            </c:strRef>
          </c:cat>
          <c:val>
            <c:numRef>
              <c:f>vajcia!$C$9:$F$9</c:f>
              <c:numCache>
                <c:formatCode>0.00%</c:formatCode>
                <c:ptCount val="4"/>
                <c:pt idx="0">
                  <c:v>1.0432632880098862</c:v>
                </c:pt>
                <c:pt idx="1">
                  <c:v>0.61670616113744059</c:v>
                </c:pt>
                <c:pt idx="2">
                  <c:v>1.3083573487031701</c:v>
                </c:pt>
                <c:pt idx="3">
                  <c:v>1.1607929515418518</c:v>
                </c:pt>
              </c:numCache>
            </c:numRef>
          </c:val>
          <c:smooth val="0"/>
        </c:ser>
        <c:ser>
          <c:idx val="1"/>
          <c:order val="1"/>
          <c:tx>
            <c:strRef>
              <c:f>vajcia!$A$10:$B$10</c:f>
              <c:strCache>
                <c:ptCount val="1"/>
                <c:pt idx="0">
                  <c:v>Index spotrebiteľských cien</c:v>
                </c:pt>
              </c:strCache>
            </c:strRef>
          </c:tx>
          <c:dLbls>
            <c:dLbl>
              <c:idx val="0"/>
              <c:layout>
                <c:manualLayout>
                  <c:x val="-5.5555555555555483E-2"/>
                  <c:y val="-6.01851851851851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vajcia!$C$8:$F$8</c:f>
              <c:strCache>
                <c:ptCount val="4"/>
                <c:pt idx="0">
                  <c:v>2008/2007</c:v>
                </c:pt>
                <c:pt idx="1">
                  <c:v>2009/2008</c:v>
                </c:pt>
                <c:pt idx="2">
                  <c:v>2010/2009</c:v>
                </c:pt>
                <c:pt idx="3">
                  <c:v>2011/2010</c:v>
                </c:pt>
              </c:strCache>
            </c:strRef>
          </c:cat>
          <c:val>
            <c:numRef>
              <c:f>vajcia!$C$10:$F$10</c:f>
              <c:numCache>
                <c:formatCode>0.00%</c:formatCode>
                <c:ptCount val="4"/>
                <c:pt idx="0">
                  <c:v>1.0857142857142843</c:v>
                </c:pt>
                <c:pt idx="1">
                  <c:v>0.82236842105263086</c:v>
                </c:pt>
                <c:pt idx="2">
                  <c:v>1.032</c:v>
                </c:pt>
                <c:pt idx="3">
                  <c:v>1.1162790697674421</c:v>
                </c:pt>
              </c:numCache>
            </c:numRef>
          </c:val>
          <c:smooth val="0"/>
        </c:ser>
        <c:dLbls>
          <c:showLegendKey val="0"/>
          <c:showVal val="0"/>
          <c:showCatName val="0"/>
          <c:showSerName val="0"/>
          <c:showPercent val="0"/>
          <c:showBubbleSize val="0"/>
        </c:dLbls>
        <c:marker val="1"/>
        <c:smooth val="0"/>
        <c:axId val="223866240"/>
        <c:axId val="223892608"/>
      </c:lineChart>
      <c:catAx>
        <c:axId val="223866240"/>
        <c:scaling>
          <c:orientation val="minMax"/>
        </c:scaling>
        <c:delete val="0"/>
        <c:axPos val="b"/>
        <c:majorTickMark val="out"/>
        <c:minorTickMark val="none"/>
        <c:tickLblPos val="nextTo"/>
        <c:crossAx val="223892608"/>
        <c:crosses val="autoZero"/>
        <c:auto val="1"/>
        <c:lblAlgn val="ctr"/>
        <c:lblOffset val="100"/>
        <c:noMultiLvlLbl val="0"/>
      </c:catAx>
      <c:valAx>
        <c:axId val="223892608"/>
        <c:scaling>
          <c:orientation val="minMax"/>
          <c:min val="0.60000000000000064"/>
        </c:scaling>
        <c:delete val="0"/>
        <c:axPos val="l"/>
        <c:numFmt formatCode="0.00%" sourceLinked="1"/>
        <c:majorTickMark val="out"/>
        <c:minorTickMark val="none"/>
        <c:tickLblPos val="nextTo"/>
        <c:crossAx val="223866240"/>
        <c:crosses val="autoZero"/>
        <c:crossBetween val="between"/>
      </c:valAx>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2.2073159837138319E-2"/>
          <c:y val="5.6451608920243278E-2"/>
          <c:w val="0.95143904835829574"/>
          <c:h val="0.60426449733414012"/>
        </c:manualLayout>
      </c:layout>
      <c:lineChart>
        <c:grouping val="standard"/>
        <c:varyColors val="0"/>
        <c:ser>
          <c:idx val="0"/>
          <c:order val="0"/>
          <c:tx>
            <c:strRef>
              <c:f>greening!$A$29</c:f>
              <c:strCache>
                <c:ptCount val="1"/>
                <c:pt idx="0">
                  <c:v>Index počtu hovädzieho dobytka (2002 = 100)</c:v>
                </c:pt>
              </c:strCache>
            </c:strRef>
          </c:tx>
          <c:marker>
            <c:symbol val="none"/>
          </c:marker>
          <c:cat>
            <c:strRef>
              <c:f>greening!$B$1:$K$1</c:f>
              <c:strCache>
                <c:ptCount val="10"/>
                <c:pt idx="0">
                  <c:v>2002</c:v>
                </c:pt>
                <c:pt idx="1">
                  <c:v>2003</c:v>
                </c:pt>
                <c:pt idx="2">
                  <c:v>2004</c:v>
                </c:pt>
                <c:pt idx="3">
                  <c:v>2005</c:v>
                </c:pt>
                <c:pt idx="4">
                  <c:v>2006</c:v>
                </c:pt>
                <c:pt idx="5">
                  <c:v>2007</c:v>
                </c:pt>
                <c:pt idx="6">
                  <c:v>2008</c:v>
                </c:pt>
                <c:pt idx="7">
                  <c:v>2009</c:v>
                </c:pt>
                <c:pt idx="8">
                  <c:v>2010</c:v>
                </c:pt>
                <c:pt idx="9">
                  <c:v>2011</c:v>
                </c:pt>
              </c:strCache>
            </c:strRef>
          </c:cat>
          <c:val>
            <c:numRef>
              <c:f>greening!$B$29:$K$29</c:f>
              <c:numCache>
                <c:formatCode>0.00%</c:formatCode>
                <c:ptCount val="10"/>
                <c:pt idx="1">
                  <c:v>0.97597894044093469</c:v>
                </c:pt>
                <c:pt idx="2">
                  <c:v>0.88861467588022358</c:v>
                </c:pt>
                <c:pt idx="3">
                  <c:v>0.86854228364593611</c:v>
                </c:pt>
                <c:pt idx="4">
                  <c:v>0.83547219480092061</c:v>
                </c:pt>
                <c:pt idx="5">
                  <c:v>0.82560052648897753</c:v>
                </c:pt>
                <c:pt idx="6">
                  <c:v>0.80355380059230008</c:v>
                </c:pt>
                <c:pt idx="7">
                  <c:v>0.77640671273445261</c:v>
                </c:pt>
                <c:pt idx="8">
                  <c:v>0.76850937808489705</c:v>
                </c:pt>
                <c:pt idx="9">
                  <c:v>0.76242184929253065</c:v>
                </c:pt>
              </c:numCache>
            </c:numRef>
          </c:val>
          <c:smooth val="0"/>
        </c:ser>
        <c:ser>
          <c:idx val="1"/>
          <c:order val="1"/>
          <c:tx>
            <c:strRef>
              <c:f>greening!$A$30</c:f>
              <c:strCache>
                <c:ptCount val="1"/>
                <c:pt idx="0">
                  <c:v>Index úrody krmovín na ornej pôde (2002 = 100)</c:v>
                </c:pt>
              </c:strCache>
            </c:strRef>
          </c:tx>
          <c:marker>
            <c:symbol val="none"/>
          </c:marker>
          <c:cat>
            <c:strRef>
              <c:f>greening!$B$1:$K$1</c:f>
              <c:strCache>
                <c:ptCount val="10"/>
                <c:pt idx="0">
                  <c:v>2002</c:v>
                </c:pt>
                <c:pt idx="1">
                  <c:v>2003</c:v>
                </c:pt>
                <c:pt idx="2">
                  <c:v>2004</c:v>
                </c:pt>
                <c:pt idx="3">
                  <c:v>2005</c:v>
                </c:pt>
                <c:pt idx="4">
                  <c:v>2006</c:v>
                </c:pt>
                <c:pt idx="5">
                  <c:v>2007</c:v>
                </c:pt>
                <c:pt idx="6">
                  <c:v>2008</c:v>
                </c:pt>
                <c:pt idx="7">
                  <c:v>2009</c:v>
                </c:pt>
                <c:pt idx="8">
                  <c:v>2010</c:v>
                </c:pt>
                <c:pt idx="9">
                  <c:v>2011</c:v>
                </c:pt>
              </c:strCache>
            </c:strRef>
          </c:cat>
          <c:val>
            <c:numRef>
              <c:f>greening!$B$30:$K$30</c:f>
              <c:numCache>
                <c:formatCode>0.00%</c:formatCode>
                <c:ptCount val="10"/>
                <c:pt idx="1">
                  <c:v>0.75802404207634133</c:v>
                </c:pt>
                <c:pt idx="2">
                  <c:v>0.88960266648089348</c:v>
                </c:pt>
                <c:pt idx="3">
                  <c:v>0.84509995513271963</c:v>
                </c:pt>
                <c:pt idx="4">
                  <c:v>0.78147612992091608</c:v>
                </c:pt>
                <c:pt idx="5">
                  <c:v>0.71219949660571746</c:v>
                </c:pt>
                <c:pt idx="6">
                  <c:v>0.81722033660928328</c:v>
                </c:pt>
                <c:pt idx="7">
                  <c:v>0.73529587679437669</c:v>
                </c:pt>
                <c:pt idx="8">
                  <c:v>0.7207475618080178</c:v>
                </c:pt>
                <c:pt idx="9">
                  <c:v>0.81905671866771268</c:v>
                </c:pt>
              </c:numCache>
            </c:numRef>
          </c:val>
          <c:smooth val="0"/>
        </c:ser>
        <c:dLbls>
          <c:showLegendKey val="0"/>
          <c:showVal val="0"/>
          <c:showCatName val="0"/>
          <c:showSerName val="0"/>
          <c:showPercent val="0"/>
          <c:showBubbleSize val="0"/>
        </c:dLbls>
        <c:marker val="1"/>
        <c:smooth val="0"/>
        <c:axId val="223917568"/>
        <c:axId val="223919104"/>
      </c:lineChart>
      <c:catAx>
        <c:axId val="223917568"/>
        <c:scaling>
          <c:orientation val="minMax"/>
        </c:scaling>
        <c:delete val="0"/>
        <c:axPos val="b"/>
        <c:majorTickMark val="out"/>
        <c:minorTickMark val="none"/>
        <c:tickLblPos val="nextTo"/>
        <c:crossAx val="223919104"/>
        <c:crosses val="autoZero"/>
        <c:auto val="1"/>
        <c:lblAlgn val="ctr"/>
        <c:lblOffset val="100"/>
        <c:noMultiLvlLbl val="0"/>
      </c:catAx>
      <c:valAx>
        <c:axId val="223919104"/>
        <c:scaling>
          <c:orientation val="minMax"/>
          <c:min val="0.60000000000000064"/>
        </c:scaling>
        <c:delete val="1"/>
        <c:axPos val="l"/>
        <c:numFmt formatCode="0.00%" sourceLinked="1"/>
        <c:majorTickMark val="out"/>
        <c:minorTickMark val="none"/>
        <c:tickLblPos val="nextTo"/>
        <c:crossAx val="223917568"/>
        <c:crosses val="autoZero"/>
        <c:crossBetween val="between"/>
      </c:valAx>
    </c:plotArea>
    <c:legend>
      <c:legendPos val="b"/>
      <c:layout>
        <c:manualLayout>
          <c:xMode val="edge"/>
          <c:yMode val="edge"/>
          <c:x val="1.3595849828820061E-2"/>
          <c:y val="0.80773264442367965"/>
          <c:w val="0.94632050853779393"/>
          <c:h val="0.18109822459187624"/>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418744531933508"/>
          <c:y val="0.19029580761864218"/>
          <c:w val="0.76384733158355334"/>
          <c:h val="0.52292876218793927"/>
        </c:manualLayout>
      </c:layout>
      <c:lineChart>
        <c:grouping val="standard"/>
        <c:varyColors val="0"/>
        <c:ser>
          <c:idx val="0"/>
          <c:order val="0"/>
          <c:tx>
            <c:strRef>
              <c:f>cukor!$A$15</c:f>
              <c:strCache>
                <c:ptCount val="1"/>
                <c:pt idx="0">
                  <c:v>zberové plochy cukrovej repy v tis. ha </c:v>
                </c:pt>
              </c:strCache>
            </c:strRef>
          </c:tx>
          <c:dLbls>
            <c:dLbl>
              <c:idx val="0"/>
              <c:layout>
                <c:manualLayout>
                  <c:x val="-6.666666666666668E-2"/>
                  <c:y val="5.2021744654771232E-2"/>
                </c:manualLayout>
              </c:layout>
              <c:showLegendKey val="0"/>
              <c:showVal val="1"/>
              <c:showCatName val="0"/>
              <c:showSerName val="0"/>
              <c:showPercent val="0"/>
              <c:showBubbleSize val="0"/>
            </c:dLbl>
            <c:dLbl>
              <c:idx val="1"/>
              <c:layout>
                <c:manualLayout>
                  <c:x val="-9.1666666666666827E-2"/>
                  <c:y val="3.7036672499270999E-2"/>
                </c:manualLayout>
              </c:layout>
              <c:showLegendKey val="0"/>
              <c:showVal val="1"/>
              <c:showCatName val="0"/>
              <c:showSerName val="0"/>
              <c:showPercent val="0"/>
              <c:showBubbleSize val="0"/>
            </c:dLbl>
            <c:dLbl>
              <c:idx val="2"/>
              <c:layout>
                <c:manualLayout>
                  <c:x val="-5.5555517166321795E-2"/>
                  <c:y val="5.8230549502591177E-2"/>
                </c:manualLayout>
              </c:layout>
              <c:showLegendKey val="0"/>
              <c:showVal val="1"/>
              <c:showCatName val="0"/>
              <c:showSerName val="0"/>
              <c:showPercent val="0"/>
              <c:showBubbleSize val="0"/>
            </c:dLbl>
            <c:dLbl>
              <c:idx val="3"/>
              <c:layout>
                <c:manualLayout>
                  <c:x val="-3.0555584344695796E-2"/>
                  <c:y val="5.3594792395247719E-2"/>
                </c:manualLayout>
              </c:layout>
              <c:showLegendKey val="0"/>
              <c:showVal val="1"/>
              <c:showCatName val="0"/>
              <c:showSerName val="0"/>
              <c:showPercent val="0"/>
              <c:showBubbleSize val="0"/>
            </c:dLbl>
            <c:dLbl>
              <c:idx val="4"/>
              <c:layout>
                <c:manualLayout>
                  <c:x val="-3.333333333333334E-2"/>
                  <c:y val="6.7484055875906432E-2"/>
                </c:manualLayout>
              </c:layout>
              <c:showLegendKey val="0"/>
              <c:showVal val="1"/>
              <c:showCatName val="0"/>
              <c:showSerName val="0"/>
              <c:showPercent val="0"/>
              <c:showBubbleSize val="0"/>
            </c:dLbl>
            <c:dLbl>
              <c:idx val="5"/>
              <c:layout>
                <c:manualLayout>
                  <c:x val="-4.1666580299245838E-2"/>
                  <c:y val="5.822474667107775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cukor!$B$14:$G$14</c:f>
              <c:strCache>
                <c:ptCount val="6"/>
                <c:pt idx="0">
                  <c:v>2002/03</c:v>
                </c:pt>
                <c:pt idx="1">
                  <c:v>2007/08</c:v>
                </c:pt>
                <c:pt idx="2">
                  <c:v>2008/09</c:v>
                </c:pt>
                <c:pt idx="3">
                  <c:v>2009/10</c:v>
                </c:pt>
                <c:pt idx="4">
                  <c:v>2010/11</c:v>
                </c:pt>
                <c:pt idx="5">
                  <c:v>2011/12</c:v>
                </c:pt>
              </c:strCache>
            </c:strRef>
          </c:cat>
          <c:val>
            <c:numRef>
              <c:f>cukor!$B$15:$G$15</c:f>
              <c:numCache>
                <c:formatCode>0.00</c:formatCode>
                <c:ptCount val="6"/>
                <c:pt idx="0">
                  <c:v>31</c:v>
                </c:pt>
                <c:pt idx="1">
                  <c:v>18.87</c:v>
                </c:pt>
                <c:pt idx="2">
                  <c:v>10.9</c:v>
                </c:pt>
                <c:pt idx="3">
                  <c:v>15.94</c:v>
                </c:pt>
                <c:pt idx="4">
                  <c:v>17.72</c:v>
                </c:pt>
                <c:pt idx="5">
                  <c:v>17.7</c:v>
                </c:pt>
              </c:numCache>
            </c:numRef>
          </c:val>
          <c:smooth val="0"/>
        </c:ser>
        <c:dLbls>
          <c:showLegendKey val="0"/>
          <c:showVal val="0"/>
          <c:showCatName val="0"/>
          <c:showSerName val="0"/>
          <c:showPercent val="0"/>
          <c:showBubbleSize val="0"/>
        </c:dLbls>
        <c:marker val="1"/>
        <c:smooth val="0"/>
        <c:axId val="224614272"/>
        <c:axId val="224615808"/>
      </c:lineChart>
      <c:lineChart>
        <c:grouping val="standard"/>
        <c:varyColors val="0"/>
        <c:ser>
          <c:idx val="1"/>
          <c:order val="1"/>
          <c:tx>
            <c:strRef>
              <c:f>cukor!$A$16</c:f>
              <c:strCache>
                <c:ptCount val="1"/>
                <c:pt idx="0">
                  <c:v>produkcia cukrovej repy v tis. t </c:v>
                </c:pt>
              </c:strCache>
            </c:strRef>
          </c:tx>
          <c:dLbls>
            <c:dLbl>
              <c:idx val="0"/>
              <c:layout>
                <c:manualLayout>
                  <c:x val="-4.4444444444444502E-2"/>
                  <c:y val="-7.055765972291439E-2"/>
                </c:manualLayout>
              </c:layout>
              <c:showLegendKey val="0"/>
              <c:showVal val="1"/>
              <c:showCatName val="0"/>
              <c:showSerName val="0"/>
              <c:showPercent val="0"/>
              <c:showBubbleSize val="0"/>
            </c:dLbl>
            <c:dLbl>
              <c:idx val="1"/>
              <c:layout>
                <c:manualLayout>
                  <c:x val="-8.3333333333333367E-3"/>
                  <c:y val="-5.0624585810167766E-2"/>
                </c:manualLayout>
              </c:layout>
              <c:showLegendKey val="0"/>
              <c:showVal val="1"/>
              <c:showCatName val="0"/>
              <c:showSerName val="0"/>
              <c:showPercent val="0"/>
              <c:showBubbleSize val="0"/>
            </c:dLbl>
            <c:dLbl>
              <c:idx val="2"/>
              <c:layout>
                <c:manualLayout>
                  <c:x val="-4.7222222222222172E-2"/>
                  <c:y val="-6.1883573418106332E-2"/>
                </c:manualLayout>
              </c:layout>
              <c:showLegendKey val="0"/>
              <c:showVal val="1"/>
              <c:showCatName val="0"/>
              <c:showSerName val="0"/>
              <c:showPercent val="0"/>
              <c:showBubbleSize val="0"/>
            </c:dLbl>
            <c:dLbl>
              <c:idx val="3"/>
              <c:layout>
                <c:manualLayout>
                  <c:x val="-0.05"/>
                  <c:y val="-6.0185185185185147E-2"/>
                </c:manualLayout>
              </c:layout>
              <c:showLegendKey val="0"/>
              <c:showVal val="1"/>
              <c:showCatName val="0"/>
              <c:showSerName val="0"/>
              <c:showPercent val="0"/>
              <c:showBubbleSize val="0"/>
            </c:dLbl>
            <c:dLbl>
              <c:idx val="4"/>
              <c:layout>
                <c:manualLayout>
                  <c:x val="-6.1111111111111123E-2"/>
                  <c:y val="-6.4814814814814908E-2"/>
                </c:manualLayout>
              </c:layout>
              <c:showLegendKey val="0"/>
              <c:showVal val="1"/>
              <c:showCatName val="0"/>
              <c:showSerName val="0"/>
              <c:showPercent val="0"/>
              <c:showBubbleSize val="0"/>
            </c:dLbl>
            <c:dLbl>
              <c:idx val="5"/>
              <c:layout>
                <c:manualLayout>
                  <c:x val="-5.5395894732114183E-2"/>
                  <c:y val="3.93171935597602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cukor!$B$14:$G$14</c:f>
              <c:strCache>
                <c:ptCount val="6"/>
                <c:pt idx="0">
                  <c:v>2002/03</c:v>
                </c:pt>
                <c:pt idx="1">
                  <c:v>2007/08</c:v>
                </c:pt>
                <c:pt idx="2">
                  <c:v>2008/09</c:v>
                </c:pt>
                <c:pt idx="3">
                  <c:v>2009/10</c:v>
                </c:pt>
                <c:pt idx="4">
                  <c:v>2010/11</c:v>
                </c:pt>
                <c:pt idx="5">
                  <c:v>2011/12</c:v>
                </c:pt>
              </c:strCache>
            </c:strRef>
          </c:cat>
          <c:val>
            <c:numRef>
              <c:f>cukor!$B$16:$G$16</c:f>
              <c:numCache>
                <c:formatCode>0.00</c:formatCode>
                <c:ptCount val="6"/>
                <c:pt idx="0">
                  <c:v>1346.2</c:v>
                </c:pt>
                <c:pt idx="1">
                  <c:v>860.5</c:v>
                </c:pt>
                <c:pt idx="2">
                  <c:v>678.92</c:v>
                </c:pt>
                <c:pt idx="3">
                  <c:v>898.81</c:v>
                </c:pt>
                <c:pt idx="4">
                  <c:v>977.69</c:v>
                </c:pt>
                <c:pt idx="5">
                  <c:v>1160.7</c:v>
                </c:pt>
              </c:numCache>
            </c:numRef>
          </c:val>
          <c:smooth val="0"/>
        </c:ser>
        <c:dLbls>
          <c:showLegendKey val="0"/>
          <c:showVal val="0"/>
          <c:showCatName val="0"/>
          <c:showSerName val="0"/>
          <c:showPercent val="0"/>
          <c:showBubbleSize val="0"/>
        </c:dLbls>
        <c:marker val="1"/>
        <c:smooth val="0"/>
        <c:axId val="224639616"/>
        <c:axId val="224638080"/>
      </c:lineChart>
      <c:catAx>
        <c:axId val="224614272"/>
        <c:scaling>
          <c:orientation val="minMax"/>
        </c:scaling>
        <c:delete val="0"/>
        <c:axPos val="b"/>
        <c:majorTickMark val="out"/>
        <c:minorTickMark val="none"/>
        <c:tickLblPos val="nextTo"/>
        <c:crossAx val="224615808"/>
        <c:crosses val="autoZero"/>
        <c:auto val="1"/>
        <c:lblAlgn val="ctr"/>
        <c:lblOffset val="100"/>
        <c:noMultiLvlLbl val="0"/>
      </c:catAx>
      <c:valAx>
        <c:axId val="224615808"/>
        <c:scaling>
          <c:orientation val="minMax"/>
        </c:scaling>
        <c:delete val="0"/>
        <c:axPos val="l"/>
        <c:numFmt formatCode="0.00" sourceLinked="1"/>
        <c:majorTickMark val="out"/>
        <c:minorTickMark val="none"/>
        <c:tickLblPos val="nextTo"/>
        <c:crossAx val="224614272"/>
        <c:crosses val="autoZero"/>
        <c:crossBetween val="between"/>
      </c:valAx>
      <c:valAx>
        <c:axId val="224638080"/>
        <c:scaling>
          <c:orientation val="minMax"/>
        </c:scaling>
        <c:delete val="0"/>
        <c:axPos val="r"/>
        <c:numFmt formatCode="0.00" sourceLinked="1"/>
        <c:majorTickMark val="out"/>
        <c:minorTickMark val="none"/>
        <c:tickLblPos val="nextTo"/>
        <c:crossAx val="224639616"/>
        <c:crosses val="max"/>
        <c:crossBetween val="between"/>
      </c:valAx>
      <c:catAx>
        <c:axId val="224639616"/>
        <c:scaling>
          <c:orientation val="minMax"/>
        </c:scaling>
        <c:delete val="1"/>
        <c:axPos val="b"/>
        <c:majorTickMark val="out"/>
        <c:minorTickMark val="none"/>
        <c:tickLblPos val="nextTo"/>
        <c:crossAx val="224638080"/>
        <c:crosses val="autoZero"/>
        <c:auto val="1"/>
        <c:lblAlgn val="ctr"/>
        <c:lblOffset val="100"/>
        <c:noMultiLvlLbl val="0"/>
      </c:catAx>
    </c:plotArea>
    <c:legend>
      <c:legendPos val="b"/>
      <c:layout>
        <c:manualLayout>
          <c:xMode val="edge"/>
          <c:yMode val="edge"/>
          <c:x val="2.8515585864762438E-2"/>
          <c:y val="0.87452589553066462"/>
          <c:w val="0.9002244042662727"/>
          <c:h val="0.12547410446933571"/>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1988407699037624E-2"/>
          <c:y val="0.13936351706036745"/>
          <c:w val="0.80106474190726007"/>
          <c:h val="0.55638888888888893"/>
        </c:manualLayout>
      </c:layout>
      <c:lineChart>
        <c:grouping val="standard"/>
        <c:varyColors val="0"/>
        <c:ser>
          <c:idx val="0"/>
          <c:order val="0"/>
          <c:tx>
            <c:strRef>
              <c:f>cukor!$J$2</c:f>
              <c:strCache>
                <c:ptCount val="1"/>
                <c:pt idx="0">
                  <c:v>Priemerné hektárové úrody cukrovej repy v t</c:v>
                </c:pt>
              </c:strCache>
            </c:strRef>
          </c:tx>
          <c:dLbls>
            <c:dLbl>
              <c:idx val="0"/>
              <c:layout>
                <c:manualLayout>
                  <c:x val="-0.05"/>
                  <c:y val="-6.0185185185185147E-2"/>
                </c:manualLayout>
              </c:layout>
              <c:showLegendKey val="0"/>
              <c:showVal val="1"/>
              <c:showCatName val="0"/>
              <c:showSerName val="0"/>
              <c:showPercent val="0"/>
              <c:showBubbleSize val="0"/>
            </c:dLbl>
            <c:dLbl>
              <c:idx val="1"/>
              <c:layout>
                <c:manualLayout>
                  <c:x val="-7.2222222222222299E-2"/>
                  <c:y val="-5.5555555555555483E-2"/>
                </c:manualLayout>
              </c:layout>
              <c:showLegendKey val="0"/>
              <c:showVal val="1"/>
              <c:showCatName val="0"/>
              <c:showSerName val="0"/>
              <c:showPercent val="0"/>
              <c:showBubbleSize val="0"/>
            </c:dLbl>
            <c:dLbl>
              <c:idx val="2"/>
              <c:layout>
                <c:manualLayout>
                  <c:x val="-0.1111111111111111"/>
                  <c:y val="-2.7777777777777842E-2"/>
                </c:manualLayout>
              </c:layout>
              <c:showLegendKey val="0"/>
              <c:showVal val="1"/>
              <c:showCatName val="0"/>
              <c:showSerName val="0"/>
              <c:showPercent val="0"/>
              <c:showBubbleSize val="0"/>
            </c:dLbl>
            <c:dLbl>
              <c:idx val="3"/>
              <c:layout>
                <c:manualLayout>
                  <c:x val="-5.8333333333333431E-2"/>
                  <c:y val="-5.0925925925925923E-2"/>
                </c:manualLayout>
              </c:layout>
              <c:showLegendKey val="0"/>
              <c:showVal val="1"/>
              <c:showCatName val="0"/>
              <c:showSerName val="0"/>
              <c:showPercent val="0"/>
              <c:showBubbleSize val="0"/>
            </c:dLbl>
            <c:dLbl>
              <c:idx val="4"/>
              <c:layout>
                <c:manualLayout>
                  <c:x val="-6.666666666666668E-2"/>
                  <c:y val="-5.5555555555555462E-2"/>
                </c:manualLayout>
              </c:layout>
              <c:showLegendKey val="0"/>
              <c:showVal val="1"/>
              <c:showCatName val="0"/>
              <c:showSerName val="0"/>
              <c:showPercent val="0"/>
              <c:showBubbleSize val="0"/>
            </c:dLbl>
            <c:dLbl>
              <c:idx val="5"/>
              <c:layout>
                <c:manualLayout>
                  <c:x val="-8.8888888888888989E-2"/>
                  <c:y val="-3.703703703703705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cukor!$K$1:$P$1</c:f>
              <c:strCache>
                <c:ptCount val="6"/>
                <c:pt idx="0">
                  <c:v>2002/03</c:v>
                </c:pt>
                <c:pt idx="1">
                  <c:v>2007/08</c:v>
                </c:pt>
                <c:pt idx="2">
                  <c:v>2008/09</c:v>
                </c:pt>
                <c:pt idx="3">
                  <c:v>2009/10</c:v>
                </c:pt>
                <c:pt idx="4">
                  <c:v>2010/11</c:v>
                </c:pt>
                <c:pt idx="5">
                  <c:v>2011/12</c:v>
                </c:pt>
              </c:strCache>
            </c:strRef>
          </c:cat>
          <c:val>
            <c:numRef>
              <c:f>cukor!$K$2:$P$2</c:f>
              <c:numCache>
                <c:formatCode>General</c:formatCode>
                <c:ptCount val="6"/>
                <c:pt idx="0">
                  <c:v>43.63</c:v>
                </c:pt>
                <c:pt idx="1">
                  <c:v>44.89</c:v>
                </c:pt>
                <c:pt idx="2">
                  <c:v>61.07</c:v>
                </c:pt>
                <c:pt idx="3">
                  <c:v>56.34</c:v>
                </c:pt>
                <c:pt idx="4">
                  <c:v>54.52</c:v>
                </c:pt>
                <c:pt idx="5">
                  <c:v>64.14</c:v>
                </c:pt>
              </c:numCache>
            </c:numRef>
          </c:val>
          <c:smooth val="0"/>
        </c:ser>
        <c:dLbls>
          <c:showLegendKey val="0"/>
          <c:showVal val="0"/>
          <c:showCatName val="0"/>
          <c:showSerName val="0"/>
          <c:showPercent val="0"/>
          <c:showBubbleSize val="0"/>
        </c:dLbls>
        <c:marker val="1"/>
        <c:smooth val="0"/>
        <c:axId val="224803456"/>
        <c:axId val="224817536"/>
      </c:lineChart>
      <c:lineChart>
        <c:grouping val="standard"/>
        <c:varyColors val="0"/>
        <c:ser>
          <c:idx val="1"/>
          <c:order val="1"/>
          <c:tx>
            <c:strRef>
              <c:f>cukor!$J$3</c:f>
              <c:strCache>
                <c:ptCount val="1"/>
                <c:pt idx="0">
                  <c:v>Priemerná miera cukornatosti v %</c:v>
                </c:pt>
              </c:strCache>
            </c:strRef>
          </c:tx>
          <c:dLbls>
            <c:dLbl>
              <c:idx val="0"/>
              <c:layout>
                <c:manualLayout>
                  <c:x val="-6.8357221609702395E-2"/>
                  <c:y val="-4.9751243781094565E-2"/>
                </c:manualLayout>
              </c:layout>
              <c:showLegendKey val="0"/>
              <c:showVal val="1"/>
              <c:showCatName val="0"/>
              <c:showSerName val="0"/>
              <c:showPercent val="0"/>
              <c:showBubbleSize val="0"/>
            </c:dLbl>
            <c:dLbl>
              <c:idx val="2"/>
              <c:layout>
                <c:manualLayout>
                  <c:x val="-0.05"/>
                  <c:y val="5.5555555555555483E-2"/>
                </c:manualLayout>
              </c:layout>
              <c:showLegendKey val="0"/>
              <c:showVal val="1"/>
              <c:showCatName val="0"/>
              <c:showSerName val="0"/>
              <c:showPercent val="0"/>
              <c:showBubbleSize val="0"/>
            </c:dLbl>
            <c:dLbl>
              <c:idx val="3"/>
              <c:layout>
                <c:manualLayout>
                  <c:x val="-9.1666666666666827E-2"/>
                  <c:y val="6.0185185185185217E-2"/>
                </c:manualLayout>
              </c:layout>
              <c:showLegendKey val="0"/>
              <c:showVal val="1"/>
              <c:showCatName val="0"/>
              <c:showSerName val="0"/>
              <c:showPercent val="0"/>
              <c:showBubbleSize val="0"/>
            </c:dLbl>
            <c:dLbl>
              <c:idx val="4"/>
              <c:layout>
                <c:manualLayout>
                  <c:x val="-4.8510885953928308E-2"/>
                  <c:y val="-4.9741587448582973E-2"/>
                </c:manualLayout>
              </c:layout>
              <c:showLegendKey val="0"/>
              <c:showVal val="1"/>
              <c:showCatName val="0"/>
              <c:showSerName val="0"/>
              <c:showPercent val="0"/>
              <c:showBubbleSize val="0"/>
            </c:dLbl>
            <c:dLbl>
              <c:idx val="5"/>
              <c:layout>
                <c:manualLayout>
                  <c:x val="-3.888888888888889E-2"/>
                  <c:y val="5.555555555555548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cukor!$K$1:$P$1</c:f>
              <c:strCache>
                <c:ptCount val="6"/>
                <c:pt idx="0">
                  <c:v>2002/03</c:v>
                </c:pt>
                <c:pt idx="1">
                  <c:v>2007/08</c:v>
                </c:pt>
                <c:pt idx="2">
                  <c:v>2008/09</c:v>
                </c:pt>
                <c:pt idx="3">
                  <c:v>2009/10</c:v>
                </c:pt>
                <c:pt idx="4">
                  <c:v>2010/11</c:v>
                </c:pt>
                <c:pt idx="5">
                  <c:v>2011/12</c:v>
                </c:pt>
              </c:strCache>
            </c:strRef>
          </c:cat>
          <c:val>
            <c:numRef>
              <c:f>cukor!$K$3:$P$3</c:f>
              <c:numCache>
                <c:formatCode>0.00%</c:formatCode>
                <c:ptCount val="6"/>
                <c:pt idx="0">
                  <c:v>0.15400000000000016</c:v>
                </c:pt>
                <c:pt idx="1">
                  <c:v>0.16189999999999999</c:v>
                </c:pt>
                <c:pt idx="2">
                  <c:v>0.17510000000000001</c:v>
                </c:pt>
                <c:pt idx="3">
                  <c:v>0.16889999999999999</c:v>
                </c:pt>
                <c:pt idx="4">
                  <c:v>0.15440000000000023</c:v>
                </c:pt>
                <c:pt idx="5">
                  <c:v>0.18030000000000004</c:v>
                </c:pt>
              </c:numCache>
            </c:numRef>
          </c:val>
          <c:smooth val="0"/>
        </c:ser>
        <c:dLbls>
          <c:showLegendKey val="0"/>
          <c:showVal val="0"/>
          <c:showCatName val="0"/>
          <c:showSerName val="0"/>
          <c:showPercent val="0"/>
          <c:showBubbleSize val="0"/>
        </c:dLbls>
        <c:marker val="1"/>
        <c:smooth val="0"/>
        <c:axId val="224820608"/>
        <c:axId val="224819072"/>
      </c:lineChart>
      <c:catAx>
        <c:axId val="224803456"/>
        <c:scaling>
          <c:orientation val="minMax"/>
        </c:scaling>
        <c:delete val="0"/>
        <c:axPos val="b"/>
        <c:majorTickMark val="out"/>
        <c:minorTickMark val="none"/>
        <c:tickLblPos val="nextTo"/>
        <c:crossAx val="224817536"/>
        <c:crosses val="autoZero"/>
        <c:auto val="1"/>
        <c:lblAlgn val="ctr"/>
        <c:lblOffset val="100"/>
        <c:noMultiLvlLbl val="0"/>
      </c:catAx>
      <c:valAx>
        <c:axId val="224817536"/>
        <c:scaling>
          <c:orientation val="minMax"/>
        </c:scaling>
        <c:delete val="0"/>
        <c:axPos val="l"/>
        <c:numFmt formatCode="General" sourceLinked="1"/>
        <c:majorTickMark val="out"/>
        <c:minorTickMark val="none"/>
        <c:tickLblPos val="nextTo"/>
        <c:crossAx val="224803456"/>
        <c:crosses val="autoZero"/>
        <c:crossBetween val="between"/>
      </c:valAx>
      <c:valAx>
        <c:axId val="224819072"/>
        <c:scaling>
          <c:orientation val="minMax"/>
        </c:scaling>
        <c:delete val="0"/>
        <c:axPos val="r"/>
        <c:numFmt formatCode="0.00%" sourceLinked="1"/>
        <c:majorTickMark val="out"/>
        <c:minorTickMark val="none"/>
        <c:tickLblPos val="nextTo"/>
        <c:crossAx val="224820608"/>
        <c:crosses val="max"/>
        <c:crossBetween val="between"/>
      </c:valAx>
      <c:catAx>
        <c:axId val="224820608"/>
        <c:scaling>
          <c:orientation val="minMax"/>
        </c:scaling>
        <c:delete val="1"/>
        <c:axPos val="b"/>
        <c:majorTickMark val="out"/>
        <c:minorTickMark val="none"/>
        <c:tickLblPos val="nextTo"/>
        <c:crossAx val="224819072"/>
        <c:crosses val="autoZero"/>
        <c:auto val="1"/>
        <c:lblAlgn val="ctr"/>
        <c:lblOffset val="100"/>
        <c:noMultiLvlLbl val="0"/>
      </c:catAx>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dLbls>
            <c:dLbl>
              <c:idx val="0"/>
              <c:layout>
                <c:manualLayout>
                  <c:x val="-7.2766328930892424E-2"/>
                  <c:y val="8.4208181189483061E-3"/>
                </c:manualLayout>
              </c:layout>
              <c:showLegendKey val="0"/>
              <c:showVal val="1"/>
              <c:showCatName val="0"/>
              <c:showSerName val="0"/>
              <c:showPercent val="0"/>
              <c:showBubbleSize val="0"/>
            </c:dLbl>
            <c:dLbl>
              <c:idx val="1"/>
              <c:layout>
                <c:manualLayout>
                  <c:x val="-1.1025201353165518E-2"/>
                  <c:y val="6.2908533963673574E-2"/>
                </c:manualLayout>
              </c:layout>
              <c:showLegendKey val="0"/>
              <c:showVal val="1"/>
              <c:showCatName val="0"/>
              <c:showSerName val="0"/>
              <c:showPercent val="0"/>
              <c:showBubbleSize val="0"/>
            </c:dLbl>
            <c:dLbl>
              <c:idx val="2"/>
              <c:layout>
                <c:manualLayout>
                  <c:x val="-7.3539140022050697E-2"/>
                  <c:y val="-6.4235913242122314E-2"/>
                </c:manualLayout>
              </c:layout>
              <c:showLegendKey val="0"/>
              <c:showVal val="1"/>
              <c:showCatName val="0"/>
              <c:showSerName val="0"/>
              <c:showPercent val="0"/>
              <c:showBubbleSize val="0"/>
            </c:dLbl>
            <c:dLbl>
              <c:idx val="3"/>
              <c:layout>
                <c:manualLayout>
                  <c:x val="-3.6111093748589299E-2"/>
                  <c:y val="8.867131232155299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cukor!$K$22:$O$22</c:f>
              <c:numCache>
                <c:formatCode>General</c:formatCode>
                <c:ptCount val="5"/>
                <c:pt idx="0">
                  <c:v>2002</c:v>
                </c:pt>
                <c:pt idx="1">
                  <c:v>2007</c:v>
                </c:pt>
                <c:pt idx="2">
                  <c:v>2008</c:v>
                </c:pt>
                <c:pt idx="3">
                  <c:v>2009</c:v>
                </c:pt>
                <c:pt idx="4">
                  <c:v>2010</c:v>
                </c:pt>
              </c:numCache>
            </c:numRef>
          </c:cat>
          <c:val>
            <c:numRef>
              <c:f>cukor!$K$23:$O$23</c:f>
              <c:numCache>
                <c:formatCode>General</c:formatCode>
                <c:ptCount val="5"/>
                <c:pt idx="0">
                  <c:v>27.6</c:v>
                </c:pt>
                <c:pt idx="1">
                  <c:v>29.8</c:v>
                </c:pt>
                <c:pt idx="2">
                  <c:v>34.5</c:v>
                </c:pt>
                <c:pt idx="3">
                  <c:v>33.4</c:v>
                </c:pt>
                <c:pt idx="4">
                  <c:v>34.300000000000004</c:v>
                </c:pt>
              </c:numCache>
            </c:numRef>
          </c:val>
          <c:smooth val="0"/>
        </c:ser>
        <c:dLbls>
          <c:showLegendKey val="0"/>
          <c:showVal val="0"/>
          <c:showCatName val="0"/>
          <c:showSerName val="0"/>
          <c:showPercent val="0"/>
          <c:showBubbleSize val="0"/>
        </c:dLbls>
        <c:marker val="1"/>
        <c:smooth val="0"/>
        <c:axId val="224851072"/>
        <c:axId val="224852608"/>
      </c:lineChart>
      <c:catAx>
        <c:axId val="224851072"/>
        <c:scaling>
          <c:orientation val="minMax"/>
        </c:scaling>
        <c:delete val="0"/>
        <c:axPos val="b"/>
        <c:numFmt formatCode="General" sourceLinked="1"/>
        <c:majorTickMark val="out"/>
        <c:minorTickMark val="none"/>
        <c:tickLblPos val="nextTo"/>
        <c:crossAx val="224852608"/>
        <c:crosses val="autoZero"/>
        <c:auto val="1"/>
        <c:lblAlgn val="ctr"/>
        <c:lblOffset val="100"/>
        <c:noMultiLvlLbl val="0"/>
      </c:catAx>
      <c:valAx>
        <c:axId val="224852608"/>
        <c:scaling>
          <c:orientation val="minMax"/>
          <c:min val="25"/>
        </c:scaling>
        <c:delete val="0"/>
        <c:axPos val="l"/>
        <c:numFmt formatCode="General" sourceLinked="1"/>
        <c:majorTickMark val="out"/>
        <c:minorTickMark val="none"/>
        <c:tickLblPos val="nextTo"/>
        <c:crossAx val="224851072"/>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8218105221049226E-2"/>
          <c:y val="6.1752707151157993E-2"/>
          <c:w val="0.88752645180198586"/>
          <c:h val="0.62054972728466262"/>
        </c:manualLayout>
      </c:layout>
      <c:barChart>
        <c:barDir val="col"/>
        <c:grouping val="clustered"/>
        <c:varyColors val="0"/>
        <c:ser>
          <c:idx val="0"/>
          <c:order val="0"/>
          <c:tx>
            <c:strRef>
              <c:f>cukor!$A$2</c:f>
              <c:strCache>
                <c:ptCount val="1"/>
                <c:pt idx="0">
                  <c:v>Ceny prvovýrobcov bez vplyvu dotácií v EUR/t</c:v>
                </c:pt>
              </c:strCache>
            </c:strRef>
          </c:tx>
          <c:spPr>
            <a:solidFill>
              <a:schemeClr val="bg1">
                <a:lumMod val="75000"/>
              </a:schemeClr>
            </a:solidFill>
          </c:spPr>
          <c:invertIfNegative val="0"/>
          <c:dLbls>
            <c:dLbl>
              <c:idx val="0"/>
              <c:layout>
                <c:manualLayout>
                  <c:x val="0"/>
                  <c:y val="0.24074074074074092"/>
                </c:manualLayout>
              </c:layout>
              <c:showLegendKey val="0"/>
              <c:showVal val="1"/>
              <c:showCatName val="0"/>
              <c:showSerName val="0"/>
              <c:showPercent val="0"/>
              <c:showBubbleSize val="0"/>
            </c:dLbl>
            <c:dLbl>
              <c:idx val="1"/>
              <c:layout>
                <c:manualLayout>
                  <c:x val="0"/>
                  <c:y val="0.22685185185185186"/>
                </c:manualLayout>
              </c:layout>
              <c:showLegendKey val="0"/>
              <c:showVal val="1"/>
              <c:showCatName val="0"/>
              <c:showSerName val="0"/>
              <c:showPercent val="0"/>
              <c:showBubbleSize val="0"/>
            </c:dLbl>
            <c:dLbl>
              <c:idx val="2"/>
              <c:layout>
                <c:manualLayout>
                  <c:x val="0"/>
                  <c:y val="0.23148148148148184"/>
                </c:manualLayout>
              </c:layout>
              <c:showLegendKey val="0"/>
              <c:showVal val="1"/>
              <c:showCatName val="0"/>
              <c:showSerName val="0"/>
              <c:showPercent val="0"/>
              <c:showBubbleSize val="0"/>
            </c:dLbl>
            <c:dLbl>
              <c:idx val="3"/>
              <c:layout>
                <c:manualLayout>
                  <c:x val="-2.095546439928542E-7"/>
                  <c:y val="0.1898148148148149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cukor!$B$1:$E$1</c:f>
              <c:numCache>
                <c:formatCode>General</c:formatCode>
                <c:ptCount val="4"/>
                <c:pt idx="0">
                  <c:v>2007</c:v>
                </c:pt>
                <c:pt idx="1">
                  <c:v>2008</c:v>
                </c:pt>
                <c:pt idx="2">
                  <c:v>2009</c:v>
                </c:pt>
                <c:pt idx="3">
                  <c:v>2010</c:v>
                </c:pt>
              </c:numCache>
            </c:numRef>
          </c:cat>
          <c:val>
            <c:numRef>
              <c:f>cukor!$B$2:$E$2</c:f>
              <c:numCache>
                <c:formatCode>0.00_)</c:formatCode>
                <c:ptCount val="4"/>
                <c:pt idx="0">
                  <c:v>28.939999999999987</c:v>
                </c:pt>
                <c:pt idx="1">
                  <c:v>27.830000000000005</c:v>
                </c:pt>
                <c:pt idx="2">
                  <c:v>28.979999999999986</c:v>
                </c:pt>
                <c:pt idx="3">
                  <c:v>25.97</c:v>
                </c:pt>
              </c:numCache>
            </c:numRef>
          </c:val>
        </c:ser>
        <c:ser>
          <c:idx val="1"/>
          <c:order val="1"/>
          <c:tx>
            <c:strRef>
              <c:f>cukor!$A$3</c:f>
              <c:strCache>
                <c:ptCount val="1"/>
                <c:pt idx="0">
                  <c:v>Ceny prvovýrobcov so započítaním dotácií v EUR/t</c:v>
                </c:pt>
              </c:strCache>
            </c:strRef>
          </c:tx>
          <c:spPr>
            <a:solidFill>
              <a:schemeClr val="bg1">
                <a:lumMod val="85000"/>
              </a:schemeClr>
            </a:solidFill>
          </c:spPr>
          <c:invertIfNegative val="0"/>
          <c:dLbls>
            <c:dLbl>
              <c:idx val="0"/>
              <c:layout>
                <c:manualLayout>
                  <c:x val="-2.095546439928542E-7"/>
                  <c:y val="0.31018518518518551"/>
                </c:manualLayout>
              </c:layout>
              <c:showLegendKey val="0"/>
              <c:showVal val="1"/>
              <c:showCatName val="0"/>
              <c:showSerName val="0"/>
              <c:showPercent val="0"/>
              <c:showBubbleSize val="0"/>
            </c:dLbl>
            <c:dLbl>
              <c:idx val="1"/>
              <c:layout>
                <c:manualLayout>
                  <c:x val="0"/>
                  <c:y val="0.30092592592592654"/>
                </c:manualLayout>
              </c:layout>
              <c:showLegendKey val="0"/>
              <c:showVal val="1"/>
              <c:showCatName val="0"/>
              <c:showSerName val="0"/>
              <c:showPercent val="0"/>
              <c:showBubbleSize val="0"/>
            </c:dLbl>
            <c:dLbl>
              <c:idx val="2"/>
              <c:layout>
                <c:manualLayout>
                  <c:x val="0"/>
                  <c:y val="0.34722222222222232"/>
                </c:manualLayout>
              </c:layout>
              <c:showLegendKey val="0"/>
              <c:showVal val="1"/>
              <c:showCatName val="0"/>
              <c:showSerName val="0"/>
              <c:showPercent val="0"/>
              <c:showBubbleSize val="0"/>
            </c:dLbl>
            <c:dLbl>
              <c:idx val="3"/>
              <c:layout>
                <c:manualLayout>
                  <c:x val="-9.7581485283028025E-17"/>
                  <c:y val="0.2638888888888896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cukor!$B$1:$E$1</c:f>
              <c:numCache>
                <c:formatCode>General</c:formatCode>
                <c:ptCount val="4"/>
                <c:pt idx="0">
                  <c:v>2007</c:v>
                </c:pt>
                <c:pt idx="1">
                  <c:v>2008</c:v>
                </c:pt>
                <c:pt idx="2">
                  <c:v>2009</c:v>
                </c:pt>
                <c:pt idx="3">
                  <c:v>2010</c:v>
                </c:pt>
              </c:numCache>
            </c:numRef>
          </c:cat>
          <c:val>
            <c:numRef>
              <c:f>cukor!$B$3:$E$3</c:f>
              <c:numCache>
                <c:formatCode>0.00_)</c:formatCode>
                <c:ptCount val="4"/>
                <c:pt idx="0">
                  <c:v>39.260000000000012</c:v>
                </c:pt>
                <c:pt idx="1">
                  <c:v>37.61</c:v>
                </c:pt>
                <c:pt idx="2">
                  <c:v>41.95</c:v>
                </c:pt>
                <c:pt idx="3">
                  <c:v>36.370000000000005</c:v>
                </c:pt>
              </c:numCache>
            </c:numRef>
          </c:val>
        </c:ser>
        <c:dLbls>
          <c:showLegendKey val="0"/>
          <c:showVal val="0"/>
          <c:showCatName val="0"/>
          <c:showSerName val="0"/>
          <c:showPercent val="0"/>
          <c:showBubbleSize val="0"/>
        </c:dLbls>
        <c:gapWidth val="150"/>
        <c:axId val="224732288"/>
        <c:axId val="224733824"/>
      </c:barChart>
      <c:lineChart>
        <c:grouping val="standard"/>
        <c:varyColors val="0"/>
        <c:ser>
          <c:idx val="2"/>
          <c:order val="2"/>
          <c:tx>
            <c:strRef>
              <c:f>cukor!$A$6</c:f>
              <c:strCache>
                <c:ptCount val="1"/>
                <c:pt idx="0">
                  <c:v>vlastné náklady na t produkcie cukrovej repy v EUR</c:v>
                </c:pt>
              </c:strCache>
            </c:strRef>
          </c:tx>
          <c:spPr>
            <a:ln>
              <a:solidFill>
                <a:schemeClr val="tx1">
                  <a:lumMod val="95000"/>
                  <a:lumOff val="5000"/>
                </a:schemeClr>
              </a:solidFill>
            </a:ln>
          </c:spPr>
          <c:marker>
            <c:spPr>
              <a:solidFill>
                <a:schemeClr val="tx1"/>
              </a:solidFill>
              <a:ln>
                <a:solidFill>
                  <a:schemeClr val="tx1"/>
                </a:solidFill>
              </a:ln>
            </c:spPr>
          </c:marker>
          <c:dLbls>
            <c:dLbl>
              <c:idx val="0"/>
              <c:layout>
                <c:manualLayout>
                  <c:x val="-4.9273274286869159E-2"/>
                  <c:y val="-4.2463597333355418E-2"/>
                </c:manualLayout>
              </c:layout>
              <c:showLegendKey val="0"/>
              <c:showVal val="1"/>
              <c:showCatName val="0"/>
              <c:showSerName val="0"/>
              <c:showPercent val="0"/>
              <c:showBubbleSize val="0"/>
            </c:dLbl>
            <c:dLbl>
              <c:idx val="1"/>
              <c:layout>
                <c:manualLayout>
                  <c:x val="-4.5242847638057158E-2"/>
                  <c:y val="-6.4814814814814908E-2"/>
                </c:manualLayout>
              </c:layout>
              <c:showLegendKey val="0"/>
              <c:showVal val="1"/>
              <c:showCatName val="0"/>
              <c:showSerName val="0"/>
              <c:showPercent val="0"/>
              <c:showBubbleSize val="0"/>
            </c:dLbl>
            <c:dLbl>
              <c:idx val="2"/>
              <c:layout>
                <c:manualLayout>
                  <c:x val="-5.0565535595475705E-2"/>
                  <c:y val="-5.5555555555555483E-2"/>
                </c:manualLayout>
              </c:layout>
              <c:showLegendKey val="0"/>
              <c:showVal val="1"/>
              <c:showCatName val="0"/>
              <c:showSerName val="0"/>
              <c:showPercent val="0"/>
              <c:showBubbleSize val="0"/>
            </c:dLbl>
            <c:dLbl>
              <c:idx val="3"/>
              <c:layout>
                <c:manualLayout>
                  <c:x val="-5.5888223552894314E-2"/>
                  <c:y val="-6.01851851851851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cukor!$B$6:$E$6</c:f>
              <c:numCache>
                <c:formatCode>0.00_)</c:formatCode>
                <c:ptCount val="4"/>
                <c:pt idx="0">
                  <c:v>34.260000000000012</c:v>
                </c:pt>
                <c:pt idx="1">
                  <c:v>29.279999999999987</c:v>
                </c:pt>
                <c:pt idx="2">
                  <c:v>29.55</c:v>
                </c:pt>
                <c:pt idx="3">
                  <c:v>29.57</c:v>
                </c:pt>
              </c:numCache>
            </c:numRef>
          </c:val>
          <c:smooth val="0"/>
        </c:ser>
        <c:dLbls>
          <c:showLegendKey val="0"/>
          <c:showVal val="0"/>
          <c:showCatName val="0"/>
          <c:showSerName val="0"/>
          <c:showPercent val="0"/>
          <c:showBubbleSize val="0"/>
        </c:dLbls>
        <c:marker val="1"/>
        <c:smooth val="0"/>
        <c:axId val="224732288"/>
        <c:axId val="224733824"/>
      </c:lineChart>
      <c:catAx>
        <c:axId val="224732288"/>
        <c:scaling>
          <c:orientation val="minMax"/>
        </c:scaling>
        <c:delete val="0"/>
        <c:axPos val="b"/>
        <c:numFmt formatCode="General" sourceLinked="1"/>
        <c:majorTickMark val="out"/>
        <c:minorTickMark val="none"/>
        <c:tickLblPos val="nextTo"/>
        <c:crossAx val="224733824"/>
        <c:crosses val="autoZero"/>
        <c:auto val="1"/>
        <c:lblAlgn val="ctr"/>
        <c:lblOffset val="100"/>
        <c:noMultiLvlLbl val="0"/>
      </c:catAx>
      <c:valAx>
        <c:axId val="224733824"/>
        <c:scaling>
          <c:orientation val="minMax"/>
        </c:scaling>
        <c:delete val="0"/>
        <c:axPos val="l"/>
        <c:numFmt formatCode="0.00_)" sourceLinked="1"/>
        <c:majorTickMark val="out"/>
        <c:minorTickMark val="none"/>
        <c:tickLblPos val="nextTo"/>
        <c:crossAx val="224732288"/>
        <c:crosses val="autoZero"/>
        <c:crossBetween val="between"/>
      </c:valAx>
    </c:plotArea>
    <c:legend>
      <c:legendPos val="b"/>
      <c:layout>
        <c:manualLayout>
          <c:xMode val="edge"/>
          <c:yMode val="edge"/>
          <c:x val="1.9341675677815529E-2"/>
          <c:y val="0.79342888848607573"/>
          <c:w val="0.96574377761765462"/>
          <c:h val="0.1702292718440809"/>
        </c:manualLayout>
      </c:layout>
      <c:overlay val="0"/>
      <c:txPr>
        <a:bodyPr/>
        <a:lstStyle/>
        <a:p>
          <a:pPr>
            <a:defRPr sz="900" baseline="0"/>
          </a:pPr>
          <a:endParaRPr lang="sk-SK"/>
        </a:p>
      </c:txPr>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cukor!$A$10</c:f>
              <c:strCache>
                <c:ptCount val="1"/>
                <c:pt idx="0">
                  <c:v>Index cien prvovýrobcov bez vplyvu dotácií</c:v>
                </c:pt>
              </c:strCache>
            </c:strRef>
          </c:tx>
          <c:dLbls>
            <c:dLbl>
              <c:idx val="0"/>
              <c:layout>
                <c:manualLayout>
                  <c:x val="-0.10466745956645172"/>
                  <c:y val="-2.4506945210630484E-3"/>
                </c:manualLayout>
              </c:layout>
              <c:showLegendKey val="0"/>
              <c:showVal val="1"/>
              <c:showCatName val="0"/>
              <c:showSerName val="0"/>
              <c:showPercent val="0"/>
              <c:showBubbleSize val="0"/>
            </c:dLbl>
            <c:dLbl>
              <c:idx val="1"/>
              <c:layout>
                <c:manualLayout>
                  <c:x val="-7.5000000000000011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cukor!$B$9:$D$9</c:f>
              <c:strCache>
                <c:ptCount val="3"/>
                <c:pt idx="0">
                  <c:v>2008/2007</c:v>
                </c:pt>
                <c:pt idx="1">
                  <c:v>2009/2008</c:v>
                </c:pt>
                <c:pt idx="2">
                  <c:v>2010/2009</c:v>
                </c:pt>
              </c:strCache>
            </c:strRef>
          </c:cat>
          <c:val>
            <c:numRef>
              <c:f>cukor!$B$10:$D$10</c:f>
              <c:numCache>
                <c:formatCode>0.00%</c:formatCode>
                <c:ptCount val="3"/>
                <c:pt idx="0">
                  <c:v>0.9616447823082247</c:v>
                </c:pt>
                <c:pt idx="1">
                  <c:v>1.0413223140495858</c:v>
                </c:pt>
                <c:pt idx="2">
                  <c:v>0.89613526570048307</c:v>
                </c:pt>
              </c:numCache>
            </c:numRef>
          </c:val>
          <c:smooth val="0"/>
        </c:ser>
        <c:ser>
          <c:idx val="1"/>
          <c:order val="1"/>
          <c:tx>
            <c:strRef>
              <c:f>cukor!$A$11</c:f>
              <c:strCache>
                <c:ptCount val="1"/>
                <c:pt idx="0">
                  <c:v>Index cien prvovýrobcov so započítaním dotácií</c:v>
                </c:pt>
              </c:strCache>
            </c:strRef>
          </c:tx>
          <c:dLbls>
            <c:dLbl>
              <c:idx val="0"/>
              <c:layout>
                <c:manualLayout>
                  <c:x val="-0.10277777777777777"/>
                  <c:y val="6.0185185185185147E-2"/>
                </c:manualLayout>
              </c:layout>
              <c:showLegendKey val="0"/>
              <c:showVal val="1"/>
              <c:showCatName val="0"/>
              <c:showSerName val="0"/>
              <c:showPercent val="0"/>
              <c:showBubbleSize val="0"/>
            </c:dLbl>
            <c:dLbl>
              <c:idx val="2"/>
              <c:layout>
                <c:manualLayout>
                  <c:x val="-1.32302416237986E-2"/>
                  <c:y val="1.715686053768970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cukor!$B$9:$D$9</c:f>
              <c:strCache>
                <c:ptCount val="3"/>
                <c:pt idx="0">
                  <c:v>2008/2007</c:v>
                </c:pt>
                <c:pt idx="1">
                  <c:v>2009/2008</c:v>
                </c:pt>
                <c:pt idx="2">
                  <c:v>2010/2009</c:v>
                </c:pt>
              </c:strCache>
            </c:strRef>
          </c:cat>
          <c:val>
            <c:numRef>
              <c:f>cukor!$B$11:$D$11</c:f>
              <c:numCache>
                <c:formatCode>0.00%</c:formatCode>
                <c:ptCount val="3"/>
                <c:pt idx="0">
                  <c:v>0.95797249108507454</c:v>
                </c:pt>
                <c:pt idx="1">
                  <c:v>1.1153948417973938</c:v>
                </c:pt>
                <c:pt idx="2">
                  <c:v>0.86698450536352856</c:v>
                </c:pt>
              </c:numCache>
            </c:numRef>
          </c:val>
          <c:smooth val="0"/>
        </c:ser>
        <c:ser>
          <c:idx val="2"/>
          <c:order val="2"/>
          <c:tx>
            <c:strRef>
              <c:f>cukor!$A$12</c:f>
              <c:strCache>
                <c:ptCount val="1"/>
                <c:pt idx="0">
                  <c:v>Index spotrebiteľských cien</c:v>
                </c:pt>
              </c:strCache>
            </c:strRef>
          </c:tx>
          <c:dLbls>
            <c:dLbl>
              <c:idx val="0"/>
              <c:layout>
                <c:manualLayout>
                  <c:x val="-0.125"/>
                  <c:y val="-3.240740740740745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cukor!$B$9:$D$9</c:f>
              <c:strCache>
                <c:ptCount val="3"/>
                <c:pt idx="0">
                  <c:v>2008/2007</c:v>
                </c:pt>
                <c:pt idx="1">
                  <c:v>2009/2008</c:v>
                </c:pt>
                <c:pt idx="2">
                  <c:v>2010/2009</c:v>
                </c:pt>
              </c:strCache>
            </c:strRef>
          </c:cat>
          <c:val>
            <c:numRef>
              <c:f>cukor!$B$12:$D$12</c:f>
              <c:numCache>
                <c:formatCode>0.00%</c:formatCode>
                <c:ptCount val="3"/>
                <c:pt idx="0">
                  <c:v>1.0105263157894711</c:v>
                </c:pt>
                <c:pt idx="1">
                  <c:v>0.8333333333333337</c:v>
                </c:pt>
                <c:pt idx="2">
                  <c:v>0.98749999999999949</c:v>
                </c:pt>
              </c:numCache>
            </c:numRef>
          </c:val>
          <c:smooth val="0"/>
        </c:ser>
        <c:dLbls>
          <c:showLegendKey val="0"/>
          <c:showVal val="0"/>
          <c:showCatName val="0"/>
          <c:showSerName val="0"/>
          <c:showPercent val="0"/>
          <c:showBubbleSize val="0"/>
        </c:dLbls>
        <c:marker val="1"/>
        <c:smooth val="0"/>
        <c:axId val="224756864"/>
        <c:axId val="224758400"/>
      </c:lineChart>
      <c:catAx>
        <c:axId val="224756864"/>
        <c:scaling>
          <c:orientation val="minMax"/>
        </c:scaling>
        <c:delete val="0"/>
        <c:axPos val="b"/>
        <c:majorTickMark val="out"/>
        <c:minorTickMark val="none"/>
        <c:tickLblPos val="nextTo"/>
        <c:crossAx val="224758400"/>
        <c:crosses val="autoZero"/>
        <c:auto val="1"/>
        <c:lblAlgn val="ctr"/>
        <c:lblOffset val="100"/>
        <c:noMultiLvlLbl val="0"/>
      </c:catAx>
      <c:valAx>
        <c:axId val="224758400"/>
        <c:scaling>
          <c:orientation val="minMax"/>
          <c:min val="0.8"/>
        </c:scaling>
        <c:delete val="0"/>
        <c:axPos val="l"/>
        <c:numFmt formatCode="0.00%" sourceLinked="1"/>
        <c:majorTickMark val="out"/>
        <c:minorTickMark val="none"/>
        <c:tickLblPos val="nextTo"/>
        <c:crossAx val="224756864"/>
        <c:crosses val="autoZero"/>
        <c:crossBetween val="between"/>
      </c:valAx>
    </c:plotArea>
    <c:legend>
      <c:legendPos val="b"/>
      <c:layout>
        <c:manualLayout>
          <c:xMode val="edge"/>
          <c:yMode val="edge"/>
          <c:x val="2.4788298771497408E-2"/>
          <c:y val="0.81482533110684463"/>
          <c:w val="0.94163279479811468"/>
          <c:h val="0.18022057548390538"/>
        </c:manualLayout>
      </c:layout>
      <c:overlay val="0"/>
      <c:txPr>
        <a:bodyPr/>
        <a:lstStyle/>
        <a:p>
          <a:pPr>
            <a:defRPr sz="900" baseline="0"/>
          </a:pPr>
          <a:endParaRPr lang="sk-SK"/>
        </a:p>
      </c:txPr>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9.2634764135621425E-3"/>
          <c:y val="5.2328684290089814E-2"/>
          <c:w val="0.99073657535094806"/>
          <c:h val="0.94444444444444464"/>
        </c:manualLayout>
      </c:layout>
      <c:pie3DChart>
        <c:varyColors val="1"/>
        <c:ser>
          <c:idx val="0"/>
          <c:order val="0"/>
          <c:tx>
            <c:strRef>
              <c:f>Hárok2!$B$1</c:f>
              <c:strCache>
                <c:ptCount val="1"/>
                <c:pt idx="0">
                  <c:v>2011</c:v>
                </c:pt>
              </c:strCache>
            </c:strRef>
          </c:tx>
          <c:explosion val="25"/>
          <c:dPt>
            <c:idx val="1"/>
            <c:bubble3D val="0"/>
            <c:explosion val="30"/>
          </c:dPt>
          <c:dLbls>
            <c:dLbl>
              <c:idx val="0"/>
              <c:layout>
                <c:manualLayout>
                  <c:x val="8.7706946955919241E-2"/>
                  <c:y val="0.10946766332763073"/>
                </c:manualLayout>
              </c:layout>
              <c:spPr/>
              <c:txPr>
                <a:bodyPr/>
                <a:lstStyle/>
                <a:p>
                  <a:pPr>
                    <a:defRPr b="1" i="0" baseline="0">
                      <a:solidFill>
                        <a:schemeClr val="tx1"/>
                      </a:solidFill>
                    </a:defRPr>
                  </a:pPr>
                  <a:endParaRPr lang="sk-SK"/>
                </a:p>
              </c:txPr>
              <c:dLblPos val="bestFit"/>
              <c:showLegendKey val="0"/>
              <c:showVal val="1"/>
              <c:showCatName val="1"/>
              <c:showSerName val="0"/>
              <c:showPercent val="1"/>
              <c:showBubbleSize val="0"/>
              <c:separator>
</c:separator>
            </c:dLbl>
            <c:dLbl>
              <c:idx val="1"/>
              <c:layout>
                <c:manualLayout>
                  <c:x val="-0.12580826817567711"/>
                  <c:y val="-0.18290239057955612"/>
                </c:manualLayout>
              </c:layout>
              <c:spPr/>
              <c:txPr>
                <a:bodyPr/>
                <a:lstStyle/>
                <a:p>
                  <a:pPr>
                    <a:defRPr b="1" i="0" baseline="0"/>
                  </a:pPr>
                  <a:endParaRPr lang="sk-SK"/>
                </a:p>
              </c:txPr>
              <c:dLblPos val="bestFit"/>
              <c:showLegendKey val="0"/>
              <c:showVal val="1"/>
              <c:showCatName val="1"/>
              <c:showSerName val="0"/>
              <c:showPercent val="1"/>
              <c:showBubbleSize val="0"/>
              <c:separator>
</c:separator>
            </c:dLbl>
            <c:dLblPos val="outEnd"/>
            <c:showLegendKey val="0"/>
            <c:showVal val="1"/>
            <c:showCatName val="1"/>
            <c:showSerName val="0"/>
            <c:showPercent val="1"/>
            <c:showBubbleSize val="0"/>
            <c:separator>
</c:separator>
            <c:showLeaderLines val="1"/>
          </c:dLbls>
          <c:cat>
            <c:strRef>
              <c:f>Hárok2!$A$2:$A$3</c:f>
              <c:strCache>
                <c:ptCount val="2"/>
                <c:pt idx="0">
                  <c:v>HV štátnych lesných podnikov</c:v>
                </c:pt>
                <c:pt idx="1">
                  <c:v>HV neštátnych lesných podnikov</c:v>
                </c:pt>
              </c:strCache>
            </c:strRef>
          </c:cat>
          <c:val>
            <c:numRef>
              <c:f>Hárok2!$B$2:$B$3</c:f>
              <c:numCache>
                <c:formatCode>#,##0\ [$EUR]</c:formatCode>
                <c:ptCount val="2"/>
                <c:pt idx="0">
                  <c:v>15189000</c:v>
                </c:pt>
                <c:pt idx="1">
                  <c:v>33213000</c:v>
                </c:pt>
              </c:numCache>
            </c:numRef>
          </c:val>
        </c:ser>
        <c:dLbls>
          <c:showLegendKey val="0"/>
          <c:showVal val="0"/>
          <c:showCatName val="1"/>
          <c:showSerName val="0"/>
          <c:showPercent val="1"/>
          <c:showBubbleSize val="0"/>
          <c:showLeaderLines val="1"/>
        </c:dLbls>
      </c:pie3DChart>
    </c:plotArea>
    <c:plotVisOnly val="1"/>
    <c:dispBlanksAs val="zero"/>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015507436570428"/>
          <c:y val="0.14862277631962667"/>
          <c:w val="0.81377318460192449"/>
          <c:h val="0.62390237678623506"/>
        </c:manualLayout>
      </c:layout>
      <c:lineChart>
        <c:grouping val="standard"/>
        <c:varyColors val="0"/>
        <c:ser>
          <c:idx val="1"/>
          <c:order val="1"/>
          <c:tx>
            <c:strRef>
              <c:f>pšenica!$A$5:$B$5</c:f>
              <c:strCache>
                <c:ptCount val="1"/>
                <c:pt idx="0">
                  <c:v>Produkcia  tis. t</c:v>
                </c:pt>
              </c:strCache>
            </c:strRef>
          </c:tx>
          <c:dLbls>
            <c:dLbl>
              <c:idx val="0"/>
              <c:layout>
                <c:manualLayout>
                  <c:x val="-6.9444444444444503E-2"/>
                  <c:y val="4.1666666666666664E-2"/>
                </c:manualLayout>
              </c:layout>
              <c:showLegendKey val="0"/>
              <c:showVal val="1"/>
              <c:showCatName val="0"/>
              <c:showSerName val="0"/>
              <c:showPercent val="0"/>
              <c:showBubbleSize val="0"/>
            </c:dLbl>
            <c:dLbl>
              <c:idx val="1"/>
              <c:layout>
                <c:manualLayout>
                  <c:x val="-5.9465118373086517E-2"/>
                  <c:y val="5.0899135057846524E-2"/>
                </c:manualLayout>
              </c:layout>
              <c:showLegendKey val="0"/>
              <c:showVal val="1"/>
              <c:showCatName val="0"/>
              <c:showSerName val="0"/>
              <c:showPercent val="0"/>
              <c:showBubbleSize val="0"/>
            </c:dLbl>
            <c:dLbl>
              <c:idx val="2"/>
              <c:layout>
                <c:manualLayout>
                  <c:x val="-5.313715347625337E-2"/>
                  <c:y val="-4.7222222222222283E-2"/>
                </c:manualLayout>
              </c:layout>
              <c:showLegendKey val="0"/>
              <c:showVal val="1"/>
              <c:showCatName val="0"/>
              <c:showSerName val="0"/>
              <c:showPercent val="0"/>
              <c:showBubbleSize val="0"/>
            </c:dLbl>
            <c:dLbl>
              <c:idx val="3"/>
              <c:layout>
                <c:manualLayout>
                  <c:x val="-7.4640712999016492E-2"/>
                  <c:y val="4.5277340332458456E-2"/>
                </c:manualLayout>
              </c:layout>
              <c:showLegendKey val="0"/>
              <c:showVal val="1"/>
              <c:showCatName val="0"/>
              <c:showSerName val="0"/>
              <c:showPercent val="0"/>
              <c:showBubbleSize val="0"/>
            </c:dLbl>
            <c:dLbl>
              <c:idx val="4"/>
              <c:layout>
                <c:manualLayout>
                  <c:x val="-1.8312634247687868E-2"/>
                  <c:y val="3.2353913303879135E-2"/>
                </c:manualLayout>
              </c:layout>
              <c:showLegendKey val="0"/>
              <c:showVal val="1"/>
              <c:showCatName val="0"/>
              <c:showSerName val="0"/>
              <c:showPercent val="0"/>
              <c:showBubbleSize val="0"/>
            </c:dLbl>
            <c:dLbl>
              <c:idx val="5"/>
              <c:layout>
                <c:manualLayout>
                  <c:x val="-6.6666968550707556E-2"/>
                  <c:y val="-6.015864148606389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pšenica!$C$1:$H$1</c:f>
              <c:strCache>
                <c:ptCount val="6"/>
                <c:pt idx="0">
                  <c:v>2002/03</c:v>
                </c:pt>
                <c:pt idx="1">
                  <c:v>2007/08</c:v>
                </c:pt>
                <c:pt idx="2">
                  <c:v>2008/09</c:v>
                </c:pt>
                <c:pt idx="3">
                  <c:v>2009/10</c:v>
                </c:pt>
                <c:pt idx="4">
                  <c:v>2010/11</c:v>
                </c:pt>
                <c:pt idx="5">
                  <c:v>2011/12</c:v>
                </c:pt>
              </c:strCache>
            </c:strRef>
          </c:cat>
          <c:val>
            <c:numRef>
              <c:f>pšenica!$C$5:$H$5</c:f>
              <c:numCache>
                <c:formatCode>#,##0.00</c:formatCode>
                <c:ptCount val="6"/>
                <c:pt idx="0" formatCode="General">
                  <c:v>1554.5</c:v>
                </c:pt>
                <c:pt idx="1">
                  <c:v>1379.6</c:v>
                </c:pt>
                <c:pt idx="2">
                  <c:v>1819.5</c:v>
                </c:pt>
                <c:pt idx="3">
                  <c:v>1537.9</c:v>
                </c:pt>
                <c:pt idx="4">
                  <c:v>1185.3</c:v>
                </c:pt>
                <c:pt idx="5">
                  <c:v>1631.1</c:v>
                </c:pt>
              </c:numCache>
            </c:numRef>
          </c:val>
          <c:smooth val="0"/>
        </c:ser>
        <c:dLbls>
          <c:showLegendKey val="0"/>
          <c:showVal val="0"/>
          <c:showCatName val="0"/>
          <c:showSerName val="0"/>
          <c:showPercent val="0"/>
          <c:showBubbleSize val="0"/>
        </c:dLbls>
        <c:marker val="1"/>
        <c:smooth val="0"/>
        <c:axId val="224859648"/>
        <c:axId val="224861184"/>
      </c:lineChart>
      <c:lineChart>
        <c:grouping val="standard"/>
        <c:varyColors val="0"/>
        <c:ser>
          <c:idx val="0"/>
          <c:order val="0"/>
          <c:tx>
            <c:strRef>
              <c:f>pšenica!$A$3:$B$3</c:f>
              <c:strCache>
                <c:ptCount val="1"/>
                <c:pt idx="0">
                  <c:v>Zberová plocha  tis. ha</c:v>
                </c:pt>
              </c:strCache>
            </c:strRef>
          </c:tx>
          <c:dLbls>
            <c:dLbl>
              <c:idx val="0"/>
              <c:layout>
                <c:manualLayout>
                  <c:x val="-4.7839854231807581E-2"/>
                  <c:y val="-4.6269381843737765E-2"/>
                </c:manualLayout>
              </c:layout>
              <c:showLegendKey val="0"/>
              <c:showVal val="1"/>
              <c:showCatName val="0"/>
              <c:showSerName val="0"/>
              <c:showPercent val="0"/>
              <c:showBubbleSize val="0"/>
            </c:dLbl>
            <c:dLbl>
              <c:idx val="1"/>
              <c:layout>
                <c:manualLayout>
                  <c:x val="-8.0400824150465025E-2"/>
                  <c:y val="-1.6154855643044645E-2"/>
                </c:manualLayout>
              </c:layout>
              <c:showLegendKey val="0"/>
              <c:showVal val="1"/>
              <c:showCatName val="0"/>
              <c:showSerName val="0"/>
              <c:showPercent val="0"/>
              <c:showBubbleSize val="0"/>
            </c:dLbl>
            <c:dLbl>
              <c:idx val="2"/>
              <c:layout>
                <c:manualLayout>
                  <c:x val="-4.331263860178465E-2"/>
                  <c:y val="-6.4260367100437893E-2"/>
                </c:manualLayout>
              </c:layout>
              <c:showLegendKey val="0"/>
              <c:showVal val="1"/>
              <c:showCatName val="0"/>
              <c:showSerName val="0"/>
              <c:showPercent val="0"/>
              <c:showBubbleSize val="0"/>
            </c:dLbl>
            <c:dLbl>
              <c:idx val="3"/>
              <c:layout>
                <c:manualLayout>
                  <c:x val="-2.2222222222222251E-2"/>
                  <c:y val="-4.6296296296296335E-2"/>
                </c:manualLayout>
              </c:layout>
              <c:showLegendKey val="0"/>
              <c:showVal val="1"/>
              <c:showCatName val="0"/>
              <c:showSerName val="0"/>
              <c:showPercent val="0"/>
              <c:showBubbleSize val="0"/>
            </c:dLbl>
            <c:dLbl>
              <c:idx val="4"/>
              <c:layout>
                <c:manualLayout>
                  <c:x val="-4.7222222222222283E-2"/>
                  <c:y val="-5.5555555555555483E-2"/>
                </c:manualLayout>
              </c:layout>
              <c:showLegendKey val="0"/>
              <c:showVal val="1"/>
              <c:showCatName val="0"/>
              <c:showSerName val="0"/>
              <c:showPercent val="0"/>
              <c:showBubbleSize val="0"/>
            </c:dLbl>
            <c:dLbl>
              <c:idx val="5"/>
              <c:layout>
                <c:manualLayout>
                  <c:x val="-3.3333333333333444E-2"/>
                  <c:y val="6.01851851851851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pšenica!$C$1:$H$1</c:f>
              <c:strCache>
                <c:ptCount val="6"/>
                <c:pt idx="0">
                  <c:v>2002/03</c:v>
                </c:pt>
                <c:pt idx="1">
                  <c:v>2007/08</c:v>
                </c:pt>
                <c:pt idx="2">
                  <c:v>2008/09</c:v>
                </c:pt>
                <c:pt idx="3">
                  <c:v>2009/10</c:v>
                </c:pt>
                <c:pt idx="4">
                  <c:v>2010/11</c:v>
                </c:pt>
                <c:pt idx="5">
                  <c:v>2011/12</c:v>
                </c:pt>
              </c:strCache>
            </c:strRef>
          </c:cat>
          <c:val>
            <c:numRef>
              <c:f>pšenica!$C$3:$H$3</c:f>
              <c:numCache>
                <c:formatCode>General</c:formatCode>
                <c:ptCount val="6"/>
                <c:pt idx="0">
                  <c:v>405.8</c:v>
                </c:pt>
                <c:pt idx="1">
                  <c:v>360.7</c:v>
                </c:pt>
                <c:pt idx="2">
                  <c:v>373.7</c:v>
                </c:pt>
                <c:pt idx="3">
                  <c:v>379.2</c:v>
                </c:pt>
                <c:pt idx="4">
                  <c:v>342.1</c:v>
                </c:pt>
                <c:pt idx="5">
                  <c:v>362.8</c:v>
                </c:pt>
              </c:numCache>
            </c:numRef>
          </c:val>
          <c:smooth val="0"/>
        </c:ser>
        <c:dLbls>
          <c:showLegendKey val="0"/>
          <c:showVal val="0"/>
          <c:showCatName val="0"/>
          <c:showSerName val="0"/>
          <c:showPercent val="0"/>
          <c:showBubbleSize val="0"/>
        </c:dLbls>
        <c:marker val="1"/>
        <c:smooth val="0"/>
        <c:axId val="224880896"/>
        <c:axId val="224879360"/>
      </c:lineChart>
      <c:catAx>
        <c:axId val="224859648"/>
        <c:scaling>
          <c:orientation val="minMax"/>
        </c:scaling>
        <c:delete val="0"/>
        <c:axPos val="b"/>
        <c:majorTickMark val="out"/>
        <c:minorTickMark val="none"/>
        <c:tickLblPos val="nextTo"/>
        <c:crossAx val="224861184"/>
        <c:crosses val="autoZero"/>
        <c:auto val="1"/>
        <c:lblAlgn val="ctr"/>
        <c:lblOffset val="100"/>
        <c:noMultiLvlLbl val="0"/>
      </c:catAx>
      <c:valAx>
        <c:axId val="224861184"/>
        <c:scaling>
          <c:orientation val="minMax"/>
          <c:min val="1000"/>
        </c:scaling>
        <c:delete val="0"/>
        <c:axPos val="l"/>
        <c:numFmt formatCode="General" sourceLinked="1"/>
        <c:majorTickMark val="out"/>
        <c:minorTickMark val="none"/>
        <c:tickLblPos val="nextTo"/>
        <c:crossAx val="224859648"/>
        <c:crosses val="autoZero"/>
        <c:crossBetween val="between"/>
      </c:valAx>
      <c:valAx>
        <c:axId val="224879360"/>
        <c:scaling>
          <c:orientation val="minMax"/>
          <c:min val="300"/>
        </c:scaling>
        <c:delete val="0"/>
        <c:axPos val="r"/>
        <c:numFmt formatCode="General" sourceLinked="1"/>
        <c:majorTickMark val="out"/>
        <c:minorTickMark val="none"/>
        <c:tickLblPos val="nextTo"/>
        <c:crossAx val="224880896"/>
        <c:crosses val="max"/>
        <c:crossBetween val="between"/>
      </c:valAx>
      <c:catAx>
        <c:axId val="224880896"/>
        <c:scaling>
          <c:orientation val="minMax"/>
        </c:scaling>
        <c:delete val="1"/>
        <c:axPos val="b"/>
        <c:majorTickMark val="out"/>
        <c:minorTickMark val="none"/>
        <c:tickLblPos val="nextTo"/>
        <c:crossAx val="224879360"/>
        <c:crosses val="autoZero"/>
        <c:auto val="1"/>
        <c:lblAlgn val="ctr"/>
        <c:lblOffset val="100"/>
        <c:noMultiLvlLbl val="0"/>
      </c:catAx>
    </c:plotArea>
    <c:legend>
      <c:legendPos val="b"/>
      <c:layout>
        <c:manualLayout>
          <c:xMode val="edge"/>
          <c:yMode val="edge"/>
          <c:x val="0.22950674629506745"/>
          <c:y val="0.89541200229132856"/>
          <c:w val="0.53656270736562617"/>
          <c:h val="0.10458799770867111"/>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6071741032370933E-2"/>
          <c:y val="0.13010425780110821"/>
          <c:w val="0.8209258530183744"/>
          <c:h val="0.64242089530475421"/>
        </c:manualLayout>
      </c:layout>
      <c:lineChart>
        <c:grouping val="standard"/>
        <c:varyColors val="0"/>
        <c:ser>
          <c:idx val="0"/>
          <c:order val="0"/>
          <c:tx>
            <c:strRef>
              <c:f>pšenica!$A$3:$B$3</c:f>
              <c:strCache>
                <c:ptCount val="1"/>
                <c:pt idx="0">
                  <c:v>Zberová plocha  tis. ha</c:v>
                </c:pt>
              </c:strCache>
            </c:strRef>
          </c:tx>
          <c:dLbls>
            <c:dLbl>
              <c:idx val="0"/>
              <c:layout>
                <c:manualLayout>
                  <c:x val="-3.6657723426508602E-2"/>
                  <c:y val="-5.1202158498844345E-2"/>
                </c:manualLayout>
              </c:layout>
              <c:showLegendKey val="0"/>
              <c:showVal val="1"/>
              <c:showCatName val="0"/>
              <c:showSerName val="0"/>
              <c:showPercent val="0"/>
              <c:showBubbleSize val="0"/>
            </c:dLbl>
            <c:dLbl>
              <c:idx val="1"/>
              <c:layout>
                <c:manualLayout>
                  <c:x val="-0.10555555555555562"/>
                  <c:y val="-4.6296296296296346E-3"/>
                </c:manualLayout>
              </c:layout>
              <c:showLegendKey val="0"/>
              <c:showVal val="1"/>
              <c:showCatName val="0"/>
              <c:showSerName val="0"/>
              <c:showPercent val="0"/>
              <c:showBubbleSize val="0"/>
            </c:dLbl>
            <c:dLbl>
              <c:idx val="2"/>
              <c:layout>
                <c:manualLayout>
                  <c:x val="-3.6111111111111149E-2"/>
                  <c:y val="3.8832834684219185E-2"/>
                </c:manualLayout>
              </c:layout>
              <c:showLegendKey val="0"/>
              <c:showVal val="1"/>
              <c:showCatName val="0"/>
              <c:showSerName val="0"/>
              <c:showPercent val="0"/>
              <c:showBubbleSize val="0"/>
            </c:dLbl>
            <c:dLbl>
              <c:idx val="4"/>
              <c:layout>
                <c:manualLayout>
                  <c:x val="-4.5000996932247184E-2"/>
                  <c:y val="-6.9787871665295514E-2"/>
                </c:manualLayout>
              </c:layout>
              <c:showLegendKey val="0"/>
              <c:showVal val="1"/>
              <c:showCatName val="0"/>
              <c:showSerName val="0"/>
              <c:showPercent val="0"/>
              <c:showBubbleSize val="0"/>
            </c:dLbl>
            <c:dLbl>
              <c:idx val="5"/>
              <c:layout>
                <c:manualLayout>
                  <c:x val="-3.333333333333334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pšenica!$C$1:$H$1</c:f>
              <c:strCache>
                <c:ptCount val="6"/>
                <c:pt idx="0">
                  <c:v>2002/03</c:v>
                </c:pt>
                <c:pt idx="1">
                  <c:v>2007/08</c:v>
                </c:pt>
                <c:pt idx="2">
                  <c:v>2008/09</c:v>
                </c:pt>
                <c:pt idx="3">
                  <c:v>2009/10</c:v>
                </c:pt>
                <c:pt idx="4">
                  <c:v>2010/11</c:v>
                </c:pt>
                <c:pt idx="5">
                  <c:v>2011/12</c:v>
                </c:pt>
              </c:strCache>
            </c:strRef>
          </c:cat>
          <c:val>
            <c:numRef>
              <c:f>pšenica!$C$3:$H$3</c:f>
              <c:numCache>
                <c:formatCode>General</c:formatCode>
                <c:ptCount val="6"/>
                <c:pt idx="0">
                  <c:v>405.8</c:v>
                </c:pt>
                <c:pt idx="1">
                  <c:v>360.7</c:v>
                </c:pt>
                <c:pt idx="2">
                  <c:v>373.7</c:v>
                </c:pt>
                <c:pt idx="3">
                  <c:v>379.2</c:v>
                </c:pt>
                <c:pt idx="4">
                  <c:v>342.1</c:v>
                </c:pt>
                <c:pt idx="5">
                  <c:v>362.8</c:v>
                </c:pt>
              </c:numCache>
            </c:numRef>
          </c:val>
          <c:smooth val="0"/>
        </c:ser>
        <c:dLbls>
          <c:showLegendKey val="0"/>
          <c:showVal val="0"/>
          <c:showCatName val="0"/>
          <c:showSerName val="0"/>
          <c:showPercent val="0"/>
          <c:showBubbleSize val="0"/>
        </c:dLbls>
        <c:marker val="1"/>
        <c:smooth val="0"/>
        <c:axId val="224930048"/>
        <c:axId val="224935936"/>
      </c:lineChart>
      <c:lineChart>
        <c:grouping val="standard"/>
        <c:varyColors val="0"/>
        <c:ser>
          <c:idx val="1"/>
          <c:order val="1"/>
          <c:tx>
            <c:strRef>
              <c:f>pšenica!$A$4:$B$4</c:f>
              <c:strCache>
                <c:ptCount val="1"/>
                <c:pt idx="0">
                  <c:v>Hektárová úroda t/ha</c:v>
                </c:pt>
              </c:strCache>
            </c:strRef>
          </c:tx>
          <c:dLbls>
            <c:dLbl>
              <c:idx val="0"/>
              <c:layout>
                <c:manualLayout>
                  <c:x val="-5.2777777777777792E-2"/>
                  <c:y val="5.0925925925925923E-2"/>
                </c:manualLayout>
              </c:layout>
              <c:showLegendKey val="0"/>
              <c:showVal val="1"/>
              <c:showCatName val="0"/>
              <c:showSerName val="0"/>
              <c:showPercent val="0"/>
              <c:showBubbleSize val="0"/>
            </c:dLbl>
            <c:dLbl>
              <c:idx val="1"/>
              <c:layout>
                <c:manualLayout>
                  <c:x val="-4.4444444444444502E-2"/>
                  <c:y val="4.1666666666666664E-2"/>
                </c:manualLayout>
              </c:layout>
              <c:showLegendKey val="0"/>
              <c:showVal val="1"/>
              <c:showCatName val="0"/>
              <c:showSerName val="0"/>
              <c:showPercent val="0"/>
              <c:showBubbleSize val="0"/>
            </c:dLbl>
            <c:dLbl>
              <c:idx val="2"/>
              <c:layout>
                <c:manualLayout>
                  <c:x val="-3.9982203471197596E-2"/>
                  <c:y val="-4.9749921177191792E-2"/>
                </c:manualLayout>
              </c:layout>
              <c:showLegendKey val="0"/>
              <c:showVal val="1"/>
              <c:showCatName val="0"/>
              <c:showSerName val="0"/>
              <c:showPercent val="0"/>
              <c:showBubbleSize val="0"/>
            </c:dLbl>
            <c:dLbl>
              <c:idx val="3"/>
              <c:layout>
                <c:manualLayout>
                  <c:x val="-6.8336851773767929E-2"/>
                  <c:y val="1.5207906172462347E-2"/>
                </c:manualLayout>
              </c:layout>
              <c:showLegendKey val="0"/>
              <c:showVal val="1"/>
              <c:showCatName val="0"/>
              <c:showSerName val="0"/>
              <c:showPercent val="0"/>
              <c:showBubbleSize val="0"/>
            </c:dLbl>
            <c:dLbl>
              <c:idx val="4"/>
              <c:layout>
                <c:manualLayout>
                  <c:x val="-1.0003377073223026E-2"/>
                  <c:y val="1.8653099351988403E-2"/>
                </c:manualLayout>
              </c:layout>
              <c:showLegendKey val="0"/>
              <c:showVal val="1"/>
              <c:showCatName val="0"/>
              <c:showSerName val="0"/>
              <c:showPercent val="0"/>
              <c:showBubbleSize val="0"/>
            </c:dLbl>
            <c:dLbl>
              <c:idx val="5"/>
              <c:layout>
                <c:manualLayout>
                  <c:x val="-4.1666666666666664E-2"/>
                  <c:y val="-5.272044824022199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pšenica!$C$1:$H$1</c:f>
              <c:strCache>
                <c:ptCount val="6"/>
                <c:pt idx="0">
                  <c:v>2002/03</c:v>
                </c:pt>
                <c:pt idx="1">
                  <c:v>2007/08</c:v>
                </c:pt>
                <c:pt idx="2">
                  <c:v>2008/09</c:v>
                </c:pt>
                <c:pt idx="3">
                  <c:v>2009/10</c:v>
                </c:pt>
                <c:pt idx="4">
                  <c:v>2010/11</c:v>
                </c:pt>
                <c:pt idx="5">
                  <c:v>2011/12</c:v>
                </c:pt>
              </c:strCache>
            </c:strRef>
          </c:cat>
          <c:val>
            <c:numRef>
              <c:f>pšenica!$C$4:$H$4</c:f>
              <c:numCache>
                <c:formatCode>0.00</c:formatCode>
                <c:ptCount val="6"/>
                <c:pt idx="0">
                  <c:v>3.8299999999999987</c:v>
                </c:pt>
                <c:pt idx="1">
                  <c:v>3.82</c:v>
                </c:pt>
                <c:pt idx="2">
                  <c:v>4.87</c:v>
                </c:pt>
                <c:pt idx="3">
                  <c:v>4</c:v>
                </c:pt>
                <c:pt idx="4">
                  <c:v>3.46</c:v>
                </c:pt>
                <c:pt idx="5">
                  <c:v>4.5</c:v>
                </c:pt>
              </c:numCache>
            </c:numRef>
          </c:val>
          <c:smooth val="0"/>
        </c:ser>
        <c:dLbls>
          <c:showLegendKey val="0"/>
          <c:showVal val="0"/>
          <c:showCatName val="0"/>
          <c:showSerName val="0"/>
          <c:showPercent val="0"/>
          <c:showBubbleSize val="0"/>
        </c:dLbls>
        <c:marker val="1"/>
        <c:smooth val="0"/>
        <c:axId val="224939008"/>
        <c:axId val="224937472"/>
      </c:lineChart>
      <c:catAx>
        <c:axId val="224930048"/>
        <c:scaling>
          <c:orientation val="minMax"/>
        </c:scaling>
        <c:delete val="0"/>
        <c:axPos val="b"/>
        <c:majorTickMark val="out"/>
        <c:minorTickMark val="none"/>
        <c:tickLblPos val="nextTo"/>
        <c:crossAx val="224935936"/>
        <c:crosses val="autoZero"/>
        <c:auto val="1"/>
        <c:lblAlgn val="ctr"/>
        <c:lblOffset val="100"/>
        <c:noMultiLvlLbl val="0"/>
      </c:catAx>
      <c:valAx>
        <c:axId val="224935936"/>
        <c:scaling>
          <c:orientation val="minMax"/>
          <c:min val="300"/>
        </c:scaling>
        <c:delete val="0"/>
        <c:axPos val="l"/>
        <c:numFmt formatCode="General" sourceLinked="1"/>
        <c:majorTickMark val="out"/>
        <c:minorTickMark val="none"/>
        <c:tickLblPos val="nextTo"/>
        <c:crossAx val="224930048"/>
        <c:crosses val="autoZero"/>
        <c:crossBetween val="between"/>
      </c:valAx>
      <c:valAx>
        <c:axId val="224937472"/>
        <c:scaling>
          <c:orientation val="minMax"/>
          <c:min val="3"/>
        </c:scaling>
        <c:delete val="0"/>
        <c:axPos val="r"/>
        <c:numFmt formatCode="0.00" sourceLinked="1"/>
        <c:majorTickMark val="out"/>
        <c:minorTickMark val="none"/>
        <c:tickLblPos val="nextTo"/>
        <c:crossAx val="224939008"/>
        <c:crosses val="max"/>
        <c:crossBetween val="between"/>
      </c:valAx>
      <c:catAx>
        <c:axId val="224939008"/>
        <c:scaling>
          <c:orientation val="minMax"/>
        </c:scaling>
        <c:delete val="1"/>
        <c:axPos val="b"/>
        <c:majorTickMark val="out"/>
        <c:minorTickMark val="none"/>
        <c:tickLblPos val="nextTo"/>
        <c:crossAx val="224937472"/>
        <c:crosses val="autoZero"/>
        <c:auto val="1"/>
        <c:lblAlgn val="ctr"/>
        <c:lblOffset val="100"/>
        <c:noMultiLvlLbl val="0"/>
      </c:catAx>
    </c:plotArea>
    <c:legend>
      <c:legendPos val="b"/>
      <c:layout>
        <c:manualLayout>
          <c:xMode val="edge"/>
          <c:yMode val="edge"/>
          <c:x val="0.20174585573515891"/>
          <c:y val="0.87861056723902364"/>
          <c:w val="0.59650811362928813"/>
          <c:h val="0.12138943276097644"/>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dLbls>
            <c:dLbl>
              <c:idx val="0"/>
              <c:layout>
                <c:manualLayout>
                  <c:x val="-6.2125582427335284E-2"/>
                  <c:y val="-5.1451672179345861E-2"/>
                </c:manualLayout>
              </c:layout>
              <c:showLegendKey val="0"/>
              <c:showVal val="1"/>
              <c:showCatName val="0"/>
              <c:showSerName val="0"/>
              <c:showPercent val="0"/>
              <c:showBubbleSize val="0"/>
            </c:dLbl>
            <c:dLbl>
              <c:idx val="1"/>
              <c:layout>
                <c:manualLayout>
                  <c:x val="-8.8750832039050653E-3"/>
                  <c:y val="-3.3291718684977191E-2"/>
                </c:manualLayout>
              </c:layout>
              <c:showLegendKey val="0"/>
              <c:showVal val="1"/>
              <c:showCatName val="0"/>
              <c:showSerName val="0"/>
              <c:showPercent val="0"/>
              <c:showBubbleSize val="0"/>
            </c:dLbl>
            <c:dLbl>
              <c:idx val="2"/>
              <c:layout>
                <c:manualLayout>
                  <c:x val="-1.3312587593157555E-2"/>
                  <c:y val="-3.3290104254383578E-2"/>
                </c:manualLayout>
              </c:layout>
              <c:showLegendKey val="0"/>
              <c:showVal val="1"/>
              <c:showCatName val="0"/>
              <c:showSerName val="0"/>
              <c:showPercent val="0"/>
              <c:showBubbleSize val="0"/>
            </c:dLbl>
            <c:dLbl>
              <c:idx val="4"/>
              <c:layout>
                <c:manualLayout>
                  <c:x val="-1.5531352192017147E-2"/>
                  <c:y val="-4.993515638157535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pšenica!$C$27:$H$27</c:f>
              <c:strCache>
                <c:ptCount val="6"/>
                <c:pt idx="0">
                  <c:v>2002/03</c:v>
                </c:pt>
                <c:pt idx="1">
                  <c:v>2007/08</c:v>
                </c:pt>
                <c:pt idx="2">
                  <c:v>2008/09</c:v>
                </c:pt>
                <c:pt idx="3">
                  <c:v>2009/10</c:v>
                </c:pt>
                <c:pt idx="4">
                  <c:v>2010/11</c:v>
                </c:pt>
                <c:pt idx="5">
                  <c:v>2011/12</c:v>
                </c:pt>
              </c:strCache>
            </c:strRef>
          </c:cat>
          <c:val>
            <c:numRef>
              <c:f>pšenica!$C$28:$H$28</c:f>
              <c:numCache>
                <c:formatCode>#,##0.00</c:formatCode>
                <c:ptCount val="6"/>
                <c:pt idx="0">
                  <c:v>108.33333333333326</c:v>
                </c:pt>
                <c:pt idx="1">
                  <c:v>90.81481481481481</c:v>
                </c:pt>
                <c:pt idx="2">
                  <c:v>86.370370370370239</c:v>
                </c:pt>
                <c:pt idx="3">
                  <c:v>80.370370370370225</c:v>
                </c:pt>
                <c:pt idx="4">
                  <c:v>97</c:v>
                </c:pt>
                <c:pt idx="5">
                  <c:v>92.240740740740733</c:v>
                </c:pt>
              </c:numCache>
            </c:numRef>
          </c:val>
          <c:smooth val="0"/>
        </c:ser>
        <c:dLbls>
          <c:showLegendKey val="0"/>
          <c:showVal val="0"/>
          <c:showCatName val="0"/>
          <c:showSerName val="0"/>
          <c:showPercent val="0"/>
          <c:showBubbleSize val="0"/>
        </c:dLbls>
        <c:marker val="1"/>
        <c:smooth val="0"/>
        <c:axId val="224989952"/>
        <c:axId val="224991488"/>
      </c:lineChart>
      <c:catAx>
        <c:axId val="224989952"/>
        <c:scaling>
          <c:orientation val="minMax"/>
        </c:scaling>
        <c:delete val="0"/>
        <c:axPos val="b"/>
        <c:majorTickMark val="out"/>
        <c:minorTickMark val="none"/>
        <c:tickLblPos val="nextTo"/>
        <c:crossAx val="224991488"/>
        <c:crosses val="autoZero"/>
        <c:auto val="1"/>
        <c:lblAlgn val="ctr"/>
        <c:lblOffset val="100"/>
        <c:noMultiLvlLbl val="0"/>
      </c:catAx>
      <c:valAx>
        <c:axId val="224991488"/>
        <c:scaling>
          <c:orientation val="minMax"/>
          <c:min val="75"/>
        </c:scaling>
        <c:delete val="0"/>
        <c:axPos val="l"/>
        <c:numFmt formatCode="#,##0.00" sourceLinked="1"/>
        <c:majorTickMark val="out"/>
        <c:minorTickMark val="none"/>
        <c:tickLblPos val="nextTo"/>
        <c:crossAx val="224989952"/>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pšenica!$S$2</c:f>
              <c:strCache>
                <c:ptCount val="1"/>
                <c:pt idx="0">
                  <c:v>ceny prvovýrobcov</c:v>
                </c:pt>
              </c:strCache>
            </c:strRef>
          </c:tx>
          <c:invertIfNegative val="0"/>
          <c:dLbls>
            <c:showLegendKey val="0"/>
            <c:showVal val="1"/>
            <c:showCatName val="0"/>
            <c:showSerName val="0"/>
            <c:showPercent val="0"/>
            <c:showBubbleSize val="0"/>
            <c:showLeaderLines val="0"/>
          </c:dLbls>
          <c:cat>
            <c:strRef>
              <c:f>pšenica!$T$1:$X$1</c:f>
              <c:strCache>
                <c:ptCount val="5"/>
                <c:pt idx="0">
                  <c:v>2007/08</c:v>
                </c:pt>
                <c:pt idx="1">
                  <c:v>2008/09</c:v>
                </c:pt>
                <c:pt idx="2">
                  <c:v>2009/10</c:v>
                </c:pt>
                <c:pt idx="3">
                  <c:v>2010/11</c:v>
                </c:pt>
                <c:pt idx="4">
                  <c:v>2011/12</c:v>
                </c:pt>
              </c:strCache>
            </c:strRef>
          </c:cat>
          <c:val>
            <c:numRef>
              <c:f>pšenica!$T$2:$X$2</c:f>
              <c:numCache>
                <c:formatCode>0.00</c:formatCode>
                <c:ptCount val="5"/>
                <c:pt idx="0">
                  <c:v>0.18160000000000001</c:v>
                </c:pt>
                <c:pt idx="1">
                  <c:v>0.18887000000000001</c:v>
                </c:pt>
                <c:pt idx="2">
                  <c:v>0.11512000000000008</c:v>
                </c:pt>
                <c:pt idx="3">
                  <c:v>0.14784000000000017</c:v>
                </c:pt>
                <c:pt idx="4">
                  <c:v>0.19683</c:v>
                </c:pt>
              </c:numCache>
            </c:numRef>
          </c:val>
        </c:ser>
        <c:ser>
          <c:idx val="1"/>
          <c:order val="1"/>
          <c:tx>
            <c:strRef>
              <c:f>pšenica!$S$3</c:f>
              <c:strCache>
                <c:ptCount val="1"/>
                <c:pt idx="0">
                  <c:v>ceny spracovateľov</c:v>
                </c:pt>
              </c:strCache>
            </c:strRef>
          </c:tx>
          <c:invertIfNegative val="0"/>
          <c:dLbls>
            <c:showLegendKey val="0"/>
            <c:showVal val="1"/>
            <c:showCatName val="0"/>
            <c:showSerName val="0"/>
            <c:showPercent val="0"/>
            <c:showBubbleSize val="0"/>
            <c:showLeaderLines val="0"/>
          </c:dLbls>
          <c:cat>
            <c:strRef>
              <c:f>pšenica!$T$1:$X$1</c:f>
              <c:strCache>
                <c:ptCount val="5"/>
                <c:pt idx="0">
                  <c:v>2007/08</c:v>
                </c:pt>
                <c:pt idx="1">
                  <c:v>2008/09</c:v>
                </c:pt>
                <c:pt idx="2">
                  <c:v>2009/10</c:v>
                </c:pt>
                <c:pt idx="3">
                  <c:v>2010/11</c:v>
                </c:pt>
                <c:pt idx="4">
                  <c:v>2011/12</c:v>
                </c:pt>
              </c:strCache>
            </c:strRef>
          </c:cat>
          <c:val>
            <c:numRef>
              <c:f>pšenica!$T$3:$X$3</c:f>
              <c:numCache>
                <c:formatCode>0.00</c:formatCode>
                <c:ptCount val="5"/>
                <c:pt idx="0">
                  <c:v>0.24711794265444886</c:v>
                </c:pt>
                <c:pt idx="1">
                  <c:v>0.31096659769435497</c:v>
                </c:pt>
                <c:pt idx="2">
                  <c:v>0.22625000000000001</c:v>
                </c:pt>
                <c:pt idx="3">
                  <c:v>0.22696000000000016</c:v>
                </c:pt>
                <c:pt idx="4">
                  <c:v>0.32038000000000066</c:v>
                </c:pt>
              </c:numCache>
            </c:numRef>
          </c:val>
        </c:ser>
        <c:ser>
          <c:idx val="2"/>
          <c:order val="2"/>
          <c:tx>
            <c:strRef>
              <c:f>pšenica!$S$4</c:f>
              <c:strCache>
                <c:ptCount val="1"/>
                <c:pt idx="0">
                  <c:v>spotrebiteľské ceny</c:v>
                </c:pt>
              </c:strCache>
            </c:strRef>
          </c:tx>
          <c:invertIfNegative val="0"/>
          <c:dLbls>
            <c:showLegendKey val="0"/>
            <c:showVal val="1"/>
            <c:showCatName val="0"/>
            <c:showSerName val="0"/>
            <c:showPercent val="0"/>
            <c:showBubbleSize val="0"/>
            <c:showLeaderLines val="0"/>
          </c:dLbls>
          <c:cat>
            <c:strRef>
              <c:f>pšenica!$T$1:$X$1</c:f>
              <c:strCache>
                <c:ptCount val="5"/>
                <c:pt idx="0">
                  <c:v>2007/08</c:v>
                </c:pt>
                <c:pt idx="1">
                  <c:v>2008/09</c:v>
                </c:pt>
                <c:pt idx="2">
                  <c:v>2009/10</c:v>
                </c:pt>
                <c:pt idx="3">
                  <c:v>2010/11</c:v>
                </c:pt>
                <c:pt idx="4">
                  <c:v>2011/12</c:v>
                </c:pt>
              </c:strCache>
            </c:strRef>
          </c:cat>
          <c:val>
            <c:numRef>
              <c:f>pšenica!$T$4:$X$4</c:f>
              <c:numCache>
                <c:formatCode>0.00</c:formatCode>
                <c:ptCount val="5"/>
                <c:pt idx="0">
                  <c:v>0.33934377771209062</c:v>
                </c:pt>
                <c:pt idx="1">
                  <c:v>0.49890460067715642</c:v>
                </c:pt>
                <c:pt idx="2">
                  <c:v>0.38000000000000039</c:v>
                </c:pt>
                <c:pt idx="3">
                  <c:v>0.33000000000000046</c:v>
                </c:pt>
                <c:pt idx="4">
                  <c:v>0.5</c:v>
                </c:pt>
              </c:numCache>
            </c:numRef>
          </c:val>
        </c:ser>
        <c:dLbls>
          <c:showLegendKey val="0"/>
          <c:showVal val="0"/>
          <c:showCatName val="0"/>
          <c:showSerName val="0"/>
          <c:showPercent val="0"/>
          <c:showBubbleSize val="0"/>
        </c:dLbls>
        <c:gapWidth val="150"/>
        <c:axId val="225035008"/>
        <c:axId val="225036544"/>
      </c:barChart>
      <c:catAx>
        <c:axId val="225035008"/>
        <c:scaling>
          <c:orientation val="minMax"/>
        </c:scaling>
        <c:delete val="0"/>
        <c:axPos val="b"/>
        <c:majorTickMark val="out"/>
        <c:minorTickMark val="none"/>
        <c:tickLblPos val="nextTo"/>
        <c:crossAx val="225036544"/>
        <c:crosses val="autoZero"/>
        <c:auto val="1"/>
        <c:lblAlgn val="ctr"/>
        <c:lblOffset val="100"/>
        <c:noMultiLvlLbl val="0"/>
      </c:catAx>
      <c:valAx>
        <c:axId val="225036544"/>
        <c:scaling>
          <c:orientation val="minMax"/>
        </c:scaling>
        <c:delete val="0"/>
        <c:axPos val="l"/>
        <c:numFmt formatCode="0.00" sourceLinked="1"/>
        <c:majorTickMark val="out"/>
        <c:minorTickMark val="none"/>
        <c:tickLblPos val="nextTo"/>
        <c:crossAx val="225035008"/>
        <c:crosses val="autoZero"/>
        <c:crossBetween val="between"/>
      </c:valAx>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2796401618056"/>
          <c:y val="7.2393172137179121E-2"/>
          <c:w val="0.86279718779448922"/>
          <c:h val="0.6745807695697027"/>
        </c:manualLayout>
      </c:layout>
      <c:lineChart>
        <c:grouping val="standard"/>
        <c:varyColors val="0"/>
        <c:ser>
          <c:idx val="0"/>
          <c:order val="0"/>
          <c:tx>
            <c:strRef>
              <c:f>pšenica!$A$7:$B$7</c:f>
              <c:strCache>
                <c:ptCount val="1"/>
                <c:pt idx="0">
                  <c:v>Index cien prvovýrobcov</c:v>
                </c:pt>
              </c:strCache>
            </c:strRef>
          </c:tx>
          <c:dLbls>
            <c:dLbl>
              <c:idx val="0"/>
              <c:layout>
                <c:manualLayout>
                  <c:x val="-0.1"/>
                  <c:y val="5.5555555555555483E-2"/>
                </c:manualLayout>
              </c:layout>
              <c:showLegendKey val="0"/>
              <c:showVal val="1"/>
              <c:showCatName val="0"/>
              <c:showSerName val="0"/>
              <c:showPercent val="0"/>
              <c:showBubbleSize val="0"/>
            </c:dLbl>
            <c:dLbl>
              <c:idx val="2"/>
              <c:layout>
                <c:manualLayout>
                  <c:x val="-6.666666666666668E-2"/>
                  <c:y val="-5.09259259259259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pšenica!$C$6:$F$6</c:f>
              <c:strCache>
                <c:ptCount val="4"/>
                <c:pt idx="0">
                  <c:v>2008/2007</c:v>
                </c:pt>
                <c:pt idx="1">
                  <c:v>2009/2008</c:v>
                </c:pt>
                <c:pt idx="2">
                  <c:v>2010/2009</c:v>
                </c:pt>
                <c:pt idx="3">
                  <c:v>2011/2010</c:v>
                </c:pt>
              </c:strCache>
            </c:strRef>
          </c:cat>
          <c:val>
            <c:numRef>
              <c:f>pšenica!$C$7:$F$7</c:f>
              <c:numCache>
                <c:formatCode>0.00%</c:formatCode>
                <c:ptCount val="4"/>
                <c:pt idx="0">
                  <c:v>1.0400330396475781</c:v>
                </c:pt>
                <c:pt idx="1">
                  <c:v>0.60951977550696246</c:v>
                </c:pt>
                <c:pt idx="2">
                  <c:v>1.2842251563585823</c:v>
                </c:pt>
                <c:pt idx="3">
                  <c:v>1.3313717532467533</c:v>
                </c:pt>
              </c:numCache>
            </c:numRef>
          </c:val>
          <c:smooth val="0"/>
        </c:ser>
        <c:ser>
          <c:idx val="1"/>
          <c:order val="1"/>
          <c:tx>
            <c:strRef>
              <c:f>pšenica!$A$8:$B$8</c:f>
              <c:strCache>
                <c:ptCount val="1"/>
                <c:pt idx="0">
                  <c:v>Index cien spracovateľov</c:v>
                </c:pt>
              </c:strCache>
            </c:strRef>
          </c:tx>
          <c:dLbls>
            <c:dLbl>
              <c:idx val="0"/>
              <c:layout>
                <c:manualLayout>
                  <c:x val="-0.1"/>
                  <c:y val="-4.1666666666666664E-2"/>
                </c:manualLayout>
              </c:layout>
              <c:showLegendKey val="0"/>
              <c:showVal val="1"/>
              <c:showCatName val="0"/>
              <c:showSerName val="0"/>
              <c:showPercent val="0"/>
              <c:showBubbleSize val="0"/>
            </c:dLbl>
            <c:dLbl>
              <c:idx val="1"/>
              <c:layout>
                <c:manualLayout>
                  <c:x val="-9.7239542368445744E-2"/>
                  <c:y val="-1.9245079648035533E-2"/>
                </c:manualLayout>
              </c:layout>
              <c:showLegendKey val="0"/>
              <c:showVal val="1"/>
              <c:showCatName val="0"/>
              <c:showSerName val="0"/>
              <c:showPercent val="0"/>
              <c:showBubbleSize val="0"/>
            </c:dLbl>
            <c:dLbl>
              <c:idx val="2"/>
              <c:layout>
                <c:manualLayout>
                  <c:x val="-7.5000000000000011E-2"/>
                  <c:y val="-5.0925925925925902E-2"/>
                </c:manualLayout>
              </c:layout>
              <c:showLegendKey val="0"/>
              <c:showVal val="1"/>
              <c:showCatName val="0"/>
              <c:showSerName val="0"/>
              <c:showPercent val="0"/>
              <c:showBubbleSize val="0"/>
            </c:dLbl>
            <c:dLbl>
              <c:idx val="3"/>
              <c:layout>
                <c:manualLayout>
                  <c:x val="-5.5555555555555558E-3"/>
                  <c:y val="-1.388888888888891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pšenica!$C$6:$F$6</c:f>
              <c:strCache>
                <c:ptCount val="4"/>
                <c:pt idx="0">
                  <c:v>2008/2007</c:v>
                </c:pt>
                <c:pt idx="1">
                  <c:v>2009/2008</c:v>
                </c:pt>
                <c:pt idx="2">
                  <c:v>2010/2009</c:v>
                </c:pt>
                <c:pt idx="3">
                  <c:v>2011/2010</c:v>
                </c:pt>
              </c:strCache>
            </c:strRef>
          </c:cat>
          <c:val>
            <c:numRef>
              <c:f>pšenica!$C$8:$F$8</c:f>
              <c:numCache>
                <c:formatCode>0.00%</c:formatCode>
                <c:ptCount val="4"/>
                <c:pt idx="0">
                  <c:v>1.258373205741627</c:v>
                </c:pt>
                <c:pt idx="1">
                  <c:v>0.72757010456273752</c:v>
                </c:pt>
                <c:pt idx="2">
                  <c:v>1.0031381215469621</c:v>
                </c:pt>
                <c:pt idx="3">
                  <c:v>1.4116143813887898</c:v>
                </c:pt>
              </c:numCache>
            </c:numRef>
          </c:val>
          <c:smooth val="0"/>
        </c:ser>
        <c:ser>
          <c:idx val="2"/>
          <c:order val="2"/>
          <c:tx>
            <c:strRef>
              <c:f>pšenica!$A$9:$B$9</c:f>
              <c:strCache>
                <c:ptCount val="1"/>
                <c:pt idx="0">
                  <c:v>Index spotrebiteľských cien</c:v>
                </c:pt>
              </c:strCache>
            </c:strRef>
          </c:tx>
          <c:dLbls>
            <c:dLbl>
              <c:idx val="0"/>
              <c:layout>
                <c:manualLayout>
                  <c:x val="-3.888888888888889E-2"/>
                  <c:y val="-3.2407407407407454E-2"/>
                </c:manualLayout>
              </c:layout>
              <c:showLegendKey val="0"/>
              <c:showVal val="1"/>
              <c:showCatName val="0"/>
              <c:showSerName val="0"/>
              <c:showPercent val="0"/>
              <c:showBubbleSize val="0"/>
            </c:dLbl>
            <c:dLbl>
              <c:idx val="1"/>
              <c:layout>
                <c:manualLayout>
                  <c:x val="-1.7819300316951395E-2"/>
                  <c:y val="-6.4814949164136132E-2"/>
                </c:manualLayout>
              </c:layout>
              <c:showLegendKey val="0"/>
              <c:showVal val="1"/>
              <c:showCatName val="0"/>
              <c:showSerName val="0"/>
              <c:showPercent val="0"/>
              <c:showBubbleSize val="0"/>
            </c:dLbl>
            <c:dLbl>
              <c:idx val="3"/>
              <c:layout>
                <c:manualLayout>
                  <c:x val="-7.5000000000000011E-2"/>
                  <c:y val="-4.629629629629636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pšenica!$C$6:$F$6</c:f>
              <c:strCache>
                <c:ptCount val="4"/>
                <c:pt idx="0">
                  <c:v>2008/2007</c:v>
                </c:pt>
                <c:pt idx="1">
                  <c:v>2009/2008</c:v>
                </c:pt>
                <c:pt idx="2">
                  <c:v>2010/2009</c:v>
                </c:pt>
                <c:pt idx="3">
                  <c:v>2011/2010</c:v>
                </c:pt>
              </c:strCache>
            </c:strRef>
          </c:cat>
          <c:val>
            <c:numRef>
              <c:f>pšenica!$C$9:$F$9</c:f>
              <c:numCache>
                <c:formatCode>0.00%</c:formatCode>
                <c:ptCount val="4"/>
                <c:pt idx="0">
                  <c:v>1.47020406279688</c:v>
                </c:pt>
                <c:pt idx="1">
                  <c:v>0.76166866267465161</c:v>
                </c:pt>
                <c:pt idx="2">
                  <c:v>0.86842105263158087</c:v>
                </c:pt>
                <c:pt idx="3">
                  <c:v>1.5151515151515151</c:v>
                </c:pt>
              </c:numCache>
            </c:numRef>
          </c:val>
          <c:smooth val="0"/>
        </c:ser>
        <c:dLbls>
          <c:showLegendKey val="0"/>
          <c:showVal val="0"/>
          <c:showCatName val="0"/>
          <c:showSerName val="0"/>
          <c:showPercent val="0"/>
          <c:showBubbleSize val="0"/>
        </c:dLbls>
        <c:marker val="1"/>
        <c:smooth val="0"/>
        <c:axId val="225079680"/>
        <c:axId val="225081216"/>
      </c:lineChart>
      <c:catAx>
        <c:axId val="225079680"/>
        <c:scaling>
          <c:orientation val="minMax"/>
        </c:scaling>
        <c:delete val="0"/>
        <c:axPos val="b"/>
        <c:majorTickMark val="out"/>
        <c:minorTickMark val="none"/>
        <c:tickLblPos val="nextTo"/>
        <c:crossAx val="225081216"/>
        <c:crosses val="autoZero"/>
        <c:auto val="1"/>
        <c:lblAlgn val="ctr"/>
        <c:lblOffset val="100"/>
        <c:noMultiLvlLbl val="0"/>
      </c:catAx>
      <c:valAx>
        <c:axId val="225081216"/>
        <c:scaling>
          <c:orientation val="minMax"/>
          <c:min val="0.55000000000000004"/>
        </c:scaling>
        <c:delete val="0"/>
        <c:axPos val="l"/>
        <c:numFmt formatCode="0.00%" sourceLinked="1"/>
        <c:majorTickMark val="out"/>
        <c:minorTickMark val="none"/>
        <c:tickLblPos val="nextTo"/>
        <c:crossAx val="225079680"/>
        <c:crosses val="autoZero"/>
        <c:crossBetween val="between"/>
      </c:valAx>
    </c:plotArea>
    <c:legend>
      <c:legendPos val="b"/>
      <c:layout>
        <c:manualLayout>
          <c:xMode val="edge"/>
          <c:yMode val="edge"/>
          <c:x val="4.9999912646818918E-2"/>
          <c:y val="0.88832012357902268"/>
          <c:w val="0.9"/>
          <c:h val="0.11167987642097733"/>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418744531933508"/>
          <c:y val="0.17592592592592593"/>
          <c:w val="0.80551399825021797"/>
          <c:h val="0.55829975203745963"/>
        </c:manualLayout>
      </c:layout>
      <c:lineChart>
        <c:grouping val="standard"/>
        <c:varyColors val="0"/>
        <c:ser>
          <c:idx val="1"/>
          <c:order val="1"/>
          <c:tx>
            <c:strRef>
              <c:f>raž!$A$5:$B$5</c:f>
              <c:strCache>
                <c:ptCount val="1"/>
                <c:pt idx="0">
                  <c:v>Produkcia  tis. t</c:v>
                </c:pt>
              </c:strCache>
            </c:strRef>
          </c:tx>
          <c:marker>
            <c:symbol val="none"/>
          </c:marker>
          <c:cat>
            <c:strRef>
              <c:f>raž!$C$1:$H$1</c:f>
              <c:strCache>
                <c:ptCount val="6"/>
                <c:pt idx="0">
                  <c:v>2002/2003</c:v>
                </c:pt>
                <c:pt idx="1">
                  <c:v>2007/08</c:v>
                </c:pt>
                <c:pt idx="2">
                  <c:v>2008/09</c:v>
                </c:pt>
                <c:pt idx="3">
                  <c:v>2009/10</c:v>
                </c:pt>
                <c:pt idx="4">
                  <c:v>2010/11</c:v>
                </c:pt>
                <c:pt idx="5">
                  <c:v>2011/12</c:v>
                </c:pt>
              </c:strCache>
            </c:strRef>
          </c:cat>
          <c:val>
            <c:numRef>
              <c:f>raž!$C$5:$H$5</c:f>
              <c:numCache>
                <c:formatCode>0.0</c:formatCode>
                <c:ptCount val="6"/>
                <c:pt idx="0">
                  <c:v>96.5</c:v>
                </c:pt>
                <c:pt idx="1">
                  <c:v>54.4</c:v>
                </c:pt>
                <c:pt idx="2">
                  <c:v>80.3</c:v>
                </c:pt>
                <c:pt idx="3">
                  <c:v>56.9</c:v>
                </c:pt>
                <c:pt idx="4">
                  <c:v>35.5</c:v>
                </c:pt>
                <c:pt idx="5">
                  <c:v>41.2</c:v>
                </c:pt>
              </c:numCache>
            </c:numRef>
          </c:val>
          <c:smooth val="0"/>
        </c:ser>
        <c:dLbls>
          <c:showLegendKey val="0"/>
          <c:showVal val="0"/>
          <c:showCatName val="0"/>
          <c:showSerName val="0"/>
          <c:showPercent val="0"/>
          <c:showBubbleSize val="0"/>
        </c:dLbls>
        <c:marker val="1"/>
        <c:smooth val="0"/>
        <c:axId val="225325056"/>
        <c:axId val="225326592"/>
      </c:lineChart>
      <c:lineChart>
        <c:grouping val="standard"/>
        <c:varyColors val="0"/>
        <c:ser>
          <c:idx val="0"/>
          <c:order val="0"/>
          <c:tx>
            <c:strRef>
              <c:f>raž!$A$3:$B$3</c:f>
              <c:strCache>
                <c:ptCount val="1"/>
                <c:pt idx="0">
                  <c:v>Zberová plocha  tis. ha</c:v>
                </c:pt>
              </c:strCache>
            </c:strRef>
          </c:tx>
          <c:marker>
            <c:symbol val="none"/>
          </c:marker>
          <c:cat>
            <c:strRef>
              <c:f>raž!$C$1:$H$1</c:f>
              <c:strCache>
                <c:ptCount val="6"/>
                <c:pt idx="0">
                  <c:v>2002/2003</c:v>
                </c:pt>
                <c:pt idx="1">
                  <c:v>2007/08</c:v>
                </c:pt>
                <c:pt idx="2">
                  <c:v>2008/09</c:v>
                </c:pt>
                <c:pt idx="3">
                  <c:v>2009/10</c:v>
                </c:pt>
                <c:pt idx="4">
                  <c:v>2010/11</c:v>
                </c:pt>
                <c:pt idx="5">
                  <c:v>2011/12</c:v>
                </c:pt>
              </c:strCache>
            </c:strRef>
          </c:cat>
          <c:val>
            <c:numRef>
              <c:f>raž!$C$3:$H$3</c:f>
              <c:numCache>
                <c:formatCode>0.0</c:formatCode>
                <c:ptCount val="6"/>
                <c:pt idx="0">
                  <c:v>38</c:v>
                </c:pt>
                <c:pt idx="1">
                  <c:v>20.7</c:v>
                </c:pt>
                <c:pt idx="2">
                  <c:v>25.9</c:v>
                </c:pt>
                <c:pt idx="3">
                  <c:v>19.899999999999999</c:v>
                </c:pt>
                <c:pt idx="4">
                  <c:v>15.9</c:v>
                </c:pt>
                <c:pt idx="5">
                  <c:v>13</c:v>
                </c:pt>
              </c:numCache>
            </c:numRef>
          </c:val>
          <c:smooth val="0"/>
        </c:ser>
        <c:dLbls>
          <c:showLegendKey val="0"/>
          <c:showVal val="0"/>
          <c:showCatName val="0"/>
          <c:showSerName val="0"/>
          <c:showPercent val="0"/>
          <c:showBubbleSize val="0"/>
        </c:dLbls>
        <c:marker val="1"/>
        <c:smooth val="0"/>
        <c:axId val="225329920"/>
        <c:axId val="225328128"/>
      </c:lineChart>
      <c:catAx>
        <c:axId val="225325056"/>
        <c:scaling>
          <c:orientation val="minMax"/>
        </c:scaling>
        <c:delete val="0"/>
        <c:axPos val="b"/>
        <c:majorTickMark val="out"/>
        <c:minorTickMark val="none"/>
        <c:tickLblPos val="nextTo"/>
        <c:crossAx val="225326592"/>
        <c:crosses val="autoZero"/>
        <c:auto val="1"/>
        <c:lblAlgn val="ctr"/>
        <c:lblOffset val="100"/>
        <c:noMultiLvlLbl val="0"/>
      </c:catAx>
      <c:valAx>
        <c:axId val="225326592"/>
        <c:scaling>
          <c:orientation val="minMax"/>
        </c:scaling>
        <c:delete val="0"/>
        <c:axPos val="l"/>
        <c:numFmt formatCode="0.0" sourceLinked="1"/>
        <c:majorTickMark val="out"/>
        <c:minorTickMark val="none"/>
        <c:tickLblPos val="nextTo"/>
        <c:crossAx val="225325056"/>
        <c:crosses val="autoZero"/>
        <c:crossBetween val="between"/>
      </c:valAx>
      <c:valAx>
        <c:axId val="225328128"/>
        <c:scaling>
          <c:orientation val="minMax"/>
        </c:scaling>
        <c:delete val="0"/>
        <c:axPos val="r"/>
        <c:numFmt formatCode="0.0" sourceLinked="1"/>
        <c:majorTickMark val="out"/>
        <c:minorTickMark val="none"/>
        <c:tickLblPos val="nextTo"/>
        <c:crossAx val="225329920"/>
        <c:crosses val="max"/>
        <c:crossBetween val="between"/>
      </c:valAx>
      <c:catAx>
        <c:axId val="225329920"/>
        <c:scaling>
          <c:orientation val="minMax"/>
        </c:scaling>
        <c:delete val="1"/>
        <c:axPos val="b"/>
        <c:majorTickMark val="out"/>
        <c:minorTickMark val="none"/>
        <c:tickLblPos val="nextTo"/>
        <c:crossAx val="225328128"/>
        <c:crosses val="autoZero"/>
        <c:auto val="1"/>
        <c:lblAlgn val="ctr"/>
        <c:lblOffset val="100"/>
        <c:noMultiLvlLbl val="0"/>
      </c:catAx>
    </c:plotArea>
    <c:legend>
      <c:legendPos val="b"/>
      <c:layout>
        <c:manualLayout>
          <c:xMode val="edge"/>
          <c:yMode val="edge"/>
          <c:x val="0.16308333333333341"/>
          <c:y val="0.89863057527130852"/>
          <c:w val="0.67383333333333428"/>
          <c:h val="0.10136942472869112"/>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dLbls>
            <c:dLbl>
              <c:idx val="0"/>
              <c:layout>
                <c:manualLayout>
                  <c:x val="-6.2194580186583734E-2"/>
                  <c:y val="-3.8066235249333842E-2"/>
                </c:manualLayout>
              </c:layout>
              <c:showLegendKey val="0"/>
              <c:showVal val="1"/>
              <c:showCatName val="0"/>
              <c:showSerName val="0"/>
              <c:showPercent val="0"/>
              <c:showBubbleSize val="0"/>
            </c:dLbl>
            <c:dLbl>
              <c:idx val="1"/>
              <c:layout>
                <c:manualLayout>
                  <c:x val="-6.945434575009532E-2"/>
                  <c:y val="1.3889014099209281E-2"/>
                </c:manualLayout>
              </c:layout>
              <c:showLegendKey val="0"/>
              <c:showVal val="1"/>
              <c:showCatName val="0"/>
              <c:showSerName val="0"/>
              <c:showPercent val="0"/>
              <c:showBubbleSize val="0"/>
            </c:dLbl>
            <c:dLbl>
              <c:idx val="4"/>
              <c:layout>
                <c:manualLayout>
                  <c:x val="-0.05"/>
                  <c:y val="-6.481481481481490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raž!$L$1:$Q$1</c:f>
              <c:strCache>
                <c:ptCount val="6"/>
                <c:pt idx="0">
                  <c:v>2002/03</c:v>
                </c:pt>
                <c:pt idx="1">
                  <c:v>2007/08</c:v>
                </c:pt>
                <c:pt idx="2">
                  <c:v>2008/09</c:v>
                </c:pt>
                <c:pt idx="3">
                  <c:v>2009/10</c:v>
                </c:pt>
                <c:pt idx="4">
                  <c:v>2010/11</c:v>
                </c:pt>
                <c:pt idx="5">
                  <c:v>2011/12</c:v>
                </c:pt>
              </c:strCache>
            </c:strRef>
          </c:cat>
          <c:val>
            <c:numRef>
              <c:f>raž!$L$2:$Q$2</c:f>
              <c:numCache>
                <c:formatCode>0.00</c:formatCode>
                <c:ptCount val="6"/>
                <c:pt idx="0">
                  <c:v>8.9074074074074066</c:v>
                </c:pt>
                <c:pt idx="1">
                  <c:v>3.9259259259259247</c:v>
                </c:pt>
                <c:pt idx="2">
                  <c:v>4.0740740740740735</c:v>
                </c:pt>
                <c:pt idx="3">
                  <c:v>5.3333333333333401</c:v>
                </c:pt>
                <c:pt idx="4">
                  <c:v>6.4074074074074066</c:v>
                </c:pt>
                <c:pt idx="5">
                  <c:v>6.1111111111111116</c:v>
                </c:pt>
              </c:numCache>
            </c:numRef>
          </c:val>
          <c:smooth val="0"/>
        </c:ser>
        <c:dLbls>
          <c:showLegendKey val="0"/>
          <c:showVal val="0"/>
          <c:showCatName val="0"/>
          <c:showSerName val="0"/>
          <c:showPercent val="0"/>
          <c:showBubbleSize val="0"/>
        </c:dLbls>
        <c:marker val="1"/>
        <c:smooth val="0"/>
        <c:axId val="225355264"/>
        <c:axId val="225356800"/>
      </c:lineChart>
      <c:catAx>
        <c:axId val="225355264"/>
        <c:scaling>
          <c:orientation val="minMax"/>
        </c:scaling>
        <c:delete val="0"/>
        <c:axPos val="b"/>
        <c:majorTickMark val="out"/>
        <c:minorTickMark val="none"/>
        <c:tickLblPos val="nextTo"/>
        <c:crossAx val="225356800"/>
        <c:crosses val="autoZero"/>
        <c:auto val="1"/>
        <c:lblAlgn val="ctr"/>
        <c:lblOffset val="100"/>
        <c:noMultiLvlLbl val="0"/>
      </c:catAx>
      <c:valAx>
        <c:axId val="225356800"/>
        <c:scaling>
          <c:orientation val="minMax"/>
          <c:min val="3"/>
        </c:scaling>
        <c:delete val="0"/>
        <c:axPos val="l"/>
        <c:numFmt formatCode="0.00" sourceLinked="1"/>
        <c:majorTickMark val="out"/>
        <c:minorTickMark val="none"/>
        <c:tickLblPos val="nextTo"/>
        <c:crossAx val="225355264"/>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0298556430446208E-2"/>
          <c:y val="5.0925925925925923E-2"/>
          <c:w val="0.8791458880139994"/>
          <c:h val="0.74041527125227569"/>
        </c:manualLayout>
      </c:layout>
      <c:barChart>
        <c:barDir val="col"/>
        <c:grouping val="clustered"/>
        <c:varyColors val="0"/>
        <c:ser>
          <c:idx val="0"/>
          <c:order val="0"/>
          <c:tx>
            <c:strRef>
              <c:f>raž!$A$2</c:f>
              <c:strCache>
                <c:ptCount val="1"/>
                <c:pt idx="0">
                  <c:v>ceny prvovýrobcov</c:v>
                </c:pt>
              </c:strCache>
            </c:strRef>
          </c:tx>
          <c:spPr>
            <a:solidFill>
              <a:schemeClr val="bg1">
                <a:lumMod val="85000"/>
              </a:schemeClr>
            </a:solidFill>
          </c:spPr>
          <c:invertIfNegative val="0"/>
          <c:dLbls>
            <c:dLbl>
              <c:idx val="1"/>
              <c:layout>
                <c:manualLayout>
                  <c:x val="-1.1111111111111125E-2"/>
                  <c:y val="0"/>
                </c:manualLayout>
              </c:layout>
              <c:showLegendKey val="0"/>
              <c:showVal val="1"/>
              <c:showCatName val="0"/>
              <c:showSerName val="0"/>
              <c:showPercent val="0"/>
              <c:showBubbleSize val="0"/>
            </c:dLbl>
            <c:dLbl>
              <c:idx val="2"/>
              <c:layout>
                <c:manualLayout>
                  <c:x val="0"/>
                  <c:y val="1.851851851851853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raž!$B$1:$F$1</c:f>
              <c:strCache>
                <c:ptCount val="5"/>
                <c:pt idx="0">
                  <c:v>2007/08</c:v>
                </c:pt>
                <c:pt idx="1">
                  <c:v>2008/09</c:v>
                </c:pt>
                <c:pt idx="2">
                  <c:v>2009/10</c:v>
                </c:pt>
                <c:pt idx="3">
                  <c:v>2010/11</c:v>
                </c:pt>
                <c:pt idx="4">
                  <c:v>2011/12</c:v>
                </c:pt>
              </c:strCache>
            </c:strRef>
          </c:cat>
          <c:val>
            <c:numRef>
              <c:f>raž!$B$2:$F$2</c:f>
              <c:numCache>
                <c:formatCode>0.00</c:formatCode>
                <c:ptCount val="5"/>
                <c:pt idx="0">
                  <c:v>0.17888000000000001</c:v>
                </c:pt>
                <c:pt idx="1">
                  <c:v>0.17555999999999999</c:v>
                </c:pt>
                <c:pt idx="2">
                  <c:v>0.11683</c:v>
                </c:pt>
                <c:pt idx="3">
                  <c:v>0.11398999999999988</c:v>
                </c:pt>
                <c:pt idx="4">
                  <c:v>0.19481000000000001</c:v>
                </c:pt>
              </c:numCache>
            </c:numRef>
          </c:val>
        </c:ser>
        <c:ser>
          <c:idx val="1"/>
          <c:order val="1"/>
          <c:tx>
            <c:strRef>
              <c:f>raž!$A$3</c:f>
              <c:strCache>
                <c:ptCount val="1"/>
                <c:pt idx="0">
                  <c:v>ceny spracovateľov</c:v>
                </c:pt>
              </c:strCache>
            </c:strRef>
          </c:tx>
          <c:spPr>
            <a:solidFill>
              <a:schemeClr val="bg1">
                <a:lumMod val="65000"/>
              </a:schemeClr>
            </a:solidFill>
          </c:spPr>
          <c:invertIfNegative val="0"/>
          <c:dLbls>
            <c:dLbl>
              <c:idx val="0"/>
              <c:layout>
                <c:manualLayout>
                  <c:x val="8.3333333333333367E-3"/>
                  <c:y val="9.2592592592592639E-3"/>
                </c:manualLayout>
              </c:layout>
              <c:showLegendKey val="0"/>
              <c:showVal val="1"/>
              <c:showCatName val="0"/>
              <c:showSerName val="0"/>
              <c:showPercent val="0"/>
              <c:showBubbleSize val="0"/>
            </c:dLbl>
            <c:dLbl>
              <c:idx val="2"/>
              <c:layout>
                <c:manualLayout>
                  <c:x val="8.3333333333333367E-3"/>
                  <c:y val="2.7777777777777842E-2"/>
                </c:manualLayout>
              </c:layout>
              <c:showLegendKey val="0"/>
              <c:showVal val="1"/>
              <c:showCatName val="0"/>
              <c:showSerName val="0"/>
              <c:showPercent val="0"/>
              <c:showBubbleSize val="0"/>
            </c:dLbl>
            <c:dLbl>
              <c:idx val="3"/>
              <c:layout>
                <c:manualLayout>
                  <c:x val="0"/>
                  <c:y val="1.388888888888891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raž!$B$1:$F$1</c:f>
              <c:strCache>
                <c:ptCount val="5"/>
                <c:pt idx="0">
                  <c:v>2007/08</c:v>
                </c:pt>
                <c:pt idx="1">
                  <c:v>2008/09</c:v>
                </c:pt>
                <c:pt idx="2">
                  <c:v>2009/10</c:v>
                </c:pt>
                <c:pt idx="3">
                  <c:v>2010/11</c:v>
                </c:pt>
                <c:pt idx="4">
                  <c:v>2011/12</c:v>
                </c:pt>
              </c:strCache>
            </c:strRef>
          </c:cat>
          <c:val>
            <c:numRef>
              <c:f>raž!$B$3:$F$3</c:f>
              <c:numCache>
                <c:formatCode>0.00</c:formatCode>
                <c:ptCount val="5"/>
                <c:pt idx="0">
                  <c:v>0.17334320000000017</c:v>
                </c:pt>
                <c:pt idx="1">
                  <c:v>0.21688910000000017</c:v>
                </c:pt>
                <c:pt idx="2">
                  <c:v>9.9940000000000043E-2</c:v>
                </c:pt>
                <c:pt idx="3">
                  <c:v>0.14675000000000016</c:v>
                </c:pt>
                <c:pt idx="4">
                  <c:v>0.21155000000000004</c:v>
                </c:pt>
              </c:numCache>
            </c:numRef>
          </c:val>
        </c:ser>
        <c:dLbls>
          <c:showLegendKey val="0"/>
          <c:showVal val="0"/>
          <c:showCatName val="0"/>
          <c:showSerName val="0"/>
          <c:showPercent val="0"/>
          <c:showBubbleSize val="0"/>
        </c:dLbls>
        <c:gapWidth val="150"/>
        <c:axId val="218977408"/>
        <c:axId val="218978944"/>
      </c:barChart>
      <c:lineChart>
        <c:grouping val="standard"/>
        <c:varyColors val="0"/>
        <c:ser>
          <c:idx val="2"/>
          <c:order val="2"/>
          <c:tx>
            <c:strRef>
              <c:f>raž!$A$11</c:f>
              <c:strCache>
                <c:ptCount val="1"/>
                <c:pt idx="0">
                  <c:v>vlastné náklady prvovýrobcov na 1 kg produkcie</c:v>
                </c:pt>
              </c:strCache>
            </c:strRef>
          </c:tx>
          <c:spPr>
            <a:ln>
              <a:solidFill>
                <a:schemeClr val="tx1"/>
              </a:solidFill>
            </a:ln>
          </c:spPr>
          <c:marker>
            <c:symbol val="none"/>
          </c:marker>
          <c:val>
            <c:numRef>
              <c:f>raž!$B$11:$F$11</c:f>
              <c:numCache>
                <c:formatCode>0.00</c:formatCode>
                <c:ptCount val="5"/>
                <c:pt idx="0">
                  <c:v>0.15402370000000001</c:v>
                </c:pt>
                <c:pt idx="1">
                  <c:v>0.18402710000000017</c:v>
                </c:pt>
                <c:pt idx="2">
                  <c:v>0.19869000000000001</c:v>
                </c:pt>
                <c:pt idx="3">
                  <c:v>0.18378000000000017</c:v>
                </c:pt>
                <c:pt idx="4">
                  <c:v>0.17083000000000001</c:v>
                </c:pt>
              </c:numCache>
            </c:numRef>
          </c:val>
          <c:smooth val="0"/>
        </c:ser>
        <c:dLbls>
          <c:showLegendKey val="0"/>
          <c:showVal val="0"/>
          <c:showCatName val="0"/>
          <c:showSerName val="0"/>
          <c:showPercent val="0"/>
          <c:showBubbleSize val="0"/>
        </c:dLbls>
        <c:marker val="1"/>
        <c:smooth val="0"/>
        <c:axId val="218977408"/>
        <c:axId val="218978944"/>
      </c:lineChart>
      <c:catAx>
        <c:axId val="218977408"/>
        <c:scaling>
          <c:orientation val="minMax"/>
        </c:scaling>
        <c:delete val="0"/>
        <c:axPos val="b"/>
        <c:majorTickMark val="out"/>
        <c:minorTickMark val="none"/>
        <c:tickLblPos val="nextTo"/>
        <c:crossAx val="218978944"/>
        <c:crosses val="autoZero"/>
        <c:auto val="1"/>
        <c:lblAlgn val="ctr"/>
        <c:lblOffset val="100"/>
        <c:noMultiLvlLbl val="0"/>
      </c:catAx>
      <c:valAx>
        <c:axId val="218978944"/>
        <c:scaling>
          <c:orientation val="minMax"/>
        </c:scaling>
        <c:delete val="0"/>
        <c:axPos val="l"/>
        <c:numFmt formatCode="0.00" sourceLinked="1"/>
        <c:majorTickMark val="out"/>
        <c:minorTickMark val="none"/>
        <c:tickLblPos val="nextTo"/>
        <c:crossAx val="218977408"/>
        <c:crosses val="autoZero"/>
        <c:crossBetween val="between"/>
      </c:valAx>
    </c:plotArea>
    <c:legend>
      <c:legendPos val="b"/>
      <c:layout>
        <c:manualLayout>
          <c:xMode val="edge"/>
          <c:yMode val="edge"/>
          <c:x val="2.0111111111111135E-2"/>
          <c:y val="0.90346482133998196"/>
          <c:w val="0.95422222222222219"/>
          <c:h val="9.6535200059429296E-2"/>
        </c:manualLayout>
      </c:layout>
      <c:overlay val="0"/>
      <c:txPr>
        <a:bodyPr/>
        <a:lstStyle/>
        <a:p>
          <a:pPr>
            <a:defRPr sz="900" baseline="0"/>
          </a:pPr>
          <a:endParaRPr lang="sk-SK"/>
        </a:p>
      </c:txPr>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v>Zberová plocha v tis. ha</c:v>
          </c:tx>
          <c:dLbls>
            <c:dLbl>
              <c:idx val="0"/>
              <c:layout>
                <c:manualLayout>
                  <c:x val="-3.333333333333334E-2"/>
                  <c:y val="-3.2407407407407454E-2"/>
                </c:manualLayout>
              </c:layout>
              <c:showLegendKey val="0"/>
              <c:showVal val="1"/>
              <c:showCatName val="0"/>
              <c:showSerName val="0"/>
              <c:showPercent val="0"/>
              <c:showBubbleSize val="0"/>
            </c:dLbl>
            <c:dLbl>
              <c:idx val="1"/>
              <c:layout>
                <c:manualLayout>
                  <c:x val="-6.666666666666668E-2"/>
                  <c:y val="4.1666666666666664E-2"/>
                </c:manualLayout>
              </c:layout>
              <c:showLegendKey val="0"/>
              <c:showVal val="1"/>
              <c:showCatName val="0"/>
              <c:showSerName val="0"/>
              <c:showPercent val="0"/>
              <c:showBubbleSize val="0"/>
            </c:dLbl>
            <c:dLbl>
              <c:idx val="2"/>
              <c:layout>
                <c:manualLayout>
                  <c:x val="-6.9444444444444503E-2"/>
                  <c:y val="4.1666666666666664E-2"/>
                </c:manualLayout>
              </c:layout>
              <c:showLegendKey val="0"/>
              <c:showVal val="1"/>
              <c:showCatName val="0"/>
              <c:showSerName val="0"/>
              <c:showPercent val="0"/>
              <c:showBubbleSize val="0"/>
            </c:dLbl>
            <c:dLbl>
              <c:idx val="3"/>
              <c:layout>
                <c:manualLayout>
                  <c:x val="-8.0555555555555727E-2"/>
                  <c:y val="1.3888888888888827E-2"/>
                </c:manualLayout>
              </c:layout>
              <c:showLegendKey val="0"/>
              <c:showVal val="1"/>
              <c:showCatName val="0"/>
              <c:showSerName val="0"/>
              <c:showPercent val="0"/>
              <c:showBubbleSize val="0"/>
            </c:dLbl>
            <c:dLbl>
              <c:idx val="4"/>
              <c:delete val="1"/>
            </c:dLbl>
            <c:dLbl>
              <c:idx val="5"/>
              <c:layout>
                <c:manualLayout>
                  <c:x val="-4.1666666666666664E-2"/>
                  <c:y val="-5.09259259259259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zemiaky!$C$2:$H$2</c:f>
              <c:strCache>
                <c:ptCount val="6"/>
                <c:pt idx="0">
                  <c:v>2002/03</c:v>
                </c:pt>
                <c:pt idx="1">
                  <c:v>2007/08</c:v>
                </c:pt>
                <c:pt idx="2">
                  <c:v>2008/09</c:v>
                </c:pt>
                <c:pt idx="3">
                  <c:v>2009/10</c:v>
                </c:pt>
                <c:pt idx="4">
                  <c:v>2010/11</c:v>
                </c:pt>
                <c:pt idx="5">
                  <c:v>2011/12</c:v>
                </c:pt>
              </c:strCache>
            </c:strRef>
          </c:cat>
          <c:val>
            <c:numRef>
              <c:f>zemiaky!$C$3:$H$3</c:f>
              <c:numCache>
                <c:formatCode>General</c:formatCode>
                <c:ptCount val="6"/>
                <c:pt idx="0">
                  <c:v>26.1</c:v>
                </c:pt>
                <c:pt idx="1">
                  <c:v>17.8</c:v>
                </c:pt>
                <c:pt idx="2">
                  <c:v>14.3</c:v>
                </c:pt>
                <c:pt idx="3">
                  <c:v>11.6</c:v>
                </c:pt>
                <c:pt idx="4">
                  <c:v>10.9</c:v>
                </c:pt>
                <c:pt idx="5">
                  <c:v>10.4</c:v>
                </c:pt>
              </c:numCache>
            </c:numRef>
          </c:val>
          <c:smooth val="0"/>
        </c:ser>
        <c:dLbls>
          <c:showLegendKey val="0"/>
          <c:showVal val="0"/>
          <c:showCatName val="0"/>
          <c:showSerName val="0"/>
          <c:showPercent val="0"/>
          <c:showBubbleSize val="0"/>
        </c:dLbls>
        <c:marker val="1"/>
        <c:smooth val="0"/>
        <c:axId val="225379840"/>
        <c:axId val="225381376"/>
      </c:lineChart>
      <c:lineChart>
        <c:grouping val="standard"/>
        <c:varyColors val="0"/>
        <c:ser>
          <c:idx val="1"/>
          <c:order val="1"/>
          <c:tx>
            <c:v>Hektárová úroda v t/ha</c:v>
          </c:tx>
          <c:dLbls>
            <c:dLbl>
              <c:idx val="0"/>
              <c:layout>
                <c:manualLayout>
                  <c:x val="-6.666666666666668E-2"/>
                  <c:y val="6.4814814814814908E-2"/>
                </c:manualLayout>
              </c:layout>
              <c:showLegendKey val="0"/>
              <c:showVal val="1"/>
              <c:showCatName val="0"/>
              <c:showSerName val="0"/>
              <c:showPercent val="0"/>
              <c:showBubbleSize val="0"/>
            </c:dLbl>
            <c:dLbl>
              <c:idx val="1"/>
              <c:layout>
                <c:manualLayout>
                  <c:x val="-3.0555555555555579E-2"/>
                  <c:y val="-6.4814814814814853E-2"/>
                </c:manualLayout>
              </c:layout>
              <c:showLegendKey val="0"/>
              <c:showVal val="1"/>
              <c:showCatName val="0"/>
              <c:showSerName val="0"/>
              <c:showPercent val="0"/>
              <c:showBubbleSize val="0"/>
            </c:dLbl>
            <c:dLbl>
              <c:idx val="3"/>
              <c:layout>
                <c:manualLayout>
                  <c:x val="-2.8609154929577552E-2"/>
                  <c:y val="-3.6344755970924202E-2"/>
                </c:manualLayout>
              </c:layout>
              <c:showLegendKey val="0"/>
              <c:showVal val="1"/>
              <c:showCatName val="0"/>
              <c:showSerName val="0"/>
              <c:showPercent val="0"/>
              <c:showBubbleSize val="0"/>
            </c:dLbl>
            <c:dLbl>
              <c:idx val="4"/>
              <c:layout>
                <c:manualLayout>
                  <c:x val="-4.4444444444444502E-2"/>
                  <c:y val="-6.0185185185185147E-2"/>
                </c:manualLayout>
              </c:layout>
              <c:showLegendKey val="0"/>
              <c:showVal val="1"/>
              <c:showCatName val="0"/>
              <c:showSerName val="0"/>
              <c:showPercent val="0"/>
              <c:showBubbleSize val="0"/>
            </c:dLbl>
            <c:dLbl>
              <c:idx val="5"/>
              <c:layout>
                <c:manualLayout>
                  <c:x val="-3.1778169014084506E-2"/>
                  <c:y val="-4.097431746265360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zemiaky!$C$2:$H$2</c:f>
              <c:strCache>
                <c:ptCount val="6"/>
                <c:pt idx="0">
                  <c:v>2002/03</c:v>
                </c:pt>
                <c:pt idx="1">
                  <c:v>2007/08</c:v>
                </c:pt>
                <c:pt idx="2">
                  <c:v>2008/09</c:v>
                </c:pt>
                <c:pt idx="3">
                  <c:v>2009/10</c:v>
                </c:pt>
                <c:pt idx="4">
                  <c:v>2010/11</c:v>
                </c:pt>
                <c:pt idx="5">
                  <c:v>2011/12</c:v>
                </c:pt>
              </c:strCache>
            </c:strRef>
          </c:cat>
          <c:val>
            <c:numRef>
              <c:f>zemiaky!$C$4:$H$4</c:f>
              <c:numCache>
                <c:formatCode>General</c:formatCode>
                <c:ptCount val="6"/>
                <c:pt idx="0">
                  <c:v>18.600000000000001</c:v>
                </c:pt>
                <c:pt idx="1">
                  <c:v>16.2</c:v>
                </c:pt>
                <c:pt idx="2">
                  <c:v>17.2</c:v>
                </c:pt>
                <c:pt idx="3">
                  <c:v>18.600000000000001</c:v>
                </c:pt>
                <c:pt idx="4">
                  <c:v>11.5</c:v>
                </c:pt>
                <c:pt idx="5">
                  <c:v>20.9</c:v>
                </c:pt>
              </c:numCache>
            </c:numRef>
          </c:val>
          <c:smooth val="0"/>
        </c:ser>
        <c:dLbls>
          <c:showLegendKey val="0"/>
          <c:showVal val="0"/>
          <c:showCatName val="0"/>
          <c:showSerName val="0"/>
          <c:showPercent val="0"/>
          <c:showBubbleSize val="0"/>
        </c:dLbls>
        <c:marker val="1"/>
        <c:smooth val="0"/>
        <c:axId val="225392896"/>
        <c:axId val="225391360"/>
      </c:lineChart>
      <c:catAx>
        <c:axId val="225379840"/>
        <c:scaling>
          <c:orientation val="minMax"/>
        </c:scaling>
        <c:delete val="0"/>
        <c:axPos val="b"/>
        <c:majorTickMark val="out"/>
        <c:minorTickMark val="none"/>
        <c:tickLblPos val="nextTo"/>
        <c:crossAx val="225381376"/>
        <c:crosses val="autoZero"/>
        <c:auto val="1"/>
        <c:lblAlgn val="ctr"/>
        <c:lblOffset val="100"/>
        <c:noMultiLvlLbl val="0"/>
      </c:catAx>
      <c:valAx>
        <c:axId val="225381376"/>
        <c:scaling>
          <c:orientation val="minMax"/>
          <c:min val="10"/>
        </c:scaling>
        <c:delete val="0"/>
        <c:axPos val="l"/>
        <c:numFmt formatCode="General" sourceLinked="1"/>
        <c:majorTickMark val="out"/>
        <c:minorTickMark val="none"/>
        <c:tickLblPos val="nextTo"/>
        <c:crossAx val="225379840"/>
        <c:crosses val="autoZero"/>
        <c:crossBetween val="between"/>
      </c:valAx>
      <c:valAx>
        <c:axId val="225391360"/>
        <c:scaling>
          <c:orientation val="minMax"/>
          <c:min val="10"/>
        </c:scaling>
        <c:delete val="0"/>
        <c:axPos val="r"/>
        <c:numFmt formatCode="General" sourceLinked="1"/>
        <c:majorTickMark val="out"/>
        <c:minorTickMark val="none"/>
        <c:tickLblPos val="nextTo"/>
        <c:crossAx val="225392896"/>
        <c:crosses val="max"/>
        <c:crossBetween val="between"/>
      </c:valAx>
      <c:catAx>
        <c:axId val="225392896"/>
        <c:scaling>
          <c:orientation val="minMax"/>
        </c:scaling>
        <c:delete val="1"/>
        <c:axPos val="b"/>
        <c:majorTickMark val="out"/>
        <c:minorTickMark val="none"/>
        <c:tickLblPos val="nextTo"/>
        <c:crossAx val="225391360"/>
        <c:crosses val="autoZero"/>
        <c:auto val="1"/>
        <c:lblAlgn val="ctr"/>
        <c:lblOffset val="100"/>
        <c:noMultiLvlLbl val="0"/>
      </c:catAx>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6720316272103073E-2"/>
          <c:y val="7.4224021592442721E-2"/>
          <c:w val="0.89917273654402663"/>
          <c:h val="0.69987036033451355"/>
        </c:manualLayout>
      </c:layout>
      <c:barChart>
        <c:barDir val="col"/>
        <c:grouping val="clustered"/>
        <c:varyColors val="0"/>
        <c:ser>
          <c:idx val="0"/>
          <c:order val="0"/>
          <c:tx>
            <c:strRef>
              <c:f>zemiaky!$A$3</c:f>
              <c:strCache>
                <c:ptCount val="1"/>
                <c:pt idx="0">
                  <c:v>Ceny prvovýrobcov</c:v>
                </c:pt>
              </c:strCache>
            </c:strRef>
          </c:tx>
          <c:invertIfNegative val="0"/>
          <c:dLbls>
            <c:showLegendKey val="0"/>
            <c:showVal val="1"/>
            <c:showCatName val="0"/>
            <c:showSerName val="0"/>
            <c:showPercent val="0"/>
            <c:showBubbleSize val="0"/>
            <c:showLeaderLines val="0"/>
          </c:dLbls>
          <c:cat>
            <c:numRef>
              <c:f>zemiaky!$B$2:$F$2</c:f>
              <c:numCache>
                <c:formatCode>General</c:formatCode>
                <c:ptCount val="5"/>
                <c:pt idx="0">
                  <c:v>2007</c:v>
                </c:pt>
                <c:pt idx="1">
                  <c:v>2008</c:v>
                </c:pt>
                <c:pt idx="2">
                  <c:v>2009</c:v>
                </c:pt>
                <c:pt idx="3">
                  <c:v>2010</c:v>
                </c:pt>
                <c:pt idx="4">
                  <c:v>2011</c:v>
                </c:pt>
              </c:numCache>
            </c:numRef>
          </c:cat>
          <c:val>
            <c:numRef>
              <c:f>zemiaky!$B$3:$F$3</c:f>
              <c:numCache>
                <c:formatCode>0.00_)</c:formatCode>
                <c:ptCount val="5"/>
                <c:pt idx="0">
                  <c:v>0.29160000000000008</c:v>
                </c:pt>
                <c:pt idx="1">
                  <c:v>0.31550000000000034</c:v>
                </c:pt>
                <c:pt idx="2">
                  <c:v>0.28770000000000001</c:v>
                </c:pt>
                <c:pt idx="3">
                  <c:v>0.32142000000000054</c:v>
                </c:pt>
                <c:pt idx="4">
                  <c:v>0.31394000000000033</c:v>
                </c:pt>
              </c:numCache>
            </c:numRef>
          </c:val>
        </c:ser>
        <c:ser>
          <c:idx val="1"/>
          <c:order val="1"/>
          <c:tx>
            <c:strRef>
              <c:f>zemiaky!$A$4</c:f>
              <c:strCache>
                <c:ptCount val="1"/>
                <c:pt idx="0">
                  <c:v>Spotrebiteľské ceny</c:v>
                </c:pt>
              </c:strCache>
            </c:strRef>
          </c:tx>
          <c:invertIfNegative val="0"/>
          <c:dLbls>
            <c:showLegendKey val="0"/>
            <c:showVal val="1"/>
            <c:showCatName val="0"/>
            <c:showSerName val="0"/>
            <c:showPercent val="0"/>
            <c:showBubbleSize val="0"/>
            <c:showLeaderLines val="0"/>
          </c:dLbls>
          <c:cat>
            <c:numRef>
              <c:f>zemiaky!$B$2:$F$2</c:f>
              <c:numCache>
                <c:formatCode>General</c:formatCode>
                <c:ptCount val="5"/>
                <c:pt idx="0">
                  <c:v>2007</c:v>
                </c:pt>
                <c:pt idx="1">
                  <c:v>2008</c:v>
                </c:pt>
                <c:pt idx="2">
                  <c:v>2009</c:v>
                </c:pt>
                <c:pt idx="3">
                  <c:v>2010</c:v>
                </c:pt>
                <c:pt idx="4">
                  <c:v>2011</c:v>
                </c:pt>
              </c:numCache>
            </c:numRef>
          </c:cat>
          <c:val>
            <c:numRef>
              <c:f>zemiaky!$B$4:$F$4</c:f>
              <c:numCache>
                <c:formatCode>0.00_)</c:formatCode>
                <c:ptCount val="5"/>
                <c:pt idx="0">
                  <c:v>0.46440000000000031</c:v>
                </c:pt>
                <c:pt idx="1">
                  <c:v>0.43480000000000046</c:v>
                </c:pt>
                <c:pt idx="2">
                  <c:v>0.38000000000000039</c:v>
                </c:pt>
                <c:pt idx="3">
                  <c:v>0.56999999999999995</c:v>
                </c:pt>
                <c:pt idx="4">
                  <c:v>0.45</c:v>
                </c:pt>
              </c:numCache>
            </c:numRef>
          </c:val>
        </c:ser>
        <c:dLbls>
          <c:showLegendKey val="0"/>
          <c:showVal val="0"/>
          <c:showCatName val="0"/>
          <c:showSerName val="0"/>
          <c:showPercent val="0"/>
          <c:showBubbleSize val="0"/>
        </c:dLbls>
        <c:gapWidth val="150"/>
        <c:axId val="225439744"/>
        <c:axId val="225441280"/>
      </c:barChart>
      <c:catAx>
        <c:axId val="225439744"/>
        <c:scaling>
          <c:orientation val="minMax"/>
        </c:scaling>
        <c:delete val="0"/>
        <c:axPos val="b"/>
        <c:numFmt formatCode="General" sourceLinked="1"/>
        <c:majorTickMark val="out"/>
        <c:minorTickMark val="none"/>
        <c:tickLblPos val="nextTo"/>
        <c:crossAx val="225441280"/>
        <c:crosses val="autoZero"/>
        <c:auto val="1"/>
        <c:lblAlgn val="ctr"/>
        <c:lblOffset val="100"/>
        <c:noMultiLvlLbl val="0"/>
      </c:catAx>
      <c:valAx>
        <c:axId val="225441280"/>
        <c:scaling>
          <c:orientation val="minMax"/>
        </c:scaling>
        <c:delete val="0"/>
        <c:axPos val="l"/>
        <c:numFmt formatCode="0.00_)" sourceLinked="1"/>
        <c:majorTickMark val="out"/>
        <c:minorTickMark val="none"/>
        <c:tickLblPos val="nextTo"/>
        <c:crossAx val="225439744"/>
        <c:crosses val="autoZero"/>
        <c:crossBetween val="between"/>
      </c:valAx>
    </c:plotArea>
    <c:legend>
      <c:legendPos val="b"/>
      <c:layout>
        <c:manualLayout>
          <c:xMode val="edge"/>
          <c:yMode val="edge"/>
          <c:x val="0.26393758375526638"/>
          <c:y val="0.88553773895671872"/>
          <c:w val="0.47212465993161912"/>
          <c:h val="0.11446208478306963"/>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840630168651997"/>
          <c:y val="7.1268790264853263E-2"/>
          <c:w val="0.6327192145964452"/>
          <c:h val="0.80909669477156054"/>
        </c:manualLayout>
      </c:layout>
      <c:pieChart>
        <c:varyColors val="1"/>
        <c:ser>
          <c:idx val="0"/>
          <c:order val="0"/>
          <c:explosion val="25"/>
          <c:dLbls>
            <c:showLegendKey val="0"/>
            <c:showVal val="1"/>
            <c:showCatName val="1"/>
            <c:showSerName val="0"/>
            <c:showPercent val="0"/>
            <c:showBubbleSize val="0"/>
            <c:showLeaderLines val="1"/>
          </c:dLbls>
          <c:cat>
            <c:strRef>
              <c:f>Hárok4!$A$3:$A$18</c:f>
              <c:strCache>
                <c:ptCount val="16"/>
                <c:pt idx="0">
                  <c:v>mliekarenský</c:v>
                </c:pt>
                <c:pt idx="1">
                  <c:v>mäsový</c:v>
                </c:pt>
                <c:pt idx="2">
                  <c:v>cukrovinkársko-pečivárenský s výrobou kávovín</c:v>
                </c:pt>
                <c:pt idx="3">
                  <c:v>pivovarnícko-sladovnícky</c:v>
                </c:pt>
                <c:pt idx="4">
                  <c:v>pekárensko-cukrárenský</c:v>
                </c:pt>
                <c:pt idx="5">
                  <c:v>výroba nealkoholických nápojov</c:v>
                </c:pt>
                <c:pt idx="6">
                  <c:v>hydinárenský</c:v>
                </c:pt>
                <c:pt idx="7">
                  <c:v>škrobárenský</c:v>
                </c:pt>
                <c:pt idx="8">
                  <c:v>mlynársky</c:v>
                </c:pt>
                <c:pt idx="9">
                  <c:v>tukový</c:v>
                </c:pt>
                <c:pt idx="10">
                  <c:v>liehovarnícky</c:v>
                </c:pt>
                <c:pt idx="11">
                  <c:v>vinársky</c:v>
                </c:pt>
                <c:pt idx="12">
                  <c:v>konzervárenský</c:v>
                </c:pt>
                <c:pt idx="13">
                  <c:v>spracovanie rýb</c:v>
                </c:pt>
                <c:pt idx="14">
                  <c:v>mraziarenský</c:v>
                </c:pt>
                <c:pt idx="15">
                  <c:v>ostatné</c:v>
                </c:pt>
              </c:strCache>
            </c:strRef>
          </c:cat>
          <c:val>
            <c:numRef>
              <c:f>Hárok4!$B$3:$B$18</c:f>
              <c:numCache>
                <c:formatCode>0.0%</c:formatCode>
                <c:ptCount val="16"/>
                <c:pt idx="0">
                  <c:v>0.184</c:v>
                </c:pt>
                <c:pt idx="1">
                  <c:v>0.13700000000000001</c:v>
                </c:pt>
                <c:pt idx="2">
                  <c:v>0.11700000000000001</c:v>
                </c:pt>
                <c:pt idx="3">
                  <c:v>8.3000000000000004E-2</c:v>
                </c:pt>
                <c:pt idx="4">
                  <c:v>0.08</c:v>
                </c:pt>
                <c:pt idx="5">
                  <c:v>7.4999999999999997E-2</c:v>
                </c:pt>
                <c:pt idx="6">
                  <c:v>5.1999999999999998E-2</c:v>
                </c:pt>
                <c:pt idx="7">
                  <c:v>0.05</c:v>
                </c:pt>
                <c:pt idx="8">
                  <c:v>4.2999999999999997E-2</c:v>
                </c:pt>
                <c:pt idx="9">
                  <c:v>3.6999999999999998E-2</c:v>
                </c:pt>
                <c:pt idx="10">
                  <c:v>2.9000000000000001E-2</c:v>
                </c:pt>
                <c:pt idx="11">
                  <c:v>2.9000000000000001E-2</c:v>
                </c:pt>
                <c:pt idx="12">
                  <c:v>2.1000000000000001E-2</c:v>
                </c:pt>
                <c:pt idx="13">
                  <c:v>1.0999999999999999E-2</c:v>
                </c:pt>
                <c:pt idx="14">
                  <c:v>6.0000000000000001E-3</c:v>
                </c:pt>
                <c:pt idx="15">
                  <c:v>4.5999999999999999E-2</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noFill/>
    <a:ln>
      <a:noFill/>
    </a:ln>
  </c:spPr>
  <c:txPr>
    <a:bodyPr/>
    <a:lstStyle/>
    <a:p>
      <a:pPr>
        <a:defRPr sz="900">
          <a:latin typeface="Times New Roman" pitchFamily="18" charset="0"/>
          <a:cs typeface="Times New Roman" pitchFamily="18" charset="0"/>
        </a:defRPr>
      </a:pPr>
      <a:endParaRPr lang="sk-SK"/>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zemiaky!$A$7</c:f>
              <c:strCache>
                <c:ptCount val="1"/>
                <c:pt idx="0">
                  <c:v>Index cien prvovýrobcov</c:v>
                </c:pt>
              </c:strCache>
            </c:strRef>
          </c:tx>
          <c:dLbls>
            <c:dLbl>
              <c:idx val="0"/>
              <c:layout>
                <c:manualLayout>
                  <c:x val="-6.9444444444444503E-2"/>
                  <c:y val="-3.2407407407407454E-2"/>
                </c:manualLayout>
              </c:layout>
              <c:showLegendKey val="0"/>
              <c:showVal val="1"/>
              <c:showCatName val="0"/>
              <c:showSerName val="0"/>
              <c:showPercent val="0"/>
              <c:showBubbleSize val="0"/>
            </c:dLbl>
            <c:dLbl>
              <c:idx val="1"/>
              <c:layout>
                <c:manualLayout>
                  <c:x val="-6.9444444444444434E-2"/>
                  <c:y val="-6.0185185185185147E-2"/>
                </c:manualLayout>
              </c:layout>
              <c:showLegendKey val="0"/>
              <c:showVal val="1"/>
              <c:showCatName val="0"/>
              <c:showSerName val="0"/>
              <c:showPercent val="0"/>
              <c:showBubbleSize val="0"/>
            </c:dLbl>
            <c:dLbl>
              <c:idx val="2"/>
              <c:layout>
                <c:manualLayout>
                  <c:x val="-6.3888888888888884E-2"/>
                  <c:y val="-4.166666666666671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zemiaky!$B$6:$E$6</c:f>
              <c:strCache>
                <c:ptCount val="4"/>
                <c:pt idx="0">
                  <c:v>2008/2007</c:v>
                </c:pt>
                <c:pt idx="1">
                  <c:v>2009/2008</c:v>
                </c:pt>
                <c:pt idx="2">
                  <c:v>2010/2009</c:v>
                </c:pt>
                <c:pt idx="3">
                  <c:v>2011/2010</c:v>
                </c:pt>
              </c:strCache>
            </c:strRef>
          </c:cat>
          <c:val>
            <c:numRef>
              <c:f>zemiaky!$B$7:$E$7</c:f>
              <c:numCache>
                <c:formatCode>0.00%</c:formatCode>
                <c:ptCount val="4"/>
                <c:pt idx="0">
                  <c:v>1.0819615912208498</c:v>
                </c:pt>
                <c:pt idx="1">
                  <c:v>0.91188589540412124</c:v>
                </c:pt>
                <c:pt idx="2">
                  <c:v>1.1172054223149113</c:v>
                </c:pt>
                <c:pt idx="3">
                  <c:v>0.97672826830937842</c:v>
                </c:pt>
              </c:numCache>
            </c:numRef>
          </c:val>
          <c:smooth val="0"/>
        </c:ser>
        <c:ser>
          <c:idx val="1"/>
          <c:order val="1"/>
          <c:tx>
            <c:strRef>
              <c:f>zemiaky!$A$8</c:f>
              <c:strCache>
                <c:ptCount val="1"/>
                <c:pt idx="0">
                  <c:v>Index spotrebiteľských cien</c:v>
                </c:pt>
              </c:strCache>
            </c:strRef>
          </c:tx>
          <c:dLbls>
            <c:dLbl>
              <c:idx val="0"/>
              <c:layout>
                <c:manualLayout>
                  <c:x val="-6.666666666666668E-2"/>
                  <c:y val="5.092592592592609E-2"/>
                </c:manualLayout>
              </c:layout>
              <c:showLegendKey val="0"/>
              <c:showVal val="1"/>
              <c:showCatName val="0"/>
              <c:showSerName val="0"/>
              <c:showPercent val="0"/>
              <c:showBubbleSize val="0"/>
            </c:dLbl>
            <c:dLbl>
              <c:idx val="1"/>
              <c:layout>
                <c:manualLayout>
                  <c:x val="-0.05"/>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zemiaky!$B$6:$E$6</c:f>
              <c:strCache>
                <c:ptCount val="4"/>
                <c:pt idx="0">
                  <c:v>2008/2007</c:v>
                </c:pt>
                <c:pt idx="1">
                  <c:v>2009/2008</c:v>
                </c:pt>
                <c:pt idx="2">
                  <c:v>2010/2009</c:v>
                </c:pt>
                <c:pt idx="3">
                  <c:v>2011/2010</c:v>
                </c:pt>
              </c:strCache>
            </c:strRef>
          </c:cat>
          <c:val>
            <c:numRef>
              <c:f>zemiaky!$B$8:$E$8</c:f>
              <c:numCache>
                <c:formatCode>0.00%</c:formatCode>
                <c:ptCount val="4"/>
                <c:pt idx="0">
                  <c:v>0.93626184323858863</c:v>
                </c:pt>
                <c:pt idx="1">
                  <c:v>0.87396504139834463</c:v>
                </c:pt>
                <c:pt idx="2">
                  <c:v>1.4999999999999976</c:v>
                </c:pt>
                <c:pt idx="3">
                  <c:v>0.78947368421052644</c:v>
                </c:pt>
              </c:numCache>
            </c:numRef>
          </c:val>
          <c:smooth val="0"/>
        </c:ser>
        <c:dLbls>
          <c:showLegendKey val="0"/>
          <c:showVal val="0"/>
          <c:showCatName val="0"/>
          <c:showSerName val="0"/>
          <c:showPercent val="0"/>
          <c:showBubbleSize val="0"/>
        </c:dLbls>
        <c:marker val="1"/>
        <c:smooth val="0"/>
        <c:axId val="226642560"/>
        <c:axId val="226664832"/>
      </c:lineChart>
      <c:catAx>
        <c:axId val="226642560"/>
        <c:scaling>
          <c:orientation val="minMax"/>
        </c:scaling>
        <c:delete val="0"/>
        <c:axPos val="b"/>
        <c:majorTickMark val="out"/>
        <c:minorTickMark val="none"/>
        <c:tickLblPos val="nextTo"/>
        <c:crossAx val="226664832"/>
        <c:crosses val="autoZero"/>
        <c:auto val="1"/>
        <c:lblAlgn val="ctr"/>
        <c:lblOffset val="100"/>
        <c:noMultiLvlLbl val="0"/>
      </c:catAx>
      <c:valAx>
        <c:axId val="226664832"/>
        <c:scaling>
          <c:orientation val="minMax"/>
          <c:min val="0.70000000000000062"/>
        </c:scaling>
        <c:delete val="0"/>
        <c:axPos val="l"/>
        <c:numFmt formatCode="0.00%" sourceLinked="1"/>
        <c:majorTickMark val="out"/>
        <c:minorTickMark val="none"/>
        <c:tickLblPos val="nextTo"/>
        <c:crossAx val="226642560"/>
        <c:crosses val="autoZero"/>
        <c:crossBetween val="between"/>
      </c:valAx>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dLbls>
            <c:dLbl>
              <c:idx val="0"/>
              <c:layout>
                <c:manualLayout>
                  <c:x val="-5.7452215224837108E-2"/>
                  <c:y val="-6.8563592732259176E-2"/>
                </c:manualLayout>
              </c:layout>
              <c:showLegendKey val="0"/>
              <c:showVal val="1"/>
              <c:showCatName val="0"/>
              <c:showSerName val="0"/>
              <c:showPercent val="0"/>
              <c:showBubbleSize val="0"/>
            </c:dLbl>
            <c:dLbl>
              <c:idx val="2"/>
              <c:layout>
                <c:manualLayout>
                  <c:x val="-1.9887305270135925E-2"/>
                  <c:y val="-7.4043603455368243E-2"/>
                </c:manualLayout>
              </c:layout>
              <c:showLegendKey val="0"/>
              <c:showVal val="1"/>
              <c:showCatName val="0"/>
              <c:showSerName val="0"/>
              <c:showPercent val="0"/>
              <c:showBubbleSize val="0"/>
            </c:dLbl>
            <c:dLbl>
              <c:idx val="3"/>
              <c:layout>
                <c:manualLayout>
                  <c:x val="-2.2222222222222251E-2"/>
                  <c:y val="-4.1666666666666664E-2"/>
                </c:manualLayout>
              </c:layout>
              <c:showLegendKey val="0"/>
              <c:showVal val="1"/>
              <c:showCatName val="0"/>
              <c:showSerName val="0"/>
              <c:showPercent val="0"/>
              <c:showBubbleSize val="0"/>
            </c:dLbl>
            <c:dLbl>
              <c:idx val="4"/>
              <c:layout>
                <c:manualLayout>
                  <c:x val="-1.5467172101605937E-2"/>
                  <c:y val="5.758547783639253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zelenina!$M$3:$R$3</c:f>
              <c:numCache>
                <c:formatCode>General</c:formatCode>
                <c:ptCount val="6"/>
                <c:pt idx="0">
                  <c:v>2002</c:v>
                </c:pt>
                <c:pt idx="1">
                  <c:v>2007</c:v>
                </c:pt>
                <c:pt idx="2">
                  <c:v>2008</c:v>
                </c:pt>
                <c:pt idx="3">
                  <c:v>2009</c:v>
                </c:pt>
                <c:pt idx="4">
                  <c:v>2010</c:v>
                </c:pt>
                <c:pt idx="5">
                  <c:v>2011</c:v>
                </c:pt>
              </c:numCache>
            </c:numRef>
          </c:cat>
          <c:val>
            <c:numRef>
              <c:f>zelenina!$M$4:$R$4</c:f>
              <c:numCache>
                <c:formatCode>0.00</c:formatCode>
                <c:ptCount val="6"/>
                <c:pt idx="0">
                  <c:v>77.3</c:v>
                </c:pt>
                <c:pt idx="1">
                  <c:v>88.4</c:v>
                </c:pt>
                <c:pt idx="2">
                  <c:v>100.6</c:v>
                </c:pt>
                <c:pt idx="3">
                  <c:v>102.5</c:v>
                </c:pt>
                <c:pt idx="4">
                  <c:v>94.6</c:v>
                </c:pt>
                <c:pt idx="5">
                  <c:v>101.5</c:v>
                </c:pt>
              </c:numCache>
            </c:numRef>
          </c:val>
          <c:smooth val="0"/>
        </c:ser>
        <c:dLbls>
          <c:showLegendKey val="0"/>
          <c:showVal val="0"/>
          <c:showCatName val="0"/>
          <c:showSerName val="0"/>
          <c:showPercent val="0"/>
          <c:showBubbleSize val="0"/>
        </c:dLbls>
        <c:marker val="1"/>
        <c:smooth val="0"/>
        <c:axId val="226685696"/>
        <c:axId val="226687232"/>
      </c:lineChart>
      <c:catAx>
        <c:axId val="226685696"/>
        <c:scaling>
          <c:orientation val="minMax"/>
        </c:scaling>
        <c:delete val="0"/>
        <c:axPos val="b"/>
        <c:numFmt formatCode="General" sourceLinked="1"/>
        <c:majorTickMark val="out"/>
        <c:minorTickMark val="none"/>
        <c:tickLblPos val="nextTo"/>
        <c:crossAx val="226687232"/>
        <c:crosses val="autoZero"/>
        <c:auto val="1"/>
        <c:lblAlgn val="ctr"/>
        <c:lblOffset val="100"/>
        <c:noMultiLvlLbl val="0"/>
      </c:catAx>
      <c:valAx>
        <c:axId val="226687232"/>
        <c:scaling>
          <c:orientation val="minMax"/>
          <c:min val="50"/>
        </c:scaling>
        <c:delete val="0"/>
        <c:axPos val="l"/>
        <c:numFmt formatCode="0.00" sourceLinked="1"/>
        <c:majorTickMark val="out"/>
        <c:minorTickMark val="none"/>
        <c:tickLblPos val="nextTo"/>
        <c:crossAx val="226685696"/>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5.8890362889421434E-2"/>
          <c:y val="2.5636482939632547E-2"/>
          <c:w val="0.94110963711058004"/>
          <c:h val="0.67028091062025363"/>
        </c:manualLayout>
      </c:layout>
      <c:barChart>
        <c:barDir val="col"/>
        <c:grouping val="clustered"/>
        <c:varyColors val="0"/>
        <c:ser>
          <c:idx val="0"/>
          <c:order val="0"/>
          <c:tx>
            <c:strRef>
              <c:f>zelenina!$K$1</c:f>
              <c:strCache>
                <c:ptCount val="1"/>
                <c:pt idx="0">
                  <c:v>náklady prvovýrobcov na 1 kg produkcie</c:v>
                </c:pt>
              </c:strCache>
            </c:strRef>
          </c:tx>
          <c:invertIfNegative val="0"/>
          <c:dLbls>
            <c:dLbl>
              <c:idx val="4"/>
              <c:layout>
                <c:manualLayout>
                  <c:x val="-4.2545123457947689E-3"/>
                  <c:y val="1.9866110519540781E-2"/>
                </c:manualLayout>
              </c:layout>
              <c:showLegendKey val="0"/>
              <c:showVal val="1"/>
              <c:showCatName val="0"/>
              <c:showSerName val="0"/>
              <c:showPercent val="0"/>
              <c:showBubbleSize val="0"/>
            </c:dLbl>
            <c:dLbl>
              <c:idx val="5"/>
              <c:layout>
                <c:manualLayout>
                  <c:x val="-6.7796610169492504E-3"/>
                  <c:y val="-4.2437781360066913E-17"/>
                </c:manualLayout>
              </c:layout>
              <c:showLegendKey val="0"/>
              <c:showVal val="1"/>
              <c:showCatName val="0"/>
              <c:showSerName val="0"/>
              <c:showPercent val="0"/>
              <c:showBubbleSize val="0"/>
            </c:dLbl>
            <c:dLbl>
              <c:idx val="7"/>
              <c:layout>
                <c:manualLayout>
                  <c:x val="-6.7796610169491671E-3"/>
                  <c:y val="1.851851851851853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zelenina!$J$2:$J$9</c:f>
              <c:strCache>
                <c:ptCount val="8"/>
                <c:pt idx="0">
                  <c:v>Mrkva</c:v>
                </c:pt>
                <c:pt idx="1">
                  <c:v>Petržlen</c:v>
                </c:pt>
                <c:pt idx="2">
                  <c:v>Zeler</c:v>
                </c:pt>
                <c:pt idx="3">
                  <c:v>Kapusta hlávková</c:v>
                </c:pt>
                <c:pt idx="4">
                  <c:v>Rajčiaky</c:v>
                </c:pt>
                <c:pt idx="5">
                  <c:v>Paprika zeleninová</c:v>
                </c:pt>
                <c:pt idx="6">
                  <c:v>Uhorky šalátové</c:v>
                </c:pt>
                <c:pt idx="7">
                  <c:v>Cibuľa</c:v>
                </c:pt>
              </c:strCache>
            </c:strRef>
          </c:cat>
          <c:val>
            <c:numRef>
              <c:f>zelenina!$K$2:$K$9</c:f>
              <c:numCache>
                <c:formatCode>0.00</c:formatCode>
                <c:ptCount val="8"/>
                <c:pt idx="0">
                  <c:v>0.23</c:v>
                </c:pt>
                <c:pt idx="1">
                  <c:v>0.28000000000000008</c:v>
                </c:pt>
                <c:pt idx="2">
                  <c:v>0.39840000000000048</c:v>
                </c:pt>
                <c:pt idx="3">
                  <c:v>0.27</c:v>
                </c:pt>
                <c:pt idx="4">
                  <c:v>0.36000000000000032</c:v>
                </c:pt>
                <c:pt idx="5">
                  <c:v>0.56000000000000005</c:v>
                </c:pt>
                <c:pt idx="6">
                  <c:v>0.30000000000000032</c:v>
                </c:pt>
                <c:pt idx="7">
                  <c:v>0.25</c:v>
                </c:pt>
              </c:numCache>
            </c:numRef>
          </c:val>
        </c:ser>
        <c:ser>
          <c:idx val="1"/>
          <c:order val="1"/>
          <c:tx>
            <c:strRef>
              <c:f>zelenina!$L$1</c:f>
              <c:strCache>
                <c:ptCount val="1"/>
                <c:pt idx="0">
                  <c:v>ceny prvovýrobcov za 1 kg produkcie</c:v>
                </c:pt>
              </c:strCache>
            </c:strRef>
          </c:tx>
          <c:invertIfNegative val="0"/>
          <c:dLbls>
            <c:dLbl>
              <c:idx val="0"/>
              <c:layout>
                <c:manualLayout>
                  <c:x val="9.0395480225988704E-3"/>
                  <c:y val="2.3148148148148147E-2"/>
                </c:manualLayout>
              </c:layout>
              <c:showLegendKey val="0"/>
              <c:showVal val="1"/>
              <c:showCatName val="0"/>
              <c:showSerName val="0"/>
              <c:showPercent val="0"/>
              <c:showBubbleSize val="0"/>
            </c:dLbl>
            <c:dLbl>
              <c:idx val="3"/>
              <c:layout>
                <c:manualLayout>
                  <c:x val="4.5197740112994404E-3"/>
                  <c:y val="1.8518518518518538E-2"/>
                </c:manualLayout>
              </c:layout>
              <c:showLegendKey val="0"/>
              <c:showVal val="1"/>
              <c:showCatName val="0"/>
              <c:showSerName val="0"/>
              <c:showPercent val="0"/>
              <c:showBubbleSize val="0"/>
            </c:dLbl>
            <c:dLbl>
              <c:idx val="4"/>
              <c:layout>
                <c:manualLayout>
                  <c:x val="-7.2463768115941501E-3"/>
                  <c:y val="1.1851850008461187E-2"/>
                </c:manualLayout>
              </c:layout>
              <c:showLegendKey val="0"/>
              <c:showVal val="1"/>
              <c:showCatName val="0"/>
              <c:showSerName val="0"/>
              <c:showPercent val="0"/>
              <c:showBubbleSize val="0"/>
            </c:dLbl>
            <c:dLbl>
              <c:idx val="7"/>
              <c:layout>
                <c:manualLayout>
                  <c:x val="-5.434782608695652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zelenina!$J$2:$J$9</c:f>
              <c:strCache>
                <c:ptCount val="8"/>
                <c:pt idx="0">
                  <c:v>Mrkva</c:v>
                </c:pt>
                <c:pt idx="1">
                  <c:v>Petržlen</c:v>
                </c:pt>
                <c:pt idx="2">
                  <c:v>Zeler</c:v>
                </c:pt>
                <c:pt idx="3">
                  <c:v>Kapusta hlávková</c:v>
                </c:pt>
                <c:pt idx="4">
                  <c:v>Rajčiaky</c:v>
                </c:pt>
                <c:pt idx="5">
                  <c:v>Paprika zeleninová</c:v>
                </c:pt>
                <c:pt idx="6">
                  <c:v>Uhorky šalátové</c:v>
                </c:pt>
                <c:pt idx="7">
                  <c:v>Cibuľa</c:v>
                </c:pt>
              </c:strCache>
            </c:strRef>
          </c:cat>
          <c:val>
            <c:numRef>
              <c:f>zelenina!$L$2:$L$9</c:f>
              <c:numCache>
                <c:formatCode>General</c:formatCode>
                <c:ptCount val="8"/>
                <c:pt idx="0">
                  <c:v>0.19</c:v>
                </c:pt>
                <c:pt idx="1">
                  <c:v>0.79</c:v>
                </c:pt>
                <c:pt idx="2">
                  <c:v>0.56999999999999995</c:v>
                </c:pt>
                <c:pt idx="3">
                  <c:v>0.25</c:v>
                </c:pt>
                <c:pt idx="4">
                  <c:v>1.06</c:v>
                </c:pt>
                <c:pt idx="5">
                  <c:v>0.76000000000000079</c:v>
                </c:pt>
                <c:pt idx="6">
                  <c:v>0.66000000000000092</c:v>
                </c:pt>
                <c:pt idx="7">
                  <c:v>0.29000000000000031</c:v>
                </c:pt>
              </c:numCache>
            </c:numRef>
          </c:val>
        </c:ser>
        <c:ser>
          <c:idx val="2"/>
          <c:order val="2"/>
          <c:tx>
            <c:strRef>
              <c:f>zelenina!$M$1</c:f>
              <c:strCache>
                <c:ptCount val="1"/>
                <c:pt idx="0">
                  <c:v>odbytové ceny (domáca produkcia)</c:v>
                </c:pt>
              </c:strCache>
            </c:strRef>
          </c:tx>
          <c:spPr>
            <a:solidFill>
              <a:schemeClr val="tx1">
                <a:lumMod val="50000"/>
                <a:lumOff val="50000"/>
              </a:schemeClr>
            </a:solidFill>
          </c:spPr>
          <c:invertIfNegative val="0"/>
          <c:dLbls>
            <c:dLbl>
              <c:idx val="1"/>
              <c:layout>
                <c:manualLayout>
                  <c:x val="0"/>
                  <c:y val="1.1851850008461187E-2"/>
                </c:manualLayout>
              </c:layout>
              <c:showLegendKey val="0"/>
              <c:showVal val="1"/>
              <c:showCatName val="0"/>
              <c:showSerName val="0"/>
              <c:showPercent val="0"/>
              <c:showBubbleSize val="0"/>
            </c:dLbl>
            <c:dLbl>
              <c:idx val="2"/>
              <c:layout>
                <c:manualLayout>
                  <c:x val="-9.0580276314117195E-3"/>
                  <c:y val="2.232066488536329E-2"/>
                </c:manualLayout>
              </c:layout>
              <c:showLegendKey val="0"/>
              <c:showVal val="1"/>
              <c:showCatName val="0"/>
              <c:showSerName val="0"/>
              <c:showPercent val="0"/>
              <c:showBubbleSize val="0"/>
            </c:dLbl>
            <c:dLbl>
              <c:idx val="3"/>
              <c:layout>
                <c:manualLayout>
                  <c:x val="-5.434782608695652E-3"/>
                  <c:y val="3.9506166694870592E-3"/>
                </c:manualLayout>
              </c:layout>
              <c:showLegendKey val="0"/>
              <c:showVal val="1"/>
              <c:showCatName val="0"/>
              <c:showSerName val="0"/>
              <c:showPercent val="0"/>
              <c:showBubbleSize val="0"/>
            </c:dLbl>
            <c:dLbl>
              <c:idx val="5"/>
              <c:layout>
                <c:manualLayout>
                  <c:x val="-7.2463768115942143E-3"/>
                  <c:y val="-1.8106783897369749E-17"/>
                </c:manualLayout>
              </c:layout>
              <c:showLegendKey val="0"/>
              <c:showVal val="1"/>
              <c:showCatName val="0"/>
              <c:showSerName val="0"/>
              <c:showPercent val="0"/>
              <c:showBubbleSize val="0"/>
            </c:dLbl>
            <c:dLbl>
              <c:idx val="6"/>
              <c:layout>
                <c:manualLayout>
                  <c:x val="-9.057971014492754E-3"/>
                  <c:y val="3.9506166694870592E-3"/>
                </c:manualLayout>
              </c:layout>
              <c:showLegendKey val="0"/>
              <c:showVal val="1"/>
              <c:showCatName val="0"/>
              <c:showSerName val="0"/>
              <c:showPercent val="0"/>
              <c:showBubbleSize val="0"/>
            </c:dLbl>
            <c:dLbl>
              <c:idx val="7"/>
              <c:layout>
                <c:manualLayout>
                  <c:x val="-3.6232110525646955E-3"/>
                  <c:y val="9.612982825308660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zelenina!$J$2:$J$9</c:f>
              <c:strCache>
                <c:ptCount val="8"/>
                <c:pt idx="0">
                  <c:v>Mrkva</c:v>
                </c:pt>
                <c:pt idx="1">
                  <c:v>Petržlen</c:v>
                </c:pt>
                <c:pt idx="2">
                  <c:v>Zeler</c:v>
                </c:pt>
                <c:pt idx="3">
                  <c:v>Kapusta hlávková</c:v>
                </c:pt>
                <c:pt idx="4">
                  <c:v>Rajčiaky</c:v>
                </c:pt>
                <c:pt idx="5">
                  <c:v>Paprika zeleninová</c:v>
                </c:pt>
                <c:pt idx="6">
                  <c:v>Uhorky šalátové</c:v>
                </c:pt>
                <c:pt idx="7">
                  <c:v>Cibuľa</c:v>
                </c:pt>
              </c:strCache>
            </c:strRef>
          </c:cat>
          <c:val>
            <c:numRef>
              <c:f>zelenina!$M$2:$M$9</c:f>
              <c:numCache>
                <c:formatCode>General</c:formatCode>
                <c:ptCount val="8"/>
                <c:pt idx="0">
                  <c:v>0.37000000000000033</c:v>
                </c:pt>
                <c:pt idx="1">
                  <c:v>1.23</c:v>
                </c:pt>
                <c:pt idx="2">
                  <c:v>0.87000000000000066</c:v>
                </c:pt>
                <c:pt idx="3">
                  <c:v>0.4</c:v>
                </c:pt>
                <c:pt idx="4">
                  <c:v>1.42</c:v>
                </c:pt>
                <c:pt idx="5">
                  <c:v>1.35</c:v>
                </c:pt>
                <c:pt idx="6">
                  <c:v>0.91</c:v>
                </c:pt>
                <c:pt idx="7">
                  <c:v>0.45</c:v>
                </c:pt>
              </c:numCache>
            </c:numRef>
          </c:val>
        </c:ser>
        <c:ser>
          <c:idx val="3"/>
          <c:order val="3"/>
          <c:tx>
            <c:strRef>
              <c:f>zelenina!$N$1</c:f>
              <c:strCache>
                <c:ptCount val="1"/>
                <c:pt idx="0">
                  <c:v>odbytové ceny (import)</c:v>
                </c:pt>
              </c:strCache>
            </c:strRef>
          </c:tx>
          <c:spPr>
            <a:solidFill>
              <a:schemeClr val="tx1"/>
            </a:solidFill>
          </c:spPr>
          <c:invertIfNegative val="0"/>
          <c:dLbls>
            <c:dLbl>
              <c:idx val="0"/>
              <c:layout>
                <c:manualLayout>
                  <c:x val="1.0869633157694058E-2"/>
                  <c:y val="2.4032457063271596E-2"/>
                </c:manualLayout>
              </c:layout>
              <c:showLegendKey val="0"/>
              <c:showVal val="1"/>
              <c:showCatName val="0"/>
              <c:showSerName val="0"/>
              <c:showPercent val="0"/>
              <c:showBubbleSize val="0"/>
            </c:dLbl>
            <c:dLbl>
              <c:idx val="1"/>
              <c:layout>
                <c:manualLayout>
                  <c:x val="9.057971014492721E-3"/>
                  <c:y val="0"/>
                </c:manualLayout>
              </c:layout>
              <c:showLegendKey val="0"/>
              <c:showVal val="1"/>
              <c:showCatName val="0"/>
              <c:showSerName val="0"/>
              <c:showPercent val="0"/>
              <c:showBubbleSize val="0"/>
            </c:dLbl>
            <c:dLbl>
              <c:idx val="2"/>
              <c:layout>
                <c:manualLayout>
                  <c:x val="0"/>
                  <c:y val="-7.9012333389741271E-3"/>
                </c:manualLayout>
              </c:layout>
              <c:showLegendKey val="0"/>
              <c:showVal val="1"/>
              <c:showCatName val="0"/>
              <c:showSerName val="0"/>
              <c:showPercent val="0"/>
              <c:showBubbleSize val="0"/>
            </c:dLbl>
            <c:dLbl>
              <c:idx val="3"/>
              <c:layout>
                <c:manualLayout>
                  <c:x val="4.6480132651555272E-3"/>
                  <c:y val="1.6661206368891325E-2"/>
                </c:manualLayout>
              </c:layout>
              <c:showLegendKey val="0"/>
              <c:showVal val="1"/>
              <c:showCatName val="0"/>
              <c:showSerName val="0"/>
              <c:showPercent val="0"/>
              <c:showBubbleSize val="0"/>
            </c:dLbl>
            <c:dLbl>
              <c:idx val="4"/>
              <c:layout>
                <c:manualLayout>
                  <c:x val="9.057971014492754E-3"/>
                  <c:y val="1.1851850008461187E-2"/>
                </c:manualLayout>
              </c:layout>
              <c:showLegendKey val="0"/>
              <c:showVal val="1"/>
              <c:showCatName val="0"/>
              <c:showSerName val="0"/>
              <c:showPercent val="0"/>
              <c:showBubbleSize val="0"/>
            </c:dLbl>
            <c:dLbl>
              <c:idx val="7"/>
              <c:layout>
                <c:manualLayout>
                  <c:x val="2.7563003382913812E-3"/>
                  <c:y val="-1.613126641587126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zelenina!$J$2:$J$9</c:f>
              <c:strCache>
                <c:ptCount val="8"/>
                <c:pt idx="0">
                  <c:v>Mrkva</c:v>
                </c:pt>
                <c:pt idx="1">
                  <c:v>Petržlen</c:v>
                </c:pt>
                <c:pt idx="2">
                  <c:v>Zeler</c:v>
                </c:pt>
                <c:pt idx="3">
                  <c:v>Kapusta hlávková</c:v>
                </c:pt>
                <c:pt idx="4">
                  <c:v>Rajčiaky</c:v>
                </c:pt>
                <c:pt idx="5">
                  <c:v>Paprika zeleninová</c:v>
                </c:pt>
                <c:pt idx="6">
                  <c:v>Uhorky šalátové</c:v>
                </c:pt>
                <c:pt idx="7">
                  <c:v>Cibuľa</c:v>
                </c:pt>
              </c:strCache>
            </c:strRef>
          </c:cat>
          <c:val>
            <c:numRef>
              <c:f>zelenina!$N$2:$N$9</c:f>
              <c:numCache>
                <c:formatCode>General</c:formatCode>
                <c:ptCount val="8"/>
                <c:pt idx="0">
                  <c:v>0.36000000000000032</c:v>
                </c:pt>
                <c:pt idx="1">
                  <c:v>1.24</c:v>
                </c:pt>
                <c:pt idx="2">
                  <c:v>0.89</c:v>
                </c:pt>
                <c:pt idx="3">
                  <c:v>0.3900000000000004</c:v>
                </c:pt>
                <c:pt idx="4">
                  <c:v>1.37</c:v>
                </c:pt>
                <c:pt idx="5">
                  <c:v>1.59</c:v>
                </c:pt>
                <c:pt idx="6">
                  <c:v>1.08</c:v>
                </c:pt>
                <c:pt idx="7">
                  <c:v>0.46</c:v>
                </c:pt>
              </c:numCache>
            </c:numRef>
          </c:val>
        </c:ser>
        <c:dLbls>
          <c:showLegendKey val="0"/>
          <c:showVal val="0"/>
          <c:showCatName val="0"/>
          <c:showSerName val="0"/>
          <c:showPercent val="0"/>
          <c:showBubbleSize val="0"/>
        </c:dLbls>
        <c:gapWidth val="150"/>
        <c:axId val="226752000"/>
        <c:axId val="226753536"/>
      </c:barChart>
      <c:catAx>
        <c:axId val="226752000"/>
        <c:scaling>
          <c:orientation val="minMax"/>
        </c:scaling>
        <c:delete val="0"/>
        <c:axPos val="b"/>
        <c:majorTickMark val="out"/>
        <c:minorTickMark val="none"/>
        <c:tickLblPos val="nextTo"/>
        <c:crossAx val="226753536"/>
        <c:crosses val="autoZero"/>
        <c:auto val="1"/>
        <c:lblAlgn val="ctr"/>
        <c:lblOffset val="100"/>
        <c:noMultiLvlLbl val="0"/>
      </c:catAx>
      <c:valAx>
        <c:axId val="226753536"/>
        <c:scaling>
          <c:orientation val="minMax"/>
        </c:scaling>
        <c:delete val="0"/>
        <c:axPos val="l"/>
        <c:numFmt formatCode="0.00" sourceLinked="1"/>
        <c:majorTickMark val="out"/>
        <c:minorTickMark val="none"/>
        <c:tickLblPos val="nextTo"/>
        <c:crossAx val="226752000"/>
        <c:crosses val="autoZero"/>
        <c:crossBetween val="between"/>
      </c:valAx>
    </c:plotArea>
    <c:legend>
      <c:legendPos val="b"/>
      <c:layout>
        <c:manualLayout>
          <c:xMode val="edge"/>
          <c:yMode val="edge"/>
          <c:x val="3.3229202327969901E-2"/>
          <c:y val="0.84818433390736458"/>
          <c:w val="0.94622275476434958"/>
          <c:h val="0.12811196607571237"/>
        </c:manualLayout>
      </c:layout>
      <c:overlay val="0"/>
    </c:legend>
    <c:plotVisOnly val="1"/>
    <c:dispBlanksAs val="gap"/>
    <c:showDLblsOverMax val="0"/>
  </c:chart>
  <c:spPr>
    <a:noFill/>
    <a:ln>
      <a:noFill/>
    </a:ln>
  </c:spPr>
  <c:txPr>
    <a:bodyPr/>
    <a:lstStyle/>
    <a:p>
      <a:pPr>
        <a:defRPr sz="900" baseline="0">
          <a:latin typeface="Times New Roman" pitchFamily="18" charset="0"/>
        </a:defRPr>
      </a:pPr>
      <a:endParaRPr lang="sk-SK"/>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807633420822405"/>
          <c:y val="0.15277777777777779"/>
          <c:w val="0.77773622047244095"/>
          <c:h val="0.63204068241469957"/>
        </c:manualLayout>
      </c:layout>
      <c:lineChart>
        <c:grouping val="standard"/>
        <c:varyColors val="0"/>
        <c:ser>
          <c:idx val="1"/>
          <c:order val="1"/>
          <c:tx>
            <c:strRef>
              <c:f>ovocie!$J$3</c:f>
              <c:strCache>
                <c:ptCount val="1"/>
                <c:pt idx="0">
                  <c:v>produkcia v sadoch v t</c:v>
                </c:pt>
              </c:strCache>
            </c:strRef>
          </c:tx>
          <c:dLbls>
            <c:dLbl>
              <c:idx val="0"/>
              <c:layout>
                <c:manualLayout>
                  <c:x val="-6.1424509692151928E-2"/>
                  <c:y val="8.2754610775141541E-2"/>
                </c:manualLayout>
              </c:layout>
              <c:showLegendKey val="0"/>
              <c:showVal val="1"/>
              <c:showCatName val="0"/>
              <c:showSerName val="0"/>
              <c:showPercent val="0"/>
              <c:showBubbleSize val="0"/>
            </c:dLbl>
            <c:dLbl>
              <c:idx val="1"/>
              <c:layout>
                <c:manualLayout>
                  <c:x val="-1.6666666666666687E-2"/>
                  <c:y val="-4.6296296296296346E-3"/>
                </c:manualLayout>
              </c:layout>
              <c:showLegendKey val="0"/>
              <c:showVal val="1"/>
              <c:showCatName val="0"/>
              <c:showSerName val="0"/>
              <c:showPercent val="0"/>
              <c:showBubbleSize val="0"/>
            </c:dLbl>
            <c:dLbl>
              <c:idx val="2"/>
              <c:layout>
                <c:manualLayout>
                  <c:x val="-8.9792110782115395E-2"/>
                  <c:y val="8.1186843048630525E-3"/>
                </c:manualLayout>
              </c:layout>
              <c:showLegendKey val="0"/>
              <c:showVal val="1"/>
              <c:showCatName val="0"/>
              <c:showSerName val="0"/>
              <c:showPercent val="0"/>
              <c:showBubbleSize val="0"/>
            </c:dLbl>
            <c:dLbl>
              <c:idx val="3"/>
              <c:layout>
                <c:manualLayout>
                  <c:x val="-1.9444444444444445E-2"/>
                  <c:y val="-2.3148148148148147E-2"/>
                </c:manualLayout>
              </c:layout>
              <c:showLegendKey val="0"/>
              <c:showVal val="1"/>
              <c:showCatName val="0"/>
              <c:showSerName val="0"/>
              <c:showPercent val="0"/>
              <c:showBubbleSize val="0"/>
            </c:dLbl>
            <c:dLbl>
              <c:idx val="4"/>
              <c:layout>
                <c:manualLayout>
                  <c:x val="-3.333333333333334E-2"/>
                  <c:y val="-5.0925925925925923E-2"/>
                </c:manualLayout>
              </c:layout>
              <c:showLegendKey val="0"/>
              <c:showVal val="1"/>
              <c:showCatName val="0"/>
              <c:showSerName val="0"/>
              <c:showPercent val="0"/>
              <c:showBubbleSize val="0"/>
            </c:dLbl>
            <c:dLbl>
              <c:idx val="5"/>
              <c:layout>
                <c:manualLayout>
                  <c:x val="-4.7222222222222283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ovocie!$K$1:$P$1</c:f>
              <c:numCache>
                <c:formatCode>General</c:formatCode>
                <c:ptCount val="6"/>
                <c:pt idx="0">
                  <c:v>2002</c:v>
                </c:pt>
                <c:pt idx="1">
                  <c:v>2007</c:v>
                </c:pt>
                <c:pt idx="2">
                  <c:v>2008</c:v>
                </c:pt>
                <c:pt idx="3">
                  <c:v>2009</c:v>
                </c:pt>
                <c:pt idx="4">
                  <c:v>2010</c:v>
                </c:pt>
                <c:pt idx="5">
                  <c:v>2011</c:v>
                </c:pt>
              </c:numCache>
            </c:numRef>
          </c:cat>
          <c:val>
            <c:numRef>
              <c:f>ovocie!$K$3:$P$3</c:f>
              <c:numCache>
                <c:formatCode>#,##0</c:formatCode>
                <c:ptCount val="6"/>
                <c:pt idx="0">
                  <c:v>32045</c:v>
                </c:pt>
                <c:pt idx="1">
                  <c:v>22316</c:v>
                </c:pt>
                <c:pt idx="2">
                  <c:v>48762</c:v>
                </c:pt>
                <c:pt idx="3">
                  <c:v>46264</c:v>
                </c:pt>
                <c:pt idx="4">
                  <c:v>40519</c:v>
                </c:pt>
                <c:pt idx="5">
                  <c:v>37158</c:v>
                </c:pt>
              </c:numCache>
            </c:numRef>
          </c:val>
          <c:smooth val="0"/>
        </c:ser>
        <c:dLbls>
          <c:showLegendKey val="0"/>
          <c:showVal val="0"/>
          <c:showCatName val="0"/>
          <c:showSerName val="0"/>
          <c:showPercent val="0"/>
          <c:showBubbleSize val="0"/>
        </c:dLbls>
        <c:marker val="1"/>
        <c:smooth val="0"/>
        <c:axId val="226801920"/>
        <c:axId val="226828288"/>
      </c:lineChart>
      <c:lineChart>
        <c:grouping val="standard"/>
        <c:varyColors val="0"/>
        <c:ser>
          <c:idx val="0"/>
          <c:order val="0"/>
          <c:tx>
            <c:strRef>
              <c:f>ovocie!$J$2</c:f>
              <c:strCache>
                <c:ptCount val="1"/>
                <c:pt idx="0">
                  <c:v>plochy produkčných sadov v ha</c:v>
                </c:pt>
              </c:strCache>
            </c:strRef>
          </c:tx>
          <c:dLbls>
            <c:dLbl>
              <c:idx val="0"/>
              <c:layout>
                <c:manualLayout>
                  <c:x val="-5.4848617814831205E-2"/>
                  <c:y val="8.277618592804839E-2"/>
                </c:manualLayout>
              </c:layout>
              <c:showLegendKey val="0"/>
              <c:showVal val="1"/>
              <c:showCatName val="0"/>
              <c:showSerName val="0"/>
              <c:showPercent val="0"/>
              <c:showBubbleSize val="0"/>
            </c:dLbl>
            <c:dLbl>
              <c:idx val="1"/>
              <c:layout>
                <c:manualLayout>
                  <c:x val="-8.6111111111110972E-2"/>
                  <c:y val="3.2407407407407454E-2"/>
                </c:manualLayout>
              </c:layout>
              <c:showLegendKey val="0"/>
              <c:showVal val="1"/>
              <c:showCatName val="0"/>
              <c:showSerName val="0"/>
              <c:showPercent val="0"/>
              <c:showBubbleSize val="0"/>
            </c:dLbl>
            <c:dLbl>
              <c:idx val="2"/>
              <c:layout>
                <c:manualLayout>
                  <c:x val="-4.1823423535467683E-2"/>
                  <c:y val="5.9027946597963461E-2"/>
                </c:manualLayout>
              </c:layout>
              <c:showLegendKey val="0"/>
              <c:showVal val="1"/>
              <c:showCatName val="0"/>
              <c:showSerName val="0"/>
              <c:showPercent val="0"/>
              <c:showBubbleSize val="0"/>
            </c:dLbl>
            <c:dLbl>
              <c:idx val="3"/>
              <c:layout>
                <c:manualLayout>
                  <c:x val="-8.0555555555555727E-2"/>
                  <c:y val="5.0925925925925923E-2"/>
                </c:manualLayout>
              </c:layout>
              <c:showLegendKey val="0"/>
              <c:showVal val="1"/>
              <c:showCatName val="0"/>
              <c:showSerName val="0"/>
              <c:showPercent val="0"/>
              <c:showBubbleSize val="0"/>
            </c:dLbl>
            <c:dLbl>
              <c:idx val="4"/>
              <c:layout>
                <c:manualLayout>
                  <c:x val="-9.1666666666666827E-2"/>
                  <c:y val="5.5555555555555483E-2"/>
                </c:manualLayout>
              </c:layout>
              <c:showLegendKey val="0"/>
              <c:showVal val="1"/>
              <c:showCatName val="0"/>
              <c:showSerName val="0"/>
              <c:showPercent val="0"/>
              <c:showBubbleSize val="0"/>
            </c:dLbl>
            <c:dLbl>
              <c:idx val="5"/>
              <c:layout>
                <c:manualLayout>
                  <c:x val="-0.1"/>
                  <c:y val="1.388888888888891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ovocie!$K$1:$P$1</c:f>
              <c:numCache>
                <c:formatCode>General</c:formatCode>
                <c:ptCount val="6"/>
                <c:pt idx="0">
                  <c:v>2002</c:v>
                </c:pt>
                <c:pt idx="1">
                  <c:v>2007</c:v>
                </c:pt>
                <c:pt idx="2">
                  <c:v>2008</c:v>
                </c:pt>
                <c:pt idx="3">
                  <c:v>2009</c:v>
                </c:pt>
                <c:pt idx="4">
                  <c:v>2010</c:v>
                </c:pt>
                <c:pt idx="5">
                  <c:v>2011</c:v>
                </c:pt>
              </c:numCache>
            </c:numRef>
          </c:cat>
          <c:val>
            <c:numRef>
              <c:f>ovocie!$K$2:$P$2</c:f>
              <c:numCache>
                <c:formatCode>#,##0</c:formatCode>
                <c:ptCount val="6"/>
                <c:pt idx="0">
                  <c:v>6734</c:v>
                </c:pt>
                <c:pt idx="1">
                  <c:v>6011</c:v>
                </c:pt>
                <c:pt idx="2">
                  <c:v>6190</c:v>
                </c:pt>
                <c:pt idx="3">
                  <c:v>5658</c:v>
                </c:pt>
                <c:pt idx="4">
                  <c:v>5433</c:v>
                </c:pt>
                <c:pt idx="5">
                  <c:v>4562</c:v>
                </c:pt>
              </c:numCache>
            </c:numRef>
          </c:val>
          <c:smooth val="0"/>
        </c:ser>
        <c:dLbls>
          <c:showLegendKey val="0"/>
          <c:showVal val="0"/>
          <c:showCatName val="0"/>
          <c:showSerName val="0"/>
          <c:showPercent val="0"/>
          <c:showBubbleSize val="0"/>
        </c:dLbls>
        <c:marker val="1"/>
        <c:smooth val="0"/>
        <c:axId val="226831360"/>
        <c:axId val="226829824"/>
      </c:lineChart>
      <c:catAx>
        <c:axId val="226801920"/>
        <c:scaling>
          <c:orientation val="minMax"/>
        </c:scaling>
        <c:delete val="0"/>
        <c:axPos val="b"/>
        <c:numFmt formatCode="General" sourceLinked="1"/>
        <c:majorTickMark val="out"/>
        <c:minorTickMark val="none"/>
        <c:tickLblPos val="nextTo"/>
        <c:crossAx val="226828288"/>
        <c:crosses val="autoZero"/>
        <c:auto val="1"/>
        <c:lblAlgn val="ctr"/>
        <c:lblOffset val="100"/>
        <c:noMultiLvlLbl val="0"/>
      </c:catAx>
      <c:valAx>
        <c:axId val="226828288"/>
        <c:scaling>
          <c:orientation val="minMax"/>
          <c:min val="20000"/>
        </c:scaling>
        <c:delete val="0"/>
        <c:axPos val="l"/>
        <c:numFmt formatCode="#,##0" sourceLinked="1"/>
        <c:majorTickMark val="out"/>
        <c:minorTickMark val="none"/>
        <c:tickLblPos val="nextTo"/>
        <c:crossAx val="226801920"/>
        <c:crosses val="autoZero"/>
        <c:crossBetween val="between"/>
      </c:valAx>
      <c:valAx>
        <c:axId val="226829824"/>
        <c:scaling>
          <c:orientation val="minMax"/>
          <c:min val="4000"/>
        </c:scaling>
        <c:delete val="0"/>
        <c:axPos val="r"/>
        <c:numFmt formatCode="#,##0" sourceLinked="1"/>
        <c:majorTickMark val="out"/>
        <c:minorTickMark val="none"/>
        <c:tickLblPos val="nextTo"/>
        <c:crossAx val="226831360"/>
        <c:crosses val="max"/>
        <c:crossBetween val="between"/>
      </c:valAx>
      <c:catAx>
        <c:axId val="226831360"/>
        <c:scaling>
          <c:orientation val="minMax"/>
        </c:scaling>
        <c:delete val="1"/>
        <c:axPos val="b"/>
        <c:numFmt formatCode="General" sourceLinked="1"/>
        <c:majorTickMark val="out"/>
        <c:minorTickMark val="none"/>
        <c:tickLblPos val="nextTo"/>
        <c:crossAx val="226829824"/>
        <c:crosses val="autoZero"/>
        <c:auto val="1"/>
        <c:lblAlgn val="ctr"/>
        <c:lblOffset val="100"/>
        <c:noMultiLvlLbl val="0"/>
      </c:catAx>
    </c:plotArea>
    <c:legend>
      <c:legendPos val="b"/>
      <c:layout>
        <c:manualLayout>
          <c:xMode val="edge"/>
          <c:yMode val="edge"/>
          <c:x val="0.15018864469497259"/>
          <c:y val="0.90525454773333436"/>
          <c:w val="0.69962253785850348"/>
          <c:h val="9.474545226666567E-2"/>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dLbls>
            <c:dLbl>
              <c:idx val="0"/>
              <c:layout>
                <c:manualLayout>
                  <c:x val="-5.0000000000000024E-2"/>
                  <c:y val="5.5555555555555483E-2"/>
                </c:manualLayout>
              </c:layout>
              <c:showLegendKey val="0"/>
              <c:showVal val="1"/>
              <c:showCatName val="0"/>
              <c:showSerName val="0"/>
              <c:showPercent val="0"/>
              <c:showBubbleSize val="0"/>
            </c:dLbl>
            <c:dLbl>
              <c:idx val="1"/>
              <c:layout>
                <c:manualLayout>
                  <c:x val="-5.2980132450331133E-2"/>
                  <c:y val="-8.35207195631225E-2"/>
                </c:manualLayout>
              </c:layout>
              <c:showLegendKey val="0"/>
              <c:showVal val="1"/>
              <c:showCatName val="0"/>
              <c:showSerName val="0"/>
              <c:showPercent val="0"/>
              <c:showBubbleSize val="0"/>
            </c:dLbl>
            <c:dLbl>
              <c:idx val="3"/>
              <c:layout>
                <c:manualLayout>
                  <c:x val="-1.959349234582769E-2"/>
                  <c:y val="-6.573246977355332E-2"/>
                </c:manualLayout>
              </c:layout>
              <c:showLegendKey val="0"/>
              <c:showVal val="1"/>
              <c:showCatName val="0"/>
              <c:showSerName val="0"/>
              <c:showPercent val="0"/>
              <c:showBubbleSize val="0"/>
            </c:dLbl>
            <c:dLbl>
              <c:idx val="4"/>
              <c:layout>
                <c:manualLayout>
                  <c:x val="-0.05"/>
                  <c:y val="-5.09259259259259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ovocie!$B$33:$F$33</c:f>
              <c:numCache>
                <c:formatCode>General</c:formatCode>
                <c:ptCount val="5"/>
                <c:pt idx="0">
                  <c:v>2002</c:v>
                </c:pt>
                <c:pt idx="1">
                  <c:v>2007</c:v>
                </c:pt>
                <c:pt idx="2">
                  <c:v>2008</c:v>
                </c:pt>
                <c:pt idx="3">
                  <c:v>2009</c:v>
                </c:pt>
                <c:pt idx="4">
                  <c:v>2010</c:v>
                </c:pt>
              </c:numCache>
            </c:numRef>
          </c:cat>
          <c:val>
            <c:numRef>
              <c:f>ovocie!$B$34:$F$34</c:f>
              <c:numCache>
                <c:formatCode>0.0</c:formatCode>
                <c:ptCount val="5"/>
                <c:pt idx="0">
                  <c:v>22</c:v>
                </c:pt>
                <c:pt idx="1">
                  <c:v>22.1</c:v>
                </c:pt>
                <c:pt idx="2">
                  <c:v>27.3</c:v>
                </c:pt>
                <c:pt idx="3">
                  <c:v>22.6</c:v>
                </c:pt>
                <c:pt idx="4">
                  <c:v>22.8</c:v>
                </c:pt>
              </c:numCache>
            </c:numRef>
          </c:val>
          <c:smooth val="0"/>
        </c:ser>
        <c:dLbls>
          <c:showLegendKey val="0"/>
          <c:showVal val="0"/>
          <c:showCatName val="0"/>
          <c:showSerName val="0"/>
          <c:showPercent val="0"/>
          <c:showBubbleSize val="0"/>
        </c:dLbls>
        <c:marker val="1"/>
        <c:smooth val="0"/>
        <c:axId val="226861440"/>
        <c:axId val="226862976"/>
      </c:lineChart>
      <c:catAx>
        <c:axId val="226861440"/>
        <c:scaling>
          <c:orientation val="minMax"/>
        </c:scaling>
        <c:delete val="0"/>
        <c:axPos val="b"/>
        <c:numFmt formatCode="General" sourceLinked="1"/>
        <c:majorTickMark val="out"/>
        <c:minorTickMark val="none"/>
        <c:tickLblPos val="nextTo"/>
        <c:crossAx val="226862976"/>
        <c:crosses val="autoZero"/>
        <c:auto val="1"/>
        <c:lblAlgn val="ctr"/>
        <c:lblOffset val="100"/>
        <c:noMultiLvlLbl val="0"/>
      </c:catAx>
      <c:valAx>
        <c:axId val="226862976"/>
        <c:scaling>
          <c:orientation val="minMax"/>
          <c:min val="20"/>
        </c:scaling>
        <c:delete val="0"/>
        <c:axPos val="l"/>
        <c:numFmt formatCode="0.0" sourceLinked="1"/>
        <c:majorTickMark val="out"/>
        <c:minorTickMark val="none"/>
        <c:tickLblPos val="nextTo"/>
        <c:crossAx val="226861440"/>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6187403469873164E-2"/>
          <c:y val="5.1400554097404488E-2"/>
          <c:w val="0.91381259653012692"/>
          <c:h val="0.63971342390138863"/>
        </c:manualLayout>
      </c:layout>
      <c:barChart>
        <c:barDir val="col"/>
        <c:grouping val="clustered"/>
        <c:varyColors val="0"/>
        <c:ser>
          <c:idx val="0"/>
          <c:order val="0"/>
          <c:tx>
            <c:strRef>
              <c:f>ovocie!$S$30</c:f>
              <c:strCache>
                <c:ptCount val="1"/>
                <c:pt idx="0">
                  <c:v>Priemerné náklady na 1 kg produkcie</c:v>
                </c:pt>
              </c:strCache>
            </c:strRef>
          </c:tx>
          <c:invertIfNegative val="0"/>
          <c:dLbls>
            <c:dLbl>
              <c:idx val="0"/>
              <c:layout>
                <c:manualLayout>
                  <c:x val="-9.6269554753309269E-3"/>
                  <c:y val="1.8518518518518538E-2"/>
                </c:manualLayout>
              </c:layout>
              <c:showLegendKey val="0"/>
              <c:showVal val="1"/>
              <c:showCatName val="0"/>
              <c:showSerName val="0"/>
              <c:showPercent val="0"/>
              <c:showBubbleSize val="0"/>
            </c:dLbl>
            <c:dLbl>
              <c:idx val="1"/>
              <c:layout>
                <c:manualLayout>
                  <c:x val="-1.4440433212996401E-2"/>
                  <c:y val="2.3148148148148147E-2"/>
                </c:manualLayout>
              </c:layout>
              <c:showLegendKey val="0"/>
              <c:showVal val="1"/>
              <c:showCatName val="0"/>
              <c:showSerName val="0"/>
              <c:showPercent val="0"/>
              <c:showBubbleSize val="0"/>
            </c:dLbl>
            <c:dLbl>
              <c:idx val="2"/>
              <c:layout>
                <c:manualLayout>
                  <c:x val="-7.2202166064982004E-3"/>
                  <c:y val="2.3148148148148147E-2"/>
                </c:manualLayout>
              </c:layout>
              <c:showLegendKey val="0"/>
              <c:showVal val="1"/>
              <c:showCatName val="0"/>
              <c:showSerName val="0"/>
              <c:showPercent val="0"/>
              <c:showBubbleSize val="0"/>
            </c:dLbl>
            <c:dLbl>
              <c:idx val="3"/>
              <c:layout>
                <c:manualLayout>
                  <c:x val="-9.6269554753309269E-3"/>
                  <c:y val="9.2592592592592813E-3"/>
                </c:manualLayout>
              </c:layout>
              <c:showLegendKey val="0"/>
              <c:showVal val="1"/>
              <c:showCatName val="0"/>
              <c:showSerName val="0"/>
              <c:showPercent val="0"/>
              <c:showBubbleSize val="0"/>
            </c:dLbl>
            <c:dLbl>
              <c:idx val="4"/>
              <c:layout>
                <c:manualLayout>
                  <c:x val="-7.2202166064982004E-3"/>
                  <c:y val="1.8518518518518538E-2"/>
                </c:manualLayout>
              </c:layout>
              <c:showLegendKey val="0"/>
              <c:showVal val="1"/>
              <c:showCatName val="0"/>
              <c:showSerName val="0"/>
              <c:showPercent val="0"/>
              <c:showBubbleSize val="0"/>
            </c:dLbl>
            <c:dLbl>
              <c:idx val="5"/>
              <c:layout>
                <c:manualLayout>
                  <c:x val="0"/>
                  <c:y val="1.851851851851853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ovocie!$R$31:$R$36</c:f>
              <c:strCache>
                <c:ptCount val="6"/>
                <c:pt idx="0">
                  <c:v>Jablká stolové</c:v>
                </c:pt>
                <c:pt idx="1">
                  <c:v>Hrušky</c:v>
                </c:pt>
                <c:pt idx="2">
                  <c:v>Broskyne</c:v>
                </c:pt>
                <c:pt idx="3">
                  <c:v>Marhule</c:v>
                </c:pt>
                <c:pt idx="4">
                  <c:v>Slivky</c:v>
                </c:pt>
                <c:pt idx="5">
                  <c:v>Čerešne</c:v>
                </c:pt>
              </c:strCache>
            </c:strRef>
          </c:cat>
          <c:val>
            <c:numRef>
              <c:f>ovocie!$S$31:$S$36</c:f>
              <c:numCache>
                <c:formatCode>#,##0.00\ "€"</c:formatCode>
                <c:ptCount val="6"/>
                <c:pt idx="0">
                  <c:v>0.4</c:v>
                </c:pt>
                <c:pt idx="1">
                  <c:v>0.35000000000000031</c:v>
                </c:pt>
                <c:pt idx="2">
                  <c:v>0.75000000000000078</c:v>
                </c:pt>
                <c:pt idx="3">
                  <c:v>0.65000000000000091</c:v>
                </c:pt>
                <c:pt idx="4">
                  <c:v>0.45</c:v>
                </c:pt>
                <c:pt idx="5">
                  <c:v>1.8</c:v>
                </c:pt>
              </c:numCache>
            </c:numRef>
          </c:val>
        </c:ser>
        <c:ser>
          <c:idx val="1"/>
          <c:order val="1"/>
          <c:tx>
            <c:strRef>
              <c:f>ovocie!$T$30</c:f>
              <c:strCache>
                <c:ptCount val="1"/>
                <c:pt idx="0">
                  <c:v>Priemerné ceny prvovýrobcu za 1 kg produkcie</c:v>
                </c:pt>
              </c:strCache>
            </c:strRef>
          </c:tx>
          <c:invertIfNegative val="0"/>
          <c:dLbls>
            <c:dLbl>
              <c:idx val="0"/>
              <c:layout>
                <c:manualLayout>
                  <c:x val="1.4440433212996401E-2"/>
                  <c:y val="1.3888888888888911E-2"/>
                </c:manualLayout>
              </c:layout>
              <c:showLegendKey val="0"/>
              <c:showVal val="1"/>
              <c:showCatName val="0"/>
              <c:showSerName val="0"/>
              <c:showPercent val="0"/>
              <c:showBubbleSize val="0"/>
            </c:dLbl>
            <c:dLbl>
              <c:idx val="1"/>
              <c:layout>
                <c:manualLayout>
                  <c:x val="1.4440433212996401E-2"/>
                  <c:y val="2.7777777777777842E-2"/>
                </c:manualLayout>
              </c:layout>
              <c:showLegendKey val="0"/>
              <c:showVal val="1"/>
              <c:showCatName val="0"/>
              <c:showSerName val="0"/>
              <c:showPercent val="0"/>
              <c:showBubbleSize val="0"/>
            </c:dLbl>
            <c:dLbl>
              <c:idx val="2"/>
              <c:layout>
                <c:manualLayout>
                  <c:x val="1.203369434416366E-2"/>
                  <c:y val="1.3888888888888911E-2"/>
                </c:manualLayout>
              </c:layout>
              <c:showLegendKey val="0"/>
              <c:showVal val="1"/>
              <c:showCatName val="0"/>
              <c:showSerName val="0"/>
              <c:showPercent val="0"/>
              <c:showBubbleSize val="0"/>
            </c:dLbl>
            <c:dLbl>
              <c:idx val="3"/>
              <c:layout>
                <c:manualLayout>
                  <c:x val="1.4440433212996481E-2"/>
                  <c:y val="9.2592592592592813E-3"/>
                </c:manualLayout>
              </c:layout>
              <c:showLegendKey val="0"/>
              <c:showVal val="1"/>
              <c:showCatName val="0"/>
              <c:showSerName val="0"/>
              <c:showPercent val="0"/>
              <c:showBubbleSize val="0"/>
            </c:dLbl>
            <c:dLbl>
              <c:idx val="4"/>
              <c:layout>
                <c:manualLayout>
                  <c:x val="1.6847172081829041E-2"/>
                  <c:y val="1.3888888888888911E-2"/>
                </c:manualLayout>
              </c:layout>
              <c:showLegendKey val="0"/>
              <c:showVal val="1"/>
              <c:showCatName val="0"/>
              <c:showSerName val="0"/>
              <c:showPercent val="0"/>
              <c:showBubbleSize val="0"/>
            </c:dLbl>
            <c:dLbl>
              <c:idx val="5"/>
              <c:layout>
                <c:manualLayout>
                  <c:x val="1.203369434416366E-2"/>
                  <c:y val="9.259259259259322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ovocie!$R$31:$R$36</c:f>
              <c:strCache>
                <c:ptCount val="6"/>
                <c:pt idx="0">
                  <c:v>Jablká stolové</c:v>
                </c:pt>
                <c:pt idx="1">
                  <c:v>Hrušky</c:v>
                </c:pt>
                <c:pt idx="2">
                  <c:v>Broskyne</c:v>
                </c:pt>
                <c:pt idx="3">
                  <c:v>Marhule</c:v>
                </c:pt>
                <c:pt idx="4">
                  <c:v>Slivky</c:v>
                </c:pt>
                <c:pt idx="5">
                  <c:v>Čerešne</c:v>
                </c:pt>
              </c:strCache>
            </c:strRef>
          </c:cat>
          <c:val>
            <c:numRef>
              <c:f>ovocie!$T$31:$T$36</c:f>
              <c:numCache>
                <c:formatCode>#,##0.00\ "€"</c:formatCode>
                <c:ptCount val="6"/>
                <c:pt idx="0">
                  <c:v>0.39698000000000067</c:v>
                </c:pt>
                <c:pt idx="1">
                  <c:v>0.43441000000000046</c:v>
                </c:pt>
                <c:pt idx="2">
                  <c:v>0.56492999999999993</c:v>
                </c:pt>
                <c:pt idx="3">
                  <c:v>0.76291999999999993</c:v>
                </c:pt>
                <c:pt idx="4">
                  <c:v>0.41848000000000046</c:v>
                </c:pt>
                <c:pt idx="5">
                  <c:v>1.09955</c:v>
                </c:pt>
              </c:numCache>
            </c:numRef>
          </c:val>
        </c:ser>
        <c:dLbls>
          <c:showLegendKey val="0"/>
          <c:showVal val="0"/>
          <c:showCatName val="0"/>
          <c:showSerName val="0"/>
          <c:showPercent val="0"/>
          <c:showBubbleSize val="0"/>
        </c:dLbls>
        <c:gapWidth val="150"/>
        <c:axId val="226888320"/>
        <c:axId val="226898304"/>
      </c:barChart>
      <c:catAx>
        <c:axId val="226888320"/>
        <c:scaling>
          <c:orientation val="minMax"/>
        </c:scaling>
        <c:delete val="0"/>
        <c:axPos val="b"/>
        <c:majorTickMark val="out"/>
        <c:minorTickMark val="none"/>
        <c:tickLblPos val="nextTo"/>
        <c:crossAx val="226898304"/>
        <c:crosses val="autoZero"/>
        <c:auto val="1"/>
        <c:lblAlgn val="ctr"/>
        <c:lblOffset val="100"/>
        <c:noMultiLvlLbl val="0"/>
      </c:catAx>
      <c:valAx>
        <c:axId val="226898304"/>
        <c:scaling>
          <c:orientation val="minMax"/>
        </c:scaling>
        <c:delete val="0"/>
        <c:axPos val="l"/>
        <c:numFmt formatCode="#,##0.00\ &quot;€&quot;" sourceLinked="1"/>
        <c:majorTickMark val="out"/>
        <c:minorTickMark val="none"/>
        <c:tickLblPos val="nextTo"/>
        <c:crossAx val="226888320"/>
        <c:crosses val="autoZero"/>
        <c:crossBetween val="between"/>
      </c:valAx>
    </c:plotArea>
    <c:legend>
      <c:legendPos val="b"/>
      <c:layout>
        <c:manualLayout>
          <c:xMode val="edge"/>
          <c:yMode val="edge"/>
          <c:x val="4.9999912646818918E-2"/>
          <c:y val="0.89662295412342263"/>
          <c:w val="0.9"/>
          <c:h val="0.10337704587657806"/>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5496062992125983"/>
          <c:y val="0.1532524059492564"/>
          <c:w val="0.69007874015748061"/>
          <c:h val="0.66556904345290169"/>
        </c:manualLayout>
      </c:layout>
      <c:lineChart>
        <c:grouping val="standard"/>
        <c:varyColors val="0"/>
        <c:ser>
          <c:idx val="0"/>
          <c:order val="0"/>
          <c:tx>
            <c:strRef>
              <c:f>Hárok1!$A$2</c:f>
              <c:strCache>
                <c:ptCount val="1"/>
                <c:pt idx="0">
                  <c:v>Lesné pozemky (výmera v ha)</c:v>
                </c:pt>
              </c:strCache>
            </c:strRef>
          </c:tx>
          <c:dLbls>
            <c:dLbl>
              <c:idx val="0"/>
              <c:layout>
                <c:manualLayout>
                  <c:x val="-4.1666666666666664E-2"/>
                  <c:y val="-5.5555555555555483E-2"/>
                </c:manualLayout>
              </c:layout>
              <c:showLegendKey val="0"/>
              <c:showVal val="1"/>
              <c:showCatName val="0"/>
              <c:showSerName val="0"/>
              <c:showPercent val="0"/>
              <c:showBubbleSize val="0"/>
            </c:dLbl>
            <c:dLbl>
              <c:idx val="1"/>
              <c:layout>
                <c:manualLayout>
                  <c:x val="-3.0555555555555579E-2"/>
                  <c:y val="4.6296296296296363E-2"/>
                </c:manualLayout>
              </c:layout>
              <c:showLegendKey val="0"/>
              <c:showVal val="1"/>
              <c:showCatName val="0"/>
              <c:showSerName val="0"/>
              <c:showPercent val="0"/>
              <c:showBubbleSize val="0"/>
            </c:dLbl>
            <c:dLbl>
              <c:idx val="4"/>
              <c:layout>
                <c:manualLayout>
                  <c:x val="-3.6111111111111149E-2"/>
                  <c:y val="4.1666666666666664E-2"/>
                </c:manualLayout>
              </c:layout>
              <c:showLegendKey val="0"/>
              <c:showVal val="1"/>
              <c:showCatName val="0"/>
              <c:showSerName val="0"/>
              <c:showPercent val="0"/>
              <c:showBubbleSize val="0"/>
            </c:dLbl>
            <c:dLbl>
              <c:idx val="5"/>
              <c:layout>
                <c:manualLayout>
                  <c:x val="-0.1"/>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Hárok1!$B$1:$G$1</c:f>
              <c:numCache>
                <c:formatCode>General</c:formatCode>
                <c:ptCount val="6"/>
                <c:pt idx="0">
                  <c:v>2002</c:v>
                </c:pt>
                <c:pt idx="1">
                  <c:v>2007</c:v>
                </c:pt>
                <c:pt idx="2">
                  <c:v>2008</c:v>
                </c:pt>
                <c:pt idx="3">
                  <c:v>2009</c:v>
                </c:pt>
                <c:pt idx="4">
                  <c:v>2010</c:v>
                </c:pt>
                <c:pt idx="5">
                  <c:v>2011</c:v>
                </c:pt>
              </c:numCache>
            </c:numRef>
          </c:cat>
          <c:val>
            <c:numRef>
              <c:f>Hárok1!$B$2:$G$2</c:f>
              <c:numCache>
                <c:formatCode>#,##0</c:formatCode>
                <c:ptCount val="6"/>
                <c:pt idx="0">
                  <c:v>2008349</c:v>
                </c:pt>
                <c:pt idx="1">
                  <c:v>2006601</c:v>
                </c:pt>
                <c:pt idx="2">
                  <c:v>2007441</c:v>
                </c:pt>
                <c:pt idx="3">
                  <c:v>2009264</c:v>
                </c:pt>
                <c:pt idx="4">
                  <c:v>2010817</c:v>
                </c:pt>
                <c:pt idx="5">
                  <c:v>2011467</c:v>
                </c:pt>
              </c:numCache>
            </c:numRef>
          </c:val>
          <c:smooth val="0"/>
        </c:ser>
        <c:dLbls>
          <c:showLegendKey val="0"/>
          <c:showVal val="0"/>
          <c:showCatName val="0"/>
          <c:showSerName val="0"/>
          <c:showPercent val="0"/>
          <c:showBubbleSize val="0"/>
        </c:dLbls>
        <c:marker val="1"/>
        <c:smooth val="0"/>
        <c:axId val="226933376"/>
        <c:axId val="226963840"/>
      </c:lineChart>
      <c:lineChart>
        <c:grouping val="standard"/>
        <c:varyColors val="0"/>
        <c:ser>
          <c:idx val="1"/>
          <c:order val="1"/>
          <c:tx>
            <c:strRef>
              <c:f>Hárok1!$A$3</c:f>
              <c:strCache>
                <c:ptCount val="1"/>
                <c:pt idx="0">
                  <c:v>Porastová pôda (výmera v ha)</c:v>
                </c:pt>
              </c:strCache>
            </c:strRef>
          </c:tx>
          <c:dLbls>
            <c:dLbl>
              <c:idx val="0"/>
              <c:layout>
                <c:manualLayout>
                  <c:x val="-5.8333333333333431E-2"/>
                  <c:y val="5.5555555555555483E-2"/>
                </c:manualLayout>
              </c:layout>
              <c:showLegendKey val="0"/>
              <c:showVal val="1"/>
              <c:showCatName val="0"/>
              <c:showSerName val="0"/>
              <c:showPercent val="0"/>
              <c:showBubbleSize val="0"/>
            </c:dLbl>
            <c:dLbl>
              <c:idx val="1"/>
              <c:layout>
                <c:manualLayout>
                  <c:x val="-4.1666666666666664E-2"/>
                  <c:y val="2.7777777777777842E-2"/>
                </c:manualLayout>
              </c:layout>
              <c:showLegendKey val="0"/>
              <c:showVal val="1"/>
              <c:showCatName val="0"/>
              <c:showSerName val="0"/>
              <c:showPercent val="0"/>
              <c:showBubbleSize val="0"/>
            </c:dLbl>
            <c:dLbl>
              <c:idx val="2"/>
              <c:layout>
                <c:manualLayout>
                  <c:x val="-9.1666666666666827E-2"/>
                  <c:y val="-5.0925925925925992E-2"/>
                </c:manualLayout>
              </c:layout>
              <c:showLegendKey val="0"/>
              <c:showVal val="1"/>
              <c:showCatName val="0"/>
              <c:showSerName val="0"/>
              <c:showPercent val="0"/>
              <c:showBubbleSize val="0"/>
            </c:dLbl>
            <c:dLbl>
              <c:idx val="3"/>
              <c:layout>
                <c:manualLayout>
                  <c:x val="-0.10555555555555562"/>
                  <c:y val="-3.7037037037037056E-2"/>
                </c:manualLayout>
              </c:layout>
              <c:showLegendKey val="0"/>
              <c:showVal val="1"/>
              <c:showCatName val="0"/>
              <c:showSerName val="0"/>
              <c:showPercent val="0"/>
              <c:showBubbleSize val="0"/>
            </c:dLbl>
            <c:dLbl>
              <c:idx val="4"/>
              <c:layout>
                <c:manualLayout>
                  <c:x val="-0.11666666666666672"/>
                  <c:y val="-5.5555555555555483E-2"/>
                </c:manualLayout>
              </c:layout>
              <c:showLegendKey val="0"/>
              <c:showVal val="1"/>
              <c:showCatName val="0"/>
              <c:showSerName val="0"/>
              <c:showPercent val="0"/>
              <c:showBubbleSize val="0"/>
            </c:dLbl>
            <c:dLbl>
              <c:idx val="5"/>
              <c:layout>
                <c:manualLayout>
                  <c:x val="-5.8050080912744405E-2"/>
                  <c:y val="3.240740740740745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Hárok1!$B$1:$G$1</c:f>
              <c:numCache>
                <c:formatCode>General</c:formatCode>
                <c:ptCount val="6"/>
                <c:pt idx="0">
                  <c:v>2002</c:v>
                </c:pt>
                <c:pt idx="1">
                  <c:v>2007</c:v>
                </c:pt>
                <c:pt idx="2">
                  <c:v>2008</c:v>
                </c:pt>
                <c:pt idx="3">
                  <c:v>2009</c:v>
                </c:pt>
                <c:pt idx="4">
                  <c:v>2010</c:v>
                </c:pt>
                <c:pt idx="5">
                  <c:v>2011</c:v>
                </c:pt>
              </c:numCache>
            </c:numRef>
          </c:cat>
          <c:val>
            <c:numRef>
              <c:f>Hárok1!$B$3:$G$3</c:f>
              <c:numCache>
                <c:formatCode>#,##0</c:formatCode>
                <c:ptCount val="6"/>
                <c:pt idx="0">
                  <c:v>1928709</c:v>
                </c:pt>
                <c:pt idx="1">
                  <c:v>1932942</c:v>
                </c:pt>
                <c:pt idx="2">
                  <c:v>1933591</c:v>
                </c:pt>
                <c:pt idx="3">
                  <c:v>1937685</c:v>
                </c:pt>
                <c:pt idx="4">
                  <c:v>1938904</c:v>
                </c:pt>
                <c:pt idx="5">
                  <c:v>1940108</c:v>
                </c:pt>
              </c:numCache>
            </c:numRef>
          </c:val>
          <c:smooth val="0"/>
        </c:ser>
        <c:dLbls>
          <c:showLegendKey val="0"/>
          <c:showVal val="0"/>
          <c:showCatName val="0"/>
          <c:showSerName val="0"/>
          <c:showPercent val="0"/>
          <c:showBubbleSize val="0"/>
        </c:dLbls>
        <c:marker val="1"/>
        <c:smooth val="0"/>
        <c:axId val="226966912"/>
        <c:axId val="226965376"/>
      </c:lineChart>
      <c:catAx>
        <c:axId val="226933376"/>
        <c:scaling>
          <c:orientation val="minMax"/>
        </c:scaling>
        <c:delete val="0"/>
        <c:axPos val="b"/>
        <c:numFmt formatCode="General" sourceLinked="1"/>
        <c:majorTickMark val="out"/>
        <c:minorTickMark val="none"/>
        <c:tickLblPos val="nextTo"/>
        <c:crossAx val="226963840"/>
        <c:crosses val="autoZero"/>
        <c:auto val="1"/>
        <c:lblAlgn val="ctr"/>
        <c:lblOffset val="100"/>
        <c:noMultiLvlLbl val="0"/>
      </c:catAx>
      <c:valAx>
        <c:axId val="226963840"/>
        <c:scaling>
          <c:orientation val="minMax"/>
        </c:scaling>
        <c:delete val="0"/>
        <c:axPos val="l"/>
        <c:numFmt formatCode="#,##0" sourceLinked="1"/>
        <c:majorTickMark val="out"/>
        <c:minorTickMark val="none"/>
        <c:tickLblPos val="nextTo"/>
        <c:crossAx val="226933376"/>
        <c:crosses val="autoZero"/>
        <c:crossBetween val="between"/>
      </c:valAx>
      <c:valAx>
        <c:axId val="226965376"/>
        <c:scaling>
          <c:orientation val="minMax"/>
        </c:scaling>
        <c:delete val="0"/>
        <c:axPos val="r"/>
        <c:numFmt formatCode="#,##0" sourceLinked="1"/>
        <c:majorTickMark val="out"/>
        <c:minorTickMark val="none"/>
        <c:tickLblPos val="nextTo"/>
        <c:crossAx val="226966912"/>
        <c:crosses val="max"/>
        <c:crossBetween val="between"/>
      </c:valAx>
      <c:catAx>
        <c:axId val="226966912"/>
        <c:scaling>
          <c:orientation val="minMax"/>
        </c:scaling>
        <c:delete val="1"/>
        <c:axPos val="b"/>
        <c:numFmt formatCode="General" sourceLinked="1"/>
        <c:majorTickMark val="out"/>
        <c:minorTickMark val="none"/>
        <c:tickLblPos val="nextTo"/>
        <c:crossAx val="226965376"/>
        <c:crosses val="autoZero"/>
        <c:auto val="1"/>
        <c:lblAlgn val="ctr"/>
        <c:lblOffset val="100"/>
        <c:noMultiLvlLbl val="0"/>
      </c:catAx>
    </c:plotArea>
    <c:legend>
      <c:legendPos val="b"/>
      <c:layout>
        <c:manualLayout>
          <c:xMode val="edge"/>
          <c:yMode val="edge"/>
          <c:x val="0.11724681595776233"/>
          <c:y val="0.92146216097987699"/>
          <c:w val="0.7655063680844757"/>
          <c:h val="7.8537839020122513E-2"/>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0"/>
      <c:rAngAx val="0"/>
      <c:perspective val="30"/>
    </c:view3D>
    <c:floor>
      <c:thickness val="0"/>
    </c:floor>
    <c:sideWall>
      <c:thickness val="0"/>
    </c:sideWall>
    <c:backWall>
      <c:thickness val="0"/>
    </c:backWall>
    <c:plotArea>
      <c:layout>
        <c:manualLayout>
          <c:layoutTarget val="inner"/>
          <c:xMode val="edge"/>
          <c:yMode val="edge"/>
          <c:x val="9.0277777777777693E-2"/>
          <c:y val="0.19675925925925927"/>
          <c:w val="0.84027777777777779"/>
          <c:h val="0.80092592592592549"/>
        </c:manualLayout>
      </c:layout>
      <c:pie3DChart>
        <c:varyColors val="1"/>
        <c:ser>
          <c:idx val="0"/>
          <c:order val="0"/>
          <c:explosion val="25"/>
          <c:dPt>
            <c:idx val="0"/>
            <c:bubble3D val="0"/>
            <c:explosion val="10"/>
            <c:spPr>
              <a:solidFill>
                <a:schemeClr val="bg1">
                  <a:lumMod val="85000"/>
                </a:schemeClr>
              </a:solidFill>
            </c:spPr>
          </c:dPt>
          <c:dPt>
            <c:idx val="1"/>
            <c:bubble3D val="0"/>
            <c:spPr>
              <a:solidFill>
                <a:schemeClr val="bg1">
                  <a:lumMod val="50000"/>
                </a:schemeClr>
              </a:solidFill>
            </c:spPr>
          </c:dPt>
          <c:dPt>
            <c:idx val="2"/>
            <c:bubble3D val="0"/>
            <c:spPr>
              <a:solidFill>
                <a:schemeClr val="tx1">
                  <a:lumMod val="75000"/>
                  <a:lumOff val="25000"/>
                </a:schemeClr>
              </a:solidFill>
            </c:spPr>
          </c:dPt>
          <c:dLbls>
            <c:dLbl>
              <c:idx val="0"/>
              <c:layout>
                <c:manualLayout>
                  <c:x val="-0.2060275590551181"/>
                  <c:y val="-0.22035177894429847"/>
                </c:manualLayout>
              </c:layout>
              <c:showLegendKey val="0"/>
              <c:showVal val="0"/>
              <c:showCatName val="1"/>
              <c:showSerName val="0"/>
              <c:showPercent val="1"/>
              <c:showBubbleSize val="0"/>
            </c:dLbl>
            <c:dLbl>
              <c:idx val="1"/>
              <c:layout>
                <c:manualLayout>
                  <c:x val="-1.1147053058987409E-2"/>
                  <c:y val="-5.3540701491549825E-2"/>
                </c:manualLayout>
              </c:layout>
              <c:showLegendKey val="0"/>
              <c:showVal val="0"/>
              <c:showCatName val="1"/>
              <c:showSerName val="0"/>
              <c:showPercent val="1"/>
              <c:showBubbleSize val="0"/>
            </c:dLbl>
            <c:dLbl>
              <c:idx val="2"/>
              <c:layout>
                <c:manualLayout>
                  <c:x val="-5.9132212985238075E-2"/>
                  <c:y val="-3.4973712689856079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Hárok1!$A$9:$A$11</c:f>
              <c:strCache>
                <c:ptCount val="3"/>
                <c:pt idx="0">
                  <c:v>Hospodárske lesy</c:v>
                </c:pt>
                <c:pt idx="1">
                  <c:v>Ochranné lesy</c:v>
                </c:pt>
                <c:pt idx="2">
                  <c:v>Lesy osobitného určenia</c:v>
                </c:pt>
              </c:strCache>
            </c:strRef>
          </c:cat>
          <c:val>
            <c:numRef>
              <c:f>Hárok1!$B$9:$B$11</c:f>
              <c:numCache>
                <c:formatCode>#,##0</c:formatCode>
                <c:ptCount val="3"/>
                <c:pt idx="0">
                  <c:v>1365893</c:v>
                </c:pt>
                <c:pt idx="1">
                  <c:v>331694</c:v>
                </c:pt>
                <c:pt idx="2">
                  <c:v>242521</c:v>
                </c:pt>
              </c:numCache>
            </c:numRef>
          </c:val>
        </c:ser>
        <c:dLbls>
          <c:showLegendKey val="0"/>
          <c:showVal val="0"/>
          <c:showCatName val="1"/>
          <c:showSerName val="0"/>
          <c:showPercent val="1"/>
          <c:showBubbleSize val="0"/>
          <c:showLeaderLines val="1"/>
        </c:dLbls>
      </c:pie3DChart>
    </c:plotArea>
    <c:plotVisOnly val="1"/>
    <c:dispBlanksAs val="zero"/>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8007261701124339E-2"/>
          <c:y val="5.5555555555555483E-2"/>
          <c:w val="0.92114058659334264"/>
          <c:h val="0.79183253135024756"/>
        </c:manualLayout>
      </c:layout>
      <c:barChart>
        <c:barDir val="bar"/>
        <c:grouping val="stacked"/>
        <c:varyColors val="0"/>
        <c:ser>
          <c:idx val="0"/>
          <c:order val="0"/>
          <c:tx>
            <c:strRef>
              <c:f>Hárok1!$K$20</c:f>
              <c:strCache>
                <c:ptCount val="1"/>
                <c:pt idx="0">
                  <c:v>%-álne zastúpenie ihličnatých drevín</c:v>
                </c:pt>
              </c:strCache>
            </c:strRef>
          </c:tx>
          <c:spPr>
            <a:solidFill>
              <a:schemeClr val="bg1">
                <a:lumMod val="85000"/>
              </a:schemeClr>
            </a:solidFill>
          </c:spPr>
          <c:invertIfNegative val="0"/>
          <c:dLbls>
            <c:showLegendKey val="0"/>
            <c:showVal val="1"/>
            <c:showCatName val="0"/>
            <c:showSerName val="0"/>
            <c:showPercent val="0"/>
            <c:showBubbleSize val="0"/>
            <c:showLeaderLines val="0"/>
          </c:dLbls>
          <c:cat>
            <c:numRef>
              <c:f>Hárok1!$J$21:$J$26</c:f>
              <c:numCache>
                <c:formatCode>General</c:formatCode>
                <c:ptCount val="6"/>
                <c:pt idx="0">
                  <c:v>2002</c:v>
                </c:pt>
                <c:pt idx="1">
                  <c:v>2007</c:v>
                </c:pt>
                <c:pt idx="2">
                  <c:v>2008</c:v>
                </c:pt>
                <c:pt idx="3">
                  <c:v>2009</c:v>
                </c:pt>
                <c:pt idx="4">
                  <c:v>2010</c:v>
                </c:pt>
                <c:pt idx="5">
                  <c:v>2011</c:v>
                </c:pt>
              </c:numCache>
            </c:numRef>
          </c:cat>
          <c:val>
            <c:numRef>
              <c:f>Hárok1!$K$21:$K$26</c:f>
              <c:numCache>
                <c:formatCode>0.00%</c:formatCode>
                <c:ptCount val="6"/>
                <c:pt idx="0">
                  <c:v>0.41600000000000031</c:v>
                </c:pt>
                <c:pt idx="1">
                  <c:v>0.40500000000000008</c:v>
                </c:pt>
                <c:pt idx="2">
                  <c:v>0.40300000000000002</c:v>
                </c:pt>
                <c:pt idx="3">
                  <c:v>0.40100000000000002</c:v>
                </c:pt>
                <c:pt idx="4">
                  <c:v>0.39800000000000046</c:v>
                </c:pt>
                <c:pt idx="5">
                  <c:v>0.39500000000000046</c:v>
                </c:pt>
              </c:numCache>
            </c:numRef>
          </c:val>
        </c:ser>
        <c:ser>
          <c:idx val="1"/>
          <c:order val="1"/>
          <c:tx>
            <c:strRef>
              <c:f>Hárok1!$L$20</c:f>
              <c:strCache>
                <c:ptCount val="1"/>
                <c:pt idx="0">
                  <c:v>%-álne zastúpenie listnatých drevín</c:v>
                </c:pt>
              </c:strCache>
            </c:strRef>
          </c:tx>
          <c:invertIfNegative val="0"/>
          <c:dLbls>
            <c:showLegendKey val="0"/>
            <c:showVal val="1"/>
            <c:showCatName val="0"/>
            <c:showSerName val="0"/>
            <c:showPercent val="0"/>
            <c:showBubbleSize val="0"/>
            <c:showLeaderLines val="0"/>
          </c:dLbls>
          <c:cat>
            <c:numRef>
              <c:f>Hárok1!$J$21:$J$26</c:f>
              <c:numCache>
                <c:formatCode>General</c:formatCode>
                <c:ptCount val="6"/>
                <c:pt idx="0">
                  <c:v>2002</c:v>
                </c:pt>
                <c:pt idx="1">
                  <c:v>2007</c:v>
                </c:pt>
                <c:pt idx="2">
                  <c:v>2008</c:v>
                </c:pt>
                <c:pt idx="3">
                  <c:v>2009</c:v>
                </c:pt>
                <c:pt idx="4">
                  <c:v>2010</c:v>
                </c:pt>
                <c:pt idx="5">
                  <c:v>2011</c:v>
                </c:pt>
              </c:numCache>
            </c:numRef>
          </c:cat>
          <c:val>
            <c:numRef>
              <c:f>Hárok1!$L$21:$L$26</c:f>
              <c:numCache>
                <c:formatCode>0.00%</c:formatCode>
                <c:ptCount val="6"/>
                <c:pt idx="0">
                  <c:v>0.58399999999999996</c:v>
                </c:pt>
                <c:pt idx="1">
                  <c:v>0.59499999999999997</c:v>
                </c:pt>
                <c:pt idx="2">
                  <c:v>0.59699999999999998</c:v>
                </c:pt>
                <c:pt idx="3">
                  <c:v>0.59899999999999998</c:v>
                </c:pt>
                <c:pt idx="4">
                  <c:v>0.60200000000000065</c:v>
                </c:pt>
                <c:pt idx="5">
                  <c:v>0.60500000000000065</c:v>
                </c:pt>
              </c:numCache>
            </c:numRef>
          </c:val>
        </c:ser>
        <c:dLbls>
          <c:showLegendKey val="0"/>
          <c:showVal val="0"/>
          <c:showCatName val="0"/>
          <c:showSerName val="0"/>
          <c:showPercent val="0"/>
          <c:showBubbleSize val="0"/>
        </c:dLbls>
        <c:gapWidth val="150"/>
        <c:overlap val="100"/>
        <c:axId val="227026432"/>
        <c:axId val="227027968"/>
      </c:barChart>
      <c:catAx>
        <c:axId val="227026432"/>
        <c:scaling>
          <c:orientation val="minMax"/>
        </c:scaling>
        <c:delete val="0"/>
        <c:axPos val="l"/>
        <c:numFmt formatCode="General" sourceLinked="1"/>
        <c:majorTickMark val="out"/>
        <c:minorTickMark val="none"/>
        <c:tickLblPos val="nextTo"/>
        <c:crossAx val="227027968"/>
        <c:crosses val="autoZero"/>
        <c:auto val="1"/>
        <c:lblAlgn val="ctr"/>
        <c:lblOffset val="100"/>
        <c:noMultiLvlLbl val="0"/>
      </c:catAx>
      <c:valAx>
        <c:axId val="227027968"/>
        <c:scaling>
          <c:orientation val="minMax"/>
        </c:scaling>
        <c:delete val="1"/>
        <c:axPos val="b"/>
        <c:numFmt formatCode="0.00%" sourceLinked="1"/>
        <c:majorTickMark val="out"/>
        <c:minorTickMark val="none"/>
        <c:tickLblPos val="nextTo"/>
        <c:crossAx val="227026432"/>
        <c:crosses val="autoZero"/>
        <c:crossBetween val="between"/>
      </c:valAx>
    </c:plotArea>
    <c:legend>
      <c:legendPos val="b"/>
      <c:layout>
        <c:manualLayout>
          <c:xMode val="edge"/>
          <c:yMode val="edge"/>
          <c:x val="0.14623939101629435"/>
          <c:y val="0.91220290172061713"/>
          <c:w val="0.70752121796741263"/>
          <c:h val="7.8537839020122513E-2"/>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Hárok6!$A$3</c:f>
              <c:strCache>
                <c:ptCount val="1"/>
                <c:pt idx="0">
                  <c:v>Skutočná veková štruktúra lesov (ha)</c:v>
                </c:pt>
              </c:strCache>
            </c:strRef>
          </c:tx>
          <c:cat>
            <c:multiLvlStrRef>
              <c:f>Hárok6!$B$1:$Q$2</c:f>
              <c:multiLvlStrCache>
                <c:ptCount val="16"/>
                <c:lvl>
                  <c:pt idx="0">
                    <c:v>Holina</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lvl>
                <c:lvl>
                  <c:pt idx="0">
                    <c:v>Vekový stupeň</c:v>
                  </c:pt>
                </c:lvl>
              </c:multiLvlStrCache>
            </c:multiLvlStrRef>
          </c:cat>
          <c:val>
            <c:numRef>
              <c:f>Hárok6!$B$3:$Q$3</c:f>
              <c:numCache>
                <c:formatCode>General</c:formatCode>
                <c:ptCount val="16"/>
                <c:pt idx="0">
                  <c:v>8984</c:v>
                </c:pt>
                <c:pt idx="1">
                  <c:v>157365</c:v>
                </c:pt>
                <c:pt idx="2">
                  <c:v>136230</c:v>
                </c:pt>
                <c:pt idx="3">
                  <c:v>159198</c:v>
                </c:pt>
                <c:pt idx="4">
                  <c:v>139186</c:v>
                </c:pt>
                <c:pt idx="5">
                  <c:v>128135</c:v>
                </c:pt>
                <c:pt idx="6">
                  <c:v>153085</c:v>
                </c:pt>
                <c:pt idx="7">
                  <c:v>199485</c:v>
                </c:pt>
                <c:pt idx="8">
                  <c:v>193103</c:v>
                </c:pt>
                <c:pt idx="9">
                  <c:v>178269</c:v>
                </c:pt>
                <c:pt idx="10">
                  <c:v>168898</c:v>
                </c:pt>
                <c:pt idx="11">
                  <c:v>123153</c:v>
                </c:pt>
                <c:pt idx="12">
                  <c:v>70264</c:v>
                </c:pt>
                <c:pt idx="13">
                  <c:v>41027</c:v>
                </c:pt>
                <c:pt idx="14">
                  <c:v>26242</c:v>
                </c:pt>
                <c:pt idx="15">
                  <c:v>57484</c:v>
                </c:pt>
              </c:numCache>
            </c:numRef>
          </c:val>
          <c:smooth val="0"/>
        </c:ser>
        <c:ser>
          <c:idx val="1"/>
          <c:order val="1"/>
          <c:tx>
            <c:strRef>
              <c:f>Hárok6!$A$4</c:f>
              <c:strCache>
                <c:ptCount val="1"/>
                <c:pt idx="0">
                  <c:v>Normálna veková štruktúra lesov v (ha)</c:v>
                </c:pt>
              </c:strCache>
            </c:strRef>
          </c:tx>
          <c:cat>
            <c:multiLvlStrRef>
              <c:f>Hárok6!$B$1:$Q$2</c:f>
              <c:multiLvlStrCache>
                <c:ptCount val="16"/>
                <c:lvl>
                  <c:pt idx="0">
                    <c:v>Holina</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lvl>
                <c:lvl>
                  <c:pt idx="0">
                    <c:v>Vekový stupeň</c:v>
                  </c:pt>
                </c:lvl>
              </c:multiLvlStrCache>
            </c:multiLvlStrRef>
          </c:cat>
          <c:val>
            <c:numRef>
              <c:f>Hárok6!$B$4:$Q$4</c:f>
              <c:numCache>
                <c:formatCode>General</c:formatCode>
                <c:ptCount val="16"/>
                <c:pt idx="0">
                  <c:v>9638</c:v>
                </c:pt>
                <c:pt idx="1">
                  <c:v>160505</c:v>
                </c:pt>
                <c:pt idx="2">
                  <c:v>160505</c:v>
                </c:pt>
                <c:pt idx="3">
                  <c:v>160505</c:v>
                </c:pt>
                <c:pt idx="4">
                  <c:v>160505</c:v>
                </c:pt>
                <c:pt idx="5">
                  <c:v>160505</c:v>
                </c:pt>
                <c:pt idx="6">
                  <c:v>160505</c:v>
                </c:pt>
                <c:pt idx="7">
                  <c:v>160505</c:v>
                </c:pt>
                <c:pt idx="8">
                  <c:v>160505</c:v>
                </c:pt>
                <c:pt idx="9">
                  <c:v>160505</c:v>
                </c:pt>
                <c:pt idx="10">
                  <c:v>160505</c:v>
                </c:pt>
                <c:pt idx="11">
                  <c:v>141245</c:v>
                </c:pt>
                <c:pt idx="12">
                  <c:v>101118</c:v>
                </c:pt>
                <c:pt idx="13">
                  <c:v>60990</c:v>
                </c:pt>
                <c:pt idx="14">
                  <c:v>20863</c:v>
                </c:pt>
                <c:pt idx="15">
                  <c:v>0</c:v>
                </c:pt>
              </c:numCache>
            </c:numRef>
          </c:val>
          <c:smooth val="0"/>
        </c:ser>
        <c:dLbls>
          <c:showLegendKey val="0"/>
          <c:showVal val="0"/>
          <c:showCatName val="0"/>
          <c:showSerName val="0"/>
          <c:showPercent val="0"/>
          <c:showBubbleSize val="0"/>
        </c:dLbls>
        <c:marker val="1"/>
        <c:smooth val="0"/>
        <c:axId val="227062144"/>
        <c:axId val="227063680"/>
      </c:lineChart>
      <c:catAx>
        <c:axId val="227062144"/>
        <c:scaling>
          <c:orientation val="minMax"/>
        </c:scaling>
        <c:delete val="0"/>
        <c:axPos val="b"/>
        <c:majorTickMark val="out"/>
        <c:minorTickMark val="none"/>
        <c:tickLblPos val="nextTo"/>
        <c:crossAx val="227063680"/>
        <c:crosses val="autoZero"/>
        <c:auto val="1"/>
        <c:lblAlgn val="ctr"/>
        <c:lblOffset val="100"/>
        <c:noMultiLvlLbl val="0"/>
      </c:catAx>
      <c:valAx>
        <c:axId val="227063680"/>
        <c:scaling>
          <c:orientation val="minMax"/>
        </c:scaling>
        <c:delete val="0"/>
        <c:axPos val="l"/>
        <c:numFmt formatCode="General" sourceLinked="1"/>
        <c:majorTickMark val="out"/>
        <c:minorTickMark val="none"/>
        <c:tickLblPos val="nextTo"/>
        <c:crossAx val="227062144"/>
        <c:crosses val="autoZero"/>
        <c:crossBetween val="between"/>
      </c:valAx>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Hárok3!$C$1</c:f>
              <c:strCache>
                <c:ptCount val="1"/>
                <c:pt idx="0">
                  <c:v>2002</c:v>
                </c:pt>
              </c:strCache>
            </c:strRef>
          </c:tx>
          <c:invertIfNegative val="0"/>
          <c:dLbls>
            <c:txPr>
              <a:bodyPr/>
              <a:lstStyle/>
              <a:p>
                <a:pPr>
                  <a:defRPr sz="800"/>
                </a:pPr>
                <a:endParaRPr lang="sk-SK"/>
              </a:p>
            </c:txPr>
            <c:dLblPos val="outEnd"/>
            <c:showLegendKey val="0"/>
            <c:showVal val="1"/>
            <c:showCatName val="0"/>
            <c:showSerName val="0"/>
            <c:showPercent val="0"/>
            <c:showBubbleSize val="0"/>
            <c:showLeaderLines val="0"/>
          </c:dLbls>
          <c:cat>
            <c:strRef>
              <c:f>Hárok3!$B$2:$B$13</c:f>
              <c:strCache>
                <c:ptCount val="12"/>
                <c:pt idx="0">
                  <c:v>Mraziarenský</c:v>
                </c:pt>
                <c:pt idx="1">
                  <c:v>Vinársky</c:v>
                </c:pt>
                <c:pt idx="2">
                  <c:v>Nápojový</c:v>
                </c:pt>
                <c:pt idx="3">
                  <c:v>Tukový</c:v>
                </c:pt>
                <c:pt idx="4">
                  <c:v>Škrobárenský</c:v>
                </c:pt>
                <c:pt idx="5">
                  <c:v>Liehovarnícky</c:v>
                </c:pt>
                <c:pt idx="6">
                  <c:v>Pivovarnícko-slad.</c:v>
                </c:pt>
                <c:pt idx="7">
                  <c:v>Pekárensko-cukrár.</c:v>
                </c:pt>
                <c:pt idx="8">
                  <c:v>Mlynársky</c:v>
                </c:pt>
                <c:pt idx="9">
                  <c:v>Hydinársky</c:v>
                </c:pt>
                <c:pt idx="10">
                  <c:v>Mäsový</c:v>
                </c:pt>
                <c:pt idx="11">
                  <c:v>Mliekarenský</c:v>
                </c:pt>
              </c:strCache>
            </c:strRef>
          </c:cat>
          <c:val>
            <c:numRef>
              <c:f>Hárok3!$C$2:$C$13</c:f>
              <c:numCache>
                <c:formatCode>0.00%</c:formatCode>
                <c:ptCount val="12"/>
                <c:pt idx="0">
                  <c:v>0.52300000000000002</c:v>
                </c:pt>
                <c:pt idx="1">
                  <c:v>0.75900000000000001</c:v>
                </c:pt>
                <c:pt idx="2">
                  <c:v>0.752</c:v>
                </c:pt>
                <c:pt idx="3">
                  <c:v>0.47700000000000004</c:v>
                </c:pt>
                <c:pt idx="4">
                  <c:v>0.92700000000000005</c:v>
                </c:pt>
                <c:pt idx="5">
                  <c:v>0.69299999999999995</c:v>
                </c:pt>
                <c:pt idx="6">
                  <c:v>0.91700000000000004</c:v>
                </c:pt>
                <c:pt idx="7">
                  <c:v>0.59299999999999997</c:v>
                </c:pt>
                <c:pt idx="8">
                  <c:v>0.86199999999999999</c:v>
                </c:pt>
                <c:pt idx="9">
                  <c:v>0.86900000000000011</c:v>
                </c:pt>
                <c:pt idx="10">
                  <c:v>0.85400000000000009</c:v>
                </c:pt>
                <c:pt idx="11">
                  <c:v>0.90700000000000003</c:v>
                </c:pt>
              </c:numCache>
            </c:numRef>
          </c:val>
        </c:ser>
        <c:ser>
          <c:idx val="1"/>
          <c:order val="1"/>
          <c:tx>
            <c:strRef>
              <c:f>Hárok3!$D$1</c:f>
              <c:strCache>
                <c:ptCount val="1"/>
                <c:pt idx="0">
                  <c:v>2011</c:v>
                </c:pt>
              </c:strCache>
            </c:strRef>
          </c:tx>
          <c:invertIfNegative val="0"/>
          <c:dLbls>
            <c:txPr>
              <a:bodyPr/>
              <a:lstStyle/>
              <a:p>
                <a:pPr>
                  <a:defRPr sz="800"/>
                </a:pPr>
                <a:endParaRPr lang="sk-SK"/>
              </a:p>
            </c:txPr>
            <c:dLblPos val="outEnd"/>
            <c:showLegendKey val="0"/>
            <c:showVal val="1"/>
            <c:showCatName val="0"/>
            <c:showSerName val="0"/>
            <c:showPercent val="0"/>
            <c:showBubbleSize val="0"/>
            <c:showLeaderLines val="0"/>
          </c:dLbls>
          <c:cat>
            <c:strRef>
              <c:f>Hárok3!$B$2:$B$13</c:f>
              <c:strCache>
                <c:ptCount val="12"/>
                <c:pt idx="0">
                  <c:v>Mraziarenský</c:v>
                </c:pt>
                <c:pt idx="1">
                  <c:v>Vinársky</c:v>
                </c:pt>
                <c:pt idx="2">
                  <c:v>Nápojový</c:v>
                </c:pt>
                <c:pt idx="3">
                  <c:v>Tukový</c:v>
                </c:pt>
                <c:pt idx="4">
                  <c:v>Škrobárenský</c:v>
                </c:pt>
                <c:pt idx="5">
                  <c:v>Liehovarnícky</c:v>
                </c:pt>
                <c:pt idx="6">
                  <c:v>Pivovarnícko-slad.</c:v>
                </c:pt>
                <c:pt idx="7">
                  <c:v>Pekárensko-cukrár.</c:v>
                </c:pt>
                <c:pt idx="8">
                  <c:v>Mlynársky</c:v>
                </c:pt>
                <c:pt idx="9">
                  <c:v>Hydinársky</c:v>
                </c:pt>
                <c:pt idx="10">
                  <c:v>Mäsový</c:v>
                </c:pt>
                <c:pt idx="11">
                  <c:v>Mliekarenský</c:v>
                </c:pt>
              </c:strCache>
            </c:strRef>
          </c:cat>
          <c:val>
            <c:numRef>
              <c:f>Hárok3!$D$2:$D$13</c:f>
              <c:numCache>
                <c:formatCode>0.00%</c:formatCode>
                <c:ptCount val="12"/>
                <c:pt idx="0">
                  <c:v>0.17800000000000002</c:v>
                </c:pt>
                <c:pt idx="1">
                  <c:v>0.434</c:v>
                </c:pt>
                <c:pt idx="2">
                  <c:v>0.51200000000000001</c:v>
                </c:pt>
                <c:pt idx="3">
                  <c:v>0.191</c:v>
                </c:pt>
                <c:pt idx="4">
                  <c:v>0.64700000000000002</c:v>
                </c:pt>
                <c:pt idx="5">
                  <c:v>0.106</c:v>
                </c:pt>
                <c:pt idx="6">
                  <c:v>0.79500000000000004</c:v>
                </c:pt>
                <c:pt idx="7">
                  <c:v>0.433</c:v>
                </c:pt>
                <c:pt idx="8">
                  <c:v>0.50700000000000001</c:v>
                </c:pt>
                <c:pt idx="9">
                  <c:v>0.35200000000000004</c:v>
                </c:pt>
                <c:pt idx="10">
                  <c:v>0.42299999999999999</c:v>
                </c:pt>
                <c:pt idx="11">
                  <c:v>0.52900000000000003</c:v>
                </c:pt>
              </c:numCache>
            </c:numRef>
          </c:val>
        </c:ser>
        <c:dLbls>
          <c:dLblPos val="outEnd"/>
          <c:showLegendKey val="0"/>
          <c:showVal val="1"/>
          <c:showCatName val="0"/>
          <c:showSerName val="0"/>
          <c:showPercent val="0"/>
          <c:showBubbleSize val="0"/>
        </c:dLbls>
        <c:gapWidth val="150"/>
        <c:axId val="114324608"/>
        <c:axId val="114326144"/>
      </c:barChart>
      <c:catAx>
        <c:axId val="114324608"/>
        <c:scaling>
          <c:orientation val="minMax"/>
        </c:scaling>
        <c:delete val="0"/>
        <c:axPos val="l"/>
        <c:majorTickMark val="out"/>
        <c:minorTickMark val="none"/>
        <c:tickLblPos val="nextTo"/>
        <c:crossAx val="114326144"/>
        <c:crosses val="autoZero"/>
        <c:auto val="1"/>
        <c:lblAlgn val="ctr"/>
        <c:lblOffset val="100"/>
        <c:noMultiLvlLbl val="0"/>
      </c:catAx>
      <c:valAx>
        <c:axId val="114326144"/>
        <c:scaling>
          <c:orientation val="minMax"/>
        </c:scaling>
        <c:delete val="1"/>
        <c:axPos val="b"/>
        <c:numFmt formatCode="0.00%" sourceLinked="1"/>
        <c:majorTickMark val="out"/>
        <c:minorTickMark val="none"/>
        <c:tickLblPos val="nextTo"/>
        <c:crossAx val="114324608"/>
        <c:crosses val="autoZero"/>
        <c:crossBetween val="between"/>
      </c:valAx>
    </c:plotArea>
    <c:legend>
      <c:legendPos val="b"/>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sk-SK"/>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Hárok1!$B$44</c:f>
              <c:strCache>
                <c:ptCount val="1"/>
                <c:pt idx="0">
                  <c:v>Rozsah ochrany mladých lesných porastov v ha</c:v>
                </c:pt>
              </c:strCache>
            </c:strRef>
          </c:tx>
          <c:dLbls>
            <c:dLbl>
              <c:idx val="0"/>
              <c:layout>
                <c:manualLayout>
                  <c:x val="-1.3888888888888911E-2"/>
                  <c:y val="-2.7777777777777853E-2"/>
                </c:manualLayout>
              </c:layout>
              <c:showLegendKey val="0"/>
              <c:showVal val="1"/>
              <c:showCatName val="0"/>
              <c:showSerName val="0"/>
              <c:showPercent val="0"/>
              <c:showBubbleSize val="0"/>
            </c:dLbl>
            <c:dLbl>
              <c:idx val="1"/>
              <c:layout>
                <c:manualLayout>
                  <c:x val="-1.6666666666666687E-2"/>
                  <c:y val="2.7777777777777842E-2"/>
                </c:manualLayout>
              </c:layout>
              <c:showLegendKey val="0"/>
              <c:showVal val="1"/>
              <c:showCatName val="0"/>
              <c:showSerName val="0"/>
              <c:showPercent val="0"/>
              <c:showBubbleSize val="0"/>
            </c:dLbl>
            <c:dLbl>
              <c:idx val="2"/>
              <c:layout>
                <c:manualLayout>
                  <c:x val="-4.7602179461996429E-2"/>
                  <c:y val="5.9492768188288761E-2"/>
                </c:manualLayout>
              </c:layout>
              <c:showLegendKey val="0"/>
              <c:showVal val="1"/>
              <c:showCatName val="0"/>
              <c:showSerName val="0"/>
              <c:showPercent val="0"/>
              <c:showBubbleSize val="0"/>
            </c:dLbl>
            <c:dLbl>
              <c:idx val="4"/>
              <c:layout>
                <c:manualLayout>
                  <c:x val="-1.3888888888889015E-2"/>
                  <c:y val="2.7777777777777842E-2"/>
                </c:manualLayout>
              </c:layout>
              <c:showLegendKey val="0"/>
              <c:showVal val="1"/>
              <c:showCatName val="0"/>
              <c:showSerName val="0"/>
              <c:showPercent val="0"/>
              <c:showBubbleSize val="0"/>
            </c:dLbl>
            <c:dLbl>
              <c:idx val="5"/>
              <c:layout>
                <c:manualLayout>
                  <c:x val="-2.2097005855706592E-2"/>
                  <c:y val="-3.497522588166720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Hárok1!$B$51:$G$51</c:f>
              <c:numCache>
                <c:formatCode>General</c:formatCode>
                <c:ptCount val="6"/>
                <c:pt idx="0">
                  <c:v>2002</c:v>
                </c:pt>
                <c:pt idx="1">
                  <c:v>2007</c:v>
                </c:pt>
                <c:pt idx="2">
                  <c:v>2008</c:v>
                </c:pt>
                <c:pt idx="3">
                  <c:v>2009</c:v>
                </c:pt>
                <c:pt idx="4">
                  <c:v>2010</c:v>
                </c:pt>
                <c:pt idx="5">
                  <c:v>2011</c:v>
                </c:pt>
              </c:numCache>
            </c:numRef>
          </c:cat>
          <c:val>
            <c:numRef>
              <c:f>Hárok1!$H$49:$M$49</c:f>
              <c:numCache>
                <c:formatCode>#,##0</c:formatCode>
                <c:ptCount val="6"/>
                <c:pt idx="0">
                  <c:v>73282</c:v>
                </c:pt>
                <c:pt idx="1">
                  <c:v>65055</c:v>
                </c:pt>
                <c:pt idx="2">
                  <c:v>71745</c:v>
                </c:pt>
                <c:pt idx="3">
                  <c:v>50683</c:v>
                </c:pt>
                <c:pt idx="4">
                  <c:v>66579</c:v>
                </c:pt>
                <c:pt idx="5">
                  <c:v>74052</c:v>
                </c:pt>
              </c:numCache>
            </c:numRef>
          </c:val>
          <c:smooth val="0"/>
        </c:ser>
        <c:ser>
          <c:idx val="1"/>
          <c:order val="1"/>
          <c:tx>
            <c:strRef>
              <c:f>Hárok1!$A$52</c:f>
              <c:strCache>
                <c:ptCount val="1"/>
                <c:pt idx="0">
                  <c:v>Prečistky v ha</c:v>
                </c:pt>
              </c:strCache>
            </c:strRef>
          </c:tx>
          <c:dLbls>
            <c:dLbl>
              <c:idx val="0"/>
              <c:layout>
                <c:manualLayout>
                  <c:x val="-6.1111111111111123E-2"/>
                  <c:y val="5.5555555555555483E-2"/>
                </c:manualLayout>
              </c:layout>
              <c:showLegendKey val="0"/>
              <c:showVal val="1"/>
              <c:showCatName val="0"/>
              <c:showSerName val="0"/>
              <c:showPercent val="0"/>
              <c:showBubbleSize val="0"/>
            </c:dLbl>
            <c:dLbl>
              <c:idx val="1"/>
              <c:layout>
                <c:manualLayout>
                  <c:x val="-6.1111111111111123E-2"/>
                  <c:y val="4.1666666666666664E-2"/>
                </c:manualLayout>
              </c:layout>
              <c:showLegendKey val="0"/>
              <c:showVal val="1"/>
              <c:showCatName val="0"/>
              <c:showSerName val="0"/>
              <c:showPercent val="0"/>
              <c:showBubbleSize val="0"/>
            </c:dLbl>
            <c:dLbl>
              <c:idx val="2"/>
              <c:layout>
                <c:manualLayout>
                  <c:x val="-1.1111111111111125E-2"/>
                  <c:y val="-1.3888888888888911E-2"/>
                </c:manualLayout>
              </c:layout>
              <c:showLegendKey val="0"/>
              <c:showVal val="1"/>
              <c:showCatName val="0"/>
              <c:showSerName val="0"/>
              <c:showPercent val="0"/>
              <c:showBubbleSize val="0"/>
            </c:dLbl>
            <c:dLbl>
              <c:idx val="3"/>
              <c:layout>
                <c:manualLayout>
                  <c:x val="-8.3333333333333367E-3"/>
                  <c:y val="1.851851851851845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Hárok1!$B$51:$G$51</c:f>
              <c:numCache>
                <c:formatCode>General</c:formatCode>
                <c:ptCount val="6"/>
                <c:pt idx="0">
                  <c:v>2002</c:v>
                </c:pt>
                <c:pt idx="1">
                  <c:v>2007</c:v>
                </c:pt>
                <c:pt idx="2">
                  <c:v>2008</c:v>
                </c:pt>
                <c:pt idx="3">
                  <c:v>2009</c:v>
                </c:pt>
                <c:pt idx="4">
                  <c:v>2010</c:v>
                </c:pt>
                <c:pt idx="5">
                  <c:v>2011</c:v>
                </c:pt>
              </c:numCache>
            </c:numRef>
          </c:cat>
          <c:val>
            <c:numRef>
              <c:f>Hárok1!$B$52:$G$52</c:f>
              <c:numCache>
                <c:formatCode>#,##0</c:formatCode>
                <c:ptCount val="6"/>
                <c:pt idx="0">
                  <c:v>33932</c:v>
                </c:pt>
                <c:pt idx="1">
                  <c:v>25595</c:v>
                </c:pt>
                <c:pt idx="2">
                  <c:v>25338</c:v>
                </c:pt>
                <c:pt idx="3">
                  <c:v>12232</c:v>
                </c:pt>
                <c:pt idx="4">
                  <c:v>18137</c:v>
                </c:pt>
                <c:pt idx="5">
                  <c:v>27117</c:v>
                </c:pt>
              </c:numCache>
            </c:numRef>
          </c:val>
          <c:smooth val="0"/>
        </c:ser>
        <c:dLbls>
          <c:showLegendKey val="0"/>
          <c:showVal val="0"/>
          <c:showCatName val="0"/>
          <c:showSerName val="0"/>
          <c:showPercent val="0"/>
          <c:showBubbleSize val="0"/>
        </c:dLbls>
        <c:marker val="1"/>
        <c:smooth val="0"/>
        <c:axId val="227162368"/>
        <c:axId val="227184640"/>
      </c:lineChart>
      <c:catAx>
        <c:axId val="227162368"/>
        <c:scaling>
          <c:orientation val="minMax"/>
        </c:scaling>
        <c:delete val="0"/>
        <c:axPos val="b"/>
        <c:numFmt formatCode="General" sourceLinked="1"/>
        <c:majorTickMark val="out"/>
        <c:minorTickMark val="none"/>
        <c:tickLblPos val="nextTo"/>
        <c:crossAx val="227184640"/>
        <c:crosses val="autoZero"/>
        <c:auto val="1"/>
        <c:lblAlgn val="ctr"/>
        <c:lblOffset val="100"/>
        <c:noMultiLvlLbl val="0"/>
      </c:catAx>
      <c:valAx>
        <c:axId val="227184640"/>
        <c:scaling>
          <c:orientation val="minMax"/>
        </c:scaling>
        <c:delete val="0"/>
        <c:axPos val="l"/>
        <c:numFmt formatCode="#,##0" sourceLinked="1"/>
        <c:majorTickMark val="out"/>
        <c:minorTickMark val="none"/>
        <c:tickLblPos val="nextTo"/>
        <c:crossAx val="227162368"/>
        <c:crosses val="autoZero"/>
        <c:crossBetween val="between"/>
      </c:valAx>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1"/>
          <c:order val="0"/>
          <c:tx>
            <c:strRef>
              <c:f>Hárok1!$A$53</c:f>
              <c:strCache>
                <c:ptCount val="1"/>
                <c:pt idx="0">
                  <c:v>Prebierky v ha</c:v>
                </c:pt>
              </c:strCache>
            </c:strRef>
          </c:tx>
          <c:spPr>
            <a:ln>
              <a:solidFill>
                <a:schemeClr val="bg1">
                  <a:lumMod val="50000"/>
                </a:schemeClr>
              </a:solidFill>
            </a:ln>
          </c:spPr>
          <c:marker>
            <c:spPr>
              <a:solidFill>
                <a:schemeClr val="bg1">
                  <a:lumMod val="50000"/>
                </a:schemeClr>
              </a:solidFill>
              <a:ln>
                <a:solidFill>
                  <a:schemeClr val="bg1">
                    <a:lumMod val="50000"/>
                  </a:schemeClr>
                </a:solidFill>
              </a:ln>
            </c:spPr>
          </c:marker>
          <c:dLbls>
            <c:dLbl>
              <c:idx val="0"/>
              <c:layout>
                <c:manualLayout>
                  <c:x val="-6.6291017567119651E-2"/>
                  <c:y val="-7.8711985688729863E-2"/>
                </c:manualLayout>
              </c:layout>
              <c:showLegendKey val="0"/>
              <c:showVal val="1"/>
              <c:showCatName val="0"/>
              <c:showSerName val="0"/>
              <c:showPercent val="0"/>
              <c:showBubbleSize val="0"/>
            </c:dLbl>
            <c:dLbl>
              <c:idx val="1"/>
              <c:layout>
                <c:manualLayout>
                  <c:x val="-8.3333333333333367E-3"/>
                  <c:y val="-4.6296296296296363E-2"/>
                </c:manualLayout>
              </c:layout>
              <c:showLegendKey val="0"/>
              <c:showVal val="1"/>
              <c:showCatName val="0"/>
              <c:showSerName val="0"/>
              <c:showPercent val="0"/>
              <c:showBubbleSize val="0"/>
            </c:dLbl>
            <c:dLbl>
              <c:idx val="2"/>
              <c:layout>
                <c:manualLayout>
                  <c:x val="-3.0555555555555579E-2"/>
                  <c:y val="-5.5555555555555483E-2"/>
                </c:manualLayout>
              </c:layout>
              <c:showLegendKey val="0"/>
              <c:showVal val="1"/>
              <c:showCatName val="0"/>
              <c:showSerName val="0"/>
              <c:showPercent val="0"/>
              <c:showBubbleSize val="0"/>
            </c:dLbl>
            <c:dLbl>
              <c:idx val="3"/>
              <c:layout>
                <c:manualLayout>
                  <c:x val="-3.333333333333334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Hárok1!$B$51:$G$51</c:f>
              <c:numCache>
                <c:formatCode>General</c:formatCode>
                <c:ptCount val="6"/>
                <c:pt idx="0">
                  <c:v>2002</c:v>
                </c:pt>
                <c:pt idx="1">
                  <c:v>2007</c:v>
                </c:pt>
                <c:pt idx="2">
                  <c:v>2008</c:v>
                </c:pt>
                <c:pt idx="3">
                  <c:v>2009</c:v>
                </c:pt>
                <c:pt idx="4">
                  <c:v>2010</c:v>
                </c:pt>
                <c:pt idx="5">
                  <c:v>2011</c:v>
                </c:pt>
              </c:numCache>
            </c:numRef>
          </c:cat>
          <c:val>
            <c:numRef>
              <c:f>Hárok1!$B$53:$G$53</c:f>
              <c:numCache>
                <c:formatCode>#,##0</c:formatCode>
                <c:ptCount val="6"/>
                <c:pt idx="0">
                  <c:v>64449</c:v>
                </c:pt>
                <c:pt idx="1">
                  <c:v>42513</c:v>
                </c:pt>
                <c:pt idx="2">
                  <c:v>40750</c:v>
                </c:pt>
                <c:pt idx="3">
                  <c:v>40222</c:v>
                </c:pt>
                <c:pt idx="4">
                  <c:v>39593</c:v>
                </c:pt>
                <c:pt idx="5">
                  <c:v>48992</c:v>
                </c:pt>
              </c:numCache>
            </c:numRef>
          </c:val>
          <c:smooth val="0"/>
        </c:ser>
        <c:dLbls>
          <c:showLegendKey val="0"/>
          <c:showVal val="0"/>
          <c:showCatName val="0"/>
          <c:showSerName val="0"/>
          <c:showPercent val="0"/>
          <c:showBubbleSize val="0"/>
        </c:dLbls>
        <c:marker val="1"/>
        <c:smooth val="0"/>
        <c:axId val="227214080"/>
        <c:axId val="227215616"/>
      </c:lineChart>
      <c:catAx>
        <c:axId val="227214080"/>
        <c:scaling>
          <c:orientation val="minMax"/>
        </c:scaling>
        <c:delete val="0"/>
        <c:axPos val="b"/>
        <c:numFmt formatCode="General" sourceLinked="1"/>
        <c:majorTickMark val="out"/>
        <c:minorTickMark val="none"/>
        <c:tickLblPos val="nextTo"/>
        <c:crossAx val="227215616"/>
        <c:crosses val="autoZero"/>
        <c:auto val="1"/>
        <c:lblAlgn val="ctr"/>
        <c:lblOffset val="100"/>
        <c:noMultiLvlLbl val="0"/>
      </c:catAx>
      <c:valAx>
        <c:axId val="227215616"/>
        <c:scaling>
          <c:orientation val="minMax"/>
          <c:min val="30000"/>
        </c:scaling>
        <c:delete val="0"/>
        <c:axPos val="l"/>
        <c:numFmt formatCode="#,##0" sourceLinked="1"/>
        <c:majorTickMark val="out"/>
        <c:minorTickMark val="none"/>
        <c:tickLblPos val="nextTo"/>
        <c:crossAx val="227214080"/>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155006146273482"/>
          <c:y val="6.573050492978795E-2"/>
          <c:w val="0.85414323209598908"/>
          <c:h val="0.68641044159889364"/>
        </c:manualLayout>
      </c:layout>
      <c:barChart>
        <c:barDir val="col"/>
        <c:grouping val="clustered"/>
        <c:varyColors val="0"/>
        <c:ser>
          <c:idx val="0"/>
          <c:order val="0"/>
          <c:tx>
            <c:strRef>
              <c:f>Hárok1!$A$80</c:f>
              <c:strCache>
                <c:ptCount val="1"/>
                <c:pt idx="0">
                  <c:v>domáci trh (vrátane vlastnej spotreby)</c:v>
                </c:pt>
              </c:strCache>
            </c:strRef>
          </c:tx>
          <c:spPr>
            <a:solidFill>
              <a:schemeClr val="bg1">
                <a:lumMod val="65000"/>
              </a:schemeClr>
            </a:solidFill>
            <a:ln>
              <a:noFill/>
            </a:ln>
          </c:spPr>
          <c:invertIfNegative val="0"/>
          <c:dLbls>
            <c:dLbl>
              <c:idx val="0"/>
              <c:layout>
                <c:manualLayout>
                  <c:x val="1.1122696036422889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Hárok1!$B$79:$G$79</c:f>
              <c:numCache>
                <c:formatCode>General</c:formatCode>
                <c:ptCount val="6"/>
                <c:pt idx="0">
                  <c:v>2002</c:v>
                </c:pt>
                <c:pt idx="1">
                  <c:v>2007</c:v>
                </c:pt>
                <c:pt idx="2">
                  <c:v>2008</c:v>
                </c:pt>
                <c:pt idx="3">
                  <c:v>2009</c:v>
                </c:pt>
                <c:pt idx="4">
                  <c:v>2010</c:v>
                </c:pt>
                <c:pt idx="5">
                  <c:v>2011</c:v>
                </c:pt>
              </c:numCache>
            </c:numRef>
          </c:cat>
          <c:val>
            <c:numRef>
              <c:f>Hárok1!$B$80:$G$80</c:f>
              <c:numCache>
                <c:formatCode>#,##0.00</c:formatCode>
                <c:ptCount val="6"/>
                <c:pt idx="0">
                  <c:v>5022</c:v>
                </c:pt>
                <c:pt idx="1">
                  <c:v>7846.7540000000008</c:v>
                </c:pt>
                <c:pt idx="2">
                  <c:v>8913.793999999989</c:v>
                </c:pt>
                <c:pt idx="3">
                  <c:v>8404.8469999999816</c:v>
                </c:pt>
                <c:pt idx="4">
                  <c:v>8916.3679999999786</c:v>
                </c:pt>
                <c:pt idx="5">
                  <c:v>8827.6769999999815</c:v>
                </c:pt>
              </c:numCache>
            </c:numRef>
          </c:val>
        </c:ser>
        <c:ser>
          <c:idx val="1"/>
          <c:order val="1"/>
          <c:tx>
            <c:strRef>
              <c:f>Hárok1!$A$81</c:f>
              <c:strCache>
                <c:ptCount val="1"/>
                <c:pt idx="0">
                  <c:v>vývoz</c:v>
                </c:pt>
              </c:strCache>
            </c:strRef>
          </c:tx>
          <c:spPr>
            <a:solidFill>
              <a:schemeClr val="bg1">
                <a:lumMod val="85000"/>
              </a:schemeClr>
            </a:solidFill>
          </c:spPr>
          <c:invertIfNegative val="0"/>
          <c:dLbls>
            <c:dLbl>
              <c:idx val="0"/>
              <c:layout>
                <c:manualLayout>
                  <c:x val="2.2245392072845836E-2"/>
                  <c:y val="0"/>
                </c:manualLayout>
              </c:layout>
              <c:showLegendKey val="0"/>
              <c:showVal val="1"/>
              <c:showCatName val="0"/>
              <c:showSerName val="0"/>
              <c:showPercent val="0"/>
              <c:showBubbleSize val="0"/>
            </c:dLbl>
            <c:dLbl>
              <c:idx val="1"/>
              <c:layout>
                <c:manualLayout>
                  <c:x val="2.7806740091057248E-2"/>
                  <c:y val="-1.3888888888888911E-2"/>
                </c:manualLayout>
              </c:layout>
              <c:showLegendKey val="0"/>
              <c:showVal val="1"/>
              <c:showCatName val="0"/>
              <c:showSerName val="0"/>
              <c:showPercent val="0"/>
              <c:showBubbleSize val="0"/>
            </c:dLbl>
            <c:dLbl>
              <c:idx val="2"/>
              <c:layout>
                <c:manualLayout>
                  <c:x val="2.2245392072845836E-2"/>
                  <c:y val="-3.6453776611257042E-7"/>
                </c:manualLayout>
              </c:layout>
              <c:showLegendKey val="0"/>
              <c:showVal val="1"/>
              <c:showCatName val="0"/>
              <c:showSerName val="0"/>
              <c:showPercent val="0"/>
              <c:showBubbleSize val="0"/>
            </c:dLbl>
            <c:dLbl>
              <c:idx val="3"/>
              <c:layout>
                <c:manualLayout>
                  <c:x val="2.7806740091057248E-2"/>
                  <c:y val="9.2592592592592813E-3"/>
                </c:manualLayout>
              </c:layout>
              <c:showLegendKey val="0"/>
              <c:showVal val="1"/>
              <c:showCatName val="0"/>
              <c:showSerName val="0"/>
              <c:showPercent val="0"/>
              <c:showBubbleSize val="0"/>
            </c:dLbl>
            <c:dLbl>
              <c:idx val="4"/>
              <c:layout>
                <c:manualLayout>
                  <c:x val="2.7806740091057248E-2"/>
                  <c:y val="0"/>
                </c:manualLayout>
              </c:layout>
              <c:showLegendKey val="0"/>
              <c:showVal val="1"/>
              <c:showCatName val="0"/>
              <c:showSerName val="0"/>
              <c:showPercent val="0"/>
              <c:showBubbleSize val="0"/>
            </c:dLbl>
            <c:dLbl>
              <c:idx val="5"/>
              <c:layout>
                <c:manualLayout>
                  <c:x val="2.7806740091057248E-2"/>
                  <c:y val="-1.388888888888899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Hárok1!$B$79:$G$79</c:f>
              <c:numCache>
                <c:formatCode>General</c:formatCode>
                <c:ptCount val="6"/>
                <c:pt idx="0">
                  <c:v>2002</c:v>
                </c:pt>
                <c:pt idx="1">
                  <c:v>2007</c:v>
                </c:pt>
                <c:pt idx="2">
                  <c:v>2008</c:v>
                </c:pt>
                <c:pt idx="3">
                  <c:v>2009</c:v>
                </c:pt>
                <c:pt idx="4">
                  <c:v>2010</c:v>
                </c:pt>
                <c:pt idx="5">
                  <c:v>2011</c:v>
                </c:pt>
              </c:numCache>
            </c:numRef>
          </c:cat>
          <c:val>
            <c:numRef>
              <c:f>Hárok1!$B$81:$G$81</c:f>
              <c:numCache>
                <c:formatCode>#,##0.00</c:formatCode>
                <c:ptCount val="6"/>
                <c:pt idx="0">
                  <c:v>634</c:v>
                </c:pt>
                <c:pt idx="1">
                  <c:v>284.73299999999961</c:v>
                </c:pt>
                <c:pt idx="2">
                  <c:v>354.76299999999969</c:v>
                </c:pt>
                <c:pt idx="3">
                  <c:v>682.14400000000001</c:v>
                </c:pt>
                <c:pt idx="4">
                  <c:v>682.697</c:v>
                </c:pt>
                <c:pt idx="5">
                  <c:v>385.22899999999947</c:v>
                </c:pt>
              </c:numCache>
            </c:numRef>
          </c:val>
        </c:ser>
        <c:dLbls>
          <c:showLegendKey val="0"/>
          <c:showVal val="0"/>
          <c:showCatName val="0"/>
          <c:showSerName val="0"/>
          <c:showPercent val="0"/>
          <c:showBubbleSize val="0"/>
        </c:dLbls>
        <c:gapWidth val="150"/>
        <c:axId val="227249536"/>
        <c:axId val="227267712"/>
      </c:barChart>
      <c:catAx>
        <c:axId val="227249536"/>
        <c:scaling>
          <c:orientation val="minMax"/>
        </c:scaling>
        <c:delete val="0"/>
        <c:axPos val="b"/>
        <c:numFmt formatCode="General" sourceLinked="1"/>
        <c:majorTickMark val="out"/>
        <c:minorTickMark val="none"/>
        <c:tickLblPos val="nextTo"/>
        <c:crossAx val="227267712"/>
        <c:crosses val="autoZero"/>
        <c:auto val="1"/>
        <c:lblAlgn val="ctr"/>
        <c:lblOffset val="100"/>
        <c:noMultiLvlLbl val="0"/>
      </c:catAx>
      <c:valAx>
        <c:axId val="227267712"/>
        <c:scaling>
          <c:orientation val="minMax"/>
        </c:scaling>
        <c:delete val="0"/>
        <c:axPos val="l"/>
        <c:numFmt formatCode="#,##0.00" sourceLinked="1"/>
        <c:majorTickMark val="out"/>
        <c:minorTickMark val="none"/>
        <c:tickLblPos val="nextTo"/>
        <c:crossAx val="227249536"/>
        <c:crosses val="autoZero"/>
        <c:crossBetween val="between"/>
      </c:valAx>
    </c:plotArea>
    <c:legend>
      <c:legendPos val="b"/>
      <c:layout>
        <c:manualLayout>
          <c:xMode val="edge"/>
          <c:yMode val="edge"/>
          <c:x val="0.23939008783994828"/>
          <c:y val="0.89863057527130852"/>
          <c:w val="0.52121965032793149"/>
          <c:h val="0.10136942472869112"/>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'ovcie mlieko'!$A$2:$B$2</c:f>
              <c:strCache>
                <c:ptCount val="1"/>
                <c:pt idx="0">
                  <c:v>produkcia ovčieho mlieka organizácií v registri fariem (tis. kg)</c:v>
                </c:pt>
              </c:strCache>
            </c:strRef>
          </c:tx>
          <c:spPr>
            <a:solidFill>
              <a:schemeClr val="bg1">
                <a:lumMod val="65000"/>
              </a:schemeClr>
            </a:solidFill>
          </c:spPr>
          <c:invertIfNegative val="0"/>
          <c:cat>
            <c:numRef>
              <c:f>'ovcie mlieko'!$C$1:$H$1</c:f>
              <c:numCache>
                <c:formatCode>General</c:formatCode>
                <c:ptCount val="6"/>
                <c:pt idx="0">
                  <c:v>2002</c:v>
                </c:pt>
                <c:pt idx="1">
                  <c:v>2007</c:v>
                </c:pt>
                <c:pt idx="2">
                  <c:v>2008</c:v>
                </c:pt>
                <c:pt idx="3">
                  <c:v>2009</c:v>
                </c:pt>
                <c:pt idx="4">
                  <c:v>2010</c:v>
                </c:pt>
                <c:pt idx="5">
                  <c:v>2011</c:v>
                </c:pt>
              </c:numCache>
            </c:numRef>
          </c:cat>
          <c:val>
            <c:numRef>
              <c:f>'ovcie mlieko'!$C$2:$H$2</c:f>
              <c:numCache>
                <c:formatCode>#,##0</c:formatCode>
                <c:ptCount val="6"/>
                <c:pt idx="0">
                  <c:v>9576</c:v>
                </c:pt>
                <c:pt idx="1">
                  <c:v>8809</c:v>
                </c:pt>
                <c:pt idx="2">
                  <c:v>8861</c:v>
                </c:pt>
                <c:pt idx="3">
                  <c:v>9215</c:v>
                </c:pt>
                <c:pt idx="4">
                  <c:v>9453</c:v>
                </c:pt>
                <c:pt idx="5">
                  <c:v>9293</c:v>
                </c:pt>
              </c:numCache>
            </c:numRef>
          </c:val>
        </c:ser>
        <c:ser>
          <c:idx val="1"/>
          <c:order val="1"/>
          <c:tx>
            <c:strRef>
              <c:f>'ovcie mlieko'!$A$3:$B$3</c:f>
              <c:strCache>
                <c:ptCount val="1"/>
                <c:pt idx="0">
                  <c:v>produkcia ovčieho mlieka drobnochovateľov (tis. kg)</c:v>
                </c:pt>
              </c:strCache>
            </c:strRef>
          </c:tx>
          <c:spPr>
            <a:solidFill>
              <a:schemeClr val="bg1">
                <a:lumMod val="85000"/>
              </a:schemeClr>
            </a:solidFill>
          </c:spPr>
          <c:invertIfNegative val="0"/>
          <c:cat>
            <c:numRef>
              <c:f>'ovcie mlieko'!$C$1:$H$1</c:f>
              <c:numCache>
                <c:formatCode>General</c:formatCode>
                <c:ptCount val="6"/>
                <c:pt idx="0">
                  <c:v>2002</c:v>
                </c:pt>
                <c:pt idx="1">
                  <c:v>2007</c:v>
                </c:pt>
                <c:pt idx="2">
                  <c:v>2008</c:v>
                </c:pt>
                <c:pt idx="3">
                  <c:v>2009</c:v>
                </c:pt>
                <c:pt idx="4">
                  <c:v>2010</c:v>
                </c:pt>
                <c:pt idx="5">
                  <c:v>2011</c:v>
                </c:pt>
              </c:numCache>
            </c:numRef>
          </c:cat>
          <c:val>
            <c:numRef>
              <c:f>'ovcie mlieko'!$C$3:$H$3</c:f>
              <c:numCache>
                <c:formatCode>#,##0</c:formatCode>
                <c:ptCount val="6"/>
                <c:pt idx="0">
                  <c:v>1500</c:v>
                </c:pt>
                <c:pt idx="1">
                  <c:v>1300</c:v>
                </c:pt>
                <c:pt idx="2">
                  <c:v>1200</c:v>
                </c:pt>
                <c:pt idx="3">
                  <c:v>1200</c:v>
                </c:pt>
                <c:pt idx="4">
                  <c:v>1100</c:v>
                </c:pt>
                <c:pt idx="5">
                  <c:v>1000</c:v>
                </c:pt>
              </c:numCache>
            </c:numRef>
          </c:val>
        </c:ser>
        <c:dLbls>
          <c:showLegendKey val="0"/>
          <c:showVal val="0"/>
          <c:showCatName val="0"/>
          <c:showSerName val="0"/>
          <c:showPercent val="0"/>
          <c:showBubbleSize val="0"/>
        </c:dLbls>
        <c:gapWidth val="150"/>
        <c:axId val="227299328"/>
        <c:axId val="227300864"/>
      </c:barChart>
      <c:lineChart>
        <c:grouping val="standard"/>
        <c:varyColors val="0"/>
        <c:ser>
          <c:idx val="2"/>
          <c:order val="2"/>
          <c:tx>
            <c:strRef>
              <c:f>'ovcie mlieko'!$A$4:$B$4</c:f>
              <c:strCache>
                <c:ptCount val="1"/>
                <c:pt idx="0">
                  <c:v>predaj ovčieho mlieka (organizácie v registri fariem) (tis. kg)</c:v>
                </c:pt>
              </c:strCache>
            </c:strRef>
          </c:tx>
          <c:spPr>
            <a:ln>
              <a:solidFill>
                <a:schemeClr val="tx1"/>
              </a:solidFill>
            </a:ln>
          </c:spPr>
          <c:marker>
            <c:symbol val="none"/>
          </c:marker>
          <c:cat>
            <c:numRef>
              <c:f>'ovcie mlieko'!$C$1:$H$1</c:f>
              <c:numCache>
                <c:formatCode>General</c:formatCode>
                <c:ptCount val="6"/>
                <c:pt idx="0">
                  <c:v>2002</c:v>
                </c:pt>
                <c:pt idx="1">
                  <c:v>2007</c:v>
                </c:pt>
                <c:pt idx="2">
                  <c:v>2008</c:v>
                </c:pt>
                <c:pt idx="3">
                  <c:v>2009</c:v>
                </c:pt>
                <c:pt idx="4">
                  <c:v>2010</c:v>
                </c:pt>
                <c:pt idx="5">
                  <c:v>2011</c:v>
                </c:pt>
              </c:numCache>
            </c:numRef>
          </c:cat>
          <c:val>
            <c:numRef>
              <c:f>'ovcie mlieko'!$C$4:$H$4</c:f>
              <c:numCache>
                <c:formatCode>#,##0</c:formatCode>
                <c:ptCount val="6"/>
                <c:pt idx="0">
                  <c:v>9413</c:v>
                </c:pt>
                <c:pt idx="1">
                  <c:v>8607</c:v>
                </c:pt>
                <c:pt idx="2">
                  <c:v>8660</c:v>
                </c:pt>
                <c:pt idx="3">
                  <c:v>9030</c:v>
                </c:pt>
                <c:pt idx="4">
                  <c:v>9122</c:v>
                </c:pt>
                <c:pt idx="5">
                  <c:v>9085</c:v>
                </c:pt>
              </c:numCache>
            </c:numRef>
          </c:val>
          <c:smooth val="0"/>
        </c:ser>
        <c:dLbls>
          <c:showLegendKey val="0"/>
          <c:showVal val="0"/>
          <c:showCatName val="0"/>
          <c:showSerName val="0"/>
          <c:showPercent val="0"/>
          <c:showBubbleSize val="0"/>
        </c:dLbls>
        <c:marker val="1"/>
        <c:smooth val="0"/>
        <c:axId val="227299328"/>
        <c:axId val="227300864"/>
      </c:lineChart>
      <c:catAx>
        <c:axId val="227299328"/>
        <c:scaling>
          <c:orientation val="minMax"/>
        </c:scaling>
        <c:delete val="0"/>
        <c:axPos val="b"/>
        <c:numFmt formatCode="General" sourceLinked="1"/>
        <c:majorTickMark val="out"/>
        <c:minorTickMark val="none"/>
        <c:tickLblPos val="nextTo"/>
        <c:crossAx val="227300864"/>
        <c:crosses val="autoZero"/>
        <c:auto val="1"/>
        <c:lblAlgn val="ctr"/>
        <c:lblOffset val="100"/>
        <c:noMultiLvlLbl val="0"/>
      </c:catAx>
      <c:valAx>
        <c:axId val="227300864"/>
        <c:scaling>
          <c:orientation val="minMax"/>
        </c:scaling>
        <c:delete val="0"/>
        <c:axPos val="l"/>
        <c:majorGridlines/>
        <c:numFmt formatCode="#,##0" sourceLinked="1"/>
        <c:majorTickMark val="out"/>
        <c:minorTickMark val="none"/>
        <c:tickLblPos val="nextTo"/>
        <c:crossAx val="227299328"/>
        <c:crosses val="autoZero"/>
        <c:crossBetween val="between"/>
      </c:valAx>
    </c:plotArea>
    <c:legend>
      <c:legendPos val="b"/>
      <c:layout>
        <c:manualLayout>
          <c:xMode val="edge"/>
          <c:yMode val="edge"/>
          <c:x val="1.9104020837558244E-2"/>
          <c:y val="0.754740378895155"/>
          <c:w val="0.95250235572735575"/>
          <c:h val="0.24525962110484553"/>
        </c:manualLayout>
      </c:layout>
      <c:overlay val="0"/>
      <c:txPr>
        <a:bodyPr/>
        <a:lstStyle/>
        <a:p>
          <a:pPr>
            <a:defRPr sz="900"/>
          </a:pPr>
          <a:endParaRPr lang="sk-SK"/>
        </a:p>
      </c:txPr>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357056227914017E-2"/>
          <c:y val="8.4328942030945167E-2"/>
          <c:w val="0.89189577919215601"/>
          <c:h val="0.71274495837277219"/>
        </c:manualLayout>
      </c:layout>
      <c:lineChart>
        <c:grouping val="standard"/>
        <c:varyColors val="0"/>
        <c:ser>
          <c:idx val="0"/>
          <c:order val="0"/>
          <c:dLbls>
            <c:dLbl>
              <c:idx val="3"/>
              <c:layout>
                <c:manualLayout>
                  <c:x val="-3.0555555555555582E-2"/>
                  <c:y val="-5.5555555555555462E-2"/>
                </c:manualLayout>
              </c:layout>
              <c:showLegendKey val="0"/>
              <c:showVal val="1"/>
              <c:showCatName val="0"/>
              <c:showSerName val="0"/>
              <c:showPercent val="0"/>
              <c:showBubbleSize val="0"/>
            </c:dLbl>
            <c:dLbl>
              <c:idx val="4"/>
              <c:layout>
                <c:manualLayout>
                  <c:x val="-2.2222222222222251E-2"/>
                  <c:y val="-4.6296296296296391E-2"/>
                </c:manualLayout>
              </c:layout>
              <c:showLegendKey val="0"/>
              <c:showVal val="1"/>
              <c:showCatName val="0"/>
              <c:showSerName val="0"/>
              <c:showPercent val="0"/>
              <c:showBubbleSize val="0"/>
            </c:dLbl>
            <c:dLbl>
              <c:idx val="5"/>
              <c:layout>
                <c:manualLayout>
                  <c:x val="-2.4999999999999897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'ovcie mlieko'!$L$1:$Q$1</c:f>
              <c:numCache>
                <c:formatCode>General</c:formatCode>
                <c:ptCount val="6"/>
                <c:pt idx="0">
                  <c:v>2002</c:v>
                </c:pt>
                <c:pt idx="1">
                  <c:v>2007</c:v>
                </c:pt>
                <c:pt idx="2">
                  <c:v>2008</c:v>
                </c:pt>
                <c:pt idx="3">
                  <c:v>2009</c:v>
                </c:pt>
                <c:pt idx="4">
                  <c:v>2010</c:v>
                </c:pt>
                <c:pt idx="5">
                  <c:v>2011</c:v>
                </c:pt>
              </c:numCache>
            </c:numRef>
          </c:cat>
          <c:val>
            <c:numRef>
              <c:f>'ovcie mlieko'!$L$2:$Q$2</c:f>
              <c:numCache>
                <c:formatCode>General</c:formatCode>
                <c:ptCount val="6"/>
                <c:pt idx="0">
                  <c:v>1.6</c:v>
                </c:pt>
                <c:pt idx="1">
                  <c:v>1.5</c:v>
                </c:pt>
                <c:pt idx="2">
                  <c:v>1.4</c:v>
                </c:pt>
                <c:pt idx="3">
                  <c:v>1.6</c:v>
                </c:pt>
                <c:pt idx="4">
                  <c:v>1.6</c:v>
                </c:pt>
                <c:pt idx="5">
                  <c:v>1.6</c:v>
                </c:pt>
              </c:numCache>
            </c:numRef>
          </c:val>
          <c:smooth val="0"/>
        </c:ser>
        <c:dLbls>
          <c:showLegendKey val="0"/>
          <c:showVal val="0"/>
          <c:showCatName val="0"/>
          <c:showSerName val="0"/>
          <c:showPercent val="0"/>
          <c:showBubbleSize val="0"/>
        </c:dLbls>
        <c:marker val="1"/>
        <c:smooth val="0"/>
        <c:axId val="227313152"/>
        <c:axId val="227314688"/>
      </c:lineChart>
      <c:catAx>
        <c:axId val="227313152"/>
        <c:scaling>
          <c:orientation val="minMax"/>
        </c:scaling>
        <c:delete val="0"/>
        <c:axPos val="b"/>
        <c:numFmt formatCode="General" sourceLinked="1"/>
        <c:majorTickMark val="out"/>
        <c:minorTickMark val="none"/>
        <c:tickLblPos val="nextTo"/>
        <c:crossAx val="227314688"/>
        <c:crosses val="autoZero"/>
        <c:auto val="1"/>
        <c:lblAlgn val="ctr"/>
        <c:lblOffset val="100"/>
        <c:noMultiLvlLbl val="0"/>
      </c:catAx>
      <c:valAx>
        <c:axId val="227314688"/>
        <c:scaling>
          <c:orientation val="minMax"/>
        </c:scaling>
        <c:delete val="0"/>
        <c:axPos val="l"/>
        <c:numFmt formatCode="General" sourceLinked="1"/>
        <c:majorTickMark val="out"/>
        <c:minorTickMark val="none"/>
        <c:tickLblPos val="nextTo"/>
        <c:crossAx val="227313152"/>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dLbls>
            <c:dLbl>
              <c:idx val="1"/>
              <c:layout>
                <c:manualLayout>
                  <c:x val="-1.6666666666666694E-2"/>
                  <c:y val="-3.240740740740746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'ovcie mlieko'!$L$23:$P$23</c:f>
              <c:numCache>
                <c:formatCode>General</c:formatCode>
                <c:ptCount val="5"/>
                <c:pt idx="0">
                  <c:v>2007</c:v>
                </c:pt>
                <c:pt idx="1">
                  <c:v>2008</c:v>
                </c:pt>
                <c:pt idx="2">
                  <c:v>2009</c:v>
                </c:pt>
                <c:pt idx="3">
                  <c:v>2010</c:v>
                </c:pt>
                <c:pt idx="4">
                  <c:v>2011</c:v>
                </c:pt>
              </c:numCache>
            </c:numRef>
          </c:cat>
          <c:val>
            <c:numRef>
              <c:f>'ovcie mlieko'!$L$24:$P$24</c:f>
              <c:numCache>
                <c:formatCode>0.00</c:formatCode>
                <c:ptCount val="5"/>
                <c:pt idx="0">
                  <c:v>0.72000000000000053</c:v>
                </c:pt>
                <c:pt idx="1">
                  <c:v>0.81</c:v>
                </c:pt>
                <c:pt idx="2">
                  <c:v>0.8</c:v>
                </c:pt>
                <c:pt idx="3">
                  <c:v>0.83000000000000052</c:v>
                </c:pt>
                <c:pt idx="4">
                  <c:v>0.87000000000000055</c:v>
                </c:pt>
              </c:numCache>
            </c:numRef>
          </c:val>
          <c:smooth val="0"/>
        </c:ser>
        <c:dLbls>
          <c:showLegendKey val="0"/>
          <c:showVal val="0"/>
          <c:showCatName val="0"/>
          <c:showSerName val="0"/>
          <c:showPercent val="0"/>
          <c:showBubbleSize val="0"/>
        </c:dLbls>
        <c:marker val="1"/>
        <c:smooth val="0"/>
        <c:axId val="227359360"/>
        <c:axId val="227381632"/>
      </c:lineChart>
      <c:catAx>
        <c:axId val="227359360"/>
        <c:scaling>
          <c:orientation val="minMax"/>
        </c:scaling>
        <c:delete val="0"/>
        <c:axPos val="b"/>
        <c:numFmt formatCode="General" sourceLinked="1"/>
        <c:majorTickMark val="out"/>
        <c:minorTickMark val="none"/>
        <c:tickLblPos val="nextTo"/>
        <c:crossAx val="227381632"/>
        <c:crosses val="autoZero"/>
        <c:auto val="1"/>
        <c:lblAlgn val="ctr"/>
        <c:lblOffset val="100"/>
        <c:noMultiLvlLbl val="0"/>
      </c:catAx>
      <c:valAx>
        <c:axId val="227381632"/>
        <c:scaling>
          <c:orientation val="minMax"/>
          <c:min val="0.60000000000000064"/>
        </c:scaling>
        <c:delete val="0"/>
        <c:axPos val="l"/>
        <c:numFmt formatCode="0.00" sourceLinked="1"/>
        <c:majorTickMark val="out"/>
        <c:minorTickMark val="none"/>
        <c:tickLblPos val="nextTo"/>
        <c:crossAx val="227359360"/>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424338563407665"/>
          <c:y val="3.9801323131695099E-2"/>
          <c:w val="0.871600784537088"/>
          <c:h val="0.77697415107770162"/>
        </c:manualLayout>
      </c:layout>
      <c:lineChart>
        <c:grouping val="standard"/>
        <c:varyColors val="0"/>
        <c:ser>
          <c:idx val="0"/>
          <c:order val="0"/>
          <c:dLbls>
            <c:dLbl>
              <c:idx val="0"/>
              <c:layout>
                <c:manualLayout>
                  <c:x val="-3.0555555555555582E-2"/>
                  <c:y val="-7.8703703703703734E-2"/>
                </c:manualLayout>
              </c:layout>
              <c:showLegendKey val="0"/>
              <c:showVal val="1"/>
              <c:showCatName val="0"/>
              <c:showSerName val="0"/>
              <c:showPercent val="0"/>
              <c:showBubbleSize val="0"/>
            </c:dLbl>
            <c:dLbl>
              <c:idx val="1"/>
              <c:layout>
                <c:manualLayout>
                  <c:x val="-2.5000000000000001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'kozie mlieko'!$B$1:$G$1</c:f>
              <c:numCache>
                <c:formatCode>General</c:formatCode>
                <c:ptCount val="6"/>
                <c:pt idx="0">
                  <c:v>2002</c:v>
                </c:pt>
                <c:pt idx="1">
                  <c:v>2007</c:v>
                </c:pt>
                <c:pt idx="2">
                  <c:v>2008</c:v>
                </c:pt>
                <c:pt idx="3">
                  <c:v>2009</c:v>
                </c:pt>
                <c:pt idx="4">
                  <c:v>2010</c:v>
                </c:pt>
                <c:pt idx="5">
                  <c:v>2011</c:v>
                </c:pt>
              </c:numCache>
            </c:numRef>
          </c:cat>
          <c:val>
            <c:numRef>
              <c:f>'kozie mlieko'!$B$2:$G$2</c:f>
              <c:numCache>
                <c:formatCode>#,##0</c:formatCode>
                <c:ptCount val="6"/>
                <c:pt idx="0">
                  <c:v>9126</c:v>
                </c:pt>
                <c:pt idx="1">
                  <c:v>9596</c:v>
                </c:pt>
                <c:pt idx="2">
                  <c:v>9182</c:v>
                </c:pt>
                <c:pt idx="3">
                  <c:v>11517</c:v>
                </c:pt>
                <c:pt idx="4">
                  <c:v>12700</c:v>
                </c:pt>
                <c:pt idx="5">
                  <c:v>10136</c:v>
                </c:pt>
              </c:numCache>
            </c:numRef>
          </c:val>
          <c:smooth val="0"/>
        </c:ser>
        <c:dLbls>
          <c:showLegendKey val="0"/>
          <c:showVal val="0"/>
          <c:showCatName val="0"/>
          <c:showSerName val="0"/>
          <c:showPercent val="0"/>
          <c:showBubbleSize val="0"/>
        </c:dLbls>
        <c:marker val="1"/>
        <c:smooth val="0"/>
        <c:axId val="227401728"/>
        <c:axId val="227403264"/>
      </c:lineChart>
      <c:catAx>
        <c:axId val="227401728"/>
        <c:scaling>
          <c:orientation val="minMax"/>
        </c:scaling>
        <c:delete val="0"/>
        <c:axPos val="b"/>
        <c:numFmt formatCode="General" sourceLinked="1"/>
        <c:majorTickMark val="out"/>
        <c:minorTickMark val="none"/>
        <c:tickLblPos val="nextTo"/>
        <c:crossAx val="227403264"/>
        <c:crosses val="autoZero"/>
        <c:auto val="1"/>
        <c:lblAlgn val="ctr"/>
        <c:lblOffset val="100"/>
        <c:noMultiLvlLbl val="0"/>
      </c:catAx>
      <c:valAx>
        <c:axId val="227403264"/>
        <c:scaling>
          <c:orientation val="minMax"/>
          <c:min val="6000"/>
        </c:scaling>
        <c:delete val="0"/>
        <c:axPos val="l"/>
        <c:numFmt formatCode="#,##0" sourceLinked="1"/>
        <c:majorTickMark val="out"/>
        <c:minorTickMark val="none"/>
        <c:tickLblPos val="nextTo"/>
        <c:crossAx val="227401728"/>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301618547681568"/>
          <c:y val="9.1722395692474298E-2"/>
          <c:w val="0.76841207349081364"/>
          <c:h val="0.67921840041305115"/>
        </c:manualLayout>
      </c:layout>
      <c:lineChart>
        <c:grouping val="standard"/>
        <c:varyColors val="0"/>
        <c:ser>
          <c:idx val="0"/>
          <c:order val="0"/>
          <c:tx>
            <c:strRef>
              <c:f>'kozie mlieko'!$J$2</c:f>
              <c:strCache>
                <c:ptCount val="1"/>
                <c:pt idx="0">
                  <c:v>počet kôz v ks</c:v>
                </c:pt>
              </c:strCache>
            </c:strRef>
          </c:tx>
          <c:dLbls>
            <c:dLbl>
              <c:idx val="0"/>
              <c:layout>
                <c:manualLayout>
                  <c:x val="-3.3333333333333305E-2"/>
                  <c:y val="-2.7777777777777863E-2"/>
                </c:manualLayout>
              </c:layout>
              <c:showLegendKey val="0"/>
              <c:showVal val="1"/>
              <c:showCatName val="0"/>
              <c:showSerName val="0"/>
              <c:showPercent val="0"/>
              <c:showBubbleSize val="0"/>
            </c:dLbl>
            <c:dLbl>
              <c:idx val="1"/>
              <c:layout>
                <c:manualLayout>
                  <c:x val="-3.0555555555555582E-2"/>
                  <c:y val="-5.0925925925925923E-2"/>
                </c:manualLayout>
              </c:layout>
              <c:showLegendKey val="0"/>
              <c:showVal val="1"/>
              <c:showCatName val="0"/>
              <c:showSerName val="0"/>
              <c:showPercent val="0"/>
              <c:showBubbleSize val="0"/>
            </c:dLbl>
            <c:dLbl>
              <c:idx val="2"/>
              <c:layout>
                <c:manualLayout>
                  <c:x val="-5.2777777777777792E-2"/>
                  <c:y val="-4.1666666666666664E-2"/>
                </c:manualLayout>
              </c:layout>
              <c:showLegendKey val="0"/>
              <c:showVal val="1"/>
              <c:showCatName val="0"/>
              <c:showSerName val="0"/>
              <c:showPercent val="0"/>
              <c:showBubbleSize val="0"/>
            </c:dLbl>
            <c:dLbl>
              <c:idx val="3"/>
              <c:layout>
                <c:manualLayout>
                  <c:x val="-4.1666666666666664E-2"/>
                  <c:y val="-3.2407407407407517E-2"/>
                </c:manualLayout>
              </c:layout>
              <c:showLegendKey val="0"/>
              <c:showVal val="1"/>
              <c:showCatName val="0"/>
              <c:showSerName val="0"/>
              <c:showPercent val="0"/>
              <c:showBubbleSize val="0"/>
            </c:dLbl>
            <c:dLbl>
              <c:idx val="4"/>
              <c:layout>
                <c:manualLayout>
                  <c:x val="-3.333333333333334E-2"/>
                  <c:y val="-3.2407407407407468E-2"/>
                </c:manualLayout>
              </c:layout>
              <c:showLegendKey val="0"/>
              <c:showVal val="1"/>
              <c:showCatName val="0"/>
              <c:showSerName val="0"/>
              <c:showPercent val="0"/>
              <c:showBubbleSize val="0"/>
            </c:dLbl>
            <c:dLbl>
              <c:idx val="5"/>
              <c:layout>
                <c:manualLayout>
                  <c:x val="-5.2777777777777792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'kozie mlieko'!$K$1:$P$1</c:f>
              <c:numCache>
                <c:formatCode>General</c:formatCode>
                <c:ptCount val="6"/>
                <c:pt idx="0">
                  <c:v>2002</c:v>
                </c:pt>
                <c:pt idx="1">
                  <c:v>2007</c:v>
                </c:pt>
                <c:pt idx="2">
                  <c:v>2008</c:v>
                </c:pt>
                <c:pt idx="3">
                  <c:v>2009</c:v>
                </c:pt>
                <c:pt idx="4">
                  <c:v>2010</c:v>
                </c:pt>
                <c:pt idx="5">
                  <c:v>2011</c:v>
                </c:pt>
              </c:numCache>
            </c:numRef>
          </c:cat>
          <c:val>
            <c:numRef>
              <c:f>'kozie mlieko'!$K$2:$P$2</c:f>
              <c:numCache>
                <c:formatCode>#,##0</c:formatCode>
                <c:ptCount val="6"/>
                <c:pt idx="0">
                  <c:v>29800</c:v>
                </c:pt>
                <c:pt idx="1">
                  <c:v>28000</c:v>
                </c:pt>
                <c:pt idx="2">
                  <c:v>27700</c:v>
                </c:pt>
                <c:pt idx="3">
                  <c:v>26400</c:v>
                </c:pt>
                <c:pt idx="4">
                  <c:v>26200</c:v>
                </c:pt>
                <c:pt idx="5">
                  <c:v>25300</c:v>
                </c:pt>
              </c:numCache>
            </c:numRef>
          </c:val>
          <c:smooth val="0"/>
        </c:ser>
        <c:dLbls>
          <c:showLegendKey val="0"/>
          <c:showVal val="0"/>
          <c:showCatName val="0"/>
          <c:showSerName val="0"/>
          <c:showPercent val="0"/>
          <c:showBubbleSize val="0"/>
        </c:dLbls>
        <c:marker val="1"/>
        <c:smooth val="0"/>
        <c:axId val="227425664"/>
        <c:axId val="227435648"/>
      </c:lineChart>
      <c:lineChart>
        <c:grouping val="standard"/>
        <c:varyColors val="0"/>
        <c:ser>
          <c:idx val="1"/>
          <c:order val="1"/>
          <c:tx>
            <c:strRef>
              <c:f>'kozie mlieko'!$J$3</c:f>
              <c:strCache>
                <c:ptCount val="1"/>
                <c:pt idx="0">
                  <c:v>produkcia mlieka na kozu v l</c:v>
                </c:pt>
              </c:strCache>
            </c:strRef>
          </c:tx>
          <c:dLbls>
            <c:dLbl>
              <c:idx val="0"/>
              <c:layout>
                <c:manualLayout>
                  <c:x val="-3.6111111111111142E-2"/>
                  <c:y val="5.5555555555555462E-2"/>
                </c:manualLayout>
              </c:layout>
              <c:showLegendKey val="0"/>
              <c:showVal val="1"/>
              <c:showCatName val="0"/>
              <c:showSerName val="0"/>
              <c:showPercent val="0"/>
              <c:showBubbleSize val="0"/>
            </c:dLbl>
            <c:dLbl>
              <c:idx val="1"/>
              <c:layout>
                <c:manualLayout>
                  <c:x val="-2.7777777777777863E-2"/>
                  <c:y val="6.0185185185185217E-2"/>
                </c:manualLayout>
              </c:layout>
              <c:showLegendKey val="0"/>
              <c:showVal val="1"/>
              <c:showCatName val="0"/>
              <c:showSerName val="0"/>
              <c:showPercent val="0"/>
              <c:showBubbleSize val="0"/>
            </c:dLbl>
            <c:dLbl>
              <c:idx val="2"/>
              <c:layout>
                <c:manualLayout>
                  <c:x val="-5.5555555555555462E-2"/>
                  <c:y val="5.5555555555555455E-2"/>
                </c:manualLayout>
              </c:layout>
              <c:showLegendKey val="0"/>
              <c:showVal val="1"/>
              <c:showCatName val="0"/>
              <c:showSerName val="0"/>
              <c:showPercent val="0"/>
              <c:showBubbleSize val="0"/>
            </c:dLbl>
            <c:dLbl>
              <c:idx val="5"/>
              <c:layout>
                <c:manualLayout>
                  <c:x val="-3.333333333333334E-2"/>
                  <c:y val="-5.555555555555546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'kozie mlieko'!$K$1:$P$1</c:f>
              <c:numCache>
                <c:formatCode>General</c:formatCode>
                <c:ptCount val="6"/>
                <c:pt idx="0">
                  <c:v>2002</c:v>
                </c:pt>
                <c:pt idx="1">
                  <c:v>2007</c:v>
                </c:pt>
                <c:pt idx="2">
                  <c:v>2008</c:v>
                </c:pt>
                <c:pt idx="3">
                  <c:v>2009</c:v>
                </c:pt>
                <c:pt idx="4">
                  <c:v>2010</c:v>
                </c:pt>
                <c:pt idx="5">
                  <c:v>2011</c:v>
                </c:pt>
              </c:numCache>
            </c:numRef>
          </c:cat>
          <c:val>
            <c:numRef>
              <c:f>'kozie mlieko'!$K$3:$P$3</c:f>
              <c:numCache>
                <c:formatCode>#,##0</c:formatCode>
                <c:ptCount val="6"/>
                <c:pt idx="0">
                  <c:v>306.24161073825474</c:v>
                </c:pt>
                <c:pt idx="1">
                  <c:v>342.71428571428567</c:v>
                </c:pt>
                <c:pt idx="2">
                  <c:v>331.48014440433195</c:v>
                </c:pt>
                <c:pt idx="3">
                  <c:v>436.25</c:v>
                </c:pt>
                <c:pt idx="4">
                  <c:v>484.73282442748069</c:v>
                </c:pt>
                <c:pt idx="5">
                  <c:v>400.63241106719369</c:v>
                </c:pt>
              </c:numCache>
            </c:numRef>
          </c:val>
          <c:smooth val="0"/>
        </c:ser>
        <c:dLbls>
          <c:showLegendKey val="0"/>
          <c:showVal val="0"/>
          <c:showCatName val="0"/>
          <c:showSerName val="0"/>
          <c:showPercent val="0"/>
          <c:showBubbleSize val="0"/>
        </c:dLbls>
        <c:marker val="1"/>
        <c:smooth val="0"/>
        <c:axId val="227459456"/>
        <c:axId val="227437184"/>
      </c:lineChart>
      <c:catAx>
        <c:axId val="227425664"/>
        <c:scaling>
          <c:orientation val="minMax"/>
        </c:scaling>
        <c:delete val="0"/>
        <c:axPos val="b"/>
        <c:numFmt formatCode="General" sourceLinked="1"/>
        <c:majorTickMark val="out"/>
        <c:minorTickMark val="none"/>
        <c:tickLblPos val="nextTo"/>
        <c:crossAx val="227435648"/>
        <c:crosses val="autoZero"/>
        <c:auto val="1"/>
        <c:lblAlgn val="ctr"/>
        <c:lblOffset val="0"/>
        <c:noMultiLvlLbl val="0"/>
      </c:catAx>
      <c:valAx>
        <c:axId val="227435648"/>
        <c:scaling>
          <c:orientation val="minMax"/>
        </c:scaling>
        <c:delete val="0"/>
        <c:axPos val="l"/>
        <c:numFmt formatCode="#,##0" sourceLinked="1"/>
        <c:majorTickMark val="out"/>
        <c:minorTickMark val="none"/>
        <c:tickLblPos val="nextTo"/>
        <c:crossAx val="227425664"/>
        <c:crosses val="autoZero"/>
        <c:crossBetween val="between"/>
      </c:valAx>
      <c:valAx>
        <c:axId val="227437184"/>
        <c:scaling>
          <c:orientation val="minMax"/>
        </c:scaling>
        <c:delete val="0"/>
        <c:axPos val="r"/>
        <c:numFmt formatCode="#,##0" sourceLinked="1"/>
        <c:majorTickMark val="out"/>
        <c:minorTickMark val="none"/>
        <c:tickLblPos val="nextTo"/>
        <c:crossAx val="227459456"/>
        <c:crosses val="max"/>
        <c:crossBetween val="between"/>
      </c:valAx>
      <c:catAx>
        <c:axId val="227459456"/>
        <c:scaling>
          <c:orientation val="minMax"/>
        </c:scaling>
        <c:delete val="1"/>
        <c:axPos val="b"/>
        <c:numFmt formatCode="General" sourceLinked="1"/>
        <c:majorTickMark val="out"/>
        <c:minorTickMark val="none"/>
        <c:tickLblPos val="nextTo"/>
        <c:crossAx val="227437184"/>
        <c:crosses val="autoZero"/>
        <c:auto val="1"/>
        <c:lblAlgn val="ctr"/>
        <c:lblOffset val="100"/>
        <c:noMultiLvlLbl val="0"/>
      </c:catAx>
    </c:plotArea>
    <c:legend>
      <c:legendPos val="b"/>
      <c:layout>
        <c:manualLayout>
          <c:xMode val="edge"/>
          <c:yMode val="edge"/>
          <c:x val="0.20556317716001091"/>
          <c:y val="0.90193383054118637"/>
          <c:w val="0.58887347151610869"/>
          <c:h val="9.8066169458814342E-2"/>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dLbls>
            <c:dLbl>
              <c:idx val="0"/>
              <c:layout>
                <c:manualLayout>
                  <c:x val="-6.1111111111111123E-2"/>
                  <c:y val="-6.481481481481486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ryby!$B$13:$G$13</c:f>
              <c:numCache>
                <c:formatCode>General</c:formatCode>
                <c:ptCount val="6"/>
                <c:pt idx="0">
                  <c:v>2002</c:v>
                </c:pt>
                <c:pt idx="1">
                  <c:v>2007</c:v>
                </c:pt>
                <c:pt idx="2">
                  <c:v>2008</c:v>
                </c:pt>
                <c:pt idx="3">
                  <c:v>2009</c:v>
                </c:pt>
                <c:pt idx="4">
                  <c:v>2010</c:v>
                </c:pt>
                <c:pt idx="5">
                  <c:v>2011</c:v>
                </c:pt>
              </c:numCache>
            </c:numRef>
          </c:cat>
          <c:val>
            <c:numRef>
              <c:f>ryby!$B$14:$G$14</c:f>
              <c:numCache>
                <c:formatCode>0.0</c:formatCode>
                <c:ptCount val="6"/>
                <c:pt idx="0">
                  <c:v>4.3827777777777746</c:v>
                </c:pt>
                <c:pt idx="1">
                  <c:v>4.7</c:v>
                </c:pt>
                <c:pt idx="2">
                  <c:v>4.9000000000000004</c:v>
                </c:pt>
                <c:pt idx="3">
                  <c:v>4.5999999999999996</c:v>
                </c:pt>
                <c:pt idx="4">
                  <c:v>5.0999999999999996</c:v>
                </c:pt>
                <c:pt idx="5">
                  <c:v>4.8</c:v>
                </c:pt>
              </c:numCache>
            </c:numRef>
          </c:val>
          <c:smooth val="0"/>
        </c:ser>
        <c:dLbls>
          <c:showLegendKey val="0"/>
          <c:showVal val="0"/>
          <c:showCatName val="0"/>
          <c:showSerName val="0"/>
          <c:showPercent val="0"/>
          <c:showBubbleSize val="0"/>
        </c:dLbls>
        <c:marker val="1"/>
        <c:smooth val="0"/>
        <c:axId val="227481088"/>
        <c:axId val="227482624"/>
      </c:lineChart>
      <c:catAx>
        <c:axId val="227481088"/>
        <c:scaling>
          <c:orientation val="minMax"/>
        </c:scaling>
        <c:delete val="0"/>
        <c:axPos val="b"/>
        <c:numFmt formatCode="General" sourceLinked="1"/>
        <c:majorTickMark val="out"/>
        <c:minorTickMark val="none"/>
        <c:tickLblPos val="nextTo"/>
        <c:crossAx val="227482624"/>
        <c:crosses val="autoZero"/>
        <c:auto val="1"/>
        <c:lblAlgn val="ctr"/>
        <c:lblOffset val="100"/>
        <c:noMultiLvlLbl val="0"/>
      </c:catAx>
      <c:valAx>
        <c:axId val="227482624"/>
        <c:scaling>
          <c:orientation val="minMax"/>
        </c:scaling>
        <c:delete val="0"/>
        <c:axPos val="l"/>
        <c:majorGridlines/>
        <c:numFmt formatCode="0.0" sourceLinked="1"/>
        <c:majorTickMark val="out"/>
        <c:minorTickMark val="none"/>
        <c:tickLblPos val="nextTo"/>
        <c:crossAx val="227481088"/>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517457120185533"/>
          <c:y val="2.6229508196721311E-2"/>
          <c:w val="0.83188030275285352"/>
          <c:h val="0.74316939890710387"/>
        </c:manualLayout>
      </c:layout>
      <c:lineChart>
        <c:grouping val="standard"/>
        <c:varyColors val="0"/>
        <c:ser>
          <c:idx val="0"/>
          <c:order val="0"/>
          <c:tx>
            <c:strRef>
              <c:f>Hárok1!$A$2</c:f>
              <c:strCache>
                <c:ptCount val="1"/>
                <c:pt idx="0">
                  <c:v>Ryby spolu</c:v>
                </c:pt>
              </c:strCache>
            </c:strRef>
          </c:tx>
          <c:dLbls>
            <c:dLbl>
              <c:idx val="0"/>
              <c:layout>
                <c:manualLayout>
                  <c:x val="-3.875968992248062E-3"/>
                  <c:y val="3.4972677595628415E-2"/>
                </c:manualLayout>
              </c:layout>
              <c:showLegendKey val="0"/>
              <c:showVal val="1"/>
              <c:showCatName val="0"/>
              <c:showSerName val="0"/>
              <c:showPercent val="0"/>
              <c:showBubbleSize val="0"/>
            </c:dLbl>
            <c:dLbl>
              <c:idx val="1"/>
              <c:layout>
                <c:manualLayout>
                  <c:x val="-2.9069767441860486E-2"/>
                  <c:y val="5.6830601092896248E-2"/>
                </c:manualLayout>
              </c:layout>
              <c:showLegendKey val="0"/>
              <c:showVal val="1"/>
              <c:showCatName val="0"/>
              <c:showSerName val="0"/>
              <c:showPercent val="0"/>
              <c:showBubbleSize val="0"/>
            </c:dLbl>
            <c:dLbl>
              <c:idx val="2"/>
              <c:layout>
                <c:manualLayout>
                  <c:x val="-4.069767441860471E-2"/>
                  <c:y val="5.6830601092896227E-2"/>
                </c:manualLayout>
              </c:layout>
              <c:showLegendKey val="0"/>
              <c:showVal val="1"/>
              <c:showCatName val="0"/>
              <c:showSerName val="0"/>
              <c:showPercent val="0"/>
              <c:showBubbleSize val="0"/>
            </c:dLbl>
            <c:dLbl>
              <c:idx val="3"/>
              <c:layout>
                <c:manualLayout>
                  <c:x val="-4.6511627906976813E-2"/>
                  <c:y val="5.2459016393442623E-2"/>
                </c:manualLayout>
              </c:layout>
              <c:showLegendKey val="0"/>
              <c:showVal val="1"/>
              <c:showCatName val="0"/>
              <c:showSerName val="0"/>
              <c:showPercent val="0"/>
              <c:showBubbleSize val="0"/>
            </c:dLbl>
            <c:dLbl>
              <c:idx val="4"/>
              <c:layout>
                <c:manualLayout>
                  <c:x val="-4.6511627906976737E-2"/>
                  <c:y val="6.5573770491803282E-2"/>
                </c:manualLayout>
              </c:layout>
              <c:showLegendKey val="0"/>
              <c:showVal val="1"/>
              <c:showCatName val="0"/>
              <c:showSerName val="0"/>
              <c:showPercent val="0"/>
              <c:showBubbleSize val="0"/>
            </c:dLbl>
            <c:dLbl>
              <c:idx val="5"/>
              <c:layout>
                <c:manualLayout>
                  <c:x val="-5.0387596899224854E-2"/>
                  <c:y val="5.2459016393442623E-2"/>
                </c:manualLayout>
              </c:layout>
              <c:showLegendKey val="0"/>
              <c:showVal val="1"/>
              <c:showCatName val="0"/>
              <c:showSerName val="0"/>
              <c:showPercent val="0"/>
              <c:showBubbleSize val="0"/>
            </c:dLbl>
            <c:dLbl>
              <c:idx val="6"/>
              <c:layout>
                <c:manualLayout>
                  <c:x val="-4.6511627906976813E-2"/>
                  <c:y val="6.557377049180328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Hárok1!$B$1:$H$1</c:f>
              <c:numCache>
                <c:formatCode>General</c:formatCode>
                <c:ptCount val="7"/>
                <c:pt idx="0">
                  <c:v>2005</c:v>
                </c:pt>
                <c:pt idx="1">
                  <c:v>2006</c:v>
                </c:pt>
                <c:pt idx="2">
                  <c:v>2007</c:v>
                </c:pt>
                <c:pt idx="3">
                  <c:v>2008</c:v>
                </c:pt>
                <c:pt idx="4">
                  <c:v>2009</c:v>
                </c:pt>
                <c:pt idx="5">
                  <c:v>2010</c:v>
                </c:pt>
                <c:pt idx="6">
                  <c:v>2011</c:v>
                </c:pt>
              </c:numCache>
            </c:numRef>
          </c:cat>
          <c:val>
            <c:numRef>
              <c:f>Hárok1!$B$2:$H$2</c:f>
              <c:numCache>
                <c:formatCode>#,##0</c:formatCode>
                <c:ptCount val="7"/>
                <c:pt idx="0">
                  <c:v>2652407</c:v>
                </c:pt>
                <c:pt idx="1">
                  <c:v>2979000</c:v>
                </c:pt>
                <c:pt idx="2">
                  <c:v>2871300</c:v>
                </c:pt>
                <c:pt idx="3">
                  <c:v>2733727</c:v>
                </c:pt>
                <c:pt idx="4">
                  <c:v>2584185</c:v>
                </c:pt>
                <c:pt idx="5">
                  <c:v>2295931</c:v>
                </c:pt>
                <c:pt idx="6">
                  <c:v>2750365</c:v>
                </c:pt>
              </c:numCache>
            </c:numRef>
          </c:val>
          <c:smooth val="0"/>
        </c:ser>
        <c:ser>
          <c:idx val="1"/>
          <c:order val="1"/>
          <c:tx>
            <c:strRef>
              <c:f>Hárok1!$A$3</c:f>
              <c:strCache>
                <c:ptCount val="1"/>
                <c:pt idx="0">
                  <c:v>Kapor</c:v>
                </c:pt>
              </c:strCache>
            </c:strRef>
          </c:tx>
          <c:dLbls>
            <c:dLbl>
              <c:idx val="0"/>
              <c:layout>
                <c:manualLayout>
                  <c:x val="-5.8139534883720922E-2"/>
                  <c:y val="-5.6830601092896227E-2"/>
                </c:manualLayout>
              </c:layout>
              <c:showLegendKey val="0"/>
              <c:showVal val="1"/>
              <c:showCatName val="0"/>
              <c:showSerName val="0"/>
              <c:showPercent val="0"/>
              <c:showBubbleSize val="0"/>
            </c:dLbl>
            <c:dLbl>
              <c:idx val="1"/>
              <c:layout>
                <c:manualLayout>
                  <c:x val="-5.0387596899224854E-2"/>
                  <c:y val="-4.8087431693989074E-2"/>
                </c:manualLayout>
              </c:layout>
              <c:showLegendKey val="0"/>
              <c:showVal val="1"/>
              <c:showCatName val="0"/>
              <c:showSerName val="0"/>
              <c:showPercent val="0"/>
              <c:showBubbleSize val="0"/>
            </c:dLbl>
            <c:dLbl>
              <c:idx val="2"/>
              <c:layout>
                <c:manualLayout>
                  <c:x val="-3.4883720930232558E-2"/>
                  <c:y val="-5.2459016393442623E-2"/>
                </c:manualLayout>
              </c:layout>
              <c:showLegendKey val="0"/>
              <c:showVal val="1"/>
              <c:showCatName val="0"/>
              <c:showSerName val="0"/>
              <c:showPercent val="0"/>
              <c:showBubbleSize val="0"/>
            </c:dLbl>
            <c:dLbl>
              <c:idx val="3"/>
              <c:layout>
                <c:manualLayout>
                  <c:x val="-3.4883720930232558E-2"/>
                  <c:y val="-5.2459016393442623E-2"/>
                </c:manualLayout>
              </c:layout>
              <c:showLegendKey val="0"/>
              <c:showVal val="1"/>
              <c:showCatName val="0"/>
              <c:showSerName val="0"/>
              <c:showPercent val="0"/>
              <c:showBubbleSize val="0"/>
            </c:dLbl>
            <c:dLbl>
              <c:idx val="4"/>
              <c:layout>
                <c:manualLayout>
                  <c:x val="-3.4883720930232558E-2"/>
                  <c:y val="-4.8087431693989074E-2"/>
                </c:manualLayout>
              </c:layout>
              <c:showLegendKey val="0"/>
              <c:showVal val="1"/>
              <c:showCatName val="0"/>
              <c:showSerName val="0"/>
              <c:showPercent val="0"/>
              <c:showBubbleSize val="0"/>
            </c:dLbl>
            <c:dLbl>
              <c:idx val="5"/>
              <c:layout>
                <c:manualLayout>
                  <c:x val="-5.8139534883720957E-2"/>
                  <c:y val="-4.3715846994535519E-2"/>
                </c:manualLayout>
              </c:layout>
              <c:showLegendKey val="0"/>
              <c:showVal val="1"/>
              <c:showCatName val="0"/>
              <c:showSerName val="0"/>
              <c:showPercent val="0"/>
              <c:showBubbleSize val="0"/>
            </c:dLbl>
            <c:dLbl>
              <c:idx val="6"/>
              <c:layout>
                <c:manualLayout>
                  <c:x val="-4.8449612403100778E-2"/>
                  <c:y val="-4.371584699453551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Hárok1!$B$1:$H$1</c:f>
              <c:numCache>
                <c:formatCode>General</c:formatCode>
                <c:ptCount val="7"/>
                <c:pt idx="0">
                  <c:v>2005</c:v>
                </c:pt>
                <c:pt idx="1">
                  <c:v>2006</c:v>
                </c:pt>
                <c:pt idx="2">
                  <c:v>2007</c:v>
                </c:pt>
                <c:pt idx="3">
                  <c:v>2008</c:v>
                </c:pt>
                <c:pt idx="4">
                  <c:v>2009</c:v>
                </c:pt>
                <c:pt idx="5">
                  <c:v>2010</c:v>
                </c:pt>
                <c:pt idx="6">
                  <c:v>2011</c:v>
                </c:pt>
              </c:numCache>
            </c:numRef>
          </c:cat>
          <c:val>
            <c:numRef>
              <c:f>Hárok1!$B$3:$H$3</c:f>
              <c:numCache>
                <c:formatCode>#,##0</c:formatCode>
                <c:ptCount val="7"/>
                <c:pt idx="0">
                  <c:v>1281312</c:v>
                </c:pt>
                <c:pt idx="1">
                  <c:v>1597219</c:v>
                </c:pt>
                <c:pt idx="2">
                  <c:v>1429648</c:v>
                </c:pt>
                <c:pt idx="3">
                  <c:v>1429902</c:v>
                </c:pt>
                <c:pt idx="4">
                  <c:v>1394610</c:v>
                </c:pt>
                <c:pt idx="5">
                  <c:v>1275748</c:v>
                </c:pt>
                <c:pt idx="6">
                  <c:v>1620987</c:v>
                </c:pt>
              </c:numCache>
            </c:numRef>
          </c:val>
          <c:smooth val="0"/>
        </c:ser>
        <c:ser>
          <c:idx val="2"/>
          <c:order val="2"/>
          <c:tx>
            <c:strRef>
              <c:f>Hárok1!$A$4</c:f>
              <c:strCache>
                <c:ptCount val="1"/>
                <c:pt idx="0">
                  <c:v>Pstruh dúhový</c:v>
                </c:pt>
              </c:strCache>
            </c:strRef>
          </c:tx>
          <c:dLbls>
            <c:dLbl>
              <c:idx val="0"/>
              <c:layout>
                <c:manualLayout>
                  <c:x val="-1.3565891472868229E-2"/>
                  <c:y val="-3.4972677595628415E-2"/>
                </c:manualLayout>
              </c:layout>
              <c:showLegendKey val="0"/>
              <c:showVal val="1"/>
              <c:showCatName val="0"/>
              <c:showSerName val="0"/>
              <c:showPercent val="0"/>
              <c:showBubbleSize val="0"/>
            </c:dLbl>
            <c:dLbl>
              <c:idx val="1"/>
              <c:layout>
                <c:manualLayout>
                  <c:x val="-2.3255813953488372E-2"/>
                  <c:y val="-3.9344262295081887E-2"/>
                </c:manualLayout>
              </c:layout>
              <c:showLegendKey val="0"/>
              <c:showVal val="1"/>
              <c:showCatName val="0"/>
              <c:showSerName val="0"/>
              <c:showPercent val="0"/>
              <c:showBubbleSize val="0"/>
            </c:dLbl>
            <c:dLbl>
              <c:idx val="2"/>
              <c:layout>
                <c:manualLayout>
                  <c:x val="-2.9069767441860486E-2"/>
                  <c:y val="-3.0601092896174895E-2"/>
                </c:manualLayout>
              </c:layout>
              <c:showLegendKey val="0"/>
              <c:showVal val="1"/>
              <c:showCatName val="0"/>
              <c:showSerName val="0"/>
              <c:showPercent val="0"/>
              <c:showBubbleSize val="0"/>
            </c:dLbl>
            <c:dLbl>
              <c:idx val="3"/>
              <c:layout>
                <c:manualLayout>
                  <c:x val="-1.7441860465116293E-2"/>
                  <c:y val="-3.9344262295081971E-2"/>
                </c:manualLayout>
              </c:layout>
              <c:showLegendKey val="0"/>
              <c:showVal val="1"/>
              <c:showCatName val="0"/>
              <c:showSerName val="0"/>
              <c:showPercent val="0"/>
              <c:showBubbleSize val="0"/>
            </c:dLbl>
            <c:dLbl>
              <c:idx val="4"/>
              <c:layout>
                <c:manualLayout>
                  <c:x val="-2.9069767441860486E-2"/>
                  <c:y val="-4.8087431693989074E-2"/>
                </c:manualLayout>
              </c:layout>
              <c:showLegendKey val="0"/>
              <c:showVal val="1"/>
              <c:showCatName val="0"/>
              <c:showSerName val="0"/>
              <c:showPercent val="0"/>
              <c:showBubbleSize val="0"/>
            </c:dLbl>
            <c:dLbl>
              <c:idx val="5"/>
              <c:layout>
                <c:manualLayout>
                  <c:x val="-3.6821705426356634E-2"/>
                  <c:y val="-3.9344262295082047E-2"/>
                </c:manualLayout>
              </c:layout>
              <c:showLegendKey val="0"/>
              <c:showVal val="1"/>
              <c:showCatName val="0"/>
              <c:showSerName val="0"/>
              <c:showPercent val="0"/>
              <c:showBubbleSize val="0"/>
            </c:dLbl>
            <c:dLbl>
              <c:idx val="6"/>
              <c:layout>
                <c:manualLayout>
                  <c:x val="-4.6511627906976813E-2"/>
                  <c:y val="-4.808743169398907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Hárok1!$B$1:$H$1</c:f>
              <c:numCache>
                <c:formatCode>General</c:formatCode>
                <c:ptCount val="7"/>
                <c:pt idx="0">
                  <c:v>2005</c:v>
                </c:pt>
                <c:pt idx="1">
                  <c:v>2006</c:v>
                </c:pt>
                <c:pt idx="2">
                  <c:v>2007</c:v>
                </c:pt>
                <c:pt idx="3">
                  <c:v>2008</c:v>
                </c:pt>
                <c:pt idx="4">
                  <c:v>2009</c:v>
                </c:pt>
                <c:pt idx="5">
                  <c:v>2010</c:v>
                </c:pt>
                <c:pt idx="6">
                  <c:v>2011</c:v>
                </c:pt>
              </c:numCache>
            </c:numRef>
          </c:cat>
          <c:val>
            <c:numRef>
              <c:f>Hárok1!$B$4:$H$4</c:f>
              <c:numCache>
                <c:formatCode>#,##0</c:formatCode>
                <c:ptCount val="7"/>
                <c:pt idx="0">
                  <c:v>775307</c:v>
                </c:pt>
                <c:pt idx="1">
                  <c:v>819852</c:v>
                </c:pt>
                <c:pt idx="2">
                  <c:v>917326</c:v>
                </c:pt>
                <c:pt idx="3">
                  <c:v>810842</c:v>
                </c:pt>
                <c:pt idx="4">
                  <c:v>681941</c:v>
                </c:pt>
                <c:pt idx="5">
                  <c:v>588707</c:v>
                </c:pt>
                <c:pt idx="6">
                  <c:v>617243</c:v>
                </c:pt>
              </c:numCache>
            </c:numRef>
          </c:val>
          <c:smooth val="0"/>
        </c:ser>
        <c:ser>
          <c:idx val="3"/>
          <c:order val="3"/>
          <c:tx>
            <c:strRef>
              <c:f>Hárok1!$A$5</c:f>
              <c:strCache>
                <c:ptCount val="1"/>
                <c:pt idx="0">
                  <c:v>Ostatné druhy</c:v>
                </c:pt>
              </c:strCache>
            </c:strRef>
          </c:tx>
          <c:dLbls>
            <c:dLbl>
              <c:idx val="0"/>
              <c:layout>
                <c:manualLayout>
                  <c:x val="-2.9069767441860486E-2"/>
                  <c:y val="-3.9344262295081971E-2"/>
                </c:manualLayout>
              </c:layout>
              <c:showLegendKey val="0"/>
              <c:showVal val="1"/>
              <c:showCatName val="0"/>
              <c:showSerName val="0"/>
              <c:showPercent val="0"/>
              <c:showBubbleSize val="0"/>
            </c:dLbl>
            <c:dLbl>
              <c:idx val="1"/>
              <c:layout>
                <c:manualLayout>
                  <c:x val="-2.3255813953488372E-2"/>
                  <c:y val="-3.9344262295081887E-2"/>
                </c:manualLayout>
              </c:layout>
              <c:showLegendKey val="0"/>
              <c:showVal val="1"/>
              <c:showCatName val="0"/>
              <c:showSerName val="0"/>
              <c:showPercent val="0"/>
              <c:showBubbleSize val="0"/>
            </c:dLbl>
            <c:dLbl>
              <c:idx val="2"/>
              <c:layout>
                <c:manualLayout>
                  <c:x val="-2.9069767441860486E-2"/>
                  <c:y val="-3.9344262295082047E-2"/>
                </c:manualLayout>
              </c:layout>
              <c:showLegendKey val="0"/>
              <c:showVal val="1"/>
              <c:showCatName val="0"/>
              <c:showSerName val="0"/>
              <c:showPercent val="0"/>
              <c:showBubbleSize val="0"/>
            </c:dLbl>
            <c:dLbl>
              <c:idx val="3"/>
              <c:layout>
                <c:manualLayout>
                  <c:x val="-2.9069767441860486E-2"/>
                  <c:y val="-3.9344262295081887E-2"/>
                </c:manualLayout>
              </c:layout>
              <c:showLegendKey val="0"/>
              <c:showVal val="1"/>
              <c:showCatName val="0"/>
              <c:showSerName val="0"/>
              <c:showPercent val="0"/>
              <c:showBubbleSize val="0"/>
            </c:dLbl>
            <c:dLbl>
              <c:idx val="4"/>
              <c:layout>
                <c:manualLayout>
                  <c:x val="-2.9069767441860486E-2"/>
                  <c:y val="-3.9344262295081971E-2"/>
                </c:manualLayout>
              </c:layout>
              <c:showLegendKey val="0"/>
              <c:showVal val="1"/>
              <c:showCatName val="0"/>
              <c:showSerName val="0"/>
              <c:showPercent val="0"/>
              <c:showBubbleSize val="0"/>
            </c:dLbl>
            <c:dLbl>
              <c:idx val="5"/>
              <c:layout>
                <c:manualLayout>
                  <c:x val="-3.875968992248062E-2"/>
                  <c:y val="-4.3715846994535519E-2"/>
                </c:manualLayout>
              </c:layout>
              <c:showLegendKey val="0"/>
              <c:showVal val="1"/>
              <c:showCatName val="0"/>
              <c:showSerName val="0"/>
              <c:showPercent val="0"/>
              <c:showBubbleSize val="0"/>
            </c:dLbl>
            <c:dLbl>
              <c:idx val="6"/>
              <c:layout>
                <c:manualLayout>
                  <c:x val="-2.3255813953488372E-2"/>
                  <c:y val="-4.808743169398907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Hárok1!$B$1:$H$1</c:f>
              <c:numCache>
                <c:formatCode>General</c:formatCode>
                <c:ptCount val="7"/>
                <c:pt idx="0">
                  <c:v>2005</c:v>
                </c:pt>
                <c:pt idx="1">
                  <c:v>2006</c:v>
                </c:pt>
                <c:pt idx="2">
                  <c:v>2007</c:v>
                </c:pt>
                <c:pt idx="3">
                  <c:v>2008</c:v>
                </c:pt>
                <c:pt idx="4">
                  <c:v>2009</c:v>
                </c:pt>
                <c:pt idx="5">
                  <c:v>2010</c:v>
                </c:pt>
                <c:pt idx="6">
                  <c:v>2011</c:v>
                </c:pt>
              </c:numCache>
            </c:numRef>
          </c:cat>
          <c:val>
            <c:numRef>
              <c:f>Hárok1!$B$5:$H$5</c:f>
              <c:numCache>
                <c:formatCode>#,##0</c:formatCode>
                <c:ptCount val="7"/>
                <c:pt idx="0">
                  <c:v>36355</c:v>
                </c:pt>
                <c:pt idx="1">
                  <c:v>30968</c:v>
                </c:pt>
                <c:pt idx="2">
                  <c:v>36628</c:v>
                </c:pt>
                <c:pt idx="3">
                  <c:v>23524</c:v>
                </c:pt>
                <c:pt idx="4">
                  <c:v>23813</c:v>
                </c:pt>
                <c:pt idx="5">
                  <c:v>16222</c:v>
                </c:pt>
                <c:pt idx="6">
                  <c:v>19220</c:v>
                </c:pt>
              </c:numCache>
            </c:numRef>
          </c:val>
          <c:smooth val="0"/>
        </c:ser>
        <c:dLbls>
          <c:showLegendKey val="0"/>
          <c:showVal val="0"/>
          <c:showCatName val="0"/>
          <c:showSerName val="0"/>
          <c:showPercent val="0"/>
          <c:showBubbleSize val="0"/>
        </c:dLbls>
        <c:marker val="1"/>
        <c:smooth val="0"/>
        <c:axId val="227543296"/>
        <c:axId val="227573760"/>
      </c:lineChart>
      <c:catAx>
        <c:axId val="227543296"/>
        <c:scaling>
          <c:orientation val="minMax"/>
        </c:scaling>
        <c:delete val="0"/>
        <c:axPos val="b"/>
        <c:numFmt formatCode="General" sourceLinked="1"/>
        <c:majorTickMark val="out"/>
        <c:minorTickMark val="none"/>
        <c:tickLblPos val="nextTo"/>
        <c:crossAx val="227573760"/>
        <c:crosses val="autoZero"/>
        <c:auto val="1"/>
        <c:lblAlgn val="ctr"/>
        <c:lblOffset val="100"/>
        <c:noMultiLvlLbl val="0"/>
      </c:catAx>
      <c:valAx>
        <c:axId val="227573760"/>
        <c:scaling>
          <c:orientation val="minMax"/>
        </c:scaling>
        <c:delete val="0"/>
        <c:axPos val="l"/>
        <c:numFmt formatCode="#,##0" sourceLinked="1"/>
        <c:majorTickMark val="out"/>
        <c:minorTickMark val="none"/>
        <c:tickLblPos val="nextTo"/>
        <c:crossAx val="227543296"/>
        <c:crosses val="autoZero"/>
        <c:crossBetween val="between"/>
      </c:valAx>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dLbls>
            <c:dLbl>
              <c:idx val="0"/>
              <c:layout>
                <c:manualLayout>
                  <c:x val="-4.9910873440285289E-2"/>
                  <c:y val="6.9414300894597394E-2"/>
                </c:manualLayout>
              </c:layout>
              <c:showLegendKey val="0"/>
              <c:showVal val="1"/>
              <c:showCatName val="0"/>
              <c:showSerName val="0"/>
              <c:showPercent val="0"/>
              <c:showBubbleSize val="0"/>
            </c:dLbl>
            <c:dLbl>
              <c:idx val="1"/>
              <c:layout>
                <c:manualLayout>
                  <c:x val="-4.7534165181223977E-2"/>
                  <c:y val="8.0983351043696847E-2"/>
                </c:manualLayout>
              </c:layout>
              <c:showLegendKey val="0"/>
              <c:showVal val="1"/>
              <c:showCatName val="0"/>
              <c:showSerName val="0"/>
              <c:showPercent val="0"/>
              <c:showBubbleSize val="0"/>
            </c:dLbl>
            <c:dLbl>
              <c:idx val="2"/>
              <c:layout>
                <c:manualLayout>
                  <c:x val="-2.852049910873437E-2"/>
                  <c:y val="8.6767876118246823E-2"/>
                </c:manualLayout>
              </c:layout>
              <c:showLegendKey val="0"/>
              <c:showVal val="1"/>
              <c:showCatName val="0"/>
              <c:showSerName val="0"/>
              <c:showPercent val="0"/>
              <c:showBubbleSize val="0"/>
            </c:dLbl>
            <c:dLbl>
              <c:idx val="3"/>
              <c:layout>
                <c:manualLayout>
                  <c:x val="-3.3273915626856797E-2"/>
                  <c:y val="7.5198825969147093E-2"/>
                </c:manualLayout>
              </c:layout>
              <c:showLegendKey val="0"/>
              <c:showVal val="1"/>
              <c:showCatName val="0"/>
              <c:showSerName val="0"/>
              <c:showPercent val="0"/>
              <c:showBubbleSize val="0"/>
            </c:dLbl>
            <c:dLbl>
              <c:idx val="4"/>
              <c:layout>
                <c:manualLayout>
                  <c:x val="-5.4664289958407733E-2"/>
                  <c:y val="7.519882596914709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'hovadzie a telacie'!$B$48:$F$48</c:f>
              <c:numCache>
                <c:formatCode>General</c:formatCode>
                <c:ptCount val="5"/>
                <c:pt idx="0">
                  <c:v>2002</c:v>
                </c:pt>
                <c:pt idx="1">
                  <c:v>2008</c:v>
                </c:pt>
                <c:pt idx="2">
                  <c:v>2009</c:v>
                </c:pt>
                <c:pt idx="3">
                  <c:v>2010</c:v>
                </c:pt>
                <c:pt idx="4">
                  <c:v>2011</c:v>
                </c:pt>
              </c:numCache>
            </c:numRef>
          </c:cat>
          <c:val>
            <c:numRef>
              <c:f>'hovadzie a telacie'!$B$49:$F$49</c:f>
              <c:numCache>
                <c:formatCode>General</c:formatCode>
                <c:ptCount val="5"/>
                <c:pt idx="0">
                  <c:v>607.79999999999995</c:v>
                </c:pt>
                <c:pt idx="1">
                  <c:v>488.4</c:v>
                </c:pt>
                <c:pt idx="2">
                  <c:v>471.9</c:v>
                </c:pt>
                <c:pt idx="3">
                  <c:v>467.1</c:v>
                </c:pt>
                <c:pt idx="4">
                  <c:v>463.4</c:v>
                </c:pt>
              </c:numCache>
            </c:numRef>
          </c:val>
          <c:smooth val="0"/>
        </c:ser>
        <c:dLbls>
          <c:showLegendKey val="0"/>
          <c:showVal val="0"/>
          <c:showCatName val="0"/>
          <c:showSerName val="0"/>
          <c:showPercent val="0"/>
          <c:showBubbleSize val="0"/>
        </c:dLbls>
        <c:marker val="1"/>
        <c:smooth val="0"/>
        <c:axId val="114347008"/>
        <c:axId val="114361088"/>
      </c:lineChart>
      <c:catAx>
        <c:axId val="114347008"/>
        <c:scaling>
          <c:orientation val="minMax"/>
        </c:scaling>
        <c:delete val="0"/>
        <c:axPos val="b"/>
        <c:numFmt formatCode="General" sourceLinked="1"/>
        <c:majorTickMark val="out"/>
        <c:minorTickMark val="none"/>
        <c:tickLblPos val="nextTo"/>
        <c:crossAx val="114361088"/>
        <c:crosses val="autoZero"/>
        <c:auto val="1"/>
        <c:lblAlgn val="ctr"/>
        <c:lblOffset val="100"/>
        <c:noMultiLvlLbl val="0"/>
      </c:catAx>
      <c:valAx>
        <c:axId val="114361088"/>
        <c:scaling>
          <c:orientation val="minMax"/>
          <c:min val="400"/>
        </c:scaling>
        <c:delete val="0"/>
        <c:axPos val="l"/>
        <c:numFmt formatCode="General" sourceLinked="1"/>
        <c:majorTickMark val="out"/>
        <c:minorTickMark val="none"/>
        <c:tickLblPos val="nextTo"/>
        <c:crossAx val="114347008"/>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stacked"/>
        <c:varyColors val="0"/>
        <c:ser>
          <c:idx val="0"/>
          <c:order val="0"/>
          <c:tx>
            <c:strRef>
              <c:f>'[121029_vypocet sebestacnosti v zakladnych artikloch.xlsx]vinohrady'!$A$3</c:f>
              <c:strCache>
                <c:ptCount val="1"/>
                <c:pt idx="0">
                  <c:v>Rodiace vinohrady v ha</c:v>
                </c:pt>
              </c:strCache>
            </c:strRef>
          </c:tx>
          <c:spPr>
            <a:solidFill>
              <a:schemeClr val="bg1">
                <a:lumMod val="65000"/>
              </a:schemeClr>
            </a:solidFill>
          </c:spPr>
          <c:invertIfNegative val="0"/>
          <c:dLbls>
            <c:showLegendKey val="0"/>
            <c:showVal val="1"/>
            <c:showCatName val="0"/>
            <c:showSerName val="0"/>
            <c:showPercent val="0"/>
            <c:showBubbleSize val="0"/>
            <c:showLeaderLines val="0"/>
          </c:dLbls>
          <c:cat>
            <c:strRef>
              <c:f>'[121029_vypocet sebestacnosti v zakladnych artikloch.xlsx]vinohrady'!$B$1:$G$1</c:f>
              <c:strCache>
                <c:ptCount val="6"/>
                <c:pt idx="0">
                  <c:v>2002</c:v>
                </c:pt>
                <c:pt idx="1">
                  <c:v>2007</c:v>
                </c:pt>
                <c:pt idx="2">
                  <c:v>2008</c:v>
                </c:pt>
                <c:pt idx="3">
                  <c:v>2009</c:v>
                </c:pt>
                <c:pt idx="4">
                  <c:v>2010</c:v>
                </c:pt>
                <c:pt idx="5">
                  <c:v>2011</c:v>
                </c:pt>
              </c:strCache>
            </c:strRef>
          </c:cat>
          <c:val>
            <c:numRef>
              <c:f>'[121029_vypocet sebestacnosti v zakladnych artikloch.xlsx]vinohrady'!$B$3:$G$3</c:f>
              <c:numCache>
                <c:formatCode>#,##0</c:formatCode>
                <c:ptCount val="6"/>
                <c:pt idx="0">
                  <c:v>13221</c:v>
                </c:pt>
                <c:pt idx="1">
                  <c:v>11844</c:v>
                </c:pt>
                <c:pt idx="2">
                  <c:v>9980</c:v>
                </c:pt>
                <c:pt idx="3">
                  <c:v>9594</c:v>
                </c:pt>
                <c:pt idx="4">
                  <c:v>9225</c:v>
                </c:pt>
                <c:pt idx="5">
                  <c:v>14721.9</c:v>
                </c:pt>
              </c:numCache>
            </c:numRef>
          </c:val>
        </c:ser>
        <c:ser>
          <c:idx val="1"/>
          <c:order val="1"/>
          <c:tx>
            <c:strRef>
              <c:f>'[121029_vypocet sebestacnosti v zakladnych artikloch.xlsx]vinohrady'!$A$4</c:f>
              <c:strCache>
                <c:ptCount val="1"/>
                <c:pt idx="0">
                  <c:v>Nerodiace vinohrady v ha</c:v>
                </c:pt>
              </c:strCache>
            </c:strRef>
          </c:tx>
          <c:spPr>
            <a:solidFill>
              <a:schemeClr val="bg1">
                <a:lumMod val="85000"/>
              </a:schemeClr>
            </a:solidFill>
          </c:spPr>
          <c:invertIfNegative val="0"/>
          <c:dLbls>
            <c:showLegendKey val="0"/>
            <c:showVal val="1"/>
            <c:showCatName val="0"/>
            <c:showSerName val="0"/>
            <c:showPercent val="0"/>
            <c:showBubbleSize val="0"/>
            <c:showLeaderLines val="0"/>
          </c:dLbls>
          <c:cat>
            <c:strRef>
              <c:f>'[121029_vypocet sebestacnosti v zakladnych artikloch.xlsx]vinohrady'!$B$1:$G$1</c:f>
              <c:strCache>
                <c:ptCount val="6"/>
                <c:pt idx="0">
                  <c:v>2002</c:v>
                </c:pt>
                <c:pt idx="1">
                  <c:v>2007</c:v>
                </c:pt>
                <c:pt idx="2">
                  <c:v>2008</c:v>
                </c:pt>
                <c:pt idx="3">
                  <c:v>2009</c:v>
                </c:pt>
                <c:pt idx="4">
                  <c:v>2010</c:v>
                </c:pt>
                <c:pt idx="5">
                  <c:v>2011</c:v>
                </c:pt>
              </c:strCache>
            </c:strRef>
          </c:cat>
          <c:val>
            <c:numRef>
              <c:f>'[121029_vypocet sebestacnosti v zakladnych artikloch.xlsx]vinohrady'!$B$4:$G$4</c:f>
              <c:numCache>
                <c:formatCode>#,##0</c:formatCode>
                <c:ptCount val="6"/>
                <c:pt idx="0">
                  <c:v>4135</c:v>
                </c:pt>
                <c:pt idx="1">
                  <c:v>4059</c:v>
                </c:pt>
                <c:pt idx="2">
                  <c:v>5742</c:v>
                </c:pt>
                <c:pt idx="3">
                  <c:v>5282</c:v>
                </c:pt>
                <c:pt idx="4">
                  <c:v>5249</c:v>
                </c:pt>
                <c:pt idx="5">
                  <c:v>4249.1000000000004</c:v>
                </c:pt>
              </c:numCache>
            </c:numRef>
          </c:val>
        </c:ser>
        <c:dLbls>
          <c:showLegendKey val="0"/>
          <c:showVal val="0"/>
          <c:showCatName val="0"/>
          <c:showSerName val="0"/>
          <c:showPercent val="0"/>
          <c:showBubbleSize val="0"/>
        </c:dLbls>
        <c:gapWidth val="150"/>
        <c:overlap val="100"/>
        <c:axId val="227595392"/>
        <c:axId val="227596928"/>
      </c:barChart>
      <c:catAx>
        <c:axId val="227595392"/>
        <c:scaling>
          <c:orientation val="minMax"/>
        </c:scaling>
        <c:delete val="0"/>
        <c:axPos val="l"/>
        <c:majorTickMark val="out"/>
        <c:minorTickMark val="none"/>
        <c:tickLblPos val="nextTo"/>
        <c:crossAx val="227596928"/>
        <c:crosses val="autoZero"/>
        <c:auto val="1"/>
        <c:lblAlgn val="ctr"/>
        <c:lblOffset val="100"/>
        <c:noMultiLvlLbl val="0"/>
      </c:catAx>
      <c:valAx>
        <c:axId val="227596928"/>
        <c:scaling>
          <c:orientation val="minMax"/>
        </c:scaling>
        <c:delete val="0"/>
        <c:axPos val="b"/>
        <c:numFmt formatCode="#,##0" sourceLinked="1"/>
        <c:majorTickMark val="out"/>
        <c:minorTickMark val="none"/>
        <c:tickLblPos val="nextTo"/>
        <c:crossAx val="227595392"/>
        <c:crosses val="autoZero"/>
        <c:crossBetween val="between"/>
      </c:valAx>
      <c:spPr>
        <a:noFill/>
        <a:ln w="25400">
          <a:noFill/>
        </a:ln>
      </c:spPr>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6071741032370933E-2"/>
          <c:y val="0.17281282350013177"/>
          <c:w val="0.8419398512685925"/>
          <c:h val="0.5683293596545973"/>
        </c:manualLayout>
      </c:layout>
      <c:lineChart>
        <c:grouping val="standard"/>
        <c:varyColors val="0"/>
        <c:ser>
          <c:idx val="0"/>
          <c:order val="0"/>
          <c:tx>
            <c:strRef>
              <c:f>'[121029_vypocet sebestacnosti v zakladnych artikloch.xlsx]vinohrady'!$J$2</c:f>
              <c:strCache>
                <c:ptCount val="1"/>
                <c:pt idx="0">
                  <c:v>produkcia vína z domácej suroviny v tis. hl</c:v>
                </c:pt>
              </c:strCache>
            </c:strRef>
          </c:tx>
          <c:cat>
            <c:strRef>
              <c:f>'[121029_vypocet sebestacnosti v zakladnych artikloch.xlsx]vinohrady'!$K$1:$P$1</c:f>
              <c:strCache>
                <c:ptCount val="6"/>
                <c:pt idx="0">
                  <c:v>2002</c:v>
                </c:pt>
                <c:pt idx="1">
                  <c:v>2007</c:v>
                </c:pt>
                <c:pt idx="2">
                  <c:v>2008</c:v>
                </c:pt>
                <c:pt idx="3">
                  <c:v>2009</c:v>
                </c:pt>
                <c:pt idx="4">
                  <c:v>2010</c:v>
                </c:pt>
                <c:pt idx="5">
                  <c:v>2011</c:v>
                </c:pt>
              </c:strCache>
            </c:strRef>
          </c:cat>
          <c:val>
            <c:numRef>
              <c:f>'[121029_vypocet sebestacnosti v zakladnych artikloch.xlsx]vinohrady'!$K$2:$P$2</c:f>
              <c:numCache>
                <c:formatCode>General</c:formatCode>
                <c:ptCount val="6"/>
                <c:pt idx="0">
                  <c:v>339</c:v>
                </c:pt>
                <c:pt idx="1">
                  <c:v>358</c:v>
                </c:pt>
                <c:pt idx="2">
                  <c:v>433</c:v>
                </c:pt>
                <c:pt idx="3">
                  <c:v>346</c:v>
                </c:pt>
                <c:pt idx="4">
                  <c:v>207</c:v>
                </c:pt>
                <c:pt idx="5">
                  <c:v>349</c:v>
                </c:pt>
              </c:numCache>
            </c:numRef>
          </c:val>
          <c:smooth val="0"/>
        </c:ser>
        <c:dLbls>
          <c:showLegendKey val="0"/>
          <c:showVal val="0"/>
          <c:showCatName val="0"/>
          <c:showSerName val="0"/>
          <c:showPercent val="0"/>
          <c:showBubbleSize val="0"/>
        </c:dLbls>
        <c:marker val="1"/>
        <c:smooth val="0"/>
        <c:axId val="227627392"/>
        <c:axId val="227628928"/>
      </c:lineChart>
      <c:lineChart>
        <c:grouping val="standard"/>
        <c:varyColors val="0"/>
        <c:ser>
          <c:idx val="1"/>
          <c:order val="1"/>
          <c:tx>
            <c:strRef>
              <c:f>'[121029_vypocet sebestacnosti v zakladnych artikloch.xlsx]vinohrady'!$J$3</c:f>
              <c:strCache>
                <c:ptCount val="1"/>
                <c:pt idx="0">
                  <c:v>ročná spotreba vína na obyvateľa v l</c:v>
                </c:pt>
              </c:strCache>
            </c:strRef>
          </c:tx>
          <c:cat>
            <c:strRef>
              <c:f>'[121029_vypocet sebestacnosti v zakladnych artikloch.xlsx]vinohrady'!$K$1:$P$1</c:f>
              <c:strCache>
                <c:ptCount val="6"/>
                <c:pt idx="0">
                  <c:v>2002</c:v>
                </c:pt>
                <c:pt idx="1">
                  <c:v>2007</c:v>
                </c:pt>
                <c:pt idx="2">
                  <c:v>2008</c:v>
                </c:pt>
                <c:pt idx="3">
                  <c:v>2009</c:v>
                </c:pt>
                <c:pt idx="4">
                  <c:v>2010</c:v>
                </c:pt>
                <c:pt idx="5">
                  <c:v>2011</c:v>
                </c:pt>
              </c:strCache>
            </c:strRef>
          </c:cat>
          <c:val>
            <c:numRef>
              <c:f>'[121029_vypocet sebestacnosti v zakladnych artikloch.xlsx]vinohrady'!$K$3:$P$3</c:f>
              <c:numCache>
                <c:formatCode>General</c:formatCode>
                <c:ptCount val="6"/>
                <c:pt idx="0">
                  <c:v>11.7</c:v>
                </c:pt>
                <c:pt idx="1">
                  <c:v>11.5</c:v>
                </c:pt>
                <c:pt idx="2">
                  <c:v>11.4</c:v>
                </c:pt>
                <c:pt idx="3">
                  <c:v>12.7</c:v>
                </c:pt>
                <c:pt idx="4">
                  <c:v>13.4</c:v>
                </c:pt>
                <c:pt idx="5">
                  <c:v>13.7</c:v>
                </c:pt>
              </c:numCache>
            </c:numRef>
          </c:val>
          <c:smooth val="0"/>
        </c:ser>
        <c:dLbls>
          <c:showLegendKey val="0"/>
          <c:showVal val="0"/>
          <c:showCatName val="0"/>
          <c:showSerName val="0"/>
          <c:showPercent val="0"/>
          <c:showBubbleSize val="0"/>
        </c:dLbls>
        <c:marker val="1"/>
        <c:smooth val="0"/>
        <c:axId val="227632256"/>
        <c:axId val="227630464"/>
      </c:lineChart>
      <c:catAx>
        <c:axId val="227627392"/>
        <c:scaling>
          <c:orientation val="minMax"/>
        </c:scaling>
        <c:delete val="0"/>
        <c:axPos val="b"/>
        <c:majorTickMark val="out"/>
        <c:minorTickMark val="none"/>
        <c:tickLblPos val="nextTo"/>
        <c:crossAx val="227628928"/>
        <c:crosses val="autoZero"/>
        <c:auto val="1"/>
        <c:lblAlgn val="ctr"/>
        <c:lblOffset val="100"/>
        <c:noMultiLvlLbl val="0"/>
      </c:catAx>
      <c:valAx>
        <c:axId val="227628928"/>
        <c:scaling>
          <c:orientation val="minMax"/>
          <c:min val="150"/>
        </c:scaling>
        <c:delete val="0"/>
        <c:axPos val="l"/>
        <c:numFmt formatCode="General" sourceLinked="1"/>
        <c:majorTickMark val="out"/>
        <c:minorTickMark val="none"/>
        <c:tickLblPos val="nextTo"/>
        <c:crossAx val="227627392"/>
        <c:crosses val="autoZero"/>
        <c:crossBetween val="between"/>
      </c:valAx>
      <c:valAx>
        <c:axId val="227630464"/>
        <c:scaling>
          <c:orientation val="minMax"/>
          <c:min val="8"/>
        </c:scaling>
        <c:delete val="0"/>
        <c:axPos val="r"/>
        <c:numFmt formatCode="General" sourceLinked="1"/>
        <c:majorTickMark val="out"/>
        <c:minorTickMark val="none"/>
        <c:tickLblPos val="nextTo"/>
        <c:crossAx val="227632256"/>
        <c:crosses val="max"/>
        <c:crossBetween val="between"/>
      </c:valAx>
      <c:catAx>
        <c:axId val="227632256"/>
        <c:scaling>
          <c:orientation val="minMax"/>
        </c:scaling>
        <c:delete val="1"/>
        <c:axPos val="b"/>
        <c:majorTickMark val="out"/>
        <c:minorTickMark val="none"/>
        <c:tickLblPos val="nextTo"/>
        <c:crossAx val="227630464"/>
        <c:crosses val="autoZero"/>
        <c:auto val="1"/>
        <c:lblAlgn val="ctr"/>
        <c:lblOffset val="100"/>
        <c:noMultiLvlLbl val="0"/>
      </c:catAx>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dLbls>
            <c:dLbl>
              <c:idx val="0"/>
              <c:layout>
                <c:manualLayout>
                  <c:x val="-0.05"/>
                  <c:y val="-6.4814814814814867E-2"/>
                </c:manualLayout>
              </c:layout>
              <c:showLegendKey val="0"/>
              <c:showVal val="1"/>
              <c:showCatName val="0"/>
              <c:showSerName val="0"/>
              <c:showPercent val="0"/>
              <c:showBubbleSize val="0"/>
            </c:dLbl>
            <c:dLbl>
              <c:idx val="1"/>
              <c:layout>
                <c:manualLayout>
                  <c:x val="-8.3333333333333367E-3"/>
                  <c:y val="-2.7777777777777821E-2"/>
                </c:manualLayout>
              </c:layout>
              <c:showLegendKey val="0"/>
              <c:showVal val="1"/>
              <c:showCatName val="0"/>
              <c:showSerName val="0"/>
              <c:showPercent val="0"/>
              <c:showBubbleSize val="0"/>
            </c:dLbl>
            <c:dLbl>
              <c:idx val="3"/>
              <c:layout>
                <c:manualLayout>
                  <c:x val="-8.3333333333333367E-3"/>
                  <c:y val="2.3148148148148147E-2"/>
                </c:manualLayout>
              </c:layout>
              <c:showLegendKey val="0"/>
              <c:showVal val="1"/>
              <c:showCatName val="0"/>
              <c:showSerName val="0"/>
              <c:showPercent val="0"/>
              <c:showBubbleSize val="0"/>
            </c:dLbl>
            <c:dLbl>
              <c:idx val="4"/>
              <c:layout>
                <c:manualLayout>
                  <c:x val="-2.7777777777777835E-3"/>
                  <c:y val="-2.777777777777774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'[121029_vypocet sebestacnosti v zakladnych artikloch.xlsx]chmel'!$B$1:$G$1</c:f>
              <c:strCache>
                <c:ptCount val="6"/>
                <c:pt idx="0">
                  <c:v>2002</c:v>
                </c:pt>
                <c:pt idx="1">
                  <c:v>2007</c:v>
                </c:pt>
                <c:pt idx="2">
                  <c:v>2008</c:v>
                </c:pt>
                <c:pt idx="3">
                  <c:v>2009</c:v>
                </c:pt>
                <c:pt idx="4">
                  <c:v>2010</c:v>
                </c:pt>
                <c:pt idx="5">
                  <c:v>2011</c:v>
                </c:pt>
              </c:strCache>
            </c:strRef>
          </c:cat>
          <c:val>
            <c:numRef>
              <c:f>'[121029_vypocet sebestacnosti v zakladnych artikloch.xlsx]chmel'!$B$2:$G$2</c:f>
              <c:numCache>
                <c:formatCode>General</c:formatCode>
                <c:ptCount val="6"/>
                <c:pt idx="0">
                  <c:v>298</c:v>
                </c:pt>
                <c:pt idx="1">
                  <c:v>303</c:v>
                </c:pt>
                <c:pt idx="2">
                  <c:v>284</c:v>
                </c:pt>
                <c:pt idx="3">
                  <c:v>229</c:v>
                </c:pt>
                <c:pt idx="4">
                  <c:v>236</c:v>
                </c:pt>
                <c:pt idx="5">
                  <c:v>228</c:v>
                </c:pt>
              </c:numCache>
            </c:numRef>
          </c:val>
          <c:smooth val="0"/>
        </c:ser>
        <c:dLbls>
          <c:showLegendKey val="0"/>
          <c:showVal val="0"/>
          <c:showCatName val="0"/>
          <c:showSerName val="0"/>
          <c:showPercent val="0"/>
          <c:showBubbleSize val="0"/>
        </c:dLbls>
        <c:marker val="1"/>
        <c:smooth val="0"/>
        <c:axId val="227657600"/>
        <c:axId val="227659136"/>
      </c:lineChart>
      <c:catAx>
        <c:axId val="227657600"/>
        <c:scaling>
          <c:orientation val="minMax"/>
        </c:scaling>
        <c:delete val="0"/>
        <c:axPos val="b"/>
        <c:majorTickMark val="out"/>
        <c:minorTickMark val="none"/>
        <c:tickLblPos val="nextTo"/>
        <c:crossAx val="227659136"/>
        <c:crosses val="autoZero"/>
        <c:auto val="1"/>
        <c:lblAlgn val="ctr"/>
        <c:lblOffset val="100"/>
        <c:noMultiLvlLbl val="0"/>
      </c:catAx>
      <c:valAx>
        <c:axId val="227659136"/>
        <c:scaling>
          <c:orientation val="minMax"/>
          <c:min val="200"/>
        </c:scaling>
        <c:delete val="0"/>
        <c:axPos val="l"/>
        <c:numFmt formatCode="General" sourceLinked="1"/>
        <c:majorTickMark val="out"/>
        <c:minorTickMark val="none"/>
        <c:tickLblPos val="nextTo"/>
        <c:crossAx val="227657600"/>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082334816843546"/>
          <c:y val="9.1531785880428013E-2"/>
          <c:w val="0.80830499448438553"/>
          <c:h val="0.75906628011069954"/>
        </c:manualLayout>
      </c:layout>
      <c:lineChart>
        <c:grouping val="standard"/>
        <c:varyColors val="0"/>
        <c:ser>
          <c:idx val="0"/>
          <c:order val="0"/>
          <c:tx>
            <c:strRef>
              <c:f>bravčové!$A$62</c:f>
              <c:strCache>
                <c:ptCount val="1"/>
                <c:pt idx="0">
                  <c:v>ošípané v tis. ks</c:v>
                </c:pt>
              </c:strCache>
            </c:strRef>
          </c:tx>
          <c:dPt>
            <c:idx val="5"/>
            <c:bubble3D val="0"/>
            <c:spPr>
              <a:ln>
                <a:prstDash val="sysDash"/>
              </a:ln>
            </c:spPr>
          </c:dPt>
          <c:dPt>
            <c:idx val="6"/>
            <c:bubble3D val="0"/>
            <c:spPr>
              <a:ln>
                <a:prstDash val="sysDot"/>
              </a:ln>
            </c:spPr>
          </c:dPt>
          <c:dPt>
            <c:idx val="7"/>
            <c:bubble3D val="0"/>
            <c:spPr>
              <a:ln>
                <a:prstDash val="sysDot"/>
              </a:ln>
            </c:spPr>
          </c:dPt>
          <c:dPt>
            <c:idx val="8"/>
            <c:bubble3D val="0"/>
            <c:spPr>
              <a:ln>
                <a:prstDash val="sysDot"/>
              </a:ln>
            </c:spPr>
          </c:dPt>
          <c:dPt>
            <c:idx val="9"/>
            <c:bubble3D val="0"/>
            <c:spPr>
              <a:ln>
                <a:prstDash val="sysDot"/>
              </a:ln>
            </c:spPr>
          </c:dPt>
          <c:dPt>
            <c:idx val="10"/>
            <c:bubble3D val="0"/>
            <c:spPr>
              <a:ln>
                <a:prstDash val="sysDot"/>
              </a:ln>
            </c:spPr>
          </c:dPt>
          <c:dPt>
            <c:idx val="11"/>
            <c:bubble3D val="0"/>
            <c:spPr>
              <a:ln>
                <a:prstDash val="sysDot"/>
              </a:ln>
            </c:spPr>
          </c:dPt>
          <c:dPt>
            <c:idx val="12"/>
            <c:bubble3D val="0"/>
            <c:spPr>
              <a:ln>
                <a:prstDash val="sysDot"/>
              </a:ln>
            </c:spPr>
          </c:dPt>
          <c:dPt>
            <c:idx val="13"/>
            <c:bubble3D val="0"/>
            <c:spPr>
              <a:ln>
                <a:prstDash val="sysDot"/>
              </a:ln>
            </c:spPr>
          </c:dPt>
          <c:dPt>
            <c:idx val="14"/>
            <c:bubble3D val="0"/>
            <c:spPr>
              <a:ln>
                <a:prstDash val="sysDot"/>
              </a:ln>
            </c:spPr>
          </c:dPt>
          <c:dLbls>
            <c:dLbl>
              <c:idx val="0"/>
              <c:layout>
                <c:manualLayout>
                  <c:x val="-5.1934269085929484E-3"/>
                  <c:y val="-1.9937200223575081E-2"/>
                </c:manualLayout>
              </c:layout>
              <c:showLegendKey val="0"/>
              <c:showVal val="1"/>
              <c:showCatName val="0"/>
              <c:showSerName val="0"/>
              <c:showPercent val="0"/>
              <c:showBubbleSize val="0"/>
            </c:dLbl>
            <c:dLbl>
              <c:idx val="1"/>
              <c:layout>
                <c:manualLayout>
                  <c:x val="-9.9033816425120776E-3"/>
                  <c:y val="-3.1685425006749188E-2"/>
                </c:manualLayout>
              </c:layout>
              <c:showLegendKey val="0"/>
              <c:showVal val="1"/>
              <c:showCatName val="0"/>
              <c:showSerName val="0"/>
              <c:showPercent val="0"/>
              <c:showBubbleSize val="0"/>
            </c:dLbl>
            <c:dLbl>
              <c:idx val="2"/>
              <c:layout>
                <c:manualLayout>
                  <c:x val="-2.2946859903381637E-2"/>
                  <c:y val="-4.3317557444530454E-2"/>
                </c:manualLayout>
              </c:layout>
              <c:showLegendKey val="0"/>
              <c:showVal val="1"/>
              <c:showCatName val="0"/>
              <c:showSerName val="0"/>
              <c:showPercent val="0"/>
              <c:showBubbleSize val="0"/>
            </c:dLbl>
            <c:dLbl>
              <c:idx val="3"/>
              <c:layout>
                <c:manualLayout>
                  <c:x val="-2.8140096618357438E-2"/>
                  <c:y val="-2.2961325678413243E-2"/>
                </c:manualLayout>
              </c:layout>
              <c:showLegendKey val="0"/>
              <c:showVal val="1"/>
              <c:showCatName val="0"/>
              <c:showSerName val="0"/>
              <c:showPercent val="0"/>
              <c:showBubbleSize val="0"/>
            </c:dLbl>
            <c:dLbl>
              <c:idx val="4"/>
              <c:layout>
                <c:manualLayout>
                  <c:x val="-3.0917874396135265E-2"/>
                  <c:y val="-3.3407117994931804E-2"/>
                </c:manualLayout>
              </c:layout>
              <c:showLegendKey val="0"/>
              <c:showVal val="1"/>
              <c:showCatName val="0"/>
              <c:showSerName val="0"/>
              <c:showPercent val="0"/>
              <c:showBubbleSize val="0"/>
            </c:dLbl>
            <c:dLbl>
              <c:idx val="5"/>
              <c:layout>
                <c:manualLayout>
                  <c:x val="-3.3937198067632852E-2"/>
                  <c:y val="-3.6315151104377094E-2"/>
                </c:manualLayout>
              </c:layout>
              <c:showLegendKey val="0"/>
              <c:showVal val="1"/>
              <c:showCatName val="0"/>
              <c:showSerName val="0"/>
              <c:showPercent val="0"/>
              <c:showBubbleSize val="0"/>
            </c:dLbl>
            <c:dLbl>
              <c:idx val="6"/>
              <c:layout>
                <c:manualLayout>
                  <c:x val="-5.0096212269383295E-2"/>
                  <c:y val="-4.3237937791274487E-2"/>
                </c:manualLayout>
              </c:layout>
              <c:showLegendKey val="0"/>
              <c:showVal val="1"/>
              <c:showCatName val="0"/>
              <c:showSerName val="0"/>
              <c:showPercent val="0"/>
              <c:showBubbleSize val="0"/>
            </c:dLbl>
            <c:dLbl>
              <c:idx val="7"/>
              <c:layout>
                <c:manualLayout>
                  <c:x val="-5.0068857354631527E-2"/>
                  <c:y val="-3.9100540375297338E-2"/>
                </c:manualLayout>
              </c:layout>
              <c:showLegendKey val="0"/>
              <c:showVal val="1"/>
              <c:showCatName val="0"/>
              <c:showSerName val="0"/>
              <c:showPercent val="0"/>
              <c:showBubbleSize val="0"/>
            </c:dLbl>
            <c:dLbl>
              <c:idx val="8"/>
              <c:layout>
                <c:manualLayout>
                  <c:x val="-5.3617929409574154E-2"/>
                  <c:y val="-3.0376589936896736E-2"/>
                </c:manualLayout>
              </c:layout>
              <c:showLegendKey val="0"/>
              <c:showVal val="1"/>
              <c:showCatName val="0"/>
              <c:showSerName val="0"/>
              <c:showPercent val="0"/>
              <c:showBubbleSize val="0"/>
            </c:dLbl>
            <c:dLbl>
              <c:idx val="9"/>
              <c:layout>
                <c:manualLayout>
                  <c:x val="-6.274491268400452E-2"/>
                  <c:y val="-2.7797636791453202E-2"/>
                </c:manualLayout>
              </c:layout>
              <c:showLegendKey val="0"/>
              <c:showVal val="1"/>
              <c:showCatName val="0"/>
              <c:showSerName val="0"/>
              <c:showPercent val="0"/>
              <c:showBubbleSize val="0"/>
            </c:dLbl>
            <c:dLbl>
              <c:idx val="10"/>
              <c:layout>
                <c:manualLayout>
                  <c:x val="-7.3538079227136233E-2"/>
                  <c:y val="-2.1104212283638835E-2"/>
                </c:manualLayout>
              </c:layout>
              <c:showLegendKey val="0"/>
              <c:showVal val="1"/>
              <c:showCatName val="0"/>
              <c:showSerName val="0"/>
              <c:showPercent val="0"/>
              <c:showBubbleSize val="0"/>
            </c:dLbl>
            <c:dLbl>
              <c:idx val="11"/>
              <c:layout>
                <c:manualLayout>
                  <c:x val="-7.0941336971350619E-2"/>
                  <c:y val="-2.9712160520532098E-2"/>
                </c:manualLayout>
              </c:layout>
              <c:showLegendKey val="0"/>
              <c:showVal val="1"/>
              <c:showCatName val="0"/>
              <c:showSerName val="0"/>
              <c:showPercent val="0"/>
              <c:showBubbleSize val="0"/>
            </c:dLbl>
            <c:dLbl>
              <c:idx val="12"/>
              <c:layout>
                <c:manualLayout>
                  <c:x val="-6.9122328331059579E-2"/>
                  <c:y val="-2.9712160520532098E-2"/>
                </c:manualLayout>
              </c:layout>
              <c:showLegendKey val="0"/>
              <c:showVal val="1"/>
              <c:showCatName val="0"/>
              <c:showSerName val="0"/>
              <c:showPercent val="0"/>
              <c:showBubbleSize val="0"/>
            </c:dLbl>
            <c:dLbl>
              <c:idx val="13"/>
              <c:layout>
                <c:manualLayout>
                  <c:x val="-7.6398362892223792E-2"/>
                  <c:y val="-2.9712160520532098E-2"/>
                </c:manualLayout>
              </c:layout>
              <c:showLegendKey val="0"/>
              <c:showVal val="1"/>
              <c:showCatName val="0"/>
              <c:showSerName val="0"/>
              <c:showPercent val="0"/>
              <c:showBubbleSize val="0"/>
            </c:dLbl>
            <c:dLbl>
              <c:idx val="14"/>
              <c:layout>
                <c:manualLayout>
                  <c:x val="-7.2760345611641714E-2"/>
                  <c:y val="-2.47601337671100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bravčové!$B$61:$P$61</c:f>
              <c:numCache>
                <c:formatCode>General</c:formatCode>
                <c:ptCount val="15"/>
                <c:pt idx="0">
                  <c:v>2002</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bravčové!$B$62:$P$62</c:f>
              <c:numCache>
                <c:formatCode>#,##0.0</c:formatCode>
                <c:ptCount val="15"/>
                <c:pt idx="0" formatCode="General">
                  <c:v>1553.9</c:v>
                </c:pt>
                <c:pt idx="1">
                  <c:v>951.9</c:v>
                </c:pt>
                <c:pt idx="2">
                  <c:v>748.5</c:v>
                </c:pt>
                <c:pt idx="3">
                  <c:v>740.9</c:v>
                </c:pt>
                <c:pt idx="4">
                  <c:v>687.3</c:v>
                </c:pt>
                <c:pt idx="5">
                  <c:v>580.4</c:v>
                </c:pt>
                <c:pt idx="6">
                  <c:v>471.8</c:v>
                </c:pt>
                <c:pt idx="7" formatCode="0.0">
                  <c:v>525.07944807770264</c:v>
                </c:pt>
                <c:pt idx="8" formatCode="0.0">
                  <c:v>584.3756396642309</c:v>
                </c:pt>
                <c:pt idx="9" formatCode="0.0">
                  <c:v>650.36803379599007</c:v>
                </c:pt>
                <c:pt idx="10" formatCode="0.0">
                  <c:v>780.44164055518888</c:v>
                </c:pt>
                <c:pt idx="11" formatCode="0.0">
                  <c:v>1014.5741327217456</c:v>
                </c:pt>
                <c:pt idx="12" formatCode="0.0">
                  <c:v>1129.1479983964548</c:v>
                </c:pt>
                <c:pt idx="13" formatCode="0.0">
                  <c:v>1354.9775980757461</c:v>
                </c:pt>
                <c:pt idx="14" formatCode="General">
                  <c:v>1425.9</c:v>
                </c:pt>
              </c:numCache>
            </c:numRef>
          </c:val>
          <c:smooth val="0"/>
        </c:ser>
        <c:dLbls>
          <c:showLegendKey val="0"/>
          <c:showVal val="0"/>
          <c:showCatName val="0"/>
          <c:showSerName val="0"/>
          <c:showPercent val="0"/>
          <c:showBubbleSize val="0"/>
        </c:dLbls>
        <c:marker val="1"/>
        <c:smooth val="0"/>
        <c:axId val="227764096"/>
        <c:axId val="227765632"/>
      </c:lineChart>
      <c:lineChart>
        <c:grouping val="standard"/>
        <c:varyColors val="0"/>
        <c:ser>
          <c:idx val="1"/>
          <c:order val="1"/>
          <c:tx>
            <c:strRef>
              <c:f>bravčové!$A$63</c:f>
              <c:strCache>
                <c:ptCount val="1"/>
                <c:pt idx="0">
                  <c:v>prasnice v tis. ks</c:v>
                </c:pt>
              </c:strCache>
            </c:strRef>
          </c:tx>
          <c:dPt>
            <c:idx val="5"/>
            <c:bubble3D val="0"/>
            <c:spPr>
              <a:ln>
                <a:prstDash val="sysDash"/>
              </a:ln>
            </c:spPr>
          </c:dPt>
          <c:dPt>
            <c:idx val="6"/>
            <c:bubble3D val="0"/>
            <c:spPr>
              <a:ln>
                <a:prstDash val="sysDot"/>
              </a:ln>
            </c:spPr>
          </c:dPt>
          <c:dPt>
            <c:idx val="7"/>
            <c:bubble3D val="0"/>
            <c:spPr>
              <a:ln>
                <a:prstDash val="sysDot"/>
              </a:ln>
            </c:spPr>
          </c:dPt>
          <c:dPt>
            <c:idx val="8"/>
            <c:bubble3D val="0"/>
            <c:spPr>
              <a:ln>
                <a:prstDash val="sysDot"/>
              </a:ln>
            </c:spPr>
          </c:dPt>
          <c:dPt>
            <c:idx val="9"/>
            <c:bubble3D val="0"/>
            <c:spPr>
              <a:ln>
                <a:prstDash val="sysDot"/>
              </a:ln>
            </c:spPr>
          </c:dPt>
          <c:dPt>
            <c:idx val="10"/>
            <c:bubble3D val="0"/>
            <c:spPr>
              <a:ln>
                <a:prstDash val="sysDot"/>
              </a:ln>
            </c:spPr>
          </c:dPt>
          <c:dPt>
            <c:idx val="11"/>
            <c:bubble3D val="0"/>
            <c:spPr>
              <a:ln>
                <a:prstDash val="sysDot"/>
              </a:ln>
            </c:spPr>
          </c:dPt>
          <c:dPt>
            <c:idx val="12"/>
            <c:bubble3D val="0"/>
            <c:spPr>
              <a:ln>
                <a:prstDash val="sysDot"/>
              </a:ln>
            </c:spPr>
          </c:dPt>
          <c:dPt>
            <c:idx val="13"/>
            <c:bubble3D val="0"/>
            <c:spPr>
              <a:ln>
                <a:prstDash val="sysDot"/>
              </a:ln>
            </c:spPr>
          </c:dPt>
          <c:dPt>
            <c:idx val="14"/>
            <c:bubble3D val="0"/>
            <c:spPr>
              <a:ln>
                <a:prstDash val="sysDot"/>
              </a:ln>
            </c:spPr>
          </c:dPt>
          <c:dLbls>
            <c:dLbl>
              <c:idx val="0"/>
              <c:layout>
                <c:manualLayout>
                  <c:x val="-4.2749864600258286E-2"/>
                  <c:y val="3.4035267650367268E-2"/>
                </c:manualLayout>
              </c:layout>
              <c:showLegendKey val="0"/>
              <c:showVal val="1"/>
              <c:showCatName val="0"/>
              <c:showSerName val="0"/>
              <c:showPercent val="0"/>
              <c:showBubbleSize val="0"/>
            </c:dLbl>
            <c:dLbl>
              <c:idx val="1"/>
              <c:layout>
                <c:manualLayout>
                  <c:x val="-5.72855950987027E-2"/>
                  <c:y val="2.0059607585023329E-2"/>
                </c:manualLayout>
              </c:layout>
              <c:showLegendKey val="0"/>
              <c:showVal val="1"/>
              <c:showCatName val="0"/>
              <c:showSerName val="0"/>
              <c:showPercent val="0"/>
              <c:showBubbleSize val="0"/>
            </c:dLbl>
            <c:dLbl>
              <c:idx val="2"/>
              <c:layout>
                <c:manualLayout>
                  <c:x val="-7.2463768115942087E-2"/>
                  <c:y val="2.5218142554530795E-2"/>
                </c:manualLayout>
              </c:layout>
              <c:showLegendKey val="0"/>
              <c:showVal val="1"/>
              <c:showCatName val="0"/>
              <c:showSerName val="0"/>
              <c:showPercent val="0"/>
              <c:showBubbleSize val="0"/>
            </c:dLbl>
            <c:dLbl>
              <c:idx val="3"/>
              <c:layout>
                <c:manualLayout>
                  <c:x val="-5.7971394879987828E-2"/>
                  <c:y val="3.3942241882866743E-2"/>
                </c:manualLayout>
              </c:layout>
              <c:showLegendKey val="0"/>
              <c:showVal val="1"/>
              <c:showCatName val="0"/>
              <c:showSerName val="0"/>
              <c:showPercent val="0"/>
              <c:showBubbleSize val="0"/>
            </c:dLbl>
            <c:dLbl>
              <c:idx val="4"/>
              <c:layout>
                <c:manualLayout>
                  <c:x val="-5.7971204686370716E-2"/>
                  <c:y val="3.685027499231204E-2"/>
                </c:manualLayout>
              </c:layout>
              <c:showLegendKey val="0"/>
              <c:showVal val="1"/>
              <c:showCatName val="0"/>
              <c:showSerName val="0"/>
              <c:showPercent val="0"/>
              <c:showBubbleSize val="0"/>
            </c:dLbl>
            <c:dLbl>
              <c:idx val="5"/>
              <c:layout>
                <c:manualLayout>
                  <c:x val="-5.3140096618357453E-2"/>
                  <c:y val="3.9758308101757345E-2"/>
                </c:manualLayout>
              </c:layout>
              <c:showLegendKey val="0"/>
              <c:showVal val="1"/>
              <c:showCatName val="0"/>
              <c:showSerName val="0"/>
              <c:showPercent val="0"/>
              <c:showBubbleSize val="0"/>
            </c:dLbl>
            <c:dLbl>
              <c:idx val="6"/>
              <c:layout>
                <c:manualLayout>
                  <c:x val="-3.3816425120772944E-2"/>
                  <c:y val="4.8482407430093362E-2"/>
                </c:manualLayout>
              </c:layout>
              <c:showLegendKey val="0"/>
              <c:showVal val="1"/>
              <c:showCatName val="0"/>
              <c:showSerName val="0"/>
              <c:showPercent val="0"/>
              <c:showBubbleSize val="0"/>
            </c:dLbl>
            <c:dLbl>
              <c:idx val="7"/>
              <c:layout>
                <c:manualLayout>
                  <c:x val="-1.2077294685990338E-2"/>
                  <c:y val="4.0944648223020026E-2"/>
                </c:manualLayout>
              </c:layout>
              <c:showLegendKey val="0"/>
              <c:showVal val="1"/>
              <c:showCatName val="0"/>
              <c:showSerName val="0"/>
              <c:showPercent val="0"/>
              <c:showBubbleSize val="0"/>
            </c:dLbl>
            <c:dLbl>
              <c:idx val="8"/>
              <c:layout>
                <c:manualLayout>
                  <c:x val="-1.6908212560386385E-2"/>
                  <c:y val="2.9847639673173759E-2"/>
                </c:manualLayout>
              </c:layout>
              <c:showLegendKey val="0"/>
              <c:showVal val="1"/>
              <c:showCatName val="0"/>
              <c:showSerName val="0"/>
              <c:showPercent val="0"/>
              <c:showBubbleSize val="0"/>
            </c:dLbl>
            <c:dLbl>
              <c:idx val="9"/>
              <c:layout>
                <c:manualLayout>
                  <c:x val="-2.1739130434782612E-2"/>
                  <c:y val="2.4683018666595856E-2"/>
                </c:manualLayout>
              </c:layout>
              <c:showLegendKey val="0"/>
              <c:showVal val="1"/>
              <c:showCatName val="0"/>
              <c:showSerName val="0"/>
              <c:showPercent val="0"/>
              <c:showBubbleSize val="0"/>
            </c:dLbl>
            <c:dLbl>
              <c:idx val="10"/>
              <c:layout>
                <c:manualLayout>
                  <c:x val="-2.1739130434782612E-2"/>
                  <c:y val="3.4896397313343798E-2"/>
                </c:manualLayout>
              </c:layout>
              <c:showLegendKey val="0"/>
              <c:showVal val="1"/>
              <c:showCatName val="0"/>
              <c:showSerName val="0"/>
              <c:showPercent val="0"/>
              <c:showBubbleSize val="0"/>
            </c:dLbl>
            <c:dLbl>
              <c:idx val="11"/>
              <c:layout>
                <c:manualLayout>
                  <c:x val="-2.1828103683492514E-2"/>
                  <c:y val="1.9808107013688091E-2"/>
                </c:manualLayout>
              </c:layout>
              <c:showLegendKey val="0"/>
              <c:showVal val="1"/>
              <c:showCatName val="0"/>
              <c:showSerName val="0"/>
              <c:showPercent val="0"/>
              <c:showBubbleSize val="0"/>
            </c:dLbl>
            <c:dLbl>
              <c:idx val="12"/>
              <c:layout>
                <c:manualLayout>
                  <c:x val="-1.8190086402910421E-2"/>
                  <c:y val="2.476013376711008E-2"/>
                </c:manualLayout>
              </c:layout>
              <c:showLegendKey val="0"/>
              <c:showVal val="1"/>
              <c:showCatName val="0"/>
              <c:showSerName val="0"/>
              <c:showPercent val="0"/>
              <c:showBubbleSize val="0"/>
            </c:dLbl>
            <c:dLbl>
              <c:idx val="13"/>
              <c:layout>
                <c:manualLayout>
                  <c:x val="-1.8190086402910421E-2"/>
                  <c:y val="2.9712160520532098E-2"/>
                </c:manualLayout>
              </c:layout>
              <c:showLegendKey val="0"/>
              <c:showVal val="1"/>
              <c:showCatName val="0"/>
              <c:showSerName val="0"/>
              <c:showPercent val="0"/>
              <c:showBubbleSize val="0"/>
            </c:dLbl>
            <c:dLbl>
              <c:idx val="14"/>
              <c:layout>
                <c:manualLayout>
                  <c:x val="-2.728512960436565E-2"/>
                  <c:y val="2.47601337671100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bravčové!$B$61:$P$61</c:f>
              <c:numCache>
                <c:formatCode>General</c:formatCode>
                <c:ptCount val="15"/>
                <c:pt idx="0">
                  <c:v>2002</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bravčové!$B$63:$P$63</c:f>
              <c:numCache>
                <c:formatCode>0.0</c:formatCode>
                <c:ptCount val="15"/>
                <c:pt idx="0">
                  <c:v>117.5</c:v>
                </c:pt>
                <c:pt idx="1">
                  <c:v>62</c:v>
                </c:pt>
                <c:pt idx="2">
                  <c:v>44.5</c:v>
                </c:pt>
                <c:pt idx="3">
                  <c:v>43.9</c:v>
                </c:pt>
                <c:pt idx="4">
                  <c:v>41.3</c:v>
                </c:pt>
                <c:pt idx="5">
                  <c:v>37.4</c:v>
                </c:pt>
                <c:pt idx="6">
                  <c:v>38.5</c:v>
                </c:pt>
                <c:pt idx="7">
                  <c:v>42</c:v>
                </c:pt>
                <c:pt idx="8">
                  <c:v>44.951972281863895</c:v>
                </c:pt>
                <c:pt idx="9">
                  <c:v>46.454859556856412</c:v>
                </c:pt>
                <c:pt idx="10">
                  <c:v>50.351073584205707</c:v>
                </c:pt>
                <c:pt idx="11">
                  <c:v>63.410883295109095</c:v>
                </c:pt>
                <c:pt idx="12">
                  <c:v>66.420470493909079</c:v>
                </c:pt>
                <c:pt idx="13">
                  <c:v>69.486030670551003</c:v>
                </c:pt>
                <c:pt idx="14">
                  <c:v>70</c:v>
                </c:pt>
              </c:numCache>
            </c:numRef>
          </c:val>
          <c:smooth val="0"/>
        </c:ser>
        <c:dLbls>
          <c:showLegendKey val="0"/>
          <c:showVal val="0"/>
          <c:showCatName val="0"/>
          <c:showSerName val="0"/>
          <c:showPercent val="0"/>
          <c:showBubbleSize val="0"/>
        </c:dLbls>
        <c:marker val="1"/>
        <c:smooth val="0"/>
        <c:axId val="227768960"/>
        <c:axId val="227767424"/>
      </c:lineChart>
      <c:catAx>
        <c:axId val="227764096"/>
        <c:scaling>
          <c:orientation val="minMax"/>
        </c:scaling>
        <c:delete val="0"/>
        <c:axPos val="b"/>
        <c:numFmt formatCode="General" sourceLinked="1"/>
        <c:majorTickMark val="out"/>
        <c:minorTickMark val="none"/>
        <c:tickLblPos val="nextTo"/>
        <c:crossAx val="227765632"/>
        <c:crosses val="autoZero"/>
        <c:auto val="1"/>
        <c:lblAlgn val="ctr"/>
        <c:lblOffset val="100"/>
        <c:noMultiLvlLbl val="0"/>
      </c:catAx>
      <c:valAx>
        <c:axId val="227765632"/>
        <c:scaling>
          <c:orientation val="minMax"/>
        </c:scaling>
        <c:delete val="0"/>
        <c:axPos val="l"/>
        <c:numFmt formatCode="General" sourceLinked="1"/>
        <c:majorTickMark val="out"/>
        <c:minorTickMark val="none"/>
        <c:tickLblPos val="nextTo"/>
        <c:crossAx val="227764096"/>
        <c:crosses val="autoZero"/>
        <c:crossBetween val="between"/>
      </c:valAx>
      <c:valAx>
        <c:axId val="227767424"/>
        <c:scaling>
          <c:orientation val="minMax"/>
        </c:scaling>
        <c:delete val="0"/>
        <c:axPos val="r"/>
        <c:numFmt formatCode="0.0" sourceLinked="1"/>
        <c:majorTickMark val="out"/>
        <c:minorTickMark val="none"/>
        <c:tickLblPos val="nextTo"/>
        <c:crossAx val="227768960"/>
        <c:crosses val="max"/>
        <c:crossBetween val="between"/>
      </c:valAx>
      <c:catAx>
        <c:axId val="227768960"/>
        <c:scaling>
          <c:orientation val="minMax"/>
        </c:scaling>
        <c:delete val="1"/>
        <c:axPos val="b"/>
        <c:numFmt formatCode="General" sourceLinked="1"/>
        <c:majorTickMark val="out"/>
        <c:minorTickMark val="none"/>
        <c:tickLblPos val="nextTo"/>
        <c:crossAx val="227767424"/>
        <c:crosses val="autoZero"/>
        <c:auto val="1"/>
        <c:lblAlgn val="ctr"/>
        <c:lblOffset val="100"/>
        <c:noMultiLvlLbl val="0"/>
      </c:catAx>
    </c:plotArea>
    <c:legend>
      <c:legendPos val="b"/>
      <c:layout>
        <c:manualLayout>
          <c:xMode val="edge"/>
          <c:yMode val="edge"/>
          <c:x val="0.26367268582481845"/>
          <c:y val="0.93679894557836108"/>
          <c:w val="0.47265462835036348"/>
          <c:h val="6.3201054421638994E-2"/>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dPt>
            <c:idx val="5"/>
            <c:bubble3D val="0"/>
            <c:spPr>
              <a:ln>
                <a:prstDash val="sysDash"/>
              </a:ln>
            </c:spPr>
          </c:dPt>
          <c:dPt>
            <c:idx val="6"/>
            <c:bubble3D val="0"/>
            <c:spPr>
              <a:ln>
                <a:prstDash val="sysDot"/>
              </a:ln>
            </c:spPr>
          </c:dPt>
          <c:dPt>
            <c:idx val="7"/>
            <c:bubble3D val="0"/>
            <c:spPr>
              <a:ln>
                <a:prstDash val="sysDot"/>
              </a:ln>
            </c:spPr>
          </c:dPt>
          <c:dPt>
            <c:idx val="8"/>
            <c:bubble3D val="0"/>
            <c:spPr>
              <a:ln>
                <a:prstDash val="sysDot"/>
              </a:ln>
            </c:spPr>
          </c:dPt>
          <c:dPt>
            <c:idx val="9"/>
            <c:bubble3D val="0"/>
            <c:spPr>
              <a:ln>
                <a:prstDash val="sysDot"/>
              </a:ln>
            </c:spPr>
          </c:dPt>
          <c:dPt>
            <c:idx val="10"/>
            <c:bubble3D val="0"/>
            <c:spPr>
              <a:ln>
                <a:prstDash val="sysDot"/>
              </a:ln>
            </c:spPr>
          </c:dPt>
          <c:dPt>
            <c:idx val="11"/>
            <c:bubble3D val="0"/>
            <c:spPr>
              <a:ln>
                <a:prstDash val="sysDot"/>
              </a:ln>
            </c:spPr>
          </c:dPt>
          <c:dPt>
            <c:idx val="12"/>
            <c:bubble3D val="0"/>
            <c:spPr>
              <a:ln>
                <a:prstDash val="sysDot"/>
              </a:ln>
            </c:spPr>
          </c:dPt>
          <c:dPt>
            <c:idx val="13"/>
            <c:bubble3D val="0"/>
            <c:spPr>
              <a:ln>
                <a:prstDash val="sysDot"/>
              </a:ln>
            </c:spPr>
          </c:dPt>
          <c:dLbls>
            <c:dLbl>
              <c:idx val="2"/>
              <c:layout>
                <c:manualLayout>
                  <c:x val="-2.7777777777777821E-2"/>
                  <c:y val="-3.7037037037037056E-2"/>
                </c:manualLayout>
              </c:layout>
              <c:showLegendKey val="0"/>
              <c:showVal val="1"/>
              <c:showCatName val="0"/>
              <c:showSerName val="0"/>
              <c:showPercent val="0"/>
              <c:showBubbleSize val="0"/>
            </c:dLbl>
            <c:dLbl>
              <c:idx val="3"/>
              <c:layout>
                <c:manualLayout>
                  <c:x val="-1.3889107611548566E-2"/>
                  <c:y val="-1.8518518518518531E-2"/>
                </c:manualLayout>
              </c:layout>
              <c:showLegendKey val="0"/>
              <c:showVal val="1"/>
              <c:showCatName val="0"/>
              <c:showSerName val="0"/>
              <c:showPercent val="0"/>
              <c:showBubbleSize val="0"/>
            </c:dLbl>
            <c:dLbl>
              <c:idx val="4"/>
              <c:layout>
                <c:manualLayout>
                  <c:x val="-1.666666666666668E-2"/>
                  <c:y val="2.7777413240011681E-2"/>
                </c:manualLayout>
              </c:layout>
              <c:showLegendKey val="0"/>
              <c:showVal val="1"/>
              <c:showCatName val="0"/>
              <c:showSerName val="0"/>
              <c:showPercent val="0"/>
              <c:showBubbleSize val="0"/>
            </c:dLbl>
            <c:dLbl>
              <c:idx val="5"/>
              <c:layout>
                <c:manualLayout>
                  <c:x val="-1.666666666666668E-2"/>
                  <c:y val="4.1666666666666664E-2"/>
                </c:manualLayout>
              </c:layout>
              <c:showLegendKey val="0"/>
              <c:showVal val="1"/>
              <c:showCatName val="0"/>
              <c:showSerName val="0"/>
              <c:showPercent val="0"/>
              <c:showBubbleSize val="0"/>
            </c:dLbl>
            <c:dLbl>
              <c:idx val="6"/>
              <c:layout>
                <c:manualLayout>
                  <c:x val="-1.3888888888888904E-2"/>
                  <c:y val="1.8518518518518531E-2"/>
                </c:manualLayout>
              </c:layout>
              <c:showLegendKey val="0"/>
              <c:showVal val="1"/>
              <c:showCatName val="0"/>
              <c:showSerName val="0"/>
              <c:showPercent val="0"/>
              <c:showBubbleSize val="0"/>
            </c:dLbl>
            <c:dLbl>
              <c:idx val="7"/>
              <c:layout>
                <c:manualLayout>
                  <c:x val="-1.6666666666666781E-2"/>
                  <c:y val="9.2592592592592744E-3"/>
                </c:manualLayout>
              </c:layout>
              <c:showLegendKey val="0"/>
              <c:showVal val="1"/>
              <c:showCatName val="0"/>
              <c:showSerName val="0"/>
              <c:showPercent val="0"/>
              <c:showBubbleSize val="0"/>
            </c:dLbl>
            <c:dLbl>
              <c:idx val="8"/>
              <c:layout>
                <c:manualLayout>
                  <c:x val="-1.4460535252418418E-2"/>
                  <c:y val="1.7104981825956812E-2"/>
                </c:manualLayout>
              </c:layout>
              <c:showLegendKey val="0"/>
              <c:showVal val="1"/>
              <c:showCatName val="0"/>
              <c:showSerName val="0"/>
              <c:showPercent val="0"/>
              <c:showBubbleSize val="0"/>
            </c:dLbl>
            <c:dLbl>
              <c:idx val="9"/>
              <c:layout>
                <c:manualLayout>
                  <c:x val="-1.7061132918144626E-2"/>
                  <c:y val="2.456219269481083E-2"/>
                </c:manualLayout>
              </c:layout>
              <c:showLegendKey val="0"/>
              <c:showVal val="1"/>
              <c:showCatName val="0"/>
              <c:showSerName val="0"/>
              <c:showPercent val="0"/>
              <c:showBubbleSize val="0"/>
            </c:dLbl>
            <c:dLbl>
              <c:idx val="10"/>
              <c:layout>
                <c:manualLayout>
                  <c:x val="-1.8365470255096397E-2"/>
                  <c:y val="2.7777777777777821E-2"/>
                </c:manualLayout>
              </c:layout>
              <c:showLegendKey val="0"/>
              <c:showVal val="1"/>
              <c:showCatName val="0"/>
              <c:showSerName val="0"/>
              <c:showPercent val="0"/>
              <c:showBubbleSize val="0"/>
            </c:dLbl>
            <c:dLbl>
              <c:idx val="11"/>
              <c:layout>
                <c:manualLayout>
                  <c:x val="-1.2855829178567481E-2"/>
                  <c:y val="2.3148148148148147E-2"/>
                </c:manualLayout>
              </c:layout>
              <c:showLegendKey val="0"/>
              <c:showVal val="1"/>
              <c:showCatName val="0"/>
              <c:showSerName val="0"/>
              <c:showPercent val="0"/>
              <c:showBubbleSize val="0"/>
            </c:dLbl>
            <c:dLbl>
              <c:idx val="12"/>
              <c:layout>
                <c:manualLayout>
                  <c:x val="-3.4894393484683164E-2"/>
                  <c:y val="4.1666666666666664E-2"/>
                </c:manualLayout>
              </c:layout>
              <c:showLegendKey val="0"/>
              <c:showVal val="1"/>
              <c:showCatName val="0"/>
              <c:showSerName val="0"/>
              <c:showPercent val="0"/>
              <c:showBubbleSize val="0"/>
            </c:dLbl>
            <c:dLbl>
              <c:idx val="13"/>
              <c:layout>
                <c:manualLayout>
                  <c:x val="-3.3057846459173527E-2"/>
                  <c:y val="-4.629629629629633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hydina!$U$16:$AH$16</c:f>
              <c:numCache>
                <c:formatCode>General</c:formatCode>
                <c:ptCount val="14"/>
                <c:pt idx="0">
                  <c:v>2002</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hydina!$U$17:$AH$17</c:f>
              <c:numCache>
                <c:formatCode>#,##0.0</c:formatCode>
                <c:ptCount val="14"/>
                <c:pt idx="0" formatCode="#,##0">
                  <c:v>13959.4</c:v>
                </c:pt>
                <c:pt idx="1">
                  <c:v>11228.1</c:v>
                </c:pt>
                <c:pt idx="2">
                  <c:v>13583.3</c:v>
                </c:pt>
                <c:pt idx="3">
                  <c:v>12991.9</c:v>
                </c:pt>
                <c:pt idx="4">
                  <c:v>11375.6</c:v>
                </c:pt>
                <c:pt idx="5">
                  <c:v>12952</c:v>
                </c:pt>
                <c:pt idx="6">
                  <c:v>13211.04</c:v>
                </c:pt>
                <c:pt idx="7">
                  <c:v>13607.371200000001</c:v>
                </c:pt>
                <c:pt idx="8">
                  <c:v>14287.739760000009</c:v>
                </c:pt>
                <c:pt idx="9">
                  <c:v>14932.080054843263</c:v>
                </c:pt>
                <c:pt idx="10">
                  <c:v>15380.042456488569</c:v>
                </c:pt>
                <c:pt idx="11">
                  <c:v>15687.643305618332</c:v>
                </c:pt>
                <c:pt idx="12">
                  <c:v>16395.115647831375</c:v>
                </c:pt>
                <c:pt idx="13">
                  <c:v>16690.023000000001</c:v>
                </c:pt>
              </c:numCache>
            </c:numRef>
          </c:val>
          <c:smooth val="0"/>
        </c:ser>
        <c:dLbls>
          <c:showLegendKey val="0"/>
          <c:showVal val="0"/>
          <c:showCatName val="0"/>
          <c:showSerName val="0"/>
          <c:showPercent val="0"/>
          <c:showBubbleSize val="0"/>
        </c:dLbls>
        <c:marker val="1"/>
        <c:smooth val="0"/>
        <c:axId val="227818496"/>
        <c:axId val="227820288"/>
      </c:lineChart>
      <c:catAx>
        <c:axId val="227818496"/>
        <c:scaling>
          <c:orientation val="minMax"/>
        </c:scaling>
        <c:delete val="0"/>
        <c:axPos val="b"/>
        <c:numFmt formatCode="General" sourceLinked="1"/>
        <c:majorTickMark val="out"/>
        <c:minorTickMark val="none"/>
        <c:tickLblPos val="nextTo"/>
        <c:crossAx val="227820288"/>
        <c:crosses val="autoZero"/>
        <c:auto val="1"/>
        <c:lblAlgn val="ctr"/>
        <c:lblOffset val="100"/>
        <c:noMultiLvlLbl val="0"/>
      </c:catAx>
      <c:valAx>
        <c:axId val="227820288"/>
        <c:scaling>
          <c:orientation val="minMax"/>
          <c:min val="10000"/>
        </c:scaling>
        <c:delete val="0"/>
        <c:axPos val="l"/>
        <c:numFmt formatCode="#,##0" sourceLinked="1"/>
        <c:majorTickMark val="out"/>
        <c:minorTickMark val="none"/>
        <c:tickLblPos val="nextTo"/>
        <c:crossAx val="227818496"/>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4677199719920543E-2"/>
          <c:y val="0.10086142921172528"/>
          <c:w val="0.82119652392059861"/>
          <c:h val="0.72279201184217956"/>
        </c:manualLayout>
      </c:layout>
      <c:lineChart>
        <c:grouping val="standard"/>
        <c:varyColors val="0"/>
        <c:ser>
          <c:idx val="0"/>
          <c:order val="0"/>
          <c:tx>
            <c:strRef>
              <c:f>zemiaky!$M$3:$N$3</c:f>
              <c:strCache>
                <c:ptCount val="1"/>
                <c:pt idx="0">
                  <c:v>Zberová plocha (ha)</c:v>
                </c:pt>
              </c:strCache>
            </c:strRef>
          </c:tx>
          <c:dPt>
            <c:idx val="6"/>
            <c:bubble3D val="0"/>
            <c:spPr>
              <a:ln>
                <a:prstDash val="sysDash"/>
              </a:ln>
            </c:spPr>
          </c:dPt>
          <c:dPt>
            <c:idx val="7"/>
            <c:bubble3D val="0"/>
            <c:spPr>
              <a:ln>
                <a:prstDash val="sysDot"/>
              </a:ln>
            </c:spPr>
          </c:dPt>
          <c:dPt>
            <c:idx val="8"/>
            <c:bubble3D val="0"/>
            <c:spPr>
              <a:ln>
                <a:prstDash val="sysDot"/>
              </a:ln>
            </c:spPr>
          </c:dPt>
          <c:dPt>
            <c:idx val="9"/>
            <c:bubble3D val="0"/>
            <c:spPr>
              <a:ln>
                <a:prstDash val="sysDot"/>
              </a:ln>
            </c:spPr>
          </c:dPt>
          <c:dLbls>
            <c:dLbl>
              <c:idx val="0"/>
              <c:layout>
                <c:manualLayout>
                  <c:x val="9.8183588157110951E-3"/>
                  <c:y val="0"/>
                </c:manualLayout>
              </c:layout>
              <c:showLegendKey val="0"/>
              <c:showVal val="1"/>
              <c:showCatName val="0"/>
              <c:showSerName val="0"/>
              <c:showPercent val="0"/>
              <c:showBubbleSize val="0"/>
            </c:dLbl>
            <c:dLbl>
              <c:idx val="1"/>
              <c:layout>
                <c:manualLayout>
                  <c:x val="-7.8546870525688893E-3"/>
                  <c:y val="-3.7887054353810012E-2"/>
                </c:manualLayout>
              </c:layout>
              <c:showLegendKey val="0"/>
              <c:showVal val="1"/>
              <c:showCatName val="0"/>
              <c:showSerName val="0"/>
              <c:showPercent val="0"/>
              <c:showBubbleSize val="0"/>
            </c:dLbl>
            <c:dLbl>
              <c:idx val="2"/>
              <c:layout>
                <c:manualLayout>
                  <c:x val="-1.3745702341995594E-2"/>
                  <c:y val="-2.6229499168022381E-2"/>
                </c:manualLayout>
              </c:layout>
              <c:showLegendKey val="0"/>
              <c:showVal val="1"/>
              <c:showCatName val="0"/>
              <c:showSerName val="0"/>
              <c:showPercent val="0"/>
              <c:showBubbleSize val="0"/>
            </c:dLbl>
            <c:dLbl>
              <c:idx val="3"/>
              <c:layout>
                <c:manualLayout>
                  <c:x val="-3.2296215710734821E-2"/>
                  <c:y val="-3.1626855427268931E-2"/>
                </c:manualLayout>
              </c:layout>
              <c:showLegendKey val="0"/>
              <c:showVal val="1"/>
              <c:showCatName val="0"/>
              <c:showSerName val="0"/>
              <c:showPercent val="0"/>
              <c:showBubbleSize val="0"/>
            </c:dLbl>
            <c:dLbl>
              <c:idx val="4"/>
              <c:layout>
                <c:manualLayout>
                  <c:x val="-3.9716884917702047E-2"/>
                  <c:y val="-2.3558358570333955E-2"/>
                </c:manualLayout>
              </c:layout>
              <c:showLegendKey val="0"/>
              <c:showVal val="1"/>
              <c:showCatName val="0"/>
              <c:showSerName val="0"/>
              <c:showPercent val="0"/>
              <c:showBubbleSize val="0"/>
            </c:dLbl>
            <c:dLbl>
              <c:idx val="5"/>
              <c:layout>
                <c:manualLayout>
                  <c:x val="-3.9716884917702047E-2"/>
                  <c:y val="-2.5986250969263776E-2"/>
                </c:manualLayout>
              </c:layout>
              <c:showLegendKey val="0"/>
              <c:showVal val="1"/>
              <c:showCatName val="0"/>
              <c:showSerName val="0"/>
              <c:showPercent val="0"/>
              <c:showBubbleSize val="0"/>
            </c:dLbl>
            <c:dLbl>
              <c:idx val="6"/>
              <c:layout>
                <c:manualLayout>
                  <c:x val="-3.557106358029008E-2"/>
                  <c:y val="-2.1993308838698676E-2"/>
                </c:manualLayout>
              </c:layout>
              <c:showLegendKey val="0"/>
              <c:showVal val="1"/>
              <c:showCatName val="0"/>
              <c:showSerName val="0"/>
              <c:showPercent val="0"/>
              <c:showBubbleSize val="0"/>
            </c:dLbl>
            <c:dLbl>
              <c:idx val="7"/>
              <c:layout>
                <c:manualLayout>
                  <c:x val="-4.0806490816510277E-2"/>
                  <c:y val="-2.3747220143521031E-2"/>
                </c:manualLayout>
              </c:layout>
              <c:showLegendKey val="0"/>
              <c:showVal val="1"/>
              <c:showCatName val="0"/>
              <c:showSerName val="0"/>
              <c:showPercent val="0"/>
              <c:showBubbleSize val="0"/>
            </c:dLbl>
            <c:dLbl>
              <c:idx val="8"/>
              <c:layout>
                <c:manualLayout>
                  <c:x val="-4.1462078869716763E-2"/>
                  <c:y val="-3.2489927573996262E-2"/>
                </c:manualLayout>
              </c:layout>
              <c:showLegendKey val="0"/>
              <c:showVal val="1"/>
              <c:showCatName val="0"/>
              <c:showSerName val="0"/>
              <c:showPercent val="0"/>
              <c:showBubbleSize val="0"/>
            </c:dLbl>
            <c:dLbl>
              <c:idx val="9"/>
              <c:layout>
                <c:manualLayout>
                  <c:x val="-4.2991887407081257E-2"/>
                  <c:y val="-2.7335590034075416E-2"/>
                </c:manualLayout>
              </c:layout>
              <c:showLegendKey val="0"/>
              <c:showVal val="1"/>
              <c:showCatName val="0"/>
              <c:showSerName val="0"/>
              <c:showPercent val="0"/>
              <c:showBubbleSize val="0"/>
            </c:dLbl>
            <c:dLbl>
              <c:idx val="10"/>
              <c:layout>
                <c:manualLayout>
                  <c:x val="-3.7309763499702206E-2"/>
                  <c:y val="-2.9143887964469258E-2"/>
                </c:manualLayout>
              </c:layout>
              <c:showLegendKey val="0"/>
              <c:showVal val="1"/>
              <c:showCatName val="0"/>
              <c:showSerName val="0"/>
              <c:showPercent val="0"/>
              <c:showBubbleSize val="0"/>
            </c:dLbl>
            <c:dLbl>
              <c:idx val="11"/>
              <c:layout>
                <c:manualLayout>
                  <c:x val="-2.7491404683991118E-2"/>
                  <c:y val="-2.6229499168022315E-2"/>
                </c:manualLayout>
              </c:layout>
              <c:showLegendKey val="0"/>
              <c:showVal val="1"/>
              <c:showCatName val="0"/>
              <c:showSerName val="0"/>
              <c:showPercent val="0"/>
              <c:showBubbleSize val="0"/>
            </c:dLbl>
            <c:dLbl>
              <c:idx val="12"/>
              <c:layout>
                <c:manualLayout>
                  <c:x val="-4.7128122315413308E-2"/>
                  <c:y val="2.6229499168022315E-2"/>
                </c:manualLayout>
              </c:layout>
              <c:showLegendKey val="0"/>
              <c:showVal val="1"/>
              <c:showCatName val="0"/>
              <c:showSerName val="0"/>
              <c:showPercent val="0"/>
              <c:showBubbleSize val="0"/>
            </c:dLbl>
            <c:dLbl>
              <c:idx val="13"/>
              <c:layout>
                <c:manualLayout>
                  <c:x val="-4.7128122315413308E-2"/>
                  <c:y val="-3.4972665557363121E-2"/>
                </c:manualLayout>
              </c:layout>
              <c:showLegendKey val="0"/>
              <c:showVal val="1"/>
              <c:showCatName val="0"/>
              <c:showSerName val="0"/>
              <c:showPercent val="0"/>
              <c:showBubbleSize val="0"/>
            </c:dLbl>
            <c:txPr>
              <a:bodyPr/>
              <a:lstStyle/>
              <a:p>
                <a:pPr>
                  <a:defRPr sz="900"/>
                </a:pPr>
                <a:endParaRPr lang="sk-SK"/>
              </a:p>
            </c:txPr>
            <c:showLegendKey val="0"/>
            <c:showVal val="1"/>
            <c:showCatName val="0"/>
            <c:showSerName val="0"/>
            <c:showPercent val="0"/>
            <c:showBubbleSize val="0"/>
            <c:showLeaderLines val="0"/>
          </c:dLbls>
          <c:cat>
            <c:strRef>
              <c:f>zemiaky!$O$2:$AB$2</c:f>
              <c:strCache>
                <c:ptCount val="14"/>
                <c:pt idx="0">
                  <c:v>2002/03</c:v>
                </c:pt>
                <c:pt idx="1">
                  <c:v>2007/08</c:v>
                </c:pt>
                <c:pt idx="2">
                  <c:v>2008/09</c:v>
                </c:pt>
                <c:pt idx="3">
                  <c:v>2009/10</c:v>
                </c:pt>
                <c:pt idx="4">
                  <c:v>2010/11</c:v>
                </c:pt>
                <c:pt idx="5">
                  <c:v>2011/12</c:v>
                </c:pt>
                <c:pt idx="6">
                  <c:v>2012/13</c:v>
                </c:pt>
                <c:pt idx="7">
                  <c:v>2013/14</c:v>
                </c:pt>
                <c:pt idx="8">
                  <c:v>2014/15</c:v>
                </c:pt>
                <c:pt idx="9">
                  <c:v>2015/16</c:v>
                </c:pt>
                <c:pt idx="10">
                  <c:v>2016/17</c:v>
                </c:pt>
                <c:pt idx="11">
                  <c:v>2017/18</c:v>
                </c:pt>
                <c:pt idx="12">
                  <c:v>2018/19</c:v>
                </c:pt>
                <c:pt idx="13">
                  <c:v>2019/20</c:v>
                </c:pt>
              </c:strCache>
            </c:strRef>
          </c:cat>
          <c:val>
            <c:numRef>
              <c:f>zemiaky!$O$3:$AB$3</c:f>
              <c:numCache>
                <c:formatCode>#,##0</c:formatCode>
                <c:ptCount val="14"/>
                <c:pt idx="0">
                  <c:v>26100</c:v>
                </c:pt>
                <c:pt idx="1">
                  <c:v>17800</c:v>
                </c:pt>
                <c:pt idx="2">
                  <c:v>14300</c:v>
                </c:pt>
                <c:pt idx="3">
                  <c:v>11600</c:v>
                </c:pt>
                <c:pt idx="4">
                  <c:v>10900</c:v>
                </c:pt>
                <c:pt idx="5">
                  <c:v>10400</c:v>
                </c:pt>
                <c:pt idx="6">
                  <c:v>9700</c:v>
                </c:pt>
                <c:pt idx="7">
                  <c:v>9797</c:v>
                </c:pt>
                <c:pt idx="8">
                  <c:v>9992.94</c:v>
                </c:pt>
                <c:pt idx="9">
                  <c:v>10492.587000000001</c:v>
                </c:pt>
                <c:pt idx="10">
                  <c:v>10597.512870000002</c:v>
                </c:pt>
                <c:pt idx="11">
                  <c:v>10809.4631274</c:v>
                </c:pt>
                <c:pt idx="12">
                  <c:v>10917.557758674002</c:v>
                </c:pt>
                <c:pt idx="13">
                  <c:v>11143</c:v>
                </c:pt>
              </c:numCache>
            </c:numRef>
          </c:val>
          <c:smooth val="0"/>
        </c:ser>
        <c:dLbls>
          <c:showLegendKey val="0"/>
          <c:showVal val="0"/>
          <c:showCatName val="0"/>
          <c:showSerName val="0"/>
          <c:showPercent val="0"/>
          <c:showBubbleSize val="0"/>
        </c:dLbls>
        <c:marker val="1"/>
        <c:smooth val="0"/>
        <c:axId val="219023616"/>
        <c:axId val="219045888"/>
      </c:lineChart>
      <c:lineChart>
        <c:grouping val="standard"/>
        <c:varyColors val="0"/>
        <c:ser>
          <c:idx val="1"/>
          <c:order val="1"/>
          <c:tx>
            <c:strRef>
              <c:f>zemiaky!$M$4:$N$4</c:f>
              <c:strCache>
                <c:ptCount val="1"/>
                <c:pt idx="0">
                  <c:v>Produkcia  (tis. t) </c:v>
                </c:pt>
              </c:strCache>
            </c:strRef>
          </c:tx>
          <c:dPt>
            <c:idx val="6"/>
            <c:bubble3D val="0"/>
            <c:spPr>
              <a:ln>
                <a:prstDash val="sysDash"/>
              </a:ln>
            </c:spPr>
          </c:dPt>
          <c:dPt>
            <c:idx val="7"/>
            <c:bubble3D val="0"/>
            <c:spPr>
              <a:ln>
                <a:prstDash val="sysDot"/>
              </a:ln>
            </c:spPr>
          </c:dPt>
          <c:dPt>
            <c:idx val="8"/>
            <c:bubble3D val="0"/>
            <c:spPr>
              <a:ln>
                <a:prstDash val="sysDot"/>
              </a:ln>
            </c:spPr>
          </c:dPt>
          <c:dPt>
            <c:idx val="9"/>
            <c:bubble3D val="0"/>
            <c:spPr>
              <a:ln>
                <a:prstDash val="sysDot"/>
              </a:ln>
            </c:spPr>
          </c:dPt>
          <c:dLbls>
            <c:dLbl>
              <c:idx val="0"/>
              <c:layout>
                <c:manualLayout>
                  <c:x val="-4.1028215643938985E-2"/>
                  <c:y val="0.1217571974503"/>
                </c:manualLayout>
              </c:layout>
              <c:showLegendKey val="0"/>
              <c:showVal val="1"/>
              <c:showCatName val="0"/>
              <c:showSerName val="0"/>
              <c:showPercent val="0"/>
              <c:showBubbleSize val="0"/>
            </c:dLbl>
            <c:dLbl>
              <c:idx val="1"/>
              <c:layout>
                <c:manualLayout>
                  <c:x val="-8.5106382978723569E-2"/>
                  <c:y val="2.1534317280187499E-2"/>
                </c:manualLayout>
              </c:layout>
              <c:showLegendKey val="0"/>
              <c:showVal val="1"/>
              <c:showCatName val="0"/>
              <c:showSerName val="0"/>
              <c:showPercent val="0"/>
              <c:showBubbleSize val="0"/>
            </c:dLbl>
            <c:dLbl>
              <c:idx val="2"/>
              <c:layout>
                <c:manualLayout>
                  <c:x val="-7.201309328968912E-2"/>
                  <c:y val="3.9479581680343691E-2"/>
                </c:manualLayout>
              </c:layout>
              <c:showLegendKey val="0"/>
              <c:showVal val="1"/>
              <c:showCatName val="0"/>
              <c:showSerName val="0"/>
              <c:showPercent val="0"/>
              <c:showBubbleSize val="0"/>
            </c:dLbl>
            <c:dLbl>
              <c:idx val="3"/>
              <c:layout>
                <c:manualLayout>
                  <c:x val="-7.201309328968912E-2"/>
                  <c:y val="4.3068634560374935E-2"/>
                </c:manualLayout>
              </c:layout>
              <c:showLegendKey val="0"/>
              <c:showVal val="1"/>
              <c:showCatName val="0"/>
              <c:showSerName val="0"/>
              <c:showPercent val="0"/>
              <c:showBubbleSize val="0"/>
            </c:dLbl>
            <c:dLbl>
              <c:idx val="5"/>
              <c:layout>
                <c:manualLayout>
                  <c:x val="-3.0117158532942372E-2"/>
                  <c:y val="4.4362963947174837E-2"/>
                </c:manualLayout>
              </c:layout>
              <c:showLegendKey val="0"/>
              <c:showVal val="1"/>
              <c:showCatName val="0"/>
              <c:showSerName val="0"/>
              <c:showPercent val="0"/>
              <c:showBubbleSize val="0"/>
            </c:dLbl>
            <c:dLbl>
              <c:idx val="6"/>
              <c:layout>
                <c:manualLayout>
                  <c:x val="-4.1462084015275534E-2"/>
                  <c:y val="3.5890528800312446E-2"/>
                </c:manualLayout>
              </c:layout>
              <c:showLegendKey val="0"/>
              <c:showVal val="1"/>
              <c:showCatName val="0"/>
              <c:showSerName val="0"/>
              <c:showPercent val="0"/>
              <c:showBubbleSize val="0"/>
            </c:dLbl>
            <c:dLbl>
              <c:idx val="7"/>
              <c:layout>
                <c:manualLayout>
                  <c:x val="-2.6189815006658016E-2"/>
                  <c:y val="3.7859516821875119E-2"/>
                </c:manualLayout>
              </c:layout>
              <c:showLegendKey val="0"/>
              <c:showVal val="1"/>
              <c:showCatName val="0"/>
              <c:showSerName val="0"/>
              <c:showPercent val="0"/>
              <c:showBubbleSize val="0"/>
            </c:dLbl>
            <c:dLbl>
              <c:idx val="8"/>
              <c:layout>
                <c:manualLayout>
                  <c:x val="-3.6008173822369073E-2"/>
                  <c:y val="2.3962242372046284E-2"/>
                </c:manualLayout>
              </c:layout>
              <c:showLegendKey val="0"/>
              <c:showVal val="1"/>
              <c:showCatName val="0"/>
              <c:showSerName val="0"/>
              <c:showPercent val="0"/>
              <c:showBubbleSize val="0"/>
            </c:dLbl>
            <c:dLbl>
              <c:idx val="9"/>
              <c:layout>
                <c:manualLayout>
                  <c:x val="-3.9498407106574512E-2"/>
                  <c:y val="2.6876631168493228E-2"/>
                </c:manualLayout>
              </c:layout>
              <c:showLegendKey val="0"/>
              <c:showVal val="1"/>
              <c:showCatName val="0"/>
              <c:showSerName val="0"/>
              <c:showPercent val="0"/>
              <c:showBubbleSize val="0"/>
            </c:dLbl>
            <c:dLbl>
              <c:idx val="10"/>
              <c:layout>
                <c:manualLayout>
                  <c:x val="-3.1418748210275564E-2"/>
                  <c:y val="2.6229499168022315E-2"/>
                </c:manualLayout>
              </c:layout>
              <c:showLegendKey val="0"/>
              <c:showVal val="1"/>
              <c:showCatName val="0"/>
              <c:showSerName val="0"/>
              <c:showPercent val="0"/>
              <c:showBubbleSize val="0"/>
            </c:dLbl>
            <c:dLbl>
              <c:idx val="11"/>
              <c:layout>
                <c:manualLayout>
                  <c:x val="-3.338241997341776E-2"/>
                  <c:y val="2.6229499168022315E-2"/>
                </c:manualLayout>
              </c:layout>
              <c:showLegendKey val="0"/>
              <c:showVal val="1"/>
              <c:showCatName val="0"/>
              <c:showSerName val="0"/>
              <c:showPercent val="0"/>
              <c:showBubbleSize val="0"/>
            </c:dLbl>
            <c:dLbl>
              <c:idx val="12"/>
              <c:layout>
                <c:manualLayout>
                  <c:x val="-3.5346091736559983E-2"/>
                  <c:y val="2.6229499168022315E-2"/>
                </c:manualLayout>
              </c:layout>
              <c:showLegendKey val="0"/>
              <c:showVal val="1"/>
              <c:showCatName val="0"/>
              <c:showSerName val="0"/>
              <c:showPercent val="0"/>
              <c:showBubbleSize val="0"/>
            </c:dLbl>
            <c:dLbl>
              <c:idx val="13"/>
              <c:layout>
                <c:manualLayout>
                  <c:x val="-3.5346091736559983E-2"/>
                  <c:y val="2.6229499168022315E-2"/>
                </c:manualLayout>
              </c:layout>
              <c:showLegendKey val="0"/>
              <c:showVal val="1"/>
              <c:showCatName val="0"/>
              <c:showSerName val="0"/>
              <c:showPercent val="0"/>
              <c:showBubbleSize val="0"/>
            </c:dLbl>
            <c:txPr>
              <a:bodyPr/>
              <a:lstStyle/>
              <a:p>
                <a:pPr>
                  <a:defRPr sz="900"/>
                </a:pPr>
                <a:endParaRPr lang="sk-SK"/>
              </a:p>
            </c:txPr>
            <c:showLegendKey val="0"/>
            <c:showVal val="1"/>
            <c:showCatName val="0"/>
            <c:showSerName val="0"/>
            <c:showPercent val="0"/>
            <c:showBubbleSize val="0"/>
            <c:showLeaderLines val="0"/>
          </c:dLbls>
          <c:cat>
            <c:strRef>
              <c:f>zemiaky!$O$2:$AB$2</c:f>
              <c:strCache>
                <c:ptCount val="14"/>
                <c:pt idx="0">
                  <c:v>2002/03</c:v>
                </c:pt>
                <c:pt idx="1">
                  <c:v>2007/08</c:v>
                </c:pt>
                <c:pt idx="2">
                  <c:v>2008/09</c:v>
                </c:pt>
                <c:pt idx="3">
                  <c:v>2009/10</c:v>
                </c:pt>
                <c:pt idx="4">
                  <c:v>2010/11</c:v>
                </c:pt>
                <c:pt idx="5">
                  <c:v>2011/12</c:v>
                </c:pt>
                <c:pt idx="6">
                  <c:v>2012/13</c:v>
                </c:pt>
                <c:pt idx="7">
                  <c:v>2013/14</c:v>
                </c:pt>
                <c:pt idx="8">
                  <c:v>2014/15</c:v>
                </c:pt>
                <c:pt idx="9">
                  <c:v>2015/16</c:v>
                </c:pt>
                <c:pt idx="10">
                  <c:v>2016/17</c:v>
                </c:pt>
                <c:pt idx="11">
                  <c:v>2017/18</c:v>
                </c:pt>
                <c:pt idx="12">
                  <c:v>2018/19</c:v>
                </c:pt>
                <c:pt idx="13">
                  <c:v>2019/20</c:v>
                </c:pt>
              </c:strCache>
            </c:strRef>
          </c:cat>
          <c:val>
            <c:numRef>
              <c:f>zemiaky!$O$4:$AB$4</c:f>
              <c:numCache>
                <c:formatCode>#,##0.0</c:formatCode>
                <c:ptCount val="14"/>
                <c:pt idx="0">
                  <c:v>484.3</c:v>
                </c:pt>
                <c:pt idx="1">
                  <c:v>287.7</c:v>
                </c:pt>
                <c:pt idx="2">
                  <c:v>245.3</c:v>
                </c:pt>
                <c:pt idx="3">
                  <c:v>216.1</c:v>
                </c:pt>
                <c:pt idx="4">
                  <c:v>125.9</c:v>
                </c:pt>
                <c:pt idx="5">
                  <c:v>217.3</c:v>
                </c:pt>
                <c:pt idx="6">
                  <c:v>188.18</c:v>
                </c:pt>
                <c:pt idx="7">
                  <c:v>190.06180000000001</c:v>
                </c:pt>
                <c:pt idx="8">
                  <c:v>195.86162400000001</c:v>
                </c:pt>
                <c:pt idx="9">
                  <c:v>207.75322260000002</c:v>
                </c:pt>
                <c:pt idx="10">
                  <c:v>210.89050611300004</c:v>
                </c:pt>
                <c:pt idx="11">
                  <c:v>217.81068201711003</c:v>
                </c:pt>
                <c:pt idx="12">
                  <c:v>223.80993405281703</c:v>
                </c:pt>
                <c:pt idx="13">
                  <c:v>232.8887</c:v>
                </c:pt>
              </c:numCache>
            </c:numRef>
          </c:val>
          <c:smooth val="0"/>
        </c:ser>
        <c:dLbls>
          <c:showLegendKey val="0"/>
          <c:showVal val="0"/>
          <c:showCatName val="0"/>
          <c:showSerName val="0"/>
          <c:showPercent val="0"/>
          <c:showBubbleSize val="0"/>
        </c:dLbls>
        <c:marker val="1"/>
        <c:smooth val="0"/>
        <c:axId val="219048960"/>
        <c:axId val="219047424"/>
      </c:lineChart>
      <c:catAx>
        <c:axId val="219023616"/>
        <c:scaling>
          <c:orientation val="minMax"/>
        </c:scaling>
        <c:delete val="0"/>
        <c:axPos val="b"/>
        <c:majorTickMark val="out"/>
        <c:minorTickMark val="none"/>
        <c:tickLblPos val="nextTo"/>
        <c:txPr>
          <a:bodyPr/>
          <a:lstStyle/>
          <a:p>
            <a:pPr>
              <a:defRPr sz="900"/>
            </a:pPr>
            <a:endParaRPr lang="sk-SK"/>
          </a:p>
        </c:txPr>
        <c:crossAx val="219045888"/>
        <c:crosses val="autoZero"/>
        <c:auto val="1"/>
        <c:lblAlgn val="ctr"/>
        <c:lblOffset val="100"/>
        <c:noMultiLvlLbl val="0"/>
      </c:catAx>
      <c:valAx>
        <c:axId val="219045888"/>
        <c:scaling>
          <c:orientation val="minMax"/>
        </c:scaling>
        <c:delete val="0"/>
        <c:axPos val="l"/>
        <c:numFmt formatCode="#,##0" sourceLinked="1"/>
        <c:majorTickMark val="out"/>
        <c:minorTickMark val="none"/>
        <c:tickLblPos val="nextTo"/>
        <c:crossAx val="219023616"/>
        <c:crosses val="autoZero"/>
        <c:crossBetween val="between"/>
      </c:valAx>
      <c:valAx>
        <c:axId val="219047424"/>
        <c:scaling>
          <c:orientation val="minMax"/>
          <c:min val="100"/>
        </c:scaling>
        <c:delete val="0"/>
        <c:axPos val="r"/>
        <c:numFmt formatCode="#,##0.0" sourceLinked="1"/>
        <c:majorTickMark val="out"/>
        <c:minorTickMark val="none"/>
        <c:tickLblPos val="nextTo"/>
        <c:crossAx val="219048960"/>
        <c:crosses val="max"/>
        <c:crossBetween val="between"/>
      </c:valAx>
      <c:catAx>
        <c:axId val="219048960"/>
        <c:scaling>
          <c:orientation val="minMax"/>
        </c:scaling>
        <c:delete val="1"/>
        <c:axPos val="b"/>
        <c:majorTickMark val="out"/>
        <c:minorTickMark val="none"/>
        <c:tickLblPos val="nextTo"/>
        <c:crossAx val="219047424"/>
        <c:crosses val="autoZero"/>
        <c:auto val="1"/>
        <c:lblAlgn val="ctr"/>
        <c:lblOffset val="100"/>
        <c:noMultiLvlLbl val="0"/>
      </c:catAx>
    </c:plotArea>
    <c:legend>
      <c:legendPos val="b"/>
      <c:layout>
        <c:manualLayout>
          <c:xMode val="edge"/>
          <c:yMode val="edge"/>
          <c:x val="0.25923033962553527"/>
          <c:y val="0.95055980360232262"/>
          <c:w val="0.47368463369636027"/>
          <c:h val="4.9440196397677764E-2"/>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471817048348621"/>
          <c:y val="0.10765893846602509"/>
          <c:w val="0.80153073248339979"/>
          <c:h val="0.70953792431378915"/>
        </c:manualLayout>
      </c:layout>
      <c:lineChart>
        <c:grouping val="standard"/>
        <c:varyColors val="0"/>
        <c:ser>
          <c:idx val="1"/>
          <c:order val="1"/>
          <c:tx>
            <c:strRef>
              <c:f>zelenina!$U$5:$V$5</c:f>
              <c:strCache>
                <c:ptCount val="1"/>
                <c:pt idx="0">
                  <c:v>Celková produkcia vrátane samozásobenia (t)</c:v>
                </c:pt>
              </c:strCache>
            </c:strRef>
          </c:tx>
          <c:dPt>
            <c:idx val="6"/>
            <c:bubble3D val="0"/>
            <c:spPr>
              <a:ln>
                <a:prstDash val="sysDash"/>
              </a:ln>
            </c:spPr>
          </c:dPt>
          <c:dPt>
            <c:idx val="7"/>
            <c:bubble3D val="0"/>
            <c:spPr>
              <a:ln>
                <a:prstDash val="sysDot"/>
              </a:ln>
            </c:spPr>
          </c:dPt>
          <c:dPt>
            <c:idx val="8"/>
            <c:bubble3D val="0"/>
            <c:spPr>
              <a:ln>
                <a:prstDash val="sysDot"/>
              </a:ln>
            </c:spPr>
          </c:dPt>
          <c:dPt>
            <c:idx val="9"/>
            <c:bubble3D val="0"/>
            <c:spPr>
              <a:ln>
                <a:prstDash val="sysDot"/>
              </a:ln>
            </c:spPr>
          </c:dPt>
          <c:dPt>
            <c:idx val="10"/>
            <c:bubble3D val="0"/>
            <c:spPr>
              <a:ln>
                <a:prstDash val="sysDot"/>
              </a:ln>
            </c:spPr>
          </c:dPt>
          <c:dPt>
            <c:idx val="11"/>
            <c:bubble3D val="0"/>
            <c:spPr>
              <a:ln>
                <a:prstDash val="sysDot"/>
              </a:ln>
            </c:spPr>
          </c:dPt>
          <c:dPt>
            <c:idx val="12"/>
            <c:marker>
              <c:spPr>
                <a:ln>
                  <a:prstDash val="sysDot"/>
                </a:ln>
              </c:spPr>
            </c:marker>
            <c:bubble3D val="0"/>
            <c:spPr>
              <a:ln>
                <a:prstDash val="sysDot"/>
              </a:ln>
            </c:spPr>
          </c:dPt>
          <c:dPt>
            <c:idx val="13"/>
            <c:bubble3D val="0"/>
            <c:spPr>
              <a:ln>
                <a:prstDash val="sysDot"/>
              </a:ln>
            </c:spPr>
          </c:dPt>
          <c:dPt>
            <c:idx val="14"/>
            <c:bubble3D val="0"/>
            <c:spPr>
              <a:ln>
                <a:prstDash val="sysDot"/>
              </a:ln>
            </c:spPr>
          </c:dPt>
          <c:dLbls>
            <c:dLbl>
              <c:idx val="0"/>
              <c:layout>
                <c:manualLayout>
                  <c:x val="-4.7838963403480574E-2"/>
                  <c:y val="-4.7154814322043513E-2"/>
                </c:manualLayout>
              </c:layout>
              <c:showLegendKey val="0"/>
              <c:showVal val="1"/>
              <c:showCatName val="0"/>
              <c:showSerName val="0"/>
              <c:showPercent val="0"/>
              <c:showBubbleSize val="0"/>
            </c:dLbl>
            <c:dLbl>
              <c:idx val="1"/>
              <c:layout>
                <c:manualLayout>
                  <c:x val="-6.9151809832522962E-2"/>
                  <c:y val="5.5555555555555483E-2"/>
                </c:manualLayout>
              </c:layout>
              <c:showLegendKey val="0"/>
              <c:showVal val="1"/>
              <c:showCatName val="0"/>
              <c:showSerName val="0"/>
              <c:showPercent val="0"/>
              <c:showBubbleSize val="0"/>
            </c:dLbl>
            <c:dLbl>
              <c:idx val="2"/>
              <c:layout>
                <c:manualLayout>
                  <c:x val="-5.4024851431658562E-2"/>
                  <c:y val="5.5555555555555483E-2"/>
                </c:manualLayout>
              </c:layout>
              <c:showLegendKey val="0"/>
              <c:showVal val="1"/>
              <c:showCatName val="0"/>
              <c:showSerName val="0"/>
              <c:showPercent val="0"/>
              <c:showBubbleSize val="0"/>
            </c:dLbl>
            <c:dLbl>
              <c:idx val="3"/>
              <c:layout>
                <c:manualLayout>
                  <c:x val="-6.4829821717990274E-2"/>
                  <c:y val="6.0185185185185265E-2"/>
                </c:manualLayout>
              </c:layout>
              <c:showLegendKey val="0"/>
              <c:showVal val="1"/>
              <c:showCatName val="0"/>
              <c:showSerName val="0"/>
              <c:showPercent val="0"/>
              <c:showBubbleSize val="0"/>
            </c:dLbl>
            <c:dLbl>
              <c:idx val="4"/>
              <c:layout>
                <c:manualLayout>
                  <c:x val="-5.4024851431658562E-2"/>
                  <c:y val="2.7777777777777842E-2"/>
                </c:manualLayout>
              </c:layout>
              <c:showLegendKey val="0"/>
              <c:showVal val="1"/>
              <c:showCatName val="0"/>
              <c:showSerName val="0"/>
              <c:showPercent val="0"/>
              <c:showBubbleSize val="0"/>
            </c:dLbl>
            <c:dLbl>
              <c:idx val="5"/>
              <c:layout>
                <c:manualLayout>
                  <c:x val="-5.4024851431658562E-2"/>
                  <c:y val="-4.6872809876718997E-2"/>
                </c:manualLayout>
              </c:layout>
              <c:showLegendKey val="0"/>
              <c:showVal val="1"/>
              <c:showCatName val="0"/>
              <c:showSerName val="0"/>
              <c:showPercent val="0"/>
              <c:showBubbleSize val="0"/>
            </c:dLbl>
            <c:dLbl>
              <c:idx val="6"/>
              <c:layout>
                <c:manualLayout>
                  <c:x val="-2.5931928687196168E-2"/>
                  <c:y val="3.7036672499270999E-2"/>
                </c:manualLayout>
              </c:layout>
              <c:showLegendKey val="0"/>
              <c:showVal val="1"/>
              <c:showCatName val="0"/>
              <c:showSerName val="0"/>
              <c:showPercent val="0"/>
              <c:showBubbleSize val="0"/>
            </c:dLbl>
            <c:dLbl>
              <c:idx val="7"/>
              <c:layout>
                <c:manualLayout>
                  <c:x val="-5.1863857374392218E-2"/>
                  <c:y val="-3.8471914137155415E-2"/>
                </c:manualLayout>
              </c:layout>
              <c:showLegendKey val="0"/>
              <c:showVal val="1"/>
              <c:showCatName val="0"/>
              <c:showSerName val="0"/>
              <c:showPercent val="0"/>
              <c:showBubbleSize val="0"/>
            </c:dLbl>
            <c:dLbl>
              <c:idx val="8"/>
              <c:layout>
                <c:manualLayout>
                  <c:x val="-2.160994057266348E-2"/>
                  <c:y val="3.6797964673241951E-2"/>
                </c:manualLayout>
              </c:layout>
              <c:showLegendKey val="0"/>
              <c:showVal val="1"/>
              <c:showCatName val="0"/>
              <c:showSerName val="0"/>
              <c:showPercent val="0"/>
              <c:showBubbleSize val="0"/>
            </c:dLbl>
            <c:dLbl>
              <c:idx val="9"/>
              <c:layout>
                <c:manualLayout>
                  <c:x val="-1.728795245813074E-2"/>
                  <c:y val="2.7299365239698156E-2"/>
                </c:manualLayout>
              </c:layout>
              <c:showLegendKey val="0"/>
              <c:showVal val="1"/>
              <c:showCatName val="0"/>
              <c:showSerName val="0"/>
              <c:showPercent val="0"/>
              <c:showBubbleSize val="0"/>
            </c:dLbl>
            <c:dLbl>
              <c:idx val="10"/>
              <c:layout>
                <c:manualLayout>
                  <c:x val="-1.728795245813074E-2"/>
                  <c:y val="3.1070548946404795E-2"/>
                </c:manualLayout>
              </c:layout>
              <c:showLegendKey val="0"/>
              <c:showVal val="1"/>
              <c:showCatName val="0"/>
              <c:showSerName val="0"/>
              <c:showPercent val="0"/>
              <c:showBubbleSize val="0"/>
            </c:dLbl>
            <c:dLbl>
              <c:idx val="13"/>
              <c:layout>
                <c:manualLayout>
                  <c:x val="-1.7108031839851646E-2"/>
                  <c:y val="1.3269539224263639E-2"/>
                </c:manualLayout>
              </c:layout>
              <c:showLegendKey val="0"/>
              <c:showVal val="1"/>
              <c:showCatName val="0"/>
              <c:showSerName val="0"/>
              <c:showPercent val="0"/>
              <c:showBubbleSize val="0"/>
            </c:dLbl>
            <c:dLbl>
              <c:idx val="14"/>
              <c:layout>
                <c:manualLayout>
                  <c:x val="-0.10647357975300598"/>
                  <c:y val="6.749162990939735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zelenina!$W$3:$AK$3</c:f>
              <c:numCache>
                <c:formatCode>General</c:formatCode>
                <c:ptCount val="15"/>
                <c:pt idx="0">
                  <c:v>2002</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zelenina!$W$5:$AK$5</c:f>
              <c:numCache>
                <c:formatCode>#,##0</c:formatCode>
                <c:ptCount val="15"/>
                <c:pt idx="0">
                  <c:v>363480</c:v>
                </c:pt>
                <c:pt idx="1">
                  <c:v>307756</c:v>
                </c:pt>
                <c:pt idx="2">
                  <c:v>332954</c:v>
                </c:pt>
                <c:pt idx="3">
                  <c:v>312084</c:v>
                </c:pt>
                <c:pt idx="4">
                  <c:v>284429</c:v>
                </c:pt>
                <c:pt idx="5">
                  <c:v>314855</c:v>
                </c:pt>
                <c:pt idx="6">
                  <c:v>303238</c:v>
                </c:pt>
                <c:pt idx="7">
                  <c:v>305655.03999999998</c:v>
                </c:pt>
                <c:pt idx="8">
                  <c:v>312391.67708160001</c:v>
                </c:pt>
                <c:pt idx="9">
                  <c:v>337851.5987637504</c:v>
                </c:pt>
                <c:pt idx="10">
                  <c:v>361839.0622759767</c:v>
                </c:pt>
                <c:pt idx="11">
                  <c:v>380690.87742055516</c:v>
                </c:pt>
                <c:pt idx="12">
                  <c:v>400524.87213416601</c:v>
                </c:pt>
                <c:pt idx="13">
                  <c:v>421392.21797235619</c:v>
                </c:pt>
                <c:pt idx="14">
                  <c:v>445860</c:v>
                </c:pt>
              </c:numCache>
            </c:numRef>
          </c:val>
          <c:smooth val="0"/>
        </c:ser>
        <c:dLbls>
          <c:showLegendKey val="0"/>
          <c:showVal val="0"/>
          <c:showCatName val="0"/>
          <c:showSerName val="0"/>
          <c:showPercent val="0"/>
          <c:showBubbleSize val="0"/>
        </c:dLbls>
        <c:marker val="1"/>
        <c:smooth val="0"/>
        <c:axId val="227915648"/>
        <c:axId val="227917184"/>
      </c:lineChart>
      <c:lineChart>
        <c:grouping val="standard"/>
        <c:varyColors val="0"/>
        <c:ser>
          <c:idx val="0"/>
          <c:order val="0"/>
          <c:tx>
            <c:strRef>
              <c:f>zelenina!$U$4:$V$4</c:f>
              <c:strCache>
                <c:ptCount val="1"/>
                <c:pt idx="0">
                  <c:v>Zberová plocha (ha)</c:v>
                </c:pt>
              </c:strCache>
            </c:strRef>
          </c:tx>
          <c:dPt>
            <c:idx val="6"/>
            <c:bubble3D val="0"/>
            <c:spPr>
              <a:ln>
                <a:prstDash val="sysDash"/>
              </a:ln>
            </c:spPr>
          </c:dPt>
          <c:dPt>
            <c:idx val="7"/>
            <c:bubble3D val="0"/>
            <c:spPr>
              <a:ln>
                <a:prstDash val="sysDot"/>
              </a:ln>
            </c:spPr>
          </c:dPt>
          <c:dPt>
            <c:idx val="8"/>
            <c:bubble3D val="0"/>
            <c:spPr>
              <a:ln>
                <a:prstDash val="sysDot"/>
              </a:ln>
            </c:spPr>
          </c:dPt>
          <c:dPt>
            <c:idx val="9"/>
            <c:bubble3D val="0"/>
            <c:spPr>
              <a:ln>
                <a:prstDash val="sysDot"/>
              </a:ln>
            </c:spPr>
          </c:dPt>
          <c:dPt>
            <c:idx val="10"/>
            <c:bubble3D val="0"/>
            <c:spPr>
              <a:ln>
                <a:prstDash val="sysDot"/>
              </a:ln>
            </c:spPr>
          </c:dPt>
          <c:dPt>
            <c:idx val="11"/>
            <c:bubble3D val="0"/>
            <c:spPr>
              <a:ln>
                <a:prstDash val="sysDot"/>
              </a:ln>
            </c:spPr>
          </c:dPt>
          <c:dPt>
            <c:idx val="12"/>
            <c:bubble3D val="0"/>
            <c:spPr>
              <a:ln>
                <a:prstDash val="sysDot"/>
              </a:ln>
            </c:spPr>
          </c:dPt>
          <c:dPt>
            <c:idx val="13"/>
            <c:bubble3D val="0"/>
            <c:spPr>
              <a:ln>
                <a:prstDash val="sysDot"/>
              </a:ln>
            </c:spPr>
          </c:dPt>
          <c:dPt>
            <c:idx val="14"/>
            <c:bubble3D val="0"/>
            <c:spPr>
              <a:ln>
                <a:prstDash val="sysDot"/>
              </a:ln>
            </c:spPr>
          </c:dPt>
          <c:dLbls>
            <c:dLbl>
              <c:idx val="1"/>
              <c:layout>
                <c:manualLayout>
                  <c:x val="-2.1609940572663508E-2"/>
                  <c:y val="-5.0925925925925923E-2"/>
                </c:manualLayout>
              </c:layout>
              <c:showLegendKey val="0"/>
              <c:showVal val="1"/>
              <c:showCatName val="0"/>
              <c:showSerName val="0"/>
              <c:showPercent val="0"/>
              <c:showBubbleSize val="0"/>
            </c:dLbl>
            <c:dLbl>
              <c:idx val="2"/>
              <c:layout>
                <c:manualLayout>
                  <c:x val="-2.5931928687196168E-2"/>
                  <c:y val="-4.1666666666666664E-2"/>
                </c:manualLayout>
              </c:layout>
              <c:showLegendKey val="0"/>
              <c:showVal val="1"/>
              <c:showCatName val="0"/>
              <c:showSerName val="0"/>
              <c:showPercent val="0"/>
              <c:showBubbleSize val="0"/>
            </c:dLbl>
            <c:dLbl>
              <c:idx val="3"/>
              <c:layout>
                <c:manualLayout>
                  <c:x val="-8.6439762290653824E-3"/>
                  <c:y val="-4.6296296296296346E-3"/>
                </c:manualLayout>
              </c:layout>
              <c:showLegendKey val="0"/>
              <c:showVal val="1"/>
              <c:showCatName val="0"/>
              <c:showSerName val="0"/>
              <c:showPercent val="0"/>
              <c:showBubbleSize val="0"/>
            </c:dLbl>
            <c:dLbl>
              <c:idx val="4"/>
              <c:layout>
                <c:manualLayout>
                  <c:x val="-4.5380875202593186E-2"/>
                  <c:y val="-4.6296296296296363E-2"/>
                </c:manualLayout>
              </c:layout>
              <c:showLegendKey val="0"/>
              <c:showVal val="1"/>
              <c:showCatName val="0"/>
              <c:showSerName val="0"/>
              <c:showPercent val="0"/>
              <c:showBubbleSize val="0"/>
            </c:dLbl>
            <c:dLbl>
              <c:idx val="5"/>
              <c:layout>
                <c:manualLayout>
                  <c:x val="-1.51269584008644E-2"/>
                  <c:y val="3.7037037037037056E-2"/>
                </c:manualLayout>
              </c:layout>
              <c:showLegendKey val="0"/>
              <c:showVal val="1"/>
              <c:showCatName val="0"/>
              <c:showSerName val="0"/>
              <c:showPercent val="0"/>
              <c:showBubbleSize val="0"/>
            </c:dLbl>
            <c:dLbl>
              <c:idx val="6"/>
              <c:layout>
                <c:manualLayout>
                  <c:x val="-5.6185845488924836E-2"/>
                  <c:y val="-4.1764747108202938E-2"/>
                </c:manualLayout>
              </c:layout>
              <c:showLegendKey val="0"/>
              <c:showVal val="1"/>
              <c:showCatName val="0"/>
              <c:showSerName val="0"/>
              <c:showPercent val="0"/>
              <c:showBubbleSize val="0"/>
            </c:dLbl>
            <c:dLbl>
              <c:idx val="7"/>
              <c:layout>
                <c:manualLayout>
                  <c:x val="-4.5380875202593186E-2"/>
                  <c:y val="3.8373740991988183E-2"/>
                </c:manualLayout>
              </c:layout>
              <c:showLegendKey val="0"/>
              <c:showVal val="1"/>
              <c:showCatName val="0"/>
              <c:showSerName val="0"/>
              <c:showPercent val="0"/>
              <c:showBubbleSize val="0"/>
            </c:dLbl>
            <c:dLbl>
              <c:idx val="8"/>
              <c:layout>
                <c:manualLayout>
                  <c:x val="-6.2668827660723861E-2"/>
                  <c:y val="-3.579843412442904E-2"/>
                </c:manualLayout>
              </c:layout>
              <c:showLegendKey val="0"/>
              <c:showVal val="1"/>
              <c:showCatName val="0"/>
              <c:showSerName val="0"/>
              <c:showPercent val="0"/>
              <c:showBubbleSize val="0"/>
            </c:dLbl>
            <c:dLbl>
              <c:idx val="9"/>
              <c:layout>
                <c:manualLayout>
                  <c:x val="-9.292274446245273E-2"/>
                  <c:y val="-2.0474523929773714E-2"/>
                </c:manualLayout>
              </c:layout>
              <c:showLegendKey val="0"/>
              <c:showVal val="1"/>
              <c:showCatName val="0"/>
              <c:showSerName val="0"/>
              <c:showPercent val="0"/>
              <c:showBubbleSize val="0"/>
            </c:dLbl>
            <c:dLbl>
              <c:idx val="10"/>
              <c:layout>
                <c:manualLayout>
                  <c:x val="-9.9405726634251734E-2"/>
                  <c:y val="-2.1811402991583267E-2"/>
                </c:manualLayout>
              </c:layout>
              <c:showLegendKey val="0"/>
              <c:showVal val="1"/>
              <c:showCatName val="0"/>
              <c:showSerName val="0"/>
              <c:showPercent val="0"/>
              <c:showBubbleSize val="0"/>
            </c:dLbl>
            <c:dLbl>
              <c:idx val="11"/>
              <c:layout>
                <c:manualLayout>
                  <c:x val="-8.4503693029534852E-2"/>
                  <c:y val="-4.2384179336148083E-2"/>
                </c:manualLayout>
              </c:layout>
              <c:showLegendKey val="0"/>
              <c:showVal val="1"/>
              <c:showCatName val="0"/>
              <c:showSerName val="0"/>
              <c:showPercent val="0"/>
              <c:showBubbleSize val="0"/>
            </c:dLbl>
            <c:dLbl>
              <c:idx val="12"/>
              <c:layout>
                <c:manualLayout>
                  <c:x val="-7.1627680924749484E-2"/>
                  <c:y val="-2.9355460705072736E-2"/>
                </c:manualLayout>
              </c:layout>
              <c:showLegendKey val="0"/>
              <c:showVal val="1"/>
              <c:showCatName val="0"/>
              <c:showSerName val="0"/>
              <c:showPercent val="0"/>
              <c:showBubbleSize val="0"/>
            </c:dLbl>
            <c:dLbl>
              <c:idx val="13"/>
              <c:layout>
                <c:manualLayout>
                  <c:x val="-6.0192855314047354E-2"/>
                  <c:y val="-5.2979002624671909E-2"/>
                </c:manualLayout>
              </c:layout>
              <c:showLegendKey val="0"/>
              <c:showVal val="1"/>
              <c:showCatName val="0"/>
              <c:showSerName val="0"/>
              <c:showPercent val="0"/>
              <c:showBubbleSize val="0"/>
            </c:dLbl>
            <c:dLbl>
              <c:idx val="14"/>
              <c:layout>
                <c:manualLayout>
                  <c:x val="-6.6990815775256618E-2"/>
                  <c:y val="-4.591610840540112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zelenina!$W$3:$AK$3</c:f>
              <c:numCache>
                <c:formatCode>General</c:formatCode>
                <c:ptCount val="15"/>
                <c:pt idx="0">
                  <c:v>2002</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zelenina!$W$4:$AK$4</c:f>
              <c:numCache>
                <c:formatCode>#,##0</c:formatCode>
                <c:ptCount val="15"/>
                <c:pt idx="0">
                  <c:v>33570</c:v>
                </c:pt>
                <c:pt idx="1">
                  <c:v>28870</c:v>
                </c:pt>
                <c:pt idx="2">
                  <c:v>28426</c:v>
                </c:pt>
                <c:pt idx="3">
                  <c:v>28547</c:v>
                </c:pt>
                <c:pt idx="4">
                  <c:v>30559</c:v>
                </c:pt>
                <c:pt idx="5">
                  <c:v>30334</c:v>
                </c:pt>
                <c:pt idx="6">
                  <c:v>30812</c:v>
                </c:pt>
                <c:pt idx="7">
                  <c:v>30812</c:v>
                </c:pt>
                <c:pt idx="8">
                  <c:v>30873.624</c:v>
                </c:pt>
                <c:pt idx="9">
                  <c:v>31799.832720000002</c:v>
                </c:pt>
                <c:pt idx="10">
                  <c:v>32435.8293744</c:v>
                </c:pt>
                <c:pt idx="11">
                  <c:v>32500.701033148805</c:v>
                </c:pt>
                <c:pt idx="12">
                  <c:v>32565.702435215106</c:v>
                </c:pt>
                <c:pt idx="13">
                  <c:v>32630.833840085528</c:v>
                </c:pt>
                <c:pt idx="14">
                  <c:v>33334</c:v>
                </c:pt>
              </c:numCache>
            </c:numRef>
          </c:val>
          <c:smooth val="0"/>
        </c:ser>
        <c:dLbls>
          <c:showLegendKey val="0"/>
          <c:showVal val="0"/>
          <c:showCatName val="0"/>
          <c:showSerName val="0"/>
          <c:showPercent val="0"/>
          <c:showBubbleSize val="0"/>
        </c:dLbls>
        <c:marker val="1"/>
        <c:smooth val="0"/>
        <c:axId val="228002432"/>
        <c:axId val="228000896"/>
      </c:lineChart>
      <c:catAx>
        <c:axId val="227915648"/>
        <c:scaling>
          <c:orientation val="minMax"/>
        </c:scaling>
        <c:delete val="0"/>
        <c:axPos val="b"/>
        <c:numFmt formatCode="General" sourceLinked="1"/>
        <c:majorTickMark val="out"/>
        <c:minorTickMark val="none"/>
        <c:tickLblPos val="nextTo"/>
        <c:crossAx val="227917184"/>
        <c:crosses val="autoZero"/>
        <c:auto val="1"/>
        <c:lblAlgn val="ctr"/>
        <c:lblOffset val="100"/>
        <c:noMultiLvlLbl val="0"/>
      </c:catAx>
      <c:valAx>
        <c:axId val="227917184"/>
        <c:scaling>
          <c:orientation val="minMax"/>
          <c:min val="250000"/>
        </c:scaling>
        <c:delete val="0"/>
        <c:axPos val="l"/>
        <c:numFmt formatCode="#,##0" sourceLinked="1"/>
        <c:majorTickMark val="out"/>
        <c:minorTickMark val="none"/>
        <c:tickLblPos val="nextTo"/>
        <c:crossAx val="227915648"/>
        <c:crosses val="autoZero"/>
        <c:crossBetween val="between"/>
      </c:valAx>
      <c:valAx>
        <c:axId val="228000896"/>
        <c:scaling>
          <c:orientation val="minMax"/>
        </c:scaling>
        <c:delete val="0"/>
        <c:axPos val="r"/>
        <c:numFmt formatCode="#,##0" sourceLinked="1"/>
        <c:majorTickMark val="out"/>
        <c:minorTickMark val="none"/>
        <c:tickLblPos val="nextTo"/>
        <c:crossAx val="228002432"/>
        <c:crosses val="max"/>
        <c:crossBetween val="between"/>
      </c:valAx>
      <c:catAx>
        <c:axId val="228002432"/>
        <c:scaling>
          <c:orientation val="minMax"/>
        </c:scaling>
        <c:delete val="1"/>
        <c:axPos val="b"/>
        <c:numFmt formatCode="General" sourceLinked="1"/>
        <c:majorTickMark val="out"/>
        <c:minorTickMark val="none"/>
        <c:tickLblPos val="nextTo"/>
        <c:crossAx val="228000896"/>
        <c:crosses val="autoZero"/>
        <c:auto val="1"/>
        <c:lblAlgn val="ctr"/>
        <c:lblOffset val="100"/>
        <c:noMultiLvlLbl val="0"/>
      </c:catAx>
    </c:plotArea>
    <c:legend>
      <c:legendPos val="b"/>
      <c:layout>
        <c:manualLayout>
          <c:xMode val="edge"/>
          <c:yMode val="edge"/>
          <c:x val="8.729087857660732E-2"/>
          <c:y val="0.92781447168314979"/>
          <c:w val="0.82541824284678544"/>
          <c:h val="7.2185528316850392E-2"/>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256686664166979"/>
          <c:y val="0.10271699839391392"/>
          <c:w val="0.80629623424731478"/>
          <c:h val="0.71191525045288151"/>
        </c:manualLayout>
      </c:layout>
      <c:lineChart>
        <c:grouping val="standard"/>
        <c:varyColors val="0"/>
        <c:ser>
          <c:idx val="0"/>
          <c:order val="0"/>
          <c:tx>
            <c:strRef>
              <c:f>ovocie!$S$2</c:f>
              <c:strCache>
                <c:ptCount val="1"/>
                <c:pt idx="0">
                  <c:v>produkcia v sadoch v t</c:v>
                </c:pt>
              </c:strCache>
            </c:strRef>
          </c:tx>
          <c:dPt>
            <c:idx val="6"/>
            <c:bubble3D val="0"/>
            <c:spPr>
              <a:ln>
                <a:prstDash val="sysDash"/>
              </a:ln>
            </c:spPr>
          </c:dPt>
          <c:dPt>
            <c:idx val="7"/>
            <c:bubble3D val="0"/>
            <c:spPr>
              <a:ln>
                <a:prstDash val="sysDot"/>
              </a:ln>
            </c:spPr>
          </c:dPt>
          <c:dPt>
            <c:idx val="8"/>
            <c:bubble3D val="0"/>
            <c:spPr>
              <a:ln>
                <a:prstDash val="sysDot"/>
              </a:ln>
            </c:spPr>
          </c:dPt>
          <c:dPt>
            <c:idx val="9"/>
            <c:bubble3D val="0"/>
            <c:spPr>
              <a:ln>
                <a:prstDash val="sysDot"/>
              </a:ln>
            </c:spPr>
          </c:dPt>
          <c:dPt>
            <c:idx val="10"/>
            <c:bubble3D val="0"/>
            <c:spPr>
              <a:ln>
                <a:prstDash val="sysDot"/>
              </a:ln>
            </c:spPr>
          </c:dPt>
          <c:dPt>
            <c:idx val="11"/>
            <c:bubble3D val="0"/>
            <c:spPr>
              <a:ln>
                <a:prstDash val="sysDot"/>
              </a:ln>
            </c:spPr>
          </c:dPt>
          <c:dPt>
            <c:idx val="12"/>
            <c:bubble3D val="0"/>
            <c:spPr>
              <a:ln>
                <a:prstDash val="sysDot"/>
              </a:ln>
            </c:spPr>
          </c:dPt>
          <c:dPt>
            <c:idx val="13"/>
            <c:bubble3D val="0"/>
            <c:spPr>
              <a:ln>
                <a:prstDash val="sysDot"/>
              </a:ln>
            </c:spPr>
          </c:dPt>
          <c:dPt>
            <c:idx val="14"/>
            <c:bubble3D val="0"/>
            <c:spPr>
              <a:ln>
                <a:prstDash val="sysDot"/>
              </a:ln>
            </c:spPr>
          </c:dPt>
          <c:dLbls>
            <c:dLbl>
              <c:idx val="0"/>
              <c:layout>
                <c:manualLayout>
                  <c:x val="-1.8126667684544972E-2"/>
                  <c:y val="-4.7317272960254314E-2"/>
                </c:manualLayout>
              </c:layout>
              <c:showLegendKey val="0"/>
              <c:showVal val="1"/>
              <c:showCatName val="0"/>
              <c:showSerName val="0"/>
              <c:showPercent val="0"/>
              <c:showBubbleSize val="0"/>
            </c:dLbl>
            <c:dLbl>
              <c:idx val="1"/>
              <c:layout>
                <c:manualLayout>
                  <c:x val="-6.5387659875848882E-3"/>
                  <c:y val="1.013904982618772E-2"/>
                </c:manualLayout>
              </c:layout>
              <c:showLegendKey val="0"/>
              <c:showVal val="1"/>
              <c:showCatName val="0"/>
              <c:showSerName val="0"/>
              <c:showPercent val="0"/>
              <c:showBubbleSize val="0"/>
            </c:dLbl>
            <c:dLbl>
              <c:idx val="2"/>
              <c:layout>
                <c:manualLayout>
                  <c:x val="-4.9485828160368846E-2"/>
                  <c:y val="-4.3186832691428E-2"/>
                </c:manualLayout>
              </c:layout>
              <c:showLegendKey val="0"/>
              <c:showVal val="1"/>
              <c:showCatName val="0"/>
              <c:showSerName val="0"/>
              <c:showPercent val="0"/>
              <c:showBubbleSize val="0"/>
            </c:dLbl>
            <c:dLbl>
              <c:idx val="3"/>
              <c:layout>
                <c:manualLayout>
                  <c:x val="-2.7411851296365735E-2"/>
                  <c:y val="-4.3186832691428E-2"/>
                </c:manualLayout>
              </c:layout>
              <c:showLegendKey val="0"/>
              <c:showVal val="1"/>
              <c:showCatName val="0"/>
              <c:showSerName val="0"/>
              <c:showPercent val="0"/>
              <c:showBubbleSize val="0"/>
            </c:dLbl>
            <c:dLbl>
              <c:idx val="4"/>
              <c:layout>
                <c:manualLayout>
                  <c:x val="-3.9199440347734309E-2"/>
                  <c:y val="-6.226397533005576E-2"/>
                </c:manualLayout>
              </c:layout>
              <c:showLegendKey val="0"/>
              <c:showVal val="1"/>
              <c:showCatName val="0"/>
              <c:showSerName val="0"/>
              <c:showPercent val="0"/>
              <c:showBubbleSize val="0"/>
            </c:dLbl>
            <c:dLbl>
              <c:idx val="5"/>
              <c:layout>
                <c:manualLayout>
                  <c:x val="-3.856618617117305E-2"/>
                  <c:y val="4.9720486183763395E-2"/>
                </c:manualLayout>
              </c:layout>
              <c:showLegendKey val="0"/>
              <c:showVal val="1"/>
              <c:showCatName val="0"/>
              <c:showSerName val="0"/>
              <c:showPercent val="0"/>
              <c:showBubbleSize val="0"/>
            </c:dLbl>
            <c:dLbl>
              <c:idx val="6"/>
              <c:layout>
                <c:manualLayout>
                  <c:x val="-3.2868460886833595E-2"/>
                  <c:y val="4.6340923160396494E-2"/>
                </c:manualLayout>
              </c:layout>
              <c:showLegendKey val="0"/>
              <c:showVal val="1"/>
              <c:showCatName val="0"/>
              <c:showSerName val="0"/>
              <c:showPercent val="0"/>
              <c:showBubbleSize val="0"/>
            </c:dLbl>
            <c:dLbl>
              <c:idx val="7"/>
              <c:layout>
                <c:manualLayout>
                  <c:x val="-2.2103313474704563E-2"/>
                  <c:y val="2.9216553220902493E-2"/>
                </c:manualLayout>
              </c:layout>
              <c:showLegendKey val="0"/>
              <c:showVal val="1"/>
              <c:showCatName val="0"/>
              <c:showSerName val="0"/>
              <c:showPercent val="0"/>
              <c:showBubbleSize val="0"/>
            </c:dLbl>
            <c:dLbl>
              <c:idx val="8"/>
              <c:layout>
                <c:manualLayout>
                  <c:x val="-1.6205266008415618E-2"/>
                  <c:y val="3.5976040023723337E-2"/>
                </c:manualLayout>
              </c:layout>
              <c:showLegendKey val="0"/>
              <c:showVal val="1"/>
              <c:showCatName val="0"/>
              <c:showSerName val="0"/>
              <c:showPercent val="0"/>
              <c:showBubbleSize val="0"/>
            </c:dLbl>
            <c:dLbl>
              <c:idx val="9"/>
              <c:layout>
                <c:manualLayout>
                  <c:x val="-2.7955359746698334E-2"/>
                  <c:y val="3.4774000741714516E-2"/>
                </c:manualLayout>
              </c:layout>
              <c:showLegendKey val="0"/>
              <c:showVal val="1"/>
              <c:showCatName val="0"/>
              <c:showSerName val="0"/>
              <c:showPercent val="0"/>
              <c:showBubbleSize val="0"/>
            </c:dLbl>
            <c:dLbl>
              <c:idx val="10"/>
              <c:layout>
                <c:manualLayout>
                  <c:x val="-3.4760759071782686E-2"/>
                  <c:y val="4.6340923160396494E-2"/>
                </c:manualLayout>
              </c:layout>
              <c:showLegendKey val="0"/>
              <c:showVal val="1"/>
              <c:showCatName val="0"/>
              <c:showSerName val="0"/>
              <c:showPercent val="0"/>
              <c:showBubbleSize val="0"/>
            </c:dLbl>
            <c:dLbl>
              <c:idx val="11"/>
              <c:layout>
                <c:manualLayout>
                  <c:x val="-3.5588433390270652E-2"/>
                  <c:y val="4.0557642329099017E-2"/>
                </c:manualLayout>
              </c:layout>
              <c:showLegendKey val="0"/>
              <c:showVal val="1"/>
              <c:showCatName val="0"/>
              <c:showSerName val="0"/>
              <c:showPercent val="0"/>
              <c:showBubbleSize val="0"/>
            </c:dLbl>
            <c:dLbl>
              <c:idx val="12"/>
              <c:layout>
                <c:manualLayout>
                  <c:x val="-3.3899234817869994E-2"/>
                  <c:y val="4.0557642329099017E-2"/>
                </c:manualLayout>
              </c:layout>
              <c:showLegendKey val="0"/>
              <c:showVal val="1"/>
              <c:showCatName val="0"/>
              <c:showSerName val="0"/>
              <c:showPercent val="0"/>
              <c:showBubbleSize val="0"/>
            </c:dLbl>
            <c:dLbl>
              <c:idx val="13"/>
              <c:layout>
                <c:manualLayout>
                  <c:x val="-3.6361600633254186E-2"/>
                  <c:y val="4.2735526826544155E-2"/>
                </c:manualLayout>
              </c:layout>
              <c:showLegendKey val="0"/>
              <c:showVal val="1"/>
              <c:showCatName val="0"/>
              <c:showSerName val="0"/>
              <c:showPercent val="0"/>
              <c:showBubbleSize val="0"/>
            </c:dLbl>
            <c:dLbl>
              <c:idx val="14"/>
              <c:layout>
                <c:manualLayout>
                  <c:x val="-4.9131184990765048E-2"/>
                  <c:y val="3.5976040023723337E-2"/>
                </c:manualLayout>
              </c:layout>
              <c:showLegendKey val="0"/>
              <c:showVal val="1"/>
              <c:showCatName val="0"/>
              <c:showSerName val="0"/>
              <c:showPercent val="0"/>
              <c:showBubbleSize val="0"/>
            </c:dLbl>
            <c:txPr>
              <a:bodyPr/>
              <a:lstStyle/>
              <a:p>
                <a:pPr>
                  <a:defRPr sz="900"/>
                </a:pPr>
                <a:endParaRPr lang="sk-SK"/>
              </a:p>
            </c:txPr>
            <c:showLegendKey val="0"/>
            <c:showVal val="1"/>
            <c:showCatName val="0"/>
            <c:showSerName val="0"/>
            <c:showPercent val="0"/>
            <c:showBubbleSize val="0"/>
            <c:showLeaderLines val="0"/>
          </c:dLbls>
          <c:cat>
            <c:numRef>
              <c:f>ovocie!$T$1:$AH$1</c:f>
              <c:numCache>
                <c:formatCode>General</c:formatCode>
                <c:ptCount val="15"/>
                <c:pt idx="0">
                  <c:v>2002</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ovocie!$T$2:$AH$2</c:f>
              <c:numCache>
                <c:formatCode>#,##0</c:formatCode>
                <c:ptCount val="15"/>
                <c:pt idx="0">
                  <c:v>32045</c:v>
                </c:pt>
                <c:pt idx="1">
                  <c:v>22316</c:v>
                </c:pt>
                <c:pt idx="2">
                  <c:v>48762</c:v>
                </c:pt>
                <c:pt idx="3">
                  <c:v>46264</c:v>
                </c:pt>
                <c:pt idx="4">
                  <c:v>40519</c:v>
                </c:pt>
                <c:pt idx="5">
                  <c:v>37158</c:v>
                </c:pt>
                <c:pt idx="6">
                  <c:v>40420</c:v>
                </c:pt>
                <c:pt idx="7">
                  <c:v>40647.42</c:v>
                </c:pt>
                <c:pt idx="8">
                  <c:v>42679.790999999997</c:v>
                </c:pt>
                <c:pt idx="9">
                  <c:v>46520.972190000008</c:v>
                </c:pt>
                <c:pt idx="10">
                  <c:v>49777.440243300021</c:v>
                </c:pt>
                <c:pt idx="11">
                  <c:v>51768.537853032016</c:v>
                </c:pt>
                <c:pt idx="12">
                  <c:v>52803.908610092665</c:v>
                </c:pt>
                <c:pt idx="13">
                  <c:v>54388.025868395438</c:v>
                </c:pt>
                <c:pt idx="14">
                  <c:v>55975.74</c:v>
                </c:pt>
              </c:numCache>
            </c:numRef>
          </c:val>
          <c:smooth val="0"/>
        </c:ser>
        <c:dLbls>
          <c:showLegendKey val="0"/>
          <c:showVal val="0"/>
          <c:showCatName val="0"/>
          <c:showSerName val="0"/>
          <c:showPercent val="0"/>
          <c:showBubbleSize val="0"/>
        </c:dLbls>
        <c:marker val="1"/>
        <c:smooth val="0"/>
        <c:axId val="228054144"/>
        <c:axId val="228055680"/>
      </c:lineChart>
      <c:lineChart>
        <c:grouping val="standard"/>
        <c:varyColors val="0"/>
        <c:ser>
          <c:idx val="1"/>
          <c:order val="1"/>
          <c:tx>
            <c:strRef>
              <c:f>ovocie!$S$3</c:f>
              <c:strCache>
                <c:ptCount val="1"/>
                <c:pt idx="0">
                  <c:v>hektárová výnosnosť v t/ha</c:v>
                </c:pt>
              </c:strCache>
            </c:strRef>
          </c:tx>
          <c:dPt>
            <c:idx val="6"/>
            <c:bubble3D val="0"/>
            <c:spPr>
              <a:ln>
                <a:prstDash val="sysDash"/>
              </a:ln>
            </c:spPr>
          </c:dPt>
          <c:dPt>
            <c:idx val="7"/>
            <c:bubble3D val="0"/>
            <c:spPr>
              <a:ln>
                <a:prstDash val="sysDot"/>
              </a:ln>
            </c:spPr>
          </c:dPt>
          <c:dPt>
            <c:idx val="8"/>
            <c:bubble3D val="0"/>
            <c:spPr>
              <a:ln>
                <a:prstDash val="sysDot"/>
              </a:ln>
            </c:spPr>
          </c:dPt>
          <c:dPt>
            <c:idx val="9"/>
            <c:bubble3D val="0"/>
            <c:spPr>
              <a:ln>
                <a:prstDash val="sysDot"/>
              </a:ln>
            </c:spPr>
          </c:dPt>
          <c:dPt>
            <c:idx val="10"/>
            <c:bubble3D val="0"/>
            <c:spPr>
              <a:ln>
                <a:prstDash val="sysDot"/>
              </a:ln>
            </c:spPr>
          </c:dPt>
          <c:dPt>
            <c:idx val="11"/>
            <c:bubble3D val="0"/>
            <c:spPr>
              <a:ln>
                <a:prstDash val="sysDot"/>
              </a:ln>
            </c:spPr>
          </c:dPt>
          <c:dPt>
            <c:idx val="12"/>
            <c:bubble3D val="0"/>
            <c:spPr>
              <a:ln>
                <a:prstDash val="sysDot"/>
              </a:ln>
            </c:spPr>
          </c:dPt>
          <c:dPt>
            <c:idx val="13"/>
            <c:bubble3D val="0"/>
            <c:spPr>
              <a:ln>
                <a:prstDash val="sysDot"/>
              </a:ln>
            </c:spPr>
          </c:dPt>
          <c:dPt>
            <c:idx val="14"/>
            <c:bubble3D val="0"/>
            <c:spPr>
              <a:ln>
                <a:prstDash val="sysDot"/>
              </a:ln>
            </c:spPr>
          </c:dPt>
          <c:dLbls>
            <c:dLbl>
              <c:idx val="0"/>
              <c:layout>
                <c:manualLayout>
                  <c:x val="-4.5440326903581504E-2"/>
                  <c:y val="3.2596116244269398E-2"/>
                </c:manualLayout>
              </c:layout>
              <c:showLegendKey val="0"/>
              <c:showVal val="1"/>
              <c:showCatName val="0"/>
              <c:showSerName val="0"/>
              <c:showPercent val="0"/>
              <c:showBubbleSize val="0"/>
            </c:dLbl>
            <c:dLbl>
              <c:idx val="1"/>
              <c:layout>
                <c:manualLayout>
                  <c:x val="-3.6603063505950655E-3"/>
                  <c:y val="-3.6652818443005518E-2"/>
                </c:manualLayout>
              </c:layout>
              <c:showLegendKey val="0"/>
              <c:showVal val="1"/>
              <c:showCatName val="0"/>
              <c:showSerName val="0"/>
              <c:showPercent val="0"/>
              <c:showBubbleSize val="0"/>
            </c:dLbl>
            <c:dLbl>
              <c:idx val="2"/>
              <c:layout>
                <c:manualLayout>
                  <c:x val="-2.1059693927147995E-2"/>
                  <c:y val="4.6340923160396494E-2"/>
                </c:manualLayout>
              </c:layout>
              <c:showLegendKey val="0"/>
              <c:showVal val="1"/>
              <c:showCatName val="0"/>
              <c:showSerName val="0"/>
              <c:showPercent val="0"/>
              <c:showBubbleSize val="0"/>
            </c:dLbl>
            <c:dLbl>
              <c:idx val="3"/>
              <c:layout>
                <c:manualLayout>
                  <c:x val="-3.6438327153550255E-2"/>
                  <c:y val="4.1533487544535362E-2"/>
                </c:manualLayout>
              </c:layout>
              <c:showLegendKey val="0"/>
              <c:showVal val="1"/>
              <c:showCatName val="0"/>
              <c:showSerName val="0"/>
              <c:showPercent val="0"/>
              <c:showBubbleSize val="0"/>
            </c:dLbl>
            <c:dLbl>
              <c:idx val="4"/>
              <c:layout>
                <c:manualLayout>
                  <c:x val="-3.7313564971045286E-2"/>
                  <c:y val="4.7317129131919856E-2"/>
                </c:manualLayout>
              </c:layout>
              <c:showLegendKey val="0"/>
              <c:showVal val="1"/>
              <c:showCatName val="0"/>
              <c:showSerName val="0"/>
              <c:showPercent val="0"/>
              <c:showBubbleSize val="0"/>
            </c:dLbl>
            <c:dLbl>
              <c:idx val="5"/>
              <c:layout>
                <c:manualLayout>
                  <c:x val="-3.073279034565124E-2"/>
                  <c:y val="-4.6340923160396494E-2"/>
                </c:manualLayout>
              </c:layout>
              <c:showLegendKey val="0"/>
              <c:showVal val="1"/>
              <c:showCatName val="0"/>
              <c:showSerName val="0"/>
              <c:showPercent val="0"/>
              <c:showBubbleSize val="0"/>
            </c:dLbl>
            <c:dLbl>
              <c:idx val="6"/>
              <c:layout>
                <c:manualLayout>
                  <c:x val="-3.6941042091960738E-2"/>
                  <c:y val="-4.2961360137029593E-2"/>
                </c:manualLayout>
              </c:layout>
              <c:showLegendKey val="0"/>
              <c:showVal val="1"/>
              <c:showCatName val="0"/>
              <c:showSerName val="0"/>
              <c:showPercent val="0"/>
              <c:showBubbleSize val="0"/>
            </c:dLbl>
            <c:dLbl>
              <c:idx val="7"/>
              <c:layout>
                <c:manualLayout>
                  <c:x val="-3.6941042091960738E-2"/>
                  <c:y val="-4.2961360137029593E-2"/>
                </c:manualLayout>
              </c:layout>
              <c:showLegendKey val="0"/>
              <c:showVal val="1"/>
              <c:showCatName val="0"/>
              <c:showSerName val="0"/>
              <c:showPercent val="0"/>
              <c:showBubbleSize val="0"/>
            </c:dLbl>
            <c:dLbl>
              <c:idx val="8"/>
              <c:layout>
                <c:manualLayout>
                  <c:x val="-4.3063540668527536E-2"/>
                  <c:y val="-5.3326243273702764E-2"/>
                </c:manualLayout>
              </c:layout>
              <c:showLegendKey val="0"/>
              <c:showVal val="1"/>
              <c:showCatName val="0"/>
              <c:showSerName val="0"/>
              <c:showPercent val="0"/>
              <c:showBubbleSize val="0"/>
            </c:dLbl>
            <c:dLbl>
              <c:idx val="9"/>
              <c:layout>
                <c:manualLayout>
                  <c:x val="-5.25567984557486E-2"/>
                  <c:y val="-4.8745001724414087E-2"/>
                </c:manualLayout>
              </c:layout>
              <c:showLegendKey val="0"/>
              <c:showVal val="1"/>
              <c:showCatName val="0"/>
              <c:showSerName val="0"/>
              <c:showPercent val="0"/>
              <c:showBubbleSize val="0"/>
            </c:dLbl>
            <c:dLbl>
              <c:idx val="10"/>
              <c:layout>
                <c:manualLayout>
                  <c:x val="-5.1681560638253465E-2"/>
                  <c:y val="-4.6566756470881925E-2"/>
                </c:manualLayout>
              </c:layout>
              <c:showLegendKey val="0"/>
              <c:showVal val="1"/>
              <c:showCatName val="0"/>
              <c:showSerName val="0"/>
              <c:showPercent val="0"/>
              <c:showBubbleSize val="0"/>
            </c:dLbl>
            <c:dLbl>
              <c:idx val="11"/>
              <c:layout>
                <c:manualLayout>
                  <c:x val="-3.9139031232206994E-2"/>
                  <c:y val="-4.4163038662951369E-2"/>
                </c:manualLayout>
              </c:layout>
              <c:showLegendKey val="0"/>
              <c:showVal val="1"/>
              <c:showCatName val="0"/>
              <c:showSerName val="0"/>
              <c:showPercent val="0"/>
              <c:showBubbleSize val="0"/>
            </c:dLbl>
            <c:dLbl>
              <c:idx val="12"/>
              <c:layout>
                <c:manualLayout>
                  <c:x val="-3.9139031232207085E-2"/>
                  <c:y val="-4.4163038662951369E-2"/>
                </c:manualLayout>
              </c:layout>
              <c:showLegendKey val="0"/>
              <c:showVal val="1"/>
              <c:showCatName val="0"/>
              <c:showSerName val="0"/>
              <c:showPercent val="0"/>
              <c:showBubbleSize val="0"/>
            </c:dLbl>
            <c:dLbl>
              <c:idx val="13"/>
              <c:layout>
                <c:manualLayout>
                  <c:x val="-3.9396811509672405E-2"/>
                  <c:y val="-5.2124564747780981E-2"/>
                </c:manualLayout>
              </c:layout>
              <c:showLegendKey val="0"/>
              <c:showVal val="1"/>
              <c:showCatName val="0"/>
              <c:showSerName val="0"/>
              <c:showPercent val="0"/>
              <c:showBubbleSize val="0"/>
            </c:dLbl>
            <c:dLbl>
              <c:idx val="14"/>
              <c:layout>
                <c:manualLayout>
                  <c:x val="-4.1859003735644155E-2"/>
                  <c:y val="-5.33262432737027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ovocie!$T$1:$AH$1</c:f>
              <c:numCache>
                <c:formatCode>General</c:formatCode>
                <c:ptCount val="15"/>
                <c:pt idx="0">
                  <c:v>2002</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ovocie!$T$3:$AH$3</c:f>
              <c:numCache>
                <c:formatCode>#,##0.00</c:formatCode>
                <c:ptCount val="15"/>
                <c:pt idx="0">
                  <c:v>4.7586872586872566</c:v>
                </c:pt>
                <c:pt idx="1">
                  <c:v>3.7125270337714191</c:v>
                </c:pt>
                <c:pt idx="2">
                  <c:v>7.8775444264943459</c:v>
                </c:pt>
                <c:pt idx="3">
                  <c:v>8.1767408978437626</c:v>
                </c:pt>
                <c:pt idx="4">
                  <c:v>7.4579422050432544</c:v>
                </c:pt>
                <c:pt idx="5">
                  <c:v>8.1451117930732124</c:v>
                </c:pt>
                <c:pt idx="6">
                  <c:v>8.8601490574309523</c:v>
                </c:pt>
                <c:pt idx="7">
                  <c:v>8.91</c:v>
                </c:pt>
                <c:pt idx="8">
                  <c:v>9.3555000000000046</c:v>
                </c:pt>
                <c:pt idx="9">
                  <c:v>10.197495000000002</c:v>
                </c:pt>
                <c:pt idx="10">
                  <c:v>10.911319650000003</c:v>
                </c:pt>
                <c:pt idx="11">
                  <c:v>11.347772436000003</c:v>
                </c:pt>
                <c:pt idx="12">
                  <c:v>11.574727884720003</c:v>
                </c:pt>
                <c:pt idx="13">
                  <c:v>11.921969721261602</c:v>
                </c:pt>
                <c:pt idx="14">
                  <c:v>12.27</c:v>
                </c:pt>
              </c:numCache>
            </c:numRef>
          </c:val>
          <c:smooth val="0"/>
        </c:ser>
        <c:dLbls>
          <c:showLegendKey val="0"/>
          <c:showVal val="0"/>
          <c:showCatName val="0"/>
          <c:showSerName val="0"/>
          <c:showPercent val="0"/>
          <c:showBubbleSize val="0"/>
        </c:dLbls>
        <c:marker val="1"/>
        <c:smooth val="0"/>
        <c:axId val="227948416"/>
        <c:axId val="227946880"/>
      </c:lineChart>
      <c:catAx>
        <c:axId val="228054144"/>
        <c:scaling>
          <c:orientation val="minMax"/>
        </c:scaling>
        <c:delete val="0"/>
        <c:axPos val="b"/>
        <c:numFmt formatCode="General" sourceLinked="1"/>
        <c:majorTickMark val="out"/>
        <c:minorTickMark val="none"/>
        <c:tickLblPos val="nextTo"/>
        <c:crossAx val="228055680"/>
        <c:crosses val="autoZero"/>
        <c:auto val="1"/>
        <c:lblAlgn val="ctr"/>
        <c:lblOffset val="100"/>
        <c:noMultiLvlLbl val="0"/>
      </c:catAx>
      <c:valAx>
        <c:axId val="228055680"/>
        <c:scaling>
          <c:orientation val="minMax"/>
          <c:min val="20000"/>
        </c:scaling>
        <c:delete val="0"/>
        <c:axPos val="l"/>
        <c:numFmt formatCode="#,##0" sourceLinked="1"/>
        <c:majorTickMark val="out"/>
        <c:minorTickMark val="none"/>
        <c:tickLblPos val="nextTo"/>
        <c:crossAx val="228054144"/>
        <c:crosses val="autoZero"/>
        <c:crossBetween val="between"/>
      </c:valAx>
      <c:valAx>
        <c:axId val="227946880"/>
        <c:scaling>
          <c:orientation val="minMax"/>
          <c:min val="3"/>
        </c:scaling>
        <c:delete val="0"/>
        <c:axPos val="r"/>
        <c:numFmt formatCode="#,##0.00" sourceLinked="1"/>
        <c:majorTickMark val="out"/>
        <c:minorTickMark val="none"/>
        <c:tickLblPos val="nextTo"/>
        <c:crossAx val="227948416"/>
        <c:crosses val="max"/>
        <c:crossBetween val="between"/>
      </c:valAx>
      <c:catAx>
        <c:axId val="227948416"/>
        <c:scaling>
          <c:orientation val="minMax"/>
        </c:scaling>
        <c:delete val="1"/>
        <c:axPos val="b"/>
        <c:numFmt formatCode="General" sourceLinked="1"/>
        <c:majorTickMark val="out"/>
        <c:minorTickMark val="none"/>
        <c:tickLblPos val="nextTo"/>
        <c:crossAx val="227946880"/>
        <c:crosses val="autoZero"/>
        <c:auto val="1"/>
        <c:lblAlgn val="ctr"/>
        <c:lblOffset val="100"/>
        <c:noMultiLvlLbl val="0"/>
      </c:catAx>
    </c:plotArea>
    <c:legend>
      <c:legendPos val="b"/>
      <c:layout>
        <c:manualLayout>
          <c:xMode val="edge"/>
          <c:yMode val="edge"/>
          <c:x val="0.17259266202835757"/>
          <c:y val="0.92227690482821501"/>
          <c:w val="0.65481467594328502"/>
          <c:h val="7.7723095171784828E-2"/>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stacked"/>
        <c:varyColors val="0"/>
        <c:ser>
          <c:idx val="0"/>
          <c:order val="0"/>
          <c:tx>
            <c:strRef>
              <c:f>zaver!$A$13</c:f>
              <c:strCache>
                <c:ptCount val="1"/>
                <c:pt idx="0">
                  <c:v>poľnohospodárska prvovýroba</c:v>
                </c:pt>
              </c:strCache>
            </c:strRef>
          </c:tx>
          <c:invertIfNegative val="0"/>
          <c:cat>
            <c:numRef>
              <c:f>zaver!$B$12:$I$12</c:f>
              <c:numCache>
                <c:formatCode>General</c:formatCode>
                <c:ptCount val="8"/>
                <c:pt idx="0">
                  <c:v>2013</c:v>
                </c:pt>
                <c:pt idx="1">
                  <c:v>2014</c:v>
                </c:pt>
                <c:pt idx="2">
                  <c:v>2015</c:v>
                </c:pt>
                <c:pt idx="3">
                  <c:v>2016</c:v>
                </c:pt>
                <c:pt idx="4">
                  <c:v>2017</c:v>
                </c:pt>
                <c:pt idx="5">
                  <c:v>2018</c:v>
                </c:pt>
                <c:pt idx="6">
                  <c:v>2019</c:v>
                </c:pt>
                <c:pt idx="7">
                  <c:v>2020</c:v>
                </c:pt>
              </c:numCache>
            </c:numRef>
          </c:cat>
          <c:val>
            <c:numRef>
              <c:f>zaver!$B$13:$I$13</c:f>
              <c:numCache>
                <c:formatCode>#,##0</c:formatCode>
                <c:ptCount val="8"/>
                <c:pt idx="0">
                  <c:v>23.452245333333344</c:v>
                </c:pt>
                <c:pt idx="1">
                  <c:v>874.02978117727412</c:v>
                </c:pt>
                <c:pt idx="2">
                  <c:v>3306.9709338177154</c:v>
                </c:pt>
                <c:pt idx="3">
                  <c:v>2536.7933827823317</c:v>
                </c:pt>
                <c:pt idx="4">
                  <c:v>2104.6970729889858</c:v>
                </c:pt>
                <c:pt idx="5">
                  <c:v>531.07942716195589</c:v>
                </c:pt>
                <c:pt idx="6">
                  <c:v>689.94052190050331</c:v>
                </c:pt>
                <c:pt idx="7">
                  <c:v>2111.7521890560856</c:v>
                </c:pt>
              </c:numCache>
            </c:numRef>
          </c:val>
        </c:ser>
        <c:ser>
          <c:idx val="1"/>
          <c:order val="1"/>
          <c:tx>
            <c:strRef>
              <c:f>zaver!$A$14</c:f>
              <c:strCache>
                <c:ptCount val="1"/>
                <c:pt idx="0">
                  <c:v>spracovateľský priemysel</c:v>
                </c:pt>
              </c:strCache>
            </c:strRef>
          </c:tx>
          <c:invertIfNegative val="0"/>
          <c:cat>
            <c:numRef>
              <c:f>zaver!$B$12:$I$12</c:f>
              <c:numCache>
                <c:formatCode>General</c:formatCode>
                <c:ptCount val="8"/>
                <c:pt idx="0">
                  <c:v>2013</c:v>
                </c:pt>
                <c:pt idx="1">
                  <c:v>2014</c:v>
                </c:pt>
                <c:pt idx="2">
                  <c:v>2015</c:v>
                </c:pt>
                <c:pt idx="3">
                  <c:v>2016</c:v>
                </c:pt>
                <c:pt idx="4">
                  <c:v>2017</c:v>
                </c:pt>
                <c:pt idx="5">
                  <c:v>2018</c:v>
                </c:pt>
                <c:pt idx="6">
                  <c:v>2019</c:v>
                </c:pt>
                <c:pt idx="7">
                  <c:v>2020</c:v>
                </c:pt>
              </c:numCache>
            </c:numRef>
          </c:cat>
          <c:val>
            <c:numRef>
              <c:f>zaver!$B$14:$I$14</c:f>
              <c:numCache>
                <c:formatCode>#,##0</c:formatCode>
                <c:ptCount val="8"/>
                <c:pt idx="0">
                  <c:v>0</c:v>
                </c:pt>
                <c:pt idx="1">
                  <c:v>97.921949999999981</c:v>
                </c:pt>
                <c:pt idx="2">
                  <c:v>398.40649999999994</c:v>
                </c:pt>
                <c:pt idx="3">
                  <c:v>616.85040000000004</c:v>
                </c:pt>
                <c:pt idx="4">
                  <c:v>652.81299999999987</c:v>
                </c:pt>
                <c:pt idx="5">
                  <c:v>456.96909999999991</c:v>
                </c:pt>
                <c:pt idx="6">
                  <c:v>311</c:v>
                </c:pt>
                <c:pt idx="7">
                  <c:v>261.12520000000001</c:v>
                </c:pt>
              </c:numCache>
            </c:numRef>
          </c:val>
        </c:ser>
        <c:ser>
          <c:idx val="2"/>
          <c:order val="2"/>
          <c:tx>
            <c:strRef>
              <c:f>zaver!$A$15</c:f>
              <c:strCache>
                <c:ptCount val="1"/>
                <c:pt idx="0">
                  <c:v>lesné hospodárstvo</c:v>
                </c:pt>
              </c:strCache>
            </c:strRef>
          </c:tx>
          <c:invertIfNegative val="0"/>
          <c:cat>
            <c:numRef>
              <c:f>zaver!$B$12:$I$12</c:f>
              <c:numCache>
                <c:formatCode>General</c:formatCode>
                <c:ptCount val="8"/>
                <c:pt idx="0">
                  <c:v>2013</c:v>
                </c:pt>
                <c:pt idx="1">
                  <c:v>2014</c:v>
                </c:pt>
                <c:pt idx="2">
                  <c:v>2015</c:v>
                </c:pt>
                <c:pt idx="3">
                  <c:v>2016</c:v>
                </c:pt>
                <c:pt idx="4">
                  <c:v>2017</c:v>
                </c:pt>
                <c:pt idx="5">
                  <c:v>2018</c:v>
                </c:pt>
                <c:pt idx="6">
                  <c:v>2019</c:v>
                </c:pt>
                <c:pt idx="7">
                  <c:v>2020</c:v>
                </c:pt>
              </c:numCache>
            </c:numRef>
          </c:cat>
          <c:val>
            <c:numRef>
              <c:f>zaver!$B$15:$I$15</c:f>
              <c:numCache>
                <c:formatCode>General</c:formatCode>
                <c:ptCount val="8"/>
                <c:pt idx="0">
                  <c:v>0</c:v>
                </c:pt>
                <c:pt idx="1">
                  <c:v>3685</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overlap val="100"/>
        <c:axId val="218437504"/>
        <c:axId val="218439040"/>
      </c:barChart>
      <c:lineChart>
        <c:grouping val="standard"/>
        <c:varyColors val="0"/>
        <c:ser>
          <c:idx val="3"/>
          <c:order val="3"/>
          <c:dLbls>
            <c:dLbl>
              <c:idx val="0"/>
              <c:layout>
                <c:manualLayout>
                  <c:x val="-5.1818634778276036E-2"/>
                  <c:y val="-8.3333333333333412E-2"/>
                </c:manualLayout>
              </c:layout>
              <c:showLegendKey val="0"/>
              <c:showVal val="1"/>
              <c:showCatName val="0"/>
              <c:showSerName val="0"/>
              <c:showPercent val="0"/>
              <c:showBubbleSize val="0"/>
            </c:dLbl>
            <c:dLbl>
              <c:idx val="1"/>
              <c:layout>
                <c:manualLayout>
                  <c:x val="-3.5874439461883373E-2"/>
                  <c:y val="-5.0925925925925923E-2"/>
                </c:manualLayout>
              </c:layout>
              <c:showLegendKey val="0"/>
              <c:showVal val="1"/>
              <c:showCatName val="0"/>
              <c:showSerName val="0"/>
              <c:showPercent val="0"/>
              <c:showBubbleSize val="0"/>
            </c:dLbl>
            <c:dLbl>
              <c:idx val="2"/>
              <c:layout>
                <c:manualLayout>
                  <c:x val="-1.7937219730941704E-2"/>
                  <c:y val="-5.5555555555555532E-2"/>
                </c:manualLayout>
              </c:layout>
              <c:showLegendKey val="0"/>
              <c:showVal val="1"/>
              <c:showCatName val="0"/>
              <c:showSerName val="0"/>
              <c:showPercent val="0"/>
              <c:showBubbleSize val="0"/>
            </c:dLbl>
            <c:dLbl>
              <c:idx val="3"/>
              <c:layout>
                <c:manualLayout>
                  <c:x val="-2.5909317389138018E-2"/>
                  <c:y val="-6.0185185185185182E-2"/>
                </c:manualLayout>
              </c:layout>
              <c:showLegendKey val="0"/>
              <c:showVal val="1"/>
              <c:showCatName val="0"/>
              <c:showSerName val="0"/>
              <c:showPercent val="0"/>
              <c:showBubbleSize val="0"/>
            </c:dLbl>
            <c:dLbl>
              <c:idx val="4"/>
              <c:layout>
                <c:manualLayout>
                  <c:x val="-2.1923268560039788E-2"/>
                  <c:y val="-6.4814814814814811E-2"/>
                </c:manualLayout>
              </c:layout>
              <c:showLegendKey val="0"/>
              <c:showVal val="1"/>
              <c:showCatName val="0"/>
              <c:showSerName val="0"/>
              <c:showPercent val="0"/>
              <c:showBubbleSize val="0"/>
            </c:dLbl>
            <c:dLbl>
              <c:idx val="5"/>
              <c:layout>
                <c:manualLayout>
                  <c:x val="-1.7937219730941704E-2"/>
                  <c:y val="-5.5555555555555643E-2"/>
                </c:manualLayout>
              </c:layout>
              <c:showLegendKey val="0"/>
              <c:showVal val="1"/>
              <c:showCatName val="0"/>
              <c:showSerName val="0"/>
              <c:showPercent val="0"/>
              <c:showBubbleSize val="0"/>
            </c:dLbl>
            <c:dLbl>
              <c:idx val="6"/>
              <c:layout>
                <c:manualLayout>
                  <c:x val="-6.1783756851021422E-2"/>
                  <c:y val="-5.5555555555555552E-2"/>
                </c:manualLayout>
              </c:layout>
              <c:showLegendKey val="0"/>
              <c:showVal val="1"/>
              <c:showCatName val="0"/>
              <c:showSerName val="0"/>
              <c:showPercent val="0"/>
              <c:showBubbleSize val="0"/>
            </c:dLbl>
            <c:dLbl>
              <c:idx val="7"/>
              <c:layout>
                <c:manualLayout>
                  <c:x val="-4.9825610363726958E-2"/>
                  <c:y val="-5.55555555555555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zaver!$B$12:$I$12</c:f>
              <c:numCache>
                <c:formatCode>General</c:formatCode>
                <c:ptCount val="8"/>
                <c:pt idx="0">
                  <c:v>2013</c:v>
                </c:pt>
                <c:pt idx="1">
                  <c:v>2014</c:v>
                </c:pt>
                <c:pt idx="2">
                  <c:v>2015</c:v>
                </c:pt>
                <c:pt idx="3">
                  <c:v>2016</c:v>
                </c:pt>
                <c:pt idx="4">
                  <c:v>2017</c:v>
                </c:pt>
                <c:pt idx="5">
                  <c:v>2018</c:v>
                </c:pt>
                <c:pt idx="6">
                  <c:v>2019</c:v>
                </c:pt>
                <c:pt idx="7">
                  <c:v>2020</c:v>
                </c:pt>
              </c:numCache>
            </c:numRef>
          </c:cat>
          <c:val>
            <c:numRef>
              <c:f>zaver!$B$16:$I$16</c:f>
              <c:numCache>
                <c:formatCode>#,##0</c:formatCode>
                <c:ptCount val="8"/>
                <c:pt idx="0">
                  <c:v>23.452245333333344</c:v>
                </c:pt>
                <c:pt idx="1">
                  <c:v>4656.9517311772743</c:v>
                </c:pt>
                <c:pt idx="2">
                  <c:v>3705.3774338177154</c:v>
                </c:pt>
                <c:pt idx="3">
                  <c:v>3153.643782782332</c:v>
                </c:pt>
                <c:pt idx="4">
                  <c:v>2757.5100729889855</c:v>
                </c:pt>
                <c:pt idx="5">
                  <c:v>988.0485271619558</c:v>
                </c:pt>
                <c:pt idx="6">
                  <c:v>1000.9405219005033</c:v>
                </c:pt>
                <c:pt idx="7">
                  <c:v>2372.8773890560856</c:v>
                </c:pt>
              </c:numCache>
            </c:numRef>
          </c:val>
          <c:smooth val="0"/>
        </c:ser>
        <c:dLbls>
          <c:showLegendKey val="0"/>
          <c:showVal val="0"/>
          <c:showCatName val="0"/>
          <c:showSerName val="0"/>
          <c:showPercent val="0"/>
          <c:showBubbleSize val="0"/>
        </c:dLbls>
        <c:marker val="1"/>
        <c:smooth val="0"/>
        <c:axId val="218437504"/>
        <c:axId val="218439040"/>
      </c:lineChart>
      <c:catAx>
        <c:axId val="218437504"/>
        <c:scaling>
          <c:orientation val="minMax"/>
        </c:scaling>
        <c:delete val="0"/>
        <c:axPos val="b"/>
        <c:numFmt formatCode="General" sourceLinked="1"/>
        <c:majorTickMark val="out"/>
        <c:minorTickMark val="none"/>
        <c:tickLblPos val="nextTo"/>
        <c:crossAx val="218439040"/>
        <c:crosses val="autoZero"/>
        <c:auto val="1"/>
        <c:lblAlgn val="ctr"/>
        <c:lblOffset val="100"/>
        <c:noMultiLvlLbl val="0"/>
      </c:catAx>
      <c:valAx>
        <c:axId val="218439040"/>
        <c:scaling>
          <c:orientation val="minMax"/>
        </c:scaling>
        <c:delete val="0"/>
        <c:axPos val="l"/>
        <c:numFmt formatCode="#,##0" sourceLinked="1"/>
        <c:majorTickMark val="out"/>
        <c:minorTickMark val="none"/>
        <c:tickLblPos val="nextTo"/>
        <c:crossAx val="218437504"/>
        <c:crosses val="autoZero"/>
        <c:crossBetween val="between"/>
      </c:valAx>
    </c:plotArea>
    <c:legend>
      <c:legendPos val="b"/>
      <c:legendEntry>
        <c:idx val="3"/>
        <c:delete val="1"/>
      </c:legendEntry>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'[120906_vypocet sebestacnosti v zakladnych artikloch.xlsx]hovadzie a telacie'!$J$1</c:f>
              <c:strCache>
                <c:ptCount val="1"/>
                <c:pt idx="0">
                  <c:v>Zabitia jatočného hovädzieho dobytka na bitúnkoch celkom (v jatočnej hmotnosti v tonách)</c:v>
                </c:pt>
              </c:strCache>
            </c:strRef>
          </c:tx>
          <c:dLbls>
            <c:dLbl>
              <c:idx val="0"/>
              <c:layout>
                <c:manualLayout>
                  <c:x val="-6.6666666666666638E-2"/>
                  <c:y val="5.5555555555555483E-2"/>
                </c:manualLayout>
              </c:layout>
              <c:showLegendKey val="0"/>
              <c:showVal val="1"/>
              <c:showCatName val="0"/>
              <c:showSerName val="0"/>
              <c:showPercent val="0"/>
              <c:showBubbleSize val="0"/>
            </c:dLbl>
            <c:dLbl>
              <c:idx val="1"/>
              <c:layout>
                <c:manualLayout>
                  <c:x val="-3.3333552055993053E-2"/>
                  <c:y val="-4.6296296296296363E-2"/>
                </c:manualLayout>
              </c:layout>
              <c:showLegendKey val="0"/>
              <c:showVal val="1"/>
              <c:showCatName val="0"/>
              <c:showSerName val="0"/>
              <c:showPercent val="0"/>
              <c:showBubbleSize val="0"/>
            </c:dLbl>
            <c:dLbl>
              <c:idx val="2"/>
              <c:layout>
                <c:manualLayout>
                  <c:x val="-2.7777777777777861E-3"/>
                  <c:y val="-4.16666666666666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'[120906_vypocet sebestacnosti v zakladnych artikloch.xlsx]hovadzie a telacie'!$J$6:$M$6</c:f>
              <c:numCache>
                <c:formatCode>General</c:formatCode>
                <c:ptCount val="4"/>
                <c:pt idx="0">
                  <c:v>2008</c:v>
                </c:pt>
                <c:pt idx="1">
                  <c:v>2009</c:v>
                </c:pt>
                <c:pt idx="2">
                  <c:v>2010</c:v>
                </c:pt>
                <c:pt idx="3">
                  <c:v>2011</c:v>
                </c:pt>
              </c:numCache>
            </c:numRef>
          </c:cat>
          <c:val>
            <c:numRef>
              <c:f>'[120906_vypocet sebestacnosti v zakladnych artikloch.xlsx]hovadzie a telacie'!$J$3:$M$3</c:f>
              <c:numCache>
                <c:formatCode>#,##0</c:formatCode>
                <c:ptCount val="4"/>
                <c:pt idx="0">
                  <c:v>18237</c:v>
                </c:pt>
                <c:pt idx="1">
                  <c:v>15788</c:v>
                </c:pt>
                <c:pt idx="2">
                  <c:v>13605</c:v>
                </c:pt>
                <c:pt idx="3">
                  <c:v>11282</c:v>
                </c:pt>
              </c:numCache>
            </c:numRef>
          </c:val>
          <c:smooth val="0"/>
        </c:ser>
        <c:ser>
          <c:idx val="1"/>
          <c:order val="1"/>
          <c:tx>
            <c:strRef>
              <c:f>'[120906_vypocet sebestacnosti v zakladnych artikloch.xlsx]hovadzie a telacie'!$J$5</c:f>
              <c:strCache>
                <c:ptCount val="1"/>
                <c:pt idx="0">
                  <c:v>Hrubá domáca produkcia celkom (v jatočnej hmotnosti v tonách)</c:v>
                </c:pt>
              </c:strCache>
            </c:strRef>
          </c:tx>
          <c:dLbls>
            <c:dLbl>
              <c:idx val="0"/>
              <c:layout>
                <c:manualLayout>
                  <c:x val="-6.9444444444444434E-2"/>
                  <c:y val="6.0185185185185147E-2"/>
                </c:manualLayout>
              </c:layout>
              <c:showLegendKey val="0"/>
              <c:showVal val="1"/>
              <c:showCatName val="0"/>
              <c:showSerName val="0"/>
              <c:showPercent val="0"/>
              <c:showBubbleSize val="0"/>
            </c:dLbl>
            <c:dLbl>
              <c:idx val="1"/>
              <c:layout>
                <c:manualLayout>
                  <c:x val="-6.9444663167104168E-2"/>
                  <c:y val="6.0185185185185147E-2"/>
                </c:manualLayout>
              </c:layout>
              <c:showLegendKey val="0"/>
              <c:showVal val="1"/>
              <c:showCatName val="0"/>
              <c:showSerName val="0"/>
              <c:showPercent val="0"/>
              <c:showBubbleSize val="0"/>
            </c:dLbl>
            <c:dLbl>
              <c:idx val="2"/>
              <c:layout>
                <c:manualLayout>
                  <c:x val="-6.666666666666668E-2"/>
                  <c:y val="6.944444444444450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'[120906_vypocet sebestacnosti v zakladnych artikloch.xlsx]hovadzie a telacie'!$J$6:$M$6</c:f>
              <c:numCache>
                <c:formatCode>General</c:formatCode>
                <c:ptCount val="4"/>
                <c:pt idx="0">
                  <c:v>2008</c:v>
                </c:pt>
                <c:pt idx="1">
                  <c:v>2009</c:v>
                </c:pt>
                <c:pt idx="2">
                  <c:v>2010</c:v>
                </c:pt>
                <c:pt idx="3">
                  <c:v>2011</c:v>
                </c:pt>
              </c:numCache>
            </c:numRef>
          </c:cat>
          <c:val>
            <c:numRef>
              <c:f>'[120906_vypocet sebestacnosti v zakladnych artikloch.xlsx]hovadzie a telacie'!$J$7:$M$7</c:f>
              <c:numCache>
                <c:formatCode>#,##0</c:formatCode>
                <c:ptCount val="4"/>
                <c:pt idx="0">
                  <c:v>28571</c:v>
                </c:pt>
                <c:pt idx="1">
                  <c:v>27999</c:v>
                </c:pt>
                <c:pt idx="2">
                  <c:v>26319</c:v>
                </c:pt>
                <c:pt idx="3">
                  <c:v>22246</c:v>
                </c:pt>
              </c:numCache>
            </c:numRef>
          </c:val>
          <c:smooth val="0"/>
        </c:ser>
        <c:dLbls>
          <c:showLegendKey val="0"/>
          <c:showVal val="0"/>
          <c:showCatName val="0"/>
          <c:showSerName val="0"/>
          <c:showPercent val="0"/>
          <c:showBubbleSize val="0"/>
        </c:dLbls>
        <c:marker val="1"/>
        <c:smooth val="0"/>
        <c:axId val="114378624"/>
        <c:axId val="114380160"/>
      </c:lineChart>
      <c:catAx>
        <c:axId val="114378624"/>
        <c:scaling>
          <c:orientation val="minMax"/>
        </c:scaling>
        <c:delete val="0"/>
        <c:axPos val="b"/>
        <c:numFmt formatCode="General" sourceLinked="1"/>
        <c:majorTickMark val="out"/>
        <c:minorTickMark val="none"/>
        <c:tickLblPos val="nextTo"/>
        <c:crossAx val="114380160"/>
        <c:crosses val="autoZero"/>
        <c:auto val="1"/>
        <c:lblAlgn val="ctr"/>
        <c:lblOffset val="100"/>
        <c:noMultiLvlLbl val="0"/>
      </c:catAx>
      <c:valAx>
        <c:axId val="114380160"/>
        <c:scaling>
          <c:orientation val="minMax"/>
          <c:min val="10000"/>
        </c:scaling>
        <c:delete val="0"/>
        <c:axPos val="l"/>
        <c:numFmt formatCode="#,##0" sourceLinked="1"/>
        <c:majorTickMark val="out"/>
        <c:minorTickMark val="none"/>
        <c:tickLblPos val="nextTo"/>
        <c:crossAx val="114378624"/>
        <c:crosses val="autoZero"/>
        <c:crossBetween val="between"/>
      </c:valAx>
    </c:plotArea>
    <c:legend>
      <c:legendPos val="b"/>
      <c:overlay val="0"/>
    </c:legend>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64096675415573E-2"/>
          <c:y val="3.2407407407407454E-2"/>
          <c:w val="0.89303477690288713"/>
          <c:h val="0.8587266695829685"/>
        </c:manualLayout>
      </c:layout>
      <c:lineChart>
        <c:grouping val="standard"/>
        <c:varyColors val="0"/>
        <c:ser>
          <c:idx val="0"/>
          <c:order val="0"/>
          <c:dLbls>
            <c:dLbl>
              <c:idx val="0"/>
              <c:layout>
                <c:manualLayout>
                  <c:x val="-7.5000000000000011E-2"/>
                  <c:y val="5.4669690798177503E-2"/>
                </c:manualLayout>
              </c:layout>
              <c:showLegendKey val="0"/>
              <c:showVal val="1"/>
              <c:showCatName val="0"/>
              <c:showSerName val="0"/>
              <c:showPercent val="0"/>
              <c:showBubbleSize val="0"/>
            </c:dLbl>
            <c:dLbl>
              <c:idx val="1"/>
              <c:layout>
                <c:manualLayout>
                  <c:x val="-5.2777777777777826E-2"/>
                  <c:y val="7.8967331152923176E-2"/>
                </c:manualLayout>
              </c:layout>
              <c:showLegendKey val="0"/>
              <c:showVal val="1"/>
              <c:showCatName val="0"/>
              <c:showSerName val="0"/>
              <c:showPercent val="0"/>
              <c:showBubbleSize val="0"/>
            </c:dLbl>
            <c:dLbl>
              <c:idx val="2"/>
              <c:layout>
                <c:manualLayout>
                  <c:x val="-6.9444444444444503E-2"/>
                  <c:y val="5.4669690798177482E-2"/>
                </c:manualLayout>
              </c:layout>
              <c:showLegendKey val="0"/>
              <c:showVal val="1"/>
              <c:showCatName val="0"/>
              <c:showSerName val="0"/>
              <c:showPercent val="0"/>
              <c:showBubbleSize val="0"/>
            </c:dLbl>
            <c:dLbl>
              <c:idx val="3"/>
              <c:layout>
                <c:manualLayout>
                  <c:x val="-7.7777777777777779E-2"/>
                  <c:y val="7.8967331152923176E-2"/>
                </c:manualLayout>
              </c:layout>
              <c:showLegendKey val="0"/>
              <c:showVal val="1"/>
              <c:showCatName val="0"/>
              <c:showSerName val="0"/>
              <c:showPercent val="0"/>
              <c:showBubbleSize val="0"/>
            </c:dLbl>
            <c:dLbl>
              <c:idx val="4"/>
              <c:layout>
                <c:manualLayout>
                  <c:x val="-8.0555555555555727E-2"/>
                  <c:y val="1.822323026605918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'hovadzie a telacie'!$J$10:$N$10</c:f>
              <c:numCache>
                <c:formatCode>General</c:formatCode>
                <c:ptCount val="5"/>
                <c:pt idx="0">
                  <c:v>2002</c:v>
                </c:pt>
                <c:pt idx="1">
                  <c:v>2008</c:v>
                </c:pt>
                <c:pt idx="2">
                  <c:v>2009</c:v>
                </c:pt>
                <c:pt idx="3">
                  <c:v>2010</c:v>
                </c:pt>
                <c:pt idx="4">
                  <c:v>2011</c:v>
                </c:pt>
              </c:numCache>
            </c:numRef>
          </c:cat>
          <c:val>
            <c:numRef>
              <c:f>'hovadzie a telacie'!$J$11:$N$11</c:f>
              <c:numCache>
                <c:formatCode>General</c:formatCode>
                <c:ptCount val="5"/>
                <c:pt idx="0">
                  <c:v>6.8</c:v>
                </c:pt>
                <c:pt idx="1">
                  <c:v>4.95</c:v>
                </c:pt>
                <c:pt idx="2">
                  <c:v>4.4000000000000004</c:v>
                </c:pt>
                <c:pt idx="3">
                  <c:v>4.34</c:v>
                </c:pt>
                <c:pt idx="4">
                  <c:v>3.58</c:v>
                </c:pt>
              </c:numCache>
            </c:numRef>
          </c:val>
          <c:smooth val="0"/>
        </c:ser>
        <c:dLbls>
          <c:showLegendKey val="0"/>
          <c:showVal val="0"/>
          <c:showCatName val="0"/>
          <c:showSerName val="0"/>
          <c:showPercent val="0"/>
          <c:showBubbleSize val="0"/>
        </c:dLbls>
        <c:marker val="1"/>
        <c:smooth val="0"/>
        <c:axId val="114400640"/>
        <c:axId val="114418816"/>
      </c:lineChart>
      <c:catAx>
        <c:axId val="114400640"/>
        <c:scaling>
          <c:orientation val="minMax"/>
        </c:scaling>
        <c:delete val="0"/>
        <c:axPos val="b"/>
        <c:numFmt formatCode="General" sourceLinked="1"/>
        <c:majorTickMark val="out"/>
        <c:minorTickMark val="none"/>
        <c:tickLblPos val="nextTo"/>
        <c:crossAx val="114418816"/>
        <c:crosses val="autoZero"/>
        <c:auto val="1"/>
        <c:lblAlgn val="ctr"/>
        <c:lblOffset val="100"/>
        <c:noMultiLvlLbl val="0"/>
      </c:catAx>
      <c:valAx>
        <c:axId val="114418816"/>
        <c:scaling>
          <c:orientation val="minMax"/>
          <c:min val="3"/>
        </c:scaling>
        <c:delete val="0"/>
        <c:axPos val="l"/>
        <c:numFmt formatCode="General" sourceLinked="1"/>
        <c:majorTickMark val="out"/>
        <c:minorTickMark val="none"/>
        <c:tickLblPos val="nextTo"/>
        <c:crossAx val="114400640"/>
        <c:crosses val="autoZero"/>
        <c:crossBetween val="between"/>
      </c:valAx>
    </c:plotArea>
    <c:plotVisOnly val="1"/>
    <c:dispBlanksAs val="gap"/>
    <c:showDLblsOverMax val="0"/>
  </c:chart>
  <c:spPr>
    <a:noFill/>
    <a:ln>
      <a:noFill/>
    </a:ln>
  </c:spPr>
  <c:txPr>
    <a:bodyPr/>
    <a:lstStyle/>
    <a:p>
      <a:pPr>
        <a:defRPr baseline="0">
          <a:latin typeface="Times New Roman" pitchFamily="18" charset="0"/>
        </a:defRPr>
      </a:pPr>
      <a:endParaRPr lang="sk-SK"/>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0.14605</cdr:x>
      <cdr:y>0.17846</cdr:y>
    </cdr:from>
    <cdr:to>
      <cdr:x>0.88513</cdr:x>
      <cdr:y>0.18609</cdr:y>
    </cdr:to>
    <cdr:cxnSp macro="">
      <cdr:nvCxnSpPr>
        <cdr:cNvPr id="2" name="Rovná spojnica 1"/>
        <cdr:cNvCxnSpPr/>
      </cdr:nvCxnSpPr>
      <cdr:spPr>
        <a:xfrm xmlns:a="http://schemas.openxmlformats.org/drawingml/2006/main">
          <a:off x="841185" y="357075"/>
          <a:ext cx="4256651" cy="15275"/>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0.59106</cdr:x>
      <cdr:y>0.18054</cdr:y>
    </cdr:from>
    <cdr:to>
      <cdr:x>0.89735</cdr:x>
      <cdr:y>0.33062</cdr:y>
    </cdr:to>
    <cdr:sp macro="" textlink="">
      <cdr:nvSpPr>
        <cdr:cNvPr id="2" name="BlokTextu 1"/>
        <cdr:cNvSpPr txBox="1"/>
      </cdr:nvSpPr>
      <cdr:spPr>
        <a:xfrm xmlns:a="http://schemas.openxmlformats.org/drawingml/2006/main">
          <a:off x="3400427" y="323635"/>
          <a:ext cx="1762117" cy="2690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rok 2002 - 20,1 kg /obyvateľ</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0.00755</cdr:y>
    </cdr:from>
    <cdr:to>
      <cdr:x>0.23234</cdr:x>
      <cdr:y>0.07228</cdr:y>
    </cdr:to>
    <cdr:sp macro="" textlink="">
      <cdr:nvSpPr>
        <cdr:cNvPr id="2" name="BlokTextu 1"/>
        <cdr:cNvSpPr txBox="1"/>
      </cdr:nvSpPr>
      <cdr:spPr>
        <a:xfrm xmlns:a="http://schemas.openxmlformats.org/drawingml/2006/main">
          <a:off x="0" y="33338"/>
          <a:ext cx="14097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tony jatočnej hmotnosti</a:t>
          </a:r>
        </a:p>
      </cdr:txBody>
    </cdr:sp>
  </cdr:relSizeAnchor>
  <cdr:relSizeAnchor xmlns:cdr="http://schemas.openxmlformats.org/drawingml/2006/chartDrawing">
    <cdr:from>
      <cdr:x>0.92779</cdr:x>
      <cdr:y>0.01402</cdr:y>
    </cdr:from>
    <cdr:to>
      <cdr:x>0.99529</cdr:x>
      <cdr:y>0.08091</cdr:y>
    </cdr:to>
    <cdr:sp macro="" textlink="">
      <cdr:nvSpPr>
        <cdr:cNvPr id="3" name="BlokTextu 2"/>
        <cdr:cNvSpPr txBox="1"/>
      </cdr:nvSpPr>
      <cdr:spPr>
        <a:xfrm xmlns:a="http://schemas.openxmlformats.org/drawingml/2006/main">
          <a:off x="5629275" y="61913"/>
          <a:ext cx="409576"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kg</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0.30625</cdr:x>
      <cdr:y>0.06926</cdr:y>
    </cdr:to>
    <cdr:sp macro="" textlink="">
      <cdr:nvSpPr>
        <cdr:cNvPr id="2" name="BlokTextu 1"/>
        <cdr:cNvSpPr txBox="1"/>
      </cdr:nvSpPr>
      <cdr:spPr>
        <a:xfrm xmlns:a="http://schemas.openxmlformats.org/drawingml/2006/main">
          <a:off x="0" y="0"/>
          <a:ext cx="1400176"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tony jatočnej hmotnosti</a:t>
          </a:r>
        </a:p>
      </cdr:txBody>
    </cdr:sp>
  </cdr:relSizeAnchor>
  <cdr:relSizeAnchor xmlns:cdr="http://schemas.openxmlformats.org/drawingml/2006/chartDrawing">
    <cdr:from>
      <cdr:x>0.86667</cdr:x>
      <cdr:y>0</cdr:y>
    </cdr:from>
    <cdr:to>
      <cdr:x>1</cdr:x>
      <cdr:y>0.08369</cdr:y>
    </cdr:to>
    <cdr:sp macro="" textlink="">
      <cdr:nvSpPr>
        <cdr:cNvPr id="3" name="BlokTextu 2"/>
        <cdr:cNvSpPr txBox="1"/>
      </cdr:nvSpPr>
      <cdr:spPr>
        <a:xfrm xmlns:a="http://schemas.openxmlformats.org/drawingml/2006/main">
          <a:off x="3962401" y="0"/>
          <a:ext cx="609599"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tis.</a:t>
          </a:r>
          <a:r>
            <a:rPr lang="sk-SK" sz="1000" baseline="0">
              <a:latin typeface="Times New Roman" pitchFamily="18" charset="0"/>
              <a:cs typeface="Times New Roman" pitchFamily="18" charset="0"/>
            </a:rPr>
            <a:t> ks</a:t>
          </a:r>
          <a:endParaRPr lang="sk-SK" sz="1000">
            <a:latin typeface="Times New Roman" pitchFamily="18" charset="0"/>
            <a:cs typeface="Times New Roman" pitchFamily="18" charset="0"/>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0.00174</cdr:y>
    </cdr:from>
    <cdr:to>
      <cdr:x>0.09375</cdr:x>
      <cdr:y>0.1059</cdr:y>
    </cdr:to>
    <cdr:sp macro="" textlink="">
      <cdr:nvSpPr>
        <cdr:cNvPr id="2" name="BlokTextu 1"/>
        <cdr:cNvSpPr txBox="1"/>
      </cdr:nvSpPr>
      <cdr:spPr>
        <a:xfrm xmlns:a="http://schemas.openxmlformats.org/drawingml/2006/main">
          <a:off x="0" y="4763"/>
          <a:ext cx="428625"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EUR</a:t>
          </a:r>
        </a:p>
      </cdr:txBody>
    </cdr:sp>
  </cdr:relSizeAnchor>
  <cdr:relSizeAnchor xmlns:cdr="http://schemas.openxmlformats.org/drawingml/2006/chartDrawing">
    <cdr:from>
      <cdr:x>0.9125</cdr:x>
      <cdr:y>0</cdr:y>
    </cdr:from>
    <cdr:to>
      <cdr:x>1</cdr:x>
      <cdr:y>0.10417</cdr:y>
    </cdr:to>
    <cdr:sp macro="" textlink="">
      <cdr:nvSpPr>
        <cdr:cNvPr id="3" name="BlokTextu 2"/>
        <cdr:cNvSpPr txBox="1"/>
      </cdr:nvSpPr>
      <cdr:spPr>
        <a:xfrm xmlns:a="http://schemas.openxmlformats.org/drawingml/2006/main">
          <a:off x="4171950" y="0"/>
          <a:ext cx="40005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kg</a:t>
          </a:r>
        </a:p>
      </cdr:txBody>
    </cdr:sp>
  </cdr:relSizeAnchor>
</c:userShapes>
</file>

<file path=word/drawings/drawing14.xml><?xml version="1.0" encoding="utf-8"?>
<c:userShapes xmlns:c="http://schemas.openxmlformats.org/drawingml/2006/chart">
  <cdr:relSizeAnchor xmlns:cdr="http://schemas.openxmlformats.org/drawingml/2006/chartDrawing">
    <cdr:from>
      <cdr:x>0.04656</cdr:x>
      <cdr:y>0.02601</cdr:y>
    </cdr:from>
    <cdr:to>
      <cdr:x>0.15697</cdr:x>
      <cdr:y>0.15539</cdr:y>
    </cdr:to>
    <cdr:sp macro="" textlink="">
      <cdr:nvSpPr>
        <cdr:cNvPr id="5" name="BlokTextu 4"/>
        <cdr:cNvSpPr txBox="1"/>
      </cdr:nvSpPr>
      <cdr:spPr>
        <a:xfrm xmlns:a="http://schemas.openxmlformats.org/drawingml/2006/main">
          <a:off x="268980" y="53439"/>
          <a:ext cx="637864" cy="2657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tony</a:t>
          </a:r>
        </a:p>
      </cdr:txBody>
    </cdr:sp>
  </cdr:relSizeAnchor>
  <cdr:relSizeAnchor xmlns:cdr="http://schemas.openxmlformats.org/drawingml/2006/chartDrawing">
    <cdr:from>
      <cdr:x>0.8921</cdr:x>
      <cdr:y>0.0289</cdr:y>
    </cdr:from>
    <cdr:to>
      <cdr:x>1</cdr:x>
      <cdr:y>0.15479</cdr:y>
    </cdr:to>
    <cdr:sp macro="" textlink="">
      <cdr:nvSpPr>
        <cdr:cNvPr id="6" name="BlokTextu 5"/>
        <cdr:cNvSpPr txBox="1"/>
      </cdr:nvSpPr>
      <cdr:spPr>
        <a:xfrm xmlns:a="http://schemas.openxmlformats.org/drawingml/2006/main">
          <a:off x="5153890" y="59377"/>
          <a:ext cx="623339" cy="2586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tisíce ks</a:t>
          </a:r>
        </a:p>
      </cdr:txBody>
    </cdr:sp>
  </cdr:relSizeAnchor>
  <cdr:relSizeAnchor xmlns:cdr="http://schemas.openxmlformats.org/drawingml/2006/chartDrawing">
    <cdr:from>
      <cdr:x>0.22919</cdr:x>
      <cdr:y>0.27477</cdr:y>
    </cdr:from>
    <cdr:to>
      <cdr:x>0.85613</cdr:x>
      <cdr:y>0.27477</cdr:y>
    </cdr:to>
    <cdr:cxnSp macro="">
      <cdr:nvCxnSpPr>
        <cdr:cNvPr id="3" name="Rovná spojnica 2"/>
        <cdr:cNvCxnSpPr/>
      </cdr:nvCxnSpPr>
      <cdr:spPr>
        <a:xfrm xmlns:a="http://schemas.openxmlformats.org/drawingml/2006/main">
          <a:off x="1324098" y="688311"/>
          <a:ext cx="3621974" cy="0"/>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0.22816</cdr:x>
      <cdr:y>0.25274</cdr:y>
    </cdr:from>
    <cdr:to>
      <cdr:x>0.84688</cdr:x>
      <cdr:y>0.25274</cdr:y>
    </cdr:to>
    <cdr:cxnSp macro="">
      <cdr:nvCxnSpPr>
        <cdr:cNvPr id="7" name="Rovná spojnica 6"/>
        <cdr:cNvCxnSpPr/>
      </cdr:nvCxnSpPr>
      <cdr:spPr>
        <a:xfrm xmlns:a="http://schemas.openxmlformats.org/drawingml/2006/main">
          <a:off x="1318161" y="633138"/>
          <a:ext cx="3574472" cy="0"/>
        </a:xfrm>
        <a:prstGeom xmlns:a="http://schemas.openxmlformats.org/drawingml/2006/main" prst="line">
          <a:avLst/>
        </a:prstGeom>
        <a:ln xmlns:a="http://schemas.openxmlformats.org/drawingml/2006/main" w="2540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5.xml><?xml version="1.0" encoding="utf-8"?>
<c:userShapes xmlns:c="http://schemas.openxmlformats.org/drawingml/2006/chart">
  <cdr:relSizeAnchor xmlns:cdr="http://schemas.openxmlformats.org/drawingml/2006/chartDrawing">
    <cdr:from>
      <cdr:x>0.87083</cdr:x>
      <cdr:y>0.00174</cdr:y>
    </cdr:from>
    <cdr:to>
      <cdr:x>1</cdr:x>
      <cdr:y>0.09896</cdr:y>
    </cdr:to>
    <cdr:sp macro="" textlink="">
      <cdr:nvSpPr>
        <cdr:cNvPr id="2" name="BlokTextu 1"/>
        <cdr:cNvSpPr txBox="1"/>
      </cdr:nvSpPr>
      <cdr:spPr>
        <a:xfrm xmlns:a="http://schemas.openxmlformats.org/drawingml/2006/main">
          <a:off x="3981450" y="4763"/>
          <a:ext cx="59055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tisíce ks</a:t>
          </a:r>
        </a:p>
      </cdr:txBody>
    </cdr:sp>
  </cdr:relSizeAnchor>
  <cdr:relSizeAnchor xmlns:cdr="http://schemas.openxmlformats.org/drawingml/2006/chartDrawing">
    <cdr:from>
      <cdr:x>0.01875</cdr:x>
      <cdr:y>0</cdr:y>
    </cdr:from>
    <cdr:to>
      <cdr:x>0.09792</cdr:x>
      <cdr:y>0.11044</cdr:y>
    </cdr:to>
    <cdr:sp macro="" textlink="">
      <cdr:nvSpPr>
        <cdr:cNvPr id="3" name="BlokTextu 2"/>
        <cdr:cNvSpPr txBox="1"/>
      </cdr:nvSpPr>
      <cdr:spPr>
        <a:xfrm xmlns:a="http://schemas.openxmlformats.org/drawingml/2006/main">
          <a:off x="108204" y="0"/>
          <a:ext cx="456881" cy="21375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kg</a:t>
          </a:r>
        </a:p>
      </cdr:txBody>
    </cdr:sp>
  </cdr:relSizeAnchor>
  <cdr:relSizeAnchor xmlns:cdr="http://schemas.openxmlformats.org/drawingml/2006/chartDrawing">
    <cdr:from>
      <cdr:x>0.18109</cdr:x>
      <cdr:y>0.22795</cdr:y>
    </cdr:from>
    <cdr:to>
      <cdr:x>0.84061</cdr:x>
      <cdr:y>0.23028</cdr:y>
    </cdr:to>
    <cdr:cxnSp macro="">
      <cdr:nvCxnSpPr>
        <cdr:cNvPr id="5" name="Rovná spojnica 4"/>
        <cdr:cNvCxnSpPr/>
      </cdr:nvCxnSpPr>
      <cdr:spPr>
        <a:xfrm xmlns:a="http://schemas.openxmlformats.org/drawingml/2006/main">
          <a:off x="1045028" y="581890"/>
          <a:ext cx="3806042" cy="5938"/>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0.18212</cdr:x>
      <cdr:y>0.74898</cdr:y>
    </cdr:from>
    <cdr:to>
      <cdr:x>0.83444</cdr:x>
      <cdr:y>0.75131</cdr:y>
    </cdr:to>
    <cdr:cxnSp macro="">
      <cdr:nvCxnSpPr>
        <cdr:cNvPr id="8" name="Rovná spojnica 7"/>
        <cdr:cNvCxnSpPr/>
      </cdr:nvCxnSpPr>
      <cdr:spPr>
        <a:xfrm xmlns:a="http://schemas.openxmlformats.org/drawingml/2006/main">
          <a:off x="1050966" y="1911927"/>
          <a:ext cx="3764478" cy="5938"/>
        </a:xfrm>
        <a:prstGeom xmlns:a="http://schemas.openxmlformats.org/drawingml/2006/main" prst="line">
          <a:avLst/>
        </a:prstGeom>
        <a:ln xmlns:a="http://schemas.openxmlformats.org/drawingml/2006/main" w="2540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6.xml><?xml version="1.0" encoding="utf-8"?>
<c:userShapes xmlns:c="http://schemas.openxmlformats.org/drawingml/2006/chart">
  <cdr:relSizeAnchor xmlns:cdr="http://schemas.openxmlformats.org/drawingml/2006/chartDrawing">
    <cdr:from>
      <cdr:x>0.60092</cdr:x>
      <cdr:y>0.48681</cdr:y>
    </cdr:from>
    <cdr:to>
      <cdr:x>0.94759</cdr:x>
      <cdr:y>0.60487</cdr:y>
    </cdr:to>
    <cdr:sp macro="" textlink="">
      <cdr:nvSpPr>
        <cdr:cNvPr id="2" name="BlokTextu 1"/>
        <cdr:cNvSpPr txBox="1"/>
      </cdr:nvSpPr>
      <cdr:spPr>
        <a:xfrm xmlns:a="http://schemas.openxmlformats.org/drawingml/2006/main">
          <a:off x="3446105" y="715619"/>
          <a:ext cx="1988043" cy="1735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rok 2002 - 11,9 kg/obyvateľ </a:t>
          </a:r>
        </a:p>
      </cdr:txBody>
    </cdr:sp>
  </cdr:relSizeAnchor>
</c:userShapes>
</file>

<file path=word/drawings/drawing17.xml><?xml version="1.0" encoding="utf-8"?>
<c:userShapes xmlns:c="http://schemas.openxmlformats.org/drawingml/2006/chart">
  <cdr:relSizeAnchor xmlns:cdr="http://schemas.openxmlformats.org/drawingml/2006/chartDrawing">
    <cdr:from>
      <cdr:x>0</cdr:x>
      <cdr:y>0</cdr:y>
    </cdr:from>
    <cdr:to>
      <cdr:x>0.15417</cdr:x>
      <cdr:y>0.11034</cdr:y>
    </cdr:to>
    <cdr:sp macro="" textlink="">
      <cdr:nvSpPr>
        <cdr:cNvPr id="2" name="BlokTextu 1"/>
        <cdr:cNvSpPr txBox="1"/>
      </cdr:nvSpPr>
      <cdr:spPr>
        <a:xfrm xmlns:a="http://schemas.openxmlformats.org/drawingml/2006/main">
          <a:off x="0" y="0"/>
          <a:ext cx="892438" cy="1840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tisíce ha</a:t>
          </a:r>
        </a:p>
      </cdr:txBody>
    </cdr:sp>
  </cdr:relSizeAnchor>
  <cdr:relSizeAnchor xmlns:cdr="http://schemas.openxmlformats.org/drawingml/2006/chartDrawing">
    <cdr:from>
      <cdr:x>0.85417</cdr:x>
      <cdr:y>0</cdr:y>
    </cdr:from>
    <cdr:to>
      <cdr:x>1</cdr:x>
      <cdr:y>0.10764</cdr:y>
    </cdr:to>
    <cdr:sp macro="" textlink="">
      <cdr:nvSpPr>
        <cdr:cNvPr id="3" name="BlokTextu 2"/>
        <cdr:cNvSpPr txBox="1"/>
      </cdr:nvSpPr>
      <cdr:spPr>
        <a:xfrm xmlns:a="http://schemas.openxmlformats.org/drawingml/2006/main">
          <a:off x="3905250" y="0"/>
          <a:ext cx="666750"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tisíce ton</a:t>
          </a:r>
        </a:p>
      </cdr:txBody>
    </cdr:sp>
  </cdr:relSizeAnchor>
  <cdr:relSizeAnchor xmlns:cdr="http://schemas.openxmlformats.org/drawingml/2006/chartDrawing">
    <cdr:from>
      <cdr:x>0.16571</cdr:x>
      <cdr:y>0.27349</cdr:y>
    </cdr:from>
    <cdr:to>
      <cdr:x>0.82321</cdr:x>
      <cdr:y>0.27593</cdr:y>
    </cdr:to>
    <cdr:cxnSp macro="">
      <cdr:nvCxnSpPr>
        <cdr:cNvPr id="4" name="Rovná spojnica 3"/>
        <cdr:cNvCxnSpPr/>
      </cdr:nvCxnSpPr>
      <cdr:spPr>
        <a:xfrm xmlns:a="http://schemas.openxmlformats.org/drawingml/2006/main">
          <a:off x="959262" y="698133"/>
          <a:ext cx="3806042" cy="6243"/>
        </a:xfrm>
        <a:prstGeom xmlns:a="http://schemas.openxmlformats.org/drawingml/2006/main" prst="line">
          <a:avLst/>
        </a:prstGeom>
        <a:ln xmlns:a="http://schemas.openxmlformats.org/drawingml/2006/main" w="2540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0.16674</cdr:x>
      <cdr:y>0.24325</cdr:y>
    </cdr:from>
    <cdr:to>
      <cdr:x>0.82424</cdr:x>
      <cdr:y>0.2457</cdr:y>
    </cdr:to>
    <cdr:cxnSp macro="">
      <cdr:nvCxnSpPr>
        <cdr:cNvPr id="5" name="Rovná spojnica 4"/>
        <cdr:cNvCxnSpPr/>
      </cdr:nvCxnSpPr>
      <cdr:spPr>
        <a:xfrm xmlns:a="http://schemas.openxmlformats.org/drawingml/2006/main">
          <a:off x="965200" y="620944"/>
          <a:ext cx="3806042" cy="6243"/>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8.xml><?xml version="1.0" encoding="utf-8"?>
<c:userShapes xmlns:c="http://schemas.openxmlformats.org/drawingml/2006/chart">
  <cdr:relSizeAnchor xmlns:cdr="http://schemas.openxmlformats.org/drawingml/2006/chartDrawing">
    <cdr:from>
      <cdr:x>0</cdr:x>
      <cdr:y>0</cdr:y>
    </cdr:from>
    <cdr:to>
      <cdr:x>0.10208</cdr:x>
      <cdr:y>0.12847</cdr:y>
    </cdr:to>
    <cdr:sp macro="" textlink="">
      <cdr:nvSpPr>
        <cdr:cNvPr id="2" name="BlokTextu 1"/>
        <cdr:cNvSpPr txBox="1"/>
      </cdr:nvSpPr>
      <cdr:spPr>
        <a:xfrm xmlns:a="http://schemas.openxmlformats.org/drawingml/2006/main">
          <a:off x="0" y="0"/>
          <a:ext cx="466725"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t/ha</a:t>
          </a:r>
        </a:p>
      </cdr:txBody>
    </cdr:sp>
  </cdr:relSizeAnchor>
  <cdr:relSizeAnchor xmlns:cdr="http://schemas.openxmlformats.org/drawingml/2006/chartDrawing">
    <cdr:from>
      <cdr:x>0.82083</cdr:x>
      <cdr:y>0</cdr:y>
    </cdr:from>
    <cdr:to>
      <cdr:x>1</cdr:x>
      <cdr:y>0.09028</cdr:y>
    </cdr:to>
    <cdr:sp macro="" textlink="">
      <cdr:nvSpPr>
        <cdr:cNvPr id="3" name="BlokTextu 2"/>
        <cdr:cNvSpPr txBox="1"/>
      </cdr:nvSpPr>
      <cdr:spPr>
        <a:xfrm xmlns:a="http://schemas.openxmlformats.org/drawingml/2006/main">
          <a:off x="3752850" y="0"/>
          <a:ext cx="81915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cukornatosť</a:t>
          </a:r>
        </a:p>
      </cdr:txBody>
    </cdr:sp>
  </cdr:relSizeAnchor>
  <cdr:relSizeAnchor xmlns:cdr="http://schemas.openxmlformats.org/drawingml/2006/chartDrawing">
    <cdr:from>
      <cdr:x>0.13872</cdr:x>
      <cdr:y>0.34781</cdr:y>
    </cdr:from>
    <cdr:to>
      <cdr:x>0.81444</cdr:x>
      <cdr:y>0.35149</cdr:y>
    </cdr:to>
    <cdr:cxnSp macro="">
      <cdr:nvCxnSpPr>
        <cdr:cNvPr id="4" name="Rovná spojnica 3"/>
        <cdr:cNvCxnSpPr/>
      </cdr:nvCxnSpPr>
      <cdr:spPr>
        <a:xfrm xmlns:a="http://schemas.openxmlformats.org/drawingml/2006/main">
          <a:off x="798945" y="799074"/>
          <a:ext cx="3891808" cy="8448"/>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0.1362</cdr:x>
      <cdr:y>0.52241</cdr:y>
    </cdr:from>
    <cdr:to>
      <cdr:x>0.81192</cdr:x>
      <cdr:y>0.52609</cdr:y>
    </cdr:to>
    <cdr:cxnSp macro="">
      <cdr:nvCxnSpPr>
        <cdr:cNvPr id="6" name="Rovná spojnica 5"/>
        <cdr:cNvCxnSpPr/>
      </cdr:nvCxnSpPr>
      <cdr:spPr>
        <a:xfrm xmlns:a="http://schemas.openxmlformats.org/drawingml/2006/main">
          <a:off x="784430" y="1200196"/>
          <a:ext cx="3891808" cy="8448"/>
        </a:xfrm>
        <a:prstGeom xmlns:a="http://schemas.openxmlformats.org/drawingml/2006/main" prst="line">
          <a:avLst/>
        </a:prstGeom>
        <a:ln xmlns:a="http://schemas.openxmlformats.org/drawingml/2006/main" w="2540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9.xml><?xml version="1.0" encoding="utf-8"?>
<c:userShapes xmlns:c="http://schemas.openxmlformats.org/drawingml/2006/chart">
  <cdr:relSizeAnchor xmlns:cdr="http://schemas.openxmlformats.org/drawingml/2006/chartDrawing">
    <cdr:from>
      <cdr:x>0.15063</cdr:x>
      <cdr:y>0.64327</cdr:y>
    </cdr:from>
    <cdr:to>
      <cdr:x>0.87836</cdr:x>
      <cdr:y>0.64612</cdr:y>
    </cdr:to>
    <cdr:cxnSp macro="">
      <cdr:nvCxnSpPr>
        <cdr:cNvPr id="2" name="Rovná spojnica 1"/>
        <cdr:cNvCxnSpPr/>
      </cdr:nvCxnSpPr>
      <cdr:spPr>
        <a:xfrm xmlns:a="http://schemas.openxmlformats.org/drawingml/2006/main">
          <a:off x="867558" y="1164570"/>
          <a:ext cx="4191330" cy="5149"/>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0.13219</cdr:x>
      <cdr:y>0.16127</cdr:y>
    </cdr:from>
    <cdr:to>
      <cdr:x>0.91445</cdr:x>
      <cdr:y>0.16761</cdr:y>
    </cdr:to>
    <cdr:cxnSp macro="">
      <cdr:nvCxnSpPr>
        <cdr:cNvPr id="2" name="Rovná spojnica 1"/>
        <cdr:cNvCxnSpPr/>
      </cdr:nvCxnSpPr>
      <cdr:spPr>
        <a:xfrm xmlns:a="http://schemas.openxmlformats.org/drawingml/2006/main">
          <a:off x="761357" y="348499"/>
          <a:ext cx="4505349" cy="13698"/>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0.xml><?xml version="1.0" encoding="utf-8"?>
<c:userShapes xmlns:c="http://schemas.openxmlformats.org/drawingml/2006/chart">
  <cdr:relSizeAnchor xmlns:cdr="http://schemas.openxmlformats.org/drawingml/2006/chartDrawing">
    <cdr:from>
      <cdr:x>0.00833</cdr:x>
      <cdr:y>0.00521</cdr:y>
    </cdr:from>
    <cdr:to>
      <cdr:x>0.11458</cdr:x>
      <cdr:y>0.11285</cdr:y>
    </cdr:to>
    <cdr:sp macro="" textlink="">
      <cdr:nvSpPr>
        <cdr:cNvPr id="2" name="BlokTextu 1"/>
        <cdr:cNvSpPr txBox="1"/>
      </cdr:nvSpPr>
      <cdr:spPr>
        <a:xfrm xmlns:a="http://schemas.openxmlformats.org/drawingml/2006/main">
          <a:off x="38100" y="14288"/>
          <a:ext cx="485775"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tis. t</a:t>
          </a:r>
        </a:p>
      </cdr:txBody>
    </cdr:sp>
  </cdr:relSizeAnchor>
  <cdr:relSizeAnchor xmlns:cdr="http://schemas.openxmlformats.org/drawingml/2006/chartDrawing">
    <cdr:from>
      <cdr:x>0.9</cdr:x>
      <cdr:y>0</cdr:y>
    </cdr:from>
    <cdr:to>
      <cdr:x>1</cdr:x>
      <cdr:y>0.10417</cdr:y>
    </cdr:to>
    <cdr:sp macro="" textlink="">
      <cdr:nvSpPr>
        <cdr:cNvPr id="3" name="BlokTextu 2"/>
        <cdr:cNvSpPr txBox="1"/>
      </cdr:nvSpPr>
      <cdr:spPr>
        <a:xfrm xmlns:a="http://schemas.openxmlformats.org/drawingml/2006/main">
          <a:off x="4114800" y="0"/>
          <a:ext cx="457199"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tis. ha</a:t>
          </a:r>
        </a:p>
      </cdr:txBody>
    </cdr:sp>
  </cdr:relSizeAnchor>
  <cdr:relSizeAnchor xmlns:cdr="http://schemas.openxmlformats.org/drawingml/2006/chartDrawing">
    <cdr:from>
      <cdr:x>0.16764</cdr:x>
      <cdr:y>0.21853</cdr:y>
    </cdr:from>
    <cdr:to>
      <cdr:x>0.84546</cdr:x>
      <cdr:y>0.22222</cdr:y>
    </cdr:to>
    <cdr:cxnSp macro="">
      <cdr:nvCxnSpPr>
        <cdr:cNvPr id="4" name="Rovná spojnica 3"/>
        <cdr:cNvCxnSpPr/>
      </cdr:nvCxnSpPr>
      <cdr:spPr>
        <a:xfrm xmlns:a="http://schemas.openxmlformats.org/drawingml/2006/main">
          <a:off x="962560" y="499552"/>
          <a:ext cx="3891808" cy="8448"/>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0.16661</cdr:x>
      <cdr:y>0.39255</cdr:y>
    </cdr:from>
    <cdr:to>
      <cdr:x>0.84443</cdr:x>
      <cdr:y>0.39625</cdr:y>
    </cdr:to>
    <cdr:cxnSp macro="">
      <cdr:nvCxnSpPr>
        <cdr:cNvPr id="5" name="Rovná spojnica 4"/>
        <cdr:cNvCxnSpPr/>
      </cdr:nvCxnSpPr>
      <cdr:spPr>
        <a:xfrm xmlns:a="http://schemas.openxmlformats.org/drawingml/2006/main">
          <a:off x="956623" y="897375"/>
          <a:ext cx="3891808" cy="8448"/>
        </a:xfrm>
        <a:prstGeom xmlns:a="http://schemas.openxmlformats.org/drawingml/2006/main" prst="line">
          <a:avLst/>
        </a:prstGeom>
        <a:ln xmlns:a="http://schemas.openxmlformats.org/drawingml/2006/main" w="2540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1.xml><?xml version="1.0" encoding="utf-8"?>
<c:userShapes xmlns:c="http://schemas.openxmlformats.org/drawingml/2006/chart">
  <cdr:relSizeAnchor xmlns:cdr="http://schemas.openxmlformats.org/drawingml/2006/chartDrawing">
    <cdr:from>
      <cdr:x>0</cdr:x>
      <cdr:y>0</cdr:y>
    </cdr:from>
    <cdr:to>
      <cdr:x>0.14167</cdr:x>
      <cdr:y>0.10764</cdr:y>
    </cdr:to>
    <cdr:sp macro="" textlink="">
      <cdr:nvSpPr>
        <cdr:cNvPr id="2" name="BlokTextu 1"/>
        <cdr:cNvSpPr txBox="1"/>
      </cdr:nvSpPr>
      <cdr:spPr>
        <a:xfrm xmlns:a="http://schemas.openxmlformats.org/drawingml/2006/main">
          <a:off x="0" y="0"/>
          <a:ext cx="647700"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tis. ha</a:t>
          </a:r>
        </a:p>
      </cdr:txBody>
    </cdr:sp>
  </cdr:relSizeAnchor>
  <cdr:relSizeAnchor xmlns:cdr="http://schemas.openxmlformats.org/drawingml/2006/chartDrawing">
    <cdr:from>
      <cdr:x>0.89583</cdr:x>
      <cdr:y>0</cdr:y>
    </cdr:from>
    <cdr:to>
      <cdr:x>0.99375</cdr:x>
      <cdr:y>0.09722</cdr:y>
    </cdr:to>
    <cdr:sp macro="" textlink="">
      <cdr:nvSpPr>
        <cdr:cNvPr id="3" name="BlokTextu 2"/>
        <cdr:cNvSpPr txBox="1"/>
      </cdr:nvSpPr>
      <cdr:spPr>
        <a:xfrm xmlns:a="http://schemas.openxmlformats.org/drawingml/2006/main">
          <a:off x="4095749" y="0"/>
          <a:ext cx="4476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t/ha</a:t>
          </a:r>
        </a:p>
      </cdr:txBody>
    </cdr:sp>
  </cdr:relSizeAnchor>
  <cdr:relSizeAnchor xmlns:cdr="http://schemas.openxmlformats.org/drawingml/2006/chartDrawing">
    <cdr:from>
      <cdr:x>0.15381</cdr:x>
      <cdr:y>0.20391</cdr:y>
    </cdr:from>
    <cdr:to>
      <cdr:x>0.83449</cdr:x>
      <cdr:y>0.20805</cdr:y>
    </cdr:to>
    <cdr:cxnSp macro="">
      <cdr:nvCxnSpPr>
        <cdr:cNvPr id="4" name="Rovná spojnica 3"/>
        <cdr:cNvCxnSpPr/>
      </cdr:nvCxnSpPr>
      <cdr:spPr>
        <a:xfrm xmlns:a="http://schemas.openxmlformats.org/drawingml/2006/main">
          <a:off x="879434" y="416424"/>
          <a:ext cx="3891808" cy="8448"/>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0.16004</cdr:x>
      <cdr:y>0.51211</cdr:y>
    </cdr:from>
    <cdr:to>
      <cdr:x>0.84072</cdr:x>
      <cdr:y>0.51625</cdr:y>
    </cdr:to>
    <cdr:cxnSp macro="">
      <cdr:nvCxnSpPr>
        <cdr:cNvPr id="5" name="Rovná spojnica 4"/>
        <cdr:cNvCxnSpPr/>
      </cdr:nvCxnSpPr>
      <cdr:spPr>
        <a:xfrm xmlns:a="http://schemas.openxmlformats.org/drawingml/2006/main">
          <a:off x="915059" y="1045817"/>
          <a:ext cx="3891808" cy="8448"/>
        </a:xfrm>
        <a:prstGeom xmlns:a="http://schemas.openxmlformats.org/drawingml/2006/main" prst="line">
          <a:avLst/>
        </a:prstGeom>
        <a:ln xmlns:a="http://schemas.openxmlformats.org/drawingml/2006/main" w="2540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2.xml><?xml version="1.0" encoding="utf-8"?>
<c:userShapes xmlns:c="http://schemas.openxmlformats.org/drawingml/2006/chart">
  <cdr:relSizeAnchor xmlns:cdr="http://schemas.openxmlformats.org/drawingml/2006/chartDrawing">
    <cdr:from>
      <cdr:x>0.16713</cdr:x>
      <cdr:y>0.10607</cdr:y>
    </cdr:from>
    <cdr:to>
      <cdr:x>0.91079</cdr:x>
      <cdr:y>0.11494</cdr:y>
    </cdr:to>
    <cdr:cxnSp macro="">
      <cdr:nvCxnSpPr>
        <cdr:cNvPr id="2" name="Rovná spojnica 1"/>
        <cdr:cNvCxnSpPr/>
      </cdr:nvCxnSpPr>
      <cdr:spPr>
        <a:xfrm xmlns:a="http://schemas.openxmlformats.org/drawingml/2006/main">
          <a:off x="956622" y="219170"/>
          <a:ext cx="4256645" cy="18336"/>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3.xml><?xml version="1.0" encoding="utf-8"?>
<c:userShapes xmlns:c="http://schemas.openxmlformats.org/drawingml/2006/chart">
  <cdr:relSizeAnchor xmlns:cdr="http://schemas.openxmlformats.org/drawingml/2006/chartDrawing">
    <cdr:from>
      <cdr:x>0.01955</cdr:x>
      <cdr:y>0</cdr:y>
    </cdr:from>
    <cdr:to>
      <cdr:x>0.12553</cdr:x>
      <cdr:y>0.13944</cdr:y>
    </cdr:to>
    <cdr:sp macro="" textlink="">
      <cdr:nvSpPr>
        <cdr:cNvPr id="2" name="BlokTextu 1"/>
        <cdr:cNvSpPr txBox="1"/>
      </cdr:nvSpPr>
      <cdr:spPr>
        <a:xfrm xmlns:a="http://schemas.openxmlformats.org/drawingml/2006/main">
          <a:off x="112821" y="0"/>
          <a:ext cx="611598" cy="2078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tis. t</a:t>
          </a:r>
        </a:p>
      </cdr:txBody>
    </cdr:sp>
  </cdr:relSizeAnchor>
  <cdr:relSizeAnchor xmlns:cdr="http://schemas.openxmlformats.org/drawingml/2006/chartDrawing">
    <cdr:from>
      <cdr:x>0.8875</cdr:x>
      <cdr:y>0</cdr:y>
    </cdr:from>
    <cdr:to>
      <cdr:x>1</cdr:x>
      <cdr:y>0.14343</cdr:y>
    </cdr:to>
    <cdr:sp macro="" textlink="">
      <cdr:nvSpPr>
        <cdr:cNvPr id="3" name="BlokTextu 2"/>
        <cdr:cNvSpPr txBox="1"/>
      </cdr:nvSpPr>
      <cdr:spPr>
        <a:xfrm xmlns:a="http://schemas.openxmlformats.org/drawingml/2006/main">
          <a:off x="5121656" y="0"/>
          <a:ext cx="649224" cy="2137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tis. ha</a:t>
          </a:r>
        </a:p>
      </cdr:txBody>
    </cdr:sp>
  </cdr:relSizeAnchor>
</c:userShapes>
</file>

<file path=word/drawings/drawing24.xml><?xml version="1.0" encoding="utf-8"?>
<c:userShapes xmlns:c="http://schemas.openxmlformats.org/drawingml/2006/chart">
  <cdr:relSizeAnchor xmlns:cdr="http://schemas.openxmlformats.org/drawingml/2006/chartDrawing">
    <cdr:from>
      <cdr:x>0.16524</cdr:x>
      <cdr:y>0.18394</cdr:y>
    </cdr:from>
    <cdr:to>
      <cdr:x>0.90973</cdr:x>
      <cdr:y>0.19415</cdr:y>
    </cdr:to>
    <cdr:cxnSp macro="">
      <cdr:nvCxnSpPr>
        <cdr:cNvPr id="2" name="Rovná spojnica 1"/>
        <cdr:cNvCxnSpPr/>
      </cdr:nvCxnSpPr>
      <cdr:spPr>
        <a:xfrm xmlns:a="http://schemas.openxmlformats.org/drawingml/2006/main">
          <a:off x="944832" y="378986"/>
          <a:ext cx="4256970" cy="21037"/>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5.xml><?xml version="1.0" encoding="utf-8"?>
<c:userShapes xmlns:c="http://schemas.openxmlformats.org/drawingml/2006/chart">
  <cdr:relSizeAnchor xmlns:cdr="http://schemas.openxmlformats.org/drawingml/2006/chartDrawing">
    <cdr:from>
      <cdr:x>0.13181</cdr:x>
      <cdr:y>0.13383</cdr:y>
    </cdr:from>
    <cdr:to>
      <cdr:x>0.8828</cdr:x>
      <cdr:y>0.13594</cdr:y>
    </cdr:to>
    <cdr:cxnSp macro="">
      <cdr:nvCxnSpPr>
        <cdr:cNvPr id="2" name="Rovná spojnica 1"/>
        <cdr:cNvCxnSpPr/>
      </cdr:nvCxnSpPr>
      <cdr:spPr>
        <a:xfrm xmlns:a="http://schemas.openxmlformats.org/drawingml/2006/main">
          <a:off x="760680" y="327360"/>
          <a:ext cx="4333834" cy="5149"/>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0.13181</cdr:x>
      <cdr:y>0.25763</cdr:y>
    </cdr:from>
    <cdr:to>
      <cdr:x>0.86839</cdr:x>
      <cdr:y>0.25974</cdr:y>
    </cdr:to>
    <cdr:cxnSp macro="">
      <cdr:nvCxnSpPr>
        <cdr:cNvPr id="4" name="Rovná spojnica 3"/>
        <cdr:cNvCxnSpPr/>
      </cdr:nvCxnSpPr>
      <cdr:spPr>
        <a:xfrm xmlns:a="http://schemas.openxmlformats.org/drawingml/2006/main">
          <a:off x="760680" y="630180"/>
          <a:ext cx="4250707" cy="5149"/>
        </a:xfrm>
        <a:prstGeom xmlns:a="http://schemas.openxmlformats.org/drawingml/2006/main" prst="line">
          <a:avLst/>
        </a:prstGeom>
        <a:ln xmlns:a="http://schemas.openxmlformats.org/drawingml/2006/main" w="2540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6.xml><?xml version="1.0" encoding="utf-8"?>
<c:userShapes xmlns:c="http://schemas.openxmlformats.org/drawingml/2006/chart">
  <cdr:relSizeAnchor xmlns:cdr="http://schemas.openxmlformats.org/drawingml/2006/chartDrawing">
    <cdr:from>
      <cdr:x>0.1747</cdr:x>
      <cdr:y>0.48039</cdr:y>
    </cdr:from>
    <cdr:to>
      <cdr:x>0.9112</cdr:x>
      <cdr:y>0.48638</cdr:y>
    </cdr:to>
    <cdr:cxnSp macro="">
      <cdr:nvCxnSpPr>
        <cdr:cNvPr id="2" name="Rovná spojnica 1"/>
        <cdr:cNvCxnSpPr/>
      </cdr:nvCxnSpPr>
      <cdr:spPr>
        <a:xfrm xmlns:a="http://schemas.openxmlformats.org/drawingml/2006/main">
          <a:off x="1004178" y="1135251"/>
          <a:ext cx="4233313" cy="14155"/>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7.xml><?xml version="1.0" encoding="utf-8"?>
<c:userShapes xmlns:c="http://schemas.openxmlformats.org/drawingml/2006/chart">
  <cdr:relSizeAnchor xmlns:cdr="http://schemas.openxmlformats.org/drawingml/2006/chartDrawing">
    <cdr:from>
      <cdr:x>0.90208</cdr:x>
      <cdr:y>0.02083</cdr:y>
    </cdr:from>
    <cdr:to>
      <cdr:x>0.98333</cdr:x>
      <cdr:y>0.11979</cdr:y>
    </cdr:to>
    <cdr:sp macro="" textlink="">
      <cdr:nvSpPr>
        <cdr:cNvPr id="2" name="BlokTextu 1"/>
        <cdr:cNvSpPr txBox="1"/>
      </cdr:nvSpPr>
      <cdr:spPr>
        <a:xfrm xmlns:a="http://schemas.openxmlformats.org/drawingml/2006/main">
          <a:off x="4124325" y="57150"/>
          <a:ext cx="371475" cy="27146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ha</a:t>
          </a:r>
        </a:p>
      </cdr:txBody>
    </cdr:sp>
  </cdr:relSizeAnchor>
  <cdr:relSizeAnchor xmlns:cdr="http://schemas.openxmlformats.org/drawingml/2006/chartDrawing">
    <cdr:from>
      <cdr:x>0.18167</cdr:x>
      <cdr:y>0.20878</cdr:y>
    </cdr:from>
    <cdr:to>
      <cdr:x>0.85399</cdr:x>
      <cdr:y>0.21302</cdr:y>
    </cdr:to>
    <cdr:cxnSp macro="">
      <cdr:nvCxnSpPr>
        <cdr:cNvPr id="3" name="Rovná spojnica 2"/>
        <cdr:cNvCxnSpPr/>
      </cdr:nvCxnSpPr>
      <cdr:spPr>
        <a:xfrm xmlns:a="http://schemas.openxmlformats.org/drawingml/2006/main">
          <a:off x="1051626" y="416425"/>
          <a:ext cx="3891808" cy="8448"/>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0.18167</cdr:x>
      <cdr:y>0.57197</cdr:y>
    </cdr:from>
    <cdr:to>
      <cdr:x>0.85399</cdr:x>
      <cdr:y>0.57621</cdr:y>
    </cdr:to>
    <cdr:cxnSp macro="">
      <cdr:nvCxnSpPr>
        <cdr:cNvPr id="4" name="Rovná spojnica 3"/>
        <cdr:cNvCxnSpPr/>
      </cdr:nvCxnSpPr>
      <cdr:spPr>
        <a:xfrm xmlns:a="http://schemas.openxmlformats.org/drawingml/2006/main">
          <a:off x="1051625" y="1140820"/>
          <a:ext cx="3891808" cy="8448"/>
        </a:xfrm>
        <a:prstGeom xmlns:a="http://schemas.openxmlformats.org/drawingml/2006/main" prst="line">
          <a:avLst/>
        </a:prstGeom>
        <a:ln xmlns:a="http://schemas.openxmlformats.org/drawingml/2006/main" w="2540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8.xml><?xml version="1.0" encoding="utf-8"?>
<c:userShapes xmlns:c="http://schemas.openxmlformats.org/drawingml/2006/chart">
  <cdr:relSizeAnchor xmlns:cdr="http://schemas.openxmlformats.org/drawingml/2006/chartDrawing">
    <cdr:from>
      <cdr:x>0.16318</cdr:x>
      <cdr:y>0.65822</cdr:y>
    </cdr:from>
    <cdr:to>
      <cdr:x>0.88553</cdr:x>
      <cdr:y>0.66082</cdr:y>
    </cdr:to>
    <cdr:cxnSp macro="">
      <cdr:nvCxnSpPr>
        <cdr:cNvPr id="2" name="Rovná spojnica 1"/>
        <cdr:cNvCxnSpPr/>
      </cdr:nvCxnSpPr>
      <cdr:spPr>
        <a:xfrm xmlns:a="http://schemas.openxmlformats.org/drawingml/2006/main">
          <a:off x="938809" y="1301136"/>
          <a:ext cx="4155705" cy="5150"/>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9.xml><?xml version="1.0" encoding="utf-8"?>
<c:userShapes xmlns:c="http://schemas.openxmlformats.org/drawingml/2006/chart">
  <cdr:relSizeAnchor xmlns:cdr="http://schemas.openxmlformats.org/drawingml/2006/chartDrawing">
    <cdr:from>
      <cdr:x>0</cdr:x>
      <cdr:y>0.03299</cdr:y>
    </cdr:from>
    <cdr:to>
      <cdr:x>0.25</cdr:x>
      <cdr:y>0.15451</cdr:y>
    </cdr:to>
    <cdr:sp macro="" textlink="">
      <cdr:nvSpPr>
        <cdr:cNvPr id="2" name="BlokTextu 1"/>
        <cdr:cNvSpPr txBox="1"/>
      </cdr:nvSpPr>
      <cdr:spPr>
        <a:xfrm xmlns:a="http://schemas.openxmlformats.org/drawingml/2006/main">
          <a:off x="0" y="90488"/>
          <a:ext cx="1143000"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lesné pozemky</a:t>
          </a:r>
        </a:p>
      </cdr:txBody>
    </cdr:sp>
  </cdr:relSizeAnchor>
  <cdr:relSizeAnchor xmlns:cdr="http://schemas.openxmlformats.org/drawingml/2006/chartDrawing">
    <cdr:from>
      <cdr:x>0.82394</cdr:x>
      <cdr:y>0.03646</cdr:y>
    </cdr:from>
    <cdr:to>
      <cdr:x>1</cdr:x>
      <cdr:y>0.15104</cdr:y>
    </cdr:to>
    <cdr:sp macro="" textlink="">
      <cdr:nvSpPr>
        <cdr:cNvPr id="3" name="BlokTextu 2"/>
        <cdr:cNvSpPr txBox="1"/>
      </cdr:nvSpPr>
      <cdr:spPr>
        <a:xfrm xmlns:a="http://schemas.openxmlformats.org/drawingml/2006/main">
          <a:off x="4750130" y="100017"/>
          <a:ext cx="1015035" cy="3143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porastová</a:t>
          </a:r>
          <a:r>
            <a:rPr lang="sk-SK" sz="1000" baseline="0">
              <a:latin typeface="Times New Roman" pitchFamily="18" charset="0"/>
              <a:cs typeface="Times New Roman" pitchFamily="18" charset="0"/>
            </a:rPr>
            <a:t> pôda</a:t>
          </a:r>
          <a:endParaRPr lang="sk-SK" sz="1000">
            <a:latin typeface="Times New Roman" pitchFamily="18" charset="0"/>
            <a:cs typeface="Times New Roman" pitchFamily="18" charset="0"/>
          </a:endParaRPr>
        </a:p>
      </cdr:txBody>
    </cdr:sp>
  </cdr:relSizeAnchor>
  <cdr:relSizeAnchor xmlns:cdr="http://schemas.openxmlformats.org/drawingml/2006/chartDrawing">
    <cdr:from>
      <cdr:x>0.21079</cdr:x>
      <cdr:y>0.45944</cdr:y>
    </cdr:from>
    <cdr:to>
      <cdr:x>0.78892</cdr:x>
      <cdr:y>0.4632</cdr:y>
    </cdr:to>
    <cdr:cxnSp macro="">
      <cdr:nvCxnSpPr>
        <cdr:cNvPr id="4" name="Rovná spojnica 3"/>
        <cdr:cNvCxnSpPr/>
      </cdr:nvCxnSpPr>
      <cdr:spPr>
        <a:xfrm xmlns:a="http://schemas.openxmlformats.org/drawingml/2006/main">
          <a:off x="1215241" y="1260344"/>
          <a:ext cx="3333008" cy="10316"/>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0.21136</cdr:x>
      <cdr:y>0.59484</cdr:y>
    </cdr:from>
    <cdr:to>
      <cdr:x>0.78949</cdr:x>
      <cdr:y>0.59861</cdr:y>
    </cdr:to>
    <cdr:cxnSp macro="">
      <cdr:nvCxnSpPr>
        <cdr:cNvPr id="6" name="Rovná spojnica 5"/>
        <cdr:cNvCxnSpPr/>
      </cdr:nvCxnSpPr>
      <cdr:spPr>
        <a:xfrm xmlns:a="http://schemas.openxmlformats.org/drawingml/2006/main">
          <a:off x="1218540" y="1631778"/>
          <a:ext cx="3333008" cy="10316"/>
        </a:xfrm>
        <a:prstGeom xmlns:a="http://schemas.openxmlformats.org/drawingml/2006/main" prst="line">
          <a:avLst/>
        </a:prstGeom>
        <a:ln xmlns:a="http://schemas.openxmlformats.org/drawingml/2006/main" w="2540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0.16044</cdr:x>
      <cdr:y>0.20651</cdr:y>
    </cdr:from>
    <cdr:to>
      <cdr:x>0.89603</cdr:x>
      <cdr:y>0.21114</cdr:y>
    </cdr:to>
    <cdr:cxnSp macro="">
      <cdr:nvCxnSpPr>
        <cdr:cNvPr id="2" name="Rovná spojnica 1"/>
        <cdr:cNvCxnSpPr/>
      </cdr:nvCxnSpPr>
      <cdr:spPr>
        <a:xfrm xmlns:a="http://schemas.openxmlformats.org/drawingml/2006/main">
          <a:off x="924972" y="464613"/>
          <a:ext cx="4240794" cy="10400"/>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0.xml><?xml version="1.0" encoding="utf-8"?>
<c:userShapes xmlns:c="http://schemas.openxmlformats.org/drawingml/2006/chart">
  <cdr:relSizeAnchor xmlns:cdr="http://schemas.openxmlformats.org/drawingml/2006/chartDrawing">
    <cdr:from>
      <cdr:x>0.16966</cdr:x>
      <cdr:y>0.11669</cdr:y>
    </cdr:from>
    <cdr:to>
      <cdr:x>0.9112</cdr:x>
      <cdr:y>0.12264</cdr:y>
    </cdr:to>
    <cdr:cxnSp macro="">
      <cdr:nvCxnSpPr>
        <cdr:cNvPr id="2" name="Rovná spojnica 1"/>
        <cdr:cNvCxnSpPr/>
      </cdr:nvCxnSpPr>
      <cdr:spPr>
        <a:xfrm xmlns:a="http://schemas.openxmlformats.org/drawingml/2006/main">
          <a:off x="975095" y="254240"/>
          <a:ext cx="4261923" cy="12955"/>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0.17436</cdr:x>
      <cdr:y>0.43806</cdr:y>
    </cdr:from>
    <cdr:to>
      <cdr:x>0.9159</cdr:x>
      <cdr:y>0.44401</cdr:y>
    </cdr:to>
    <cdr:cxnSp macro="">
      <cdr:nvCxnSpPr>
        <cdr:cNvPr id="4" name="Rovná spojnica 3"/>
        <cdr:cNvCxnSpPr/>
      </cdr:nvCxnSpPr>
      <cdr:spPr>
        <a:xfrm xmlns:a="http://schemas.openxmlformats.org/drawingml/2006/main">
          <a:off x="1002182" y="1061230"/>
          <a:ext cx="4262118" cy="14414"/>
        </a:xfrm>
        <a:prstGeom xmlns:a="http://schemas.openxmlformats.org/drawingml/2006/main" prst="line">
          <a:avLst/>
        </a:prstGeom>
        <a:ln xmlns:a="http://schemas.openxmlformats.org/drawingml/2006/main" w="2540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1.xml><?xml version="1.0" encoding="utf-8"?>
<c:userShapes xmlns:c="http://schemas.openxmlformats.org/drawingml/2006/chart">
  <cdr:relSizeAnchor xmlns:cdr="http://schemas.openxmlformats.org/drawingml/2006/chartDrawing">
    <cdr:from>
      <cdr:x>0.1661</cdr:x>
      <cdr:y>0.17904</cdr:y>
    </cdr:from>
    <cdr:to>
      <cdr:x>0.90764</cdr:x>
      <cdr:y>0.18721</cdr:y>
    </cdr:to>
    <cdr:cxnSp macro="">
      <cdr:nvCxnSpPr>
        <cdr:cNvPr id="2" name="Rovná spojnica 1"/>
        <cdr:cNvCxnSpPr/>
      </cdr:nvCxnSpPr>
      <cdr:spPr>
        <a:xfrm xmlns:a="http://schemas.openxmlformats.org/drawingml/2006/main">
          <a:off x="954643" y="317757"/>
          <a:ext cx="4261923" cy="14510"/>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2.xml><?xml version="1.0" encoding="utf-8"?>
<c:userShapes xmlns:c="http://schemas.openxmlformats.org/drawingml/2006/chart">
  <cdr:relSizeAnchor xmlns:cdr="http://schemas.openxmlformats.org/drawingml/2006/chartDrawing">
    <cdr:from>
      <cdr:x>0.19457</cdr:x>
      <cdr:y>0.70422</cdr:y>
    </cdr:from>
    <cdr:to>
      <cdr:x>0.94736</cdr:x>
      <cdr:y>0.70961</cdr:y>
    </cdr:to>
    <cdr:cxnSp macro="">
      <cdr:nvCxnSpPr>
        <cdr:cNvPr id="2" name="Rovná spojnica 1"/>
        <cdr:cNvCxnSpPr/>
      </cdr:nvCxnSpPr>
      <cdr:spPr>
        <a:xfrm xmlns:a="http://schemas.openxmlformats.org/drawingml/2006/main">
          <a:off x="1118258" y="1496713"/>
          <a:ext cx="4326578" cy="11454"/>
        </a:xfrm>
        <a:prstGeom xmlns:a="http://schemas.openxmlformats.org/drawingml/2006/main" prst="line">
          <a:avLst/>
        </a:prstGeom>
        <a:ln xmlns:a="http://schemas.openxmlformats.org/drawingml/2006/main" w="2540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0.15221</cdr:x>
      <cdr:y>0.41367</cdr:y>
    </cdr:from>
    <cdr:to>
      <cdr:x>0.91223</cdr:x>
      <cdr:y>0.41906</cdr:y>
    </cdr:to>
    <cdr:cxnSp macro="">
      <cdr:nvCxnSpPr>
        <cdr:cNvPr id="3" name="Rovná spojnica 2"/>
        <cdr:cNvCxnSpPr/>
      </cdr:nvCxnSpPr>
      <cdr:spPr>
        <a:xfrm xmlns:a="http://schemas.openxmlformats.org/drawingml/2006/main">
          <a:off x="874814" y="879196"/>
          <a:ext cx="4368142" cy="11454"/>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3.xml><?xml version="1.0" encoding="utf-8"?>
<c:userShapes xmlns:c="http://schemas.openxmlformats.org/drawingml/2006/chart">
  <cdr:relSizeAnchor xmlns:cdr="http://schemas.openxmlformats.org/drawingml/2006/chartDrawing">
    <cdr:from>
      <cdr:x>0</cdr:x>
      <cdr:y>0</cdr:y>
    </cdr:from>
    <cdr:to>
      <cdr:x>0.08333</cdr:x>
      <cdr:y>0.13542</cdr:y>
    </cdr:to>
    <cdr:sp macro="" textlink="">
      <cdr:nvSpPr>
        <cdr:cNvPr id="2" name="BlokTextu 1"/>
        <cdr:cNvSpPr txBox="1"/>
      </cdr:nvSpPr>
      <cdr:spPr>
        <a:xfrm xmlns:a="http://schemas.openxmlformats.org/drawingml/2006/main">
          <a:off x="0" y="0"/>
          <a:ext cx="478457" cy="24444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sk-SK" sz="1000">
              <a:latin typeface="Times New Roman" pitchFamily="18" charset="0"/>
              <a:cs typeface="Times New Roman" pitchFamily="18" charset="0"/>
            </a:rPr>
            <a:t>ks</a:t>
          </a:r>
        </a:p>
      </cdr:txBody>
    </cdr:sp>
  </cdr:relSizeAnchor>
  <cdr:relSizeAnchor xmlns:cdr="http://schemas.openxmlformats.org/drawingml/2006/chartDrawing">
    <cdr:from>
      <cdr:x>0.95553</cdr:x>
      <cdr:y>0</cdr:y>
    </cdr:from>
    <cdr:to>
      <cdr:x>1</cdr:x>
      <cdr:y>0.10417</cdr:y>
    </cdr:to>
    <cdr:sp macro="" textlink="">
      <cdr:nvSpPr>
        <cdr:cNvPr id="3" name="BlokTextu 2"/>
        <cdr:cNvSpPr txBox="1"/>
      </cdr:nvSpPr>
      <cdr:spPr>
        <a:xfrm xmlns:a="http://schemas.openxmlformats.org/drawingml/2006/main">
          <a:off x="5486399" y="0"/>
          <a:ext cx="255319" cy="18803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sk-SK" sz="1000">
              <a:latin typeface="Times New Roman" pitchFamily="18" charset="0"/>
              <a:cs typeface="Times New Roman" pitchFamily="18" charset="0"/>
            </a:rPr>
            <a:t>l</a:t>
          </a:r>
        </a:p>
      </cdr:txBody>
    </cdr:sp>
  </cdr:relSizeAnchor>
</c:userShapes>
</file>

<file path=word/drawings/drawing34.xml><?xml version="1.0" encoding="utf-8"?>
<c:userShapes xmlns:c="http://schemas.openxmlformats.org/drawingml/2006/chart">
  <cdr:relSizeAnchor xmlns:cdr="http://schemas.openxmlformats.org/drawingml/2006/chartDrawing">
    <cdr:from>
      <cdr:x>0.13602</cdr:x>
      <cdr:y>0.61416</cdr:y>
    </cdr:from>
    <cdr:to>
      <cdr:x>0.92352</cdr:x>
      <cdr:y>0.61416</cdr:y>
    </cdr:to>
    <cdr:cxnSp macro="">
      <cdr:nvCxnSpPr>
        <cdr:cNvPr id="3" name="Rovná spojnica 2"/>
        <cdr:cNvCxnSpPr/>
      </cdr:nvCxnSpPr>
      <cdr:spPr>
        <a:xfrm xmlns:a="http://schemas.openxmlformats.org/drawingml/2006/main">
          <a:off x="783070" y="1428540"/>
          <a:ext cx="4533566" cy="0"/>
        </a:xfrm>
        <a:prstGeom xmlns:a="http://schemas.openxmlformats.org/drawingml/2006/main" prst="line">
          <a:avLst/>
        </a:prstGeom>
        <a:ln xmlns:a="http://schemas.openxmlformats.org/drawingml/2006/main" w="2857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5.xml><?xml version="1.0" encoding="utf-8"?>
<c:userShapes xmlns:c="http://schemas.openxmlformats.org/drawingml/2006/chart">
  <cdr:relSizeAnchor xmlns:cdr="http://schemas.openxmlformats.org/drawingml/2006/chartDrawing">
    <cdr:from>
      <cdr:x>0</cdr:x>
      <cdr:y>0.00148</cdr:y>
    </cdr:from>
    <cdr:to>
      <cdr:x>0.11458</cdr:x>
      <cdr:y>0.10783</cdr:y>
    </cdr:to>
    <cdr:sp macro="" textlink="">
      <cdr:nvSpPr>
        <cdr:cNvPr id="2" name="BlokTextu 1"/>
        <cdr:cNvSpPr txBox="1"/>
      </cdr:nvSpPr>
      <cdr:spPr>
        <a:xfrm xmlns:a="http://schemas.openxmlformats.org/drawingml/2006/main">
          <a:off x="0" y="4764"/>
          <a:ext cx="523875"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tis. hl</a:t>
          </a:r>
        </a:p>
      </cdr:txBody>
    </cdr:sp>
  </cdr:relSizeAnchor>
  <cdr:relSizeAnchor xmlns:cdr="http://schemas.openxmlformats.org/drawingml/2006/chartDrawing">
    <cdr:from>
      <cdr:x>0.92917</cdr:x>
      <cdr:y>0</cdr:y>
    </cdr:from>
    <cdr:to>
      <cdr:x>1</cdr:x>
      <cdr:y>0.10931</cdr:y>
    </cdr:to>
    <cdr:sp macro="" textlink="">
      <cdr:nvSpPr>
        <cdr:cNvPr id="3" name="BlokTextu 2"/>
        <cdr:cNvSpPr txBox="1"/>
      </cdr:nvSpPr>
      <cdr:spPr>
        <a:xfrm xmlns:a="http://schemas.openxmlformats.org/drawingml/2006/main">
          <a:off x="4248150" y="0"/>
          <a:ext cx="323850"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l</a:t>
          </a:r>
        </a:p>
      </cdr:txBody>
    </cdr:sp>
  </cdr:relSizeAnchor>
</c:userShapes>
</file>

<file path=word/drawings/drawing36.xml><?xml version="1.0" encoding="utf-8"?>
<c:userShapes xmlns:c="http://schemas.openxmlformats.org/drawingml/2006/chart">
  <cdr:relSizeAnchor xmlns:cdr="http://schemas.openxmlformats.org/drawingml/2006/chartDrawing">
    <cdr:from>
      <cdr:x>0</cdr:x>
      <cdr:y>0</cdr:y>
    </cdr:from>
    <cdr:to>
      <cdr:x>0.15217</cdr:x>
      <cdr:y>0.08666</cdr:y>
    </cdr:to>
    <cdr:sp macro="" textlink="">
      <cdr:nvSpPr>
        <cdr:cNvPr id="2" name="BlokTextu 1"/>
        <cdr:cNvSpPr txBox="1"/>
      </cdr:nvSpPr>
      <cdr:spPr>
        <a:xfrm xmlns:a="http://schemas.openxmlformats.org/drawingml/2006/main">
          <a:off x="0" y="0"/>
          <a:ext cx="800100" cy="361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ošípané</a:t>
          </a:r>
        </a:p>
      </cdr:txBody>
    </cdr:sp>
  </cdr:relSizeAnchor>
  <cdr:relSizeAnchor xmlns:cdr="http://schemas.openxmlformats.org/drawingml/2006/chartDrawing">
    <cdr:from>
      <cdr:x>0.88225</cdr:x>
      <cdr:y>0</cdr:y>
    </cdr:from>
    <cdr:to>
      <cdr:x>1</cdr:x>
      <cdr:y>0.0821</cdr:y>
    </cdr:to>
    <cdr:sp macro="" textlink="">
      <cdr:nvSpPr>
        <cdr:cNvPr id="3" name="BlokTextu 2"/>
        <cdr:cNvSpPr txBox="1"/>
      </cdr:nvSpPr>
      <cdr:spPr>
        <a:xfrm xmlns:a="http://schemas.openxmlformats.org/drawingml/2006/main">
          <a:off x="4638675" y="0"/>
          <a:ext cx="619124"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prasnice</a:t>
          </a:r>
        </a:p>
      </cdr:txBody>
    </cdr:sp>
  </cdr:relSizeAnchor>
</c:userShapes>
</file>

<file path=word/drawings/drawing37.xml><?xml version="1.0" encoding="utf-8"?>
<c:userShapes xmlns:c="http://schemas.openxmlformats.org/drawingml/2006/chart">
  <cdr:relSizeAnchor xmlns:cdr="http://schemas.openxmlformats.org/drawingml/2006/chartDrawing">
    <cdr:from>
      <cdr:x>0.02356</cdr:x>
      <cdr:y>0.01058</cdr:y>
    </cdr:from>
    <cdr:to>
      <cdr:x>0.09131</cdr:x>
      <cdr:y>0.10458</cdr:y>
    </cdr:to>
    <cdr:sp macro="" textlink="">
      <cdr:nvSpPr>
        <cdr:cNvPr id="2" name="BlokTextu 1"/>
        <cdr:cNvSpPr txBox="1"/>
      </cdr:nvSpPr>
      <cdr:spPr>
        <a:xfrm xmlns:a="http://schemas.openxmlformats.org/drawingml/2006/main">
          <a:off x="152401" y="42864"/>
          <a:ext cx="438150" cy="381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ha</a:t>
          </a:r>
        </a:p>
      </cdr:txBody>
    </cdr:sp>
  </cdr:relSizeAnchor>
  <cdr:relSizeAnchor xmlns:cdr="http://schemas.openxmlformats.org/drawingml/2006/chartDrawing">
    <cdr:from>
      <cdr:x>0.91016</cdr:x>
      <cdr:y>0.01058</cdr:y>
    </cdr:from>
    <cdr:to>
      <cdr:x>0.98085</cdr:x>
      <cdr:y>0.09283</cdr:y>
    </cdr:to>
    <cdr:sp macro="" textlink="">
      <cdr:nvSpPr>
        <cdr:cNvPr id="3" name="BlokTextu 2"/>
        <cdr:cNvSpPr txBox="1"/>
      </cdr:nvSpPr>
      <cdr:spPr>
        <a:xfrm xmlns:a="http://schemas.openxmlformats.org/drawingml/2006/main">
          <a:off x="5886451" y="42864"/>
          <a:ext cx="457200"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tis. t</a:t>
          </a:r>
        </a:p>
      </cdr:txBody>
    </cdr:sp>
  </cdr:relSizeAnchor>
</c:userShapes>
</file>

<file path=word/drawings/drawing38.xml><?xml version="1.0" encoding="utf-8"?>
<c:userShapes xmlns:c="http://schemas.openxmlformats.org/drawingml/2006/chart">
  <cdr:relSizeAnchor xmlns:cdr="http://schemas.openxmlformats.org/drawingml/2006/chartDrawing">
    <cdr:from>
      <cdr:x>0.9141</cdr:x>
      <cdr:y>0.01192</cdr:y>
    </cdr:from>
    <cdr:to>
      <cdr:x>0.99352</cdr:x>
      <cdr:y>0.10199</cdr:y>
    </cdr:to>
    <cdr:sp macro="" textlink="">
      <cdr:nvSpPr>
        <cdr:cNvPr id="2" name="BlokTextu 1"/>
        <cdr:cNvSpPr txBox="1"/>
      </cdr:nvSpPr>
      <cdr:spPr>
        <a:xfrm xmlns:a="http://schemas.openxmlformats.org/drawingml/2006/main">
          <a:off x="5372101" y="42863"/>
          <a:ext cx="466724" cy="323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ha</a:t>
          </a:r>
        </a:p>
      </cdr:txBody>
    </cdr:sp>
  </cdr:relSizeAnchor>
  <cdr:relSizeAnchor xmlns:cdr="http://schemas.openxmlformats.org/drawingml/2006/chartDrawing">
    <cdr:from>
      <cdr:x>0.0389</cdr:x>
      <cdr:y>0.01192</cdr:y>
    </cdr:from>
    <cdr:to>
      <cdr:x>0.09562</cdr:x>
      <cdr:y>0.10728</cdr:y>
    </cdr:to>
    <cdr:sp macro="" textlink="">
      <cdr:nvSpPr>
        <cdr:cNvPr id="3" name="BlokTextu 2"/>
        <cdr:cNvSpPr txBox="1"/>
      </cdr:nvSpPr>
      <cdr:spPr>
        <a:xfrm xmlns:a="http://schemas.openxmlformats.org/drawingml/2006/main">
          <a:off x="228601" y="42863"/>
          <a:ext cx="333375"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a:t>
          </a:r>
        </a:p>
      </cdr:txBody>
    </cdr:sp>
  </cdr:relSizeAnchor>
</c:userShapes>
</file>

<file path=word/drawings/drawing39.xml><?xml version="1.0" encoding="utf-8"?>
<c:userShapes xmlns:c="http://schemas.openxmlformats.org/drawingml/2006/chart">
  <cdr:relSizeAnchor xmlns:cdr="http://schemas.openxmlformats.org/drawingml/2006/chartDrawing">
    <cdr:from>
      <cdr:x>0.06925</cdr:x>
      <cdr:y>0.01014</cdr:y>
    </cdr:from>
    <cdr:to>
      <cdr:x>0.10848</cdr:x>
      <cdr:y>0.09379</cdr:y>
    </cdr:to>
    <cdr:sp macro="" textlink="">
      <cdr:nvSpPr>
        <cdr:cNvPr id="2" name="BlokTextu 1"/>
        <cdr:cNvSpPr txBox="1"/>
      </cdr:nvSpPr>
      <cdr:spPr>
        <a:xfrm xmlns:a="http://schemas.openxmlformats.org/drawingml/2006/main">
          <a:off x="714375" y="38100"/>
          <a:ext cx="404668" cy="3143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a:t>
          </a:r>
        </a:p>
      </cdr:txBody>
    </cdr:sp>
  </cdr:relSizeAnchor>
  <cdr:relSizeAnchor xmlns:cdr="http://schemas.openxmlformats.org/drawingml/2006/chartDrawing">
    <cdr:from>
      <cdr:x>0.9078</cdr:x>
      <cdr:y>0.00253</cdr:y>
    </cdr:from>
    <cdr:to>
      <cdr:x>0.98404</cdr:x>
      <cdr:y>0.11407</cdr:y>
    </cdr:to>
    <cdr:sp macro="" textlink="">
      <cdr:nvSpPr>
        <cdr:cNvPr id="3" name="BlokTextu 2"/>
        <cdr:cNvSpPr txBox="1"/>
      </cdr:nvSpPr>
      <cdr:spPr>
        <a:xfrm xmlns:a="http://schemas.openxmlformats.org/drawingml/2006/main">
          <a:off x="4876800" y="9525"/>
          <a:ext cx="409575" cy="4191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t/ha</a:t>
          </a:r>
        </a:p>
      </cdr:txBody>
    </cdr:sp>
  </cdr:relSizeAnchor>
</c:userShapes>
</file>

<file path=word/drawings/drawing4.xml><?xml version="1.0" encoding="utf-8"?>
<c:userShapes xmlns:c="http://schemas.openxmlformats.org/drawingml/2006/chart">
  <cdr:relSizeAnchor xmlns:cdr="http://schemas.openxmlformats.org/drawingml/2006/chartDrawing">
    <cdr:from>
      <cdr:x>0.16221</cdr:x>
      <cdr:y>0.1974</cdr:y>
    </cdr:from>
    <cdr:to>
      <cdr:x>0.89127</cdr:x>
      <cdr:y>0.20174</cdr:y>
    </cdr:to>
    <cdr:cxnSp macro="">
      <cdr:nvCxnSpPr>
        <cdr:cNvPr id="4" name="Rovná spojnica 3"/>
        <cdr:cNvCxnSpPr/>
      </cdr:nvCxnSpPr>
      <cdr:spPr>
        <a:xfrm xmlns:a="http://schemas.openxmlformats.org/drawingml/2006/main">
          <a:off x="866775" y="433388"/>
          <a:ext cx="3895725" cy="9525"/>
        </a:xfrm>
        <a:prstGeom xmlns:a="http://schemas.openxmlformats.org/drawingml/2006/main" prst="line">
          <a:avLst/>
        </a:prstGeom>
        <a:ln xmlns:a="http://schemas.openxmlformats.org/drawingml/2006/main" w="34925">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0.16667</cdr:x>
      <cdr:y>0.07062</cdr:y>
    </cdr:from>
    <cdr:to>
      <cdr:x>0.88542</cdr:x>
      <cdr:y>0.07062</cdr:y>
    </cdr:to>
    <cdr:cxnSp macro="">
      <cdr:nvCxnSpPr>
        <cdr:cNvPr id="3" name="Rovná spojnica 2"/>
        <cdr:cNvCxnSpPr/>
      </cdr:nvCxnSpPr>
      <cdr:spPr>
        <a:xfrm xmlns:a="http://schemas.openxmlformats.org/drawingml/2006/main">
          <a:off x="762000" y="147638"/>
          <a:ext cx="3286125" cy="0"/>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0.87809</cdr:x>
      <cdr:y>0.04808</cdr:y>
    </cdr:from>
    <cdr:to>
      <cdr:x>0.96643</cdr:x>
      <cdr:y>0.15224</cdr:y>
    </cdr:to>
    <cdr:sp macro="" textlink="">
      <cdr:nvSpPr>
        <cdr:cNvPr id="5" name="BlokTextu 4"/>
        <cdr:cNvSpPr txBox="1"/>
      </cdr:nvSpPr>
      <cdr:spPr>
        <a:xfrm xmlns:a="http://schemas.openxmlformats.org/drawingml/2006/main">
          <a:off x="4005629" y="131886"/>
          <a:ext cx="402982"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 kg</a:t>
          </a:r>
        </a:p>
      </cdr:txBody>
    </cdr:sp>
  </cdr:relSizeAnchor>
  <cdr:relSizeAnchor xmlns:cdr="http://schemas.openxmlformats.org/drawingml/2006/chartDrawing">
    <cdr:from>
      <cdr:x>0</cdr:x>
      <cdr:y>0.05858</cdr:y>
    </cdr:from>
    <cdr:to>
      <cdr:x>0.12689</cdr:x>
      <cdr:y>0.16275</cdr:y>
    </cdr:to>
    <cdr:sp macro="" textlink="">
      <cdr:nvSpPr>
        <cdr:cNvPr id="7" name="BlokTextu 1"/>
        <cdr:cNvSpPr txBox="1"/>
      </cdr:nvSpPr>
      <cdr:spPr>
        <a:xfrm xmlns:a="http://schemas.openxmlformats.org/drawingml/2006/main">
          <a:off x="0" y="160704"/>
          <a:ext cx="578827" cy="2857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1000" baseline="0">
              <a:latin typeface="Times New Roman" pitchFamily="18" charset="0"/>
              <a:cs typeface="Times New Roman" pitchFamily="18" charset="0"/>
            </a:rPr>
            <a:t> </a:t>
          </a:r>
          <a:r>
            <a:rPr lang="sk-SK" sz="1000">
              <a:latin typeface="Times New Roman" pitchFamily="18" charset="0"/>
              <a:cs typeface="Times New Roman" pitchFamily="18" charset="0"/>
            </a:rPr>
            <a:t>tis. ks</a:t>
          </a:r>
        </a:p>
      </cdr:txBody>
    </cdr:sp>
  </cdr:relSizeAnchor>
  <cdr:relSizeAnchor xmlns:cdr="http://schemas.openxmlformats.org/drawingml/2006/chartDrawing">
    <cdr:from>
      <cdr:x>0.17169</cdr:x>
      <cdr:y>0.2524</cdr:y>
    </cdr:from>
    <cdr:to>
      <cdr:x>0.8368</cdr:x>
      <cdr:y>0.25457</cdr:y>
    </cdr:to>
    <cdr:cxnSp macro="">
      <cdr:nvCxnSpPr>
        <cdr:cNvPr id="3" name="Rovná spojnica 2"/>
        <cdr:cNvCxnSpPr/>
      </cdr:nvCxnSpPr>
      <cdr:spPr>
        <a:xfrm xmlns:a="http://schemas.openxmlformats.org/drawingml/2006/main" flipV="1">
          <a:off x="854412" y="692394"/>
          <a:ext cx="3309938" cy="5954"/>
        </a:xfrm>
        <a:prstGeom xmlns:a="http://schemas.openxmlformats.org/drawingml/2006/main" prst="line">
          <a:avLst/>
        </a:prstGeom>
        <a:ln xmlns:a="http://schemas.openxmlformats.org/drawingml/2006/main" w="2540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0.18844</cdr:x>
      <cdr:y>0.30015</cdr:y>
    </cdr:from>
    <cdr:to>
      <cdr:x>0.8344</cdr:x>
      <cdr:y>0.30015</cdr:y>
    </cdr:to>
    <cdr:cxnSp macro="">
      <cdr:nvCxnSpPr>
        <cdr:cNvPr id="15" name="Rovná spojnica 14"/>
        <cdr:cNvCxnSpPr/>
      </cdr:nvCxnSpPr>
      <cdr:spPr>
        <a:xfrm xmlns:a="http://schemas.openxmlformats.org/drawingml/2006/main">
          <a:off x="937756" y="823362"/>
          <a:ext cx="3214687" cy="0"/>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0.1567</cdr:x>
      <cdr:y>0.11255</cdr:y>
    </cdr:from>
    <cdr:to>
      <cdr:x>0.93204</cdr:x>
      <cdr:y>0.11589</cdr:y>
    </cdr:to>
    <cdr:cxnSp macro="">
      <cdr:nvCxnSpPr>
        <cdr:cNvPr id="3" name="Rovná spojnica 2"/>
        <cdr:cNvCxnSpPr/>
      </cdr:nvCxnSpPr>
      <cdr:spPr>
        <a:xfrm xmlns:a="http://schemas.openxmlformats.org/drawingml/2006/main">
          <a:off x="902524" y="308758"/>
          <a:ext cx="4465514" cy="9151"/>
        </a:xfrm>
        <a:prstGeom xmlns:a="http://schemas.openxmlformats.org/drawingml/2006/main" prst="line">
          <a:avLst/>
        </a:prstGeom>
        <a:ln xmlns:a="http://schemas.openxmlformats.org/drawingml/2006/main" w="2540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0.1866</cdr:x>
      <cdr:y>0.22656</cdr:y>
    </cdr:from>
    <cdr:to>
      <cdr:x>0.92934</cdr:x>
      <cdr:y>0.22727</cdr:y>
    </cdr:to>
    <cdr:cxnSp macro="">
      <cdr:nvCxnSpPr>
        <cdr:cNvPr id="5" name="Rovná spojnica 4"/>
        <cdr:cNvCxnSpPr/>
      </cdr:nvCxnSpPr>
      <cdr:spPr>
        <a:xfrm xmlns:a="http://schemas.openxmlformats.org/drawingml/2006/main" flipV="1">
          <a:off x="1074717" y="621499"/>
          <a:ext cx="4277770" cy="1955"/>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0.19179</cdr:x>
      <cdr:y>0.33013</cdr:y>
    </cdr:from>
    <cdr:to>
      <cdr:x>0.57801</cdr:x>
      <cdr:y>0.40759</cdr:y>
    </cdr:to>
    <cdr:sp macro="" textlink="">
      <cdr:nvSpPr>
        <cdr:cNvPr id="2" name="BlokTextu 1"/>
        <cdr:cNvSpPr txBox="1"/>
      </cdr:nvSpPr>
      <cdr:spPr>
        <a:xfrm xmlns:a="http://schemas.openxmlformats.org/drawingml/2006/main">
          <a:off x="879090" y="905607"/>
          <a:ext cx="1770325" cy="2124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rok 2002 = 31,3 kg/obyvateľ</a:t>
          </a:r>
        </a:p>
      </cdr:txBody>
    </cdr:sp>
  </cdr:relSizeAnchor>
</c:userShapes>
</file>

<file path=word/drawings/drawing9.xml><?xml version="1.0" encoding="utf-8"?>
<c:userShapes xmlns:c="http://schemas.openxmlformats.org/drawingml/2006/chart">
  <cdr:relSizeAnchor xmlns:cdr="http://schemas.openxmlformats.org/drawingml/2006/chartDrawing">
    <cdr:from>
      <cdr:x>0.00147</cdr:x>
      <cdr:y>0</cdr:y>
    </cdr:from>
    <cdr:to>
      <cdr:x>0.23495</cdr:x>
      <cdr:y>0.10417</cdr:y>
    </cdr:to>
    <cdr:sp macro="" textlink="">
      <cdr:nvSpPr>
        <cdr:cNvPr id="2" name="BlokTextu 1"/>
        <cdr:cNvSpPr txBox="1"/>
      </cdr:nvSpPr>
      <cdr:spPr>
        <a:xfrm xmlns:a="http://schemas.openxmlformats.org/drawingml/2006/main">
          <a:off x="9525" y="0"/>
          <a:ext cx="1514475"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tony jatočnej hmotnosti</a:t>
          </a:r>
        </a:p>
      </cdr:txBody>
    </cdr:sp>
  </cdr:relSizeAnchor>
  <cdr:relSizeAnchor xmlns:cdr="http://schemas.openxmlformats.org/drawingml/2006/chartDrawing">
    <cdr:from>
      <cdr:x>0.8047</cdr:x>
      <cdr:y>0.00174</cdr:y>
    </cdr:from>
    <cdr:to>
      <cdr:x>0.99559</cdr:x>
      <cdr:y>0.12326</cdr:y>
    </cdr:to>
    <cdr:sp macro="" textlink="">
      <cdr:nvSpPr>
        <cdr:cNvPr id="3" name="BlokTextu 2"/>
        <cdr:cNvSpPr txBox="1"/>
      </cdr:nvSpPr>
      <cdr:spPr>
        <a:xfrm xmlns:a="http://schemas.openxmlformats.org/drawingml/2006/main">
          <a:off x="5219701" y="4763"/>
          <a:ext cx="1238249"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latin typeface="Times New Roman" pitchFamily="18" charset="0"/>
              <a:cs typeface="Times New Roman" pitchFamily="18" charset="0"/>
            </a:rPr>
            <a:t>tisíce kusov</a:t>
          </a:r>
        </a:p>
      </cdr:txBody>
    </cdr:sp>
  </cdr:relSizeAnchor>
  <cdr:relSizeAnchor xmlns:cdr="http://schemas.openxmlformats.org/drawingml/2006/chartDrawing">
    <cdr:from>
      <cdr:x>0.24908</cdr:x>
      <cdr:y>0.21205</cdr:y>
    </cdr:from>
    <cdr:to>
      <cdr:x>0.77828</cdr:x>
      <cdr:y>0.21205</cdr:y>
    </cdr:to>
    <cdr:cxnSp macro="">
      <cdr:nvCxnSpPr>
        <cdr:cNvPr id="7" name="Rovná spojnica 6"/>
        <cdr:cNvCxnSpPr/>
      </cdr:nvCxnSpPr>
      <cdr:spPr>
        <a:xfrm xmlns:a="http://schemas.openxmlformats.org/drawingml/2006/main">
          <a:off x="1434548" y="535100"/>
          <a:ext cx="3047900" cy="0"/>
        </a:xfrm>
        <a:prstGeom xmlns:a="http://schemas.openxmlformats.org/drawingml/2006/main" prst="line">
          <a:avLst/>
        </a:prstGeom>
        <a:ln xmlns:a="http://schemas.openxmlformats.org/drawingml/2006/main" w="2540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0.24887</cdr:x>
      <cdr:y>0.23934</cdr:y>
    </cdr:from>
    <cdr:to>
      <cdr:x>0.77806</cdr:x>
      <cdr:y>0.23934</cdr:y>
    </cdr:to>
    <cdr:cxnSp macro="">
      <cdr:nvCxnSpPr>
        <cdr:cNvPr id="9" name="Rovná spojnica 8"/>
        <cdr:cNvCxnSpPr/>
      </cdr:nvCxnSpPr>
      <cdr:spPr>
        <a:xfrm xmlns:a="http://schemas.openxmlformats.org/drawingml/2006/main">
          <a:off x="1433344" y="603980"/>
          <a:ext cx="3047843" cy="0"/>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B05B3-7EF0-40D5-9D42-2012B8D2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160</Pages>
  <Words>55687</Words>
  <Characters>317419</Characters>
  <Application>Microsoft Office Word</Application>
  <DocSecurity>0</DocSecurity>
  <Lines>2645</Lines>
  <Paragraphs>744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Bobovník Matej</cp:lastModifiedBy>
  <cp:revision>13</cp:revision>
  <cp:lastPrinted>2013-06-20T10:48:00Z</cp:lastPrinted>
  <dcterms:created xsi:type="dcterms:W3CDTF">2013-06-20T20:44:00Z</dcterms:created>
  <dcterms:modified xsi:type="dcterms:W3CDTF">2013-06-21T06:15:00Z</dcterms:modified>
</cp:coreProperties>
</file>