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4" w:rsidRPr="00635F24" w:rsidRDefault="00635F24" w:rsidP="00635F24">
      <w:pPr>
        <w:spacing w:before="40" w:after="0" w:line="240" w:lineRule="auto"/>
        <w:jc w:val="center"/>
        <w:outlineLvl w:val="0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Návrh</w:t>
      </w:r>
    </w:p>
    <w:p w:rsidR="00635F24" w:rsidRPr="00635F24" w:rsidRDefault="00635F24" w:rsidP="00635F24">
      <w:pPr>
        <w:spacing w:before="120" w:after="0" w:line="240" w:lineRule="auto"/>
        <w:jc w:val="center"/>
        <w:outlineLvl w:val="0"/>
        <w:rPr>
          <w:rFonts w:eastAsia="Times New Roman"/>
          <w:bCs w:val="0"/>
          <w:spacing w:val="0"/>
          <w:szCs w:val="20"/>
          <w:lang w:eastAsia="cs-CZ"/>
        </w:rPr>
      </w:pPr>
    </w:p>
    <w:p w:rsidR="00635F24" w:rsidRPr="00635F24" w:rsidRDefault="00635F24" w:rsidP="00635F24">
      <w:pPr>
        <w:spacing w:before="40" w:after="0" w:line="240" w:lineRule="auto"/>
        <w:jc w:val="center"/>
        <w:outlineLvl w:val="0"/>
        <w:rPr>
          <w:rFonts w:eastAsia="Times New Roman"/>
          <w:bCs w:val="0"/>
          <w:caps/>
          <w:spacing w:val="20"/>
          <w:szCs w:val="20"/>
          <w:lang w:eastAsia="cs-CZ"/>
        </w:rPr>
      </w:pPr>
      <w:r w:rsidRPr="00635F24">
        <w:rPr>
          <w:rFonts w:eastAsia="Times New Roman"/>
          <w:bCs w:val="0"/>
          <w:caps/>
          <w:spacing w:val="20"/>
          <w:szCs w:val="20"/>
          <w:lang w:eastAsia="cs-CZ"/>
        </w:rPr>
        <w:t>NARIADENIE VLÁDY</w:t>
      </w:r>
    </w:p>
    <w:p w:rsidR="00635F24" w:rsidRPr="00635F24" w:rsidRDefault="00635F24" w:rsidP="00635F24">
      <w:pPr>
        <w:spacing w:before="40" w:after="0" w:line="240" w:lineRule="auto"/>
        <w:jc w:val="center"/>
        <w:outlineLvl w:val="0"/>
        <w:rPr>
          <w:rFonts w:eastAsia="Times New Roman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Cs w:val="0"/>
          <w:spacing w:val="0"/>
          <w:szCs w:val="20"/>
          <w:lang w:eastAsia="cs-CZ"/>
        </w:rPr>
        <w:t>Slovenskej republiky</w:t>
      </w:r>
    </w:p>
    <w:p w:rsidR="00635F24" w:rsidRPr="00635F24" w:rsidRDefault="00635F24" w:rsidP="00635F24">
      <w:pPr>
        <w:spacing w:before="120" w:after="0" w:line="240" w:lineRule="auto"/>
        <w:jc w:val="center"/>
        <w:outlineLvl w:val="0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z ........... 2013,</w:t>
      </w:r>
    </w:p>
    <w:p w:rsidR="00635F24" w:rsidRPr="00635F24" w:rsidRDefault="00635F24" w:rsidP="00635F24">
      <w:pPr>
        <w:spacing w:after="0" w:line="240" w:lineRule="auto"/>
        <w:jc w:val="center"/>
        <w:outlineLvl w:val="0"/>
        <w:rPr>
          <w:rFonts w:eastAsia="Times New Roman"/>
          <w:b w:val="0"/>
          <w:bCs w:val="0"/>
          <w:spacing w:val="0"/>
          <w:szCs w:val="20"/>
          <w:lang w:eastAsia="cs-CZ"/>
        </w:rPr>
      </w:pPr>
    </w:p>
    <w:p w:rsidR="00635F24" w:rsidRPr="00635F24" w:rsidRDefault="00635F24" w:rsidP="00635F24">
      <w:pPr>
        <w:autoSpaceDE w:val="0"/>
        <w:autoSpaceDN w:val="0"/>
        <w:adjustRightInd w:val="0"/>
        <w:spacing w:after="280" w:line="240" w:lineRule="auto"/>
        <w:jc w:val="center"/>
        <w:rPr>
          <w:rFonts w:eastAsia="Times New Roman"/>
          <w:spacing w:val="0"/>
          <w:szCs w:val="19"/>
          <w:lang w:eastAsia="sk-SK"/>
        </w:rPr>
      </w:pPr>
      <w:r w:rsidRPr="00635F24">
        <w:rPr>
          <w:rFonts w:eastAsia="Times New Roman"/>
          <w:bCs w:val="0"/>
          <w:spacing w:val="0"/>
          <w:szCs w:val="20"/>
          <w:lang w:eastAsia="cs-CZ"/>
        </w:rPr>
        <w:t xml:space="preserve">ktorým sa mení a dopĺňa nariadenie vlády Slovenskej republiky č. 46/2009 Z. z., ktorým sa ustanovujú </w:t>
      </w:r>
      <w:r w:rsidRPr="00635F24">
        <w:rPr>
          <w:rFonts w:eastAsia="Times New Roman"/>
          <w:spacing w:val="0"/>
          <w:szCs w:val="19"/>
          <w:lang w:eastAsia="sk-SK"/>
        </w:rPr>
        <w:t>požiadavky na aerosólové rozprašovače</w:t>
      </w:r>
    </w:p>
    <w:p w:rsidR="00635F24" w:rsidRPr="00635F24" w:rsidRDefault="00635F24" w:rsidP="00635F24">
      <w:pPr>
        <w:spacing w:after="0" w:line="240" w:lineRule="auto"/>
        <w:jc w:val="center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635F24">
      <w:pPr>
        <w:widowControl w:val="0"/>
        <w:spacing w:after="0" w:line="240" w:lineRule="auto"/>
        <w:ind w:right="23" w:firstLine="708"/>
        <w:jc w:val="both"/>
        <w:outlineLvl w:val="6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 xml:space="preserve">Vláda Slovenskej republiky podľa § 2 ods. 1 písm. h) zákona č. 19/2002 Z. z., ktorým sa ustanovujú podmienky vydávania aproximačných nariadení vlády Slovenskej republiky v znení </w:t>
      </w:r>
      <w:r>
        <w:rPr>
          <w:rFonts w:eastAsia="Times New Roman"/>
          <w:b w:val="0"/>
          <w:bCs w:val="0"/>
          <w:spacing w:val="0"/>
          <w:szCs w:val="20"/>
          <w:lang w:eastAsia="cs-CZ"/>
        </w:rPr>
        <w:t xml:space="preserve">zákona č. 607/2004 Z. z. 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nariaďuje:</w:t>
      </w:r>
    </w:p>
    <w:p w:rsidR="00635F24" w:rsidRPr="00635F24" w:rsidRDefault="00635F24" w:rsidP="00635F24">
      <w:pPr>
        <w:spacing w:after="0" w:line="240" w:lineRule="auto"/>
        <w:jc w:val="center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635F24">
      <w:pPr>
        <w:spacing w:after="0" w:line="240" w:lineRule="auto"/>
        <w:jc w:val="center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Čl. I</w:t>
      </w:r>
    </w:p>
    <w:p w:rsidR="00635F24" w:rsidRPr="00635F24" w:rsidRDefault="00635F24" w:rsidP="00635F24">
      <w:pPr>
        <w:spacing w:after="0" w:line="240" w:lineRule="auto"/>
        <w:jc w:val="center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635F24">
      <w:pPr>
        <w:spacing w:after="0" w:line="240" w:lineRule="auto"/>
        <w:ind w:firstLine="709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Nariadenie vlády Slovenskej republiky č. 46/2009 Z. z., ktorým sa ustanovujú požiadavky na aerosólové rozprašovače sa mení a dopĺňa takto:</w:t>
      </w:r>
    </w:p>
    <w:p w:rsidR="00635F24" w:rsidRPr="00635F24" w:rsidRDefault="00635F24" w:rsidP="00635F24">
      <w:pPr>
        <w:spacing w:after="0" w:line="240" w:lineRule="auto"/>
        <w:jc w:val="center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635F24">
      <w:pPr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1. V § 3 sa odsek 2 dopĺňa písmenami h) a i), ktoré znejú:</w:t>
      </w:r>
    </w:p>
    <w:p w:rsidR="00635F24" w:rsidRPr="00635F24" w:rsidRDefault="00635F24" w:rsidP="00635F24">
      <w:pPr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„h) látkou látka podľa osobitného predpisu,</w:t>
      </w:r>
      <w:r w:rsidRPr="00635F24">
        <w:rPr>
          <w:rFonts w:eastAsia="Times New Roman"/>
          <w:b w:val="0"/>
          <w:bCs w:val="0"/>
          <w:spacing w:val="0"/>
          <w:vertAlign w:val="superscript"/>
          <w:lang w:eastAsia="sk-SK"/>
        </w:rPr>
        <w:t>1</w:t>
      </w:r>
      <w:r w:rsidRPr="00635F24">
        <w:rPr>
          <w:rFonts w:eastAsia="Times New Roman"/>
          <w:b w:val="0"/>
          <w:bCs w:val="0"/>
          <w:spacing w:val="0"/>
          <w:lang w:eastAsia="sk-SK"/>
        </w:rPr>
        <w:t>)</w:t>
      </w:r>
    </w:p>
    <w:p w:rsidR="00635F24" w:rsidRPr="00635F24" w:rsidRDefault="00635F24" w:rsidP="00635F24">
      <w:pPr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  i) zmesou zmes podľa osobitného predpisu.</w:t>
      </w:r>
      <w:r w:rsidR="00497F20">
        <w:rPr>
          <w:rFonts w:eastAsia="Times New Roman"/>
          <w:b w:val="0"/>
          <w:bCs w:val="0"/>
          <w:spacing w:val="0"/>
          <w:vertAlign w:val="superscript"/>
          <w:lang w:eastAsia="sk-SK"/>
        </w:rPr>
        <w:t>1a</w:t>
      </w:r>
      <w:r w:rsidRPr="00635F24">
        <w:rPr>
          <w:rFonts w:eastAsia="Times New Roman"/>
          <w:b w:val="0"/>
          <w:bCs w:val="0"/>
          <w:spacing w:val="0"/>
          <w:lang w:eastAsia="sk-SK"/>
        </w:rPr>
        <w:t>)“.</w:t>
      </w:r>
    </w:p>
    <w:p w:rsidR="00635F24" w:rsidRPr="00635F24" w:rsidRDefault="00635F24" w:rsidP="00635F24">
      <w:pPr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635F24">
      <w:pPr>
        <w:spacing w:after="0" w:line="240" w:lineRule="auto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Poznámky pod čiarou k odkazom 1 a</w:t>
      </w:r>
      <w:r w:rsidR="00497F20">
        <w:rPr>
          <w:rFonts w:eastAsia="Times New Roman"/>
          <w:b w:val="0"/>
          <w:bCs w:val="0"/>
          <w:spacing w:val="0"/>
          <w:lang w:eastAsia="sk-SK"/>
        </w:rPr>
        <w:t> </w:t>
      </w:r>
      <w:r w:rsidRPr="00635F24">
        <w:rPr>
          <w:rFonts w:eastAsia="Times New Roman"/>
          <w:b w:val="0"/>
          <w:bCs w:val="0"/>
          <w:spacing w:val="0"/>
          <w:lang w:eastAsia="sk-SK"/>
        </w:rPr>
        <w:t>1</w:t>
      </w:r>
      <w:r w:rsidR="00497F20">
        <w:rPr>
          <w:rFonts w:eastAsia="Times New Roman"/>
          <w:b w:val="0"/>
          <w:bCs w:val="0"/>
          <w:spacing w:val="0"/>
          <w:lang w:eastAsia="sk-SK"/>
        </w:rPr>
        <w:t>a</w:t>
      </w: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 znejú:</w:t>
      </w:r>
    </w:p>
    <w:p w:rsidR="00635F24" w:rsidRPr="00635F24" w:rsidRDefault="00635F24" w:rsidP="00635F24">
      <w:pPr>
        <w:spacing w:after="0" w:line="240" w:lineRule="auto"/>
        <w:ind w:left="425" w:hanging="425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„</w:t>
      </w:r>
      <w:r w:rsidRPr="00635F24">
        <w:rPr>
          <w:rFonts w:eastAsia="Times New Roman"/>
          <w:b w:val="0"/>
          <w:bCs w:val="0"/>
          <w:spacing w:val="0"/>
          <w:vertAlign w:val="superscript"/>
          <w:lang w:eastAsia="sk-SK"/>
        </w:rPr>
        <w:t>1</w:t>
      </w:r>
      <w:r w:rsidRPr="00635F24">
        <w:rPr>
          <w:rFonts w:eastAsia="Times New Roman"/>
          <w:b w:val="0"/>
          <w:bCs w:val="0"/>
          <w:spacing w:val="0"/>
          <w:lang w:eastAsia="sk-SK"/>
        </w:rPr>
        <w:t>) Čl. 2 ods. 7 nariadenia</w:t>
      </w:r>
      <w:r w:rsidR="002D61DE">
        <w:rPr>
          <w:rFonts w:eastAsia="Times New Roman"/>
          <w:b w:val="0"/>
          <w:bCs w:val="0"/>
          <w:spacing w:val="0"/>
          <w:lang w:eastAsia="sk-SK"/>
        </w:rPr>
        <w:t xml:space="preserve"> Európskeho parlamentu a Rady</w:t>
      </w: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 (ES) č. 1272/2008</w:t>
      </w:r>
      <w:r w:rsidRPr="00635F24">
        <w:rPr>
          <w:rFonts w:eastAsia="Times New Roman"/>
          <w:b w:val="0"/>
          <w:bCs w:val="0"/>
          <w:spacing w:val="0"/>
          <w:szCs w:val="20"/>
          <w:lang w:val="cs-CZ" w:eastAsia="cs-CZ"/>
        </w:rPr>
        <w:t xml:space="preserve"> </w:t>
      </w:r>
      <w:r w:rsidRPr="00635F24">
        <w:rPr>
          <w:rFonts w:eastAsia="Times New Roman"/>
          <w:b w:val="0"/>
          <w:bCs w:val="0"/>
          <w:spacing w:val="0"/>
          <w:lang w:eastAsia="sk-SK"/>
        </w:rPr>
        <w:t>zo 16. decembra 2008 o klasifikácii, označovaní a balení látok a zmesí, o zmene, doplnení a zrušení smerníc 67/548/EHS a 1999/45/ES</w:t>
      </w:r>
      <w:r w:rsidR="002D61DE">
        <w:rPr>
          <w:rFonts w:eastAsia="Times New Roman"/>
          <w:b w:val="0"/>
          <w:bCs w:val="0"/>
          <w:spacing w:val="0"/>
          <w:lang w:eastAsia="sk-SK"/>
        </w:rPr>
        <w:t xml:space="preserve"> </w:t>
      </w:r>
      <w:r w:rsidRPr="00635F24">
        <w:rPr>
          <w:rFonts w:eastAsia="Times New Roman"/>
          <w:b w:val="0"/>
          <w:bCs w:val="0"/>
          <w:spacing w:val="0"/>
          <w:lang w:eastAsia="sk-SK"/>
        </w:rPr>
        <w:t>a o zmene a doplnení nariadenia (ES) č. 1907/2006 (Ú. v. EÚ L 353, 31. 12. 2008)</w:t>
      </w:r>
      <w:r w:rsidR="00CA4A7F">
        <w:rPr>
          <w:rFonts w:eastAsia="Times New Roman"/>
          <w:b w:val="0"/>
          <w:bCs w:val="0"/>
          <w:spacing w:val="0"/>
          <w:lang w:eastAsia="sk-SK"/>
        </w:rPr>
        <w:t xml:space="preserve"> v platnom znení</w:t>
      </w: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. </w:t>
      </w:r>
    </w:p>
    <w:p w:rsid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vertAlign w:val="superscript"/>
          <w:lang w:eastAsia="sk-SK"/>
        </w:rPr>
        <w:t xml:space="preserve">  </w:t>
      </w:r>
      <w:r w:rsidR="00497F20">
        <w:rPr>
          <w:rFonts w:eastAsia="Times New Roman"/>
          <w:b w:val="0"/>
          <w:bCs w:val="0"/>
          <w:spacing w:val="0"/>
          <w:vertAlign w:val="superscript"/>
          <w:lang w:eastAsia="sk-SK"/>
        </w:rPr>
        <w:t>1a</w:t>
      </w:r>
      <w:r w:rsidRPr="00635F24">
        <w:rPr>
          <w:rFonts w:eastAsia="Times New Roman"/>
          <w:b w:val="0"/>
          <w:bCs w:val="0"/>
          <w:spacing w:val="0"/>
          <w:lang w:eastAsia="sk-SK"/>
        </w:rPr>
        <w:t>) Čl. 2 ods. 8 nariadenia (ES) č. 1272/2008</w:t>
      </w:r>
      <w:r w:rsidR="00CA4A7F">
        <w:rPr>
          <w:rFonts w:eastAsia="Times New Roman"/>
          <w:b w:val="0"/>
          <w:bCs w:val="0"/>
          <w:spacing w:val="0"/>
          <w:lang w:eastAsia="sk-SK"/>
        </w:rPr>
        <w:t xml:space="preserve"> v platnom znení</w:t>
      </w:r>
      <w:r w:rsidRPr="00635F24">
        <w:rPr>
          <w:rFonts w:eastAsia="Times New Roman"/>
          <w:b w:val="0"/>
          <w:bCs w:val="0"/>
          <w:spacing w:val="0"/>
          <w:lang w:eastAsia="sk-SK"/>
        </w:rPr>
        <w:t>.“.</w:t>
      </w:r>
    </w:p>
    <w:p w:rsidR="001A5C9F" w:rsidRDefault="001A5C9F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1A5C9F" w:rsidRPr="00635F24" w:rsidRDefault="001A5C9F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>Dote</w:t>
      </w:r>
      <w:r w:rsidR="00497F20">
        <w:rPr>
          <w:rFonts w:eastAsia="Times New Roman"/>
          <w:b w:val="0"/>
          <w:bCs w:val="0"/>
          <w:spacing w:val="0"/>
          <w:lang w:eastAsia="sk-SK"/>
        </w:rPr>
        <w:t>rajší odkaz 1 sa označuje ako 1b</w:t>
      </w:r>
      <w:r>
        <w:rPr>
          <w:rFonts w:eastAsia="Times New Roman"/>
          <w:b w:val="0"/>
          <w:bCs w:val="0"/>
          <w:spacing w:val="0"/>
          <w:lang w:eastAsia="sk-SK"/>
        </w:rPr>
        <w:t>.</w:t>
      </w:r>
    </w:p>
    <w:p w:rsidR="00635F24" w:rsidRP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2. V § 3 ods. 4 </w:t>
      </w:r>
      <w:r w:rsidR="001A5C9F">
        <w:rPr>
          <w:rFonts w:eastAsia="Times New Roman"/>
          <w:b w:val="0"/>
          <w:bCs w:val="0"/>
          <w:spacing w:val="0"/>
          <w:lang w:eastAsia="sk-SK"/>
        </w:rPr>
        <w:t xml:space="preserve">a § 4 písm. b) </w:t>
      </w:r>
      <w:r w:rsidRPr="00635F24">
        <w:rPr>
          <w:rFonts w:eastAsia="Times New Roman"/>
          <w:b w:val="0"/>
          <w:bCs w:val="0"/>
          <w:spacing w:val="0"/>
          <w:lang w:eastAsia="sk-SK"/>
        </w:rPr>
        <w:t>sa symbol „</w:t>
      </w:r>
      <w:r w:rsidRPr="00635F24">
        <w:rPr>
          <w:rFonts w:ascii="Book Antiqua" w:eastAsia="Times New Roman" w:hAnsi="Book Antiqua"/>
          <w:b w:val="0"/>
          <w:bCs w:val="0"/>
          <w:spacing w:val="0"/>
          <w:lang w:eastAsia="sk-SK"/>
        </w:rPr>
        <w:t>ε</w:t>
      </w:r>
      <w:r w:rsidRPr="00635F24">
        <w:rPr>
          <w:rFonts w:eastAsia="Times New Roman"/>
          <w:b w:val="0"/>
          <w:bCs w:val="0"/>
          <w:spacing w:val="0"/>
          <w:lang w:eastAsia="sk-SK"/>
        </w:rPr>
        <w:t>“ nahrádza symbolom „</w:t>
      </w:r>
      <w:r w:rsidRPr="00635F24">
        <w:rPr>
          <w:rFonts w:ascii="Book Antiqua" w:eastAsia="Times New Roman" w:hAnsi="Book Antiqua"/>
          <w:b w:val="0"/>
          <w:bCs w:val="0"/>
          <w:spacing w:val="0"/>
          <w:lang w:eastAsia="sk-SK"/>
        </w:rPr>
        <w:t>з</w:t>
      </w:r>
      <w:r w:rsidRPr="00635F24">
        <w:rPr>
          <w:rFonts w:eastAsia="Times New Roman"/>
          <w:b w:val="0"/>
          <w:bCs w:val="0"/>
          <w:spacing w:val="0"/>
          <w:lang w:eastAsia="sk-SK"/>
        </w:rPr>
        <w:t>“.</w:t>
      </w:r>
    </w:p>
    <w:p w:rsidR="00635F24" w:rsidRP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21724B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3. </w:t>
      </w:r>
      <w:r w:rsidR="0021724B">
        <w:rPr>
          <w:rFonts w:eastAsia="Times New Roman"/>
          <w:b w:val="0"/>
          <w:bCs w:val="0"/>
          <w:spacing w:val="0"/>
          <w:lang w:eastAsia="sk-SK"/>
        </w:rPr>
        <w:t>V poznámke pod čiarou k odkazu 2 sa citácia „Napríklad § 6 zákona č. 529/2002 Z. z. o obaloch a o zmene a doplnení niektorých zákonov v znení neskorších predpisov, § 25 a 26 zákona č. 163/2001 Z. z. o chemických prípravkoch v znení neskorších predpisov“ nahrádza citáciou „</w:t>
      </w: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Napríklad § 5 zákona č. 119/2010 Z. z. o obaloch a o zmene zákona č. 223/2001 Z. z. o odpadoch a o zmene a doplnení niektorých zákonov v znení neskorších predpisov, § 3 a 4 zákona č. 67/2010 Z. z. o podmienkach uvedenia chemických látok a chemických zmesí na trh a zmene a doplnení niektorých zákonov (chemický zákon).“. </w:t>
      </w:r>
    </w:p>
    <w:p w:rsidR="00635F24" w:rsidRPr="00635F24" w:rsidRDefault="00635F24" w:rsidP="00DF010F">
      <w:pPr>
        <w:spacing w:after="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042E5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>4</w:t>
      </w:r>
      <w:r w:rsidR="00635F24" w:rsidRPr="00635F24">
        <w:rPr>
          <w:rFonts w:eastAsia="Times New Roman"/>
          <w:b w:val="0"/>
          <w:bCs w:val="0"/>
          <w:spacing w:val="0"/>
          <w:lang w:eastAsia="sk-SK"/>
        </w:rPr>
        <w:t>. V § 4 písmeno d) znie:</w:t>
      </w:r>
    </w:p>
    <w:p w:rsidR="00635F24" w:rsidRP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„d) údaje uvedené v prílohe č. 1 bode 2.2,“.</w:t>
      </w:r>
    </w:p>
    <w:p w:rsidR="00635F24" w:rsidRP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042E5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>5</w:t>
      </w:r>
      <w:r w:rsidR="00635F24" w:rsidRPr="00635F24">
        <w:rPr>
          <w:rFonts w:eastAsia="Times New Roman"/>
          <w:b w:val="0"/>
          <w:bCs w:val="0"/>
          <w:spacing w:val="0"/>
          <w:lang w:eastAsia="sk-SK"/>
        </w:rPr>
        <w:t xml:space="preserve">. Za § 5 sa vkladá § 5a, ktorý </w:t>
      </w:r>
      <w:r w:rsidR="00360716">
        <w:rPr>
          <w:rFonts w:eastAsia="Times New Roman"/>
          <w:b w:val="0"/>
          <w:bCs w:val="0"/>
          <w:spacing w:val="0"/>
          <w:lang w:eastAsia="sk-SK"/>
        </w:rPr>
        <w:t xml:space="preserve">vrátane nadpisu </w:t>
      </w:r>
      <w:r w:rsidR="00635F24" w:rsidRPr="00635F24">
        <w:rPr>
          <w:rFonts w:eastAsia="Times New Roman"/>
          <w:b w:val="0"/>
          <w:bCs w:val="0"/>
          <w:spacing w:val="0"/>
          <w:lang w:eastAsia="sk-SK"/>
        </w:rPr>
        <w:t>znie:</w:t>
      </w:r>
    </w:p>
    <w:p w:rsidR="00635F24" w:rsidRP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35F24" w:rsidRDefault="00635F24" w:rsidP="00DF010F">
      <w:pPr>
        <w:spacing w:after="0" w:line="240" w:lineRule="auto"/>
        <w:ind w:left="425" w:hanging="425"/>
        <w:jc w:val="center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„</w:t>
      </w:r>
      <w:r>
        <w:rPr>
          <w:rFonts w:eastAsia="Times New Roman"/>
          <w:b w:val="0"/>
          <w:bCs w:val="0"/>
          <w:spacing w:val="0"/>
          <w:lang w:eastAsia="sk-SK"/>
        </w:rPr>
        <w:t xml:space="preserve">§ </w:t>
      </w:r>
      <w:r w:rsidRPr="00635F24">
        <w:rPr>
          <w:rFonts w:eastAsia="Times New Roman"/>
          <w:b w:val="0"/>
          <w:bCs w:val="0"/>
          <w:spacing w:val="0"/>
          <w:lang w:eastAsia="sk-SK"/>
        </w:rPr>
        <w:t>5a</w:t>
      </w:r>
    </w:p>
    <w:p w:rsidR="00360716" w:rsidRPr="00635F24" w:rsidRDefault="00360716" w:rsidP="00DF010F">
      <w:pPr>
        <w:spacing w:after="0" w:line="240" w:lineRule="auto"/>
        <w:ind w:left="425" w:hanging="425"/>
        <w:jc w:val="center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>Prechodné ustanovenia k úpravám účinným od 1. decembra 2013</w:t>
      </w:r>
    </w:p>
    <w:p w:rsidR="00635F24" w:rsidRPr="00635F24" w:rsidRDefault="00635F24" w:rsidP="00635F24">
      <w:pPr>
        <w:spacing w:after="120" w:line="240" w:lineRule="auto"/>
        <w:ind w:firstLine="567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lastRenderedPageBreak/>
        <w:t>Aerosólové rozprašovače obsahujúce zmesi, ktoré boli klasifikované, označené a balené podľa osobitného predpisu</w:t>
      </w:r>
      <w:r w:rsidRPr="00635F24">
        <w:rPr>
          <w:rFonts w:eastAsia="Times New Roman"/>
          <w:b w:val="0"/>
          <w:bCs w:val="0"/>
          <w:spacing w:val="0"/>
          <w:vertAlign w:val="superscript"/>
          <w:lang w:eastAsia="sk-SK"/>
        </w:rPr>
        <w:t>2a</w:t>
      </w:r>
      <w:r w:rsidRPr="00635F24">
        <w:rPr>
          <w:rFonts w:eastAsia="Times New Roman"/>
          <w:b w:val="0"/>
          <w:bCs w:val="0"/>
          <w:spacing w:val="0"/>
          <w:lang w:eastAsia="sk-SK"/>
        </w:rPr>
        <w:t>) a uvedené na trh pred 1. júnom 2015, sa do 1. júna 2017 nemusia znovu označovať a baliť podľa osobitného predpisu.</w:t>
      </w:r>
      <w:r w:rsidRPr="00635F24">
        <w:rPr>
          <w:rFonts w:eastAsia="Times New Roman"/>
          <w:b w:val="0"/>
          <w:bCs w:val="0"/>
          <w:spacing w:val="0"/>
          <w:vertAlign w:val="superscript"/>
          <w:lang w:eastAsia="sk-SK"/>
        </w:rPr>
        <w:t>2b</w:t>
      </w:r>
      <w:r w:rsidRPr="00635F24">
        <w:rPr>
          <w:rFonts w:eastAsia="Times New Roman"/>
          <w:b w:val="0"/>
          <w:bCs w:val="0"/>
          <w:spacing w:val="0"/>
          <w:lang w:eastAsia="sk-SK"/>
        </w:rPr>
        <w:t>)“.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Poznámky pod čiarou k odkazom 2a a 2b znejú: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lang w:eastAsia="sk-SK"/>
        </w:rPr>
        <w:t>„</w:t>
      </w:r>
      <w:r w:rsidRPr="00635F24">
        <w:rPr>
          <w:rFonts w:eastAsia="Times New Roman"/>
          <w:b w:val="0"/>
          <w:bCs w:val="0"/>
          <w:spacing w:val="0"/>
          <w:vertAlign w:val="superscript"/>
          <w:lang w:eastAsia="sk-SK"/>
        </w:rPr>
        <w:t>2a</w:t>
      </w: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) § 46 zákona č. 67/2010 Z. z. 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  <w:r w:rsidRPr="00635F24">
        <w:rPr>
          <w:rFonts w:eastAsia="Times New Roman"/>
          <w:b w:val="0"/>
          <w:bCs w:val="0"/>
          <w:spacing w:val="0"/>
          <w:vertAlign w:val="superscript"/>
          <w:lang w:eastAsia="sk-SK"/>
        </w:rPr>
        <w:t xml:space="preserve">  2b</w:t>
      </w:r>
      <w:r w:rsidRPr="00635F24">
        <w:rPr>
          <w:rFonts w:eastAsia="Times New Roman"/>
          <w:b w:val="0"/>
          <w:bCs w:val="0"/>
          <w:spacing w:val="0"/>
          <w:lang w:eastAsia="sk-SK"/>
        </w:rPr>
        <w:t xml:space="preserve">) § 4 zákona č. 67/2010 Z. z.“. </w:t>
      </w:r>
    </w:p>
    <w:p w:rsidR="00635F24" w:rsidRPr="00635F24" w:rsidRDefault="00635F24" w:rsidP="00635F24">
      <w:pPr>
        <w:spacing w:after="12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042E54" w:rsidP="00635F24">
      <w:pPr>
        <w:spacing w:after="12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  <w:r>
        <w:rPr>
          <w:rFonts w:eastAsia="Times New Roman"/>
          <w:b w:val="0"/>
          <w:bCs w:val="0"/>
          <w:spacing w:val="0"/>
          <w:lang w:eastAsia="sk-SK"/>
        </w:rPr>
        <w:t>6</w:t>
      </w:r>
      <w:r w:rsidR="00635F24" w:rsidRPr="00635F24">
        <w:rPr>
          <w:rFonts w:eastAsia="Times New Roman"/>
          <w:b w:val="0"/>
          <w:bCs w:val="0"/>
          <w:spacing w:val="0"/>
          <w:lang w:eastAsia="sk-SK"/>
        </w:rPr>
        <w:t>. § 6 znie:</w:t>
      </w:r>
    </w:p>
    <w:p w:rsidR="00635F24" w:rsidRPr="00635F24" w:rsidRDefault="00635F24" w:rsidP="00635F24">
      <w:pPr>
        <w:widowControl w:val="0"/>
        <w:spacing w:after="0" w:line="240" w:lineRule="auto"/>
        <w:ind w:left="425" w:hanging="425"/>
        <w:jc w:val="center"/>
        <w:outlineLvl w:val="7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„§ 6</w:t>
      </w:r>
    </w:p>
    <w:p w:rsidR="00635F24" w:rsidRPr="00635F24" w:rsidRDefault="00635F24" w:rsidP="00635F24">
      <w:pPr>
        <w:widowControl w:val="0"/>
        <w:spacing w:after="0" w:line="240" w:lineRule="auto"/>
        <w:ind w:left="425" w:hanging="425"/>
        <w:jc w:val="center"/>
        <w:outlineLvl w:val="7"/>
        <w:rPr>
          <w:rFonts w:eastAsia="Times New Roman"/>
          <w:b w:val="0"/>
          <w:bCs w:val="0"/>
          <w:spacing w:val="0"/>
          <w:szCs w:val="20"/>
          <w:lang w:eastAsia="cs-CZ"/>
        </w:rPr>
      </w:pPr>
    </w:p>
    <w:p w:rsidR="00635F24" w:rsidRPr="00635F24" w:rsidRDefault="00635F24" w:rsidP="00635F24">
      <w:pPr>
        <w:widowControl w:val="0"/>
        <w:spacing w:after="0" w:line="240" w:lineRule="auto"/>
        <w:ind w:firstLine="709"/>
        <w:jc w:val="both"/>
        <w:outlineLvl w:val="6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Týmto nariadením vlády sa preberajú právne záväzné akty Európskej únie uvedené v prílohe č. 2.“.</w:t>
      </w:r>
    </w:p>
    <w:p w:rsidR="00635F24" w:rsidRPr="00635F24" w:rsidRDefault="00635F24" w:rsidP="00635F24">
      <w:pPr>
        <w:keepNext/>
        <w:spacing w:after="0" w:line="240" w:lineRule="auto"/>
        <w:jc w:val="center"/>
        <w:outlineLvl w:val="1"/>
        <w:rPr>
          <w:rFonts w:eastAsia="Times New Roman"/>
          <w:b w:val="0"/>
          <w:spacing w:val="0"/>
          <w:szCs w:val="20"/>
          <w:lang w:eastAsia="sk-SK"/>
        </w:rPr>
      </w:pPr>
    </w:p>
    <w:p w:rsidR="00635F24" w:rsidRPr="00635F24" w:rsidRDefault="00042E54" w:rsidP="00635F24">
      <w:pPr>
        <w:spacing w:after="0" w:line="240" w:lineRule="auto"/>
        <w:rPr>
          <w:rFonts w:eastAsia="Times New Roman"/>
          <w:b w:val="0"/>
          <w:bCs w:val="0"/>
          <w:spacing w:val="0"/>
          <w:szCs w:val="20"/>
          <w:lang w:eastAsia="cs-CZ"/>
        </w:rPr>
      </w:pPr>
      <w:r>
        <w:rPr>
          <w:rFonts w:eastAsia="Times New Roman"/>
          <w:b w:val="0"/>
          <w:bCs w:val="0"/>
          <w:spacing w:val="0"/>
          <w:szCs w:val="20"/>
          <w:lang w:eastAsia="cs-CZ"/>
        </w:rPr>
        <w:t>7</w:t>
      </w:r>
      <w:r w:rsidR="00635F24" w:rsidRPr="00635F24">
        <w:rPr>
          <w:rFonts w:eastAsia="Times New Roman"/>
          <w:b w:val="0"/>
          <w:bCs w:val="0"/>
          <w:spacing w:val="0"/>
          <w:szCs w:val="20"/>
          <w:lang w:eastAsia="cs-CZ"/>
        </w:rPr>
        <w:t>. V prílohe č. 1 body 2.2 a 2.3 znejú:</w:t>
      </w:r>
    </w:p>
    <w:p w:rsidR="00635F24" w:rsidRPr="00635F24" w:rsidRDefault="00635F24" w:rsidP="00635F24">
      <w:pPr>
        <w:spacing w:after="0" w:line="240" w:lineRule="auto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„2.2. Označovanie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Bez toho, aby boli dotknuté požiadavky osobitného predpisu,</w:t>
      </w: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3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 musí byť každý aerosólový rozprašovač viditeľne, zreteľne a nezmazateľne označený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a)   bez ohľadu na obsah:</w:t>
      </w:r>
    </w:p>
    <w:p w:rsidR="00635F24" w:rsidRPr="00635F24" w:rsidRDefault="00635F24" w:rsidP="00635F2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výstražným upozornením H229 „Nádoba je pod tlakom: pri zahriatí sa môže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br/>
        <w:t>roztrhnúť“,</w:t>
      </w:r>
    </w:p>
    <w:p w:rsidR="00635F24" w:rsidRPr="00635F24" w:rsidRDefault="00635F24" w:rsidP="00635F2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bezpečnostnými upozorneniami P210 a P251 uvedenými v tabuľke 6.2 osobitného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br/>
        <w:t>predpisu,</w:t>
      </w: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4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</w:t>
      </w:r>
    </w:p>
    <w:p w:rsidR="00635F24" w:rsidRPr="00635F24" w:rsidRDefault="00635F24" w:rsidP="00635F2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bezpečnostným upozornením P410 + P412 uvedeným v tabuľke 6.4 osobitného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br/>
        <w:t>predpisu,</w:t>
      </w: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4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</w:t>
      </w:r>
    </w:p>
    <w:p w:rsidR="00635F24" w:rsidRPr="00635F24" w:rsidRDefault="00635F24" w:rsidP="00635F2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bezpečnostným upozornením P102 uvedeným v tabuľke 6.1 osobitného predpisu</w:t>
      </w:r>
      <w:r>
        <w:rPr>
          <w:rFonts w:eastAsia="Times New Roman"/>
          <w:b w:val="0"/>
          <w:bCs w:val="0"/>
          <w:spacing w:val="0"/>
          <w:szCs w:val="20"/>
          <w:lang w:eastAsia="cs-CZ"/>
        </w:rPr>
        <w:t>,</w:t>
      </w: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4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br/>
      </w:r>
      <w:r>
        <w:rPr>
          <w:rFonts w:eastAsia="Times New Roman"/>
          <w:b w:val="0"/>
          <w:bCs w:val="0"/>
          <w:spacing w:val="0"/>
          <w:szCs w:val="20"/>
          <w:lang w:eastAsia="cs-CZ"/>
        </w:rPr>
        <w:t xml:space="preserve"> ak 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je aerosólový rozprašovač spotrebným výrobkom,</w:t>
      </w:r>
    </w:p>
    <w:p w:rsidR="00635F24" w:rsidRPr="00635F24" w:rsidRDefault="00635F24" w:rsidP="00635F2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ďalšími upozorneniami o zaobchádzaní s produktom, ktoré upozorňujú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br/>
        <w:t>spotrebiteľov na osobitné nebezpečenstvá</w:t>
      </w:r>
      <w:r w:rsidR="003623AA">
        <w:rPr>
          <w:rFonts w:eastAsia="Times New Roman"/>
          <w:b w:val="0"/>
          <w:bCs w:val="0"/>
          <w:spacing w:val="0"/>
          <w:szCs w:val="20"/>
          <w:lang w:eastAsia="cs-CZ"/>
        </w:rPr>
        <w:t xml:space="preserve"> výrobku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; ak je k aerosólovému rozprašovaču</w:t>
      </w:r>
      <w:r w:rsidR="00D86B06">
        <w:rPr>
          <w:rFonts w:eastAsia="Times New Roman"/>
          <w:b w:val="0"/>
          <w:bCs w:val="0"/>
          <w:spacing w:val="0"/>
          <w:szCs w:val="20"/>
          <w:lang w:eastAsia="cs-CZ"/>
        </w:rPr>
        <w:t xml:space="preserve"> 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priložený samostatný návod na použitie, ten musí obsahovať uvedené upozornenia,</w:t>
      </w:r>
    </w:p>
    <w:p w:rsidR="00635F24" w:rsidRPr="00635F24" w:rsidRDefault="00635F24" w:rsidP="00635F2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ak je aerosól podľa kritérií bodu 1.9 klasifikovaný ako „nehorľavý“, výstražným slovom „pozor“,</w:t>
      </w:r>
    </w:p>
    <w:p w:rsidR="00635F24" w:rsidRPr="00635F24" w:rsidRDefault="00635F24" w:rsidP="00635F2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ak je aerosól podľa kritérií bodu 1.9 klasifikovaný ako „horľavý“, výstražným slovom „pozor“ a ďalšími prvkami označovania pre „horľavé aerosóly kategórie 2“ podľa osobitného predpisu,</w:t>
      </w: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5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</w:t>
      </w:r>
    </w:p>
    <w:p w:rsidR="00635F24" w:rsidRPr="00635F24" w:rsidRDefault="00635F24" w:rsidP="00635F2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ak je aerosól podľa kritérií bodu 1.9 klasifikovaný ako „mimoriadne horľavý“, výstražným slovom „nebezpečenstvo“ a ďalšími prvkami označovania pre „horľavé aerosóly kategórie 1“ podľa osobitného predpisu.</w:t>
      </w: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5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</w:t>
      </w:r>
    </w:p>
    <w:p w:rsidR="00635F24" w:rsidRPr="00635F24" w:rsidRDefault="00635F24" w:rsidP="00635F24">
      <w:pPr>
        <w:spacing w:after="0" w:line="240" w:lineRule="auto"/>
        <w:ind w:left="426" w:hanging="426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2.3.    Objem kvapalnej fázy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Objem kvapalnej fázy nesmie pri 50 °C presiahnuť 90 % objemovej kapacity obalu.“.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Poznámky pod čiarou k odkazom 3 až 5 znejú: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„</w:t>
      </w: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3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 Nariadenie (ES) č. 1272/2008</w:t>
      </w:r>
      <w:r w:rsidR="00CA4A7F">
        <w:rPr>
          <w:rFonts w:eastAsia="Times New Roman"/>
          <w:b w:val="0"/>
          <w:bCs w:val="0"/>
          <w:spacing w:val="0"/>
          <w:szCs w:val="20"/>
          <w:lang w:eastAsia="cs-CZ"/>
        </w:rPr>
        <w:t xml:space="preserve"> v platnom znení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.</w:t>
      </w:r>
    </w:p>
    <w:p w:rsidR="00635F24" w:rsidRPr="00635F24" w:rsidRDefault="00635F24" w:rsidP="00635F24">
      <w:pPr>
        <w:spacing w:after="0" w:line="240" w:lineRule="auto"/>
        <w:ind w:left="142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4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 Časť 1 prílohy IV k nariadeniu (ES) č. 1272/2008</w:t>
      </w:r>
      <w:r w:rsidR="00CA4A7F">
        <w:rPr>
          <w:rFonts w:eastAsia="Times New Roman"/>
          <w:b w:val="0"/>
          <w:bCs w:val="0"/>
          <w:spacing w:val="0"/>
          <w:szCs w:val="20"/>
          <w:lang w:eastAsia="cs-CZ"/>
        </w:rPr>
        <w:t xml:space="preserve"> v platnom znení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.</w:t>
      </w:r>
    </w:p>
    <w:p w:rsidR="00635F24" w:rsidRPr="00635F24" w:rsidRDefault="00635F24" w:rsidP="00635F24">
      <w:pPr>
        <w:spacing w:after="0" w:line="240" w:lineRule="auto"/>
        <w:ind w:left="142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bCs w:val="0"/>
          <w:spacing w:val="0"/>
          <w:szCs w:val="20"/>
          <w:vertAlign w:val="superscript"/>
          <w:lang w:eastAsia="cs-CZ"/>
        </w:rPr>
        <w:t>5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) Tabuľka 2.3.2 v prílohe I k nariadeniu (ES) č. 1272/2008</w:t>
      </w:r>
      <w:r w:rsidR="00CA4A7F">
        <w:rPr>
          <w:rFonts w:eastAsia="Times New Roman"/>
          <w:b w:val="0"/>
          <w:bCs w:val="0"/>
          <w:spacing w:val="0"/>
          <w:szCs w:val="20"/>
          <w:lang w:eastAsia="cs-CZ"/>
        </w:rPr>
        <w:t xml:space="preserve"> v platnom znení</w:t>
      </w:r>
      <w:r w:rsidRPr="00635F24">
        <w:rPr>
          <w:rFonts w:eastAsia="Times New Roman"/>
          <w:b w:val="0"/>
          <w:bCs w:val="0"/>
          <w:spacing w:val="0"/>
          <w:szCs w:val="20"/>
          <w:lang w:eastAsia="cs-CZ"/>
        </w:rPr>
        <w:t>.“.</w:t>
      </w:r>
    </w:p>
    <w:p w:rsidR="00635F24" w:rsidRPr="00635F24" w:rsidRDefault="00635F24" w:rsidP="00635F24">
      <w:pPr>
        <w:spacing w:after="0" w:line="240" w:lineRule="auto"/>
        <w:ind w:left="142"/>
        <w:rPr>
          <w:rFonts w:eastAsia="Times New Roman"/>
          <w:b w:val="0"/>
          <w:bCs w:val="0"/>
          <w:spacing w:val="0"/>
          <w:szCs w:val="20"/>
          <w:lang w:eastAsia="cs-CZ"/>
        </w:rPr>
      </w:pPr>
    </w:p>
    <w:p w:rsidR="00635F24" w:rsidRDefault="00042E54" w:rsidP="00635F24">
      <w:pPr>
        <w:spacing w:after="240" w:line="240" w:lineRule="auto"/>
        <w:rPr>
          <w:rFonts w:eastAsia="Times New Roman"/>
          <w:b w:val="0"/>
          <w:bCs w:val="0"/>
          <w:spacing w:val="0"/>
          <w:szCs w:val="20"/>
          <w:lang w:eastAsia="cs-CZ"/>
        </w:rPr>
      </w:pPr>
      <w:r>
        <w:rPr>
          <w:rFonts w:eastAsia="Times New Roman"/>
          <w:b w:val="0"/>
          <w:bCs w:val="0"/>
          <w:spacing w:val="0"/>
          <w:szCs w:val="20"/>
          <w:lang w:eastAsia="cs-CZ"/>
        </w:rPr>
        <w:t>8</w:t>
      </w:r>
      <w:r w:rsidR="00635F24" w:rsidRPr="00635F24">
        <w:rPr>
          <w:rFonts w:eastAsia="Times New Roman"/>
          <w:b w:val="0"/>
          <w:bCs w:val="0"/>
          <w:spacing w:val="0"/>
          <w:szCs w:val="20"/>
          <w:lang w:eastAsia="cs-CZ"/>
        </w:rPr>
        <w:t>. V prílohe č. 1 sa vypúšťa bod 2.4.</w:t>
      </w:r>
    </w:p>
    <w:p w:rsidR="00042E54" w:rsidRPr="00635F24" w:rsidRDefault="00042E54" w:rsidP="00DF010F">
      <w:pPr>
        <w:spacing w:after="24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>
        <w:rPr>
          <w:rFonts w:eastAsia="Times New Roman"/>
          <w:b w:val="0"/>
          <w:bCs w:val="0"/>
          <w:spacing w:val="0"/>
          <w:szCs w:val="20"/>
          <w:lang w:eastAsia="cs-CZ"/>
        </w:rPr>
        <w:t xml:space="preserve">9. Názov prílohy č. 2 znie: „Zoznam preberaných právne záväzných aktov Európskej únie“. </w:t>
      </w:r>
    </w:p>
    <w:p w:rsidR="00635F24" w:rsidRPr="00635F24" w:rsidRDefault="00635F24" w:rsidP="00635F24">
      <w:pPr>
        <w:spacing w:after="0" w:line="240" w:lineRule="auto"/>
        <w:rPr>
          <w:rFonts w:eastAsia="Times New Roman"/>
          <w:b w:val="0"/>
          <w:spacing w:val="0"/>
          <w:lang w:eastAsia="cs-CZ"/>
        </w:rPr>
      </w:pPr>
      <w:r w:rsidRPr="00635F24">
        <w:rPr>
          <w:rFonts w:eastAsia="Times New Roman"/>
          <w:b w:val="0"/>
          <w:spacing w:val="0"/>
          <w:lang w:eastAsia="cs-CZ"/>
        </w:rPr>
        <w:lastRenderedPageBreak/>
        <w:t>10. V prílohe č. 2 prvý bod znie: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szCs w:val="20"/>
          <w:lang w:eastAsia="cs-CZ"/>
        </w:rPr>
      </w:pPr>
      <w:r w:rsidRPr="00635F24">
        <w:rPr>
          <w:rFonts w:eastAsia="Times New Roman"/>
          <w:b w:val="0"/>
          <w:spacing w:val="0"/>
          <w:lang w:eastAsia="cs-CZ"/>
        </w:rPr>
        <w:t xml:space="preserve">„1. Smernica Rady č. 75/324/EHS z 20. mája 1975 o aproximácii právnych predpisov členských štátov týkajúcich sa aerosólových rozprašovačov (Mimoriadne vydanie </w:t>
      </w:r>
      <w:r w:rsidR="003623AA">
        <w:rPr>
          <w:rFonts w:eastAsia="Times New Roman"/>
          <w:b w:val="0"/>
          <w:spacing w:val="0"/>
          <w:lang w:eastAsia="cs-CZ"/>
        </w:rPr>
        <w:t>Ú</w:t>
      </w:r>
      <w:r w:rsidRPr="00635F24">
        <w:rPr>
          <w:rFonts w:eastAsia="Times New Roman"/>
          <w:b w:val="0"/>
          <w:spacing w:val="0"/>
          <w:lang w:eastAsia="cs-CZ"/>
        </w:rPr>
        <w:t xml:space="preserve">. </w:t>
      </w:r>
      <w:r w:rsidR="003623AA">
        <w:rPr>
          <w:rFonts w:eastAsia="Times New Roman"/>
          <w:b w:val="0"/>
          <w:spacing w:val="0"/>
          <w:lang w:eastAsia="cs-CZ"/>
        </w:rPr>
        <w:t>v</w:t>
      </w:r>
      <w:r w:rsidRPr="00635F24">
        <w:rPr>
          <w:rFonts w:eastAsia="Times New Roman"/>
          <w:b w:val="0"/>
          <w:spacing w:val="0"/>
          <w:lang w:eastAsia="cs-CZ"/>
        </w:rPr>
        <w:t>.</w:t>
      </w:r>
      <w:r w:rsidR="003623AA">
        <w:rPr>
          <w:rFonts w:eastAsia="Times New Roman"/>
          <w:b w:val="0"/>
          <w:spacing w:val="0"/>
          <w:lang w:eastAsia="cs-CZ"/>
        </w:rPr>
        <w:t xml:space="preserve"> EÚ</w:t>
      </w:r>
      <w:r w:rsidRPr="00635F24">
        <w:rPr>
          <w:rFonts w:eastAsia="Times New Roman"/>
          <w:b w:val="0"/>
          <w:spacing w:val="0"/>
          <w:lang w:eastAsia="cs-CZ"/>
        </w:rPr>
        <w:t>, kap. 13/zv. 2) v znení smernice č. 94/1 zo 6. januára 1994 zohľadňujúcej niektoré technické stránky smernice Rady č. 75/324/EHS o aproximácii právnych predpisov členských štátov týkajúcich sa aerosólových rozprašovačov (Mimoriadne vydanie Ú. v.</w:t>
      </w:r>
      <w:r w:rsidR="005C2AE1">
        <w:rPr>
          <w:rFonts w:eastAsia="Times New Roman"/>
          <w:b w:val="0"/>
          <w:spacing w:val="0"/>
          <w:lang w:eastAsia="cs-CZ"/>
        </w:rPr>
        <w:t xml:space="preserve"> EÚ</w:t>
      </w:r>
      <w:r w:rsidRPr="00635F24">
        <w:rPr>
          <w:rFonts w:eastAsia="Times New Roman"/>
          <w:b w:val="0"/>
          <w:spacing w:val="0"/>
          <w:lang w:eastAsia="cs-CZ"/>
        </w:rPr>
        <w:t>, kap. 13/zv. 13), smernice 2008/47/ES z 8. apríla 2008, ktorou sa na účely prispôsobenia technickému pokroku technickému pokroku mení a dopĺňa smernica Rady č. 75/324/EHS o aproximácii právnych predpisov členských štátov týkajúcich sa aerosólových rozprašovačov (Ú. v. EÚ L 96,                       9. 4. 2008) a smernice Komisie č. 2013/10/EÚ z 19. marca 2013, ktorou sa mení a dopĺňa smernica Rady 75/324/EHS o aproximácii právnych predpisov členských štátov týkajúcich                       sa aerosólových rozprašovačov s cieľom prispôsobiť jej ustanovenia o označovaní nariadeniu Európskeho parlamentu a Rady (ES) č. 1272/2008 o klasifikácii, označovaní a balení látok                  a zmesí (Ú. v. EÚ L 77, 20. 3. 2013).“.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spacing w:val="0"/>
          <w:lang w:eastAsia="sk-SK"/>
        </w:rPr>
      </w:pPr>
    </w:p>
    <w:p w:rsidR="00635F24" w:rsidRPr="00635F24" w:rsidRDefault="00635F24" w:rsidP="00635F24">
      <w:pPr>
        <w:spacing w:after="0" w:line="240" w:lineRule="auto"/>
        <w:jc w:val="center"/>
        <w:rPr>
          <w:rFonts w:eastAsia="Times New Roman"/>
          <w:b w:val="0"/>
          <w:bCs w:val="0"/>
          <w:noProof/>
          <w:spacing w:val="0"/>
          <w:lang w:eastAsia="sk-SK"/>
        </w:rPr>
      </w:pPr>
      <w:r w:rsidRPr="00635F24">
        <w:rPr>
          <w:rFonts w:eastAsia="Times New Roman"/>
          <w:b w:val="0"/>
          <w:bCs w:val="0"/>
          <w:noProof/>
          <w:spacing w:val="0"/>
          <w:lang w:eastAsia="sk-SK"/>
        </w:rPr>
        <w:t>Čl. II</w:t>
      </w:r>
    </w:p>
    <w:p w:rsidR="00635F24" w:rsidRPr="00635F24" w:rsidRDefault="00635F24" w:rsidP="00635F24">
      <w:pPr>
        <w:spacing w:after="0" w:line="240" w:lineRule="auto"/>
        <w:jc w:val="both"/>
        <w:rPr>
          <w:rFonts w:eastAsia="Times New Roman"/>
          <w:b w:val="0"/>
          <w:bCs w:val="0"/>
          <w:noProof/>
          <w:spacing w:val="0"/>
          <w:lang w:eastAsia="sk-SK"/>
        </w:rPr>
      </w:pPr>
    </w:p>
    <w:p w:rsidR="00635F24" w:rsidRPr="00635F24" w:rsidRDefault="00635F24" w:rsidP="00635F24">
      <w:pPr>
        <w:spacing w:after="0" w:line="240" w:lineRule="auto"/>
        <w:ind w:firstLine="567"/>
        <w:rPr>
          <w:rFonts w:eastAsia="Times New Roman"/>
          <w:b w:val="0"/>
          <w:bCs w:val="0"/>
          <w:noProof/>
          <w:spacing w:val="0"/>
          <w:lang w:eastAsia="sk-SK"/>
        </w:rPr>
      </w:pPr>
      <w:r w:rsidRPr="00635F24">
        <w:rPr>
          <w:rFonts w:eastAsia="Times New Roman"/>
          <w:b w:val="0"/>
          <w:bCs w:val="0"/>
          <w:noProof/>
          <w:spacing w:val="0"/>
          <w:lang w:eastAsia="sk-SK"/>
        </w:rPr>
        <w:t>Toto nariadenie</w:t>
      </w:r>
      <w:r>
        <w:rPr>
          <w:rFonts w:eastAsia="Times New Roman"/>
          <w:b w:val="0"/>
          <w:bCs w:val="0"/>
          <w:noProof/>
          <w:spacing w:val="0"/>
          <w:lang w:eastAsia="sk-SK"/>
        </w:rPr>
        <w:t xml:space="preserve"> vlády</w:t>
      </w:r>
      <w:r w:rsidRPr="00635F24">
        <w:rPr>
          <w:rFonts w:eastAsia="Times New Roman"/>
          <w:b w:val="0"/>
          <w:bCs w:val="0"/>
          <w:noProof/>
          <w:spacing w:val="0"/>
          <w:lang w:eastAsia="sk-SK"/>
        </w:rPr>
        <w:t xml:space="preserve"> nadobúda účinnosť 1. decembra 2013.</w:t>
      </w:r>
    </w:p>
    <w:p w:rsidR="00113AAF" w:rsidRDefault="00113AAF">
      <w:bookmarkStart w:id="0" w:name="_GoBack"/>
      <w:bookmarkEnd w:id="0"/>
    </w:p>
    <w:sectPr w:rsidR="00113AAF" w:rsidSect="005C2AE1">
      <w:footerReference w:type="even" r:id="rId8"/>
      <w:footerReference w:type="default" r:id="rId9"/>
      <w:pgSz w:w="11906" w:h="16838" w:code="9"/>
      <w:pgMar w:top="993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93" w:rsidRDefault="00CA4193">
      <w:pPr>
        <w:spacing w:after="0" w:line="240" w:lineRule="auto"/>
      </w:pPr>
      <w:r>
        <w:separator/>
      </w:r>
    </w:p>
  </w:endnote>
  <w:endnote w:type="continuationSeparator" w:id="0">
    <w:p w:rsidR="00CA4193" w:rsidRDefault="00CA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3" w:rsidRDefault="00CA41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A4193" w:rsidRDefault="00CA41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3" w:rsidRDefault="00CA4193">
    <w:pPr>
      <w:pStyle w:val="Pta"/>
      <w:framePr w:wrap="around" w:vAnchor="text" w:hAnchor="margin" w:xAlign="center" w:y="1"/>
      <w:rPr>
        <w:rStyle w:val="slostrany"/>
        <w:sz w:val="22"/>
      </w:rPr>
    </w:pPr>
    <w:r>
      <w:rPr>
        <w:rStyle w:val="slostrany"/>
        <w:sz w:val="22"/>
      </w:rPr>
      <w:fldChar w:fldCharType="begin"/>
    </w:r>
    <w:r>
      <w:rPr>
        <w:rStyle w:val="slostrany"/>
        <w:sz w:val="22"/>
      </w:rPr>
      <w:instrText xml:space="preserve">PAGE  </w:instrText>
    </w:r>
    <w:r>
      <w:rPr>
        <w:rStyle w:val="slostrany"/>
        <w:sz w:val="22"/>
      </w:rPr>
      <w:fldChar w:fldCharType="separate"/>
    </w:r>
    <w:r w:rsidR="00E82C43">
      <w:rPr>
        <w:rStyle w:val="slostrany"/>
        <w:sz w:val="22"/>
      </w:rPr>
      <w:t>3</w:t>
    </w:r>
    <w:r>
      <w:rPr>
        <w:rStyle w:val="slostrany"/>
        <w:sz w:val="22"/>
      </w:rPr>
      <w:fldChar w:fldCharType="end"/>
    </w:r>
  </w:p>
  <w:p w:rsidR="00CA4193" w:rsidRDefault="00CA41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93" w:rsidRDefault="00CA4193">
      <w:pPr>
        <w:spacing w:after="0" w:line="240" w:lineRule="auto"/>
      </w:pPr>
      <w:r>
        <w:separator/>
      </w:r>
    </w:p>
  </w:footnote>
  <w:footnote w:type="continuationSeparator" w:id="0">
    <w:p w:rsidR="00CA4193" w:rsidRDefault="00CA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45"/>
    <w:multiLevelType w:val="hybridMultilevel"/>
    <w:tmpl w:val="5A2E1F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296"/>
    <w:multiLevelType w:val="singleLevel"/>
    <w:tmpl w:val="08CE28F6"/>
    <w:lvl w:ilvl="0">
      <w:start w:val="2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24"/>
    <w:rsid w:val="00042E54"/>
    <w:rsid w:val="00090369"/>
    <w:rsid w:val="00113AAF"/>
    <w:rsid w:val="001A5C9F"/>
    <w:rsid w:val="0021724B"/>
    <w:rsid w:val="002D61DE"/>
    <w:rsid w:val="00360716"/>
    <w:rsid w:val="003623AA"/>
    <w:rsid w:val="00497F20"/>
    <w:rsid w:val="005C2AE1"/>
    <w:rsid w:val="00635F24"/>
    <w:rsid w:val="00CA4193"/>
    <w:rsid w:val="00CA4A7F"/>
    <w:rsid w:val="00D86B06"/>
    <w:rsid w:val="00DF010F"/>
    <w:rsid w:val="00E82C43"/>
    <w:rsid w:val="00E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635F2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635F24"/>
    <w:rPr>
      <w:rFonts w:eastAsia="Times New Roman"/>
      <w:b w:val="0"/>
      <w:bCs w:val="0"/>
      <w:noProof/>
      <w:spacing w:val="0"/>
      <w:lang w:eastAsia="sk-SK"/>
    </w:rPr>
  </w:style>
  <w:style w:type="character" w:styleId="slostrany">
    <w:name w:val="page number"/>
    <w:basedOn w:val="Predvolenpsmoodseku"/>
    <w:semiHidden/>
    <w:rsid w:val="00635F24"/>
  </w:style>
  <w:style w:type="paragraph" w:styleId="Textbubliny">
    <w:name w:val="Balloon Text"/>
    <w:basedOn w:val="Normlny"/>
    <w:link w:val="TextbublinyChar"/>
    <w:uiPriority w:val="99"/>
    <w:semiHidden/>
    <w:unhideWhenUsed/>
    <w:rsid w:val="000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635F2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bCs w:val="0"/>
      <w:noProof/>
      <w:spacing w:val="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635F24"/>
    <w:rPr>
      <w:rFonts w:eastAsia="Times New Roman"/>
      <w:b w:val="0"/>
      <w:bCs w:val="0"/>
      <w:noProof/>
      <w:spacing w:val="0"/>
      <w:lang w:eastAsia="sk-SK"/>
    </w:rPr>
  </w:style>
  <w:style w:type="character" w:styleId="slostrany">
    <w:name w:val="page number"/>
    <w:basedOn w:val="Predvolenpsmoodseku"/>
    <w:semiHidden/>
    <w:rsid w:val="00635F24"/>
  </w:style>
  <w:style w:type="paragraph" w:styleId="Textbubliny">
    <w:name w:val="Balloon Text"/>
    <w:basedOn w:val="Normlny"/>
    <w:link w:val="TextbublinyChar"/>
    <w:uiPriority w:val="99"/>
    <w:semiHidden/>
    <w:unhideWhenUsed/>
    <w:rsid w:val="0004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6</cp:revision>
  <cp:lastPrinted>2013-08-21T06:04:00Z</cp:lastPrinted>
  <dcterms:created xsi:type="dcterms:W3CDTF">2013-08-15T08:29:00Z</dcterms:created>
  <dcterms:modified xsi:type="dcterms:W3CDTF">2013-08-21T06:14:00Z</dcterms:modified>
</cp:coreProperties>
</file>