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29" w:rsidRPr="00D942E5" w:rsidRDefault="00333129" w:rsidP="00333129">
      <w:pPr>
        <w:jc w:val="both"/>
        <w:outlineLvl w:val="0"/>
        <w:rPr>
          <w:b/>
          <w:sz w:val="28"/>
          <w:szCs w:val="28"/>
        </w:rPr>
      </w:pPr>
      <w:bookmarkStart w:id="0" w:name="_Toc358727580"/>
      <w:bookmarkStart w:id="1" w:name="_Toc359504583"/>
      <w:r w:rsidRPr="00D942E5">
        <w:rPr>
          <w:b/>
          <w:sz w:val="28"/>
          <w:szCs w:val="28"/>
        </w:rPr>
        <w:t>Prílohy k návrhu Národného programu aktívneho starnutia na roky 2014 - 2020:</w:t>
      </w:r>
      <w:bookmarkEnd w:id="0"/>
      <w:bookmarkEnd w:id="1"/>
      <w:r w:rsidRPr="00D942E5">
        <w:rPr>
          <w:b/>
          <w:sz w:val="28"/>
          <w:szCs w:val="28"/>
        </w:rPr>
        <w:t xml:space="preserve"> </w:t>
      </w:r>
    </w:p>
    <w:p w:rsidR="00333129" w:rsidRDefault="00333129" w:rsidP="00333129">
      <w:pPr>
        <w:jc w:val="both"/>
        <w:rPr>
          <w:lang w:eastAsia="cs-CZ"/>
        </w:rPr>
      </w:pPr>
    </w:p>
    <w:p w:rsidR="00333129" w:rsidRDefault="00333129" w:rsidP="00333129">
      <w:pPr>
        <w:ind w:firstLine="426"/>
        <w:jc w:val="both"/>
      </w:pPr>
      <w:r w:rsidRPr="00BA6D1F">
        <w:rPr>
          <w:b/>
        </w:rPr>
        <w:t>Eurobarometer</w:t>
      </w:r>
      <w:r w:rsidRPr="00BA6D1F">
        <w:t>, prieskum verejnej mienky o aktívnom starnutí</w:t>
      </w:r>
      <w:r>
        <w:t xml:space="preserve">, </w:t>
      </w:r>
      <w:r w:rsidRPr="00BA6D1F">
        <w:t>organizovaný Európskou komisiou v dňoch 24.</w:t>
      </w:r>
      <w:r>
        <w:t xml:space="preserve"> 0</w:t>
      </w:r>
      <w:r w:rsidRPr="00BA6D1F">
        <w:t>9.</w:t>
      </w:r>
      <w:r>
        <w:t xml:space="preserve"> </w:t>
      </w:r>
      <w:r w:rsidRPr="00BA6D1F">
        <w:t>2011</w:t>
      </w:r>
      <w:r>
        <w:t xml:space="preserve"> </w:t>
      </w:r>
      <w:r w:rsidRPr="00BA6D1F">
        <w:t>-</w:t>
      </w:r>
      <w:r>
        <w:t xml:space="preserve"> 0</w:t>
      </w:r>
      <w:r w:rsidRPr="00BA6D1F">
        <w:t>8.</w:t>
      </w:r>
      <w:r>
        <w:t xml:space="preserve"> </w:t>
      </w:r>
      <w:r w:rsidRPr="00BA6D1F">
        <w:t>11.</w:t>
      </w:r>
      <w:r>
        <w:t xml:space="preserve"> </w:t>
      </w:r>
      <w:r w:rsidRPr="00BA6D1F">
        <w:t>2011 v krajinách EÚ27. Celkovo bolo v rámci tohto prieskumu urobených 26 723 rozhovorov, z nich 1 000 v SR.</w:t>
      </w:r>
      <w:r>
        <w:t xml:space="preserve"> </w:t>
      </w:r>
    </w:p>
    <w:p w:rsidR="003F13EF" w:rsidRDefault="003F13EF" w:rsidP="00333129">
      <w:pPr>
        <w:ind w:firstLine="426"/>
        <w:jc w:val="both"/>
        <w:rPr>
          <w:lang w:eastAsia="cs-CZ"/>
        </w:rPr>
      </w:pPr>
    </w:p>
    <w:p w:rsidR="00333129" w:rsidRDefault="00333129" w:rsidP="00333129">
      <w:pPr>
        <w:ind w:firstLine="426"/>
        <w:jc w:val="both"/>
        <w:rPr>
          <w:lang w:eastAsia="cs-CZ"/>
        </w:rPr>
      </w:pPr>
      <w:r>
        <w:rPr>
          <w:lang w:eastAsia="cs-CZ"/>
        </w:rPr>
        <w:t>V súvislosti s rozvojom sociálnych služieb stojí za pozornosť výsledok prieskumu verejnej mienky o aktívnom starnutí Eurobarometer 2011. Ako dokumentuje graf nižšie:</w:t>
      </w:r>
    </w:p>
    <w:p w:rsidR="00333129" w:rsidRDefault="00333129" w:rsidP="00333129">
      <w:pPr>
        <w:ind w:firstLine="426"/>
        <w:jc w:val="both"/>
        <w:rPr>
          <w:lang w:eastAsia="cs-CZ"/>
        </w:rPr>
      </w:pPr>
    </w:p>
    <w:p w:rsidR="00333129" w:rsidRDefault="00333129" w:rsidP="00333129">
      <w:pPr>
        <w:pStyle w:val="Odsekzoznamu"/>
        <w:numPr>
          <w:ilvl w:val="0"/>
          <w:numId w:val="1"/>
        </w:numPr>
        <w:jc w:val="both"/>
        <w:rPr>
          <w:rFonts w:ascii="Times New Roman" w:hAnsi="Times New Roman"/>
          <w:sz w:val="24"/>
          <w:szCs w:val="24"/>
          <w:lang w:eastAsia="cs-CZ"/>
        </w:rPr>
      </w:pPr>
      <w:r w:rsidRPr="00A03F66">
        <w:rPr>
          <w:rFonts w:ascii="Times New Roman" w:hAnsi="Times New Roman"/>
          <w:sz w:val="24"/>
          <w:szCs w:val="24"/>
          <w:lang w:eastAsia="cs-CZ"/>
        </w:rPr>
        <w:t>až 65 % respondentov oslovených  na Slovensku v rámci tohto prieskumu si myslí, že ľuďom starajúcim sa o starších členov rodiny by mohla pomôcť vláda finančným príspevkom</w:t>
      </w:r>
      <w:r>
        <w:rPr>
          <w:rFonts w:ascii="Times New Roman" w:hAnsi="Times New Roman"/>
          <w:sz w:val="24"/>
          <w:szCs w:val="24"/>
          <w:lang w:eastAsia="cs-CZ"/>
        </w:rPr>
        <w:t>,</w:t>
      </w:r>
    </w:p>
    <w:p w:rsidR="00333129" w:rsidRDefault="00333129" w:rsidP="00333129">
      <w:pPr>
        <w:pStyle w:val="Odsekzoznamu"/>
        <w:numPr>
          <w:ilvl w:val="0"/>
          <w:numId w:val="1"/>
        </w:numPr>
        <w:jc w:val="both"/>
        <w:rPr>
          <w:rFonts w:ascii="Times New Roman" w:hAnsi="Times New Roman"/>
          <w:sz w:val="24"/>
          <w:szCs w:val="24"/>
          <w:lang w:eastAsia="cs-CZ"/>
        </w:rPr>
      </w:pPr>
      <w:r w:rsidRPr="00A03F66">
        <w:rPr>
          <w:rFonts w:ascii="Times New Roman" w:hAnsi="Times New Roman"/>
          <w:sz w:val="24"/>
          <w:szCs w:val="24"/>
          <w:lang w:eastAsia="cs-CZ"/>
        </w:rPr>
        <w:t>45 % oslovených by považovalo za pomoc zo strany vlády, ak by umožnila ľuďom starajúcim sa o starších členov rodiny prerušiť zamestnanie bez straty práva opätovného nástupu do zamestnania</w:t>
      </w:r>
      <w:r>
        <w:rPr>
          <w:rFonts w:ascii="Times New Roman" w:hAnsi="Times New Roman"/>
          <w:sz w:val="24"/>
          <w:szCs w:val="24"/>
          <w:lang w:eastAsia="cs-CZ"/>
        </w:rPr>
        <w:t>,</w:t>
      </w:r>
    </w:p>
    <w:p w:rsidR="00333129" w:rsidRPr="00A03F66" w:rsidRDefault="00333129" w:rsidP="00333129">
      <w:pPr>
        <w:pStyle w:val="Odsekzoznamu"/>
        <w:numPr>
          <w:ilvl w:val="0"/>
          <w:numId w:val="1"/>
        </w:numPr>
        <w:jc w:val="both"/>
        <w:rPr>
          <w:rFonts w:ascii="Times New Roman" w:hAnsi="Times New Roman"/>
          <w:sz w:val="24"/>
          <w:szCs w:val="24"/>
          <w:lang w:eastAsia="cs-CZ"/>
        </w:rPr>
      </w:pPr>
      <w:r w:rsidRPr="00A03F66">
        <w:rPr>
          <w:rFonts w:ascii="Times New Roman" w:hAnsi="Times New Roman"/>
          <w:sz w:val="24"/>
          <w:szCs w:val="24"/>
          <w:lang w:eastAsia="cs-CZ"/>
        </w:rPr>
        <w:t>34 % respondentov by privítalo, keby ľudia starajúci sa o starších členov rodiny dostávali od vlády za obdobie poskytovania starostlivosti dôchodkové kredity.</w:t>
      </w:r>
    </w:p>
    <w:p w:rsidR="00333129" w:rsidRPr="00A03F66" w:rsidRDefault="00333129" w:rsidP="00333129">
      <w:pPr>
        <w:jc w:val="both"/>
        <w:rPr>
          <w:b/>
          <w:lang w:eastAsia="cs-CZ"/>
        </w:rPr>
      </w:pPr>
      <w:r w:rsidRPr="00A03F66">
        <w:rPr>
          <w:b/>
          <w:lang w:eastAsia="cs-CZ"/>
        </w:rPr>
        <w:t xml:space="preserve">Graf </w:t>
      </w:r>
      <w:r>
        <w:rPr>
          <w:b/>
          <w:lang w:eastAsia="cs-CZ"/>
        </w:rPr>
        <w:t>1</w:t>
      </w:r>
      <w:r w:rsidRPr="00A03F66">
        <w:rPr>
          <w:b/>
          <w:lang w:eastAsia="cs-CZ"/>
        </w:rPr>
        <w:t>: Názory obyvateľov SR a EÚ27 na najužitočnejšie opatrenia, ktorými by vláda mohla pomôcť ľuďom starajúcim sa o starších členov rodiny</w:t>
      </w:r>
    </w:p>
    <w:p w:rsidR="00333129" w:rsidRPr="004F24B0" w:rsidRDefault="00333129" w:rsidP="00333129">
      <w:pPr>
        <w:spacing w:line="276" w:lineRule="auto"/>
        <w:jc w:val="both"/>
        <w:rPr>
          <w:lang w:eastAsia="cs-CZ"/>
        </w:rPr>
      </w:pPr>
    </w:p>
    <w:p w:rsidR="00333129" w:rsidRPr="00822AD1" w:rsidRDefault="00333129" w:rsidP="00333129">
      <w:pPr>
        <w:spacing w:line="276" w:lineRule="auto"/>
        <w:jc w:val="both"/>
        <w:rPr>
          <w:rFonts w:ascii="Arial" w:hAnsi="Arial" w:cs="Arial"/>
          <w:b/>
          <w:sz w:val="26"/>
          <w:szCs w:val="26"/>
          <w:lang w:eastAsia="cs-CZ"/>
        </w:rPr>
      </w:pPr>
      <w:r>
        <w:rPr>
          <w:noProof/>
          <w:lang w:val="en-US" w:eastAsia="en-US"/>
        </w:rPr>
        <w:drawing>
          <wp:inline distT="0" distB="0" distL="0" distR="0">
            <wp:extent cx="5757168" cy="2882265"/>
            <wp:effectExtent l="0" t="0" r="7362" b="0"/>
            <wp:docPr id="2" name="Graf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33129" w:rsidRPr="00A03F66" w:rsidRDefault="00333129" w:rsidP="00333129">
      <w:pPr>
        <w:spacing w:before="120" w:line="276" w:lineRule="auto"/>
        <w:jc w:val="both"/>
        <w:rPr>
          <w:sz w:val="20"/>
          <w:szCs w:val="20"/>
          <w:lang w:eastAsia="cs-CZ"/>
        </w:rPr>
      </w:pPr>
      <w:r w:rsidRPr="00A03F66">
        <w:rPr>
          <w:sz w:val="20"/>
          <w:szCs w:val="20"/>
          <w:lang w:eastAsia="cs-CZ"/>
        </w:rPr>
        <w:t>Zdroj údajov: Európska komisia, Eurobarometer 2011</w:t>
      </w:r>
    </w:p>
    <w:p w:rsidR="00333129" w:rsidRDefault="00333129" w:rsidP="00333129">
      <w:pPr>
        <w:jc w:val="both"/>
      </w:pPr>
    </w:p>
    <w:p w:rsidR="00333129" w:rsidRDefault="00333129" w:rsidP="00333129">
      <w:pPr>
        <w:jc w:val="both"/>
      </w:pPr>
    </w:p>
    <w:p w:rsidR="00333129" w:rsidRPr="00622433"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
          <w:bCs/>
          <w:color w:val="000000"/>
          <w:sz w:val="22"/>
          <w:szCs w:val="22"/>
          <w:lang w:eastAsia="cs-CZ"/>
        </w:rPr>
      </w:pPr>
      <w:r>
        <w:rPr>
          <w:b/>
          <w:bCs/>
          <w:color w:val="000000"/>
          <w:sz w:val="22"/>
          <w:szCs w:val="22"/>
          <w:lang w:eastAsia="cs-CZ"/>
        </w:rPr>
        <w:lastRenderedPageBreak/>
        <w:t>P</w:t>
      </w:r>
      <w:r w:rsidRPr="00BE65CF">
        <w:rPr>
          <w:b/>
          <w:bCs/>
          <w:color w:val="000000"/>
          <w:sz w:val="22"/>
          <w:szCs w:val="22"/>
          <w:lang w:eastAsia="cs-CZ"/>
        </w:rPr>
        <w:t xml:space="preserve"> 1</w:t>
      </w:r>
      <w:r>
        <w:rPr>
          <w:b/>
          <w:bCs/>
          <w:color w:val="000000"/>
          <w:sz w:val="22"/>
          <w:szCs w:val="22"/>
          <w:lang w:eastAsia="cs-CZ"/>
        </w:rPr>
        <w:t>:</w:t>
      </w:r>
      <w:r w:rsidRPr="00BE65CF">
        <w:rPr>
          <w:b/>
          <w:bCs/>
          <w:color w:val="000000"/>
          <w:sz w:val="22"/>
          <w:szCs w:val="22"/>
          <w:lang w:eastAsia="cs-CZ"/>
        </w:rPr>
        <w:t xml:space="preserve"> Počet poberateľov starobných dôchodkov na 1 000 obyvateľov k 31. 12. 2012</w:t>
      </w:r>
      <w:r>
        <w:rPr>
          <w:rStyle w:val="Odkaznapoznmkupodiarou"/>
          <w:b/>
          <w:bCs/>
          <w:color w:val="000000"/>
          <w:sz w:val="22"/>
          <w:szCs w:val="22"/>
          <w:lang w:eastAsia="cs-CZ"/>
        </w:rPr>
        <w:footnoteReference w:id="1"/>
      </w:r>
      <w:r w:rsidRPr="00BE65CF">
        <w:rPr>
          <w:b/>
          <w:bCs/>
          <w:color w:val="000000"/>
          <w:sz w:val="22"/>
          <w:szCs w:val="22"/>
          <w:lang w:eastAsia="cs-CZ"/>
        </w:rPr>
        <w:t xml:space="preserve"> </w:t>
      </w: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r>
        <w:rPr>
          <w:b/>
          <w:noProof/>
          <w:sz w:val="22"/>
          <w:szCs w:val="22"/>
          <w:lang w:val="en-US" w:eastAsia="en-US"/>
        </w:rPr>
        <w:drawing>
          <wp:inline distT="0" distB="0" distL="0" distR="0">
            <wp:extent cx="5737860" cy="2774315"/>
            <wp:effectExtent l="19050" t="0" r="0" b="0"/>
            <wp:docPr id="4"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737860" cy="2774315"/>
                    </a:xfrm>
                    <a:prstGeom prst="rect">
                      <a:avLst/>
                    </a:prstGeom>
                    <a:noFill/>
                  </pic:spPr>
                </pic:pic>
              </a:graphicData>
            </a:graphic>
          </wp:inline>
        </w:drawing>
      </w:r>
    </w:p>
    <w:p w:rsidR="00333129" w:rsidRDefault="00333129" w:rsidP="00333129">
      <w:pPr>
        <w:tabs>
          <w:tab w:val="left" w:pos="142"/>
          <w:tab w:val="left" w:pos="6096"/>
        </w:tabs>
        <w:ind w:right="-142"/>
        <w:jc w:val="both"/>
        <w:rPr>
          <w:b/>
          <w:sz w:val="22"/>
          <w:szCs w:val="22"/>
          <w:lang w:eastAsia="cs-CZ"/>
        </w:rPr>
      </w:pPr>
    </w:p>
    <w:p w:rsidR="00333129" w:rsidRPr="00D92CD9" w:rsidRDefault="00333129" w:rsidP="00333129">
      <w:pPr>
        <w:tabs>
          <w:tab w:val="left" w:pos="142"/>
          <w:tab w:val="left" w:pos="6096"/>
        </w:tabs>
        <w:ind w:right="-142"/>
        <w:jc w:val="both"/>
        <w:rPr>
          <w:sz w:val="20"/>
          <w:szCs w:val="20"/>
          <w:lang w:eastAsia="cs-CZ"/>
        </w:rPr>
      </w:pPr>
      <w:r w:rsidRPr="00D92CD9">
        <w:rPr>
          <w:sz w:val="20"/>
          <w:szCs w:val="20"/>
          <w:lang w:eastAsia="cs-CZ"/>
        </w:rPr>
        <w:t>Zdroj údajov: Štatistický úrad SR, Sociálna poisťovňa</w:t>
      </w: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Default="00333129" w:rsidP="00333129">
      <w:pPr>
        <w:tabs>
          <w:tab w:val="left" w:pos="142"/>
          <w:tab w:val="left" w:pos="6096"/>
        </w:tabs>
        <w:ind w:right="-142"/>
        <w:jc w:val="both"/>
        <w:rPr>
          <w:b/>
          <w:sz w:val="22"/>
          <w:szCs w:val="22"/>
          <w:lang w:eastAsia="cs-CZ"/>
        </w:rPr>
      </w:pPr>
    </w:p>
    <w:p w:rsidR="00333129" w:rsidRPr="002560EE"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
          <w:bCs/>
          <w:color w:val="000000"/>
          <w:sz w:val="22"/>
          <w:szCs w:val="22"/>
          <w:lang w:eastAsia="cs-CZ"/>
        </w:rPr>
      </w:pPr>
      <w:r>
        <w:rPr>
          <w:b/>
          <w:bCs/>
          <w:color w:val="000000"/>
          <w:sz w:val="22"/>
          <w:szCs w:val="22"/>
          <w:lang w:eastAsia="cs-CZ"/>
        </w:rPr>
        <w:lastRenderedPageBreak/>
        <w:t>P 2: Priemerná mesačná výška vyplácaných starobných dôchodkov spolu (vrátane súbehov) k 31. 12. 2012</w:t>
      </w:r>
      <w:r w:rsidRPr="00BE65CF">
        <w:rPr>
          <w:b/>
          <w:bCs/>
          <w:color w:val="000000"/>
          <w:sz w:val="22"/>
          <w:szCs w:val="22"/>
          <w:lang w:eastAsia="cs-CZ"/>
        </w:rPr>
        <w:tab/>
      </w: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r>
        <w:rPr>
          <w:rFonts w:ascii="Arial Narrow" w:hAnsi="Arial Narrow"/>
          <w:b/>
          <w:noProof/>
          <w:color w:val="0070C0"/>
          <w:lang w:val="en-US" w:eastAsia="en-US"/>
        </w:rPr>
        <w:drawing>
          <wp:inline distT="0" distB="0" distL="0" distR="0">
            <wp:extent cx="5728335" cy="2750820"/>
            <wp:effectExtent l="19050" t="0" r="5715" b="0"/>
            <wp:docPr id="5"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28335" cy="2750820"/>
                    </a:xfrm>
                    <a:prstGeom prst="rect">
                      <a:avLst/>
                    </a:prstGeom>
                    <a:noFill/>
                  </pic:spPr>
                </pic:pic>
              </a:graphicData>
            </a:graphic>
          </wp:inline>
        </w:drawing>
      </w:r>
    </w:p>
    <w:p w:rsidR="00333129" w:rsidRPr="00D92CD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sz w:val="20"/>
          <w:szCs w:val="20"/>
          <w:lang w:eastAsia="cs-CZ"/>
        </w:rPr>
      </w:pPr>
      <w:r w:rsidRPr="00D92CD9">
        <w:rPr>
          <w:bCs/>
          <w:color w:val="000000"/>
          <w:sz w:val="20"/>
          <w:szCs w:val="20"/>
          <w:lang w:eastAsia="cs-CZ"/>
        </w:rPr>
        <w:t>Zdroj údajov: Štatistický úrad SR, Sociálna poisťovňa</w:t>
      </w: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
          <w:bCs/>
          <w:color w:val="000000"/>
          <w:sz w:val="22"/>
          <w:szCs w:val="22"/>
          <w:lang w:eastAsia="cs-CZ"/>
        </w:rPr>
      </w:pPr>
    </w:p>
    <w:p w:rsidR="00333129" w:rsidRPr="00FA2C96"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
          <w:bCs/>
          <w:color w:val="000000"/>
          <w:sz w:val="22"/>
          <w:szCs w:val="22"/>
          <w:lang w:eastAsia="cs-CZ"/>
        </w:rPr>
      </w:pPr>
      <w:r>
        <w:rPr>
          <w:b/>
          <w:bCs/>
          <w:color w:val="000000"/>
          <w:sz w:val="22"/>
          <w:szCs w:val="22"/>
          <w:lang w:eastAsia="cs-CZ"/>
        </w:rPr>
        <w:t>P</w:t>
      </w:r>
      <w:r w:rsidRPr="00BE65CF">
        <w:rPr>
          <w:b/>
          <w:bCs/>
          <w:color w:val="000000"/>
          <w:sz w:val="22"/>
          <w:szCs w:val="22"/>
          <w:lang w:eastAsia="cs-CZ"/>
        </w:rPr>
        <w:t xml:space="preserve"> 3</w:t>
      </w:r>
      <w:r>
        <w:rPr>
          <w:b/>
          <w:bCs/>
          <w:color w:val="000000"/>
          <w:sz w:val="22"/>
          <w:szCs w:val="22"/>
          <w:lang w:eastAsia="cs-CZ"/>
        </w:rPr>
        <w:t>:</w:t>
      </w:r>
      <w:r w:rsidRPr="00BE65CF">
        <w:rPr>
          <w:b/>
          <w:bCs/>
          <w:color w:val="000000"/>
          <w:sz w:val="22"/>
          <w:szCs w:val="22"/>
          <w:lang w:eastAsia="cs-CZ"/>
        </w:rPr>
        <w:t xml:space="preserve"> Priemerná mesačná výška predčasných starobných dôchodkov spolu (vrátane súbehov) v eurách k 31. 12. 2012 </w:t>
      </w: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r>
        <w:rPr>
          <w:noProof/>
          <w:lang w:val="en-US" w:eastAsia="en-US"/>
        </w:rPr>
        <w:drawing>
          <wp:inline distT="0" distB="0" distL="0" distR="0">
            <wp:extent cx="5771515" cy="2728595"/>
            <wp:effectExtent l="19050" t="0" r="635" b="0"/>
            <wp:docPr id="6" name="Obrázok 10" descr="05_PMVD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5_PMVD_Pr"/>
                    <pic:cNvPicPr>
                      <a:picLocks noChangeAspect="1" noChangeArrowheads="1"/>
                    </pic:cNvPicPr>
                  </pic:nvPicPr>
                  <pic:blipFill>
                    <a:blip r:embed="rId10" cstate="print"/>
                    <a:srcRect/>
                    <a:stretch>
                      <a:fillRect/>
                    </a:stretch>
                  </pic:blipFill>
                  <pic:spPr bwMode="auto">
                    <a:xfrm>
                      <a:off x="0" y="0"/>
                      <a:ext cx="5771515" cy="2728595"/>
                    </a:xfrm>
                    <a:prstGeom prst="rect">
                      <a:avLst/>
                    </a:prstGeom>
                    <a:noFill/>
                    <a:ln w="9525">
                      <a:noFill/>
                      <a:miter lim="800000"/>
                      <a:headEnd/>
                      <a:tailEnd/>
                    </a:ln>
                  </pic:spPr>
                </pic:pic>
              </a:graphicData>
            </a:graphic>
          </wp:inline>
        </w:drawing>
      </w:r>
    </w:p>
    <w:p w:rsidR="00333129" w:rsidRPr="00D92CD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sz w:val="20"/>
          <w:szCs w:val="20"/>
          <w:lang w:eastAsia="cs-CZ"/>
        </w:rPr>
      </w:pPr>
      <w:r w:rsidRPr="00D92CD9">
        <w:rPr>
          <w:bCs/>
          <w:color w:val="000000"/>
          <w:sz w:val="20"/>
          <w:szCs w:val="20"/>
          <w:lang w:eastAsia="cs-CZ"/>
        </w:rPr>
        <w:t>Zdroj údajov: Štatistický úrad SR, Sociálna poisťovňa</w:t>
      </w: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
          <w:bCs/>
          <w:color w:val="000000"/>
          <w:sz w:val="22"/>
          <w:szCs w:val="22"/>
          <w:lang w:eastAsia="cs-CZ"/>
        </w:rPr>
      </w:pPr>
    </w:p>
    <w:p w:rsidR="00333129" w:rsidRPr="00E10D0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
          <w:bCs/>
          <w:color w:val="000000"/>
          <w:sz w:val="22"/>
          <w:szCs w:val="22"/>
          <w:lang w:eastAsia="cs-CZ"/>
        </w:rPr>
      </w:pPr>
      <w:r>
        <w:rPr>
          <w:b/>
          <w:bCs/>
          <w:color w:val="000000"/>
          <w:sz w:val="22"/>
          <w:szCs w:val="22"/>
          <w:lang w:eastAsia="cs-CZ"/>
        </w:rPr>
        <w:lastRenderedPageBreak/>
        <w:t>P</w:t>
      </w:r>
      <w:r w:rsidRPr="00BE65CF">
        <w:rPr>
          <w:b/>
          <w:bCs/>
          <w:color w:val="000000"/>
          <w:sz w:val="22"/>
          <w:szCs w:val="22"/>
          <w:lang w:eastAsia="cs-CZ"/>
        </w:rPr>
        <w:t xml:space="preserve"> 4</w:t>
      </w:r>
      <w:r>
        <w:rPr>
          <w:b/>
          <w:bCs/>
          <w:color w:val="000000"/>
          <w:sz w:val="22"/>
          <w:szCs w:val="22"/>
          <w:lang w:eastAsia="cs-CZ"/>
        </w:rPr>
        <w:t>:</w:t>
      </w:r>
      <w:r w:rsidRPr="00BE65CF">
        <w:rPr>
          <w:b/>
          <w:bCs/>
          <w:color w:val="000000"/>
          <w:sz w:val="22"/>
          <w:szCs w:val="22"/>
          <w:lang w:eastAsia="cs-CZ"/>
        </w:rPr>
        <w:t xml:space="preserve"> Počet vyplácaných predčasných dôchodkov (spolu) na 1 000 obyvateľov k 31. 12. 2012</w:t>
      </w: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r>
        <w:rPr>
          <w:noProof/>
          <w:lang w:val="en-US" w:eastAsia="en-US"/>
        </w:rPr>
        <w:drawing>
          <wp:inline distT="0" distB="0" distL="0" distR="0">
            <wp:extent cx="5779135" cy="2743200"/>
            <wp:effectExtent l="19050" t="0" r="0" b="0"/>
            <wp:docPr id="7" name="Obrázok 11" descr="03_PP_P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3_PP_PrD"/>
                    <pic:cNvPicPr>
                      <a:picLocks noChangeAspect="1" noChangeArrowheads="1"/>
                    </pic:cNvPicPr>
                  </pic:nvPicPr>
                  <pic:blipFill>
                    <a:blip r:embed="rId11" cstate="print"/>
                    <a:srcRect/>
                    <a:stretch>
                      <a:fillRect/>
                    </a:stretch>
                  </pic:blipFill>
                  <pic:spPr bwMode="auto">
                    <a:xfrm>
                      <a:off x="0" y="0"/>
                      <a:ext cx="5779135" cy="2743200"/>
                    </a:xfrm>
                    <a:prstGeom prst="rect">
                      <a:avLst/>
                    </a:prstGeom>
                    <a:noFill/>
                    <a:ln w="9525">
                      <a:noFill/>
                      <a:miter lim="800000"/>
                      <a:headEnd/>
                      <a:tailEnd/>
                    </a:ln>
                  </pic:spPr>
                </pic:pic>
              </a:graphicData>
            </a:graphic>
          </wp:inline>
        </w:drawing>
      </w:r>
    </w:p>
    <w:p w:rsidR="00333129" w:rsidRPr="00D92CD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sz w:val="20"/>
          <w:szCs w:val="20"/>
          <w:lang w:eastAsia="cs-CZ"/>
        </w:rPr>
      </w:pPr>
      <w:r w:rsidRPr="00D92CD9">
        <w:rPr>
          <w:bCs/>
          <w:color w:val="000000"/>
          <w:sz w:val="20"/>
          <w:szCs w:val="20"/>
          <w:lang w:eastAsia="cs-CZ"/>
        </w:rPr>
        <w:t>Zdroj údajov:  Štatistický úrad SR, Sociálna poisťovňa</w:t>
      </w: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sz w:val="22"/>
          <w:szCs w:val="22"/>
          <w:lang w:eastAsia="cs-CZ"/>
        </w:rPr>
      </w:pPr>
      <w:r w:rsidRPr="00BE65CF">
        <w:rPr>
          <w:bCs/>
          <w:i/>
          <w:color w:val="000000"/>
          <w:sz w:val="22"/>
          <w:szCs w:val="22"/>
          <w:lang w:eastAsia="cs-CZ"/>
        </w:rPr>
        <w:t>Mapy spracoval:</w:t>
      </w:r>
      <w:r w:rsidRPr="00BE65CF">
        <w:rPr>
          <w:bCs/>
          <w:color w:val="000000"/>
          <w:sz w:val="22"/>
          <w:szCs w:val="22"/>
          <w:lang w:eastAsia="cs-CZ"/>
        </w:rPr>
        <w:t xml:space="preserve"> </w:t>
      </w:r>
      <w:r w:rsidRPr="00BE65CF">
        <w:rPr>
          <w:bCs/>
          <w:i/>
          <w:color w:val="000000"/>
          <w:sz w:val="22"/>
          <w:szCs w:val="22"/>
          <w:lang w:eastAsia="cs-CZ"/>
        </w:rPr>
        <w:t>Štatistický úrad SR, 2013</w:t>
      </w:r>
    </w:p>
    <w:p w:rsidR="00333129" w:rsidRPr="006F6CFB"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i/>
          <w:color w:val="000000"/>
          <w:sz w:val="22"/>
          <w:szCs w:val="22"/>
          <w:lang w:eastAsia="cs-CZ"/>
        </w:rPr>
      </w:pPr>
      <w:r w:rsidRPr="00BE65CF">
        <w:rPr>
          <w:i/>
          <w:sz w:val="22"/>
          <w:szCs w:val="22"/>
        </w:rPr>
        <w:t>Hranice územno-správneho usporiadania, ÚGKK SR 2010</w:t>
      </w: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Cs/>
          <w:color w:val="000000"/>
          <w:lang w:eastAsia="cs-CZ"/>
        </w:rPr>
      </w:pPr>
    </w:p>
    <w:p w:rsidR="00333129" w:rsidRDefault="00333129" w:rsidP="00333129">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jc w:val="both"/>
        <w:rPr>
          <w:rFonts w:ascii="Arial" w:hAnsi="Arial"/>
          <w:bCs/>
          <w:i/>
          <w:color w:val="000000"/>
        </w:rPr>
      </w:pPr>
      <w:r>
        <w:rPr>
          <w:bCs/>
          <w:color w:val="000000"/>
          <w:lang w:eastAsia="cs-CZ"/>
        </w:rPr>
        <w:tab/>
      </w:r>
    </w:p>
    <w:tbl>
      <w:tblPr>
        <w:tblW w:w="7580" w:type="dxa"/>
        <w:jc w:val="center"/>
        <w:tblCellMar>
          <w:left w:w="70" w:type="dxa"/>
          <w:right w:w="70" w:type="dxa"/>
        </w:tblCellMar>
        <w:tblLook w:val="04A0"/>
      </w:tblPr>
      <w:tblGrid>
        <w:gridCol w:w="698"/>
        <w:gridCol w:w="1151"/>
        <w:gridCol w:w="1181"/>
        <w:gridCol w:w="1115"/>
        <w:gridCol w:w="1127"/>
        <w:gridCol w:w="1157"/>
        <w:gridCol w:w="1151"/>
      </w:tblGrid>
      <w:tr w:rsidR="00D942E5" w:rsidRPr="00D132F7" w:rsidTr="00B348CE">
        <w:trPr>
          <w:trHeight w:val="270"/>
          <w:jc w:val="center"/>
        </w:trPr>
        <w:tc>
          <w:tcPr>
            <w:tcW w:w="7580" w:type="dxa"/>
            <w:gridSpan w:val="7"/>
            <w:tcBorders>
              <w:top w:val="nil"/>
              <w:left w:val="nil"/>
              <w:bottom w:val="single" w:sz="8" w:space="0" w:color="auto"/>
              <w:right w:val="nil"/>
            </w:tcBorders>
            <w:shd w:val="clear" w:color="auto" w:fill="auto"/>
            <w:noWrap/>
            <w:vAlign w:val="bottom"/>
          </w:tcPr>
          <w:p w:rsidR="00D942E5" w:rsidRPr="00D132F7" w:rsidRDefault="00CD60CE" w:rsidP="00B348CE">
            <w:pPr>
              <w:rPr>
                <w:rFonts w:ascii="Arial Narrow" w:hAnsi="Arial Narrow"/>
                <w:b/>
                <w:bCs/>
              </w:rPr>
            </w:pPr>
            <w:r>
              <w:rPr>
                <w:rFonts w:ascii="Arial Narrow" w:hAnsi="Arial Narrow"/>
                <w:b/>
                <w:bCs/>
                <w:color w:val="000000"/>
              </w:rPr>
              <w:t xml:space="preserve">Tabuľka 1: </w:t>
            </w:r>
            <w:r w:rsidR="00D942E5" w:rsidRPr="00D132F7">
              <w:rPr>
                <w:rFonts w:ascii="Arial Narrow" w:hAnsi="Arial Narrow"/>
                <w:b/>
                <w:bCs/>
                <w:color w:val="000000"/>
              </w:rPr>
              <w:t>Vývoj p</w:t>
            </w:r>
            <w:r w:rsidR="00D942E5" w:rsidRPr="00D132F7">
              <w:rPr>
                <w:rFonts w:ascii="Arial Narrow" w:hAnsi="Arial Narrow"/>
                <w:b/>
                <w:bCs/>
              </w:rPr>
              <w:t>riemernej výšky sólo dôchodku k 31. decembru v EUR</w:t>
            </w:r>
          </w:p>
        </w:tc>
      </w:tr>
      <w:tr w:rsidR="00D942E5" w:rsidRPr="00D132F7" w:rsidTr="00B348CE">
        <w:trPr>
          <w:trHeight w:val="720"/>
          <w:jc w:val="center"/>
        </w:trPr>
        <w:tc>
          <w:tcPr>
            <w:tcW w:w="698" w:type="dxa"/>
            <w:tcBorders>
              <w:top w:val="single" w:sz="8" w:space="0" w:color="auto"/>
              <w:left w:val="single" w:sz="8" w:space="0" w:color="auto"/>
              <w:bottom w:val="single" w:sz="4" w:space="0" w:color="auto"/>
              <w:right w:val="single" w:sz="4" w:space="0" w:color="auto"/>
            </w:tcBorders>
            <w:shd w:val="clear" w:color="auto" w:fill="000000"/>
            <w:noWrap/>
            <w:vAlign w:val="bottom"/>
          </w:tcPr>
          <w:p w:rsidR="00D942E5" w:rsidRPr="00EB4E36" w:rsidRDefault="00D942E5" w:rsidP="00B348CE">
            <w:pPr>
              <w:jc w:val="center"/>
              <w:rPr>
                <w:rFonts w:ascii="Arial Narrow" w:hAnsi="Arial Narrow"/>
                <w:b/>
              </w:rPr>
            </w:pPr>
            <w:r w:rsidRPr="00EB4E36">
              <w:rPr>
                <w:rFonts w:ascii="Arial Narrow" w:hAnsi="Arial Narrow"/>
                <w:b/>
              </w:rPr>
              <w:t>Rok</w:t>
            </w:r>
          </w:p>
        </w:tc>
        <w:tc>
          <w:tcPr>
            <w:tcW w:w="1151" w:type="dxa"/>
            <w:tcBorders>
              <w:top w:val="single" w:sz="8" w:space="0" w:color="auto"/>
              <w:left w:val="nil"/>
              <w:bottom w:val="single" w:sz="4" w:space="0" w:color="auto"/>
              <w:right w:val="single" w:sz="4" w:space="0" w:color="auto"/>
            </w:tcBorders>
            <w:shd w:val="clear" w:color="auto" w:fill="000000"/>
            <w:vAlign w:val="bottom"/>
          </w:tcPr>
          <w:p w:rsidR="00D942E5" w:rsidRPr="00EB4E36" w:rsidRDefault="00D942E5" w:rsidP="00B348CE">
            <w:pPr>
              <w:jc w:val="center"/>
              <w:rPr>
                <w:rFonts w:ascii="Arial Narrow" w:hAnsi="Arial Narrow"/>
                <w:b/>
                <w:bCs/>
              </w:rPr>
            </w:pPr>
            <w:r w:rsidRPr="00EB4E36">
              <w:rPr>
                <w:rFonts w:ascii="Arial Narrow" w:hAnsi="Arial Narrow"/>
                <w:b/>
                <w:bCs/>
              </w:rPr>
              <w:t>Starobný dôchodok</w:t>
            </w:r>
          </w:p>
        </w:tc>
        <w:tc>
          <w:tcPr>
            <w:tcW w:w="1181" w:type="dxa"/>
            <w:tcBorders>
              <w:top w:val="single" w:sz="8" w:space="0" w:color="auto"/>
              <w:left w:val="nil"/>
              <w:bottom w:val="single" w:sz="4" w:space="0" w:color="auto"/>
              <w:right w:val="single" w:sz="4" w:space="0" w:color="auto"/>
            </w:tcBorders>
            <w:shd w:val="clear" w:color="auto" w:fill="000000"/>
            <w:vAlign w:val="bottom"/>
          </w:tcPr>
          <w:p w:rsidR="00D942E5" w:rsidRPr="00EB4E36" w:rsidRDefault="00D942E5" w:rsidP="00B348CE">
            <w:pPr>
              <w:jc w:val="center"/>
              <w:rPr>
                <w:rFonts w:ascii="Arial Narrow" w:hAnsi="Arial Narrow"/>
                <w:b/>
                <w:bCs/>
              </w:rPr>
            </w:pPr>
            <w:r w:rsidRPr="00EB4E36">
              <w:rPr>
                <w:rFonts w:ascii="Arial Narrow" w:hAnsi="Arial Narrow"/>
                <w:b/>
                <w:bCs/>
              </w:rPr>
              <w:t>Predčasný starobný dôchodok</w:t>
            </w:r>
          </w:p>
        </w:tc>
        <w:tc>
          <w:tcPr>
            <w:tcW w:w="1115" w:type="dxa"/>
            <w:tcBorders>
              <w:top w:val="single" w:sz="8" w:space="0" w:color="auto"/>
              <w:left w:val="nil"/>
              <w:bottom w:val="single" w:sz="4" w:space="0" w:color="auto"/>
              <w:right w:val="single" w:sz="4" w:space="0" w:color="auto"/>
            </w:tcBorders>
            <w:shd w:val="clear" w:color="auto" w:fill="000000"/>
            <w:vAlign w:val="bottom"/>
          </w:tcPr>
          <w:p w:rsidR="00D942E5" w:rsidRPr="00EB4E36" w:rsidRDefault="00D942E5" w:rsidP="00B348CE">
            <w:pPr>
              <w:jc w:val="center"/>
              <w:rPr>
                <w:rFonts w:ascii="Arial Narrow" w:hAnsi="Arial Narrow"/>
                <w:b/>
                <w:bCs/>
              </w:rPr>
            </w:pPr>
            <w:r w:rsidRPr="00EB4E36">
              <w:rPr>
                <w:rFonts w:ascii="Arial Narrow" w:hAnsi="Arial Narrow"/>
                <w:b/>
                <w:bCs/>
              </w:rPr>
              <w:t>Invalidný dôchodok</w:t>
            </w:r>
          </w:p>
        </w:tc>
        <w:tc>
          <w:tcPr>
            <w:tcW w:w="1127" w:type="dxa"/>
            <w:tcBorders>
              <w:top w:val="single" w:sz="8" w:space="0" w:color="auto"/>
              <w:left w:val="nil"/>
              <w:bottom w:val="single" w:sz="4" w:space="0" w:color="auto"/>
              <w:right w:val="single" w:sz="4" w:space="0" w:color="auto"/>
            </w:tcBorders>
            <w:shd w:val="clear" w:color="auto" w:fill="000000"/>
            <w:vAlign w:val="bottom"/>
          </w:tcPr>
          <w:p w:rsidR="00D942E5" w:rsidRPr="00EB4E36" w:rsidRDefault="00D942E5" w:rsidP="00B348CE">
            <w:pPr>
              <w:jc w:val="center"/>
              <w:rPr>
                <w:rFonts w:ascii="Arial Narrow" w:hAnsi="Arial Narrow"/>
                <w:b/>
                <w:bCs/>
              </w:rPr>
            </w:pPr>
            <w:r w:rsidRPr="00EB4E36">
              <w:rPr>
                <w:rFonts w:ascii="Arial Narrow" w:hAnsi="Arial Narrow"/>
                <w:b/>
                <w:bCs/>
              </w:rPr>
              <w:t xml:space="preserve">Vdovský dôchodok </w:t>
            </w:r>
          </w:p>
        </w:tc>
        <w:tc>
          <w:tcPr>
            <w:tcW w:w="1157" w:type="dxa"/>
            <w:tcBorders>
              <w:top w:val="single" w:sz="8" w:space="0" w:color="auto"/>
              <w:left w:val="nil"/>
              <w:bottom w:val="single" w:sz="4" w:space="0" w:color="auto"/>
              <w:right w:val="single" w:sz="4" w:space="0" w:color="auto"/>
            </w:tcBorders>
            <w:shd w:val="clear" w:color="auto" w:fill="000000"/>
            <w:vAlign w:val="bottom"/>
          </w:tcPr>
          <w:p w:rsidR="00D942E5" w:rsidRPr="00EB4E36" w:rsidRDefault="00D942E5" w:rsidP="00B348CE">
            <w:pPr>
              <w:jc w:val="center"/>
              <w:rPr>
                <w:rFonts w:ascii="Arial Narrow" w:hAnsi="Arial Narrow"/>
                <w:b/>
                <w:bCs/>
              </w:rPr>
            </w:pPr>
            <w:r w:rsidRPr="00EB4E36">
              <w:rPr>
                <w:rFonts w:ascii="Arial Narrow" w:hAnsi="Arial Narrow"/>
                <w:b/>
                <w:bCs/>
              </w:rPr>
              <w:t xml:space="preserve">Vdovecký dôchodok </w:t>
            </w:r>
          </w:p>
        </w:tc>
        <w:tc>
          <w:tcPr>
            <w:tcW w:w="1151" w:type="dxa"/>
            <w:tcBorders>
              <w:top w:val="single" w:sz="8" w:space="0" w:color="auto"/>
              <w:left w:val="nil"/>
              <w:bottom w:val="single" w:sz="4" w:space="0" w:color="auto"/>
              <w:right w:val="single" w:sz="8" w:space="0" w:color="auto"/>
            </w:tcBorders>
            <w:shd w:val="clear" w:color="auto" w:fill="000000"/>
            <w:vAlign w:val="bottom"/>
          </w:tcPr>
          <w:p w:rsidR="00D942E5" w:rsidRPr="00EB4E36" w:rsidRDefault="00D942E5" w:rsidP="00B348CE">
            <w:pPr>
              <w:jc w:val="center"/>
              <w:rPr>
                <w:rFonts w:ascii="Arial Narrow" w:hAnsi="Arial Narrow"/>
                <w:b/>
                <w:bCs/>
              </w:rPr>
            </w:pPr>
            <w:r w:rsidRPr="00EB4E36">
              <w:rPr>
                <w:rFonts w:ascii="Arial Narrow" w:hAnsi="Arial Narrow"/>
                <w:b/>
                <w:bCs/>
              </w:rPr>
              <w:t>Sirotský dôchodok</w:t>
            </w:r>
          </w:p>
        </w:tc>
      </w:tr>
      <w:tr w:rsidR="00D942E5" w:rsidRPr="00D132F7" w:rsidTr="00B348CE">
        <w:trPr>
          <w:trHeight w:val="300"/>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2003</w:t>
            </w:r>
          </w:p>
        </w:tc>
        <w:tc>
          <w:tcPr>
            <w:tcW w:w="1151" w:type="dxa"/>
            <w:tcBorders>
              <w:top w:val="nil"/>
              <w:left w:val="nil"/>
              <w:bottom w:val="single" w:sz="4" w:space="0" w:color="auto"/>
              <w:right w:val="single" w:sz="4" w:space="0" w:color="auto"/>
            </w:tcBorders>
            <w:shd w:val="clear" w:color="auto" w:fill="auto"/>
            <w:vAlign w:val="bottom"/>
          </w:tcPr>
          <w:p w:rsidR="00D942E5" w:rsidRPr="00EB4E36" w:rsidRDefault="00D942E5" w:rsidP="00B348CE">
            <w:pPr>
              <w:jc w:val="center"/>
              <w:rPr>
                <w:rFonts w:ascii="Arial Narrow" w:hAnsi="Arial Narrow"/>
              </w:rPr>
            </w:pPr>
            <w:r w:rsidRPr="00EB4E36">
              <w:rPr>
                <w:rFonts w:ascii="Arial Narrow" w:hAnsi="Arial Narrow"/>
              </w:rPr>
              <w:t>215,9</w:t>
            </w:r>
          </w:p>
        </w:tc>
        <w:tc>
          <w:tcPr>
            <w:tcW w:w="1181" w:type="dxa"/>
            <w:tcBorders>
              <w:top w:val="nil"/>
              <w:left w:val="nil"/>
              <w:bottom w:val="single" w:sz="4" w:space="0" w:color="auto"/>
              <w:right w:val="single" w:sz="4" w:space="0" w:color="auto"/>
            </w:tcBorders>
            <w:shd w:val="clear" w:color="auto" w:fill="auto"/>
            <w:vAlign w:val="bottom"/>
          </w:tcPr>
          <w:p w:rsidR="00D942E5" w:rsidRPr="00EB4E36" w:rsidRDefault="00D942E5" w:rsidP="00B348CE">
            <w:pPr>
              <w:jc w:val="center"/>
              <w:rPr>
                <w:rFonts w:ascii="Arial Narrow" w:hAnsi="Arial Narrow"/>
              </w:rPr>
            </w:pPr>
            <w:r w:rsidRPr="00EB4E36">
              <w:rPr>
                <w:rFonts w:ascii="Arial Narrow" w:hAnsi="Arial Narrow"/>
              </w:rPr>
              <w:t>0</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174,7</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143,6</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73,7</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63,8</w:t>
            </w:r>
          </w:p>
        </w:tc>
      </w:tr>
      <w:tr w:rsidR="00D942E5" w:rsidRPr="00D132F7" w:rsidTr="00B348CE">
        <w:trPr>
          <w:trHeight w:val="300"/>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2004</w:t>
            </w:r>
          </w:p>
        </w:tc>
        <w:tc>
          <w:tcPr>
            <w:tcW w:w="115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233,8</w:t>
            </w:r>
          </w:p>
        </w:tc>
        <w:tc>
          <w:tcPr>
            <w:tcW w:w="118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244,6</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188,1</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153,5</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91,5</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68,7</w:t>
            </w:r>
          </w:p>
        </w:tc>
      </w:tr>
      <w:tr w:rsidR="00D942E5" w:rsidRPr="00D132F7" w:rsidTr="00B348CE">
        <w:trPr>
          <w:trHeight w:val="300"/>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2005</w:t>
            </w:r>
          </w:p>
        </w:tc>
        <w:tc>
          <w:tcPr>
            <w:tcW w:w="115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256,0</w:t>
            </w:r>
          </w:p>
        </w:tc>
        <w:tc>
          <w:tcPr>
            <w:tcW w:w="118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282,1</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192,7</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163,9</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106,4</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75,3</w:t>
            </w:r>
          </w:p>
        </w:tc>
      </w:tr>
      <w:tr w:rsidR="00D942E5" w:rsidRPr="00D132F7" w:rsidTr="00B348CE">
        <w:trPr>
          <w:trHeight w:val="300"/>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2006</w:t>
            </w:r>
          </w:p>
        </w:tc>
        <w:tc>
          <w:tcPr>
            <w:tcW w:w="115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273,1</w:t>
            </w:r>
          </w:p>
        </w:tc>
        <w:tc>
          <w:tcPr>
            <w:tcW w:w="118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297,7</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203,8</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172,8</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117,5</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99,0</w:t>
            </w:r>
          </w:p>
        </w:tc>
      </w:tr>
      <w:tr w:rsidR="00D942E5" w:rsidRPr="00D132F7" w:rsidTr="00B348CE">
        <w:trPr>
          <w:trHeight w:val="300"/>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2007</w:t>
            </w:r>
          </w:p>
        </w:tc>
        <w:tc>
          <w:tcPr>
            <w:tcW w:w="115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294,9</w:t>
            </w:r>
          </w:p>
        </w:tc>
        <w:tc>
          <w:tcPr>
            <w:tcW w:w="118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312,0</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433F96" w:rsidP="00B348CE">
            <w:pPr>
              <w:jc w:val="center"/>
              <w:rPr>
                <w:rFonts w:ascii="Arial Narrow" w:hAnsi="Arial Narrow"/>
              </w:rPr>
            </w:pPr>
            <w:r>
              <w:rPr>
                <w:rFonts w:ascii="Arial Narrow" w:hAnsi="Arial Narrow"/>
              </w:rPr>
              <w:t>219,8</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184,0</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131,1</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107,6</w:t>
            </w:r>
          </w:p>
        </w:tc>
      </w:tr>
      <w:tr w:rsidR="00D942E5" w:rsidRPr="00D132F7" w:rsidTr="00B348CE">
        <w:trPr>
          <w:trHeight w:val="300"/>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2008</w:t>
            </w:r>
          </w:p>
        </w:tc>
        <w:tc>
          <w:tcPr>
            <w:tcW w:w="115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313,0</w:t>
            </w:r>
          </w:p>
        </w:tc>
        <w:tc>
          <w:tcPr>
            <w:tcW w:w="118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327,6</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433F96" w:rsidP="00B348CE">
            <w:pPr>
              <w:jc w:val="center"/>
              <w:rPr>
                <w:rFonts w:ascii="Arial Narrow" w:hAnsi="Arial Narrow"/>
              </w:rPr>
            </w:pPr>
            <w:r>
              <w:rPr>
                <w:rFonts w:ascii="Arial Narrow" w:hAnsi="Arial Narrow"/>
              </w:rPr>
              <w:t>232,4</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194,5</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144,1</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114,2</w:t>
            </w:r>
          </w:p>
        </w:tc>
      </w:tr>
      <w:tr w:rsidR="00D942E5" w:rsidRPr="00D132F7" w:rsidTr="00B348CE">
        <w:trPr>
          <w:trHeight w:val="315"/>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2009</w:t>
            </w:r>
          </w:p>
        </w:tc>
        <w:tc>
          <w:tcPr>
            <w:tcW w:w="115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339,7</w:t>
            </w:r>
          </w:p>
        </w:tc>
        <w:tc>
          <w:tcPr>
            <w:tcW w:w="118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350,6</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433F96" w:rsidP="00B348CE">
            <w:pPr>
              <w:jc w:val="center"/>
              <w:rPr>
                <w:rFonts w:ascii="Arial Narrow" w:hAnsi="Arial Narrow"/>
              </w:rPr>
            </w:pPr>
            <w:r>
              <w:rPr>
                <w:rFonts w:ascii="Arial Narrow" w:hAnsi="Arial Narrow"/>
              </w:rPr>
              <w:t>249,4</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209,7</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157,8</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122,5</w:t>
            </w:r>
          </w:p>
        </w:tc>
      </w:tr>
      <w:tr w:rsidR="00D942E5" w:rsidRPr="00D132F7" w:rsidTr="00B348CE">
        <w:trPr>
          <w:trHeight w:val="315"/>
          <w:jc w:val="center"/>
        </w:trPr>
        <w:tc>
          <w:tcPr>
            <w:tcW w:w="698" w:type="dxa"/>
            <w:tcBorders>
              <w:top w:val="nil"/>
              <w:left w:val="single" w:sz="8"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2010</w:t>
            </w:r>
          </w:p>
        </w:tc>
        <w:tc>
          <w:tcPr>
            <w:tcW w:w="115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352,5</w:t>
            </w:r>
          </w:p>
        </w:tc>
        <w:tc>
          <w:tcPr>
            <w:tcW w:w="1181"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367,1</w:t>
            </w:r>
          </w:p>
        </w:tc>
        <w:tc>
          <w:tcPr>
            <w:tcW w:w="1115"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254,8</w:t>
            </w:r>
          </w:p>
        </w:tc>
        <w:tc>
          <w:tcPr>
            <w:tcW w:w="112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217,1</w:t>
            </w:r>
          </w:p>
        </w:tc>
        <w:tc>
          <w:tcPr>
            <w:tcW w:w="1157" w:type="dxa"/>
            <w:tcBorders>
              <w:top w:val="nil"/>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165,4</w:t>
            </w:r>
          </w:p>
        </w:tc>
        <w:tc>
          <w:tcPr>
            <w:tcW w:w="1151" w:type="dxa"/>
            <w:tcBorders>
              <w:top w:val="nil"/>
              <w:left w:val="nil"/>
              <w:bottom w:val="single" w:sz="4" w:space="0" w:color="auto"/>
              <w:right w:val="single" w:sz="8"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125,3</w:t>
            </w:r>
          </w:p>
        </w:tc>
      </w:tr>
      <w:tr w:rsidR="00D942E5" w:rsidRPr="00D132F7" w:rsidTr="00B348CE">
        <w:trPr>
          <w:trHeight w:val="315"/>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2011</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362,1</w:t>
            </w:r>
          </w:p>
        </w:tc>
        <w:tc>
          <w:tcPr>
            <w:tcW w:w="1181"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357,6</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255,63</w:t>
            </w:r>
          </w:p>
        </w:tc>
        <w:tc>
          <w:tcPr>
            <w:tcW w:w="1127"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222,0</w:t>
            </w:r>
          </w:p>
        </w:tc>
        <w:tc>
          <w:tcPr>
            <w:tcW w:w="1157"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169,7</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125,9</w:t>
            </w:r>
          </w:p>
        </w:tc>
      </w:tr>
      <w:tr w:rsidR="00D942E5" w:rsidRPr="00D132F7" w:rsidTr="00B348CE">
        <w:trPr>
          <w:trHeight w:val="315"/>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b/>
              </w:rPr>
            </w:pPr>
            <w:r w:rsidRPr="00EB4E36">
              <w:rPr>
                <w:rFonts w:ascii="Arial Narrow" w:hAnsi="Arial Narrow"/>
                <w:b/>
              </w:rPr>
              <w:t>2012</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375,9</w:t>
            </w:r>
          </w:p>
        </w:tc>
        <w:tc>
          <w:tcPr>
            <w:tcW w:w="1181"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374,5</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260,9</w:t>
            </w:r>
          </w:p>
        </w:tc>
        <w:tc>
          <w:tcPr>
            <w:tcW w:w="1127"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229,7</w:t>
            </w:r>
          </w:p>
        </w:tc>
        <w:tc>
          <w:tcPr>
            <w:tcW w:w="1157"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175,9</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D942E5" w:rsidRPr="00EB4E36" w:rsidRDefault="00D942E5" w:rsidP="00B348CE">
            <w:pPr>
              <w:jc w:val="center"/>
              <w:rPr>
                <w:rFonts w:ascii="Arial Narrow" w:hAnsi="Arial Narrow"/>
              </w:rPr>
            </w:pPr>
            <w:r w:rsidRPr="00EB4E36">
              <w:rPr>
                <w:rFonts w:ascii="Arial Narrow" w:hAnsi="Arial Narrow"/>
              </w:rPr>
              <w:t>128,2</w:t>
            </w:r>
          </w:p>
        </w:tc>
      </w:tr>
    </w:tbl>
    <w:p w:rsidR="00D942E5" w:rsidRPr="00532CFF" w:rsidRDefault="00D942E5" w:rsidP="00D942E5">
      <w:pPr>
        <w:tabs>
          <w:tab w:val="left" w:pos="993"/>
          <w:tab w:val="left" w:pos="6379"/>
        </w:tabs>
        <w:rPr>
          <w:rFonts w:ascii="Arial Narrow" w:hAnsi="Arial Narrow"/>
          <w:sz w:val="18"/>
          <w:szCs w:val="18"/>
        </w:rPr>
      </w:pPr>
      <w:r>
        <w:rPr>
          <w:rFonts w:ascii="Arial Narrow" w:hAnsi="Arial Narrow"/>
          <w:sz w:val="18"/>
          <w:szCs w:val="18"/>
        </w:rPr>
        <w:t xml:space="preserve">                    </w:t>
      </w:r>
      <w:r w:rsidRPr="00532CFF">
        <w:rPr>
          <w:rFonts w:ascii="Arial Narrow" w:hAnsi="Arial Narrow"/>
          <w:sz w:val="18"/>
          <w:szCs w:val="18"/>
        </w:rPr>
        <w:t>Zdroj: So</w:t>
      </w:r>
      <w:r>
        <w:rPr>
          <w:rFonts w:ascii="Arial Narrow" w:hAnsi="Arial Narrow"/>
          <w:sz w:val="18"/>
          <w:szCs w:val="18"/>
        </w:rPr>
        <w:t>ciálna poisťovňa</w:t>
      </w:r>
    </w:p>
    <w:p w:rsidR="00D942E5" w:rsidRDefault="00D942E5" w:rsidP="00D942E5">
      <w:pPr>
        <w:rPr>
          <w:rFonts w:ascii="Arial Narrow" w:hAnsi="Arial Narrow"/>
          <w:sz w:val="20"/>
          <w:szCs w:val="20"/>
        </w:rPr>
      </w:pPr>
    </w:p>
    <w:p w:rsidR="00CD60CE" w:rsidRPr="00D132F7" w:rsidRDefault="00CD60CE" w:rsidP="00D942E5">
      <w:pPr>
        <w:rPr>
          <w:rFonts w:ascii="Arial Narrow" w:hAnsi="Arial Narrow"/>
          <w:sz w:val="20"/>
          <w:szCs w:val="20"/>
        </w:rPr>
      </w:pPr>
    </w:p>
    <w:tbl>
      <w:tblPr>
        <w:tblW w:w="10121" w:type="dxa"/>
        <w:tblInd w:w="-520" w:type="dxa"/>
        <w:tblCellMar>
          <w:left w:w="0" w:type="dxa"/>
          <w:right w:w="0" w:type="dxa"/>
        </w:tblCellMar>
        <w:tblLook w:val="04A0"/>
      </w:tblPr>
      <w:tblGrid>
        <w:gridCol w:w="663"/>
        <w:gridCol w:w="1187"/>
        <w:gridCol w:w="1209"/>
        <w:gridCol w:w="1152"/>
        <w:gridCol w:w="1001"/>
        <w:gridCol w:w="1187"/>
        <w:gridCol w:w="1502"/>
        <w:gridCol w:w="1100"/>
        <w:gridCol w:w="1120"/>
      </w:tblGrid>
      <w:tr w:rsidR="00CD60CE" w:rsidTr="00B348CE">
        <w:trPr>
          <w:trHeight w:val="270"/>
        </w:trPr>
        <w:tc>
          <w:tcPr>
            <w:tcW w:w="10121" w:type="dxa"/>
            <w:gridSpan w:val="9"/>
            <w:tcBorders>
              <w:top w:val="nil"/>
              <w:left w:val="nil"/>
              <w:bottom w:val="single" w:sz="8" w:space="0" w:color="auto"/>
              <w:right w:val="nil"/>
            </w:tcBorders>
            <w:noWrap/>
            <w:tcMar>
              <w:top w:w="0" w:type="dxa"/>
              <w:left w:w="70" w:type="dxa"/>
              <w:bottom w:w="0" w:type="dxa"/>
              <w:right w:w="70" w:type="dxa"/>
            </w:tcMar>
            <w:vAlign w:val="bottom"/>
            <w:hideMark/>
          </w:tcPr>
          <w:p w:rsidR="00CD60CE" w:rsidRDefault="00CD60CE" w:rsidP="00B348CE">
            <w:pPr>
              <w:rPr>
                <w:rFonts w:ascii="Arial Narrow" w:eastAsia="Calibri" w:hAnsi="Arial Narrow"/>
                <w:b/>
                <w:bCs/>
              </w:rPr>
            </w:pPr>
            <w:r>
              <w:rPr>
                <w:rFonts w:ascii="Arial Narrow" w:hAnsi="Arial Narrow"/>
                <w:b/>
                <w:bCs/>
                <w:color w:val="000000"/>
              </w:rPr>
              <w:t>Tabuľka 2: Vývoj p</w:t>
            </w:r>
            <w:r>
              <w:rPr>
                <w:rFonts w:ascii="Arial Narrow" w:hAnsi="Arial Narrow"/>
                <w:b/>
                <w:bCs/>
              </w:rPr>
              <w:t>riemernej výšky dôchodku vyplácaného v súbehu k 31. decembru v EUR</w:t>
            </w:r>
          </w:p>
        </w:tc>
      </w:tr>
      <w:tr w:rsidR="00CD60CE" w:rsidTr="00B348CE">
        <w:trPr>
          <w:trHeight w:val="255"/>
        </w:trPr>
        <w:tc>
          <w:tcPr>
            <w:tcW w:w="663" w:type="dxa"/>
            <w:vMerge w:val="restart"/>
            <w:tcBorders>
              <w:top w:val="nil"/>
              <w:left w:val="single" w:sz="8" w:space="0" w:color="auto"/>
              <w:bottom w:val="single" w:sz="8" w:space="0" w:color="auto"/>
              <w:right w:val="nil"/>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Rok</w:t>
            </w:r>
          </w:p>
        </w:tc>
        <w:tc>
          <w:tcPr>
            <w:tcW w:w="4549" w:type="dxa"/>
            <w:gridSpan w:val="4"/>
            <w:tcBorders>
              <w:top w:val="nil"/>
              <w:left w:val="single" w:sz="8" w:space="0" w:color="auto"/>
              <w:bottom w:val="single" w:sz="8" w:space="0" w:color="auto"/>
              <w:right w:val="single" w:sz="8" w:space="0" w:color="000000"/>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Vdovský dôchodok v súbehu so</w:t>
            </w:r>
          </w:p>
        </w:tc>
        <w:tc>
          <w:tcPr>
            <w:tcW w:w="4909" w:type="dxa"/>
            <w:gridSpan w:val="4"/>
            <w:tcBorders>
              <w:top w:val="nil"/>
              <w:left w:val="nil"/>
              <w:bottom w:val="single" w:sz="8" w:space="0" w:color="auto"/>
              <w:right w:val="single" w:sz="8" w:space="0" w:color="000000"/>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Vdovecký dôchodok v súbehu so</w:t>
            </w:r>
          </w:p>
        </w:tc>
      </w:tr>
      <w:tr w:rsidR="00CD60CE" w:rsidTr="00B348CE">
        <w:trPr>
          <w:trHeight w:val="720"/>
        </w:trPr>
        <w:tc>
          <w:tcPr>
            <w:tcW w:w="0" w:type="auto"/>
            <w:vMerge/>
            <w:tcBorders>
              <w:top w:val="nil"/>
              <w:left w:val="single" w:sz="8" w:space="0" w:color="auto"/>
              <w:bottom w:val="single" w:sz="8" w:space="0" w:color="auto"/>
              <w:right w:val="nil"/>
            </w:tcBorders>
            <w:vAlign w:val="center"/>
            <w:hideMark/>
          </w:tcPr>
          <w:p w:rsidR="00CD60CE" w:rsidRDefault="00CD60CE" w:rsidP="00B348CE">
            <w:pPr>
              <w:rPr>
                <w:rFonts w:ascii="Arial Narrow" w:eastAsia="Calibri" w:hAnsi="Arial Narrow"/>
                <w:b/>
                <w:bCs/>
                <w:sz w:val="20"/>
                <w:szCs w:val="20"/>
              </w:rPr>
            </w:pPr>
          </w:p>
        </w:tc>
        <w:tc>
          <w:tcPr>
            <w:tcW w:w="1187" w:type="dxa"/>
            <w:tcBorders>
              <w:top w:val="nil"/>
              <w:left w:val="single" w:sz="8" w:space="0" w:color="auto"/>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starobným dôchodkom</w:t>
            </w:r>
          </w:p>
        </w:tc>
        <w:tc>
          <w:tcPr>
            <w:tcW w:w="1209" w:type="dxa"/>
            <w:tcBorders>
              <w:top w:val="nil"/>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 xml:space="preserve">predčasným starobným dôchodkom </w:t>
            </w:r>
          </w:p>
        </w:tc>
        <w:tc>
          <w:tcPr>
            <w:tcW w:w="1152" w:type="dxa"/>
            <w:tcBorders>
              <w:top w:val="nil"/>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invalidným dôchodkom</w:t>
            </w:r>
          </w:p>
        </w:tc>
        <w:tc>
          <w:tcPr>
            <w:tcW w:w="1001" w:type="dxa"/>
            <w:tcBorders>
              <w:top w:val="nil"/>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Vážený priemer</w:t>
            </w:r>
          </w:p>
        </w:tc>
        <w:tc>
          <w:tcPr>
            <w:tcW w:w="1187" w:type="dxa"/>
            <w:tcBorders>
              <w:top w:val="nil"/>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starobným dôchodkom</w:t>
            </w:r>
          </w:p>
        </w:tc>
        <w:tc>
          <w:tcPr>
            <w:tcW w:w="1502" w:type="dxa"/>
            <w:tcBorders>
              <w:top w:val="nil"/>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 xml:space="preserve">predčasným starobným dôchodkom </w:t>
            </w:r>
          </w:p>
        </w:tc>
        <w:tc>
          <w:tcPr>
            <w:tcW w:w="1100" w:type="dxa"/>
            <w:tcBorders>
              <w:top w:val="nil"/>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invalidným dôchodkom</w:t>
            </w:r>
          </w:p>
        </w:tc>
        <w:tc>
          <w:tcPr>
            <w:tcW w:w="1120" w:type="dxa"/>
            <w:tcBorders>
              <w:top w:val="nil"/>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sz w:val="20"/>
                <w:szCs w:val="20"/>
              </w:rPr>
            </w:pPr>
            <w:r>
              <w:rPr>
                <w:rFonts w:ascii="Arial Narrow" w:hAnsi="Arial Narrow"/>
                <w:b/>
                <w:bCs/>
                <w:sz w:val="20"/>
                <w:szCs w:val="20"/>
              </w:rPr>
              <w:t>Vážený priemer</w:t>
            </w:r>
          </w:p>
        </w:tc>
      </w:tr>
      <w:tr w:rsidR="00CD60CE" w:rsidTr="00B348CE">
        <w:trPr>
          <w:trHeight w:val="255"/>
        </w:trPr>
        <w:tc>
          <w:tcPr>
            <w:tcW w:w="663"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2003</w:t>
            </w:r>
          </w:p>
        </w:tc>
        <w:tc>
          <w:tcPr>
            <w:tcW w:w="1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239,7</w:t>
            </w:r>
          </w:p>
        </w:tc>
        <w:tc>
          <w:tcPr>
            <w:tcW w:w="12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0,0</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227,9</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238,2</w:t>
            </w:r>
          </w:p>
        </w:tc>
        <w:tc>
          <w:tcPr>
            <w:tcW w:w="1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0,0</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0,0</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0,0</w:t>
            </w:r>
          </w:p>
        </w:tc>
      </w:tr>
      <w:tr w:rsidR="00CD60CE" w:rsidTr="00B348CE">
        <w:trPr>
          <w:trHeight w:val="255"/>
        </w:trPr>
        <w:tc>
          <w:tcPr>
            <w:tcW w:w="663"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2004</w:t>
            </w:r>
          </w:p>
        </w:tc>
        <w:tc>
          <w:tcPr>
            <w:tcW w:w="1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259,5</w:t>
            </w:r>
          </w:p>
        </w:tc>
        <w:tc>
          <w:tcPr>
            <w:tcW w:w="12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293,6</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246,6</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257,9</w:t>
            </w:r>
          </w:p>
        </w:tc>
        <w:tc>
          <w:tcPr>
            <w:tcW w:w="1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307,9</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327,9</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263,9</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298,2</w:t>
            </w:r>
          </w:p>
        </w:tc>
      </w:tr>
      <w:tr w:rsidR="00CD60CE" w:rsidTr="00B348CE">
        <w:trPr>
          <w:trHeight w:val="255"/>
        </w:trPr>
        <w:tc>
          <w:tcPr>
            <w:tcW w:w="663"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2005</w:t>
            </w:r>
          </w:p>
        </w:tc>
        <w:tc>
          <w:tcPr>
            <w:tcW w:w="1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284,2</w:t>
            </w:r>
          </w:p>
        </w:tc>
        <w:tc>
          <w:tcPr>
            <w:tcW w:w="12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335,0</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269,0</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284,0</w:t>
            </w:r>
          </w:p>
        </w:tc>
        <w:tc>
          <w:tcPr>
            <w:tcW w:w="1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338,2</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346,7</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275,1</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334,1</w:t>
            </w:r>
          </w:p>
        </w:tc>
      </w:tr>
      <w:tr w:rsidR="00CD60CE" w:rsidTr="00B348CE">
        <w:trPr>
          <w:trHeight w:val="255"/>
        </w:trPr>
        <w:tc>
          <w:tcPr>
            <w:tcW w:w="663"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2006</w:t>
            </w:r>
          </w:p>
        </w:tc>
        <w:tc>
          <w:tcPr>
            <w:tcW w:w="1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302,9</w:t>
            </w:r>
          </w:p>
        </w:tc>
        <w:tc>
          <w:tcPr>
            <w:tcW w:w="12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347,0</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286,0</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302,7</w:t>
            </w:r>
          </w:p>
        </w:tc>
        <w:tc>
          <w:tcPr>
            <w:tcW w:w="1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356,1</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383,3</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312,8</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354,5</w:t>
            </w:r>
          </w:p>
        </w:tc>
      </w:tr>
      <w:tr w:rsidR="00CD60CE" w:rsidTr="00B348CE">
        <w:trPr>
          <w:trHeight w:val="255"/>
        </w:trPr>
        <w:tc>
          <w:tcPr>
            <w:tcW w:w="663"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2007</w:t>
            </w:r>
          </w:p>
        </w:tc>
        <w:tc>
          <w:tcPr>
            <w:tcW w:w="1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324,0</w:t>
            </w:r>
          </w:p>
        </w:tc>
        <w:tc>
          <w:tcPr>
            <w:tcW w:w="12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362,7</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433F96">
            <w:pPr>
              <w:jc w:val="center"/>
              <w:rPr>
                <w:rFonts w:ascii="Arial Narrow" w:eastAsia="Calibri" w:hAnsi="Arial Narrow"/>
              </w:rPr>
            </w:pPr>
            <w:r>
              <w:rPr>
                <w:rFonts w:ascii="Arial Narrow" w:hAnsi="Arial Narrow"/>
              </w:rPr>
              <w:t>307,7</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433F96">
            <w:pPr>
              <w:jc w:val="center"/>
              <w:rPr>
                <w:rFonts w:ascii="Arial Narrow" w:eastAsia="Calibri" w:hAnsi="Arial Narrow"/>
              </w:rPr>
            </w:pPr>
            <w:r>
              <w:rPr>
                <w:rFonts w:ascii="Arial Narrow" w:hAnsi="Arial Narrow"/>
              </w:rPr>
              <w:t>32</w:t>
            </w:r>
            <w:r w:rsidR="00433F96">
              <w:rPr>
                <w:rFonts w:ascii="Arial Narrow" w:hAnsi="Arial Narrow"/>
              </w:rPr>
              <w:t>3,8</w:t>
            </w:r>
          </w:p>
        </w:tc>
        <w:tc>
          <w:tcPr>
            <w:tcW w:w="1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433F96">
            <w:pPr>
              <w:jc w:val="center"/>
              <w:rPr>
                <w:rFonts w:ascii="Arial Narrow" w:eastAsia="Calibri" w:hAnsi="Arial Narrow"/>
              </w:rPr>
            </w:pPr>
            <w:r>
              <w:rPr>
                <w:rFonts w:ascii="Arial Narrow" w:hAnsi="Arial Narrow"/>
              </w:rPr>
              <w:t>3</w:t>
            </w:r>
            <w:r w:rsidR="00433F96">
              <w:rPr>
                <w:rFonts w:ascii="Arial Narrow" w:hAnsi="Arial Narrow"/>
              </w:rPr>
              <w:t>71,1</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404,0</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337,8</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370,5</w:t>
            </w:r>
          </w:p>
        </w:tc>
      </w:tr>
      <w:tr w:rsidR="00CD60CE" w:rsidTr="00B348CE">
        <w:trPr>
          <w:trHeight w:val="255"/>
        </w:trPr>
        <w:tc>
          <w:tcPr>
            <w:tcW w:w="663"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lastRenderedPageBreak/>
              <w:t>2008</w:t>
            </w:r>
          </w:p>
        </w:tc>
        <w:tc>
          <w:tcPr>
            <w:tcW w:w="1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343,7</w:t>
            </w:r>
          </w:p>
        </w:tc>
        <w:tc>
          <w:tcPr>
            <w:tcW w:w="12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383,2</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325,7</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343,5</w:t>
            </w:r>
          </w:p>
        </w:tc>
        <w:tc>
          <w:tcPr>
            <w:tcW w:w="1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394,0</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429,8</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358,9</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433F96" w:rsidP="00B348CE">
            <w:pPr>
              <w:jc w:val="center"/>
              <w:rPr>
                <w:rFonts w:ascii="Arial Narrow" w:eastAsia="Calibri" w:hAnsi="Arial Narrow"/>
              </w:rPr>
            </w:pPr>
            <w:r>
              <w:rPr>
                <w:rFonts w:ascii="Arial Narrow" w:hAnsi="Arial Narrow"/>
              </w:rPr>
              <w:t>393,5</w:t>
            </w:r>
          </w:p>
        </w:tc>
      </w:tr>
      <w:tr w:rsidR="00CD60CE" w:rsidTr="00B348CE">
        <w:trPr>
          <w:trHeight w:val="270"/>
        </w:trPr>
        <w:tc>
          <w:tcPr>
            <w:tcW w:w="663"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2009</w:t>
            </w:r>
          </w:p>
        </w:tc>
        <w:tc>
          <w:tcPr>
            <w:tcW w:w="1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371,1</w:t>
            </w:r>
          </w:p>
        </w:tc>
        <w:tc>
          <w:tcPr>
            <w:tcW w:w="12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415,6</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351,0</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370,9</w:t>
            </w:r>
          </w:p>
        </w:tc>
        <w:tc>
          <w:tcPr>
            <w:tcW w:w="1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428,8</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450,8</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385,2</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427,8</w:t>
            </w:r>
          </w:p>
        </w:tc>
      </w:tr>
      <w:tr w:rsidR="00CD60CE" w:rsidTr="00B348CE">
        <w:trPr>
          <w:trHeight w:val="270"/>
        </w:trPr>
        <w:tc>
          <w:tcPr>
            <w:tcW w:w="663" w:type="dxa"/>
            <w:tcBorders>
              <w:top w:val="nil"/>
              <w:left w:val="single" w:sz="8" w:space="0" w:color="auto"/>
              <w:bottom w:val="single" w:sz="8" w:space="0" w:color="auto"/>
              <w:right w:val="nil"/>
            </w:tcBorders>
            <w:shd w:val="clear" w:color="auto" w:fill="auto"/>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2010</w:t>
            </w:r>
          </w:p>
        </w:tc>
        <w:tc>
          <w:tcPr>
            <w:tcW w:w="118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385,1</w:t>
            </w:r>
          </w:p>
        </w:tc>
        <w:tc>
          <w:tcPr>
            <w:tcW w:w="120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418,0</w:t>
            </w:r>
          </w:p>
        </w:tc>
        <w:tc>
          <w:tcPr>
            <w:tcW w:w="115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361,8</w:t>
            </w:r>
          </w:p>
        </w:tc>
        <w:tc>
          <w:tcPr>
            <w:tcW w:w="100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384,7</w:t>
            </w:r>
          </w:p>
        </w:tc>
        <w:tc>
          <w:tcPr>
            <w:tcW w:w="118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446,2</w:t>
            </w:r>
          </w:p>
        </w:tc>
        <w:tc>
          <w:tcPr>
            <w:tcW w:w="15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470,4</w:t>
            </w:r>
          </w:p>
        </w:tc>
        <w:tc>
          <w:tcPr>
            <w:tcW w:w="110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394,6</w:t>
            </w:r>
          </w:p>
        </w:tc>
        <w:tc>
          <w:tcPr>
            <w:tcW w:w="11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444,8</w:t>
            </w:r>
          </w:p>
        </w:tc>
      </w:tr>
      <w:tr w:rsidR="00CD60CE" w:rsidTr="00B348CE">
        <w:trPr>
          <w:trHeight w:val="270"/>
        </w:trPr>
        <w:tc>
          <w:tcPr>
            <w:tcW w:w="663"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2011</w:t>
            </w:r>
          </w:p>
        </w:tc>
        <w:tc>
          <w:tcPr>
            <w:tcW w:w="118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Pr>
                <w:rFonts w:ascii="Arial Narrow" w:hAnsi="Arial Narrow"/>
              </w:rPr>
              <w:t>394,5</w:t>
            </w:r>
          </w:p>
        </w:tc>
        <w:tc>
          <w:tcPr>
            <w:tcW w:w="120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Pr>
                <w:rFonts w:ascii="Arial Narrow" w:hAnsi="Arial Narrow"/>
              </w:rPr>
              <w:t>421,7</w:t>
            </w:r>
          </w:p>
        </w:tc>
        <w:tc>
          <w:tcPr>
            <w:tcW w:w="115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Pr>
                <w:rFonts w:ascii="Arial Narrow" w:hAnsi="Arial Narrow"/>
              </w:rPr>
              <w:t>367,0</w:t>
            </w:r>
          </w:p>
        </w:tc>
        <w:tc>
          <w:tcPr>
            <w:tcW w:w="100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Pr>
                <w:rFonts w:ascii="Arial Narrow" w:hAnsi="Arial Narrow"/>
              </w:rPr>
              <w:t>394,0</w:t>
            </w:r>
          </w:p>
        </w:tc>
        <w:tc>
          <w:tcPr>
            <w:tcW w:w="118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Pr>
                <w:rFonts w:ascii="Arial Narrow" w:hAnsi="Arial Narrow"/>
              </w:rPr>
              <w:t>458,4</w:t>
            </w:r>
          </w:p>
        </w:tc>
        <w:tc>
          <w:tcPr>
            <w:tcW w:w="15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Pr>
                <w:rFonts w:ascii="Arial Narrow" w:hAnsi="Arial Narrow"/>
              </w:rPr>
              <w:t>464,7</w:t>
            </w:r>
          </w:p>
        </w:tc>
        <w:tc>
          <w:tcPr>
            <w:tcW w:w="110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Pr>
                <w:rFonts w:ascii="Arial Narrow" w:hAnsi="Arial Narrow"/>
              </w:rPr>
              <w:t>402,0</w:t>
            </w:r>
          </w:p>
        </w:tc>
        <w:tc>
          <w:tcPr>
            <w:tcW w:w="11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rPr>
            </w:pPr>
            <w:r w:rsidRPr="0035407F">
              <w:rPr>
                <w:rFonts w:ascii="Arial Narrow" w:hAnsi="Arial Narrow"/>
              </w:rPr>
              <w:t>456,5</w:t>
            </w:r>
          </w:p>
        </w:tc>
      </w:tr>
      <w:tr w:rsidR="00CD60CE" w:rsidTr="00B348CE">
        <w:trPr>
          <w:trHeight w:val="270"/>
        </w:trPr>
        <w:tc>
          <w:tcPr>
            <w:tcW w:w="663"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EB4E36" w:rsidRDefault="00CD60CE" w:rsidP="00B348CE">
            <w:pPr>
              <w:jc w:val="center"/>
              <w:rPr>
                <w:rFonts w:ascii="Arial Narrow" w:eastAsia="Calibri" w:hAnsi="Arial Narrow"/>
                <w:b/>
              </w:rPr>
            </w:pPr>
            <w:r w:rsidRPr="00EB4E36">
              <w:rPr>
                <w:rFonts w:ascii="Arial Narrow" w:hAnsi="Arial Narrow"/>
                <w:b/>
              </w:rPr>
              <w:t>2012</w:t>
            </w:r>
          </w:p>
        </w:tc>
        <w:tc>
          <w:tcPr>
            <w:tcW w:w="118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410,4</w:t>
            </w:r>
          </w:p>
        </w:tc>
        <w:tc>
          <w:tcPr>
            <w:tcW w:w="120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435,8</w:t>
            </w:r>
          </w:p>
        </w:tc>
        <w:tc>
          <w:tcPr>
            <w:tcW w:w="115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378,8</w:t>
            </w:r>
          </w:p>
        </w:tc>
        <w:tc>
          <w:tcPr>
            <w:tcW w:w="100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409,7</w:t>
            </w:r>
          </w:p>
        </w:tc>
        <w:tc>
          <w:tcPr>
            <w:tcW w:w="118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478,3</w:t>
            </w:r>
          </w:p>
        </w:tc>
        <w:tc>
          <w:tcPr>
            <w:tcW w:w="150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484,7</w:t>
            </w:r>
          </w:p>
        </w:tc>
        <w:tc>
          <w:tcPr>
            <w:tcW w:w="110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410,0</w:t>
            </w:r>
          </w:p>
        </w:tc>
        <w:tc>
          <w:tcPr>
            <w:tcW w:w="11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CD60CE" w:rsidRPr="00BF1CDC" w:rsidRDefault="00CD60CE" w:rsidP="00B348CE">
            <w:pPr>
              <w:jc w:val="center"/>
              <w:rPr>
                <w:rFonts w:ascii="Arial Narrow" w:hAnsi="Arial Narrow"/>
              </w:rPr>
            </w:pPr>
            <w:r>
              <w:rPr>
                <w:rFonts w:ascii="Arial Narrow" w:hAnsi="Arial Narrow"/>
              </w:rPr>
              <w:t>476,0</w:t>
            </w:r>
          </w:p>
        </w:tc>
      </w:tr>
    </w:tbl>
    <w:p w:rsidR="00CD60CE" w:rsidRDefault="00CD60CE" w:rsidP="00CD60CE">
      <w:pPr>
        <w:tabs>
          <w:tab w:val="left" w:pos="7230"/>
        </w:tabs>
        <w:ind w:left="-426"/>
        <w:rPr>
          <w:rFonts w:ascii="Arial" w:eastAsia="Calibri" w:hAnsi="Arial" w:cs="Arial"/>
          <w:color w:val="000080"/>
          <w:sz w:val="20"/>
          <w:szCs w:val="20"/>
        </w:rPr>
      </w:pPr>
      <w:r>
        <w:rPr>
          <w:rFonts w:ascii="Arial Narrow" w:hAnsi="Arial Narrow"/>
          <w:sz w:val="18"/>
          <w:szCs w:val="18"/>
        </w:rPr>
        <w:t>Zdroj: Sociálna poisťovňa</w:t>
      </w:r>
    </w:p>
    <w:p w:rsidR="00333129" w:rsidRDefault="00333129" w:rsidP="00333129">
      <w:pPr>
        <w:jc w:val="both"/>
      </w:pPr>
    </w:p>
    <w:p w:rsidR="00CD60CE" w:rsidRDefault="00CD60CE" w:rsidP="00CD60CE">
      <w:pPr>
        <w:rPr>
          <w:rFonts w:ascii="Arial Narrow" w:hAnsi="Arial Narrow"/>
          <w:b/>
          <w:bCs/>
        </w:rPr>
      </w:pPr>
    </w:p>
    <w:p w:rsidR="00CD60CE" w:rsidRDefault="00CD60CE" w:rsidP="00CD60CE">
      <w:pPr>
        <w:rPr>
          <w:rFonts w:ascii="Arial Narrow" w:hAnsi="Arial Narrow"/>
          <w:b/>
          <w:bCs/>
        </w:rPr>
      </w:pPr>
    </w:p>
    <w:p w:rsidR="00CD60CE" w:rsidRDefault="00CD60CE" w:rsidP="00CD60CE">
      <w:pPr>
        <w:rPr>
          <w:rFonts w:ascii="Arial Narrow" w:hAnsi="Arial Narrow"/>
          <w:b/>
          <w:bCs/>
        </w:rPr>
      </w:pPr>
      <w:r>
        <w:rPr>
          <w:rFonts w:ascii="Arial Narrow" w:hAnsi="Arial Narrow"/>
          <w:b/>
          <w:bCs/>
        </w:rPr>
        <w:t>Tabuľka 3: Kľúčové faktory ovplyvňujúce výšku starobného dôchodku</w:t>
      </w:r>
    </w:p>
    <w:tbl>
      <w:tblPr>
        <w:tblW w:w="8840" w:type="dxa"/>
        <w:tblInd w:w="55" w:type="dxa"/>
        <w:tblCellMar>
          <w:left w:w="0" w:type="dxa"/>
          <w:right w:w="0" w:type="dxa"/>
        </w:tblCellMar>
        <w:tblLook w:val="04A0"/>
      </w:tblPr>
      <w:tblGrid>
        <w:gridCol w:w="1040"/>
        <w:gridCol w:w="801"/>
        <w:gridCol w:w="782"/>
        <w:gridCol w:w="877"/>
        <w:gridCol w:w="801"/>
        <w:gridCol w:w="782"/>
        <w:gridCol w:w="877"/>
        <w:gridCol w:w="960"/>
        <w:gridCol w:w="960"/>
        <w:gridCol w:w="960"/>
      </w:tblGrid>
      <w:tr w:rsidR="00CD60CE" w:rsidTr="00B348CE">
        <w:trPr>
          <w:trHeight w:val="555"/>
        </w:trPr>
        <w:tc>
          <w:tcPr>
            <w:tcW w:w="1040" w:type="dxa"/>
            <w:vMerge w:val="restart"/>
            <w:tcBorders>
              <w:top w:val="single" w:sz="8" w:space="0" w:color="auto"/>
              <w:left w:val="single" w:sz="8" w:space="0" w:color="auto"/>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Rok</w:t>
            </w:r>
          </w:p>
        </w:tc>
        <w:tc>
          <w:tcPr>
            <w:tcW w:w="2460" w:type="dxa"/>
            <w:gridSpan w:val="3"/>
            <w:tcBorders>
              <w:top w:val="single" w:sz="8" w:space="0" w:color="auto"/>
              <w:left w:val="nil"/>
              <w:bottom w:val="single" w:sz="8" w:space="0" w:color="auto"/>
              <w:right w:val="single" w:sz="8" w:space="0" w:color="auto"/>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Priemerné obdobie dôchodkového  poistenia v r.</w:t>
            </w:r>
          </w:p>
        </w:tc>
        <w:tc>
          <w:tcPr>
            <w:tcW w:w="2460" w:type="dxa"/>
            <w:gridSpan w:val="3"/>
            <w:tcBorders>
              <w:top w:val="single" w:sz="8" w:space="0" w:color="auto"/>
              <w:left w:val="nil"/>
              <w:bottom w:val="single" w:sz="8" w:space="0" w:color="auto"/>
              <w:right w:val="single" w:sz="8" w:space="0" w:color="000000"/>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Priemerný vek odchodu do starobného dôchodku</w:t>
            </w:r>
          </w:p>
        </w:tc>
        <w:tc>
          <w:tcPr>
            <w:tcW w:w="2880" w:type="dxa"/>
            <w:gridSpan w:val="3"/>
            <w:tcBorders>
              <w:top w:val="single" w:sz="8" w:space="0" w:color="auto"/>
              <w:left w:val="nil"/>
              <w:bottom w:val="single" w:sz="8" w:space="0" w:color="auto"/>
              <w:right w:val="single" w:sz="8" w:space="0" w:color="000000"/>
            </w:tcBorders>
            <w:shd w:val="clear" w:color="auto" w:fill="000000"/>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Upravený priemerný osobný mzdový bod</w:t>
            </w:r>
          </w:p>
        </w:tc>
      </w:tr>
      <w:tr w:rsidR="00CD60CE" w:rsidTr="00B348CE">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CD60CE" w:rsidRDefault="00CD60CE" w:rsidP="00B348CE">
            <w:pPr>
              <w:rPr>
                <w:rFonts w:ascii="Arial Narrow" w:eastAsia="Calibri" w:hAnsi="Arial Narrow"/>
                <w:b/>
                <w:bCs/>
                <w:color w:val="FFFFFF"/>
                <w:sz w:val="20"/>
                <w:szCs w:val="20"/>
              </w:rPr>
            </w:pPr>
          </w:p>
        </w:tc>
        <w:tc>
          <w:tcPr>
            <w:tcW w:w="801" w:type="dxa"/>
            <w:tcBorders>
              <w:top w:val="nil"/>
              <w:left w:val="nil"/>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Muži</w:t>
            </w:r>
          </w:p>
        </w:tc>
        <w:tc>
          <w:tcPr>
            <w:tcW w:w="782" w:type="dxa"/>
            <w:tcBorders>
              <w:top w:val="nil"/>
              <w:left w:val="nil"/>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Ženy</w:t>
            </w:r>
          </w:p>
        </w:tc>
        <w:tc>
          <w:tcPr>
            <w:tcW w:w="877" w:type="dxa"/>
            <w:tcBorders>
              <w:top w:val="nil"/>
              <w:left w:val="nil"/>
              <w:bottom w:val="single" w:sz="8" w:space="0" w:color="auto"/>
              <w:right w:val="nil"/>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Spolu</w:t>
            </w:r>
          </w:p>
        </w:tc>
        <w:tc>
          <w:tcPr>
            <w:tcW w:w="801" w:type="dxa"/>
            <w:tcBorders>
              <w:top w:val="nil"/>
              <w:left w:val="single" w:sz="8" w:space="0" w:color="auto"/>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Muži</w:t>
            </w:r>
          </w:p>
        </w:tc>
        <w:tc>
          <w:tcPr>
            <w:tcW w:w="782" w:type="dxa"/>
            <w:tcBorders>
              <w:top w:val="nil"/>
              <w:left w:val="nil"/>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Ženy</w:t>
            </w:r>
          </w:p>
        </w:tc>
        <w:tc>
          <w:tcPr>
            <w:tcW w:w="877" w:type="dxa"/>
            <w:tcBorders>
              <w:top w:val="nil"/>
              <w:left w:val="nil"/>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Spolu</w:t>
            </w:r>
          </w:p>
        </w:tc>
        <w:tc>
          <w:tcPr>
            <w:tcW w:w="960" w:type="dxa"/>
            <w:tcBorders>
              <w:top w:val="nil"/>
              <w:left w:val="nil"/>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Muži</w:t>
            </w:r>
          </w:p>
        </w:tc>
        <w:tc>
          <w:tcPr>
            <w:tcW w:w="960" w:type="dxa"/>
            <w:tcBorders>
              <w:top w:val="nil"/>
              <w:left w:val="nil"/>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Ženy</w:t>
            </w:r>
          </w:p>
        </w:tc>
        <w:tc>
          <w:tcPr>
            <w:tcW w:w="960" w:type="dxa"/>
            <w:tcBorders>
              <w:top w:val="nil"/>
              <w:left w:val="nil"/>
              <w:bottom w:val="single" w:sz="8" w:space="0" w:color="auto"/>
              <w:right w:val="single" w:sz="8" w:space="0" w:color="auto"/>
            </w:tcBorders>
            <w:shd w:val="clear" w:color="auto" w:fill="000000"/>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color w:val="FFFFFF"/>
                <w:sz w:val="20"/>
                <w:szCs w:val="20"/>
              </w:rPr>
            </w:pPr>
            <w:r>
              <w:rPr>
                <w:rFonts w:ascii="Arial Narrow" w:hAnsi="Arial Narrow"/>
                <w:b/>
                <w:bCs/>
                <w:color w:val="FFFFFF"/>
                <w:sz w:val="20"/>
                <w:szCs w:val="20"/>
              </w:rPr>
              <w:t>Spolu</w:t>
            </w:r>
          </w:p>
        </w:tc>
      </w:tr>
      <w:tr w:rsidR="00CD60CE" w:rsidTr="00B348CE">
        <w:trPr>
          <w:trHeight w:val="300"/>
        </w:trPr>
        <w:tc>
          <w:tcPr>
            <w:tcW w:w="10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2003</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40,0</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34,7</w:t>
            </w:r>
          </w:p>
        </w:tc>
        <w:tc>
          <w:tcPr>
            <w:tcW w:w="877" w:type="dxa"/>
            <w:tcBorders>
              <w:top w:val="nil"/>
              <w:left w:val="nil"/>
              <w:bottom w:val="single" w:sz="8" w:space="0" w:color="auto"/>
              <w:right w:val="nil"/>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36,6</w:t>
            </w:r>
          </w:p>
        </w:tc>
        <w:tc>
          <w:tcPr>
            <w:tcW w:w="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60,1</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55,1</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56,9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x</w:t>
            </w:r>
          </w:p>
        </w:tc>
      </w:tr>
      <w:tr w:rsidR="00CD60CE" w:rsidTr="00B348CE">
        <w:trPr>
          <w:trHeight w:val="300"/>
        </w:trPr>
        <w:tc>
          <w:tcPr>
            <w:tcW w:w="10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2004</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42,4</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36,7</w:t>
            </w:r>
          </w:p>
        </w:tc>
        <w:tc>
          <w:tcPr>
            <w:tcW w:w="877" w:type="dxa"/>
            <w:tcBorders>
              <w:top w:val="nil"/>
              <w:left w:val="nil"/>
              <w:bottom w:val="single" w:sz="8" w:space="0" w:color="auto"/>
              <w:right w:val="nil"/>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38,8</w:t>
            </w:r>
          </w:p>
        </w:tc>
        <w:tc>
          <w:tcPr>
            <w:tcW w:w="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61,4</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56,8</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58,5</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1,4050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1,2506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1,3131</w:t>
            </w:r>
          </w:p>
        </w:tc>
      </w:tr>
      <w:tr w:rsidR="00CD60CE" w:rsidTr="00B348CE">
        <w:trPr>
          <w:trHeight w:val="300"/>
        </w:trPr>
        <w:tc>
          <w:tcPr>
            <w:tcW w:w="10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2005</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43,0</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36,2</w:t>
            </w:r>
          </w:p>
        </w:tc>
        <w:tc>
          <w:tcPr>
            <w:tcW w:w="877" w:type="dxa"/>
            <w:tcBorders>
              <w:top w:val="nil"/>
              <w:left w:val="nil"/>
              <w:bottom w:val="single" w:sz="8" w:space="0" w:color="auto"/>
              <w:right w:val="nil"/>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38,4</w:t>
            </w:r>
          </w:p>
        </w:tc>
        <w:tc>
          <w:tcPr>
            <w:tcW w:w="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60,7</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56,0</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57,5</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1,2557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1,0032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1,0854</w:t>
            </w:r>
          </w:p>
        </w:tc>
      </w:tr>
      <w:tr w:rsidR="00CD60CE" w:rsidTr="00B348CE">
        <w:trPr>
          <w:trHeight w:val="300"/>
        </w:trPr>
        <w:tc>
          <w:tcPr>
            <w:tcW w:w="10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2006</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40,4</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34,0</w:t>
            </w:r>
          </w:p>
        </w:tc>
        <w:tc>
          <w:tcPr>
            <w:tcW w:w="877" w:type="dxa"/>
            <w:tcBorders>
              <w:top w:val="nil"/>
              <w:left w:val="nil"/>
              <w:bottom w:val="single" w:sz="8" w:space="0" w:color="auto"/>
              <w:right w:val="nil"/>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35,8</w:t>
            </w:r>
          </w:p>
        </w:tc>
        <w:tc>
          <w:tcPr>
            <w:tcW w:w="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60,2</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56,8</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57,8</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1,2252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0,8772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0,9815</w:t>
            </w:r>
          </w:p>
        </w:tc>
      </w:tr>
      <w:tr w:rsidR="00CD60CE" w:rsidTr="00B348CE">
        <w:trPr>
          <w:trHeight w:val="300"/>
        </w:trPr>
        <w:tc>
          <w:tcPr>
            <w:tcW w:w="10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2007</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41,3</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33,8</w:t>
            </w:r>
          </w:p>
        </w:tc>
        <w:tc>
          <w:tcPr>
            <w:tcW w:w="877" w:type="dxa"/>
            <w:tcBorders>
              <w:top w:val="nil"/>
              <w:left w:val="nil"/>
              <w:bottom w:val="single" w:sz="8" w:space="0" w:color="auto"/>
              <w:right w:val="nil"/>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35,6</w:t>
            </w:r>
          </w:p>
        </w:tc>
        <w:tc>
          <w:tcPr>
            <w:tcW w:w="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60,7</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58,0</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58,7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8E6742">
            <w:pPr>
              <w:jc w:val="center"/>
              <w:rPr>
                <w:rFonts w:ascii="Arial Narrow" w:eastAsia="Calibri" w:hAnsi="Arial Narrow"/>
              </w:rPr>
            </w:pPr>
            <w:r>
              <w:rPr>
                <w:rFonts w:ascii="Arial Narrow" w:hAnsi="Arial Narrow"/>
              </w:rPr>
              <w:t>1,</w:t>
            </w:r>
            <w:r w:rsidR="008E6742">
              <w:rPr>
                <w:rFonts w:ascii="Arial Narrow" w:hAnsi="Arial Narrow"/>
              </w:rPr>
              <w:t>1603</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8E6742">
            <w:pPr>
              <w:jc w:val="center"/>
              <w:rPr>
                <w:rFonts w:ascii="Arial Narrow" w:eastAsia="Calibri" w:hAnsi="Arial Narrow"/>
              </w:rPr>
            </w:pPr>
            <w:r>
              <w:rPr>
                <w:rFonts w:ascii="Arial Narrow" w:hAnsi="Arial Narrow"/>
              </w:rPr>
              <w:t>0,</w:t>
            </w:r>
            <w:r w:rsidR="008E6742">
              <w:rPr>
                <w:rFonts w:ascii="Arial Narrow" w:hAnsi="Arial Narrow"/>
              </w:rPr>
              <w:t>8389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8E6742">
            <w:pPr>
              <w:jc w:val="center"/>
              <w:rPr>
                <w:rFonts w:ascii="Arial Narrow" w:eastAsia="Calibri" w:hAnsi="Arial Narrow"/>
              </w:rPr>
            </w:pPr>
            <w:r>
              <w:rPr>
                <w:rFonts w:ascii="Arial Narrow" w:hAnsi="Arial Narrow"/>
              </w:rPr>
              <w:t>0,</w:t>
            </w:r>
            <w:r w:rsidR="008E6742">
              <w:rPr>
                <w:rFonts w:ascii="Arial Narrow" w:hAnsi="Arial Narrow"/>
              </w:rPr>
              <w:t>9206</w:t>
            </w:r>
          </w:p>
        </w:tc>
      </w:tr>
      <w:tr w:rsidR="00CD60CE" w:rsidTr="00B348CE">
        <w:trPr>
          <w:trHeight w:val="315"/>
        </w:trPr>
        <w:tc>
          <w:tcPr>
            <w:tcW w:w="10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2008</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42,1</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35,7</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37,7</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61,6</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57,6</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58,8</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8E6742">
            <w:pPr>
              <w:jc w:val="center"/>
              <w:rPr>
                <w:rFonts w:ascii="Arial Narrow" w:eastAsia="Calibri" w:hAnsi="Arial Narrow"/>
              </w:rPr>
            </w:pPr>
            <w:r>
              <w:rPr>
                <w:rFonts w:ascii="Arial Narrow" w:hAnsi="Arial Narrow"/>
              </w:rPr>
              <w:t>1,</w:t>
            </w:r>
            <w:r w:rsidR="008E6742">
              <w:rPr>
                <w:rFonts w:ascii="Arial Narrow" w:hAnsi="Arial Narrow"/>
              </w:rPr>
              <w:t>1713</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8E6742">
            <w:pPr>
              <w:jc w:val="center"/>
              <w:rPr>
                <w:rFonts w:ascii="Arial Narrow" w:eastAsia="Calibri" w:hAnsi="Arial Narrow"/>
              </w:rPr>
            </w:pPr>
            <w:r>
              <w:rPr>
                <w:rFonts w:ascii="Arial Narrow" w:hAnsi="Arial Narrow"/>
              </w:rPr>
              <w:t>0,</w:t>
            </w:r>
            <w:r w:rsidR="008E6742">
              <w:rPr>
                <w:rFonts w:ascii="Arial Narrow" w:hAnsi="Arial Narrow"/>
              </w:rPr>
              <w:t>8341</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8E6742">
            <w:pPr>
              <w:jc w:val="center"/>
              <w:rPr>
                <w:rFonts w:ascii="Arial Narrow" w:eastAsia="Calibri" w:hAnsi="Arial Narrow"/>
              </w:rPr>
            </w:pPr>
            <w:r>
              <w:rPr>
                <w:rFonts w:ascii="Arial Narrow" w:hAnsi="Arial Narrow"/>
              </w:rPr>
              <w:t>0,</w:t>
            </w:r>
            <w:r w:rsidR="008E6742">
              <w:rPr>
                <w:rFonts w:ascii="Arial Narrow" w:hAnsi="Arial Narrow"/>
              </w:rPr>
              <w:t>9430</w:t>
            </w:r>
          </w:p>
        </w:tc>
      </w:tr>
      <w:tr w:rsidR="00CD60CE" w:rsidTr="00B348CE">
        <w:trPr>
          <w:trHeight w:val="315"/>
        </w:trPr>
        <w:tc>
          <w:tcPr>
            <w:tcW w:w="10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2009</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41,9</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35,9</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38,4</w:t>
            </w:r>
          </w:p>
        </w:tc>
        <w:tc>
          <w:tcPr>
            <w:tcW w:w="8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61,8</w:t>
            </w:r>
          </w:p>
        </w:tc>
        <w:tc>
          <w:tcPr>
            <w:tcW w:w="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57,2</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59,1</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1,1592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0,8463</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rPr>
            </w:pPr>
            <w:r>
              <w:rPr>
                <w:rFonts w:ascii="Arial Narrow" w:hAnsi="Arial Narrow"/>
              </w:rPr>
              <w:t>0,9778</w:t>
            </w:r>
          </w:p>
        </w:tc>
      </w:tr>
      <w:tr w:rsidR="00CD60CE" w:rsidTr="00B348CE">
        <w:trPr>
          <w:trHeight w:val="315"/>
        </w:trPr>
        <w:tc>
          <w:tcPr>
            <w:tcW w:w="10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CD60CE" w:rsidRDefault="00CD60CE" w:rsidP="00B348CE">
            <w:pPr>
              <w:jc w:val="center"/>
              <w:rPr>
                <w:rFonts w:ascii="Arial Narrow" w:eastAsia="Calibri" w:hAnsi="Arial Narrow"/>
                <w:b/>
                <w:bCs/>
              </w:rPr>
            </w:pPr>
            <w:r>
              <w:rPr>
                <w:rFonts w:ascii="Arial Narrow" w:hAnsi="Arial Narrow"/>
                <w:b/>
                <w:bCs/>
              </w:rPr>
              <w:t>2010</w:t>
            </w:r>
          </w:p>
        </w:tc>
        <w:tc>
          <w:tcPr>
            <w:tcW w:w="801"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41,2</w:t>
            </w:r>
          </w:p>
        </w:tc>
        <w:tc>
          <w:tcPr>
            <w:tcW w:w="782"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36,1</w:t>
            </w:r>
          </w:p>
        </w:tc>
        <w:tc>
          <w:tcPr>
            <w:tcW w:w="877"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37,9</w:t>
            </w:r>
          </w:p>
        </w:tc>
        <w:tc>
          <w:tcPr>
            <w:tcW w:w="801"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61,7</w:t>
            </w:r>
          </w:p>
        </w:tc>
        <w:tc>
          <w:tcPr>
            <w:tcW w:w="782"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57,9</w:t>
            </w:r>
          </w:p>
        </w:tc>
        <w:tc>
          <w:tcPr>
            <w:tcW w:w="877"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59,3</w:t>
            </w:r>
          </w:p>
        </w:tc>
        <w:tc>
          <w:tcPr>
            <w:tcW w:w="960"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1,1419</w:t>
            </w:r>
          </w:p>
        </w:tc>
        <w:tc>
          <w:tcPr>
            <w:tcW w:w="960"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0,7958</w:t>
            </w:r>
          </w:p>
        </w:tc>
        <w:tc>
          <w:tcPr>
            <w:tcW w:w="960"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0,9172</w:t>
            </w:r>
          </w:p>
        </w:tc>
      </w:tr>
      <w:tr w:rsidR="00CD60CE" w:rsidTr="00B348CE">
        <w:trPr>
          <w:trHeight w:val="315"/>
        </w:trPr>
        <w:tc>
          <w:tcPr>
            <w:tcW w:w="104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C46AFB" w:rsidRDefault="00CD60CE" w:rsidP="00B348CE">
            <w:pPr>
              <w:jc w:val="center"/>
              <w:rPr>
                <w:rFonts w:ascii="Arial Narrow" w:eastAsia="Calibri" w:hAnsi="Arial Narrow"/>
                <w:b/>
                <w:bCs/>
              </w:rPr>
            </w:pPr>
            <w:r w:rsidRPr="0035407F">
              <w:rPr>
                <w:rFonts w:ascii="Arial Narrow" w:hAnsi="Arial Narrow"/>
                <w:b/>
                <w:bCs/>
              </w:rPr>
              <w:t>2011</w:t>
            </w:r>
          </w:p>
        </w:tc>
        <w:tc>
          <w:tcPr>
            <w:tcW w:w="8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41,4</w:t>
            </w:r>
          </w:p>
        </w:tc>
        <w:tc>
          <w:tcPr>
            <w:tcW w:w="78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35,</w:t>
            </w:r>
            <w:r>
              <w:rPr>
                <w:rFonts w:ascii="Arial Narrow" w:hAnsi="Arial Narrow"/>
              </w:rPr>
              <w:t>6</w:t>
            </w:r>
          </w:p>
        </w:tc>
        <w:tc>
          <w:tcPr>
            <w:tcW w:w="87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38,</w:t>
            </w:r>
            <w:r>
              <w:rPr>
                <w:rFonts w:ascii="Arial Narrow" w:hAnsi="Arial Narrow"/>
              </w:rPr>
              <w:t>7</w:t>
            </w:r>
          </w:p>
        </w:tc>
        <w:tc>
          <w:tcPr>
            <w:tcW w:w="8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61,8</w:t>
            </w:r>
          </w:p>
        </w:tc>
        <w:tc>
          <w:tcPr>
            <w:tcW w:w="78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58,2</w:t>
            </w:r>
          </w:p>
        </w:tc>
        <w:tc>
          <w:tcPr>
            <w:tcW w:w="87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60,1</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1,1326</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0,8000</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sidRPr="00345BCC">
              <w:rPr>
                <w:rFonts w:ascii="Arial Narrow" w:hAnsi="Arial Narrow"/>
              </w:rPr>
              <w:t>0,9757</w:t>
            </w:r>
          </w:p>
        </w:tc>
      </w:tr>
      <w:tr w:rsidR="00CD60CE" w:rsidTr="00B348CE">
        <w:trPr>
          <w:trHeight w:val="315"/>
        </w:trPr>
        <w:tc>
          <w:tcPr>
            <w:tcW w:w="104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5407F" w:rsidRDefault="00CD60CE" w:rsidP="00B348CE">
            <w:pPr>
              <w:jc w:val="center"/>
              <w:rPr>
                <w:rFonts w:ascii="Arial Narrow" w:hAnsi="Arial Narrow"/>
                <w:b/>
                <w:bCs/>
              </w:rPr>
            </w:pPr>
            <w:r>
              <w:rPr>
                <w:rFonts w:ascii="Arial Narrow" w:hAnsi="Arial Narrow"/>
                <w:b/>
                <w:bCs/>
              </w:rPr>
              <w:t>2012</w:t>
            </w:r>
          </w:p>
        </w:tc>
        <w:tc>
          <w:tcPr>
            <w:tcW w:w="8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42,0</w:t>
            </w:r>
          </w:p>
        </w:tc>
        <w:tc>
          <w:tcPr>
            <w:tcW w:w="78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38,3</w:t>
            </w:r>
          </w:p>
        </w:tc>
        <w:tc>
          <w:tcPr>
            <w:tcW w:w="87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39,6</w:t>
            </w:r>
          </w:p>
        </w:tc>
        <w:tc>
          <w:tcPr>
            <w:tcW w:w="8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61,8</w:t>
            </w:r>
          </w:p>
        </w:tc>
        <w:tc>
          <w:tcPr>
            <w:tcW w:w="78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57,9</w:t>
            </w:r>
          </w:p>
        </w:tc>
        <w:tc>
          <w:tcPr>
            <w:tcW w:w="87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59,3</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1,1340</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0,8028</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CD60CE" w:rsidRPr="00345BCC" w:rsidRDefault="00CD60CE" w:rsidP="00B348CE">
            <w:pPr>
              <w:jc w:val="center"/>
              <w:rPr>
                <w:rFonts w:ascii="Arial Narrow" w:hAnsi="Arial Narrow"/>
              </w:rPr>
            </w:pPr>
            <w:r>
              <w:rPr>
                <w:rFonts w:ascii="Arial Narrow" w:hAnsi="Arial Narrow"/>
              </w:rPr>
              <w:t>0,9209</w:t>
            </w:r>
          </w:p>
        </w:tc>
      </w:tr>
    </w:tbl>
    <w:p w:rsidR="00CD60CE" w:rsidRDefault="00CD60CE" w:rsidP="00CD60CE">
      <w:pPr>
        <w:rPr>
          <w:rFonts w:ascii="Arial Narrow" w:eastAsia="Calibri" w:hAnsi="Arial Narrow"/>
          <w:sz w:val="18"/>
          <w:szCs w:val="18"/>
        </w:rPr>
      </w:pPr>
      <w:r>
        <w:rPr>
          <w:rFonts w:ascii="Arial Narrow" w:hAnsi="Arial Narrow"/>
          <w:sz w:val="18"/>
          <w:szCs w:val="18"/>
        </w:rPr>
        <w:t>     Zdroj: Sociálna poisťovňa</w:t>
      </w:r>
    </w:p>
    <w:p w:rsidR="00CD60CE" w:rsidRDefault="00CD60CE" w:rsidP="00CD60CE">
      <w:pPr>
        <w:rPr>
          <w:rFonts w:ascii="Arial Narrow" w:hAnsi="Arial Narrow"/>
          <w:sz w:val="22"/>
          <w:szCs w:val="22"/>
        </w:rPr>
      </w:pPr>
    </w:p>
    <w:p w:rsidR="00CD60CE" w:rsidRPr="000077C1" w:rsidRDefault="00CD60CE" w:rsidP="00CD60CE">
      <w:pPr>
        <w:rPr>
          <w:rFonts w:ascii="Arial Narrow" w:hAnsi="Arial Narrow"/>
          <w:sz w:val="22"/>
          <w:szCs w:val="22"/>
        </w:rPr>
      </w:pPr>
    </w:p>
    <w:p w:rsidR="00CB7262" w:rsidRDefault="00CD60CE" w:rsidP="00CD60CE">
      <w:pPr>
        <w:jc w:val="center"/>
        <w:rPr>
          <w:rFonts w:ascii="Arial Narrow" w:hAnsi="Arial Narrow"/>
          <w:b/>
        </w:rPr>
      </w:pPr>
      <w:r w:rsidRPr="00CD60CE">
        <w:rPr>
          <w:rFonts w:ascii="Arial Narrow" w:hAnsi="Arial Narrow"/>
          <w:b/>
        </w:rPr>
        <w:t>Tabuľka 4: P</w:t>
      </w:r>
      <w:r w:rsidR="00CB7262">
        <w:rPr>
          <w:rFonts w:ascii="Arial Narrow" w:hAnsi="Arial Narrow"/>
          <w:b/>
        </w:rPr>
        <w:t xml:space="preserve">orovnanie vzťahu priemernej výšky </w:t>
      </w:r>
      <w:r w:rsidRPr="00CD60CE">
        <w:rPr>
          <w:rFonts w:ascii="Arial Narrow" w:hAnsi="Arial Narrow"/>
          <w:b/>
        </w:rPr>
        <w:t xml:space="preserve">starobného dôchodku </w:t>
      </w:r>
    </w:p>
    <w:p w:rsidR="00CD60CE" w:rsidRPr="00CD60CE" w:rsidRDefault="00CD60CE" w:rsidP="00CD60CE">
      <w:pPr>
        <w:jc w:val="center"/>
        <w:rPr>
          <w:rFonts w:ascii="Arial Narrow" w:hAnsi="Arial Narrow"/>
          <w:b/>
        </w:rPr>
      </w:pPr>
      <w:r w:rsidRPr="00CD60CE">
        <w:rPr>
          <w:rFonts w:ascii="Arial Narrow" w:hAnsi="Arial Narrow"/>
          <w:b/>
        </w:rPr>
        <w:t>k</w:t>
      </w:r>
      <w:r w:rsidR="00CB7262">
        <w:rPr>
          <w:rFonts w:ascii="Arial Narrow" w:hAnsi="Arial Narrow"/>
          <w:b/>
        </w:rPr>
        <w:t> priemernej mesačnej nominálnej</w:t>
      </w:r>
      <w:r w:rsidRPr="00CD60CE">
        <w:rPr>
          <w:rFonts w:ascii="Arial Narrow" w:hAnsi="Arial Narrow"/>
          <w:b/>
        </w:rPr>
        <w:t xml:space="preserve"> mzde v NH SR</w:t>
      </w:r>
    </w:p>
    <w:tbl>
      <w:tblPr>
        <w:tblW w:w="7464" w:type="dxa"/>
        <w:jc w:val="center"/>
        <w:tblInd w:w="-1544" w:type="dxa"/>
        <w:tblCellMar>
          <w:left w:w="70" w:type="dxa"/>
          <w:right w:w="70" w:type="dxa"/>
        </w:tblCellMar>
        <w:tblLook w:val="0000"/>
      </w:tblPr>
      <w:tblGrid>
        <w:gridCol w:w="1253"/>
        <w:gridCol w:w="1842"/>
        <w:gridCol w:w="1164"/>
        <w:gridCol w:w="1120"/>
        <w:gridCol w:w="1147"/>
        <w:gridCol w:w="938"/>
      </w:tblGrid>
      <w:tr w:rsidR="00CD60CE" w:rsidRPr="00D132F7" w:rsidTr="00134574">
        <w:trPr>
          <w:trHeight w:val="1275"/>
          <w:jc w:val="center"/>
        </w:trPr>
        <w:tc>
          <w:tcPr>
            <w:tcW w:w="1253"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CD60CE" w:rsidRPr="00CD60CE" w:rsidRDefault="00CD60CE" w:rsidP="00B348CE">
            <w:pPr>
              <w:jc w:val="center"/>
              <w:rPr>
                <w:rFonts w:ascii="Arial Narrow" w:hAnsi="Arial Narrow"/>
                <w:b/>
                <w:bCs/>
              </w:rPr>
            </w:pPr>
            <w:r w:rsidRPr="00CD60CE">
              <w:rPr>
                <w:rFonts w:ascii="Arial Narrow" w:hAnsi="Arial Narrow"/>
                <w:b/>
                <w:bCs/>
              </w:rPr>
              <w:t>Rok</w:t>
            </w:r>
          </w:p>
        </w:tc>
        <w:tc>
          <w:tcPr>
            <w:tcW w:w="1842" w:type="dxa"/>
            <w:tcBorders>
              <w:top w:val="single" w:sz="4" w:space="0" w:color="auto"/>
              <w:left w:val="nil"/>
              <w:bottom w:val="single" w:sz="4" w:space="0" w:color="auto"/>
              <w:right w:val="single" w:sz="4" w:space="0" w:color="auto"/>
            </w:tcBorders>
            <w:shd w:val="clear" w:color="auto" w:fill="000000"/>
            <w:vAlign w:val="bottom"/>
          </w:tcPr>
          <w:p w:rsidR="00584973" w:rsidRDefault="00CD60CE" w:rsidP="00B348CE">
            <w:pPr>
              <w:jc w:val="center"/>
              <w:rPr>
                <w:rFonts w:ascii="Arial Narrow" w:hAnsi="Arial Narrow"/>
                <w:b/>
                <w:bCs/>
              </w:rPr>
            </w:pPr>
            <w:r w:rsidRPr="00CD60CE">
              <w:rPr>
                <w:rFonts w:ascii="Arial Narrow" w:hAnsi="Arial Narrow"/>
                <w:b/>
                <w:bCs/>
              </w:rPr>
              <w:t>Priem mzda</w:t>
            </w:r>
            <w:r w:rsidR="00D707D9">
              <w:rPr>
                <w:rFonts w:ascii="Arial Narrow" w:hAnsi="Arial Narrow"/>
                <w:b/>
                <w:bCs/>
              </w:rPr>
              <w:t xml:space="preserve"> </w:t>
            </w:r>
          </w:p>
          <w:p w:rsidR="00CD60CE" w:rsidRPr="00CD60CE" w:rsidRDefault="00D707D9" w:rsidP="00B348CE">
            <w:pPr>
              <w:jc w:val="center"/>
              <w:rPr>
                <w:rFonts w:ascii="Arial Narrow" w:hAnsi="Arial Narrow"/>
                <w:b/>
                <w:bCs/>
              </w:rPr>
            </w:pPr>
            <w:r>
              <w:rPr>
                <w:rFonts w:ascii="Arial Narrow" w:hAnsi="Arial Narrow"/>
                <w:b/>
                <w:bCs/>
              </w:rPr>
              <w:t>v EUR</w:t>
            </w:r>
          </w:p>
        </w:tc>
        <w:tc>
          <w:tcPr>
            <w:tcW w:w="1164" w:type="dxa"/>
            <w:tcBorders>
              <w:top w:val="single" w:sz="4" w:space="0" w:color="auto"/>
              <w:left w:val="nil"/>
              <w:bottom w:val="single" w:sz="4" w:space="0" w:color="auto"/>
              <w:right w:val="single" w:sz="4" w:space="0" w:color="auto"/>
            </w:tcBorders>
            <w:shd w:val="clear" w:color="auto" w:fill="000000"/>
            <w:vAlign w:val="bottom"/>
          </w:tcPr>
          <w:p w:rsidR="00584973" w:rsidRDefault="00CD60CE" w:rsidP="00B348CE">
            <w:pPr>
              <w:jc w:val="center"/>
              <w:rPr>
                <w:rFonts w:ascii="Arial Narrow" w:hAnsi="Arial Narrow"/>
                <w:b/>
                <w:bCs/>
              </w:rPr>
            </w:pPr>
            <w:r w:rsidRPr="00CD60CE">
              <w:rPr>
                <w:rFonts w:ascii="Arial Narrow" w:hAnsi="Arial Narrow"/>
                <w:b/>
                <w:bCs/>
              </w:rPr>
              <w:t>Čistá priem mzda</w:t>
            </w:r>
          </w:p>
          <w:p w:rsidR="00CD60CE" w:rsidRPr="00CD60CE" w:rsidRDefault="00D707D9" w:rsidP="00B348CE">
            <w:pPr>
              <w:jc w:val="center"/>
              <w:rPr>
                <w:rFonts w:ascii="Arial Narrow" w:hAnsi="Arial Narrow"/>
                <w:b/>
                <w:bCs/>
              </w:rPr>
            </w:pPr>
            <w:r>
              <w:rPr>
                <w:rFonts w:ascii="Arial Narrow" w:hAnsi="Arial Narrow"/>
                <w:b/>
                <w:bCs/>
              </w:rPr>
              <w:t xml:space="preserve"> v EUR</w:t>
            </w:r>
          </w:p>
        </w:tc>
        <w:tc>
          <w:tcPr>
            <w:tcW w:w="1120" w:type="dxa"/>
            <w:tcBorders>
              <w:top w:val="single" w:sz="4" w:space="0" w:color="auto"/>
              <w:left w:val="nil"/>
              <w:bottom w:val="single" w:sz="4" w:space="0" w:color="auto"/>
              <w:right w:val="single" w:sz="4" w:space="0" w:color="auto"/>
            </w:tcBorders>
            <w:shd w:val="clear" w:color="auto" w:fill="000000"/>
            <w:noWrap/>
            <w:vAlign w:val="bottom"/>
          </w:tcPr>
          <w:p w:rsidR="00CD60CE" w:rsidRPr="00CD60CE" w:rsidRDefault="00CD60CE" w:rsidP="00CB7262">
            <w:pPr>
              <w:jc w:val="center"/>
              <w:rPr>
                <w:rFonts w:ascii="Arial Narrow" w:hAnsi="Arial Narrow"/>
                <w:b/>
                <w:bCs/>
              </w:rPr>
            </w:pPr>
            <w:r w:rsidRPr="00CD60CE">
              <w:rPr>
                <w:rFonts w:ascii="Arial Narrow" w:hAnsi="Arial Narrow"/>
                <w:b/>
                <w:bCs/>
              </w:rPr>
              <w:t>S</w:t>
            </w:r>
            <w:r w:rsidR="00CB7262">
              <w:rPr>
                <w:rFonts w:ascii="Arial Narrow" w:hAnsi="Arial Narrow"/>
                <w:b/>
                <w:bCs/>
              </w:rPr>
              <w:t>tarobný dôchodok</w:t>
            </w:r>
            <w:r w:rsidR="00D707D9">
              <w:rPr>
                <w:rFonts w:ascii="Arial Narrow" w:hAnsi="Arial Narrow"/>
                <w:b/>
                <w:bCs/>
              </w:rPr>
              <w:t xml:space="preserve"> v EUR</w:t>
            </w:r>
          </w:p>
        </w:tc>
        <w:tc>
          <w:tcPr>
            <w:tcW w:w="1147" w:type="dxa"/>
            <w:tcBorders>
              <w:top w:val="single" w:sz="4" w:space="0" w:color="auto"/>
              <w:left w:val="nil"/>
              <w:bottom w:val="single" w:sz="4" w:space="0" w:color="auto"/>
              <w:right w:val="single" w:sz="4" w:space="0" w:color="auto"/>
            </w:tcBorders>
            <w:shd w:val="clear" w:color="auto" w:fill="000000"/>
            <w:vAlign w:val="bottom"/>
          </w:tcPr>
          <w:p w:rsidR="00CD60CE" w:rsidRPr="00CD60CE" w:rsidRDefault="00CD60CE" w:rsidP="00B348CE">
            <w:pPr>
              <w:jc w:val="center"/>
              <w:rPr>
                <w:rFonts w:ascii="Arial Narrow" w:hAnsi="Arial Narrow"/>
                <w:b/>
                <w:bCs/>
              </w:rPr>
            </w:pPr>
            <w:r w:rsidRPr="00CD60CE">
              <w:rPr>
                <w:rFonts w:ascii="Arial Narrow" w:hAnsi="Arial Narrow"/>
                <w:b/>
                <w:bCs/>
              </w:rPr>
              <w:t>Pomer SD k priemernej mzde</w:t>
            </w:r>
          </w:p>
        </w:tc>
        <w:tc>
          <w:tcPr>
            <w:tcW w:w="938" w:type="dxa"/>
            <w:tcBorders>
              <w:top w:val="single" w:sz="4" w:space="0" w:color="auto"/>
              <w:left w:val="nil"/>
              <w:bottom w:val="single" w:sz="4" w:space="0" w:color="auto"/>
              <w:right w:val="single" w:sz="4" w:space="0" w:color="auto"/>
            </w:tcBorders>
            <w:shd w:val="clear" w:color="auto" w:fill="000000"/>
            <w:vAlign w:val="bottom"/>
          </w:tcPr>
          <w:p w:rsidR="00584973" w:rsidRDefault="00CD60CE" w:rsidP="00B348CE">
            <w:pPr>
              <w:jc w:val="center"/>
              <w:rPr>
                <w:rFonts w:ascii="Arial Narrow" w:hAnsi="Arial Narrow"/>
                <w:b/>
                <w:bCs/>
              </w:rPr>
            </w:pPr>
            <w:r w:rsidRPr="00CD60CE">
              <w:rPr>
                <w:rFonts w:ascii="Arial Narrow" w:hAnsi="Arial Narrow"/>
                <w:b/>
                <w:bCs/>
              </w:rPr>
              <w:t xml:space="preserve">Pomer SD </w:t>
            </w:r>
          </w:p>
          <w:p w:rsidR="00CD60CE" w:rsidRPr="00CD60CE" w:rsidRDefault="00CD60CE" w:rsidP="00B348CE">
            <w:pPr>
              <w:jc w:val="center"/>
              <w:rPr>
                <w:rFonts w:ascii="Arial Narrow" w:hAnsi="Arial Narrow"/>
                <w:b/>
                <w:bCs/>
              </w:rPr>
            </w:pPr>
            <w:r w:rsidRPr="00CD60CE">
              <w:rPr>
                <w:rFonts w:ascii="Arial Narrow" w:hAnsi="Arial Narrow"/>
                <w:b/>
                <w:bCs/>
              </w:rPr>
              <w:t>k čistej PM</w:t>
            </w:r>
          </w:p>
        </w:tc>
      </w:tr>
      <w:tr w:rsidR="00CD60CE" w:rsidRPr="00D132F7" w:rsidTr="00134574">
        <w:trPr>
          <w:trHeight w:val="300"/>
          <w:jc w:val="center"/>
        </w:trPr>
        <w:tc>
          <w:tcPr>
            <w:tcW w:w="1253" w:type="dxa"/>
            <w:tcBorders>
              <w:top w:val="nil"/>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2004</w:t>
            </w:r>
          </w:p>
        </w:tc>
        <w:tc>
          <w:tcPr>
            <w:tcW w:w="1842" w:type="dxa"/>
            <w:tcBorders>
              <w:top w:val="nil"/>
              <w:left w:val="nil"/>
              <w:bottom w:val="single" w:sz="4" w:space="0" w:color="auto"/>
              <w:right w:val="single" w:sz="4" w:space="0" w:color="auto"/>
            </w:tcBorders>
            <w:shd w:val="clear" w:color="auto" w:fill="auto"/>
            <w:noWrap/>
            <w:vAlign w:val="bottom"/>
          </w:tcPr>
          <w:p w:rsidR="00CD60CE" w:rsidRPr="00CD60CE" w:rsidRDefault="00EB4E36" w:rsidP="00B348CE">
            <w:pPr>
              <w:jc w:val="center"/>
              <w:rPr>
                <w:rFonts w:ascii="Arial Narrow" w:hAnsi="Arial Narrow"/>
              </w:rPr>
            </w:pPr>
            <w:r>
              <w:rPr>
                <w:rFonts w:ascii="Arial Narrow" w:hAnsi="Arial Narrow"/>
              </w:rPr>
              <w:t>525,29</w:t>
            </w:r>
          </w:p>
        </w:tc>
        <w:tc>
          <w:tcPr>
            <w:tcW w:w="1164" w:type="dxa"/>
            <w:tcBorders>
              <w:top w:val="nil"/>
              <w:left w:val="nil"/>
              <w:bottom w:val="single" w:sz="4" w:space="0" w:color="auto"/>
              <w:right w:val="single" w:sz="4" w:space="0" w:color="auto"/>
            </w:tcBorders>
            <w:shd w:val="clear" w:color="auto" w:fill="auto"/>
            <w:vAlign w:val="bottom"/>
          </w:tcPr>
          <w:p w:rsidR="00CD60CE" w:rsidRPr="00CD60CE" w:rsidRDefault="00D707D9" w:rsidP="00B348CE">
            <w:pPr>
              <w:jc w:val="center"/>
              <w:rPr>
                <w:rFonts w:ascii="Arial Narrow" w:hAnsi="Arial Narrow"/>
              </w:rPr>
            </w:pPr>
            <w:r>
              <w:rPr>
                <w:rFonts w:ascii="Arial Narrow" w:hAnsi="Arial Narrow"/>
              </w:rPr>
              <w:t>407,1</w:t>
            </w:r>
          </w:p>
        </w:tc>
        <w:tc>
          <w:tcPr>
            <w:tcW w:w="1120" w:type="dxa"/>
            <w:tcBorders>
              <w:top w:val="nil"/>
              <w:left w:val="nil"/>
              <w:bottom w:val="single" w:sz="4" w:space="0" w:color="auto"/>
              <w:right w:val="single" w:sz="4" w:space="0" w:color="auto"/>
            </w:tcBorders>
            <w:shd w:val="clear" w:color="auto" w:fill="auto"/>
            <w:vAlign w:val="bottom"/>
          </w:tcPr>
          <w:p w:rsidR="00CD60CE" w:rsidRPr="00CD60CE" w:rsidRDefault="00B348CE" w:rsidP="00B348CE">
            <w:pPr>
              <w:jc w:val="center"/>
              <w:rPr>
                <w:rFonts w:ascii="Arial Narrow" w:hAnsi="Arial Narrow"/>
              </w:rPr>
            </w:pPr>
            <w:r>
              <w:rPr>
                <w:rFonts w:ascii="Arial Narrow" w:hAnsi="Arial Narrow"/>
              </w:rPr>
              <w:t>233,9</w:t>
            </w:r>
          </w:p>
        </w:tc>
        <w:tc>
          <w:tcPr>
            <w:tcW w:w="1147"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44,5%</w:t>
            </w:r>
          </w:p>
        </w:tc>
        <w:tc>
          <w:tcPr>
            <w:tcW w:w="938"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57,5%</w:t>
            </w:r>
          </w:p>
        </w:tc>
      </w:tr>
      <w:tr w:rsidR="00CD60CE" w:rsidRPr="00D132F7" w:rsidTr="00134574">
        <w:trPr>
          <w:trHeight w:val="300"/>
          <w:jc w:val="center"/>
        </w:trPr>
        <w:tc>
          <w:tcPr>
            <w:tcW w:w="1253" w:type="dxa"/>
            <w:tcBorders>
              <w:top w:val="nil"/>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2005</w:t>
            </w:r>
          </w:p>
        </w:tc>
        <w:tc>
          <w:tcPr>
            <w:tcW w:w="1842" w:type="dxa"/>
            <w:tcBorders>
              <w:top w:val="nil"/>
              <w:left w:val="nil"/>
              <w:bottom w:val="single" w:sz="4" w:space="0" w:color="auto"/>
              <w:right w:val="single" w:sz="4" w:space="0" w:color="auto"/>
            </w:tcBorders>
            <w:shd w:val="clear" w:color="auto" w:fill="auto"/>
            <w:noWrap/>
            <w:vAlign w:val="bottom"/>
          </w:tcPr>
          <w:p w:rsidR="00CD60CE" w:rsidRPr="00CD60CE" w:rsidRDefault="00EB4E36" w:rsidP="00B348CE">
            <w:pPr>
              <w:jc w:val="center"/>
              <w:rPr>
                <w:rFonts w:ascii="Arial Narrow" w:hAnsi="Arial Narrow"/>
              </w:rPr>
            </w:pPr>
            <w:r>
              <w:rPr>
                <w:rFonts w:ascii="Arial Narrow" w:hAnsi="Arial Narrow"/>
              </w:rPr>
              <w:t>573,39</w:t>
            </w:r>
          </w:p>
        </w:tc>
        <w:tc>
          <w:tcPr>
            <w:tcW w:w="1164" w:type="dxa"/>
            <w:tcBorders>
              <w:top w:val="nil"/>
              <w:left w:val="nil"/>
              <w:bottom w:val="single" w:sz="4" w:space="0" w:color="auto"/>
              <w:right w:val="single" w:sz="4" w:space="0" w:color="auto"/>
            </w:tcBorders>
            <w:shd w:val="clear" w:color="auto" w:fill="auto"/>
            <w:vAlign w:val="bottom"/>
          </w:tcPr>
          <w:p w:rsidR="00CD60CE" w:rsidRPr="00CD60CE" w:rsidRDefault="00D707D9" w:rsidP="00B348CE">
            <w:pPr>
              <w:jc w:val="center"/>
              <w:rPr>
                <w:rFonts w:ascii="Arial Narrow" w:hAnsi="Arial Narrow"/>
              </w:rPr>
            </w:pPr>
            <w:r>
              <w:rPr>
                <w:rFonts w:ascii="Arial Narrow" w:hAnsi="Arial Narrow"/>
              </w:rPr>
              <w:t>444,4</w:t>
            </w:r>
          </w:p>
        </w:tc>
        <w:tc>
          <w:tcPr>
            <w:tcW w:w="1120" w:type="dxa"/>
            <w:tcBorders>
              <w:top w:val="nil"/>
              <w:left w:val="nil"/>
              <w:bottom w:val="single" w:sz="4" w:space="0" w:color="auto"/>
              <w:right w:val="single" w:sz="4" w:space="0" w:color="auto"/>
            </w:tcBorders>
            <w:shd w:val="clear" w:color="auto" w:fill="auto"/>
            <w:vAlign w:val="bottom"/>
          </w:tcPr>
          <w:p w:rsidR="00CD60CE" w:rsidRPr="00CD60CE" w:rsidRDefault="00B348CE" w:rsidP="00B348CE">
            <w:pPr>
              <w:jc w:val="center"/>
              <w:rPr>
                <w:rFonts w:ascii="Arial Narrow" w:hAnsi="Arial Narrow"/>
              </w:rPr>
            </w:pPr>
            <w:r>
              <w:rPr>
                <w:rFonts w:ascii="Arial Narrow" w:hAnsi="Arial Narrow"/>
              </w:rPr>
              <w:t>256,0</w:t>
            </w:r>
          </w:p>
        </w:tc>
        <w:tc>
          <w:tcPr>
            <w:tcW w:w="1147"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44,7%</w:t>
            </w:r>
          </w:p>
        </w:tc>
        <w:tc>
          <w:tcPr>
            <w:tcW w:w="938"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57,6%</w:t>
            </w:r>
          </w:p>
        </w:tc>
      </w:tr>
      <w:tr w:rsidR="00CD60CE" w:rsidRPr="00D132F7" w:rsidTr="00134574">
        <w:trPr>
          <w:trHeight w:val="300"/>
          <w:jc w:val="center"/>
        </w:trPr>
        <w:tc>
          <w:tcPr>
            <w:tcW w:w="1253" w:type="dxa"/>
            <w:tcBorders>
              <w:top w:val="nil"/>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2006</w:t>
            </w:r>
          </w:p>
        </w:tc>
        <w:tc>
          <w:tcPr>
            <w:tcW w:w="1842" w:type="dxa"/>
            <w:tcBorders>
              <w:top w:val="nil"/>
              <w:left w:val="nil"/>
              <w:bottom w:val="single" w:sz="4" w:space="0" w:color="auto"/>
              <w:right w:val="single" w:sz="4" w:space="0" w:color="auto"/>
            </w:tcBorders>
            <w:shd w:val="clear" w:color="auto" w:fill="auto"/>
            <w:noWrap/>
            <w:vAlign w:val="bottom"/>
          </w:tcPr>
          <w:p w:rsidR="00CD60CE" w:rsidRPr="00CD60CE" w:rsidRDefault="00EB4E36" w:rsidP="00B348CE">
            <w:pPr>
              <w:jc w:val="center"/>
              <w:rPr>
                <w:rFonts w:ascii="Arial Narrow" w:hAnsi="Arial Narrow"/>
              </w:rPr>
            </w:pPr>
            <w:r>
              <w:rPr>
                <w:rFonts w:ascii="Arial Narrow" w:hAnsi="Arial Narrow"/>
              </w:rPr>
              <w:t>622,75</w:t>
            </w:r>
          </w:p>
        </w:tc>
        <w:tc>
          <w:tcPr>
            <w:tcW w:w="1164" w:type="dxa"/>
            <w:tcBorders>
              <w:top w:val="nil"/>
              <w:left w:val="nil"/>
              <w:bottom w:val="single" w:sz="4" w:space="0" w:color="auto"/>
              <w:right w:val="single" w:sz="4" w:space="0" w:color="auto"/>
            </w:tcBorders>
            <w:shd w:val="clear" w:color="auto" w:fill="auto"/>
            <w:vAlign w:val="bottom"/>
          </w:tcPr>
          <w:p w:rsidR="00CD60CE" w:rsidRPr="00CD60CE" w:rsidRDefault="00D707D9" w:rsidP="00B348CE">
            <w:pPr>
              <w:jc w:val="center"/>
              <w:rPr>
                <w:rFonts w:ascii="Arial Narrow" w:hAnsi="Arial Narrow"/>
              </w:rPr>
            </w:pPr>
            <w:r>
              <w:rPr>
                <w:rFonts w:ascii="Arial Narrow" w:hAnsi="Arial Narrow"/>
              </w:rPr>
              <w:t>482,6</w:t>
            </w:r>
          </w:p>
        </w:tc>
        <w:tc>
          <w:tcPr>
            <w:tcW w:w="1120" w:type="dxa"/>
            <w:tcBorders>
              <w:top w:val="nil"/>
              <w:left w:val="nil"/>
              <w:bottom w:val="single" w:sz="4" w:space="0" w:color="auto"/>
              <w:right w:val="single" w:sz="4" w:space="0" w:color="auto"/>
            </w:tcBorders>
            <w:shd w:val="clear" w:color="auto" w:fill="auto"/>
            <w:noWrap/>
            <w:vAlign w:val="bottom"/>
          </w:tcPr>
          <w:p w:rsidR="00CD60CE" w:rsidRPr="00CD60CE" w:rsidRDefault="00B348CE" w:rsidP="00B348CE">
            <w:pPr>
              <w:jc w:val="center"/>
              <w:rPr>
                <w:rFonts w:ascii="Arial Narrow" w:hAnsi="Arial Narrow"/>
              </w:rPr>
            </w:pPr>
            <w:r>
              <w:rPr>
                <w:rFonts w:ascii="Arial Narrow" w:hAnsi="Arial Narrow"/>
              </w:rPr>
              <w:t>273,1</w:t>
            </w:r>
          </w:p>
        </w:tc>
        <w:tc>
          <w:tcPr>
            <w:tcW w:w="1147"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43,8%</w:t>
            </w:r>
          </w:p>
        </w:tc>
        <w:tc>
          <w:tcPr>
            <w:tcW w:w="938"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56,6%</w:t>
            </w:r>
          </w:p>
        </w:tc>
      </w:tr>
      <w:tr w:rsidR="00CD60CE" w:rsidRPr="00D132F7" w:rsidTr="00134574">
        <w:trPr>
          <w:trHeight w:val="300"/>
          <w:jc w:val="center"/>
        </w:trPr>
        <w:tc>
          <w:tcPr>
            <w:tcW w:w="1253" w:type="dxa"/>
            <w:tcBorders>
              <w:top w:val="nil"/>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2007</w:t>
            </w:r>
          </w:p>
        </w:tc>
        <w:tc>
          <w:tcPr>
            <w:tcW w:w="1842" w:type="dxa"/>
            <w:tcBorders>
              <w:top w:val="nil"/>
              <w:left w:val="nil"/>
              <w:bottom w:val="single" w:sz="4" w:space="0" w:color="auto"/>
              <w:right w:val="single" w:sz="4" w:space="0" w:color="auto"/>
            </w:tcBorders>
            <w:shd w:val="clear" w:color="auto" w:fill="auto"/>
            <w:noWrap/>
            <w:vAlign w:val="bottom"/>
          </w:tcPr>
          <w:p w:rsidR="00CD60CE" w:rsidRPr="00CD60CE" w:rsidRDefault="00EB4E36" w:rsidP="00B348CE">
            <w:pPr>
              <w:jc w:val="center"/>
              <w:rPr>
                <w:rFonts w:ascii="Arial Narrow" w:hAnsi="Arial Narrow"/>
              </w:rPr>
            </w:pPr>
            <w:r>
              <w:rPr>
                <w:rFonts w:ascii="Arial Narrow" w:hAnsi="Arial Narrow"/>
              </w:rPr>
              <w:t>668,72</w:t>
            </w:r>
          </w:p>
        </w:tc>
        <w:tc>
          <w:tcPr>
            <w:tcW w:w="1164" w:type="dxa"/>
            <w:tcBorders>
              <w:top w:val="nil"/>
              <w:left w:val="nil"/>
              <w:bottom w:val="single" w:sz="4" w:space="0" w:color="auto"/>
              <w:right w:val="single" w:sz="4" w:space="0" w:color="auto"/>
            </w:tcBorders>
            <w:shd w:val="clear" w:color="auto" w:fill="auto"/>
            <w:vAlign w:val="bottom"/>
          </w:tcPr>
          <w:p w:rsidR="00CD60CE" w:rsidRPr="00CD60CE" w:rsidRDefault="00D707D9" w:rsidP="00B348CE">
            <w:pPr>
              <w:jc w:val="center"/>
              <w:rPr>
                <w:rFonts w:ascii="Arial Narrow" w:hAnsi="Arial Narrow"/>
              </w:rPr>
            </w:pPr>
            <w:r>
              <w:rPr>
                <w:rFonts w:ascii="Arial Narrow" w:hAnsi="Arial Narrow"/>
              </w:rPr>
              <w:t>518,3</w:t>
            </w:r>
          </w:p>
        </w:tc>
        <w:tc>
          <w:tcPr>
            <w:tcW w:w="1120" w:type="dxa"/>
            <w:tcBorders>
              <w:top w:val="nil"/>
              <w:left w:val="nil"/>
              <w:bottom w:val="single" w:sz="4" w:space="0" w:color="auto"/>
              <w:right w:val="single" w:sz="4" w:space="0" w:color="auto"/>
            </w:tcBorders>
            <w:shd w:val="clear" w:color="auto" w:fill="auto"/>
            <w:noWrap/>
            <w:vAlign w:val="bottom"/>
          </w:tcPr>
          <w:p w:rsidR="00CD60CE" w:rsidRPr="00CD60CE" w:rsidRDefault="00B348CE" w:rsidP="00B348CE">
            <w:pPr>
              <w:jc w:val="center"/>
              <w:rPr>
                <w:rFonts w:ascii="Arial Narrow" w:hAnsi="Arial Narrow"/>
              </w:rPr>
            </w:pPr>
            <w:r>
              <w:rPr>
                <w:rFonts w:ascii="Arial Narrow" w:hAnsi="Arial Narrow"/>
              </w:rPr>
              <w:t>294,9</w:t>
            </w:r>
          </w:p>
        </w:tc>
        <w:tc>
          <w:tcPr>
            <w:tcW w:w="1147"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44,1%</w:t>
            </w:r>
          </w:p>
        </w:tc>
        <w:tc>
          <w:tcPr>
            <w:tcW w:w="938"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56,9%</w:t>
            </w:r>
          </w:p>
        </w:tc>
      </w:tr>
      <w:tr w:rsidR="00CD60CE" w:rsidRPr="00D132F7" w:rsidTr="00134574">
        <w:trPr>
          <w:trHeight w:val="300"/>
          <w:jc w:val="center"/>
        </w:trPr>
        <w:tc>
          <w:tcPr>
            <w:tcW w:w="1253" w:type="dxa"/>
            <w:tcBorders>
              <w:top w:val="nil"/>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2008</w:t>
            </w:r>
          </w:p>
        </w:tc>
        <w:tc>
          <w:tcPr>
            <w:tcW w:w="1842" w:type="dxa"/>
            <w:tcBorders>
              <w:top w:val="nil"/>
              <w:left w:val="nil"/>
              <w:bottom w:val="single" w:sz="4" w:space="0" w:color="auto"/>
              <w:right w:val="single" w:sz="4" w:space="0" w:color="auto"/>
            </w:tcBorders>
            <w:shd w:val="clear" w:color="auto" w:fill="auto"/>
            <w:noWrap/>
            <w:vAlign w:val="bottom"/>
          </w:tcPr>
          <w:p w:rsidR="00CD60CE" w:rsidRPr="00CD60CE" w:rsidRDefault="00EB4E36" w:rsidP="00B348CE">
            <w:pPr>
              <w:jc w:val="center"/>
              <w:rPr>
                <w:rFonts w:ascii="Arial Narrow" w:hAnsi="Arial Narrow"/>
              </w:rPr>
            </w:pPr>
            <w:r>
              <w:rPr>
                <w:rFonts w:ascii="Arial Narrow" w:hAnsi="Arial Narrow"/>
              </w:rPr>
              <w:t>723,03</w:t>
            </w:r>
          </w:p>
        </w:tc>
        <w:tc>
          <w:tcPr>
            <w:tcW w:w="1164" w:type="dxa"/>
            <w:tcBorders>
              <w:top w:val="nil"/>
              <w:left w:val="nil"/>
              <w:bottom w:val="single" w:sz="4" w:space="0" w:color="auto"/>
              <w:right w:val="single" w:sz="4" w:space="0" w:color="auto"/>
            </w:tcBorders>
            <w:shd w:val="clear" w:color="auto" w:fill="auto"/>
            <w:vAlign w:val="bottom"/>
          </w:tcPr>
          <w:p w:rsidR="00CD60CE" w:rsidRPr="00CD60CE" w:rsidRDefault="00D707D9" w:rsidP="00B348CE">
            <w:pPr>
              <w:jc w:val="center"/>
              <w:rPr>
                <w:rFonts w:ascii="Arial Narrow" w:hAnsi="Arial Narrow"/>
              </w:rPr>
            </w:pPr>
            <w:r>
              <w:rPr>
                <w:rFonts w:ascii="Arial Narrow" w:hAnsi="Arial Narrow"/>
              </w:rPr>
              <w:t>560,3</w:t>
            </w:r>
          </w:p>
        </w:tc>
        <w:tc>
          <w:tcPr>
            <w:tcW w:w="1120" w:type="dxa"/>
            <w:tcBorders>
              <w:top w:val="nil"/>
              <w:left w:val="nil"/>
              <w:bottom w:val="single" w:sz="4" w:space="0" w:color="auto"/>
              <w:right w:val="single" w:sz="4" w:space="0" w:color="auto"/>
            </w:tcBorders>
            <w:shd w:val="clear" w:color="auto" w:fill="auto"/>
            <w:vAlign w:val="bottom"/>
          </w:tcPr>
          <w:p w:rsidR="00CD60CE" w:rsidRPr="00CD60CE" w:rsidRDefault="00B348CE" w:rsidP="00B348CE">
            <w:pPr>
              <w:jc w:val="center"/>
              <w:rPr>
                <w:rFonts w:ascii="Arial Narrow" w:hAnsi="Arial Narrow"/>
              </w:rPr>
            </w:pPr>
            <w:r>
              <w:rPr>
                <w:rFonts w:ascii="Arial Narrow" w:hAnsi="Arial Narrow"/>
              </w:rPr>
              <w:t>313,1</w:t>
            </w:r>
          </w:p>
        </w:tc>
        <w:tc>
          <w:tcPr>
            <w:tcW w:w="1147"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43,3%</w:t>
            </w:r>
          </w:p>
        </w:tc>
        <w:tc>
          <w:tcPr>
            <w:tcW w:w="938"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55,9%</w:t>
            </w:r>
          </w:p>
        </w:tc>
      </w:tr>
      <w:tr w:rsidR="00CD60CE" w:rsidRPr="00D132F7" w:rsidTr="00134574">
        <w:trPr>
          <w:trHeight w:val="300"/>
          <w:jc w:val="center"/>
        </w:trPr>
        <w:tc>
          <w:tcPr>
            <w:tcW w:w="1253" w:type="dxa"/>
            <w:tcBorders>
              <w:top w:val="nil"/>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2009</w:t>
            </w:r>
          </w:p>
        </w:tc>
        <w:tc>
          <w:tcPr>
            <w:tcW w:w="1842" w:type="dxa"/>
            <w:tcBorders>
              <w:top w:val="nil"/>
              <w:left w:val="nil"/>
              <w:bottom w:val="single" w:sz="4" w:space="0" w:color="auto"/>
              <w:right w:val="single" w:sz="4" w:space="0" w:color="auto"/>
            </w:tcBorders>
            <w:shd w:val="clear" w:color="auto" w:fill="auto"/>
            <w:noWrap/>
            <w:vAlign w:val="bottom"/>
          </w:tcPr>
          <w:p w:rsidR="00CD60CE" w:rsidRPr="00CD60CE" w:rsidRDefault="00CD60CE" w:rsidP="00EB4E36">
            <w:pPr>
              <w:jc w:val="center"/>
              <w:rPr>
                <w:rFonts w:ascii="Arial Narrow" w:hAnsi="Arial Narrow"/>
              </w:rPr>
            </w:pPr>
            <w:r w:rsidRPr="00CD60CE">
              <w:rPr>
                <w:rFonts w:ascii="Arial Narrow" w:hAnsi="Arial Narrow"/>
              </w:rPr>
              <w:t>744,5</w:t>
            </w:r>
            <w:r w:rsidR="00134574">
              <w:rPr>
                <w:rFonts w:ascii="Arial Narrow" w:hAnsi="Arial Narrow"/>
              </w:rPr>
              <w:t xml:space="preserve">  </w:t>
            </w:r>
          </w:p>
        </w:tc>
        <w:tc>
          <w:tcPr>
            <w:tcW w:w="1164" w:type="dxa"/>
            <w:tcBorders>
              <w:top w:val="nil"/>
              <w:left w:val="nil"/>
              <w:bottom w:val="single" w:sz="4" w:space="0" w:color="auto"/>
              <w:right w:val="single" w:sz="4" w:space="0" w:color="auto"/>
            </w:tcBorders>
            <w:shd w:val="clear" w:color="auto" w:fill="auto"/>
            <w:vAlign w:val="bottom"/>
          </w:tcPr>
          <w:p w:rsidR="00CD60CE" w:rsidRPr="00CD60CE" w:rsidRDefault="00CD60CE" w:rsidP="00E2535B">
            <w:pPr>
              <w:jc w:val="center"/>
              <w:rPr>
                <w:rFonts w:ascii="Arial Narrow" w:hAnsi="Arial Narrow"/>
              </w:rPr>
            </w:pPr>
            <w:r w:rsidRPr="00CD60CE">
              <w:rPr>
                <w:rFonts w:ascii="Arial Narrow" w:hAnsi="Arial Narrow"/>
              </w:rPr>
              <w:t>577</w:t>
            </w:r>
            <w:r w:rsidR="00E47652">
              <w:rPr>
                <w:rFonts w:ascii="Arial Narrow" w:hAnsi="Arial Narrow"/>
              </w:rPr>
              <w:t>,0</w:t>
            </w:r>
          </w:p>
        </w:tc>
        <w:tc>
          <w:tcPr>
            <w:tcW w:w="1120" w:type="dxa"/>
            <w:tcBorders>
              <w:top w:val="nil"/>
              <w:left w:val="nil"/>
              <w:bottom w:val="single" w:sz="4" w:space="0" w:color="auto"/>
              <w:right w:val="single" w:sz="4" w:space="0" w:color="auto"/>
            </w:tcBorders>
            <w:shd w:val="clear" w:color="auto" w:fill="auto"/>
            <w:vAlign w:val="bottom"/>
          </w:tcPr>
          <w:p w:rsidR="00CD60CE" w:rsidRPr="00CD60CE" w:rsidRDefault="00CD60CE" w:rsidP="00D707D9">
            <w:pPr>
              <w:jc w:val="center"/>
              <w:rPr>
                <w:rFonts w:ascii="Arial Narrow" w:hAnsi="Arial Narrow"/>
              </w:rPr>
            </w:pPr>
            <w:r w:rsidRPr="00CD60CE">
              <w:rPr>
                <w:rFonts w:ascii="Arial Narrow" w:hAnsi="Arial Narrow"/>
              </w:rPr>
              <w:t>339,7</w:t>
            </w:r>
            <w:r w:rsidR="00134574">
              <w:rPr>
                <w:rFonts w:ascii="Arial Narrow" w:hAnsi="Arial Narrow"/>
              </w:rPr>
              <w:t xml:space="preserve"> </w:t>
            </w:r>
          </w:p>
        </w:tc>
        <w:tc>
          <w:tcPr>
            <w:tcW w:w="1147"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45,6%</w:t>
            </w:r>
          </w:p>
        </w:tc>
        <w:tc>
          <w:tcPr>
            <w:tcW w:w="938"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58,9%</w:t>
            </w:r>
          </w:p>
        </w:tc>
      </w:tr>
      <w:tr w:rsidR="00CD60CE" w:rsidRPr="00D132F7" w:rsidTr="00134574">
        <w:trPr>
          <w:trHeight w:val="300"/>
          <w:jc w:val="center"/>
        </w:trPr>
        <w:tc>
          <w:tcPr>
            <w:tcW w:w="1253" w:type="dxa"/>
            <w:tcBorders>
              <w:top w:val="nil"/>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2010</w:t>
            </w:r>
          </w:p>
        </w:tc>
        <w:tc>
          <w:tcPr>
            <w:tcW w:w="1842" w:type="dxa"/>
            <w:tcBorders>
              <w:top w:val="nil"/>
              <w:left w:val="nil"/>
              <w:bottom w:val="single" w:sz="4" w:space="0" w:color="auto"/>
              <w:right w:val="single" w:sz="4" w:space="0" w:color="auto"/>
            </w:tcBorders>
            <w:shd w:val="clear" w:color="auto" w:fill="auto"/>
            <w:noWrap/>
            <w:vAlign w:val="bottom"/>
          </w:tcPr>
          <w:p w:rsidR="00CD60CE" w:rsidRPr="00CD60CE" w:rsidRDefault="00CD60CE" w:rsidP="00EB4E36">
            <w:pPr>
              <w:jc w:val="center"/>
              <w:rPr>
                <w:rFonts w:ascii="Arial Narrow" w:hAnsi="Arial Narrow"/>
              </w:rPr>
            </w:pPr>
            <w:r w:rsidRPr="00CD60CE">
              <w:rPr>
                <w:rFonts w:ascii="Arial Narrow" w:hAnsi="Arial Narrow"/>
              </w:rPr>
              <w:t>769</w:t>
            </w:r>
            <w:r w:rsidR="00E47652">
              <w:rPr>
                <w:rFonts w:ascii="Arial Narrow" w:hAnsi="Arial Narrow"/>
              </w:rPr>
              <w:t>,0</w:t>
            </w:r>
            <w:r w:rsidR="00134574">
              <w:rPr>
                <w:rFonts w:ascii="Arial Narrow" w:hAnsi="Arial Narrow"/>
              </w:rPr>
              <w:t xml:space="preserve"> </w:t>
            </w:r>
          </w:p>
        </w:tc>
        <w:tc>
          <w:tcPr>
            <w:tcW w:w="1164" w:type="dxa"/>
            <w:tcBorders>
              <w:top w:val="nil"/>
              <w:left w:val="nil"/>
              <w:bottom w:val="single" w:sz="4" w:space="0" w:color="auto"/>
              <w:right w:val="single" w:sz="4" w:space="0" w:color="auto"/>
            </w:tcBorders>
            <w:shd w:val="clear" w:color="auto" w:fill="auto"/>
            <w:vAlign w:val="bottom"/>
          </w:tcPr>
          <w:p w:rsidR="00CD60CE" w:rsidRPr="00CD60CE" w:rsidRDefault="00CD60CE" w:rsidP="00E2535B">
            <w:pPr>
              <w:jc w:val="center"/>
              <w:rPr>
                <w:rFonts w:ascii="Arial Narrow" w:hAnsi="Arial Narrow"/>
              </w:rPr>
            </w:pPr>
            <w:r w:rsidRPr="00CD60CE">
              <w:rPr>
                <w:rFonts w:ascii="Arial Narrow" w:hAnsi="Arial Narrow"/>
              </w:rPr>
              <w:t>596</w:t>
            </w:r>
            <w:r w:rsidR="00E47652">
              <w:rPr>
                <w:rFonts w:ascii="Arial Narrow" w:hAnsi="Arial Narrow"/>
              </w:rPr>
              <w:t>,0</w:t>
            </w:r>
          </w:p>
        </w:tc>
        <w:tc>
          <w:tcPr>
            <w:tcW w:w="1120" w:type="dxa"/>
            <w:tcBorders>
              <w:top w:val="nil"/>
              <w:left w:val="nil"/>
              <w:bottom w:val="single" w:sz="4" w:space="0" w:color="auto"/>
              <w:right w:val="single" w:sz="4" w:space="0" w:color="auto"/>
            </w:tcBorders>
            <w:shd w:val="clear" w:color="auto" w:fill="auto"/>
            <w:vAlign w:val="bottom"/>
          </w:tcPr>
          <w:p w:rsidR="00CD60CE" w:rsidRPr="00CD60CE" w:rsidRDefault="00CD60CE" w:rsidP="00D707D9">
            <w:pPr>
              <w:jc w:val="center"/>
              <w:rPr>
                <w:rFonts w:ascii="Arial Narrow" w:hAnsi="Arial Narrow"/>
              </w:rPr>
            </w:pPr>
            <w:r w:rsidRPr="00CD60CE">
              <w:rPr>
                <w:rFonts w:ascii="Arial Narrow" w:hAnsi="Arial Narrow"/>
              </w:rPr>
              <w:t>352,5</w:t>
            </w:r>
            <w:r w:rsidR="00134574">
              <w:rPr>
                <w:rFonts w:ascii="Arial Narrow" w:hAnsi="Arial Narrow"/>
              </w:rPr>
              <w:t xml:space="preserve"> </w:t>
            </w:r>
          </w:p>
        </w:tc>
        <w:tc>
          <w:tcPr>
            <w:tcW w:w="1147"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45,8%</w:t>
            </w:r>
          </w:p>
        </w:tc>
        <w:tc>
          <w:tcPr>
            <w:tcW w:w="938" w:type="dxa"/>
            <w:tcBorders>
              <w:top w:val="nil"/>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59,1%</w:t>
            </w:r>
          </w:p>
        </w:tc>
      </w:tr>
      <w:tr w:rsidR="00CD60CE" w:rsidRPr="00D132F7" w:rsidTr="00134574">
        <w:trPr>
          <w:trHeight w:val="300"/>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2011</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D60CE" w:rsidRPr="00CD60CE" w:rsidRDefault="00CD60CE" w:rsidP="00EB4E36">
            <w:pPr>
              <w:jc w:val="center"/>
              <w:rPr>
                <w:rFonts w:ascii="Arial Narrow" w:hAnsi="Arial Narrow"/>
              </w:rPr>
            </w:pPr>
            <w:r w:rsidRPr="00CD60CE">
              <w:rPr>
                <w:rFonts w:ascii="Arial Narrow" w:hAnsi="Arial Narrow"/>
              </w:rPr>
              <w:t>786</w:t>
            </w:r>
            <w:r w:rsidR="00E47652">
              <w:rPr>
                <w:rFonts w:ascii="Arial Narrow" w:hAnsi="Arial Narrow"/>
              </w:rPr>
              <w:t>,0</w:t>
            </w:r>
          </w:p>
        </w:tc>
        <w:tc>
          <w:tcPr>
            <w:tcW w:w="1164" w:type="dxa"/>
            <w:tcBorders>
              <w:top w:val="single" w:sz="4" w:space="0" w:color="auto"/>
              <w:left w:val="nil"/>
              <w:bottom w:val="single" w:sz="4" w:space="0" w:color="auto"/>
              <w:right w:val="single" w:sz="4" w:space="0" w:color="auto"/>
            </w:tcBorders>
            <w:shd w:val="clear" w:color="auto" w:fill="auto"/>
            <w:vAlign w:val="bottom"/>
          </w:tcPr>
          <w:p w:rsidR="00CD60CE" w:rsidRPr="00CD60CE" w:rsidRDefault="00CD60CE" w:rsidP="00E2535B">
            <w:pPr>
              <w:jc w:val="center"/>
              <w:rPr>
                <w:rFonts w:ascii="Arial Narrow" w:hAnsi="Arial Narrow"/>
              </w:rPr>
            </w:pPr>
            <w:r w:rsidRPr="00CD60CE">
              <w:rPr>
                <w:rFonts w:ascii="Arial Narrow" w:hAnsi="Arial Narrow"/>
              </w:rPr>
              <w:t>609,1</w:t>
            </w:r>
            <w:r w:rsidR="00134574">
              <w:rPr>
                <w:rFonts w:ascii="Arial Narrow" w:hAnsi="Arial Narrow"/>
              </w:rPr>
              <w:t xml:space="preserve"> </w:t>
            </w:r>
          </w:p>
        </w:tc>
        <w:tc>
          <w:tcPr>
            <w:tcW w:w="1120" w:type="dxa"/>
            <w:tcBorders>
              <w:top w:val="single" w:sz="4" w:space="0" w:color="auto"/>
              <w:left w:val="nil"/>
              <w:bottom w:val="single" w:sz="4" w:space="0" w:color="auto"/>
              <w:right w:val="single" w:sz="4" w:space="0" w:color="auto"/>
            </w:tcBorders>
            <w:shd w:val="clear" w:color="auto" w:fill="auto"/>
            <w:vAlign w:val="bottom"/>
          </w:tcPr>
          <w:p w:rsidR="00CD60CE" w:rsidRPr="00CD60CE" w:rsidRDefault="00CD60CE" w:rsidP="00D707D9">
            <w:pPr>
              <w:jc w:val="center"/>
              <w:rPr>
                <w:rFonts w:ascii="Arial Narrow" w:hAnsi="Arial Narrow"/>
              </w:rPr>
            </w:pPr>
            <w:r w:rsidRPr="00CD60CE">
              <w:rPr>
                <w:rFonts w:ascii="Arial Narrow" w:hAnsi="Arial Narrow"/>
              </w:rPr>
              <w:t>362,1</w:t>
            </w:r>
            <w:r w:rsidR="00134574">
              <w:rPr>
                <w:rFonts w:ascii="Arial Narrow" w:hAnsi="Arial Narrow"/>
              </w:rPr>
              <w:t xml:space="preserve"> </w:t>
            </w:r>
          </w:p>
        </w:tc>
        <w:tc>
          <w:tcPr>
            <w:tcW w:w="1147" w:type="dxa"/>
            <w:tcBorders>
              <w:top w:val="single" w:sz="4" w:space="0" w:color="auto"/>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46,1%</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59,5%</w:t>
            </w:r>
          </w:p>
        </w:tc>
      </w:tr>
      <w:tr w:rsidR="00CD60CE" w:rsidRPr="00D132F7" w:rsidTr="00134574">
        <w:trPr>
          <w:trHeight w:val="300"/>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CD60CE" w:rsidRPr="00CD60CE" w:rsidRDefault="00CD60CE" w:rsidP="00B348CE">
            <w:pPr>
              <w:jc w:val="center"/>
              <w:rPr>
                <w:rFonts w:ascii="Arial Narrow" w:hAnsi="Arial Narrow"/>
                <w:b/>
              </w:rPr>
            </w:pPr>
            <w:r w:rsidRPr="00CD60CE">
              <w:rPr>
                <w:rFonts w:ascii="Arial Narrow" w:hAnsi="Arial Narrow"/>
                <w:b/>
              </w:rPr>
              <w:t>2012</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D60CE" w:rsidRPr="00CD60CE" w:rsidRDefault="00CD60CE" w:rsidP="00EB4E36">
            <w:pPr>
              <w:jc w:val="center"/>
              <w:rPr>
                <w:rFonts w:ascii="Arial Narrow" w:hAnsi="Arial Narrow"/>
              </w:rPr>
            </w:pPr>
            <w:r w:rsidRPr="00CD60CE">
              <w:rPr>
                <w:rFonts w:ascii="Arial Narrow" w:hAnsi="Arial Narrow"/>
              </w:rPr>
              <w:t>805</w:t>
            </w:r>
            <w:r w:rsidR="00E47652">
              <w:rPr>
                <w:rFonts w:ascii="Arial Narrow" w:hAnsi="Arial Narrow"/>
              </w:rPr>
              <w:t>,0</w:t>
            </w:r>
            <w:r w:rsidR="00134574">
              <w:rPr>
                <w:rFonts w:ascii="Arial Narrow" w:hAnsi="Arial Narrow"/>
              </w:rPr>
              <w:t xml:space="preserve"> </w:t>
            </w:r>
          </w:p>
        </w:tc>
        <w:tc>
          <w:tcPr>
            <w:tcW w:w="1164" w:type="dxa"/>
            <w:tcBorders>
              <w:top w:val="single" w:sz="4" w:space="0" w:color="auto"/>
              <w:left w:val="nil"/>
              <w:bottom w:val="single" w:sz="4" w:space="0" w:color="auto"/>
              <w:right w:val="single" w:sz="4" w:space="0" w:color="auto"/>
            </w:tcBorders>
            <w:shd w:val="clear" w:color="auto" w:fill="auto"/>
            <w:vAlign w:val="bottom"/>
          </w:tcPr>
          <w:p w:rsidR="00CD60CE" w:rsidRPr="00CD60CE" w:rsidRDefault="00CD60CE" w:rsidP="00E2535B">
            <w:pPr>
              <w:jc w:val="center"/>
              <w:rPr>
                <w:rFonts w:ascii="Arial Narrow" w:hAnsi="Arial Narrow"/>
              </w:rPr>
            </w:pPr>
            <w:r w:rsidRPr="00CD60CE">
              <w:rPr>
                <w:rFonts w:ascii="Arial Narrow" w:hAnsi="Arial Narrow"/>
              </w:rPr>
              <w:t>622,4</w:t>
            </w:r>
            <w:r w:rsidR="00134574">
              <w:rPr>
                <w:rFonts w:ascii="Arial Narrow" w:hAnsi="Arial Narrow"/>
              </w:rPr>
              <w:t xml:space="preserve"> </w:t>
            </w:r>
          </w:p>
        </w:tc>
        <w:tc>
          <w:tcPr>
            <w:tcW w:w="1120" w:type="dxa"/>
            <w:tcBorders>
              <w:top w:val="single" w:sz="4" w:space="0" w:color="auto"/>
              <w:left w:val="nil"/>
              <w:bottom w:val="single" w:sz="4" w:space="0" w:color="auto"/>
              <w:right w:val="single" w:sz="4" w:space="0" w:color="auto"/>
            </w:tcBorders>
            <w:shd w:val="clear" w:color="auto" w:fill="auto"/>
            <w:vAlign w:val="bottom"/>
          </w:tcPr>
          <w:p w:rsidR="00CD60CE" w:rsidRPr="00CD60CE" w:rsidRDefault="00CD60CE" w:rsidP="00D707D9">
            <w:pPr>
              <w:jc w:val="center"/>
              <w:rPr>
                <w:rFonts w:ascii="Arial Narrow" w:hAnsi="Arial Narrow"/>
              </w:rPr>
            </w:pPr>
            <w:r w:rsidRPr="00CD60CE">
              <w:rPr>
                <w:rFonts w:ascii="Arial Narrow" w:hAnsi="Arial Narrow"/>
              </w:rPr>
              <w:t>375,9</w:t>
            </w:r>
            <w:r w:rsidR="00134574">
              <w:rPr>
                <w:rFonts w:ascii="Arial Narrow" w:hAnsi="Arial Narrow"/>
              </w:rPr>
              <w:t xml:space="preserve"> </w:t>
            </w:r>
          </w:p>
        </w:tc>
        <w:tc>
          <w:tcPr>
            <w:tcW w:w="1147" w:type="dxa"/>
            <w:tcBorders>
              <w:top w:val="single" w:sz="4" w:space="0" w:color="auto"/>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46,7%</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CD60CE" w:rsidRPr="00CD60CE" w:rsidRDefault="00CD60CE" w:rsidP="00B348CE">
            <w:pPr>
              <w:jc w:val="center"/>
              <w:rPr>
                <w:rFonts w:ascii="Arial Narrow" w:hAnsi="Arial Narrow"/>
              </w:rPr>
            </w:pPr>
            <w:r w:rsidRPr="00CD60CE">
              <w:rPr>
                <w:rFonts w:ascii="Arial Narrow" w:hAnsi="Arial Narrow"/>
              </w:rPr>
              <w:t>60,4%</w:t>
            </w:r>
          </w:p>
        </w:tc>
      </w:tr>
    </w:tbl>
    <w:p w:rsidR="00333129" w:rsidRDefault="00290946" w:rsidP="00333129">
      <w:pPr>
        <w:jc w:val="both"/>
        <w:rPr>
          <w:u w:val="single"/>
        </w:rPr>
      </w:pPr>
      <w:r>
        <w:rPr>
          <w:rFonts w:ascii="Arial Narrow" w:hAnsi="Arial Narrow"/>
          <w:sz w:val="22"/>
          <w:szCs w:val="22"/>
        </w:rPr>
        <w:t xml:space="preserve">                 </w:t>
      </w:r>
      <w:r>
        <w:rPr>
          <w:rFonts w:ascii="Arial Narrow" w:hAnsi="Arial Narrow"/>
          <w:sz w:val="18"/>
          <w:szCs w:val="18"/>
        </w:rPr>
        <w:t>Zdroj: Sociálna poisťovňa, Štatistický úrad SR</w:t>
      </w:r>
    </w:p>
    <w:p w:rsidR="00333129" w:rsidRPr="001345AA" w:rsidRDefault="00333129" w:rsidP="00333129">
      <w:pPr>
        <w:tabs>
          <w:tab w:val="left" w:pos="720"/>
        </w:tabs>
        <w:ind w:firstLine="360"/>
        <w:jc w:val="both"/>
        <w:rPr>
          <w:color w:val="000000"/>
        </w:rPr>
      </w:pPr>
    </w:p>
    <w:p w:rsidR="00141DB3" w:rsidRDefault="00141DB3"/>
    <w:sectPr w:rsidR="00141DB3" w:rsidSect="00B348CE">
      <w:footerReference w:type="even" r:id="rId12"/>
      <w:footerReference w:type="default" r:id="rId13"/>
      <w:pgSz w:w="11906" w:h="16838"/>
      <w:pgMar w:top="1417" w:right="1417"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8CE" w:rsidRDefault="00B348CE" w:rsidP="00333129">
      <w:r>
        <w:separator/>
      </w:r>
    </w:p>
  </w:endnote>
  <w:endnote w:type="continuationSeparator" w:id="0">
    <w:p w:rsidR="00B348CE" w:rsidRDefault="00B348CE" w:rsidP="00333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Arial Narrow">
    <w:altName w:val="Century Gothic"/>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CE" w:rsidRDefault="00C8245D" w:rsidP="00B348CE">
    <w:pPr>
      <w:pStyle w:val="Pta"/>
      <w:framePr w:wrap="around" w:vAnchor="text" w:hAnchor="margin" w:xAlign="center" w:y="1"/>
      <w:rPr>
        <w:rStyle w:val="slostrany"/>
      </w:rPr>
    </w:pPr>
    <w:r>
      <w:rPr>
        <w:rStyle w:val="slostrany"/>
      </w:rPr>
      <w:fldChar w:fldCharType="begin"/>
    </w:r>
    <w:r w:rsidR="00B348CE">
      <w:rPr>
        <w:rStyle w:val="slostrany"/>
      </w:rPr>
      <w:instrText xml:space="preserve">PAGE  </w:instrText>
    </w:r>
    <w:r>
      <w:rPr>
        <w:rStyle w:val="slostrany"/>
      </w:rPr>
      <w:fldChar w:fldCharType="end"/>
    </w:r>
  </w:p>
  <w:p w:rsidR="00B348CE" w:rsidRDefault="00B348CE">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CE" w:rsidRDefault="00C8245D" w:rsidP="00B348CE">
    <w:pPr>
      <w:pStyle w:val="Pta"/>
      <w:framePr w:wrap="around" w:vAnchor="text" w:hAnchor="margin" w:xAlign="center" w:y="1"/>
      <w:rPr>
        <w:rStyle w:val="slostrany"/>
      </w:rPr>
    </w:pPr>
    <w:r>
      <w:rPr>
        <w:rStyle w:val="slostrany"/>
      </w:rPr>
      <w:fldChar w:fldCharType="begin"/>
    </w:r>
    <w:r w:rsidR="00B348CE">
      <w:rPr>
        <w:rStyle w:val="slostrany"/>
      </w:rPr>
      <w:instrText xml:space="preserve">PAGE  </w:instrText>
    </w:r>
    <w:r>
      <w:rPr>
        <w:rStyle w:val="slostrany"/>
      </w:rPr>
      <w:fldChar w:fldCharType="separate"/>
    </w:r>
    <w:r w:rsidR="00543972">
      <w:rPr>
        <w:rStyle w:val="slostrany"/>
        <w:noProof/>
      </w:rPr>
      <w:t>5</w:t>
    </w:r>
    <w:r>
      <w:rPr>
        <w:rStyle w:val="slostrany"/>
      </w:rPr>
      <w:fldChar w:fldCharType="end"/>
    </w:r>
  </w:p>
  <w:p w:rsidR="00B348CE" w:rsidRDefault="00B348C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8CE" w:rsidRDefault="00B348CE" w:rsidP="00333129">
      <w:r>
        <w:separator/>
      </w:r>
    </w:p>
  </w:footnote>
  <w:footnote w:type="continuationSeparator" w:id="0">
    <w:p w:rsidR="00B348CE" w:rsidRDefault="00B348CE" w:rsidP="00333129">
      <w:r>
        <w:continuationSeparator/>
      </w:r>
    </w:p>
  </w:footnote>
  <w:footnote w:id="1">
    <w:p w:rsidR="00B348CE" w:rsidRPr="00BA6D1F" w:rsidRDefault="00B348CE" w:rsidP="00333129">
      <w:pPr>
        <w:autoSpaceDE w:val="0"/>
        <w:autoSpaceDN w:val="0"/>
        <w:adjustRightInd w:val="0"/>
        <w:jc w:val="both"/>
        <w:rPr>
          <w:rFonts w:eastAsia="Calibri"/>
          <w:b/>
          <w:sz w:val="20"/>
          <w:szCs w:val="20"/>
          <w:lang w:eastAsia="en-US"/>
        </w:rPr>
      </w:pPr>
      <w:r>
        <w:rPr>
          <w:rStyle w:val="Odkaznapoznmkupodiarou"/>
        </w:rPr>
        <w:footnoteRef/>
      </w:r>
      <w:r>
        <w:t xml:space="preserve"> </w:t>
      </w:r>
      <w:r w:rsidRPr="00BA6D1F">
        <w:rPr>
          <w:rFonts w:eastAsia="Calibri"/>
          <w:b/>
          <w:sz w:val="20"/>
          <w:szCs w:val="20"/>
          <w:lang w:eastAsia="en-US"/>
        </w:rPr>
        <w:t xml:space="preserve">Skratky okresov SR podľa krajov </w:t>
      </w:r>
      <w:r w:rsidRPr="00BA6D1F">
        <w:rPr>
          <w:rFonts w:eastAsia="Calibri"/>
          <w:sz w:val="20"/>
          <w:szCs w:val="20"/>
          <w:lang w:eastAsia="en-US"/>
        </w:rPr>
        <w:t>(v mapách)</w:t>
      </w:r>
      <w:r w:rsidRPr="00BA6D1F">
        <w:rPr>
          <w:rFonts w:eastAsia="Calibri"/>
          <w:b/>
          <w:sz w:val="20"/>
          <w:szCs w:val="20"/>
          <w:lang w:eastAsia="en-US"/>
        </w:rPr>
        <w:t xml:space="preserve"> </w:t>
      </w:r>
    </w:p>
    <w:p w:rsidR="00B348CE" w:rsidRPr="00BA6D1F" w:rsidRDefault="00B348CE" w:rsidP="00333129">
      <w:pPr>
        <w:autoSpaceDE w:val="0"/>
        <w:autoSpaceDN w:val="0"/>
        <w:adjustRightInd w:val="0"/>
        <w:jc w:val="both"/>
        <w:rPr>
          <w:rFonts w:eastAsia="Calibri"/>
          <w:sz w:val="20"/>
          <w:szCs w:val="20"/>
          <w:lang w:eastAsia="en-US"/>
        </w:rPr>
      </w:pPr>
      <w:r w:rsidRPr="00BA6D1F">
        <w:rPr>
          <w:rFonts w:eastAsia="Calibri"/>
          <w:b/>
          <w:i/>
          <w:sz w:val="20"/>
          <w:szCs w:val="20"/>
          <w:lang w:eastAsia="en-US"/>
        </w:rPr>
        <w:t>Bratislavský kraj</w:t>
      </w:r>
      <w:r w:rsidRPr="00BA6D1F">
        <w:rPr>
          <w:rFonts w:eastAsia="Calibri"/>
          <w:sz w:val="20"/>
          <w:szCs w:val="20"/>
          <w:lang w:eastAsia="en-US"/>
        </w:rPr>
        <w:t xml:space="preserve"> – BA I (Bratislava I), BA II (Bratislava II), BA III (Bratislava III), BA IV (Bratislava IV), BA V (Bratislava V), MA (Malacky), PK (Pezinok), SC (Senec); </w:t>
      </w:r>
      <w:r w:rsidRPr="00BA6D1F">
        <w:rPr>
          <w:rFonts w:eastAsia="Calibri"/>
          <w:b/>
          <w:i/>
          <w:sz w:val="20"/>
          <w:szCs w:val="20"/>
          <w:lang w:eastAsia="en-US"/>
        </w:rPr>
        <w:t>Trnavský kraj</w:t>
      </w:r>
      <w:r w:rsidRPr="00BA6D1F">
        <w:rPr>
          <w:rFonts w:eastAsia="Calibri"/>
          <w:sz w:val="20"/>
          <w:szCs w:val="20"/>
          <w:lang w:eastAsia="en-US"/>
        </w:rPr>
        <w:t xml:space="preserve"> – DS (Dunajská Streda), GA (Galanta), HC (Hlohovec), PN (Piešťany), SE (Senica), SI (Skalica), TT (Trnava); </w:t>
      </w:r>
      <w:r w:rsidRPr="00BA6D1F">
        <w:rPr>
          <w:rFonts w:eastAsia="Calibri"/>
          <w:b/>
          <w:i/>
          <w:sz w:val="20"/>
          <w:szCs w:val="20"/>
          <w:lang w:eastAsia="en-US"/>
        </w:rPr>
        <w:t>Trenčiansky kraj</w:t>
      </w:r>
      <w:r w:rsidRPr="00BA6D1F">
        <w:rPr>
          <w:rFonts w:eastAsia="Calibri"/>
          <w:sz w:val="20"/>
          <w:szCs w:val="20"/>
          <w:lang w:eastAsia="en-US"/>
        </w:rPr>
        <w:t xml:space="preserve"> – BN (Bánovce nad Bebravou), IL (Ilava), MY (Myjava), NM (Nové Mesto nad Váhom), PE (Partizánske), PB (Považská Bystrica), PD (Prievidza), PU (Púchov), TN (Trenčín); </w:t>
      </w:r>
      <w:r w:rsidRPr="00BA6D1F">
        <w:rPr>
          <w:rFonts w:eastAsia="Calibri"/>
          <w:b/>
          <w:i/>
          <w:sz w:val="20"/>
          <w:szCs w:val="20"/>
          <w:lang w:eastAsia="en-US"/>
        </w:rPr>
        <w:t>Nitriansky kraj</w:t>
      </w:r>
      <w:r w:rsidRPr="00BA6D1F">
        <w:rPr>
          <w:rFonts w:eastAsia="Calibri"/>
          <w:sz w:val="20"/>
          <w:szCs w:val="20"/>
          <w:lang w:eastAsia="en-US"/>
        </w:rPr>
        <w:t xml:space="preserve"> – KN (Komárno), LV (Levice), NI (Nitra), NZ (Nové Zámky), SA (Šaľa), TO (Topoľčany), ZM (Zlaté Moravce); </w:t>
      </w:r>
      <w:r w:rsidRPr="00BA6D1F">
        <w:rPr>
          <w:rFonts w:eastAsia="Calibri"/>
          <w:b/>
          <w:i/>
          <w:sz w:val="20"/>
          <w:szCs w:val="20"/>
          <w:lang w:eastAsia="en-US"/>
        </w:rPr>
        <w:t>Žilinský kraj</w:t>
      </w:r>
      <w:r w:rsidRPr="00BA6D1F">
        <w:rPr>
          <w:rFonts w:eastAsia="Calibri"/>
          <w:sz w:val="20"/>
          <w:szCs w:val="20"/>
          <w:lang w:eastAsia="en-US"/>
        </w:rPr>
        <w:t xml:space="preserve"> - BY (Bytča), CA (Čadca), DK (Dolný Kubín), KM (Kysucké Nové Mesto), LM (Liptovský Mikuláš), MT (Martin), NO (Námestovo), RK (Ružomberok), TR (Turčianske Teplice), TS (Tvrdošín), ZA (Žilina); </w:t>
      </w:r>
      <w:r w:rsidRPr="00BA6D1F">
        <w:rPr>
          <w:rFonts w:eastAsia="Calibri"/>
          <w:b/>
          <w:i/>
          <w:sz w:val="20"/>
          <w:szCs w:val="20"/>
          <w:lang w:eastAsia="en-US"/>
        </w:rPr>
        <w:t>Banskobystrický kraj</w:t>
      </w:r>
      <w:r w:rsidRPr="00BA6D1F">
        <w:rPr>
          <w:rFonts w:eastAsia="Calibri"/>
          <w:sz w:val="20"/>
          <w:szCs w:val="20"/>
          <w:lang w:eastAsia="en-US"/>
        </w:rPr>
        <w:t xml:space="preserve"> – BB (Banská Bystrica), BS (Banská Štiavnica), BR (Brezno), DT (Detva), KA (Krupina), LC (Lučenec), PT (Poltár), RA (Revúca), RS (Rimavská Sobota), VK (Veľký Krtíš), ZV (Zvolen), ZC (Žarnovica), ZH (Žiar nad Hronom); </w:t>
      </w:r>
      <w:r w:rsidRPr="00BA6D1F">
        <w:rPr>
          <w:rFonts w:eastAsia="Calibri"/>
          <w:b/>
          <w:i/>
          <w:sz w:val="20"/>
          <w:szCs w:val="20"/>
          <w:lang w:eastAsia="en-US"/>
        </w:rPr>
        <w:t>Prešovský kraj</w:t>
      </w:r>
      <w:r w:rsidRPr="00BA6D1F">
        <w:rPr>
          <w:rFonts w:eastAsia="Calibri"/>
          <w:sz w:val="20"/>
          <w:szCs w:val="20"/>
          <w:lang w:eastAsia="en-US"/>
        </w:rPr>
        <w:t xml:space="preserve"> – BJ (Bardejov), HE (Humenné), KK (Kežmarok), LE (Levoča), ML (Medzilaborce), PP (Poprad), PO (Prešov), SB (Sabinov), SV (Snina), SL (Stará Ľubovňa), SP (Stropkov), SK (Svidník), VT (Vranov nad Topľou); </w:t>
      </w:r>
      <w:r w:rsidRPr="00BA6D1F">
        <w:rPr>
          <w:rFonts w:eastAsia="Calibri"/>
          <w:b/>
          <w:i/>
          <w:sz w:val="20"/>
          <w:szCs w:val="20"/>
          <w:lang w:eastAsia="en-US"/>
        </w:rPr>
        <w:t>Košický kraj</w:t>
      </w:r>
      <w:r w:rsidRPr="00BA6D1F">
        <w:rPr>
          <w:rFonts w:eastAsia="Calibri"/>
          <w:sz w:val="20"/>
          <w:szCs w:val="20"/>
          <w:lang w:eastAsia="en-US"/>
        </w:rPr>
        <w:t xml:space="preserve"> – GL (Gelnica), KE I (Košice I), KE II (Košice II),KE III (Košice III), KE IV (Košice IV), KS (Košice – okolie), MI (Michalovce), RV (Rožňava), SO (Sobrance), SN (Spišská Nová Ves), TV (Trebišov)</w:t>
      </w:r>
    </w:p>
    <w:p w:rsidR="00B348CE" w:rsidRDefault="00B348CE" w:rsidP="00333129">
      <w:pPr>
        <w:pStyle w:val="Textpoznmkypodi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554B6"/>
    <w:multiLevelType w:val="hybridMultilevel"/>
    <w:tmpl w:val="49B6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33129"/>
    <w:rsid w:val="00134574"/>
    <w:rsid w:val="00141DB3"/>
    <w:rsid w:val="001D4E3D"/>
    <w:rsid w:val="00290946"/>
    <w:rsid w:val="002C2AB4"/>
    <w:rsid w:val="00333129"/>
    <w:rsid w:val="00375C29"/>
    <w:rsid w:val="003F13EF"/>
    <w:rsid w:val="00433F96"/>
    <w:rsid w:val="00543972"/>
    <w:rsid w:val="00584973"/>
    <w:rsid w:val="006D3428"/>
    <w:rsid w:val="008E6742"/>
    <w:rsid w:val="00905607"/>
    <w:rsid w:val="00AA58B6"/>
    <w:rsid w:val="00B348CE"/>
    <w:rsid w:val="00C608D9"/>
    <w:rsid w:val="00C8245D"/>
    <w:rsid w:val="00C94B05"/>
    <w:rsid w:val="00CB7262"/>
    <w:rsid w:val="00CD60CE"/>
    <w:rsid w:val="00D707D9"/>
    <w:rsid w:val="00D942E5"/>
    <w:rsid w:val="00E2535B"/>
    <w:rsid w:val="00E47652"/>
    <w:rsid w:val="00EB4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33129"/>
    <w:pPr>
      <w:spacing w:after="0" w:line="240" w:lineRule="auto"/>
    </w:pPr>
    <w:rPr>
      <w:rFonts w:ascii="Times New Roman" w:eastAsia="Times New Roman" w:hAnsi="Times New Roman" w:cs="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33129"/>
    <w:pPr>
      <w:tabs>
        <w:tab w:val="center" w:pos="4536"/>
        <w:tab w:val="right" w:pos="9072"/>
      </w:tabs>
    </w:pPr>
  </w:style>
  <w:style w:type="character" w:customStyle="1" w:styleId="PtaChar">
    <w:name w:val="Päta Char"/>
    <w:basedOn w:val="Predvolenpsmoodseku"/>
    <w:link w:val="Pta"/>
    <w:uiPriority w:val="99"/>
    <w:rsid w:val="00333129"/>
    <w:rPr>
      <w:rFonts w:ascii="Times New Roman" w:eastAsia="Times New Roman" w:hAnsi="Times New Roman" w:cs="Times New Roman"/>
      <w:sz w:val="24"/>
      <w:szCs w:val="24"/>
      <w:lang w:val="sk-SK" w:eastAsia="sk-SK"/>
    </w:rPr>
  </w:style>
  <w:style w:type="character" w:styleId="slostrany">
    <w:name w:val="page number"/>
    <w:basedOn w:val="Predvolenpsmoodseku"/>
    <w:rsid w:val="00333129"/>
  </w:style>
  <w:style w:type="character" w:styleId="Odkaznapoznmkupodiarou">
    <w:name w:val="footnote reference"/>
    <w:aliases w:val="Footnote,Footnotes refss"/>
    <w:uiPriority w:val="99"/>
    <w:rsid w:val="00333129"/>
    <w:rPr>
      <w:vertAlign w:val="superscript"/>
    </w:rPr>
  </w:style>
  <w:style w:type="paragraph" w:styleId="Odsekzoznamu">
    <w:name w:val="List Paragraph"/>
    <w:basedOn w:val="Normlny"/>
    <w:uiPriority w:val="34"/>
    <w:qFormat/>
    <w:rsid w:val="00333129"/>
    <w:pPr>
      <w:spacing w:after="200" w:line="276" w:lineRule="auto"/>
      <w:ind w:left="720"/>
      <w:contextualSpacing/>
    </w:pPr>
    <w:rPr>
      <w:rFonts w:ascii="Calibri" w:hAnsi="Calibri"/>
      <w:sz w:val="22"/>
      <w:szCs w:val="22"/>
    </w:rPr>
  </w:style>
  <w:style w:type="paragraph" w:styleId="Textpoznmkypodiarou">
    <w:name w:val="footnote text"/>
    <w:basedOn w:val="Normlny"/>
    <w:link w:val="TextpoznmkypodiarouChar"/>
    <w:uiPriority w:val="99"/>
    <w:unhideWhenUsed/>
    <w:rsid w:val="00333129"/>
    <w:rPr>
      <w:rFonts w:ascii="Calibri" w:eastAsia="Calibri" w:hAnsi="Calibri"/>
      <w:sz w:val="20"/>
      <w:szCs w:val="20"/>
      <w:lang w:eastAsia="en-US"/>
    </w:rPr>
  </w:style>
  <w:style w:type="character" w:customStyle="1" w:styleId="TextpoznmkypodiarouChar">
    <w:name w:val="Text poznámky pod čiarou Char"/>
    <w:basedOn w:val="Predvolenpsmoodseku"/>
    <w:link w:val="Textpoznmkypodiarou"/>
    <w:uiPriority w:val="99"/>
    <w:rsid w:val="00333129"/>
    <w:rPr>
      <w:rFonts w:ascii="Calibri" w:eastAsia="Calibri" w:hAnsi="Calibri" w:cs="Times New Roman"/>
      <w:sz w:val="20"/>
      <w:szCs w:val="20"/>
      <w:lang w:val="sk-SK"/>
    </w:rPr>
  </w:style>
  <w:style w:type="paragraph" w:styleId="Textbubliny">
    <w:name w:val="Balloon Text"/>
    <w:basedOn w:val="Normlny"/>
    <w:link w:val="TextbublinyChar"/>
    <w:uiPriority w:val="99"/>
    <w:semiHidden/>
    <w:unhideWhenUsed/>
    <w:rsid w:val="00333129"/>
    <w:rPr>
      <w:rFonts w:ascii="Tahoma" w:hAnsi="Tahoma" w:cs="Tahoma"/>
      <w:sz w:val="16"/>
      <w:szCs w:val="16"/>
    </w:rPr>
  </w:style>
  <w:style w:type="character" w:customStyle="1" w:styleId="TextbublinyChar">
    <w:name w:val="Text bubliny Char"/>
    <w:basedOn w:val="Predvolenpsmoodseku"/>
    <w:link w:val="Textbubliny"/>
    <w:uiPriority w:val="99"/>
    <w:semiHidden/>
    <w:rsid w:val="00333129"/>
    <w:rPr>
      <w:rFonts w:ascii="Tahoma" w:eastAsia="Times New Roman" w:hAnsi="Tahoma" w:cs="Tahoma"/>
      <w:sz w:val="16"/>
      <w:szCs w:val="16"/>
      <w:lang w:val="sk-SK"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Users\juhasc\Desktop\stari%20ludia,%20publ\Tabu&#318;kypubStarnutie-od%20AG.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52701302083333257"/>
          <c:y val="1.2255208333333333E-2"/>
          <c:w val="0.42751055291642281"/>
          <c:h val="0.90499062500000005"/>
        </c:manualLayout>
      </c:layout>
      <c:barChart>
        <c:barDir val="bar"/>
        <c:grouping val="clustered"/>
        <c:ser>
          <c:idx val="4"/>
          <c:order val="0"/>
          <c:tx>
            <c:strRef>
              <c:f>Hárok9!$F$146</c:f>
              <c:strCache>
                <c:ptCount val="1"/>
                <c:pt idx="0">
                  <c:v>SR</c:v>
                </c:pt>
              </c:strCache>
            </c:strRef>
          </c:tx>
          <c:spPr>
            <a:solidFill>
              <a:srgbClr val="882E5A"/>
            </a:solidFill>
          </c:spPr>
          <c:dLbls>
            <c:txPr>
              <a:bodyPr/>
              <a:lstStyle/>
              <a:p>
                <a:pPr>
                  <a:defRPr sz="850" baseline="0">
                    <a:latin typeface="Arial" pitchFamily="34" charset="0"/>
                  </a:defRPr>
                </a:pPr>
                <a:endParaRPr lang="en-US"/>
              </a:p>
            </c:txPr>
            <c:showVal val="1"/>
          </c:dLbls>
          <c:cat>
            <c:strRef>
              <c:f>Hárok9!$A$147:$A$155</c:f>
              <c:strCache>
                <c:ptCount val="7"/>
                <c:pt idx="0">
                  <c:v>aby dostávali nejakú finančnú odmenu za starostlivosť, ktorú poskytujú</c:v>
                </c:pt>
                <c:pt idx="1">
                  <c:v>povoliť im pružnú pracovnú dobu</c:v>
                </c:pt>
                <c:pt idx="2">
                  <c:v>aby mohli dočasne prerušiť zamestnanie s právom opätovného nástupu do zamestnania</c:v>
                </c:pt>
                <c:pt idx="3">
                  <c:v>aby dostávali dôchodkové kredity za obdobie poskytovania starostlivosti</c:v>
                </c:pt>
                <c:pt idx="4">
                  <c:v>aby mali právo na čiastočný pracovný úväzok</c:v>
                </c:pt>
                <c:pt idx="5">
                  <c:v>aby získali bezplatné školenie o tom, ako poskytovať starostlivosť</c:v>
                </c:pt>
                <c:pt idx="6">
                  <c:v>aby mali nárok na každoročnú dovolenku s náhradnou starostlivosťou počas tohto obdobia platenou z verejných prostriedkov</c:v>
                </c:pt>
              </c:strCache>
            </c:strRef>
          </c:cat>
          <c:val>
            <c:numRef>
              <c:f>Hárok9!$F$147:$F$153</c:f>
              <c:numCache>
                <c:formatCode>General</c:formatCode>
                <c:ptCount val="7"/>
                <c:pt idx="0">
                  <c:v>65</c:v>
                </c:pt>
                <c:pt idx="1">
                  <c:v>29</c:v>
                </c:pt>
                <c:pt idx="2">
                  <c:v>45</c:v>
                </c:pt>
                <c:pt idx="3">
                  <c:v>34</c:v>
                </c:pt>
                <c:pt idx="4">
                  <c:v>29</c:v>
                </c:pt>
                <c:pt idx="5">
                  <c:v>16</c:v>
                </c:pt>
                <c:pt idx="6">
                  <c:v>16</c:v>
                </c:pt>
              </c:numCache>
            </c:numRef>
          </c:val>
        </c:ser>
        <c:ser>
          <c:idx val="5"/>
          <c:order val="1"/>
          <c:tx>
            <c:strRef>
              <c:f>Hárok9!$G$146</c:f>
              <c:strCache>
                <c:ptCount val="1"/>
                <c:pt idx="0">
                  <c:v>EÚ 27</c:v>
                </c:pt>
              </c:strCache>
            </c:strRef>
          </c:tx>
          <c:spPr>
            <a:solidFill>
              <a:srgbClr val="FFCC00"/>
            </a:solidFill>
          </c:spPr>
          <c:dLbls>
            <c:txPr>
              <a:bodyPr/>
              <a:lstStyle/>
              <a:p>
                <a:pPr>
                  <a:defRPr sz="850" baseline="0">
                    <a:latin typeface="Arial" pitchFamily="34" charset="0"/>
                  </a:defRPr>
                </a:pPr>
                <a:endParaRPr lang="en-US"/>
              </a:p>
            </c:txPr>
            <c:showVal val="1"/>
          </c:dLbls>
          <c:cat>
            <c:strRef>
              <c:f>Hárok9!$A$147:$A$155</c:f>
              <c:strCache>
                <c:ptCount val="7"/>
                <c:pt idx="0">
                  <c:v>aby dostávali nejakú finančnú odmenu za starostlivosť, ktorú poskytujú</c:v>
                </c:pt>
                <c:pt idx="1">
                  <c:v>povoliť im pružnú pracovnú dobu</c:v>
                </c:pt>
                <c:pt idx="2">
                  <c:v>aby mohli dočasne prerušiť zamestnanie s právom opätovného nástupu do zamestnania</c:v>
                </c:pt>
                <c:pt idx="3">
                  <c:v>aby dostávali dôchodkové kredity za obdobie poskytovania starostlivosti</c:v>
                </c:pt>
                <c:pt idx="4">
                  <c:v>aby mali právo na čiastočný pracovný úväzok</c:v>
                </c:pt>
                <c:pt idx="5">
                  <c:v>aby získali bezplatné školenie o tom, ako poskytovať starostlivosť</c:v>
                </c:pt>
                <c:pt idx="6">
                  <c:v>aby mali nárok na každoročnú dovolenku s náhradnou starostlivosťou počas tohto obdobia platenou z verejných prostriedkov</c:v>
                </c:pt>
              </c:strCache>
            </c:strRef>
          </c:cat>
          <c:val>
            <c:numRef>
              <c:f>Hárok9!$G$147:$G$153</c:f>
              <c:numCache>
                <c:formatCode>General</c:formatCode>
                <c:ptCount val="7"/>
                <c:pt idx="0">
                  <c:v>44</c:v>
                </c:pt>
                <c:pt idx="1">
                  <c:v>38</c:v>
                </c:pt>
                <c:pt idx="2">
                  <c:v>35</c:v>
                </c:pt>
                <c:pt idx="3">
                  <c:v>33</c:v>
                </c:pt>
                <c:pt idx="4">
                  <c:v>27</c:v>
                </c:pt>
                <c:pt idx="5">
                  <c:v>21</c:v>
                </c:pt>
                <c:pt idx="6">
                  <c:v>16</c:v>
                </c:pt>
              </c:numCache>
            </c:numRef>
          </c:val>
        </c:ser>
        <c:axId val="69850624"/>
        <c:axId val="69852160"/>
      </c:barChart>
      <c:catAx>
        <c:axId val="69850624"/>
        <c:scaling>
          <c:orientation val="minMax"/>
        </c:scaling>
        <c:axPos val="l"/>
        <c:tickLblPos val="nextTo"/>
        <c:txPr>
          <a:bodyPr/>
          <a:lstStyle/>
          <a:p>
            <a:pPr>
              <a:defRPr sz="800" baseline="0">
                <a:latin typeface="Arial Narrow" pitchFamily="34" charset="0"/>
              </a:defRPr>
            </a:pPr>
            <a:endParaRPr lang="en-US"/>
          </a:p>
        </c:txPr>
        <c:crossAx val="69852160"/>
        <c:crosses val="autoZero"/>
        <c:auto val="1"/>
        <c:lblAlgn val="ctr"/>
        <c:lblOffset val="100"/>
      </c:catAx>
      <c:valAx>
        <c:axId val="69852160"/>
        <c:scaling>
          <c:orientation val="minMax"/>
          <c:max val="70"/>
          <c:min val="0"/>
        </c:scaling>
        <c:axPos val="b"/>
        <c:majorGridlines>
          <c:spPr>
            <a:ln>
              <a:noFill/>
            </a:ln>
          </c:spPr>
        </c:majorGridlines>
        <c:numFmt formatCode="General" sourceLinked="1"/>
        <c:tickLblPos val="nextTo"/>
        <c:txPr>
          <a:bodyPr/>
          <a:lstStyle/>
          <a:p>
            <a:pPr>
              <a:defRPr baseline="0">
                <a:latin typeface="Arial" pitchFamily="34" charset="0"/>
              </a:defRPr>
            </a:pPr>
            <a:endParaRPr lang="en-US"/>
          </a:p>
        </c:txPr>
        <c:crossAx val="69850624"/>
        <c:crosses val="autoZero"/>
        <c:crossBetween val="between"/>
        <c:majorUnit val="10"/>
      </c:valAx>
    </c:plotArea>
    <c:legend>
      <c:legendPos val="b"/>
      <c:layout>
        <c:manualLayout>
          <c:xMode val="edge"/>
          <c:yMode val="edge"/>
          <c:x val="8.6560590277778265E-2"/>
          <c:y val="0.92728016359918264"/>
          <c:w val="0.31755572916667058"/>
          <c:h val="7.2719836400818985E-2"/>
        </c:manualLayout>
      </c:layout>
      <c:txPr>
        <a:bodyPr/>
        <a:lstStyle/>
        <a:p>
          <a:pPr>
            <a:defRPr baseline="0">
              <a:latin typeface="Arial" pitchFamily="34" charset="0"/>
            </a:defRPr>
          </a:pPr>
          <a:endParaRPr lang="en-US"/>
        </a:p>
      </c:txPr>
    </c:legend>
    <c:plotVisOnly val="1"/>
    <c:dispBlanksAs val="gap"/>
  </c:chart>
  <c:spPr>
    <a:ln>
      <a:noFill/>
    </a:ln>
  </c:spPr>
  <c:txPr>
    <a:bodyPr/>
    <a:lstStyle/>
    <a:p>
      <a:pPr>
        <a:defRPr baseline="0">
          <a:latin typeface="Arial Narrow" pitchFamily="34" charset="0"/>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0.88883</cdr:x>
      <cdr:y>0.06077</cdr:y>
    </cdr:from>
    <cdr:to>
      <cdr:x>0.96118</cdr:x>
      <cdr:y>0.15999</cdr:y>
    </cdr:to>
    <cdr:sp macro="" textlink="">
      <cdr:nvSpPr>
        <cdr:cNvPr id="2" name="BlokTextu 1"/>
        <cdr:cNvSpPr txBox="1"/>
      </cdr:nvSpPr>
      <cdr:spPr>
        <a:xfrm xmlns:a="http://schemas.openxmlformats.org/drawingml/2006/main">
          <a:off x="5119687" y="175022"/>
          <a:ext cx="416719"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k-SK" sz="1000">
            <a:latin typeface="Arial" pitchFamily="34" charset="0"/>
            <a:cs typeface="Arial" pitchFamily="34" charset="0"/>
          </a:endParaRPr>
        </a:p>
      </cdr:txBody>
    </cdr:sp>
  </cdr:relSizeAnchor>
  <cdr:relSizeAnchor xmlns:cdr="http://schemas.openxmlformats.org/drawingml/2006/chartDrawing">
    <cdr:from>
      <cdr:x>0.95424</cdr:x>
      <cdr:y>0.92613</cdr:y>
    </cdr:from>
    <cdr:to>
      <cdr:x>1</cdr:x>
      <cdr:y>0.9989</cdr:y>
    </cdr:to>
    <cdr:sp macro="" textlink="">
      <cdr:nvSpPr>
        <cdr:cNvPr id="3" name="Blok textu 2"/>
        <cdr:cNvSpPr txBox="1"/>
      </cdr:nvSpPr>
      <cdr:spPr>
        <a:xfrm xmlns:a="http://schemas.openxmlformats.org/drawingml/2006/main">
          <a:off x="5495925" y="2667000"/>
          <a:ext cx="26352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000">
              <a:latin typeface="Arial" pitchFamily="34" charset="0"/>
              <a:cs typeface="Arial" pitchFamily="34" charset="0"/>
            </a:rPr>
            <a:t>%</a:t>
          </a:r>
        </a:p>
      </cdr:txBody>
    </cdr:sp>
  </cdr:relSizeAnchor>
</c:userShape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118</TotalTime>
  <Pages>5</Pages>
  <Words>738</Words>
  <Characters>4209</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MPSVR</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bojkova</dc:creator>
  <cp:keywords/>
  <dc:description/>
  <cp:lastModifiedBy>bojkova</cp:lastModifiedBy>
  <cp:revision>18</cp:revision>
  <dcterms:created xsi:type="dcterms:W3CDTF">2013-07-09T07:53:00Z</dcterms:created>
  <dcterms:modified xsi:type="dcterms:W3CDTF">2013-08-19T09:37:00Z</dcterms:modified>
</cp:coreProperties>
</file>