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A3" w:rsidRPr="00200096" w:rsidRDefault="007F1BA3" w:rsidP="008C1AE6">
      <w:pPr>
        <w:jc w:val="center"/>
      </w:pPr>
      <w:r>
        <w:rPr>
          <w:rFonts w:cs="Calibri"/>
          <w:sz w:val="28"/>
          <w:szCs w:val="28"/>
        </w:rPr>
        <w:t xml:space="preserve">                       Ministerstvo životného prostredia Slovenskej republiky</w:t>
      </w:r>
      <w:r w:rsidR="00C903AC">
        <w:rPr>
          <w:noProof/>
          <w:lang w:eastAsia="sk-SK"/>
        </w:rPr>
        <w:drawing>
          <wp:anchor distT="48768" distB="79756" distL="114300" distR="141478" simplePos="0" relativeHeight="251658240" behindDoc="0" locked="0" layoutInCell="1" allowOverlap="1">
            <wp:simplePos x="0" y="0"/>
            <wp:positionH relativeFrom="column">
              <wp:posOffset>146685</wp:posOffset>
            </wp:positionH>
            <wp:positionV relativeFrom="paragraph">
              <wp:posOffset>-393192</wp:posOffset>
            </wp:positionV>
            <wp:extent cx="780796" cy="647573"/>
            <wp:effectExtent l="19050" t="0" r="254" b="0"/>
            <wp:wrapNone/>
            <wp:docPr id="22" name="Obrázok 3" descr="6763_obrazok.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brázok 3" descr="6763_obrazok.bmp"/>
                    <pic:cNvPicPr/>
                  </pic:nvPicPr>
                  <pic:blipFill>
                    <a:blip r:embed="rId8" cstate="print"/>
                    <a:stretch>
                      <a:fillRect/>
                    </a:stretch>
                  </pic:blipFill>
                  <pic:spPr>
                    <a:xfrm>
                      <a:off x="0" y="0"/>
                      <a:ext cx="780796" cy="647573"/>
                    </a:xfrm>
                    <a:prstGeom prst="rect">
                      <a:avLst/>
                    </a:prstGeom>
                    <a:ln>
                      <a:noFill/>
                    </a:ln>
                    <a:effectLst>
                      <a:softEdge rad="112500"/>
                    </a:effectLst>
                  </pic:spPr>
                </pic:pic>
              </a:graphicData>
            </a:graphic>
          </wp:anchor>
        </w:drawing>
      </w:r>
      <w:r w:rsidR="00E01F0B">
        <w:rPr>
          <w:noProof/>
          <w:lang w:eastAsia="sk-SK"/>
        </w:rPr>
        <w:pict>
          <v:rect id="Rectangle 18" o:spid="_x0000_s1027" style="position:absolute;left:0;text-align:left;margin-left:1.85pt;margin-top:-34.45pt;width:441.7pt;height:61.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" strokecolor="#c2d69b" strokeweight="1pt">
            <v:fill color2="#d6e3bc" focus="100%" type="gradient"/>
            <v:shadow on="t" color="#4e6128" opacity=".5" offset="1pt"/>
          </v:rect>
        </w:pict>
      </w:r>
    </w:p>
    <w:p w:rsidR="007F1BA3" w:rsidRPr="00200096" w:rsidRDefault="007F1BA3"/>
    <w:p w:rsidR="007F1BA3" w:rsidRPr="00200096" w:rsidRDefault="007F1BA3"/>
    <w:p w:rsidR="007F1BA3" w:rsidRDefault="007F1BA3"/>
    <w:p w:rsidR="007F1BA3" w:rsidRDefault="007F1BA3"/>
    <w:p w:rsidR="007F1BA3" w:rsidRDefault="007F1BA3"/>
    <w:p w:rsidR="007F1BA3" w:rsidRDefault="007F1BA3"/>
    <w:p w:rsidR="007F1BA3" w:rsidRDefault="007F1BA3"/>
    <w:p w:rsidR="007F1BA3" w:rsidRDefault="007F1BA3"/>
    <w:p w:rsidR="007F1BA3" w:rsidRPr="00200096" w:rsidRDefault="007F1BA3"/>
    <w:p w:rsidR="007F1BA3" w:rsidRPr="00200096" w:rsidRDefault="007F1BA3"/>
    <w:p w:rsidR="007F1BA3" w:rsidRPr="00200096" w:rsidRDefault="007F1BA3"/>
    <w:p w:rsidR="007F1BA3" w:rsidRPr="00025911" w:rsidRDefault="007F1BA3" w:rsidP="0087458C">
      <w:pPr>
        <w:jc w:val="center"/>
        <w:rPr>
          <w:b/>
          <w:color w:val="005C00"/>
          <w:sz w:val="48"/>
          <w:szCs w:val="48"/>
        </w:rPr>
      </w:pPr>
      <w:r w:rsidRPr="00025911">
        <w:rPr>
          <w:b/>
          <w:color w:val="005C00"/>
          <w:sz w:val="48"/>
          <w:szCs w:val="48"/>
        </w:rPr>
        <w:t>Program predchádzania vzniku odpadu SR</w:t>
      </w:r>
    </w:p>
    <w:p w:rsidR="007F1BA3" w:rsidRPr="00200096" w:rsidRDefault="007F1BA3"/>
    <w:p w:rsidR="007F1BA3" w:rsidRDefault="007F1BA3"/>
    <w:p w:rsidR="007F1BA3" w:rsidRDefault="007F1BA3"/>
    <w:p w:rsidR="007F1BA3" w:rsidRPr="00200096" w:rsidRDefault="007F1BA3"/>
    <w:p w:rsidR="007F1BA3" w:rsidRPr="00200096" w:rsidRDefault="007F1BA3"/>
    <w:p w:rsidR="007F1BA3" w:rsidRPr="00200096" w:rsidRDefault="007F1BA3"/>
    <w:p w:rsidR="007F1BA3" w:rsidRPr="00200096" w:rsidRDefault="007F1BA3"/>
    <w:p w:rsidR="007F1BA3" w:rsidRPr="00200096" w:rsidRDefault="007F1BA3"/>
    <w:p w:rsidR="007F1BA3" w:rsidRPr="00200096" w:rsidRDefault="007F1BA3"/>
    <w:p w:rsidR="007F1BA3" w:rsidRPr="00200096" w:rsidRDefault="007F1BA3"/>
    <w:p w:rsidR="007F1BA3" w:rsidRPr="00200096" w:rsidRDefault="007F1BA3">
      <w:r w:rsidRPr="00200096">
        <w:t>V</w:t>
      </w:r>
      <w:r w:rsidR="0079582C">
        <w:t> </w:t>
      </w:r>
      <w:r w:rsidRPr="00200096">
        <w:t>Bratislave</w:t>
      </w:r>
      <w:r w:rsidR="0079582C">
        <w:t>,</w:t>
      </w:r>
      <w:r w:rsidRPr="00200096">
        <w:t xml:space="preserve"> </w:t>
      </w:r>
      <w:r w:rsidR="0079582C">
        <w:t>december</w:t>
      </w:r>
      <w:r>
        <w:t xml:space="preserve"> 2013</w:t>
      </w:r>
    </w:p>
    <w:p w:rsidR="007F1BA3" w:rsidRPr="00200096" w:rsidRDefault="007F1BA3" w:rsidP="008C1AE6">
      <w:pPr>
        <w:pStyle w:val="Nadpis1"/>
      </w:pPr>
      <w:r w:rsidRPr="00200096">
        <w:br w:type="page"/>
      </w:r>
      <w:bookmarkStart w:id="0" w:name="_Toc347660858"/>
      <w:bookmarkStart w:id="1" w:name="_Toc347672584"/>
      <w:bookmarkStart w:id="2" w:name="_Toc356292942"/>
      <w:r w:rsidRPr="00200096">
        <w:lastRenderedPageBreak/>
        <w:t>Obsah</w:t>
      </w:r>
      <w:bookmarkEnd w:id="0"/>
      <w:bookmarkEnd w:id="1"/>
      <w:bookmarkEnd w:id="2"/>
    </w:p>
    <w:p w:rsidR="007F1BA3" w:rsidRDefault="007F1BA3" w:rsidP="00B75AD1">
      <w:pPr>
        <w:pStyle w:val="Obsah1"/>
      </w:pPr>
    </w:p>
    <w:p w:rsidR="007F1BA3" w:rsidRDefault="00E01F0B" w:rsidP="00B75AD1">
      <w:pPr>
        <w:pStyle w:val="Obsah1"/>
        <w:rPr>
          <w:b/>
        </w:rPr>
      </w:pPr>
      <w:r>
        <w:fldChar w:fldCharType="begin"/>
      </w:r>
      <w:r w:rsidR="007F1BA3">
        <w:instrText xml:space="preserve"> TOC \o "1-3" \h \z \u </w:instrText>
      </w:r>
      <w:r>
        <w:fldChar w:fldCharType="separate"/>
      </w:r>
      <w:hyperlink w:anchor="_Toc356292942" w:history="1">
        <w:r w:rsidR="007F1BA3" w:rsidRPr="009509A0">
          <w:rPr>
            <w:rStyle w:val="Hypertextovprepojenie"/>
          </w:rPr>
          <w:t>Obsah</w:t>
        </w:r>
        <w:r w:rsidR="007F1BA3">
          <w:rPr>
            <w:webHidden/>
          </w:rPr>
          <w:tab/>
        </w:r>
        <w:r>
          <w:rPr>
            <w:webHidden/>
          </w:rPr>
          <w:fldChar w:fldCharType="begin"/>
        </w:r>
        <w:r w:rsidR="007F1BA3">
          <w:rPr>
            <w:webHidden/>
          </w:rPr>
          <w:instrText xml:space="preserve"> PAGEREF _Toc356292942 \h </w:instrText>
        </w:r>
        <w:r>
          <w:rPr>
            <w:webHidden/>
          </w:rPr>
        </w:r>
        <w:r>
          <w:rPr>
            <w:webHidden/>
          </w:rPr>
          <w:fldChar w:fldCharType="separate"/>
        </w:r>
        <w:r w:rsidR="001872A2">
          <w:rPr>
            <w:webHidden/>
          </w:rPr>
          <w:t>2</w:t>
        </w:r>
        <w:r>
          <w:rPr>
            <w:webHidden/>
          </w:rPr>
          <w:fldChar w:fldCharType="end"/>
        </w:r>
      </w:hyperlink>
    </w:p>
    <w:p w:rsidR="007F1BA3" w:rsidRDefault="00E01F0B" w:rsidP="00B75AD1">
      <w:pPr>
        <w:pStyle w:val="Obsah1"/>
        <w:rPr>
          <w:b/>
        </w:rPr>
      </w:pPr>
      <w:hyperlink w:anchor="_Toc356292943" w:history="1">
        <w:r w:rsidR="007F1BA3" w:rsidRPr="009509A0">
          <w:rPr>
            <w:rStyle w:val="Hypertextovprepojenie"/>
          </w:rPr>
          <w:t>Použité skratky</w:t>
        </w:r>
        <w:r w:rsidR="007F1BA3">
          <w:rPr>
            <w:webHidden/>
          </w:rPr>
          <w:tab/>
        </w:r>
        <w:r>
          <w:rPr>
            <w:webHidden/>
          </w:rPr>
          <w:fldChar w:fldCharType="begin"/>
        </w:r>
        <w:r w:rsidR="007F1BA3">
          <w:rPr>
            <w:webHidden/>
          </w:rPr>
          <w:instrText xml:space="preserve"> PAGEREF _Toc356292943 \h </w:instrText>
        </w:r>
        <w:r>
          <w:rPr>
            <w:webHidden/>
          </w:rPr>
        </w:r>
        <w:r>
          <w:rPr>
            <w:webHidden/>
          </w:rPr>
          <w:fldChar w:fldCharType="separate"/>
        </w:r>
        <w:r w:rsidR="001872A2">
          <w:rPr>
            <w:webHidden/>
          </w:rPr>
          <w:t>3</w:t>
        </w:r>
        <w:r>
          <w:rPr>
            <w:webHidden/>
          </w:rPr>
          <w:fldChar w:fldCharType="end"/>
        </w:r>
      </w:hyperlink>
    </w:p>
    <w:p w:rsidR="007F1BA3" w:rsidRDefault="00E01F0B" w:rsidP="00B75AD1">
      <w:pPr>
        <w:pStyle w:val="Obsah1"/>
        <w:rPr>
          <w:b/>
        </w:rPr>
      </w:pPr>
      <w:hyperlink w:anchor="_Toc356292944" w:history="1">
        <w:r w:rsidR="007F1BA3" w:rsidRPr="009509A0">
          <w:rPr>
            <w:rStyle w:val="Hypertextovprepojenie"/>
          </w:rPr>
          <w:t>1</w:t>
        </w:r>
        <w:r w:rsidR="007F1BA3">
          <w:tab/>
        </w:r>
        <w:r w:rsidR="007F1BA3" w:rsidRPr="009509A0">
          <w:rPr>
            <w:rStyle w:val="Hypertextovprepojenie"/>
          </w:rPr>
          <w:t>Úvod</w:t>
        </w:r>
        <w:r w:rsidR="007F1BA3">
          <w:rPr>
            <w:webHidden/>
          </w:rPr>
          <w:tab/>
        </w:r>
        <w:r>
          <w:rPr>
            <w:webHidden/>
          </w:rPr>
          <w:fldChar w:fldCharType="begin"/>
        </w:r>
        <w:r w:rsidR="007F1BA3">
          <w:rPr>
            <w:webHidden/>
          </w:rPr>
          <w:instrText xml:space="preserve"> PAGEREF _Toc356292944 \h </w:instrText>
        </w:r>
        <w:r>
          <w:rPr>
            <w:webHidden/>
          </w:rPr>
        </w:r>
        <w:r>
          <w:rPr>
            <w:webHidden/>
          </w:rPr>
          <w:fldChar w:fldCharType="separate"/>
        </w:r>
        <w:r w:rsidR="001872A2">
          <w:rPr>
            <w:webHidden/>
          </w:rPr>
          <w:t>5</w:t>
        </w:r>
        <w:r>
          <w:rPr>
            <w:webHidden/>
          </w:rPr>
          <w:fldChar w:fldCharType="end"/>
        </w:r>
      </w:hyperlink>
    </w:p>
    <w:p w:rsidR="007F1BA3" w:rsidRDefault="00E01F0B" w:rsidP="00B75AD1">
      <w:pPr>
        <w:pStyle w:val="Obsah1"/>
        <w:rPr>
          <w:b/>
        </w:rPr>
      </w:pPr>
      <w:hyperlink w:anchor="_Toc356292945" w:history="1">
        <w:r w:rsidR="007F1BA3" w:rsidRPr="009509A0">
          <w:rPr>
            <w:rStyle w:val="Hypertextovprepojenie"/>
          </w:rPr>
          <w:t>2</w:t>
        </w:r>
        <w:r w:rsidR="007F1BA3">
          <w:tab/>
        </w:r>
        <w:r w:rsidR="007F1BA3" w:rsidRPr="009509A0">
          <w:rPr>
            <w:rStyle w:val="Hypertextovprepojenie"/>
          </w:rPr>
          <w:t>Analýza súčasného stavu</w:t>
        </w:r>
        <w:r w:rsidR="007F1BA3">
          <w:rPr>
            <w:webHidden/>
          </w:rPr>
          <w:tab/>
        </w:r>
        <w:r>
          <w:rPr>
            <w:webHidden/>
          </w:rPr>
          <w:fldChar w:fldCharType="begin"/>
        </w:r>
        <w:r w:rsidR="007F1BA3">
          <w:rPr>
            <w:webHidden/>
          </w:rPr>
          <w:instrText xml:space="preserve"> PAGEREF _Toc356292945 \h </w:instrText>
        </w:r>
        <w:r>
          <w:rPr>
            <w:webHidden/>
          </w:rPr>
        </w:r>
        <w:r>
          <w:rPr>
            <w:webHidden/>
          </w:rPr>
          <w:fldChar w:fldCharType="separate"/>
        </w:r>
        <w:r w:rsidR="001872A2">
          <w:rPr>
            <w:webHidden/>
          </w:rPr>
          <w:t>7</w:t>
        </w:r>
        <w:r>
          <w:rPr>
            <w:webHidden/>
          </w:rPr>
          <w:fldChar w:fldCharType="end"/>
        </w:r>
      </w:hyperlink>
    </w:p>
    <w:p w:rsidR="007F1BA3" w:rsidRDefault="00E01F0B">
      <w:pPr>
        <w:pStyle w:val="Obsah2"/>
        <w:rPr>
          <w:noProof/>
          <w:lang w:eastAsia="sk-SK"/>
        </w:rPr>
      </w:pPr>
      <w:hyperlink w:anchor="_Toc356292946" w:history="1">
        <w:r w:rsidR="007F1BA3" w:rsidRPr="009509A0">
          <w:rPr>
            <w:rStyle w:val="Hypertextovprepojenie"/>
            <w:noProof/>
          </w:rPr>
          <w:t>2.1</w:t>
        </w:r>
        <w:r w:rsidR="007F1BA3">
          <w:rPr>
            <w:noProof/>
            <w:lang w:eastAsia="sk-SK"/>
          </w:rPr>
          <w:tab/>
        </w:r>
        <w:r w:rsidR="007F1BA3" w:rsidRPr="009509A0">
          <w:rPr>
            <w:rStyle w:val="Hypertextovprepojenie"/>
            <w:noProof/>
          </w:rPr>
          <w:t>Právna úprava predchádzania vzniku odpadu</w:t>
        </w:r>
        <w:r w:rsidR="007F1BA3">
          <w:rPr>
            <w:noProof/>
            <w:webHidden/>
          </w:rPr>
          <w:tab/>
        </w:r>
        <w:r>
          <w:rPr>
            <w:noProof/>
            <w:webHidden/>
          </w:rPr>
          <w:fldChar w:fldCharType="begin"/>
        </w:r>
        <w:r w:rsidR="007F1BA3">
          <w:rPr>
            <w:noProof/>
            <w:webHidden/>
          </w:rPr>
          <w:instrText xml:space="preserve"> PAGEREF _Toc356292946 \h </w:instrText>
        </w:r>
        <w:r>
          <w:rPr>
            <w:noProof/>
            <w:webHidden/>
          </w:rPr>
        </w:r>
        <w:r>
          <w:rPr>
            <w:noProof/>
            <w:webHidden/>
          </w:rPr>
          <w:fldChar w:fldCharType="separate"/>
        </w:r>
        <w:r w:rsidR="001872A2">
          <w:rPr>
            <w:noProof/>
            <w:webHidden/>
          </w:rPr>
          <w:t>7</w:t>
        </w:r>
        <w:r>
          <w:rPr>
            <w:noProof/>
            <w:webHidden/>
          </w:rPr>
          <w:fldChar w:fldCharType="end"/>
        </w:r>
      </w:hyperlink>
    </w:p>
    <w:p w:rsidR="007F1BA3" w:rsidRDefault="00E01F0B">
      <w:pPr>
        <w:pStyle w:val="Obsah2"/>
        <w:rPr>
          <w:noProof/>
          <w:lang w:eastAsia="sk-SK"/>
        </w:rPr>
      </w:pPr>
      <w:hyperlink w:anchor="_Toc356292947" w:history="1">
        <w:r w:rsidR="007F1BA3" w:rsidRPr="009509A0">
          <w:rPr>
            <w:rStyle w:val="Hypertextovprepojenie"/>
            <w:noProof/>
          </w:rPr>
          <w:t xml:space="preserve">2.2 </w:t>
        </w:r>
        <w:r w:rsidR="007F1BA3">
          <w:rPr>
            <w:noProof/>
            <w:lang w:eastAsia="sk-SK"/>
          </w:rPr>
          <w:tab/>
        </w:r>
        <w:r w:rsidR="007F1BA3" w:rsidRPr="009509A0">
          <w:rPr>
            <w:rStyle w:val="Hypertextovprepojenie"/>
            <w:noProof/>
          </w:rPr>
          <w:t>Vznik odpadov v SR</w:t>
        </w:r>
        <w:r w:rsidR="007F1BA3">
          <w:rPr>
            <w:noProof/>
            <w:webHidden/>
          </w:rPr>
          <w:tab/>
        </w:r>
        <w:r>
          <w:rPr>
            <w:noProof/>
            <w:webHidden/>
          </w:rPr>
          <w:fldChar w:fldCharType="begin"/>
        </w:r>
        <w:r w:rsidR="007F1BA3">
          <w:rPr>
            <w:noProof/>
            <w:webHidden/>
          </w:rPr>
          <w:instrText xml:space="preserve"> PAGEREF _Toc356292947 \h </w:instrText>
        </w:r>
        <w:r>
          <w:rPr>
            <w:noProof/>
            <w:webHidden/>
          </w:rPr>
        </w:r>
        <w:r>
          <w:rPr>
            <w:noProof/>
            <w:webHidden/>
          </w:rPr>
          <w:fldChar w:fldCharType="separate"/>
        </w:r>
        <w:r w:rsidR="001872A2">
          <w:rPr>
            <w:noProof/>
            <w:webHidden/>
          </w:rPr>
          <w:t>9</w:t>
        </w:r>
        <w:r>
          <w:rPr>
            <w:noProof/>
            <w:webHidden/>
          </w:rPr>
          <w:fldChar w:fldCharType="end"/>
        </w:r>
      </w:hyperlink>
    </w:p>
    <w:p w:rsidR="007F1BA3" w:rsidRDefault="00E01F0B">
      <w:pPr>
        <w:pStyle w:val="Obsah3"/>
        <w:rPr>
          <w:noProof/>
          <w:lang w:eastAsia="sk-SK"/>
        </w:rPr>
      </w:pPr>
      <w:hyperlink w:anchor="_Toc356292948" w:history="1">
        <w:r w:rsidR="007F1BA3" w:rsidRPr="009509A0">
          <w:rPr>
            <w:rStyle w:val="Hypertextovprepojenie"/>
            <w:noProof/>
          </w:rPr>
          <w:t>2.2.1</w:t>
        </w:r>
        <w:r w:rsidR="007F1BA3">
          <w:rPr>
            <w:noProof/>
            <w:lang w:eastAsia="sk-SK"/>
          </w:rPr>
          <w:tab/>
        </w:r>
        <w:r w:rsidR="007F1BA3" w:rsidRPr="009509A0">
          <w:rPr>
            <w:rStyle w:val="Hypertextovprepojenie"/>
            <w:noProof/>
          </w:rPr>
          <w:t>Vznik odpadov celko</w:t>
        </w:r>
        <w:r w:rsidR="007F1BA3">
          <w:rPr>
            <w:rStyle w:val="Hypertextovprepojenie"/>
            <w:noProof/>
          </w:rPr>
          <w:t>ve</w:t>
        </w:r>
        <w:r w:rsidR="007F1BA3">
          <w:rPr>
            <w:noProof/>
            <w:webHidden/>
          </w:rPr>
          <w:tab/>
        </w:r>
        <w:r>
          <w:rPr>
            <w:noProof/>
            <w:webHidden/>
          </w:rPr>
          <w:fldChar w:fldCharType="begin"/>
        </w:r>
        <w:r w:rsidR="007F1BA3">
          <w:rPr>
            <w:noProof/>
            <w:webHidden/>
          </w:rPr>
          <w:instrText xml:space="preserve"> PAGEREF _Toc356292948 \h </w:instrText>
        </w:r>
        <w:r>
          <w:rPr>
            <w:noProof/>
            <w:webHidden/>
          </w:rPr>
        </w:r>
        <w:r>
          <w:rPr>
            <w:noProof/>
            <w:webHidden/>
          </w:rPr>
          <w:fldChar w:fldCharType="separate"/>
        </w:r>
        <w:r w:rsidR="001872A2">
          <w:rPr>
            <w:noProof/>
            <w:webHidden/>
          </w:rPr>
          <w:t>9</w:t>
        </w:r>
        <w:r>
          <w:rPr>
            <w:noProof/>
            <w:webHidden/>
          </w:rPr>
          <w:fldChar w:fldCharType="end"/>
        </w:r>
      </w:hyperlink>
    </w:p>
    <w:p w:rsidR="007F1BA3" w:rsidRDefault="00E01F0B">
      <w:pPr>
        <w:pStyle w:val="Obsah3"/>
        <w:rPr>
          <w:noProof/>
          <w:lang w:eastAsia="sk-SK"/>
        </w:rPr>
      </w:pPr>
      <w:hyperlink w:anchor="_Toc356292949" w:history="1">
        <w:r w:rsidR="007F1BA3" w:rsidRPr="009509A0">
          <w:rPr>
            <w:rStyle w:val="Hypertextovprepojenie"/>
            <w:noProof/>
          </w:rPr>
          <w:t>2.2.2</w:t>
        </w:r>
        <w:r w:rsidR="007F1BA3">
          <w:rPr>
            <w:noProof/>
            <w:lang w:eastAsia="sk-SK"/>
          </w:rPr>
          <w:tab/>
        </w:r>
        <w:r w:rsidR="007F1BA3" w:rsidRPr="009509A0">
          <w:rPr>
            <w:rStyle w:val="Hypertextovprepojenie"/>
            <w:noProof/>
          </w:rPr>
          <w:t>Vznik a zloženie komunálnych odpadov</w:t>
        </w:r>
        <w:r w:rsidR="007F1BA3">
          <w:rPr>
            <w:noProof/>
            <w:webHidden/>
          </w:rPr>
          <w:tab/>
        </w:r>
        <w:r>
          <w:rPr>
            <w:noProof/>
            <w:webHidden/>
          </w:rPr>
          <w:fldChar w:fldCharType="begin"/>
        </w:r>
        <w:r w:rsidR="007F1BA3">
          <w:rPr>
            <w:noProof/>
            <w:webHidden/>
          </w:rPr>
          <w:instrText xml:space="preserve"> PAGEREF _Toc356292949 \h </w:instrText>
        </w:r>
        <w:r>
          <w:rPr>
            <w:noProof/>
            <w:webHidden/>
          </w:rPr>
        </w:r>
        <w:r>
          <w:rPr>
            <w:noProof/>
            <w:webHidden/>
          </w:rPr>
          <w:fldChar w:fldCharType="separate"/>
        </w:r>
        <w:r w:rsidR="001872A2">
          <w:rPr>
            <w:noProof/>
            <w:webHidden/>
          </w:rPr>
          <w:t>11</w:t>
        </w:r>
        <w:r>
          <w:rPr>
            <w:noProof/>
            <w:webHidden/>
          </w:rPr>
          <w:fldChar w:fldCharType="end"/>
        </w:r>
      </w:hyperlink>
    </w:p>
    <w:p w:rsidR="007F1BA3" w:rsidRDefault="00E01F0B">
      <w:pPr>
        <w:pStyle w:val="Obsah3"/>
        <w:rPr>
          <w:noProof/>
          <w:lang w:eastAsia="sk-SK"/>
        </w:rPr>
      </w:pPr>
      <w:hyperlink w:anchor="_Toc356292950" w:history="1">
        <w:r w:rsidR="007F1BA3" w:rsidRPr="009509A0">
          <w:rPr>
            <w:rStyle w:val="Hypertextovprepojenie"/>
            <w:noProof/>
            <w:lang w:eastAsia="sk-SK"/>
          </w:rPr>
          <w:t>2.2.3</w:t>
        </w:r>
        <w:r w:rsidR="007F1BA3">
          <w:rPr>
            <w:noProof/>
            <w:lang w:eastAsia="sk-SK"/>
          </w:rPr>
          <w:tab/>
        </w:r>
        <w:r w:rsidR="007F1BA3" w:rsidRPr="009509A0">
          <w:rPr>
            <w:rStyle w:val="Hypertextovprepojenie"/>
            <w:noProof/>
            <w:lang w:eastAsia="sk-SK"/>
          </w:rPr>
          <w:t>Vznik biologicky rozložiteľných komunálnych odpadov</w:t>
        </w:r>
        <w:r w:rsidR="007F1BA3">
          <w:rPr>
            <w:noProof/>
            <w:webHidden/>
          </w:rPr>
          <w:tab/>
        </w:r>
        <w:r>
          <w:rPr>
            <w:noProof/>
            <w:webHidden/>
          </w:rPr>
          <w:fldChar w:fldCharType="begin"/>
        </w:r>
        <w:r w:rsidR="007F1BA3">
          <w:rPr>
            <w:noProof/>
            <w:webHidden/>
          </w:rPr>
          <w:instrText xml:space="preserve"> PAGEREF _Toc356292950 \h </w:instrText>
        </w:r>
        <w:r>
          <w:rPr>
            <w:noProof/>
            <w:webHidden/>
          </w:rPr>
        </w:r>
        <w:r>
          <w:rPr>
            <w:noProof/>
            <w:webHidden/>
          </w:rPr>
          <w:fldChar w:fldCharType="separate"/>
        </w:r>
        <w:r w:rsidR="001872A2">
          <w:rPr>
            <w:noProof/>
            <w:webHidden/>
          </w:rPr>
          <w:t>14</w:t>
        </w:r>
        <w:r>
          <w:rPr>
            <w:noProof/>
            <w:webHidden/>
          </w:rPr>
          <w:fldChar w:fldCharType="end"/>
        </w:r>
      </w:hyperlink>
    </w:p>
    <w:p w:rsidR="007F1BA3" w:rsidRDefault="00E01F0B">
      <w:pPr>
        <w:pStyle w:val="Obsah3"/>
        <w:rPr>
          <w:noProof/>
          <w:lang w:eastAsia="sk-SK"/>
        </w:rPr>
      </w:pPr>
      <w:hyperlink w:anchor="_Toc356292951" w:history="1">
        <w:r w:rsidR="007F1BA3" w:rsidRPr="009509A0">
          <w:rPr>
            <w:rStyle w:val="Hypertextovprepojenie"/>
            <w:noProof/>
            <w:lang w:eastAsia="sk-SK"/>
          </w:rPr>
          <w:t>2.2.4</w:t>
        </w:r>
        <w:r w:rsidR="007F1BA3">
          <w:rPr>
            <w:noProof/>
            <w:lang w:eastAsia="sk-SK"/>
          </w:rPr>
          <w:tab/>
        </w:r>
        <w:r w:rsidR="007F1BA3" w:rsidRPr="009509A0">
          <w:rPr>
            <w:rStyle w:val="Hypertextovprepojenie"/>
            <w:noProof/>
            <w:lang w:eastAsia="sk-SK"/>
          </w:rPr>
          <w:t>Vznik odpadu z papiera</w:t>
        </w:r>
        <w:r w:rsidR="007F1BA3">
          <w:rPr>
            <w:noProof/>
            <w:webHidden/>
          </w:rPr>
          <w:tab/>
        </w:r>
        <w:r>
          <w:rPr>
            <w:noProof/>
            <w:webHidden/>
          </w:rPr>
          <w:fldChar w:fldCharType="begin"/>
        </w:r>
        <w:r w:rsidR="007F1BA3">
          <w:rPr>
            <w:noProof/>
            <w:webHidden/>
          </w:rPr>
          <w:instrText xml:space="preserve"> PAGEREF _Toc356292951 \h </w:instrText>
        </w:r>
        <w:r>
          <w:rPr>
            <w:noProof/>
            <w:webHidden/>
          </w:rPr>
        </w:r>
        <w:r>
          <w:rPr>
            <w:noProof/>
            <w:webHidden/>
          </w:rPr>
          <w:fldChar w:fldCharType="separate"/>
        </w:r>
        <w:r w:rsidR="001872A2">
          <w:rPr>
            <w:noProof/>
            <w:webHidden/>
          </w:rPr>
          <w:t>15</w:t>
        </w:r>
        <w:r>
          <w:rPr>
            <w:noProof/>
            <w:webHidden/>
          </w:rPr>
          <w:fldChar w:fldCharType="end"/>
        </w:r>
      </w:hyperlink>
    </w:p>
    <w:p w:rsidR="007F1BA3" w:rsidRDefault="00E01F0B">
      <w:pPr>
        <w:pStyle w:val="Obsah3"/>
        <w:rPr>
          <w:noProof/>
          <w:lang w:eastAsia="sk-SK"/>
        </w:rPr>
      </w:pPr>
      <w:hyperlink w:anchor="_Toc356292952" w:history="1">
        <w:r w:rsidR="007F1BA3" w:rsidRPr="009509A0">
          <w:rPr>
            <w:rStyle w:val="Hypertextovprepojenie"/>
            <w:noProof/>
            <w:lang w:eastAsia="sk-SK"/>
          </w:rPr>
          <w:t>2.2.5</w:t>
        </w:r>
        <w:r w:rsidR="007F1BA3">
          <w:rPr>
            <w:noProof/>
            <w:lang w:eastAsia="sk-SK"/>
          </w:rPr>
          <w:tab/>
        </w:r>
        <w:r w:rsidR="007F1BA3" w:rsidRPr="009509A0">
          <w:rPr>
            <w:rStyle w:val="Hypertextovprepojenie"/>
            <w:noProof/>
            <w:lang w:eastAsia="sk-SK"/>
          </w:rPr>
          <w:t>Vznik odpadu z obalov</w:t>
        </w:r>
        <w:r w:rsidR="007F1BA3">
          <w:rPr>
            <w:noProof/>
            <w:webHidden/>
          </w:rPr>
          <w:tab/>
        </w:r>
        <w:r>
          <w:rPr>
            <w:noProof/>
            <w:webHidden/>
          </w:rPr>
          <w:fldChar w:fldCharType="begin"/>
        </w:r>
        <w:r w:rsidR="007F1BA3">
          <w:rPr>
            <w:noProof/>
            <w:webHidden/>
          </w:rPr>
          <w:instrText xml:space="preserve"> PAGEREF _Toc356292952 \h </w:instrText>
        </w:r>
        <w:r>
          <w:rPr>
            <w:noProof/>
            <w:webHidden/>
          </w:rPr>
          <w:fldChar w:fldCharType="separate"/>
        </w:r>
        <w:r w:rsidR="001872A2">
          <w:rPr>
            <w:b/>
            <w:bCs/>
            <w:noProof/>
            <w:webHidden/>
          </w:rPr>
          <w:t>Chyba! Záložka nie je definovaná.</w:t>
        </w:r>
        <w:r>
          <w:rPr>
            <w:noProof/>
            <w:webHidden/>
          </w:rPr>
          <w:fldChar w:fldCharType="end"/>
        </w:r>
      </w:hyperlink>
    </w:p>
    <w:p w:rsidR="007F1BA3" w:rsidRDefault="00E01F0B">
      <w:pPr>
        <w:pStyle w:val="Obsah3"/>
        <w:rPr>
          <w:noProof/>
          <w:lang w:eastAsia="sk-SK"/>
        </w:rPr>
      </w:pPr>
      <w:hyperlink w:anchor="_Toc356292953" w:history="1">
        <w:r w:rsidR="007F1BA3" w:rsidRPr="009509A0">
          <w:rPr>
            <w:rStyle w:val="Hypertextovprepojenie"/>
            <w:noProof/>
            <w:lang w:eastAsia="sk-SK"/>
          </w:rPr>
          <w:t>2.2.6</w:t>
        </w:r>
        <w:r w:rsidR="007F1BA3">
          <w:rPr>
            <w:noProof/>
            <w:lang w:eastAsia="sk-SK"/>
          </w:rPr>
          <w:tab/>
        </w:r>
        <w:r w:rsidR="007F1BA3" w:rsidRPr="009509A0">
          <w:rPr>
            <w:rStyle w:val="Hypertextovprepojenie"/>
            <w:noProof/>
            <w:lang w:eastAsia="sk-SK"/>
          </w:rPr>
          <w:t>Vznik stavebných odpadov a odpadov z demolácií</w:t>
        </w:r>
        <w:r w:rsidR="007F1BA3">
          <w:rPr>
            <w:noProof/>
            <w:webHidden/>
          </w:rPr>
          <w:tab/>
        </w:r>
        <w:r>
          <w:rPr>
            <w:noProof/>
            <w:webHidden/>
          </w:rPr>
          <w:fldChar w:fldCharType="begin"/>
        </w:r>
        <w:r w:rsidR="007F1BA3">
          <w:rPr>
            <w:noProof/>
            <w:webHidden/>
          </w:rPr>
          <w:instrText xml:space="preserve"> PAGEREF _Toc356292953 \h </w:instrText>
        </w:r>
        <w:r>
          <w:rPr>
            <w:noProof/>
            <w:webHidden/>
          </w:rPr>
        </w:r>
        <w:r>
          <w:rPr>
            <w:noProof/>
            <w:webHidden/>
          </w:rPr>
          <w:fldChar w:fldCharType="separate"/>
        </w:r>
        <w:r w:rsidR="001872A2">
          <w:rPr>
            <w:noProof/>
            <w:webHidden/>
          </w:rPr>
          <w:t>16</w:t>
        </w:r>
        <w:r>
          <w:rPr>
            <w:noProof/>
            <w:webHidden/>
          </w:rPr>
          <w:fldChar w:fldCharType="end"/>
        </w:r>
      </w:hyperlink>
    </w:p>
    <w:p w:rsidR="007F1BA3" w:rsidRPr="006A3FE8" w:rsidRDefault="00E01F0B" w:rsidP="006A3FE8">
      <w:pPr>
        <w:pStyle w:val="Obsah3"/>
      </w:pPr>
      <w:hyperlink w:anchor="_Toc356292954" w:history="1">
        <w:r w:rsidR="007F1BA3" w:rsidRPr="009509A0">
          <w:rPr>
            <w:rStyle w:val="Hypertextovprepojenie"/>
            <w:noProof/>
            <w:lang w:eastAsia="sk-SK"/>
          </w:rPr>
          <w:t>2.2.7</w:t>
        </w:r>
        <w:r w:rsidR="007F1BA3">
          <w:rPr>
            <w:noProof/>
            <w:lang w:eastAsia="sk-SK"/>
          </w:rPr>
          <w:tab/>
        </w:r>
        <w:r w:rsidR="007F1BA3" w:rsidRPr="009509A0">
          <w:rPr>
            <w:rStyle w:val="Hypertextovprepojenie"/>
            <w:noProof/>
            <w:lang w:eastAsia="sk-SK"/>
          </w:rPr>
          <w:t>Vznik nebezpečných odpadov</w:t>
        </w:r>
        <w:r w:rsidR="007F1BA3">
          <w:rPr>
            <w:noProof/>
            <w:webHidden/>
          </w:rPr>
          <w:tab/>
        </w:r>
        <w:r>
          <w:rPr>
            <w:noProof/>
            <w:webHidden/>
          </w:rPr>
          <w:fldChar w:fldCharType="begin"/>
        </w:r>
        <w:r w:rsidR="007F1BA3">
          <w:rPr>
            <w:noProof/>
            <w:webHidden/>
          </w:rPr>
          <w:instrText xml:space="preserve"> PAGEREF _Toc356292954 \h </w:instrText>
        </w:r>
        <w:r>
          <w:rPr>
            <w:noProof/>
            <w:webHidden/>
          </w:rPr>
        </w:r>
        <w:r>
          <w:rPr>
            <w:noProof/>
            <w:webHidden/>
          </w:rPr>
          <w:fldChar w:fldCharType="separate"/>
        </w:r>
        <w:r w:rsidR="001872A2">
          <w:rPr>
            <w:noProof/>
            <w:webHidden/>
          </w:rPr>
          <w:t>17</w:t>
        </w:r>
        <w:r>
          <w:rPr>
            <w:noProof/>
            <w:webHidden/>
          </w:rPr>
          <w:fldChar w:fldCharType="end"/>
        </w:r>
      </w:hyperlink>
    </w:p>
    <w:p w:rsidR="007F1BA3" w:rsidRPr="00B75AD1" w:rsidRDefault="007F1BA3" w:rsidP="00B75AD1">
      <w:pPr>
        <w:pStyle w:val="Obsah1"/>
        <w:rPr>
          <w:rStyle w:val="Hypertextovprepojenie"/>
          <w:color w:val="auto"/>
          <w:u w:val="none"/>
        </w:rPr>
      </w:pPr>
      <w:r>
        <w:rPr>
          <w:rStyle w:val="Hypertextovprepojenie"/>
          <w:color w:val="auto"/>
          <w:u w:val="none"/>
        </w:rPr>
        <w:t xml:space="preserve">         </w:t>
      </w:r>
      <w:r w:rsidRPr="00B75AD1">
        <w:rPr>
          <w:rStyle w:val="Hypertextovprepojenie"/>
          <w:color w:val="auto"/>
          <w:u w:val="none"/>
        </w:rPr>
        <w:t xml:space="preserve">2.2.8     </w:t>
      </w:r>
      <w:r>
        <w:rPr>
          <w:rStyle w:val="Hypertextovprepojenie"/>
          <w:color w:val="auto"/>
          <w:u w:val="none"/>
        </w:rPr>
        <w:t xml:space="preserve">    </w:t>
      </w:r>
      <w:r w:rsidRPr="00B75AD1">
        <w:rPr>
          <w:rStyle w:val="Hypertextovprepojenie"/>
          <w:color w:val="auto"/>
          <w:u w:val="none"/>
        </w:rPr>
        <w:t>Vznik odpadu z</w:t>
      </w:r>
      <w:r>
        <w:rPr>
          <w:rStyle w:val="Hypertextovprepojenie"/>
          <w:color w:val="auto"/>
          <w:u w:val="none"/>
        </w:rPr>
        <w:t> </w:t>
      </w:r>
      <w:r w:rsidRPr="00B75AD1">
        <w:rPr>
          <w:rStyle w:val="Hypertextovprepojenie"/>
          <w:color w:val="auto"/>
          <w:u w:val="none"/>
        </w:rPr>
        <w:t>ťažobného</w:t>
      </w:r>
      <w:r>
        <w:rPr>
          <w:rStyle w:val="Hypertextovprepojenie"/>
          <w:color w:val="auto"/>
          <w:u w:val="none"/>
        </w:rPr>
        <w:t xml:space="preserve"> </w:t>
      </w:r>
      <w:r w:rsidRPr="00B75AD1">
        <w:rPr>
          <w:rStyle w:val="Hypertextovprepojenie"/>
          <w:color w:val="auto"/>
          <w:u w:val="none"/>
        </w:rPr>
        <w:t>priemyslu......................................................</w:t>
      </w:r>
      <w:r>
        <w:rPr>
          <w:rStyle w:val="Hypertextovprepojenie"/>
          <w:color w:val="auto"/>
          <w:u w:val="none"/>
        </w:rPr>
        <w:t>...............</w:t>
      </w:r>
      <w:r w:rsidRPr="00B75AD1">
        <w:rPr>
          <w:rStyle w:val="Hypertextovprepojenie"/>
          <w:color w:val="auto"/>
          <w:u w:val="none"/>
        </w:rPr>
        <w:t xml:space="preserve">.......22 </w:t>
      </w:r>
    </w:p>
    <w:p w:rsidR="007F1BA3" w:rsidRDefault="00E01F0B">
      <w:pPr>
        <w:pStyle w:val="Obsah2"/>
        <w:rPr>
          <w:noProof/>
          <w:lang w:eastAsia="sk-SK"/>
        </w:rPr>
      </w:pPr>
      <w:hyperlink w:anchor="_Toc356292955" w:history="1">
        <w:r w:rsidR="007F1BA3" w:rsidRPr="009509A0">
          <w:rPr>
            <w:rStyle w:val="Hypertextovprepojenie"/>
            <w:noProof/>
            <w:lang w:eastAsia="sk-SK"/>
          </w:rPr>
          <w:t xml:space="preserve">2.3 </w:t>
        </w:r>
        <w:r w:rsidR="007F1BA3">
          <w:rPr>
            <w:noProof/>
            <w:lang w:eastAsia="sk-SK"/>
          </w:rPr>
          <w:tab/>
        </w:r>
        <w:r w:rsidR="007F1BA3" w:rsidRPr="009509A0">
          <w:rPr>
            <w:rStyle w:val="Hypertextovprepojenie"/>
            <w:noProof/>
            <w:lang w:eastAsia="sk-SK"/>
          </w:rPr>
          <w:t>Predchádzanie vzniku odpadu v SR</w:t>
        </w:r>
        <w:r w:rsidR="007F1BA3">
          <w:rPr>
            <w:noProof/>
            <w:webHidden/>
          </w:rPr>
          <w:tab/>
        </w:r>
        <w:r>
          <w:rPr>
            <w:noProof/>
            <w:webHidden/>
          </w:rPr>
          <w:fldChar w:fldCharType="begin"/>
        </w:r>
        <w:r w:rsidR="007F1BA3">
          <w:rPr>
            <w:noProof/>
            <w:webHidden/>
          </w:rPr>
          <w:instrText xml:space="preserve"> PAGEREF _Toc356292955 \h </w:instrText>
        </w:r>
        <w:r>
          <w:rPr>
            <w:noProof/>
            <w:webHidden/>
          </w:rPr>
        </w:r>
        <w:r>
          <w:rPr>
            <w:noProof/>
            <w:webHidden/>
          </w:rPr>
          <w:fldChar w:fldCharType="separate"/>
        </w:r>
        <w:r w:rsidR="001872A2">
          <w:rPr>
            <w:noProof/>
            <w:webHidden/>
          </w:rPr>
          <w:t>18</w:t>
        </w:r>
        <w:r>
          <w:rPr>
            <w:noProof/>
            <w:webHidden/>
          </w:rPr>
          <w:fldChar w:fldCharType="end"/>
        </w:r>
      </w:hyperlink>
    </w:p>
    <w:p w:rsidR="007F1BA3" w:rsidRDefault="00E01F0B" w:rsidP="00B75AD1">
      <w:pPr>
        <w:pStyle w:val="Obsah1"/>
        <w:rPr>
          <w:b/>
        </w:rPr>
      </w:pPr>
      <w:hyperlink w:anchor="_Toc356292956" w:history="1">
        <w:r w:rsidR="007F1BA3" w:rsidRPr="009509A0">
          <w:rPr>
            <w:rStyle w:val="Hypertextovprepojenie"/>
          </w:rPr>
          <w:t>3</w:t>
        </w:r>
        <w:r w:rsidR="007F1BA3">
          <w:tab/>
        </w:r>
        <w:r w:rsidR="007F1BA3" w:rsidRPr="009509A0">
          <w:rPr>
            <w:rStyle w:val="Hypertextovprepojenie"/>
          </w:rPr>
          <w:t>Vyhodnotenie užitočnosti opatrení odporúčaných EK</w:t>
        </w:r>
        <w:r w:rsidR="007F1BA3">
          <w:rPr>
            <w:webHidden/>
          </w:rPr>
          <w:tab/>
        </w:r>
        <w:r>
          <w:rPr>
            <w:webHidden/>
          </w:rPr>
          <w:fldChar w:fldCharType="begin"/>
        </w:r>
        <w:r w:rsidR="007F1BA3">
          <w:rPr>
            <w:webHidden/>
          </w:rPr>
          <w:instrText xml:space="preserve"> PAGEREF _Toc356292956 \h </w:instrText>
        </w:r>
        <w:r>
          <w:rPr>
            <w:webHidden/>
          </w:rPr>
        </w:r>
        <w:r>
          <w:rPr>
            <w:webHidden/>
          </w:rPr>
          <w:fldChar w:fldCharType="separate"/>
        </w:r>
        <w:r w:rsidR="001872A2">
          <w:rPr>
            <w:webHidden/>
          </w:rPr>
          <w:t>18</w:t>
        </w:r>
        <w:r>
          <w:rPr>
            <w:webHidden/>
          </w:rPr>
          <w:fldChar w:fldCharType="end"/>
        </w:r>
      </w:hyperlink>
    </w:p>
    <w:p w:rsidR="007F1BA3" w:rsidRDefault="00E01F0B">
      <w:pPr>
        <w:pStyle w:val="Obsah2"/>
        <w:rPr>
          <w:noProof/>
          <w:lang w:eastAsia="sk-SK"/>
        </w:rPr>
      </w:pPr>
      <w:hyperlink w:anchor="_Toc356292957" w:history="1">
        <w:r w:rsidR="007F1BA3" w:rsidRPr="009509A0">
          <w:rPr>
            <w:rStyle w:val="Hypertextovprepojenie"/>
            <w:noProof/>
          </w:rPr>
          <w:t>3.1</w:t>
        </w:r>
        <w:r w:rsidR="007F1BA3">
          <w:rPr>
            <w:noProof/>
            <w:lang w:eastAsia="sk-SK"/>
          </w:rPr>
          <w:tab/>
        </w:r>
        <w:r w:rsidR="007F1BA3" w:rsidRPr="009509A0">
          <w:rPr>
            <w:rStyle w:val="Hypertextovprepojenie"/>
            <w:noProof/>
          </w:rPr>
          <w:t>Opatrenia, ktoré môžu ovplyvniť rámcové podmienky týkajúce sa vzniku odpadu</w:t>
        </w:r>
        <w:r w:rsidR="007F1BA3">
          <w:rPr>
            <w:noProof/>
            <w:webHidden/>
          </w:rPr>
          <w:tab/>
        </w:r>
        <w:r>
          <w:rPr>
            <w:noProof/>
            <w:webHidden/>
          </w:rPr>
          <w:fldChar w:fldCharType="begin"/>
        </w:r>
        <w:r w:rsidR="007F1BA3">
          <w:rPr>
            <w:noProof/>
            <w:webHidden/>
          </w:rPr>
          <w:instrText xml:space="preserve"> PAGEREF _Toc356292957 \h </w:instrText>
        </w:r>
        <w:r>
          <w:rPr>
            <w:noProof/>
            <w:webHidden/>
          </w:rPr>
        </w:r>
        <w:r>
          <w:rPr>
            <w:noProof/>
            <w:webHidden/>
          </w:rPr>
          <w:fldChar w:fldCharType="separate"/>
        </w:r>
        <w:r w:rsidR="001872A2">
          <w:rPr>
            <w:noProof/>
            <w:webHidden/>
          </w:rPr>
          <w:t>19</w:t>
        </w:r>
        <w:r>
          <w:rPr>
            <w:noProof/>
            <w:webHidden/>
          </w:rPr>
          <w:fldChar w:fldCharType="end"/>
        </w:r>
      </w:hyperlink>
    </w:p>
    <w:p w:rsidR="007F1BA3" w:rsidRDefault="00E01F0B">
      <w:pPr>
        <w:pStyle w:val="Obsah3"/>
        <w:rPr>
          <w:noProof/>
          <w:lang w:eastAsia="sk-SK"/>
        </w:rPr>
      </w:pPr>
      <w:hyperlink w:anchor="_Toc356292958" w:history="1">
        <w:r w:rsidR="007F1BA3" w:rsidRPr="009509A0">
          <w:rPr>
            <w:rStyle w:val="Hypertextovprepojenie"/>
            <w:noProof/>
          </w:rPr>
          <w:t>3.1.1</w:t>
        </w:r>
        <w:r w:rsidR="007F1BA3">
          <w:rPr>
            <w:noProof/>
            <w:lang w:eastAsia="sk-SK"/>
          </w:rPr>
          <w:tab/>
        </w:r>
        <w:r w:rsidR="007F1BA3" w:rsidRPr="009509A0">
          <w:rPr>
            <w:rStyle w:val="Hypertextovprepojenie"/>
            <w:noProof/>
          </w:rPr>
          <w:t>Používanie plánovacích opatrení alebo iných hospodárskych nástrojov podporujúcich efektívne využívanie zdrojov</w:t>
        </w:r>
        <w:r w:rsidR="007F1BA3">
          <w:rPr>
            <w:noProof/>
            <w:webHidden/>
          </w:rPr>
          <w:tab/>
        </w:r>
        <w:r>
          <w:rPr>
            <w:noProof/>
            <w:webHidden/>
          </w:rPr>
          <w:fldChar w:fldCharType="begin"/>
        </w:r>
        <w:r w:rsidR="007F1BA3">
          <w:rPr>
            <w:noProof/>
            <w:webHidden/>
          </w:rPr>
          <w:instrText xml:space="preserve"> PAGEREF _Toc356292958 \h </w:instrText>
        </w:r>
        <w:r>
          <w:rPr>
            <w:noProof/>
            <w:webHidden/>
          </w:rPr>
        </w:r>
        <w:r>
          <w:rPr>
            <w:noProof/>
            <w:webHidden/>
          </w:rPr>
          <w:fldChar w:fldCharType="separate"/>
        </w:r>
        <w:r w:rsidR="001872A2">
          <w:rPr>
            <w:noProof/>
            <w:webHidden/>
          </w:rPr>
          <w:t>19</w:t>
        </w:r>
        <w:r>
          <w:rPr>
            <w:noProof/>
            <w:webHidden/>
          </w:rPr>
          <w:fldChar w:fldCharType="end"/>
        </w:r>
      </w:hyperlink>
    </w:p>
    <w:p w:rsidR="007F1BA3" w:rsidRDefault="00E01F0B">
      <w:pPr>
        <w:pStyle w:val="Obsah3"/>
        <w:rPr>
          <w:noProof/>
          <w:lang w:eastAsia="sk-SK"/>
        </w:rPr>
      </w:pPr>
      <w:hyperlink w:anchor="_Toc356292959" w:history="1">
        <w:r w:rsidR="007F1BA3" w:rsidRPr="009509A0">
          <w:rPr>
            <w:rStyle w:val="Hypertextovprepojenie"/>
            <w:noProof/>
          </w:rPr>
          <w:t>3.1.2</w:t>
        </w:r>
        <w:r w:rsidR="007F1BA3">
          <w:rPr>
            <w:noProof/>
            <w:lang w:eastAsia="sk-SK"/>
          </w:rPr>
          <w:tab/>
        </w:r>
        <w:r w:rsidR="007F1BA3" w:rsidRPr="009509A0">
          <w:rPr>
            <w:rStyle w:val="Hypertextovprepojenie"/>
            <w:noProof/>
          </w:rPr>
          <w:t>Podpora výskumu a vývoja v oblasti dosahovania čistejších výrobkov a technológií</w:t>
        </w:r>
        <w:r w:rsidR="007F1BA3">
          <w:rPr>
            <w:noProof/>
            <w:webHidden/>
          </w:rPr>
          <w:tab/>
        </w:r>
        <w:r>
          <w:rPr>
            <w:noProof/>
            <w:webHidden/>
          </w:rPr>
          <w:fldChar w:fldCharType="begin"/>
        </w:r>
        <w:r w:rsidR="007F1BA3">
          <w:rPr>
            <w:noProof/>
            <w:webHidden/>
          </w:rPr>
          <w:instrText xml:space="preserve"> PAGEREF _Toc356292959 \h </w:instrText>
        </w:r>
        <w:r>
          <w:rPr>
            <w:noProof/>
            <w:webHidden/>
          </w:rPr>
        </w:r>
        <w:r>
          <w:rPr>
            <w:noProof/>
            <w:webHidden/>
          </w:rPr>
          <w:fldChar w:fldCharType="separate"/>
        </w:r>
        <w:r w:rsidR="001872A2">
          <w:rPr>
            <w:noProof/>
            <w:webHidden/>
          </w:rPr>
          <w:t>22</w:t>
        </w:r>
        <w:r>
          <w:rPr>
            <w:noProof/>
            <w:webHidden/>
          </w:rPr>
          <w:fldChar w:fldCharType="end"/>
        </w:r>
      </w:hyperlink>
    </w:p>
    <w:p w:rsidR="007F1BA3" w:rsidRDefault="00E01F0B">
      <w:pPr>
        <w:pStyle w:val="Obsah3"/>
        <w:rPr>
          <w:noProof/>
          <w:lang w:eastAsia="sk-SK"/>
        </w:rPr>
      </w:pPr>
      <w:hyperlink w:anchor="_Toc356292960" w:history="1">
        <w:r w:rsidR="007F1BA3" w:rsidRPr="009509A0">
          <w:rPr>
            <w:rStyle w:val="Hypertextovprepojenie"/>
            <w:noProof/>
          </w:rPr>
          <w:t>3.1.3</w:t>
        </w:r>
        <w:r w:rsidR="007F1BA3">
          <w:rPr>
            <w:noProof/>
            <w:lang w:eastAsia="sk-SK"/>
          </w:rPr>
          <w:tab/>
        </w:r>
        <w:r w:rsidR="007F1BA3" w:rsidRPr="009509A0">
          <w:rPr>
            <w:rStyle w:val="Hypertextovprepojenie"/>
            <w:noProof/>
          </w:rPr>
          <w:t>Vývoj účinných ukazovateľov environmentálnych tlakov spojených so vznikom odpadu, ktoré majú prispieť k predchádzaniu vzniku odpadu</w:t>
        </w:r>
        <w:r w:rsidR="007F1BA3">
          <w:rPr>
            <w:noProof/>
            <w:webHidden/>
          </w:rPr>
          <w:tab/>
        </w:r>
        <w:r>
          <w:rPr>
            <w:noProof/>
            <w:webHidden/>
          </w:rPr>
          <w:fldChar w:fldCharType="begin"/>
        </w:r>
        <w:r w:rsidR="007F1BA3">
          <w:rPr>
            <w:noProof/>
            <w:webHidden/>
          </w:rPr>
          <w:instrText xml:space="preserve"> PAGEREF _Toc356292960 \h </w:instrText>
        </w:r>
        <w:r>
          <w:rPr>
            <w:noProof/>
            <w:webHidden/>
          </w:rPr>
        </w:r>
        <w:r>
          <w:rPr>
            <w:noProof/>
            <w:webHidden/>
          </w:rPr>
          <w:fldChar w:fldCharType="separate"/>
        </w:r>
        <w:r w:rsidR="001872A2">
          <w:rPr>
            <w:noProof/>
            <w:webHidden/>
          </w:rPr>
          <w:t>23</w:t>
        </w:r>
        <w:r>
          <w:rPr>
            <w:noProof/>
            <w:webHidden/>
          </w:rPr>
          <w:fldChar w:fldCharType="end"/>
        </w:r>
      </w:hyperlink>
    </w:p>
    <w:p w:rsidR="007F1BA3" w:rsidRDefault="00E01F0B">
      <w:pPr>
        <w:pStyle w:val="Obsah2"/>
        <w:rPr>
          <w:noProof/>
          <w:lang w:eastAsia="sk-SK"/>
        </w:rPr>
      </w:pPr>
      <w:hyperlink w:anchor="_Toc356292961" w:history="1">
        <w:r w:rsidR="007F1BA3" w:rsidRPr="009509A0">
          <w:rPr>
            <w:rStyle w:val="Hypertextovprepojenie"/>
            <w:noProof/>
          </w:rPr>
          <w:t>3.2</w:t>
        </w:r>
        <w:r w:rsidR="007F1BA3">
          <w:rPr>
            <w:noProof/>
            <w:lang w:eastAsia="sk-SK"/>
          </w:rPr>
          <w:tab/>
        </w:r>
        <w:r w:rsidR="007F1BA3" w:rsidRPr="009509A0">
          <w:rPr>
            <w:rStyle w:val="Hypertextovprepojenie"/>
            <w:noProof/>
          </w:rPr>
          <w:t>Opatrenia, ktoré môžu ovplyvniť štádium navrhovania a výroby a distribúcie</w:t>
        </w:r>
        <w:r w:rsidR="007F1BA3">
          <w:rPr>
            <w:noProof/>
            <w:webHidden/>
          </w:rPr>
          <w:tab/>
        </w:r>
        <w:r>
          <w:rPr>
            <w:noProof/>
            <w:webHidden/>
          </w:rPr>
          <w:fldChar w:fldCharType="begin"/>
        </w:r>
        <w:r w:rsidR="007F1BA3">
          <w:rPr>
            <w:noProof/>
            <w:webHidden/>
          </w:rPr>
          <w:instrText xml:space="preserve"> PAGEREF _Toc356292961 \h </w:instrText>
        </w:r>
        <w:r>
          <w:rPr>
            <w:noProof/>
            <w:webHidden/>
          </w:rPr>
        </w:r>
        <w:r>
          <w:rPr>
            <w:noProof/>
            <w:webHidden/>
          </w:rPr>
          <w:fldChar w:fldCharType="separate"/>
        </w:r>
        <w:r w:rsidR="001872A2">
          <w:rPr>
            <w:noProof/>
            <w:webHidden/>
          </w:rPr>
          <w:t>24</w:t>
        </w:r>
        <w:r>
          <w:rPr>
            <w:noProof/>
            <w:webHidden/>
          </w:rPr>
          <w:fldChar w:fldCharType="end"/>
        </w:r>
      </w:hyperlink>
    </w:p>
    <w:p w:rsidR="007F1BA3" w:rsidRDefault="00E01F0B">
      <w:pPr>
        <w:pStyle w:val="Obsah3"/>
        <w:rPr>
          <w:noProof/>
          <w:lang w:eastAsia="sk-SK"/>
        </w:rPr>
      </w:pPr>
      <w:hyperlink w:anchor="_Toc356292962" w:history="1">
        <w:r w:rsidR="007F1BA3" w:rsidRPr="009509A0">
          <w:rPr>
            <w:rStyle w:val="Hypertextovprepojenie"/>
            <w:noProof/>
          </w:rPr>
          <w:t>3.2.1</w:t>
        </w:r>
        <w:r w:rsidR="007F1BA3">
          <w:rPr>
            <w:noProof/>
            <w:lang w:eastAsia="sk-SK"/>
          </w:rPr>
          <w:tab/>
        </w:r>
        <w:r w:rsidR="007F1BA3" w:rsidRPr="009509A0">
          <w:rPr>
            <w:rStyle w:val="Hypertextovprepojenie"/>
            <w:noProof/>
          </w:rPr>
          <w:t>Podpora ekodizajnu</w:t>
        </w:r>
        <w:r w:rsidR="007F1BA3">
          <w:rPr>
            <w:noProof/>
            <w:webHidden/>
          </w:rPr>
          <w:tab/>
        </w:r>
        <w:r>
          <w:rPr>
            <w:noProof/>
            <w:webHidden/>
          </w:rPr>
          <w:fldChar w:fldCharType="begin"/>
        </w:r>
        <w:r w:rsidR="007F1BA3">
          <w:rPr>
            <w:noProof/>
            <w:webHidden/>
          </w:rPr>
          <w:instrText xml:space="preserve"> PAGEREF _Toc356292962 \h </w:instrText>
        </w:r>
        <w:r>
          <w:rPr>
            <w:noProof/>
            <w:webHidden/>
          </w:rPr>
        </w:r>
        <w:r>
          <w:rPr>
            <w:noProof/>
            <w:webHidden/>
          </w:rPr>
          <w:fldChar w:fldCharType="separate"/>
        </w:r>
        <w:r w:rsidR="001872A2">
          <w:rPr>
            <w:noProof/>
            <w:webHidden/>
          </w:rPr>
          <w:t>24</w:t>
        </w:r>
        <w:r>
          <w:rPr>
            <w:noProof/>
            <w:webHidden/>
          </w:rPr>
          <w:fldChar w:fldCharType="end"/>
        </w:r>
      </w:hyperlink>
    </w:p>
    <w:p w:rsidR="007F1BA3" w:rsidRDefault="00E01F0B">
      <w:pPr>
        <w:pStyle w:val="Obsah3"/>
        <w:rPr>
          <w:noProof/>
          <w:lang w:eastAsia="sk-SK"/>
        </w:rPr>
      </w:pPr>
      <w:hyperlink w:anchor="_Toc356292963" w:history="1">
        <w:r w:rsidR="007F1BA3" w:rsidRPr="009509A0">
          <w:rPr>
            <w:rStyle w:val="Hypertextovprepojenie"/>
            <w:noProof/>
          </w:rPr>
          <w:t>3.2.2</w:t>
        </w:r>
        <w:r w:rsidR="007F1BA3">
          <w:rPr>
            <w:noProof/>
            <w:lang w:eastAsia="sk-SK"/>
          </w:rPr>
          <w:tab/>
        </w:r>
        <w:r w:rsidR="007F1BA3" w:rsidRPr="009509A0">
          <w:rPr>
            <w:rStyle w:val="Hypertextovprepojenie"/>
            <w:noProof/>
          </w:rPr>
          <w:t>Podpora dôveryhodných systémov environmentálneho manažérstva, vrátane EMAS a ISO 14001</w:t>
        </w:r>
        <w:r w:rsidR="007F1BA3">
          <w:rPr>
            <w:noProof/>
            <w:webHidden/>
          </w:rPr>
          <w:tab/>
        </w:r>
        <w:r>
          <w:rPr>
            <w:noProof/>
            <w:webHidden/>
          </w:rPr>
          <w:fldChar w:fldCharType="begin"/>
        </w:r>
        <w:r w:rsidR="007F1BA3">
          <w:rPr>
            <w:noProof/>
            <w:webHidden/>
          </w:rPr>
          <w:instrText xml:space="preserve"> PAGEREF _Toc356292963 \h </w:instrText>
        </w:r>
        <w:r>
          <w:rPr>
            <w:noProof/>
            <w:webHidden/>
          </w:rPr>
        </w:r>
        <w:r>
          <w:rPr>
            <w:noProof/>
            <w:webHidden/>
          </w:rPr>
          <w:fldChar w:fldCharType="separate"/>
        </w:r>
        <w:r w:rsidR="001872A2">
          <w:rPr>
            <w:noProof/>
            <w:webHidden/>
          </w:rPr>
          <w:t>25</w:t>
        </w:r>
        <w:r>
          <w:rPr>
            <w:noProof/>
            <w:webHidden/>
          </w:rPr>
          <w:fldChar w:fldCharType="end"/>
        </w:r>
      </w:hyperlink>
    </w:p>
    <w:p w:rsidR="007F1BA3" w:rsidRDefault="00E01F0B">
      <w:pPr>
        <w:pStyle w:val="Obsah2"/>
        <w:rPr>
          <w:noProof/>
          <w:lang w:eastAsia="sk-SK"/>
        </w:rPr>
      </w:pPr>
      <w:hyperlink w:anchor="_Toc356292964" w:history="1">
        <w:r w:rsidR="007F1BA3" w:rsidRPr="009509A0">
          <w:rPr>
            <w:rStyle w:val="Hypertextovprepojenie"/>
            <w:noProof/>
          </w:rPr>
          <w:t>3.3</w:t>
        </w:r>
        <w:r w:rsidR="007F1BA3">
          <w:rPr>
            <w:noProof/>
            <w:lang w:eastAsia="sk-SK"/>
          </w:rPr>
          <w:tab/>
        </w:r>
        <w:r w:rsidR="007F1BA3" w:rsidRPr="009509A0">
          <w:rPr>
            <w:rStyle w:val="Hypertextovprepojenie"/>
            <w:noProof/>
          </w:rPr>
          <w:t>Opatrenia, ktoré môžu ovplyvniť štádium spotreby a používania</w:t>
        </w:r>
        <w:r w:rsidR="007F1BA3">
          <w:rPr>
            <w:noProof/>
            <w:webHidden/>
          </w:rPr>
          <w:tab/>
        </w:r>
        <w:r>
          <w:rPr>
            <w:noProof/>
            <w:webHidden/>
          </w:rPr>
          <w:fldChar w:fldCharType="begin"/>
        </w:r>
        <w:r w:rsidR="007F1BA3">
          <w:rPr>
            <w:noProof/>
            <w:webHidden/>
          </w:rPr>
          <w:instrText xml:space="preserve"> PAGEREF _Toc356292964 \h </w:instrText>
        </w:r>
        <w:r>
          <w:rPr>
            <w:noProof/>
            <w:webHidden/>
          </w:rPr>
        </w:r>
        <w:r>
          <w:rPr>
            <w:noProof/>
            <w:webHidden/>
          </w:rPr>
          <w:fldChar w:fldCharType="separate"/>
        </w:r>
        <w:r w:rsidR="001872A2">
          <w:rPr>
            <w:noProof/>
            <w:webHidden/>
          </w:rPr>
          <w:t>26</w:t>
        </w:r>
        <w:r>
          <w:rPr>
            <w:noProof/>
            <w:webHidden/>
          </w:rPr>
          <w:fldChar w:fldCharType="end"/>
        </w:r>
      </w:hyperlink>
    </w:p>
    <w:p w:rsidR="007F1BA3" w:rsidRDefault="00E01F0B">
      <w:pPr>
        <w:pStyle w:val="Obsah3"/>
        <w:rPr>
          <w:noProof/>
          <w:lang w:eastAsia="sk-SK"/>
        </w:rPr>
      </w:pPr>
      <w:hyperlink w:anchor="_Toc356292965" w:history="1">
        <w:r w:rsidR="007F1BA3" w:rsidRPr="009509A0">
          <w:rPr>
            <w:rStyle w:val="Hypertextovprepojenie"/>
            <w:noProof/>
            <w:lang w:eastAsia="zh-TW"/>
          </w:rPr>
          <w:t>3.3.1</w:t>
        </w:r>
        <w:r w:rsidR="007F1BA3">
          <w:rPr>
            <w:noProof/>
            <w:lang w:eastAsia="sk-SK"/>
          </w:rPr>
          <w:tab/>
        </w:r>
        <w:r w:rsidR="007F1BA3" w:rsidRPr="009509A0">
          <w:rPr>
            <w:rStyle w:val="Hypertextovprepojenie"/>
            <w:noProof/>
            <w:lang w:eastAsia="zh-TW"/>
          </w:rPr>
          <w:t>Podpora dôveryhodných ekologických značiek</w:t>
        </w:r>
        <w:r w:rsidR="007F1BA3">
          <w:rPr>
            <w:noProof/>
            <w:webHidden/>
          </w:rPr>
          <w:tab/>
        </w:r>
        <w:r>
          <w:rPr>
            <w:noProof/>
            <w:webHidden/>
          </w:rPr>
          <w:fldChar w:fldCharType="begin"/>
        </w:r>
        <w:r w:rsidR="007F1BA3">
          <w:rPr>
            <w:noProof/>
            <w:webHidden/>
          </w:rPr>
          <w:instrText xml:space="preserve"> PAGEREF _Toc356292965 \h </w:instrText>
        </w:r>
        <w:r>
          <w:rPr>
            <w:noProof/>
            <w:webHidden/>
          </w:rPr>
        </w:r>
        <w:r>
          <w:rPr>
            <w:noProof/>
            <w:webHidden/>
          </w:rPr>
          <w:fldChar w:fldCharType="separate"/>
        </w:r>
        <w:r w:rsidR="001872A2">
          <w:rPr>
            <w:noProof/>
            <w:webHidden/>
          </w:rPr>
          <w:t>26</w:t>
        </w:r>
        <w:r>
          <w:rPr>
            <w:noProof/>
            <w:webHidden/>
          </w:rPr>
          <w:fldChar w:fldCharType="end"/>
        </w:r>
      </w:hyperlink>
    </w:p>
    <w:p w:rsidR="007F1BA3" w:rsidRDefault="00E01F0B">
      <w:pPr>
        <w:pStyle w:val="Obsah3"/>
        <w:rPr>
          <w:noProof/>
          <w:lang w:eastAsia="sk-SK"/>
        </w:rPr>
      </w:pPr>
      <w:hyperlink w:anchor="_Toc356292966" w:history="1">
        <w:r w:rsidR="007F1BA3" w:rsidRPr="009509A0">
          <w:rPr>
            <w:rStyle w:val="Hypertextovprepojenie"/>
            <w:noProof/>
          </w:rPr>
          <w:t xml:space="preserve">3.3.2 </w:t>
        </w:r>
        <w:r w:rsidR="007F1BA3">
          <w:rPr>
            <w:noProof/>
            <w:lang w:eastAsia="sk-SK"/>
          </w:rPr>
          <w:tab/>
        </w:r>
        <w:r w:rsidR="007F1BA3" w:rsidRPr="009509A0">
          <w:rPr>
            <w:rStyle w:val="Hypertextovprepojenie"/>
            <w:noProof/>
          </w:rPr>
          <w:t>Zelené verejné obstarávanie</w:t>
        </w:r>
        <w:r w:rsidR="007F1BA3">
          <w:rPr>
            <w:noProof/>
            <w:webHidden/>
          </w:rPr>
          <w:tab/>
        </w:r>
        <w:r>
          <w:rPr>
            <w:noProof/>
            <w:webHidden/>
          </w:rPr>
          <w:fldChar w:fldCharType="begin"/>
        </w:r>
        <w:r w:rsidR="007F1BA3">
          <w:rPr>
            <w:noProof/>
            <w:webHidden/>
          </w:rPr>
          <w:instrText xml:space="preserve"> PAGEREF _Toc356292966 \h </w:instrText>
        </w:r>
        <w:r>
          <w:rPr>
            <w:noProof/>
            <w:webHidden/>
          </w:rPr>
        </w:r>
        <w:r>
          <w:rPr>
            <w:noProof/>
            <w:webHidden/>
          </w:rPr>
          <w:fldChar w:fldCharType="separate"/>
        </w:r>
        <w:r w:rsidR="001872A2">
          <w:rPr>
            <w:noProof/>
            <w:webHidden/>
          </w:rPr>
          <w:t>28</w:t>
        </w:r>
        <w:r>
          <w:rPr>
            <w:noProof/>
            <w:webHidden/>
          </w:rPr>
          <w:fldChar w:fldCharType="end"/>
        </w:r>
      </w:hyperlink>
    </w:p>
    <w:p w:rsidR="007F1BA3" w:rsidRDefault="00E01F0B" w:rsidP="00B75AD1">
      <w:pPr>
        <w:pStyle w:val="Obsah1"/>
        <w:rPr>
          <w:b/>
        </w:rPr>
      </w:pPr>
      <w:hyperlink w:anchor="_Toc356292967" w:history="1">
        <w:r w:rsidR="007F1BA3" w:rsidRPr="009509A0">
          <w:rPr>
            <w:rStyle w:val="Hypertextovprepojenie"/>
          </w:rPr>
          <w:t xml:space="preserve">4 </w:t>
        </w:r>
        <w:r w:rsidR="007F1BA3">
          <w:tab/>
        </w:r>
        <w:r w:rsidR="007F1BA3" w:rsidRPr="009509A0">
          <w:rPr>
            <w:rStyle w:val="Hypertextovprepojenie"/>
          </w:rPr>
          <w:t xml:space="preserve">Ciele </w:t>
        </w:r>
        <w:r w:rsidR="007F1BA3">
          <w:rPr>
            <w:rStyle w:val="Hypertextovprepojenie"/>
          </w:rPr>
          <w:t>p</w:t>
        </w:r>
        <w:r w:rsidR="007F1BA3" w:rsidRPr="009509A0">
          <w:rPr>
            <w:rStyle w:val="Hypertextovprepojenie"/>
          </w:rPr>
          <w:t>rogramu a opatrenia na ich splnenie</w:t>
        </w:r>
        <w:r w:rsidR="007F1BA3">
          <w:rPr>
            <w:webHidden/>
          </w:rPr>
          <w:tab/>
        </w:r>
        <w:r>
          <w:rPr>
            <w:webHidden/>
          </w:rPr>
          <w:fldChar w:fldCharType="begin"/>
        </w:r>
        <w:r w:rsidR="007F1BA3">
          <w:rPr>
            <w:webHidden/>
          </w:rPr>
          <w:instrText xml:space="preserve"> PAGEREF _Toc356292967 \h </w:instrText>
        </w:r>
        <w:r>
          <w:rPr>
            <w:webHidden/>
          </w:rPr>
        </w:r>
        <w:r>
          <w:rPr>
            <w:webHidden/>
          </w:rPr>
          <w:fldChar w:fldCharType="separate"/>
        </w:r>
        <w:r w:rsidR="001872A2">
          <w:rPr>
            <w:webHidden/>
          </w:rPr>
          <w:t>30</w:t>
        </w:r>
        <w:r>
          <w:rPr>
            <w:webHidden/>
          </w:rPr>
          <w:fldChar w:fldCharType="end"/>
        </w:r>
      </w:hyperlink>
    </w:p>
    <w:p w:rsidR="007F1BA3" w:rsidRDefault="00E01F0B">
      <w:pPr>
        <w:pStyle w:val="Obsah2"/>
        <w:rPr>
          <w:noProof/>
          <w:lang w:eastAsia="sk-SK"/>
        </w:rPr>
      </w:pPr>
      <w:hyperlink w:anchor="_Toc356292968" w:history="1">
        <w:r w:rsidR="007F1BA3" w:rsidRPr="009509A0">
          <w:rPr>
            <w:rStyle w:val="Hypertextovprepojenie"/>
            <w:noProof/>
          </w:rPr>
          <w:t xml:space="preserve">4.1 </w:t>
        </w:r>
        <w:r w:rsidR="007F1BA3">
          <w:rPr>
            <w:noProof/>
            <w:lang w:eastAsia="sk-SK"/>
          </w:rPr>
          <w:tab/>
        </w:r>
        <w:r w:rsidR="007F1BA3" w:rsidRPr="009509A0">
          <w:rPr>
            <w:rStyle w:val="Hypertextovprepojenie"/>
            <w:noProof/>
          </w:rPr>
          <w:t>Hlavný cieľ</w:t>
        </w:r>
        <w:r w:rsidR="007F1BA3">
          <w:rPr>
            <w:noProof/>
            <w:webHidden/>
          </w:rPr>
          <w:tab/>
        </w:r>
        <w:r>
          <w:rPr>
            <w:noProof/>
            <w:webHidden/>
          </w:rPr>
          <w:fldChar w:fldCharType="begin"/>
        </w:r>
        <w:r w:rsidR="007F1BA3">
          <w:rPr>
            <w:noProof/>
            <w:webHidden/>
          </w:rPr>
          <w:instrText xml:space="preserve"> PAGEREF _Toc356292968 \h </w:instrText>
        </w:r>
        <w:r>
          <w:rPr>
            <w:noProof/>
            <w:webHidden/>
          </w:rPr>
        </w:r>
        <w:r>
          <w:rPr>
            <w:noProof/>
            <w:webHidden/>
          </w:rPr>
          <w:fldChar w:fldCharType="separate"/>
        </w:r>
        <w:r w:rsidR="001872A2">
          <w:rPr>
            <w:noProof/>
            <w:webHidden/>
          </w:rPr>
          <w:t>30</w:t>
        </w:r>
        <w:r>
          <w:rPr>
            <w:noProof/>
            <w:webHidden/>
          </w:rPr>
          <w:fldChar w:fldCharType="end"/>
        </w:r>
      </w:hyperlink>
    </w:p>
    <w:p w:rsidR="007F1BA3" w:rsidRDefault="00E01F0B">
      <w:pPr>
        <w:pStyle w:val="Obsah3"/>
        <w:rPr>
          <w:noProof/>
          <w:lang w:eastAsia="sk-SK"/>
        </w:rPr>
      </w:pPr>
      <w:hyperlink w:anchor="_Toc356292969" w:history="1">
        <w:r w:rsidR="007F1BA3" w:rsidRPr="009509A0">
          <w:rPr>
            <w:rStyle w:val="Hypertextovprepojenie"/>
            <w:noProof/>
          </w:rPr>
          <w:t>4.1.1</w:t>
        </w:r>
        <w:r w:rsidR="007F1BA3">
          <w:rPr>
            <w:noProof/>
            <w:lang w:eastAsia="sk-SK"/>
          </w:rPr>
          <w:tab/>
        </w:r>
        <w:r w:rsidR="007F1BA3" w:rsidRPr="009509A0">
          <w:rPr>
            <w:rStyle w:val="Hypertextovprepojenie"/>
            <w:noProof/>
          </w:rPr>
          <w:t>Definovanie hlavného cieľa</w:t>
        </w:r>
        <w:r w:rsidR="007F1BA3">
          <w:rPr>
            <w:noProof/>
            <w:webHidden/>
          </w:rPr>
          <w:tab/>
        </w:r>
        <w:r>
          <w:rPr>
            <w:noProof/>
            <w:webHidden/>
          </w:rPr>
          <w:fldChar w:fldCharType="begin"/>
        </w:r>
        <w:r w:rsidR="007F1BA3">
          <w:rPr>
            <w:noProof/>
            <w:webHidden/>
          </w:rPr>
          <w:instrText xml:space="preserve"> PAGEREF _Toc356292969 \h </w:instrText>
        </w:r>
        <w:r>
          <w:rPr>
            <w:noProof/>
            <w:webHidden/>
          </w:rPr>
        </w:r>
        <w:r>
          <w:rPr>
            <w:noProof/>
            <w:webHidden/>
          </w:rPr>
          <w:fldChar w:fldCharType="separate"/>
        </w:r>
        <w:r w:rsidR="001872A2">
          <w:rPr>
            <w:noProof/>
            <w:webHidden/>
          </w:rPr>
          <w:t>32</w:t>
        </w:r>
        <w:r>
          <w:rPr>
            <w:noProof/>
            <w:webHidden/>
          </w:rPr>
          <w:fldChar w:fldCharType="end"/>
        </w:r>
      </w:hyperlink>
    </w:p>
    <w:p w:rsidR="007F1BA3" w:rsidRDefault="00E01F0B">
      <w:pPr>
        <w:pStyle w:val="Obsah3"/>
        <w:rPr>
          <w:noProof/>
          <w:lang w:eastAsia="sk-SK"/>
        </w:rPr>
      </w:pPr>
      <w:hyperlink w:anchor="_Toc356292970" w:history="1">
        <w:r w:rsidR="007F1BA3" w:rsidRPr="009509A0">
          <w:rPr>
            <w:rStyle w:val="Hypertextovprepojenie"/>
            <w:noProof/>
          </w:rPr>
          <w:t>4.1.2</w:t>
        </w:r>
        <w:r w:rsidR="007F1BA3">
          <w:rPr>
            <w:noProof/>
            <w:lang w:eastAsia="sk-SK"/>
          </w:rPr>
          <w:tab/>
        </w:r>
        <w:r w:rsidR="007F1BA3" w:rsidRPr="009509A0">
          <w:rPr>
            <w:rStyle w:val="Hypertextovprepojenie"/>
            <w:noProof/>
          </w:rPr>
          <w:t>Opatrenia na splnenie hlavného cieľa</w:t>
        </w:r>
        <w:r w:rsidR="007F1BA3">
          <w:rPr>
            <w:noProof/>
            <w:webHidden/>
          </w:rPr>
          <w:tab/>
        </w:r>
        <w:r>
          <w:rPr>
            <w:noProof/>
            <w:webHidden/>
          </w:rPr>
          <w:fldChar w:fldCharType="begin"/>
        </w:r>
        <w:r w:rsidR="007F1BA3">
          <w:rPr>
            <w:noProof/>
            <w:webHidden/>
          </w:rPr>
          <w:instrText xml:space="preserve"> PAGEREF _Toc356292970 \h </w:instrText>
        </w:r>
        <w:r>
          <w:rPr>
            <w:noProof/>
            <w:webHidden/>
          </w:rPr>
        </w:r>
        <w:r>
          <w:rPr>
            <w:noProof/>
            <w:webHidden/>
          </w:rPr>
          <w:fldChar w:fldCharType="separate"/>
        </w:r>
        <w:r w:rsidR="001872A2">
          <w:rPr>
            <w:noProof/>
            <w:webHidden/>
          </w:rPr>
          <w:t>33</w:t>
        </w:r>
        <w:r>
          <w:rPr>
            <w:noProof/>
            <w:webHidden/>
          </w:rPr>
          <w:fldChar w:fldCharType="end"/>
        </w:r>
      </w:hyperlink>
    </w:p>
    <w:p w:rsidR="007F1BA3" w:rsidRDefault="00E01F0B">
      <w:pPr>
        <w:pStyle w:val="Obsah2"/>
        <w:rPr>
          <w:noProof/>
          <w:lang w:eastAsia="sk-SK"/>
        </w:rPr>
      </w:pPr>
      <w:hyperlink w:anchor="_Toc356292971" w:history="1">
        <w:r w:rsidR="007F1BA3" w:rsidRPr="009509A0">
          <w:rPr>
            <w:rStyle w:val="Hypertextovprepojenie"/>
            <w:noProof/>
          </w:rPr>
          <w:t xml:space="preserve">4.2 </w:t>
        </w:r>
        <w:r w:rsidR="007F1BA3">
          <w:rPr>
            <w:noProof/>
            <w:lang w:eastAsia="sk-SK"/>
          </w:rPr>
          <w:tab/>
        </w:r>
        <w:r w:rsidR="007F1BA3" w:rsidRPr="009509A0">
          <w:rPr>
            <w:rStyle w:val="Hypertextovprepojenie"/>
            <w:noProof/>
          </w:rPr>
          <w:t>Stanovenie priorít</w:t>
        </w:r>
        <w:r w:rsidR="007F1BA3">
          <w:rPr>
            <w:noProof/>
            <w:webHidden/>
          </w:rPr>
          <w:tab/>
        </w:r>
        <w:r>
          <w:rPr>
            <w:noProof/>
            <w:webHidden/>
          </w:rPr>
          <w:fldChar w:fldCharType="begin"/>
        </w:r>
        <w:r w:rsidR="007F1BA3">
          <w:rPr>
            <w:noProof/>
            <w:webHidden/>
          </w:rPr>
          <w:instrText xml:space="preserve"> PAGEREF _Toc356292971 \h </w:instrText>
        </w:r>
        <w:r>
          <w:rPr>
            <w:noProof/>
            <w:webHidden/>
          </w:rPr>
        </w:r>
        <w:r>
          <w:rPr>
            <w:noProof/>
            <w:webHidden/>
          </w:rPr>
          <w:fldChar w:fldCharType="separate"/>
        </w:r>
        <w:r w:rsidR="001872A2">
          <w:rPr>
            <w:noProof/>
            <w:webHidden/>
          </w:rPr>
          <w:t>35</w:t>
        </w:r>
        <w:r>
          <w:rPr>
            <w:noProof/>
            <w:webHidden/>
          </w:rPr>
          <w:fldChar w:fldCharType="end"/>
        </w:r>
      </w:hyperlink>
    </w:p>
    <w:p w:rsidR="007F1BA3" w:rsidRDefault="00E01F0B">
      <w:pPr>
        <w:pStyle w:val="Obsah2"/>
        <w:rPr>
          <w:noProof/>
          <w:lang w:eastAsia="sk-SK"/>
        </w:rPr>
      </w:pPr>
      <w:hyperlink w:anchor="_Toc356292972" w:history="1">
        <w:r w:rsidR="007F1BA3" w:rsidRPr="009509A0">
          <w:rPr>
            <w:rStyle w:val="Hypertextovprepojenie"/>
            <w:noProof/>
          </w:rPr>
          <w:t>4.3</w:t>
        </w:r>
        <w:r w:rsidR="007F1BA3">
          <w:rPr>
            <w:noProof/>
            <w:lang w:eastAsia="sk-SK"/>
          </w:rPr>
          <w:tab/>
        </w:r>
        <w:r w:rsidR="007F1BA3" w:rsidRPr="009509A0">
          <w:rPr>
            <w:rStyle w:val="Hypertextovprepojenie"/>
            <w:noProof/>
          </w:rPr>
          <w:t xml:space="preserve">Špecifické ciele pre vybrané </w:t>
        </w:r>
        <w:r w:rsidR="007F1BA3" w:rsidRPr="004F6D86">
          <w:rPr>
            <w:rStyle w:val="Hypertextovprepojenie"/>
            <w:noProof/>
          </w:rPr>
          <w:t>prúdy</w:t>
        </w:r>
        <w:r w:rsidR="007F1BA3" w:rsidRPr="009509A0">
          <w:rPr>
            <w:rStyle w:val="Hypertextovprepojenie"/>
            <w:noProof/>
          </w:rPr>
          <w:t xml:space="preserve"> odpadov</w:t>
        </w:r>
        <w:r w:rsidR="007F1BA3">
          <w:rPr>
            <w:noProof/>
            <w:webHidden/>
          </w:rPr>
          <w:tab/>
        </w:r>
        <w:r>
          <w:rPr>
            <w:noProof/>
            <w:webHidden/>
          </w:rPr>
          <w:fldChar w:fldCharType="begin"/>
        </w:r>
        <w:r w:rsidR="007F1BA3">
          <w:rPr>
            <w:noProof/>
            <w:webHidden/>
          </w:rPr>
          <w:instrText xml:space="preserve"> PAGEREF _Toc356292972 \h </w:instrText>
        </w:r>
        <w:r>
          <w:rPr>
            <w:noProof/>
            <w:webHidden/>
          </w:rPr>
        </w:r>
        <w:r>
          <w:rPr>
            <w:noProof/>
            <w:webHidden/>
          </w:rPr>
          <w:fldChar w:fldCharType="separate"/>
        </w:r>
        <w:r w:rsidR="001872A2">
          <w:rPr>
            <w:noProof/>
            <w:webHidden/>
          </w:rPr>
          <w:t>38</w:t>
        </w:r>
        <w:r>
          <w:rPr>
            <w:noProof/>
            <w:webHidden/>
          </w:rPr>
          <w:fldChar w:fldCharType="end"/>
        </w:r>
      </w:hyperlink>
    </w:p>
    <w:p w:rsidR="007F1BA3" w:rsidRDefault="00E01F0B">
      <w:pPr>
        <w:pStyle w:val="Obsah3"/>
        <w:rPr>
          <w:noProof/>
          <w:lang w:eastAsia="sk-SK"/>
        </w:rPr>
      </w:pPr>
      <w:hyperlink w:anchor="_Toc356292973" w:history="1">
        <w:r w:rsidR="007F1BA3" w:rsidRPr="009509A0">
          <w:rPr>
            <w:rStyle w:val="Hypertextovprepojenie"/>
            <w:noProof/>
          </w:rPr>
          <w:t>4.3.1</w:t>
        </w:r>
        <w:r w:rsidR="007F1BA3">
          <w:rPr>
            <w:noProof/>
            <w:lang w:eastAsia="sk-SK"/>
          </w:rPr>
          <w:tab/>
        </w:r>
        <w:r w:rsidR="007F1BA3" w:rsidRPr="009509A0">
          <w:rPr>
            <w:rStyle w:val="Hypertextovprepojenie"/>
            <w:noProof/>
          </w:rPr>
          <w:t>Zmesový komunálny odpad</w:t>
        </w:r>
        <w:r w:rsidR="007F1BA3">
          <w:rPr>
            <w:noProof/>
            <w:webHidden/>
          </w:rPr>
          <w:tab/>
        </w:r>
        <w:r>
          <w:rPr>
            <w:noProof/>
            <w:webHidden/>
          </w:rPr>
          <w:fldChar w:fldCharType="begin"/>
        </w:r>
        <w:r w:rsidR="007F1BA3">
          <w:rPr>
            <w:noProof/>
            <w:webHidden/>
          </w:rPr>
          <w:instrText xml:space="preserve"> PAGEREF _Toc356292973 \h </w:instrText>
        </w:r>
        <w:r>
          <w:rPr>
            <w:noProof/>
            <w:webHidden/>
          </w:rPr>
        </w:r>
        <w:r>
          <w:rPr>
            <w:noProof/>
            <w:webHidden/>
          </w:rPr>
          <w:fldChar w:fldCharType="separate"/>
        </w:r>
        <w:r w:rsidR="001872A2">
          <w:rPr>
            <w:noProof/>
            <w:webHidden/>
          </w:rPr>
          <w:t>38</w:t>
        </w:r>
        <w:r>
          <w:rPr>
            <w:noProof/>
            <w:webHidden/>
          </w:rPr>
          <w:fldChar w:fldCharType="end"/>
        </w:r>
      </w:hyperlink>
    </w:p>
    <w:p w:rsidR="007F1BA3" w:rsidRDefault="00E01F0B">
      <w:pPr>
        <w:pStyle w:val="Obsah3"/>
        <w:rPr>
          <w:noProof/>
          <w:lang w:eastAsia="sk-SK"/>
        </w:rPr>
      </w:pPr>
      <w:hyperlink w:anchor="_Toc356292974" w:history="1">
        <w:r w:rsidR="007F1BA3" w:rsidRPr="009509A0">
          <w:rPr>
            <w:rStyle w:val="Hypertextovprepojenie"/>
            <w:noProof/>
          </w:rPr>
          <w:t>4.3.2</w:t>
        </w:r>
        <w:r w:rsidR="007F1BA3">
          <w:rPr>
            <w:noProof/>
            <w:lang w:eastAsia="sk-SK"/>
          </w:rPr>
          <w:tab/>
        </w:r>
        <w:r w:rsidR="007F1BA3" w:rsidRPr="009509A0">
          <w:rPr>
            <w:rStyle w:val="Hypertextovprepojenie"/>
            <w:noProof/>
          </w:rPr>
          <w:t>Biologicky rozložiteľné komunálne odpady</w:t>
        </w:r>
        <w:r w:rsidR="007F1BA3">
          <w:rPr>
            <w:noProof/>
            <w:webHidden/>
          </w:rPr>
          <w:tab/>
        </w:r>
        <w:r>
          <w:rPr>
            <w:noProof/>
            <w:webHidden/>
          </w:rPr>
          <w:fldChar w:fldCharType="begin"/>
        </w:r>
        <w:r w:rsidR="007F1BA3">
          <w:rPr>
            <w:noProof/>
            <w:webHidden/>
          </w:rPr>
          <w:instrText xml:space="preserve"> PAGEREF _Toc356292974 \h </w:instrText>
        </w:r>
        <w:r>
          <w:rPr>
            <w:noProof/>
            <w:webHidden/>
          </w:rPr>
        </w:r>
        <w:r>
          <w:rPr>
            <w:noProof/>
            <w:webHidden/>
          </w:rPr>
          <w:fldChar w:fldCharType="separate"/>
        </w:r>
        <w:r w:rsidR="001872A2">
          <w:rPr>
            <w:noProof/>
            <w:webHidden/>
          </w:rPr>
          <w:t>40</w:t>
        </w:r>
        <w:r>
          <w:rPr>
            <w:noProof/>
            <w:webHidden/>
          </w:rPr>
          <w:fldChar w:fldCharType="end"/>
        </w:r>
      </w:hyperlink>
    </w:p>
    <w:p w:rsidR="007F1BA3" w:rsidRDefault="00E01F0B">
      <w:pPr>
        <w:pStyle w:val="Obsah3"/>
        <w:rPr>
          <w:noProof/>
          <w:lang w:eastAsia="sk-SK"/>
        </w:rPr>
      </w:pPr>
      <w:hyperlink w:anchor="_Toc356292975" w:history="1">
        <w:r w:rsidR="007F1BA3" w:rsidRPr="009509A0">
          <w:rPr>
            <w:rStyle w:val="Hypertextovprepojenie"/>
            <w:noProof/>
          </w:rPr>
          <w:t>4.3.3</w:t>
        </w:r>
        <w:r w:rsidR="007F1BA3">
          <w:rPr>
            <w:noProof/>
            <w:lang w:eastAsia="sk-SK"/>
          </w:rPr>
          <w:tab/>
        </w:r>
        <w:r w:rsidR="007F1BA3" w:rsidRPr="009509A0">
          <w:rPr>
            <w:rStyle w:val="Hypertextovprepojenie"/>
            <w:noProof/>
          </w:rPr>
          <w:t>Odpad z papiera</w:t>
        </w:r>
        <w:r w:rsidR="007F1BA3">
          <w:rPr>
            <w:noProof/>
            <w:webHidden/>
          </w:rPr>
          <w:tab/>
        </w:r>
        <w:r>
          <w:rPr>
            <w:noProof/>
            <w:webHidden/>
          </w:rPr>
          <w:fldChar w:fldCharType="begin"/>
        </w:r>
        <w:r w:rsidR="007F1BA3">
          <w:rPr>
            <w:noProof/>
            <w:webHidden/>
          </w:rPr>
          <w:instrText xml:space="preserve"> PAGEREF _Toc356292975 \h </w:instrText>
        </w:r>
        <w:r>
          <w:rPr>
            <w:noProof/>
            <w:webHidden/>
          </w:rPr>
        </w:r>
        <w:r>
          <w:rPr>
            <w:noProof/>
            <w:webHidden/>
          </w:rPr>
          <w:fldChar w:fldCharType="separate"/>
        </w:r>
        <w:r w:rsidR="001872A2">
          <w:rPr>
            <w:noProof/>
            <w:webHidden/>
          </w:rPr>
          <w:t>43</w:t>
        </w:r>
        <w:r>
          <w:rPr>
            <w:noProof/>
            <w:webHidden/>
          </w:rPr>
          <w:fldChar w:fldCharType="end"/>
        </w:r>
      </w:hyperlink>
    </w:p>
    <w:p w:rsidR="007F1BA3" w:rsidRDefault="00E01F0B">
      <w:pPr>
        <w:pStyle w:val="Obsah3"/>
        <w:rPr>
          <w:noProof/>
          <w:lang w:eastAsia="sk-SK"/>
        </w:rPr>
      </w:pPr>
      <w:hyperlink w:anchor="_Toc356292976" w:history="1">
        <w:r w:rsidR="007F1BA3" w:rsidRPr="009509A0">
          <w:rPr>
            <w:rStyle w:val="Hypertextovprepojenie"/>
            <w:noProof/>
          </w:rPr>
          <w:t>4.3.4</w:t>
        </w:r>
        <w:r w:rsidR="007F1BA3">
          <w:rPr>
            <w:noProof/>
            <w:lang w:eastAsia="sk-SK"/>
          </w:rPr>
          <w:tab/>
        </w:r>
        <w:r w:rsidR="007F1BA3" w:rsidRPr="009509A0">
          <w:rPr>
            <w:rStyle w:val="Hypertextovprepojenie"/>
            <w:noProof/>
          </w:rPr>
          <w:t>Odpad z obalov</w:t>
        </w:r>
        <w:r w:rsidR="007F1BA3">
          <w:rPr>
            <w:noProof/>
            <w:webHidden/>
          </w:rPr>
          <w:tab/>
        </w:r>
        <w:r>
          <w:rPr>
            <w:noProof/>
            <w:webHidden/>
          </w:rPr>
          <w:fldChar w:fldCharType="begin"/>
        </w:r>
        <w:r w:rsidR="007F1BA3">
          <w:rPr>
            <w:noProof/>
            <w:webHidden/>
          </w:rPr>
          <w:instrText xml:space="preserve"> PAGEREF _Toc356292976 \h </w:instrText>
        </w:r>
        <w:r>
          <w:rPr>
            <w:noProof/>
            <w:webHidden/>
          </w:rPr>
        </w:r>
        <w:r>
          <w:rPr>
            <w:noProof/>
            <w:webHidden/>
          </w:rPr>
          <w:fldChar w:fldCharType="separate"/>
        </w:r>
        <w:r w:rsidR="001872A2">
          <w:rPr>
            <w:noProof/>
            <w:webHidden/>
          </w:rPr>
          <w:t>44</w:t>
        </w:r>
        <w:r>
          <w:rPr>
            <w:noProof/>
            <w:webHidden/>
          </w:rPr>
          <w:fldChar w:fldCharType="end"/>
        </w:r>
      </w:hyperlink>
    </w:p>
    <w:p w:rsidR="007F1BA3" w:rsidRDefault="00E01F0B">
      <w:pPr>
        <w:pStyle w:val="Obsah3"/>
        <w:rPr>
          <w:noProof/>
          <w:lang w:eastAsia="sk-SK"/>
        </w:rPr>
      </w:pPr>
      <w:hyperlink w:anchor="_Toc356292977" w:history="1">
        <w:r w:rsidR="007F1BA3" w:rsidRPr="009509A0">
          <w:rPr>
            <w:rStyle w:val="Hypertextovprepojenie"/>
            <w:noProof/>
          </w:rPr>
          <w:t>4.3.5</w:t>
        </w:r>
        <w:r w:rsidR="007F1BA3">
          <w:rPr>
            <w:noProof/>
            <w:lang w:eastAsia="sk-SK"/>
          </w:rPr>
          <w:tab/>
        </w:r>
        <w:r w:rsidR="007F1BA3" w:rsidRPr="009509A0">
          <w:rPr>
            <w:rStyle w:val="Hypertextovprepojenie"/>
            <w:noProof/>
          </w:rPr>
          <w:t>Stavebné odpady a odpady z demolácií</w:t>
        </w:r>
        <w:r w:rsidR="007F1BA3">
          <w:rPr>
            <w:noProof/>
            <w:webHidden/>
          </w:rPr>
          <w:tab/>
        </w:r>
        <w:r>
          <w:rPr>
            <w:noProof/>
            <w:webHidden/>
          </w:rPr>
          <w:fldChar w:fldCharType="begin"/>
        </w:r>
        <w:r w:rsidR="007F1BA3">
          <w:rPr>
            <w:noProof/>
            <w:webHidden/>
          </w:rPr>
          <w:instrText xml:space="preserve"> PAGEREF _Toc356292977 \h </w:instrText>
        </w:r>
        <w:r>
          <w:rPr>
            <w:noProof/>
            <w:webHidden/>
          </w:rPr>
        </w:r>
        <w:r>
          <w:rPr>
            <w:noProof/>
            <w:webHidden/>
          </w:rPr>
          <w:fldChar w:fldCharType="separate"/>
        </w:r>
        <w:r w:rsidR="001872A2">
          <w:rPr>
            <w:noProof/>
            <w:webHidden/>
          </w:rPr>
          <w:t>46</w:t>
        </w:r>
        <w:r>
          <w:rPr>
            <w:noProof/>
            <w:webHidden/>
          </w:rPr>
          <w:fldChar w:fldCharType="end"/>
        </w:r>
      </w:hyperlink>
    </w:p>
    <w:p w:rsidR="007F1BA3" w:rsidRDefault="00E01F0B">
      <w:pPr>
        <w:pStyle w:val="Obsah3"/>
        <w:rPr>
          <w:noProof/>
          <w:lang w:eastAsia="sk-SK"/>
        </w:rPr>
      </w:pPr>
      <w:hyperlink w:anchor="_Toc356292978" w:history="1">
        <w:r w:rsidR="007F1BA3" w:rsidRPr="009509A0">
          <w:rPr>
            <w:rStyle w:val="Hypertextovprepojenie"/>
            <w:noProof/>
          </w:rPr>
          <w:t>4.3.6</w:t>
        </w:r>
        <w:r w:rsidR="007F1BA3">
          <w:rPr>
            <w:noProof/>
            <w:lang w:eastAsia="sk-SK"/>
          </w:rPr>
          <w:tab/>
        </w:r>
        <w:r w:rsidR="007F1BA3" w:rsidRPr="009509A0">
          <w:rPr>
            <w:rStyle w:val="Hypertextovprepojenie"/>
            <w:noProof/>
          </w:rPr>
          <w:t>Nebezpečný odpad</w:t>
        </w:r>
        <w:r w:rsidR="007F1BA3">
          <w:rPr>
            <w:noProof/>
            <w:webHidden/>
          </w:rPr>
          <w:tab/>
        </w:r>
        <w:r>
          <w:rPr>
            <w:noProof/>
            <w:webHidden/>
          </w:rPr>
          <w:fldChar w:fldCharType="begin"/>
        </w:r>
        <w:r w:rsidR="007F1BA3">
          <w:rPr>
            <w:noProof/>
            <w:webHidden/>
          </w:rPr>
          <w:instrText xml:space="preserve"> PAGEREF _Toc356292978 \h </w:instrText>
        </w:r>
        <w:r>
          <w:rPr>
            <w:noProof/>
            <w:webHidden/>
          </w:rPr>
        </w:r>
        <w:r>
          <w:rPr>
            <w:noProof/>
            <w:webHidden/>
          </w:rPr>
          <w:fldChar w:fldCharType="separate"/>
        </w:r>
        <w:r w:rsidR="001872A2">
          <w:rPr>
            <w:noProof/>
            <w:webHidden/>
          </w:rPr>
          <w:t>46</w:t>
        </w:r>
        <w:r>
          <w:rPr>
            <w:noProof/>
            <w:webHidden/>
          </w:rPr>
          <w:fldChar w:fldCharType="end"/>
        </w:r>
      </w:hyperlink>
    </w:p>
    <w:p w:rsidR="007F1BA3" w:rsidRDefault="00E01F0B">
      <w:pPr>
        <w:pStyle w:val="Obsah3"/>
        <w:rPr>
          <w:noProof/>
          <w:lang w:eastAsia="sk-SK"/>
        </w:rPr>
      </w:pPr>
      <w:hyperlink w:anchor="_Toc356292979" w:history="1">
        <w:r w:rsidR="007F1BA3" w:rsidRPr="009509A0">
          <w:rPr>
            <w:rStyle w:val="Hypertextovprepojenie"/>
            <w:noProof/>
          </w:rPr>
          <w:t xml:space="preserve">4.3.7 </w:t>
        </w:r>
        <w:r w:rsidR="007F1BA3">
          <w:rPr>
            <w:noProof/>
            <w:lang w:eastAsia="sk-SK"/>
          </w:rPr>
          <w:tab/>
        </w:r>
        <w:r w:rsidR="007F1BA3" w:rsidRPr="009509A0">
          <w:rPr>
            <w:rStyle w:val="Hypertextovprepojenie"/>
            <w:noProof/>
          </w:rPr>
          <w:t>Odpad z ťažobného priemyslu</w:t>
        </w:r>
        <w:r w:rsidR="007F1BA3">
          <w:rPr>
            <w:noProof/>
            <w:webHidden/>
          </w:rPr>
          <w:tab/>
        </w:r>
        <w:r>
          <w:rPr>
            <w:noProof/>
            <w:webHidden/>
          </w:rPr>
          <w:fldChar w:fldCharType="begin"/>
        </w:r>
        <w:r w:rsidR="007F1BA3">
          <w:rPr>
            <w:noProof/>
            <w:webHidden/>
          </w:rPr>
          <w:instrText xml:space="preserve"> PAGEREF _Toc356292979 \h </w:instrText>
        </w:r>
        <w:r>
          <w:rPr>
            <w:noProof/>
            <w:webHidden/>
          </w:rPr>
        </w:r>
        <w:r>
          <w:rPr>
            <w:noProof/>
            <w:webHidden/>
          </w:rPr>
          <w:fldChar w:fldCharType="separate"/>
        </w:r>
        <w:r w:rsidR="001872A2">
          <w:rPr>
            <w:noProof/>
            <w:webHidden/>
          </w:rPr>
          <w:t>47</w:t>
        </w:r>
        <w:r>
          <w:rPr>
            <w:noProof/>
            <w:webHidden/>
          </w:rPr>
          <w:fldChar w:fldCharType="end"/>
        </w:r>
      </w:hyperlink>
    </w:p>
    <w:p w:rsidR="007F1BA3" w:rsidRDefault="00E01F0B" w:rsidP="00B75AD1">
      <w:pPr>
        <w:pStyle w:val="Obsah1"/>
        <w:rPr>
          <w:b/>
        </w:rPr>
      </w:pPr>
      <w:hyperlink w:anchor="_Toc356292980" w:history="1">
        <w:r w:rsidR="007F1BA3" w:rsidRPr="009509A0">
          <w:rPr>
            <w:rStyle w:val="Hypertextovprepojenie"/>
          </w:rPr>
          <w:t>5</w:t>
        </w:r>
        <w:r w:rsidR="007F1BA3">
          <w:tab/>
        </w:r>
        <w:r w:rsidR="007F1BA3" w:rsidRPr="009509A0">
          <w:rPr>
            <w:rStyle w:val="Hypertextovprepojenie"/>
          </w:rPr>
          <w:t>Informačné zabezpečenie</w:t>
        </w:r>
        <w:r w:rsidR="007F1BA3">
          <w:rPr>
            <w:webHidden/>
          </w:rPr>
          <w:tab/>
        </w:r>
        <w:r>
          <w:rPr>
            <w:webHidden/>
          </w:rPr>
          <w:fldChar w:fldCharType="begin"/>
        </w:r>
        <w:r w:rsidR="007F1BA3">
          <w:rPr>
            <w:webHidden/>
          </w:rPr>
          <w:instrText xml:space="preserve"> PAGEREF _Toc356292980 \h </w:instrText>
        </w:r>
        <w:r>
          <w:rPr>
            <w:webHidden/>
          </w:rPr>
        </w:r>
        <w:r>
          <w:rPr>
            <w:webHidden/>
          </w:rPr>
          <w:fldChar w:fldCharType="separate"/>
        </w:r>
        <w:r w:rsidR="001872A2">
          <w:rPr>
            <w:webHidden/>
          </w:rPr>
          <w:t>47</w:t>
        </w:r>
        <w:r>
          <w:rPr>
            <w:webHidden/>
          </w:rPr>
          <w:fldChar w:fldCharType="end"/>
        </w:r>
      </w:hyperlink>
    </w:p>
    <w:p w:rsidR="007F1BA3" w:rsidRDefault="00E01F0B" w:rsidP="00B75AD1">
      <w:pPr>
        <w:pStyle w:val="Obsah1"/>
        <w:rPr>
          <w:b/>
        </w:rPr>
      </w:pPr>
      <w:hyperlink w:anchor="_Toc356292981" w:history="1">
        <w:r w:rsidR="007F1BA3" w:rsidRPr="009509A0">
          <w:rPr>
            <w:rStyle w:val="Hypertextovprepojenie"/>
          </w:rPr>
          <w:t>6</w:t>
        </w:r>
        <w:r w:rsidR="007F1BA3">
          <w:tab/>
        </w:r>
        <w:r w:rsidR="007F1BA3" w:rsidRPr="009509A0">
          <w:rPr>
            <w:rStyle w:val="Hypertextovprepojenie"/>
          </w:rPr>
          <w:t>Finančné zdroje</w:t>
        </w:r>
        <w:r w:rsidR="007F1BA3">
          <w:rPr>
            <w:webHidden/>
          </w:rPr>
          <w:tab/>
        </w:r>
        <w:r>
          <w:rPr>
            <w:webHidden/>
          </w:rPr>
          <w:fldChar w:fldCharType="begin"/>
        </w:r>
        <w:r w:rsidR="007F1BA3">
          <w:rPr>
            <w:webHidden/>
          </w:rPr>
          <w:instrText xml:space="preserve"> PAGEREF _Toc356292981 \h </w:instrText>
        </w:r>
        <w:r>
          <w:rPr>
            <w:webHidden/>
          </w:rPr>
        </w:r>
        <w:r>
          <w:rPr>
            <w:webHidden/>
          </w:rPr>
          <w:fldChar w:fldCharType="separate"/>
        </w:r>
        <w:r w:rsidR="001872A2">
          <w:rPr>
            <w:webHidden/>
          </w:rPr>
          <w:t>48</w:t>
        </w:r>
        <w:r>
          <w:rPr>
            <w:webHidden/>
          </w:rPr>
          <w:fldChar w:fldCharType="end"/>
        </w:r>
      </w:hyperlink>
    </w:p>
    <w:p w:rsidR="007F1BA3" w:rsidRDefault="00E01F0B" w:rsidP="00B75AD1">
      <w:pPr>
        <w:pStyle w:val="Obsah1"/>
        <w:rPr>
          <w:b/>
        </w:rPr>
      </w:pPr>
      <w:hyperlink w:anchor="_Toc356292982" w:history="1">
        <w:r w:rsidR="007F1BA3" w:rsidRPr="009509A0">
          <w:rPr>
            <w:rStyle w:val="Hypertextovprepojenie"/>
          </w:rPr>
          <w:t>7</w:t>
        </w:r>
        <w:r w:rsidR="007F1BA3">
          <w:tab/>
        </w:r>
        <w:r w:rsidR="007F1BA3" w:rsidRPr="009509A0">
          <w:rPr>
            <w:rStyle w:val="Hypertextovprepojenie"/>
          </w:rPr>
          <w:t xml:space="preserve">Vyhodnocovanie plnenia cieľov </w:t>
        </w:r>
        <w:r w:rsidR="007F1BA3">
          <w:rPr>
            <w:rStyle w:val="Hypertextovprepojenie"/>
          </w:rPr>
          <w:t>p</w:t>
        </w:r>
        <w:r w:rsidR="007F1BA3" w:rsidRPr="009509A0">
          <w:rPr>
            <w:rStyle w:val="Hypertextovprepojenie"/>
          </w:rPr>
          <w:t>rogramu</w:t>
        </w:r>
        <w:r w:rsidR="007F1BA3">
          <w:rPr>
            <w:webHidden/>
          </w:rPr>
          <w:tab/>
        </w:r>
        <w:r>
          <w:rPr>
            <w:webHidden/>
          </w:rPr>
          <w:fldChar w:fldCharType="begin"/>
        </w:r>
        <w:r w:rsidR="007F1BA3">
          <w:rPr>
            <w:webHidden/>
          </w:rPr>
          <w:instrText xml:space="preserve"> PAGEREF _Toc356292982 \h </w:instrText>
        </w:r>
        <w:r>
          <w:rPr>
            <w:webHidden/>
          </w:rPr>
        </w:r>
        <w:r>
          <w:rPr>
            <w:webHidden/>
          </w:rPr>
          <w:fldChar w:fldCharType="separate"/>
        </w:r>
        <w:r w:rsidR="001872A2">
          <w:rPr>
            <w:webHidden/>
          </w:rPr>
          <w:t>49</w:t>
        </w:r>
        <w:r>
          <w:rPr>
            <w:webHidden/>
          </w:rPr>
          <w:fldChar w:fldCharType="end"/>
        </w:r>
      </w:hyperlink>
    </w:p>
    <w:p w:rsidR="007F1BA3" w:rsidRDefault="00E01F0B">
      <w:r>
        <w:lastRenderedPageBreak/>
        <w:fldChar w:fldCharType="end"/>
      </w:r>
    </w:p>
    <w:p w:rsidR="007F1BA3" w:rsidRPr="00200096" w:rsidRDefault="007F1BA3" w:rsidP="008C1AE6">
      <w:pPr>
        <w:pStyle w:val="Nadpis1"/>
      </w:pPr>
      <w:bookmarkStart w:id="3" w:name="_Toc315077106"/>
      <w:bookmarkStart w:id="4" w:name="_Toc356292943"/>
      <w:r w:rsidRPr="00200096">
        <w:t>Použité skratky</w:t>
      </w:r>
      <w:bookmarkEnd w:id="3"/>
      <w:bookmarkEnd w:id="4"/>
    </w:p>
    <w:p w:rsidR="007F1BA3" w:rsidRPr="00200096" w:rsidRDefault="007F1BA3" w:rsidP="00A462F5"/>
    <w:tbl>
      <w:tblPr>
        <w:tblW w:w="9322" w:type="dxa"/>
        <w:tblLook w:val="00A0"/>
      </w:tblPr>
      <w:tblGrid>
        <w:gridCol w:w="1951"/>
        <w:gridCol w:w="7371"/>
      </w:tblGrid>
      <w:tr w:rsidR="007F1BA3" w:rsidRPr="00200096" w:rsidTr="008C1AE6">
        <w:tc>
          <w:tcPr>
            <w:tcW w:w="1951" w:type="dxa"/>
          </w:tcPr>
          <w:p w:rsidR="007F1BA3" w:rsidRPr="00607413" w:rsidRDefault="007F1BA3" w:rsidP="00EB30F2">
            <w:r>
              <w:t>BRKO</w:t>
            </w:r>
          </w:p>
        </w:tc>
        <w:tc>
          <w:tcPr>
            <w:tcW w:w="7371" w:type="dxa"/>
          </w:tcPr>
          <w:p w:rsidR="007F1BA3" w:rsidRDefault="007F1BA3" w:rsidP="00EB30F2">
            <w:r>
              <w:t>Biologicky rozložiteľný komunálny odpad</w:t>
            </w:r>
          </w:p>
        </w:tc>
      </w:tr>
      <w:tr w:rsidR="007F1BA3" w:rsidRPr="00200096" w:rsidTr="008C1AE6">
        <w:tc>
          <w:tcPr>
            <w:tcW w:w="1951" w:type="dxa"/>
          </w:tcPr>
          <w:p w:rsidR="007F1BA3" w:rsidRPr="00607413" w:rsidRDefault="007F1BA3" w:rsidP="00472367">
            <w:r>
              <w:t>COHEM</w:t>
            </w:r>
          </w:p>
        </w:tc>
        <w:tc>
          <w:tcPr>
            <w:tcW w:w="7371" w:type="dxa"/>
          </w:tcPr>
          <w:p w:rsidR="007F1BA3" w:rsidRDefault="007F1BA3" w:rsidP="00472367">
            <w:r>
              <w:t>Centrum odpadového hospodárstva a environmentálneho manažérstva</w:t>
            </w:r>
          </w:p>
        </w:tc>
      </w:tr>
      <w:tr w:rsidR="007F1BA3" w:rsidRPr="00200096" w:rsidTr="008C1AE6">
        <w:tc>
          <w:tcPr>
            <w:tcW w:w="1951" w:type="dxa"/>
          </w:tcPr>
          <w:p w:rsidR="007F1BA3" w:rsidRDefault="007F1BA3" w:rsidP="00630272">
            <w:r>
              <w:t>DPSIR</w:t>
            </w:r>
          </w:p>
          <w:p w:rsidR="007F1BA3" w:rsidRDefault="007F1BA3" w:rsidP="00630272">
            <w:r>
              <w:t>DSO</w:t>
            </w:r>
          </w:p>
          <w:p w:rsidR="007F1BA3" w:rsidRPr="00DD6D44" w:rsidRDefault="007F1BA3" w:rsidP="00630272">
            <w:r w:rsidRPr="00DD6D44">
              <w:t>EK</w:t>
            </w:r>
          </w:p>
        </w:tc>
        <w:tc>
          <w:tcPr>
            <w:tcW w:w="7371" w:type="dxa"/>
          </w:tcPr>
          <w:p w:rsidR="007F1BA3" w:rsidRDefault="007F1BA3" w:rsidP="005E7DA1">
            <w:proofErr w:type="spellStart"/>
            <w:r w:rsidRPr="00825F07">
              <w:rPr>
                <w:b/>
              </w:rPr>
              <w:t>D</w:t>
            </w:r>
            <w:r>
              <w:t>riving</w:t>
            </w:r>
            <w:proofErr w:type="spellEnd"/>
            <w:r>
              <w:t xml:space="preserve"> </w:t>
            </w:r>
            <w:proofErr w:type="spellStart"/>
            <w:r>
              <w:t>force</w:t>
            </w:r>
            <w:proofErr w:type="spellEnd"/>
            <w:r>
              <w:t xml:space="preserve">, </w:t>
            </w:r>
            <w:proofErr w:type="spellStart"/>
            <w:r w:rsidRPr="00825F07">
              <w:rPr>
                <w:b/>
              </w:rPr>
              <w:t>P</w:t>
            </w:r>
            <w:r>
              <w:t>resure</w:t>
            </w:r>
            <w:proofErr w:type="spellEnd"/>
            <w:r>
              <w:t xml:space="preserve">, </w:t>
            </w:r>
            <w:r w:rsidRPr="00825F07">
              <w:rPr>
                <w:b/>
              </w:rPr>
              <w:t>S</w:t>
            </w:r>
            <w:r>
              <w:t xml:space="preserve">tate, </w:t>
            </w:r>
            <w:proofErr w:type="spellStart"/>
            <w:r w:rsidRPr="00825F07">
              <w:rPr>
                <w:b/>
              </w:rPr>
              <w:t>I</w:t>
            </w:r>
            <w:r>
              <w:t>mpact</w:t>
            </w:r>
            <w:proofErr w:type="spellEnd"/>
            <w:r>
              <w:t xml:space="preserve">, </w:t>
            </w:r>
            <w:proofErr w:type="spellStart"/>
            <w:r w:rsidRPr="00825F07">
              <w:rPr>
                <w:b/>
              </w:rPr>
              <w:t>R</w:t>
            </w:r>
            <w:r>
              <w:t>epsonse</w:t>
            </w:r>
            <w:proofErr w:type="spellEnd"/>
          </w:p>
          <w:p w:rsidR="007F1BA3" w:rsidRDefault="007F1BA3" w:rsidP="005E7DA1">
            <w:r>
              <w:t>Drobné stavebné odpady</w:t>
            </w:r>
          </w:p>
          <w:p w:rsidR="007F1BA3" w:rsidRPr="00DD6D44" w:rsidRDefault="007F1BA3" w:rsidP="005E7DA1">
            <w:r w:rsidRPr="00DD6D44">
              <w:t>Európska Komisia</w:t>
            </w:r>
          </w:p>
        </w:tc>
      </w:tr>
      <w:tr w:rsidR="007F1BA3" w:rsidRPr="00200096" w:rsidTr="008C1AE6">
        <w:tc>
          <w:tcPr>
            <w:tcW w:w="1951" w:type="dxa"/>
          </w:tcPr>
          <w:p w:rsidR="007F1BA3" w:rsidRPr="00607413" w:rsidRDefault="007F1BA3" w:rsidP="00EB30F2">
            <w:r>
              <w:t>EMAS</w:t>
            </w:r>
          </w:p>
        </w:tc>
        <w:tc>
          <w:tcPr>
            <w:tcW w:w="7371" w:type="dxa"/>
          </w:tcPr>
          <w:p w:rsidR="007F1BA3" w:rsidRDefault="007F1BA3" w:rsidP="00EB30F2">
            <w:proofErr w:type="spellStart"/>
            <w:r>
              <w:t>Eco-Management</w:t>
            </w:r>
            <w:proofErr w:type="spellEnd"/>
            <w:r>
              <w:t xml:space="preserve"> and Audit </w:t>
            </w:r>
            <w:proofErr w:type="spellStart"/>
            <w:r>
              <w:t>Scheme</w:t>
            </w:r>
            <w:proofErr w:type="spellEnd"/>
            <w:r>
              <w:t xml:space="preserve"> </w:t>
            </w:r>
          </w:p>
        </w:tc>
      </w:tr>
      <w:tr w:rsidR="007F1BA3" w:rsidRPr="00200096" w:rsidTr="008C1AE6">
        <w:tc>
          <w:tcPr>
            <w:tcW w:w="1951" w:type="dxa"/>
          </w:tcPr>
          <w:p w:rsidR="007F1BA3" w:rsidRPr="00607413" w:rsidRDefault="007F1BA3" w:rsidP="00EB30F2">
            <w:r>
              <w:t>EMS</w:t>
            </w:r>
          </w:p>
        </w:tc>
        <w:tc>
          <w:tcPr>
            <w:tcW w:w="7371" w:type="dxa"/>
          </w:tcPr>
          <w:p w:rsidR="007F1BA3" w:rsidRDefault="007F1BA3" w:rsidP="00EB30F2">
            <w:proofErr w:type="spellStart"/>
            <w:r>
              <w:t>Environmental</w:t>
            </w:r>
            <w:proofErr w:type="spellEnd"/>
            <w:r>
              <w:t xml:space="preserve"> </w:t>
            </w:r>
            <w:proofErr w:type="spellStart"/>
            <w:r>
              <w:t>Management</w:t>
            </w:r>
            <w:proofErr w:type="spellEnd"/>
            <w:r>
              <w:t xml:space="preserve"> </w:t>
            </w:r>
            <w:proofErr w:type="spellStart"/>
            <w:r>
              <w:t>System</w:t>
            </w:r>
            <w:proofErr w:type="spellEnd"/>
          </w:p>
        </w:tc>
      </w:tr>
      <w:tr w:rsidR="007F1BA3" w:rsidRPr="00200096" w:rsidTr="008C1AE6">
        <w:tc>
          <w:tcPr>
            <w:tcW w:w="1951" w:type="dxa"/>
          </w:tcPr>
          <w:p w:rsidR="007F1BA3" w:rsidRPr="00DD6D44" w:rsidRDefault="007F1BA3" w:rsidP="00EB30F2">
            <w:r>
              <w:t>EP</w:t>
            </w:r>
          </w:p>
        </w:tc>
        <w:tc>
          <w:tcPr>
            <w:tcW w:w="7371" w:type="dxa"/>
          </w:tcPr>
          <w:p w:rsidR="007F1BA3" w:rsidRPr="00DD6D44" w:rsidRDefault="007F1BA3" w:rsidP="00EB30F2">
            <w:r>
              <w:t>Európsky parlament</w:t>
            </w:r>
            <w:r w:rsidRPr="00DD6D44">
              <w:t xml:space="preserve"> </w:t>
            </w:r>
          </w:p>
        </w:tc>
      </w:tr>
      <w:tr w:rsidR="007F1BA3" w:rsidRPr="00200096" w:rsidTr="008C1AE6">
        <w:tc>
          <w:tcPr>
            <w:tcW w:w="1951" w:type="dxa"/>
          </w:tcPr>
          <w:p w:rsidR="007F1BA3" w:rsidRPr="00DD6D44" w:rsidRDefault="007F1BA3" w:rsidP="00EB30F2">
            <w:r w:rsidRPr="00DD6D44">
              <w:t>ES</w:t>
            </w:r>
          </w:p>
        </w:tc>
        <w:tc>
          <w:tcPr>
            <w:tcW w:w="7371" w:type="dxa"/>
          </w:tcPr>
          <w:p w:rsidR="007F1BA3" w:rsidRPr="00DD6D44" w:rsidRDefault="007F1BA3" w:rsidP="00EB30F2">
            <w:r w:rsidRPr="00DD6D44">
              <w:t>Európske spoločenstvo</w:t>
            </w:r>
          </w:p>
        </w:tc>
      </w:tr>
      <w:tr w:rsidR="007F1BA3" w:rsidRPr="00200096" w:rsidTr="008C1AE6">
        <w:tc>
          <w:tcPr>
            <w:tcW w:w="1951" w:type="dxa"/>
          </w:tcPr>
          <w:p w:rsidR="007F1BA3" w:rsidRPr="00DD6D44" w:rsidRDefault="007F1BA3" w:rsidP="00CD587A">
            <w:r w:rsidRPr="00DD6D44">
              <w:t>EÚ</w:t>
            </w:r>
          </w:p>
        </w:tc>
        <w:tc>
          <w:tcPr>
            <w:tcW w:w="7371" w:type="dxa"/>
          </w:tcPr>
          <w:p w:rsidR="007F1BA3" w:rsidRPr="00DD6D44" w:rsidRDefault="007F1BA3" w:rsidP="00CD587A">
            <w:r w:rsidRPr="00DD6D44">
              <w:t>Európska únia</w:t>
            </w:r>
          </w:p>
        </w:tc>
      </w:tr>
      <w:tr w:rsidR="007F1BA3" w:rsidRPr="00200096" w:rsidTr="008C1AE6">
        <w:tc>
          <w:tcPr>
            <w:tcW w:w="1951" w:type="dxa"/>
          </w:tcPr>
          <w:p w:rsidR="007F1BA3" w:rsidRDefault="007F1BA3" w:rsidP="008C1AE6">
            <w:r>
              <w:t>EVP</w:t>
            </w:r>
          </w:p>
        </w:tc>
        <w:tc>
          <w:tcPr>
            <w:tcW w:w="7371" w:type="dxa"/>
          </w:tcPr>
          <w:p w:rsidR="007F1BA3" w:rsidRDefault="007F1BA3" w:rsidP="008C1AE6">
            <w:pPr>
              <w:rPr>
                <w:rStyle w:val="st1"/>
                <w:rFonts w:cs="Arial"/>
                <w:color w:val="222222"/>
              </w:rPr>
            </w:pPr>
            <w:r>
              <w:rPr>
                <w:rStyle w:val="st1"/>
                <w:rFonts w:cs="Arial"/>
                <w:color w:val="222222"/>
              </w:rPr>
              <w:t>Environmentálne vhodný produkt</w:t>
            </w:r>
          </w:p>
        </w:tc>
      </w:tr>
      <w:tr w:rsidR="007F1BA3" w:rsidRPr="00200096" w:rsidTr="008C1AE6">
        <w:tc>
          <w:tcPr>
            <w:tcW w:w="1951" w:type="dxa"/>
          </w:tcPr>
          <w:p w:rsidR="007F1BA3" w:rsidRPr="00607413" w:rsidRDefault="007F1BA3" w:rsidP="008C1AE6">
            <w:r>
              <w:t>GPP</w:t>
            </w:r>
          </w:p>
        </w:tc>
        <w:tc>
          <w:tcPr>
            <w:tcW w:w="7371" w:type="dxa"/>
          </w:tcPr>
          <w:p w:rsidR="007F1BA3" w:rsidRPr="000E1357" w:rsidRDefault="007F1BA3" w:rsidP="00607413">
            <w:proofErr w:type="spellStart"/>
            <w:r>
              <w:rPr>
                <w:rStyle w:val="st1"/>
                <w:rFonts w:cs="Arial"/>
                <w:color w:val="222222"/>
              </w:rPr>
              <w:t>Green</w:t>
            </w:r>
            <w:proofErr w:type="spellEnd"/>
            <w:r>
              <w:rPr>
                <w:rStyle w:val="st1"/>
                <w:rFonts w:cs="Arial"/>
                <w:color w:val="222222"/>
              </w:rPr>
              <w:t xml:space="preserve"> </w:t>
            </w:r>
            <w:proofErr w:type="spellStart"/>
            <w:r>
              <w:rPr>
                <w:rStyle w:val="st1"/>
                <w:rFonts w:cs="Arial"/>
                <w:color w:val="222222"/>
              </w:rPr>
              <w:t>Public</w:t>
            </w:r>
            <w:proofErr w:type="spellEnd"/>
            <w:r>
              <w:rPr>
                <w:rStyle w:val="st1"/>
                <w:rFonts w:cs="Arial"/>
                <w:color w:val="222222"/>
              </w:rPr>
              <w:t xml:space="preserve"> </w:t>
            </w:r>
            <w:proofErr w:type="spellStart"/>
            <w:r>
              <w:rPr>
                <w:rStyle w:val="st1"/>
                <w:rFonts w:cs="Arial"/>
                <w:color w:val="222222"/>
              </w:rPr>
              <w:t>Procurement</w:t>
            </w:r>
            <w:proofErr w:type="spellEnd"/>
          </w:p>
        </w:tc>
      </w:tr>
      <w:tr w:rsidR="007F1BA3" w:rsidRPr="00200096" w:rsidTr="008C1AE6">
        <w:tc>
          <w:tcPr>
            <w:tcW w:w="1951" w:type="dxa"/>
          </w:tcPr>
          <w:p w:rsidR="007F1BA3" w:rsidRPr="00607413" w:rsidRDefault="007F1BA3" w:rsidP="00EB30F2">
            <w:r>
              <w:t>HDP</w:t>
            </w:r>
          </w:p>
        </w:tc>
        <w:tc>
          <w:tcPr>
            <w:tcW w:w="7371" w:type="dxa"/>
          </w:tcPr>
          <w:p w:rsidR="007F1BA3" w:rsidRDefault="007F1BA3" w:rsidP="00472367">
            <w:r>
              <w:t>Hrubý domáci produkt</w:t>
            </w:r>
          </w:p>
        </w:tc>
      </w:tr>
      <w:tr w:rsidR="007F1BA3" w:rsidRPr="00200096" w:rsidTr="008C1AE6">
        <w:tc>
          <w:tcPr>
            <w:tcW w:w="1951" w:type="dxa"/>
          </w:tcPr>
          <w:p w:rsidR="007F1BA3" w:rsidRPr="00607413" w:rsidRDefault="007F1BA3" w:rsidP="00EB30F2">
            <w:r>
              <w:t>IBV</w:t>
            </w:r>
          </w:p>
        </w:tc>
        <w:tc>
          <w:tcPr>
            <w:tcW w:w="7371" w:type="dxa"/>
          </w:tcPr>
          <w:p w:rsidR="007F1BA3" w:rsidRDefault="007F1BA3" w:rsidP="00EB30F2">
            <w:r>
              <w:t>Individuálna bytová výstavba</w:t>
            </w:r>
          </w:p>
        </w:tc>
      </w:tr>
      <w:tr w:rsidR="007F1BA3" w:rsidRPr="00200096" w:rsidTr="008C1AE6">
        <w:tc>
          <w:tcPr>
            <w:tcW w:w="1951" w:type="dxa"/>
          </w:tcPr>
          <w:p w:rsidR="007F1BA3" w:rsidRPr="00607413" w:rsidRDefault="007F1BA3" w:rsidP="00EB30F2">
            <w:r>
              <w:t>ISO</w:t>
            </w:r>
          </w:p>
        </w:tc>
        <w:tc>
          <w:tcPr>
            <w:tcW w:w="7371" w:type="dxa"/>
          </w:tcPr>
          <w:p w:rsidR="007F1BA3" w:rsidRDefault="007F1BA3" w:rsidP="00EB30F2">
            <w:proofErr w:type="spellStart"/>
            <w:r w:rsidRPr="000E1357">
              <w:rPr>
                <w:rStyle w:val="st1"/>
                <w:rFonts w:cs="Arial"/>
                <w:color w:val="222222"/>
              </w:rPr>
              <w:t>International</w:t>
            </w:r>
            <w:proofErr w:type="spellEnd"/>
            <w:r w:rsidRPr="000E1357">
              <w:rPr>
                <w:rStyle w:val="st1"/>
                <w:rFonts w:cs="Arial"/>
                <w:color w:val="222222"/>
              </w:rPr>
              <w:t xml:space="preserve"> </w:t>
            </w:r>
            <w:proofErr w:type="spellStart"/>
            <w:r w:rsidRPr="000E1357">
              <w:rPr>
                <w:rStyle w:val="st1"/>
                <w:rFonts w:cs="Arial"/>
                <w:color w:val="222222"/>
              </w:rPr>
              <w:t>Organization</w:t>
            </w:r>
            <w:proofErr w:type="spellEnd"/>
            <w:r w:rsidRPr="000E1357">
              <w:rPr>
                <w:rStyle w:val="st1"/>
                <w:rFonts w:cs="Arial"/>
                <w:color w:val="222222"/>
              </w:rPr>
              <w:t xml:space="preserve"> </w:t>
            </w:r>
            <w:proofErr w:type="spellStart"/>
            <w:r w:rsidRPr="000E1357">
              <w:rPr>
                <w:rStyle w:val="st1"/>
                <w:rFonts w:cs="Arial"/>
                <w:color w:val="222222"/>
              </w:rPr>
              <w:t>for</w:t>
            </w:r>
            <w:proofErr w:type="spellEnd"/>
            <w:r w:rsidRPr="000E1357">
              <w:rPr>
                <w:rStyle w:val="st1"/>
                <w:rFonts w:cs="Arial"/>
                <w:color w:val="222222"/>
              </w:rPr>
              <w:t xml:space="preserve"> </w:t>
            </w:r>
            <w:proofErr w:type="spellStart"/>
            <w:r w:rsidRPr="000E1357">
              <w:rPr>
                <w:rStyle w:val="st1"/>
                <w:rFonts w:cs="Arial"/>
                <w:color w:val="222222"/>
              </w:rPr>
              <w:t>Standardization</w:t>
            </w:r>
            <w:proofErr w:type="spellEnd"/>
          </w:p>
        </w:tc>
      </w:tr>
      <w:tr w:rsidR="007F1BA3" w:rsidRPr="00200096" w:rsidTr="008C1AE6">
        <w:tc>
          <w:tcPr>
            <w:tcW w:w="1951" w:type="dxa"/>
          </w:tcPr>
          <w:p w:rsidR="007F1BA3" w:rsidRPr="00607413" w:rsidRDefault="007F1BA3" w:rsidP="00EB30F2">
            <w:r>
              <w:t>KBV</w:t>
            </w:r>
          </w:p>
        </w:tc>
        <w:tc>
          <w:tcPr>
            <w:tcW w:w="7371" w:type="dxa"/>
          </w:tcPr>
          <w:p w:rsidR="007F1BA3" w:rsidRDefault="007F1BA3" w:rsidP="00EB30F2">
            <w:r>
              <w:t>Komplexná bytová výstavba</w:t>
            </w:r>
          </w:p>
        </w:tc>
      </w:tr>
      <w:tr w:rsidR="007F1BA3" w:rsidRPr="00200096" w:rsidTr="008C1AE6">
        <w:tc>
          <w:tcPr>
            <w:tcW w:w="1951" w:type="dxa"/>
          </w:tcPr>
          <w:p w:rsidR="007F1BA3" w:rsidRPr="00607413" w:rsidRDefault="007F1BA3" w:rsidP="00EB30F2">
            <w:r>
              <w:t>KO</w:t>
            </w:r>
          </w:p>
        </w:tc>
        <w:tc>
          <w:tcPr>
            <w:tcW w:w="7371" w:type="dxa"/>
          </w:tcPr>
          <w:p w:rsidR="007F1BA3" w:rsidRDefault="007F1BA3" w:rsidP="00EB30F2">
            <w:r>
              <w:t>Komunálne odpady</w:t>
            </w:r>
          </w:p>
        </w:tc>
      </w:tr>
      <w:tr w:rsidR="007F1BA3" w:rsidRPr="00200096" w:rsidTr="008C1AE6">
        <w:tc>
          <w:tcPr>
            <w:tcW w:w="1951" w:type="dxa"/>
          </w:tcPr>
          <w:p w:rsidR="007F1BA3" w:rsidRDefault="007F1BA3" w:rsidP="008C1AE6">
            <w:r>
              <w:t>LCA</w:t>
            </w:r>
          </w:p>
        </w:tc>
        <w:tc>
          <w:tcPr>
            <w:tcW w:w="7371" w:type="dxa"/>
          </w:tcPr>
          <w:p w:rsidR="007F1BA3" w:rsidRDefault="007F1BA3" w:rsidP="008C1AE6">
            <w:pPr>
              <w:rPr>
                <w:rStyle w:val="st1"/>
                <w:rFonts w:cs="Arial"/>
                <w:color w:val="222222"/>
              </w:rPr>
            </w:pPr>
            <w:proofErr w:type="spellStart"/>
            <w:r>
              <w:rPr>
                <w:rStyle w:val="st1"/>
                <w:rFonts w:cs="Arial"/>
                <w:color w:val="222222"/>
              </w:rPr>
              <w:t>Life</w:t>
            </w:r>
            <w:proofErr w:type="spellEnd"/>
            <w:r>
              <w:rPr>
                <w:rStyle w:val="st1"/>
                <w:rFonts w:cs="Arial"/>
                <w:color w:val="222222"/>
              </w:rPr>
              <w:t xml:space="preserve"> </w:t>
            </w:r>
            <w:proofErr w:type="spellStart"/>
            <w:r>
              <w:rPr>
                <w:rStyle w:val="st1"/>
                <w:rFonts w:cs="Arial"/>
                <w:color w:val="222222"/>
              </w:rPr>
              <w:t>Cycle</w:t>
            </w:r>
            <w:proofErr w:type="spellEnd"/>
            <w:r>
              <w:rPr>
                <w:rStyle w:val="st1"/>
                <w:rFonts w:cs="Arial"/>
                <w:color w:val="222222"/>
              </w:rPr>
              <w:t xml:space="preserve"> </w:t>
            </w:r>
            <w:proofErr w:type="spellStart"/>
            <w:r>
              <w:rPr>
                <w:rStyle w:val="st1"/>
                <w:rFonts w:cs="Arial"/>
                <w:color w:val="222222"/>
              </w:rPr>
              <w:t>Assessment</w:t>
            </w:r>
            <w:proofErr w:type="spellEnd"/>
          </w:p>
        </w:tc>
      </w:tr>
      <w:tr w:rsidR="007F1BA3" w:rsidRPr="00200096" w:rsidTr="008C1AE6">
        <w:tc>
          <w:tcPr>
            <w:tcW w:w="1951" w:type="dxa"/>
          </w:tcPr>
          <w:p w:rsidR="007F1BA3" w:rsidRPr="00DD6D44" w:rsidRDefault="007F1BA3" w:rsidP="00630272">
            <w:r>
              <w:t>MH SR</w:t>
            </w:r>
          </w:p>
        </w:tc>
        <w:tc>
          <w:tcPr>
            <w:tcW w:w="7371" w:type="dxa"/>
          </w:tcPr>
          <w:p w:rsidR="007F1BA3" w:rsidRPr="00DD6D44" w:rsidRDefault="007F1BA3" w:rsidP="00630272">
            <w:r>
              <w:t>Ministerstvo hospodárstva Slovenskej republiky</w:t>
            </w:r>
          </w:p>
        </w:tc>
      </w:tr>
      <w:tr w:rsidR="007F1BA3" w:rsidRPr="00200096" w:rsidTr="008C1AE6">
        <w:tc>
          <w:tcPr>
            <w:tcW w:w="1951" w:type="dxa"/>
          </w:tcPr>
          <w:p w:rsidR="007F1BA3" w:rsidRPr="00DD6D44" w:rsidRDefault="007F1BA3" w:rsidP="00EB30F2">
            <w:r w:rsidRPr="00DD6D44">
              <w:t>MŽP SR</w:t>
            </w:r>
          </w:p>
        </w:tc>
        <w:tc>
          <w:tcPr>
            <w:tcW w:w="7371" w:type="dxa"/>
          </w:tcPr>
          <w:p w:rsidR="007F1BA3" w:rsidRPr="00DD6D44" w:rsidRDefault="007F1BA3" w:rsidP="00EB30F2">
            <w:r w:rsidRPr="00DD6D44">
              <w:t>Ministerstvo životného prostredia Slovenskej republiky</w:t>
            </w:r>
          </w:p>
        </w:tc>
      </w:tr>
      <w:tr w:rsidR="007F1BA3" w:rsidRPr="00200096" w:rsidTr="008C1AE6">
        <w:tc>
          <w:tcPr>
            <w:tcW w:w="1951" w:type="dxa"/>
          </w:tcPr>
          <w:p w:rsidR="007F1BA3" w:rsidRDefault="007F1BA3" w:rsidP="00EB30F2">
            <w:r>
              <w:t>NO</w:t>
            </w:r>
          </w:p>
          <w:p w:rsidR="007F1BA3" w:rsidRPr="00607413" w:rsidRDefault="007F1BA3" w:rsidP="00EB30F2">
            <w:r>
              <w:t>OZE</w:t>
            </w:r>
          </w:p>
        </w:tc>
        <w:tc>
          <w:tcPr>
            <w:tcW w:w="7371" w:type="dxa"/>
          </w:tcPr>
          <w:p w:rsidR="007F1BA3" w:rsidRDefault="007F1BA3" w:rsidP="00EB30F2">
            <w:r>
              <w:t>Nebezpečné odpady</w:t>
            </w:r>
          </w:p>
          <w:p w:rsidR="007F1BA3" w:rsidRDefault="007F1BA3" w:rsidP="00EB30F2">
            <w:r>
              <w:t>Obnoviteľné zdroje energie</w:t>
            </w:r>
          </w:p>
        </w:tc>
      </w:tr>
      <w:tr w:rsidR="007F1BA3" w:rsidRPr="00200096" w:rsidTr="008C1AE6">
        <w:tc>
          <w:tcPr>
            <w:tcW w:w="1951" w:type="dxa"/>
          </w:tcPr>
          <w:p w:rsidR="007F1BA3" w:rsidRPr="00DD6D44" w:rsidRDefault="007F1BA3" w:rsidP="00630272">
            <w:r w:rsidRPr="00DD6D44">
              <w:t>PHÚ</w:t>
            </w:r>
          </w:p>
        </w:tc>
        <w:tc>
          <w:tcPr>
            <w:tcW w:w="7371" w:type="dxa"/>
          </w:tcPr>
          <w:p w:rsidR="007F1BA3" w:rsidRPr="00DD6D44" w:rsidRDefault="007F1BA3" w:rsidP="00630272">
            <w:r w:rsidRPr="00DD6D44">
              <w:t>Plán hlavných úloh</w:t>
            </w:r>
          </w:p>
        </w:tc>
      </w:tr>
      <w:tr w:rsidR="007F1BA3" w:rsidRPr="00200096" w:rsidTr="008C1AE6">
        <w:tc>
          <w:tcPr>
            <w:tcW w:w="1951" w:type="dxa"/>
          </w:tcPr>
          <w:p w:rsidR="007F1BA3" w:rsidRPr="00DD6D44" w:rsidRDefault="007F1BA3" w:rsidP="00EB30F2">
            <w:r>
              <w:lastRenderedPageBreak/>
              <w:t>POH SR</w:t>
            </w:r>
          </w:p>
        </w:tc>
        <w:tc>
          <w:tcPr>
            <w:tcW w:w="7371" w:type="dxa"/>
          </w:tcPr>
          <w:p w:rsidR="007F1BA3" w:rsidRPr="00DD6D44" w:rsidRDefault="007F1BA3" w:rsidP="00EB30F2">
            <w:r>
              <w:t>Program odpadového hospodárstva Slovenskej republiky</w:t>
            </w:r>
          </w:p>
        </w:tc>
      </w:tr>
      <w:tr w:rsidR="007F1BA3" w:rsidRPr="00200096" w:rsidTr="008C1AE6">
        <w:tc>
          <w:tcPr>
            <w:tcW w:w="1951" w:type="dxa"/>
          </w:tcPr>
          <w:p w:rsidR="007F1BA3" w:rsidRPr="00DD6D44" w:rsidRDefault="007F1BA3" w:rsidP="00EB30F2">
            <w:r>
              <w:t>PPVO</w:t>
            </w:r>
          </w:p>
        </w:tc>
        <w:tc>
          <w:tcPr>
            <w:tcW w:w="7371" w:type="dxa"/>
          </w:tcPr>
          <w:p w:rsidR="007F1BA3" w:rsidRPr="00DD6D44" w:rsidRDefault="007F1BA3" w:rsidP="00EB30F2">
            <w:r>
              <w:t>Program predchádzania vzniku odpadu</w:t>
            </w:r>
          </w:p>
        </w:tc>
      </w:tr>
      <w:tr w:rsidR="007F1BA3" w:rsidRPr="00200096" w:rsidTr="008C1AE6">
        <w:tc>
          <w:tcPr>
            <w:tcW w:w="1951" w:type="dxa"/>
          </w:tcPr>
          <w:p w:rsidR="007F1BA3" w:rsidRPr="00DD6D44" w:rsidRDefault="007F1BA3" w:rsidP="00CD587A">
            <w:r>
              <w:t>RISO</w:t>
            </w:r>
          </w:p>
        </w:tc>
        <w:tc>
          <w:tcPr>
            <w:tcW w:w="7371" w:type="dxa"/>
          </w:tcPr>
          <w:p w:rsidR="007F1BA3" w:rsidRPr="00DD6D44" w:rsidRDefault="007F1BA3" w:rsidP="00CD587A">
            <w:r>
              <w:t>Regionálny informačný systém o odpadoch</w:t>
            </w:r>
          </w:p>
        </w:tc>
      </w:tr>
      <w:tr w:rsidR="007F1BA3" w:rsidRPr="00200096" w:rsidTr="008C1AE6">
        <w:tc>
          <w:tcPr>
            <w:tcW w:w="1951" w:type="dxa"/>
          </w:tcPr>
          <w:p w:rsidR="007F1BA3" w:rsidRPr="00DD6D44" w:rsidRDefault="007F1BA3" w:rsidP="00EB30F2">
            <w:r w:rsidRPr="00DD6D44">
              <w:t>SAŽP</w:t>
            </w:r>
          </w:p>
        </w:tc>
        <w:tc>
          <w:tcPr>
            <w:tcW w:w="7371" w:type="dxa"/>
          </w:tcPr>
          <w:p w:rsidR="007F1BA3" w:rsidRPr="00DD6D44" w:rsidRDefault="007F1BA3" w:rsidP="00EB30F2">
            <w:r w:rsidRPr="00DD6D44">
              <w:t>Slovenská agentúra životného prostredia</w:t>
            </w:r>
          </w:p>
        </w:tc>
      </w:tr>
      <w:tr w:rsidR="007F1BA3" w:rsidRPr="00200096" w:rsidTr="008C1AE6">
        <w:tc>
          <w:tcPr>
            <w:tcW w:w="1951" w:type="dxa"/>
          </w:tcPr>
          <w:p w:rsidR="007F1BA3" w:rsidRPr="00607413" w:rsidRDefault="007F1BA3" w:rsidP="00EB30F2">
            <w:r>
              <w:t>SDO</w:t>
            </w:r>
          </w:p>
        </w:tc>
        <w:tc>
          <w:tcPr>
            <w:tcW w:w="7371" w:type="dxa"/>
          </w:tcPr>
          <w:p w:rsidR="007F1BA3" w:rsidRDefault="007F1BA3" w:rsidP="00EB30F2">
            <w:r>
              <w:t>Stavebný a demolačný odpad</w:t>
            </w:r>
          </w:p>
        </w:tc>
      </w:tr>
      <w:tr w:rsidR="007F1BA3" w:rsidRPr="00200096" w:rsidTr="008C1AE6">
        <w:tc>
          <w:tcPr>
            <w:tcW w:w="1951" w:type="dxa"/>
          </w:tcPr>
          <w:p w:rsidR="007F1BA3" w:rsidRPr="00607413" w:rsidRDefault="007F1BA3" w:rsidP="00EB30F2">
            <w:r w:rsidRPr="00607413">
              <w:t>ŠÚ SR</w:t>
            </w:r>
          </w:p>
        </w:tc>
        <w:tc>
          <w:tcPr>
            <w:tcW w:w="7371" w:type="dxa"/>
          </w:tcPr>
          <w:p w:rsidR="007F1BA3" w:rsidRDefault="007F1BA3" w:rsidP="00EB30F2">
            <w:pPr>
              <w:tabs>
                <w:tab w:val="left" w:pos="3641"/>
              </w:tabs>
            </w:pPr>
            <w:r>
              <w:t>Štatistický úrad Slovenskej republiky</w:t>
            </w:r>
          </w:p>
        </w:tc>
      </w:tr>
      <w:tr w:rsidR="007F1BA3" w:rsidRPr="00200096" w:rsidTr="008C1AE6">
        <w:tc>
          <w:tcPr>
            <w:tcW w:w="1951" w:type="dxa"/>
          </w:tcPr>
          <w:p w:rsidR="007F1BA3" w:rsidRDefault="007F1BA3" w:rsidP="00EB30F2">
            <w:r>
              <w:t>VKM</w:t>
            </w:r>
          </w:p>
          <w:p w:rsidR="007F1BA3" w:rsidRPr="00607413" w:rsidRDefault="007F1BA3" w:rsidP="00EB30F2">
            <w:r>
              <w:t>TUR</w:t>
            </w:r>
          </w:p>
        </w:tc>
        <w:tc>
          <w:tcPr>
            <w:tcW w:w="7371" w:type="dxa"/>
          </w:tcPr>
          <w:p w:rsidR="007F1BA3" w:rsidRDefault="007F1BA3" w:rsidP="00EB30F2">
            <w:r>
              <w:t>Viacvrstvové kombinované materiály</w:t>
            </w:r>
          </w:p>
          <w:p w:rsidR="007F1BA3" w:rsidRDefault="007F1BA3" w:rsidP="00EB30F2">
            <w:r>
              <w:t>Trvalo udržateľný rozvoj</w:t>
            </w:r>
          </w:p>
        </w:tc>
      </w:tr>
    </w:tbl>
    <w:p w:rsidR="007F1BA3" w:rsidRPr="00200096" w:rsidRDefault="007F1BA3" w:rsidP="00A462F5">
      <w:r>
        <w:t>ZKO</w:t>
      </w:r>
      <w:r>
        <w:tab/>
      </w:r>
      <w:r>
        <w:tab/>
        <w:t xml:space="preserve">           Zmesový komunálny odpad </w:t>
      </w:r>
      <w:r>
        <w:tab/>
      </w:r>
      <w:r>
        <w:tab/>
        <w:t xml:space="preserve">    </w:t>
      </w:r>
      <w:r>
        <w:tab/>
      </w:r>
    </w:p>
    <w:p w:rsidR="00A94B1B" w:rsidRDefault="007F1BA3">
      <w:pPr>
        <w:pStyle w:val="Nadpis1"/>
        <w:ind w:left="360"/>
      </w:pPr>
      <w:r>
        <w:br w:type="page"/>
      </w:r>
      <w:bookmarkStart w:id="5" w:name="_Toc315077107"/>
      <w:bookmarkStart w:id="6" w:name="_Toc356292944"/>
      <w:r>
        <w:lastRenderedPageBreak/>
        <w:t xml:space="preserve">1     </w:t>
      </w:r>
      <w:r w:rsidRPr="00200096">
        <w:t>Úvod</w:t>
      </w:r>
      <w:bookmarkEnd w:id="5"/>
      <w:bookmarkEnd w:id="6"/>
    </w:p>
    <w:p w:rsidR="007F1BA3" w:rsidRPr="00200096" w:rsidRDefault="007F1BA3" w:rsidP="00A462F5"/>
    <w:p w:rsidR="007F1BA3" w:rsidRDefault="007F1BA3" w:rsidP="00637EF9">
      <w:pPr>
        <w:jc w:val="both"/>
      </w:pPr>
      <w:r w:rsidRPr="00200096">
        <w:t xml:space="preserve">Povinnosť vypracovať programy predchádzania vzniku odpadu ustanovuje Smernica Európskeho Parlamentu a Rady 2008/98/ES </w:t>
      </w:r>
      <w:r>
        <w:t xml:space="preserve">z 19. novembra 2008 </w:t>
      </w:r>
      <w:r w:rsidRPr="00200096">
        <w:t>o odpade a o zrušení určitých smerníc (</w:t>
      </w:r>
      <w:r>
        <w:t>ďalej len „</w:t>
      </w:r>
      <w:r w:rsidRPr="00200096">
        <w:t>rámcová smernica o</w:t>
      </w:r>
      <w:r>
        <w:t> </w:t>
      </w:r>
      <w:r w:rsidRPr="00200096">
        <w:t>odpade</w:t>
      </w:r>
      <w:r>
        <w:t>“</w:t>
      </w:r>
      <w:r w:rsidRPr="00200096">
        <w:t xml:space="preserve">). Hlavným zámerom opatrení prijatých v programoch predchádzania vzniku odpadu je dosiahnutie prerušenia súvislosti medzi hospodárskym rastom a vplyvmi na životné prostredie súvisiacimi so vznikom odpadov. </w:t>
      </w:r>
    </w:p>
    <w:p w:rsidR="007F1BA3" w:rsidRDefault="007F1BA3" w:rsidP="0063459A">
      <w:pPr>
        <w:spacing w:after="120"/>
        <w:jc w:val="both"/>
      </w:pPr>
      <w:r>
        <w:t xml:space="preserve">Ustanovenia rámcovej smernice o odpade boli prevzaté do právneho poriadku SR zákonom č. 343/2012 Z. z., ktorým sa mení a dopĺňa zákon č. 223/2001 Z. z. o odpadoch  a o zmene a doplnení niektorých zákonov v znení neskorších predpisov a o zmene a doplnení niektorých zákonov (ďalej len „novela zákona o odpadoch“), s účinnosťou od 1. januára 2013. </w:t>
      </w:r>
    </w:p>
    <w:p w:rsidR="007F1BA3" w:rsidRDefault="007F1BA3" w:rsidP="0063459A">
      <w:pPr>
        <w:spacing w:after="120"/>
        <w:jc w:val="both"/>
      </w:pPr>
      <w:r>
        <w:t>Program odpadového hospodárstva SR na roky 2011 až 2015 (POH SR 2011 – 2015) schválený uznesením vlády Slovenskej republiky č. 69 z 22. februára 2012 nestanovuje špecifické ciele v oblasti predchádzania vzniku odpadu. Avšak niektoré opatrenia v kapitole 3.2 sú zamerané na minimalizáciu vplyvu odpadov na zdravie ľudí a životné prostredie a na zníženie skládkovania biologicky rozložiteľných odpadov.</w:t>
      </w:r>
    </w:p>
    <w:p w:rsidR="007F1BA3" w:rsidRDefault="007F1BA3" w:rsidP="00A7712D">
      <w:pPr>
        <w:spacing w:after="120"/>
        <w:jc w:val="both"/>
      </w:pPr>
      <w:r>
        <w:t xml:space="preserve">V súlade s článkom 29 ods. 1 rámcovej smernice o odpade MŽP SR rozhodlo, že program predchádzania vzniku odpadu SR (PPVO SR) bude samostatný dokument. </w:t>
      </w:r>
    </w:p>
    <w:p w:rsidR="007F1BA3" w:rsidRDefault="007F1BA3" w:rsidP="00A7712D">
      <w:pPr>
        <w:spacing w:after="120"/>
        <w:jc w:val="both"/>
      </w:pPr>
      <w:r>
        <w:t>Pre SR je prijatie novej právnej úpravy veľkou výzvou a príležitosťou na zmenu hierarchie v odpadovom hospodárstve. Až doposiaľ sa hlavný a jediný dôraz kládol na plnenie cieľov recyklácie a zhodnocovania odpadov a predchádzaním vzniku odpadu sa nezaoberal žiaden strategický dokument.</w:t>
      </w:r>
    </w:p>
    <w:p w:rsidR="007F1BA3" w:rsidRDefault="007F1BA3" w:rsidP="00A7712D">
      <w:pPr>
        <w:spacing w:after="120"/>
        <w:jc w:val="both"/>
      </w:pPr>
      <w:r>
        <w:t>Za odpadové hospodárstvo zodpovedá MŽP SR. Predchádzaním vzniku odpadu sa musia zaoberať aj iné rezorty, v ktorých sa realizuje ťažba surovín, výroba, distribúcia a predaj tovarov a služieb.</w:t>
      </w:r>
    </w:p>
    <w:p w:rsidR="007F1BA3" w:rsidRDefault="007F1BA3" w:rsidP="00A7712D">
      <w:pPr>
        <w:spacing w:after="120"/>
        <w:jc w:val="both"/>
      </w:pPr>
    </w:p>
    <w:p w:rsidR="007F1BA3" w:rsidRDefault="007F1BA3" w:rsidP="00A7712D">
      <w:pPr>
        <w:spacing w:after="120"/>
        <w:jc w:val="both"/>
      </w:pPr>
      <w:r>
        <w:t>Rozhranie medzi predchádzaním vzniku odpadu a nakladaním s odpadmi uvádza obrázok 1.</w:t>
      </w:r>
    </w:p>
    <w:p w:rsidR="007F1BA3" w:rsidRDefault="007F1BA3" w:rsidP="00A7712D">
      <w:pPr>
        <w:spacing w:after="120"/>
        <w:jc w:val="both"/>
      </w:pPr>
    </w:p>
    <w:p w:rsidR="007F1BA3" w:rsidRDefault="007F1BA3" w:rsidP="00A7712D">
      <w:pPr>
        <w:spacing w:after="120"/>
        <w:jc w:val="both"/>
      </w:pPr>
    </w:p>
    <w:p w:rsidR="007F1BA3" w:rsidRDefault="007F1BA3" w:rsidP="00A7712D">
      <w:pPr>
        <w:spacing w:after="120"/>
        <w:jc w:val="both"/>
      </w:pPr>
    </w:p>
    <w:p w:rsidR="007F1BA3" w:rsidRDefault="007F1BA3" w:rsidP="00A7712D">
      <w:pPr>
        <w:spacing w:after="120"/>
        <w:jc w:val="both"/>
      </w:pPr>
    </w:p>
    <w:p w:rsidR="007F1BA3" w:rsidRDefault="007F1BA3" w:rsidP="00A7712D">
      <w:pPr>
        <w:spacing w:after="120"/>
        <w:jc w:val="both"/>
      </w:pPr>
    </w:p>
    <w:p w:rsidR="007F1BA3" w:rsidRDefault="007F1BA3" w:rsidP="00A7712D">
      <w:pPr>
        <w:spacing w:after="120"/>
        <w:jc w:val="both"/>
      </w:pPr>
    </w:p>
    <w:p w:rsidR="007F1BA3" w:rsidRDefault="007F1BA3" w:rsidP="00A7712D">
      <w:pPr>
        <w:spacing w:after="120"/>
        <w:jc w:val="both"/>
      </w:pPr>
    </w:p>
    <w:p w:rsidR="007F1BA3" w:rsidRDefault="007F1BA3" w:rsidP="00A7712D">
      <w:pPr>
        <w:spacing w:after="120"/>
        <w:jc w:val="both"/>
      </w:pPr>
    </w:p>
    <w:p w:rsidR="007F1BA3" w:rsidRDefault="007F1BA3" w:rsidP="00A7712D">
      <w:pPr>
        <w:spacing w:after="120"/>
        <w:jc w:val="both"/>
        <w:rPr>
          <w:b/>
        </w:rPr>
      </w:pPr>
    </w:p>
    <w:p w:rsidR="007F1BA3" w:rsidRDefault="007F1BA3" w:rsidP="00A7712D">
      <w:pPr>
        <w:spacing w:after="120"/>
        <w:jc w:val="both"/>
        <w:rPr>
          <w:b/>
        </w:rPr>
      </w:pPr>
    </w:p>
    <w:p w:rsidR="007F1BA3" w:rsidRDefault="007F1BA3" w:rsidP="00A7712D">
      <w:pPr>
        <w:spacing w:after="120"/>
        <w:jc w:val="both"/>
        <w:rPr>
          <w:b/>
        </w:rPr>
      </w:pPr>
    </w:p>
    <w:p w:rsidR="007F1BA3" w:rsidRDefault="007F1BA3" w:rsidP="00A7712D">
      <w:pPr>
        <w:spacing w:after="120"/>
        <w:jc w:val="both"/>
        <w:rPr>
          <w:b/>
        </w:rPr>
      </w:pPr>
    </w:p>
    <w:p w:rsidR="007F1BA3" w:rsidRDefault="007F1BA3" w:rsidP="00A7712D">
      <w:pPr>
        <w:spacing w:after="120"/>
        <w:jc w:val="both"/>
        <w:rPr>
          <w:b/>
        </w:rPr>
      </w:pPr>
    </w:p>
    <w:p w:rsidR="007F1BA3" w:rsidRDefault="00C903AC" w:rsidP="00A7712D">
      <w:pPr>
        <w:spacing w:after="120"/>
        <w:jc w:val="both"/>
        <w:rPr>
          <w:b/>
        </w:rPr>
      </w:pPr>
      <w:r>
        <w:rPr>
          <w:b/>
          <w:noProof/>
          <w:lang w:eastAsia="sk-SK"/>
        </w:rPr>
        <w:drawing>
          <wp:inline distT="0" distB="0" distL="0" distR="0">
            <wp:extent cx="5753100" cy="3352800"/>
            <wp:effectExtent l="19050" t="0" r="0" b="0"/>
            <wp:docPr id="1"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2"/>
                    <pic:cNvPicPr>
                      <a:picLocks noChangeAspect="1" noChangeArrowheads="1"/>
                    </pic:cNvPicPr>
                  </pic:nvPicPr>
                  <pic:blipFill>
                    <a:blip r:embed="rId9"/>
                    <a:srcRect/>
                    <a:stretch>
                      <a:fillRect/>
                    </a:stretch>
                  </pic:blipFill>
                  <pic:spPr bwMode="auto">
                    <a:xfrm>
                      <a:off x="0" y="0"/>
                      <a:ext cx="5753100" cy="3352800"/>
                    </a:xfrm>
                    <a:prstGeom prst="rect">
                      <a:avLst/>
                    </a:prstGeom>
                    <a:noFill/>
                    <a:ln w="9525">
                      <a:noFill/>
                      <a:miter lim="800000"/>
                      <a:headEnd/>
                      <a:tailEnd/>
                    </a:ln>
                  </pic:spPr>
                </pic:pic>
              </a:graphicData>
            </a:graphic>
          </wp:inline>
        </w:drawing>
      </w:r>
    </w:p>
    <w:p w:rsidR="007F1BA3" w:rsidRDefault="007F1BA3" w:rsidP="00A7712D">
      <w:pPr>
        <w:spacing w:after="120"/>
        <w:jc w:val="both"/>
        <w:rPr>
          <w:b/>
        </w:rPr>
      </w:pPr>
    </w:p>
    <w:p w:rsidR="007F1BA3" w:rsidRPr="00120B8F" w:rsidRDefault="007F1BA3" w:rsidP="00A7712D">
      <w:pPr>
        <w:spacing w:after="120"/>
        <w:jc w:val="both"/>
        <w:rPr>
          <w:b/>
        </w:rPr>
      </w:pPr>
      <w:r w:rsidRPr="00120B8F">
        <w:rPr>
          <w:b/>
        </w:rPr>
        <w:t>Obrázok 1: Rozhranie medzi predchádzaním vzniku odpadu a nakladaním s odpadmi</w:t>
      </w:r>
      <w:r w:rsidRPr="00120B8F">
        <w:rPr>
          <w:rStyle w:val="Odkaznapoznmkupodiarou"/>
          <w:b/>
        </w:rPr>
        <w:footnoteReference w:id="1"/>
      </w:r>
    </w:p>
    <w:p w:rsidR="007F1BA3" w:rsidRDefault="007F1BA3" w:rsidP="00A7712D">
      <w:pPr>
        <w:spacing w:after="120"/>
        <w:jc w:val="both"/>
      </w:pPr>
    </w:p>
    <w:p w:rsidR="007F1BA3" w:rsidRDefault="007F1BA3" w:rsidP="00A7712D">
      <w:pPr>
        <w:spacing w:after="120"/>
        <w:jc w:val="both"/>
      </w:pPr>
    </w:p>
    <w:p w:rsidR="007F1BA3" w:rsidRDefault="007F1BA3" w:rsidP="00A7712D">
      <w:pPr>
        <w:spacing w:after="120"/>
        <w:jc w:val="both"/>
      </w:pPr>
    </w:p>
    <w:p w:rsidR="007F1BA3" w:rsidRDefault="007F1BA3" w:rsidP="00A7712D">
      <w:pPr>
        <w:spacing w:after="120"/>
        <w:jc w:val="both"/>
      </w:pPr>
    </w:p>
    <w:p w:rsidR="007F1BA3" w:rsidRPr="008C1AE6" w:rsidRDefault="007F1BA3" w:rsidP="008C1AE6">
      <w:pPr>
        <w:pStyle w:val="Nadpis1"/>
      </w:pPr>
      <w:bookmarkStart w:id="7" w:name="_Toc315077111"/>
      <w:r>
        <w:rPr>
          <w:rFonts w:ascii="Calibri" w:hAnsi="Calibri"/>
          <w:b w:val="0"/>
          <w:color w:val="auto"/>
          <w:sz w:val="22"/>
          <w:szCs w:val="22"/>
        </w:rPr>
        <w:br w:type="page"/>
      </w:r>
      <w:bookmarkStart w:id="8" w:name="_Toc356292945"/>
      <w:r w:rsidRPr="008C1AE6">
        <w:lastRenderedPageBreak/>
        <w:t>2</w:t>
      </w:r>
      <w:r w:rsidRPr="008C1AE6">
        <w:tab/>
      </w:r>
      <w:bookmarkEnd w:id="7"/>
      <w:r>
        <w:t>Analýza súčasného s</w:t>
      </w:r>
      <w:r w:rsidRPr="008C1AE6">
        <w:t>tav</w:t>
      </w:r>
      <w:r>
        <w:t>u</w:t>
      </w:r>
      <w:bookmarkEnd w:id="8"/>
    </w:p>
    <w:p w:rsidR="007F1BA3" w:rsidRPr="009C2C88" w:rsidRDefault="007F1BA3" w:rsidP="00681EF0">
      <w:pPr>
        <w:pStyle w:val="Nadpis2"/>
      </w:pPr>
      <w:bookmarkStart w:id="9" w:name="_Toc315077112"/>
      <w:bookmarkStart w:id="10" w:name="_Toc356292946"/>
      <w:r w:rsidRPr="008C1AE6">
        <w:t>2.1</w:t>
      </w:r>
      <w:r w:rsidRPr="008C1AE6">
        <w:tab/>
      </w:r>
      <w:bookmarkEnd w:id="9"/>
      <w:r>
        <w:t>Právna úprava predchádzania vzniku odpadu</w:t>
      </w:r>
      <w:bookmarkEnd w:id="10"/>
    </w:p>
    <w:p w:rsidR="007F1BA3" w:rsidRDefault="007F1BA3" w:rsidP="00DF7149">
      <w:pPr>
        <w:jc w:val="both"/>
      </w:pPr>
      <w:r>
        <w:t xml:space="preserve">Rámcová </w:t>
      </w:r>
      <w:r w:rsidRPr="00200096">
        <w:t>smernica</w:t>
      </w:r>
      <w:r>
        <w:t xml:space="preserve"> o odpade priniesla do odpadového hospodárstva  Európskeho spoločenstva novú filozofiu. Dôraz sa kladie na predchádzanie vzniku odpadu a zavádza sa prístup, ktorý zohľadňuje celý životný cyklus výrobkov a materiálov, nie iba ich odpadovú fázu. Klasické ponímanie odpadového hospodárstva znázorňuje obrázok 2.</w:t>
      </w:r>
    </w:p>
    <w:p w:rsidR="007F1BA3" w:rsidRDefault="007F1BA3" w:rsidP="008D73E7"/>
    <w:p w:rsidR="007F1BA3" w:rsidRDefault="00C903AC" w:rsidP="008D73E7">
      <w:pPr>
        <w:jc w:val="both"/>
      </w:pPr>
      <w:r>
        <w:rPr>
          <w:noProof/>
          <w:lang w:eastAsia="sk-SK"/>
        </w:rPr>
        <w:drawing>
          <wp:inline distT="0" distB="0" distL="0" distR="0">
            <wp:extent cx="5721350" cy="4292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21350" cy="4292600"/>
                    </a:xfrm>
                    <a:prstGeom prst="rect">
                      <a:avLst/>
                    </a:prstGeom>
                    <a:noFill/>
                    <a:ln w="9525">
                      <a:noFill/>
                      <a:miter lim="800000"/>
                      <a:headEnd/>
                      <a:tailEnd/>
                    </a:ln>
                  </pic:spPr>
                </pic:pic>
              </a:graphicData>
            </a:graphic>
          </wp:inline>
        </w:drawing>
      </w:r>
    </w:p>
    <w:p w:rsidR="007F1BA3" w:rsidRDefault="007F1BA3" w:rsidP="00DF7149">
      <w:pPr>
        <w:spacing w:before="120" w:after="100" w:afterAutospacing="1"/>
        <w:jc w:val="both"/>
      </w:pPr>
    </w:p>
    <w:p w:rsidR="007F1BA3" w:rsidRPr="006E3FA7" w:rsidRDefault="007F1BA3" w:rsidP="00DF7149">
      <w:pPr>
        <w:spacing w:before="120" w:after="100" w:afterAutospacing="1"/>
        <w:jc w:val="both"/>
        <w:rPr>
          <w:b/>
        </w:rPr>
      </w:pPr>
      <w:r w:rsidRPr="006E3FA7">
        <w:rPr>
          <w:b/>
        </w:rPr>
        <w:t xml:space="preserve">Obrázok </w:t>
      </w:r>
      <w:r>
        <w:rPr>
          <w:b/>
        </w:rPr>
        <w:t>2</w:t>
      </w:r>
      <w:r w:rsidRPr="006E3FA7">
        <w:rPr>
          <w:b/>
        </w:rPr>
        <w:t xml:space="preserve">:  </w:t>
      </w:r>
      <w:r>
        <w:rPr>
          <w:b/>
        </w:rPr>
        <w:t>Ilustrácia d</w:t>
      </w:r>
      <w:r w:rsidRPr="006E3FA7">
        <w:rPr>
          <w:b/>
        </w:rPr>
        <w:t>efiníci</w:t>
      </w:r>
      <w:r>
        <w:rPr>
          <w:b/>
        </w:rPr>
        <w:t>e</w:t>
      </w:r>
      <w:r w:rsidRPr="006E3FA7">
        <w:rPr>
          <w:b/>
        </w:rPr>
        <w:t xml:space="preserve"> odpadu podľa legislatívy EÚ a SR</w:t>
      </w:r>
    </w:p>
    <w:p w:rsidR="007F1BA3" w:rsidRDefault="007F1BA3" w:rsidP="00DF7149">
      <w:pPr>
        <w:spacing w:before="120" w:after="100" w:afterAutospacing="1"/>
        <w:jc w:val="both"/>
      </w:pPr>
      <w:r>
        <w:t xml:space="preserve">Ustanovenia rámcovej smernice o odpade boli prevzaté do právneho poriadku SR </w:t>
      </w:r>
      <w:r>
        <w:rPr>
          <w:b/>
        </w:rPr>
        <w:t xml:space="preserve">novelou zákona o odpadoch </w:t>
      </w:r>
      <w:r>
        <w:t>s účinnosťou od 1. januára 2013.</w:t>
      </w:r>
    </w:p>
    <w:p w:rsidR="007F1BA3" w:rsidRDefault="007F1BA3" w:rsidP="00DF7149">
      <w:pPr>
        <w:spacing w:before="120" w:after="100" w:afterAutospacing="1"/>
        <w:jc w:val="both"/>
      </w:pPr>
      <w:r>
        <w:t xml:space="preserve">Nová právna úprava ustanovuje </w:t>
      </w:r>
      <w:r w:rsidRPr="00A30C6D">
        <w:rPr>
          <w:b/>
        </w:rPr>
        <w:t>novú hierarchiu odpadového hospodárstva</w:t>
      </w:r>
      <w:r>
        <w:rPr>
          <w:b/>
        </w:rPr>
        <w:t xml:space="preserve"> </w:t>
      </w:r>
      <w:r w:rsidRPr="00385897">
        <w:t>(obr</w:t>
      </w:r>
      <w:r>
        <w:t>ázok</w:t>
      </w:r>
      <w:r w:rsidRPr="00385897">
        <w:t xml:space="preserve"> 3)</w:t>
      </w:r>
      <w:r>
        <w:t xml:space="preserve">. </w:t>
      </w:r>
      <w:r w:rsidRPr="00816C28">
        <w:t>Základom odpadového hospodárstva je predchádzanie vzniku odpadu a príprava na opätovné použitie.</w:t>
      </w:r>
      <w:r>
        <w:t xml:space="preserve"> Až potom nasleduje recyklácia a zhodnocovanie (napr. energetické zhodnocovanie). Zneškodňovanie je poslednou možnou alternatívou.</w:t>
      </w:r>
    </w:p>
    <w:p w:rsidR="007F1BA3" w:rsidRDefault="00C903AC" w:rsidP="00DF7149">
      <w:pPr>
        <w:spacing w:before="120" w:after="100" w:afterAutospacing="1"/>
        <w:jc w:val="both"/>
      </w:pPr>
      <w:r>
        <w:rPr>
          <w:noProof/>
          <w:lang w:eastAsia="sk-SK"/>
        </w:rPr>
        <w:lastRenderedPageBreak/>
        <w:drawing>
          <wp:inline distT="0" distB="0" distL="0" distR="0">
            <wp:extent cx="5721350" cy="42672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721350" cy="4267200"/>
                    </a:xfrm>
                    <a:prstGeom prst="rect">
                      <a:avLst/>
                    </a:prstGeom>
                    <a:noFill/>
                    <a:ln w="9525">
                      <a:noFill/>
                      <a:miter lim="800000"/>
                      <a:headEnd/>
                      <a:tailEnd/>
                    </a:ln>
                  </pic:spPr>
                </pic:pic>
              </a:graphicData>
            </a:graphic>
          </wp:inline>
        </w:drawing>
      </w:r>
    </w:p>
    <w:p w:rsidR="007F1BA3" w:rsidRPr="006E3FA7" w:rsidRDefault="007F1BA3" w:rsidP="00DF7149">
      <w:pPr>
        <w:jc w:val="both"/>
        <w:rPr>
          <w:b/>
        </w:rPr>
      </w:pPr>
      <w:r w:rsidRPr="006E3FA7">
        <w:rPr>
          <w:b/>
        </w:rPr>
        <w:t xml:space="preserve">Obrázok </w:t>
      </w:r>
      <w:r>
        <w:rPr>
          <w:b/>
        </w:rPr>
        <w:t>3</w:t>
      </w:r>
      <w:r w:rsidRPr="006E3FA7">
        <w:rPr>
          <w:b/>
        </w:rPr>
        <w:t>: Hierarchia odpadového hospodárstva</w:t>
      </w:r>
    </w:p>
    <w:p w:rsidR="007F1BA3" w:rsidRPr="007E6064" w:rsidRDefault="007F1BA3" w:rsidP="00DF7149">
      <w:pPr>
        <w:jc w:val="both"/>
      </w:pPr>
      <w:r>
        <w:t xml:space="preserve">Paragraf 3 ods. 2 novely zákona o odpadoch ustanovuje </w:t>
      </w:r>
      <w:r w:rsidRPr="00A30C6D">
        <w:rPr>
          <w:b/>
        </w:rPr>
        <w:t>záväznosť hierarchie odpadového hospodárstva</w:t>
      </w:r>
      <w:r>
        <w:t xml:space="preserve">. </w:t>
      </w:r>
      <w:r w:rsidRPr="007E6064">
        <w:t xml:space="preserve">Odkloniť sa od nej je možné iba pre určité </w:t>
      </w:r>
      <w:r w:rsidRPr="004F6D86">
        <w:t>prúdy</w:t>
      </w:r>
      <w:r w:rsidRPr="007E6064">
        <w:t xml:space="preserve"> odpadov v prípade, ak je to odôvodnené úvahami o životnom cykle </w:t>
      </w:r>
      <w:r>
        <w:t xml:space="preserve">(LCT – </w:t>
      </w:r>
      <w:proofErr w:type="spellStart"/>
      <w:r>
        <w:t>Life</w:t>
      </w:r>
      <w:proofErr w:type="spellEnd"/>
      <w:r>
        <w:t xml:space="preserve"> </w:t>
      </w:r>
      <w:proofErr w:type="spellStart"/>
      <w:r>
        <w:t>Cycle</w:t>
      </w:r>
      <w:proofErr w:type="spellEnd"/>
      <w:r>
        <w:t xml:space="preserve"> </w:t>
      </w:r>
      <w:proofErr w:type="spellStart"/>
      <w:r>
        <w:t>Thinking</w:t>
      </w:r>
      <w:proofErr w:type="spellEnd"/>
      <w:r>
        <w:t xml:space="preserve">) </w:t>
      </w:r>
      <w:r w:rsidRPr="007E6064">
        <w:t>vo vzťahu k celkovým vplyvom vzniku a nakladania s takýmto odpadom a ak to ustanoví tento zákon alebo osobitný</w:t>
      </w:r>
      <w:r>
        <w:t xml:space="preserve"> predpis.</w:t>
      </w:r>
    </w:p>
    <w:p w:rsidR="007F1BA3" w:rsidRPr="00B93E8C" w:rsidRDefault="007F1BA3" w:rsidP="00DF7149">
      <w:pPr>
        <w:jc w:val="both"/>
        <w:rPr>
          <w:b/>
        </w:rPr>
      </w:pPr>
      <w:r w:rsidRPr="00A30C6D">
        <w:rPr>
          <w:b/>
        </w:rPr>
        <w:t>Predchádzanie vzniku odpadu</w:t>
      </w:r>
      <w:r>
        <w:t xml:space="preserve"> definuje § 2 ods. 27 novely zákona o odpadoch ako </w:t>
      </w:r>
      <w:r w:rsidRPr="00B93E8C">
        <w:rPr>
          <w:b/>
        </w:rPr>
        <w:t>opatrenia</w:t>
      </w:r>
      <w:r>
        <w:t>, ktoré sa prijmú predtým, ako sa látka, materiál alebo výrobok stanú odpadom, a </w:t>
      </w:r>
      <w:r w:rsidRPr="00B93E8C">
        <w:rPr>
          <w:b/>
        </w:rPr>
        <w:t>ktoré znižujú</w:t>
      </w:r>
      <w:r w:rsidR="00872AA3">
        <w:rPr>
          <w:b/>
        </w:rPr>
        <w:t>:</w:t>
      </w:r>
      <w:r w:rsidRPr="00B93E8C">
        <w:rPr>
          <w:b/>
        </w:rPr>
        <w:t xml:space="preserve"> </w:t>
      </w:r>
    </w:p>
    <w:p w:rsidR="007F1BA3" w:rsidRDefault="007F1BA3" w:rsidP="00677DBF">
      <w:pPr>
        <w:numPr>
          <w:ilvl w:val="0"/>
          <w:numId w:val="1"/>
        </w:numPr>
        <w:spacing w:after="0"/>
        <w:ind w:left="714" w:hanging="357"/>
        <w:jc w:val="both"/>
      </w:pPr>
      <w:r w:rsidRPr="00B93E8C">
        <w:rPr>
          <w:b/>
        </w:rPr>
        <w:t>množstvo odpadu</w:t>
      </w:r>
      <w:r>
        <w:t xml:space="preserve"> aj prostredníctvom opätovného použitia výrobkov alebo predĺženia životnosti výrobkov,</w:t>
      </w:r>
    </w:p>
    <w:p w:rsidR="007F1BA3" w:rsidRDefault="007F1BA3" w:rsidP="00677DBF">
      <w:pPr>
        <w:numPr>
          <w:ilvl w:val="0"/>
          <w:numId w:val="1"/>
        </w:numPr>
        <w:spacing w:after="0"/>
        <w:ind w:left="714" w:hanging="357"/>
        <w:jc w:val="both"/>
      </w:pPr>
      <w:r w:rsidRPr="00B93E8C">
        <w:rPr>
          <w:b/>
        </w:rPr>
        <w:t>nepriaznivé vplyvy vzniknutého odpadu</w:t>
      </w:r>
      <w:r>
        <w:t xml:space="preserve"> na životné prostredie a zdravie ľudí alebo</w:t>
      </w:r>
    </w:p>
    <w:p w:rsidR="007F1BA3" w:rsidRDefault="007F1BA3" w:rsidP="00677DBF">
      <w:pPr>
        <w:numPr>
          <w:ilvl w:val="0"/>
          <w:numId w:val="1"/>
        </w:numPr>
        <w:jc w:val="both"/>
      </w:pPr>
      <w:r w:rsidRPr="00B93E8C">
        <w:rPr>
          <w:b/>
        </w:rPr>
        <w:t>obsah škodlivých látok</w:t>
      </w:r>
      <w:r>
        <w:t xml:space="preserve"> v materiáloch a vo výrobkoch.</w:t>
      </w:r>
    </w:p>
    <w:p w:rsidR="007F1BA3" w:rsidRDefault="007F1BA3" w:rsidP="00BF378F">
      <w:pPr>
        <w:spacing w:before="120" w:after="100" w:afterAutospacing="1"/>
        <w:jc w:val="both"/>
      </w:pPr>
      <w:r>
        <w:t xml:space="preserve">Podľa § 6a novely zákona o odpadoch sa samostatný program predchádzania vzniku odpadu vypracúva iba na národnej úrovni. Krajské PPVO a PPVO pôvodcov odpadov a obcí budú súčasťou ich programov odpadového hospodárstva (POH). Podľa § 4 ods. 1 novely zákona o odpadoch sa programy vypracúvajú v súlade s hierarchiou odpadového hospodárstva podľa § 3 novely zákona o odpadoch. Podrobnosti ustanoví novela vyhlášky č. 283/2001 Z. z. o vykonaní niektorých ustanovení zákona o odpadoch v znení neskorších predpisov. </w:t>
      </w:r>
    </w:p>
    <w:p w:rsidR="007F1BA3" w:rsidRDefault="007F1BA3" w:rsidP="00DF7149">
      <w:pPr>
        <w:jc w:val="both"/>
      </w:pPr>
      <w:r>
        <w:lastRenderedPageBreak/>
        <w:t xml:space="preserve">V súvislosti s aplikovaním </w:t>
      </w:r>
      <w:r w:rsidRPr="007A1A4E">
        <w:rPr>
          <w:b/>
        </w:rPr>
        <w:t>rozšírenej zodpovednosti výrobcu</w:t>
      </w:r>
      <w:r>
        <w:t xml:space="preserve"> sú v zákone o odpadoch ustanovené preventívne opatrenia aj v siedmej časti týkajúcej sa starých vozidiel  a v ôsmej časti týkajúcej sa elektrozariadení a </w:t>
      </w:r>
      <w:proofErr w:type="spellStart"/>
      <w:r>
        <w:t>elektroodpadov</w:t>
      </w:r>
      <w:proofErr w:type="spellEnd"/>
      <w:r>
        <w:t>.</w:t>
      </w:r>
    </w:p>
    <w:p w:rsidR="007F1BA3" w:rsidRDefault="007F1BA3" w:rsidP="00DF7149">
      <w:pPr>
        <w:jc w:val="both"/>
      </w:pPr>
      <w:r>
        <w:t>V</w:t>
      </w:r>
      <w:r w:rsidRPr="00B96459">
        <w:t> </w:t>
      </w:r>
      <w:r w:rsidRPr="005B0A26">
        <w:rPr>
          <w:b/>
        </w:rPr>
        <w:t>zákone č. 119/2010 Z. z. o</w:t>
      </w:r>
      <w:r>
        <w:rPr>
          <w:b/>
        </w:rPr>
        <w:t> </w:t>
      </w:r>
      <w:r w:rsidRPr="005B0A26">
        <w:rPr>
          <w:b/>
        </w:rPr>
        <w:t>obaloch</w:t>
      </w:r>
      <w:r>
        <w:rPr>
          <w:b/>
        </w:rPr>
        <w:t xml:space="preserve"> a o zmene zákona č. 223/2001 Z. z. o odpadoch a o zmene a doplnení niektorých zákonov v znení neskorších predpisov </w:t>
      </w:r>
      <w:r w:rsidRPr="003D7C4B">
        <w:t>(ďalej len „zákon o obaloch“)</w:t>
      </w:r>
      <w:r w:rsidRPr="00B96459">
        <w:t xml:space="preserve"> je </w:t>
      </w:r>
      <w:r>
        <w:t xml:space="preserve">ustanovená povinnosť </w:t>
      </w:r>
      <w:r w:rsidRPr="003920EC">
        <w:rPr>
          <w:b/>
        </w:rPr>
        <w:t>vypracova</w:t>
      </w:r>
      <w:r>
        <w:rPr>
          <w:b/>
        </w:rPr>
        <w:t>ť</w:t>
      </w:r>
      <w:r w:rsidRPr="003920EC">
        <w:rPr>
          <w:b/>
        </w:rPr>
        <w:t xml:space="preserve"> program prevencie</w:t>
      </w:r>
      <w:r w:rsidRPr="00B96459">
        <w:t xml:space="preserve"> pre toho výrobcu výrobkov, ktor</w:t>
      </w:r>
      <w:r>
        <w:t>ý</w:t>
      </w:r>
      <w:r w:rsidRPr="00B96459">
        <w:t xml:space="preserve"> súčasne balí alebo si dáva baliť výrobky iným subjektom</w:t>
      </w:r>
      <w:r>
        <w:t>,</w:t>
      </w:r>
      <w:r w:rsidRPr="00B96459">
        <w:t xml:space="preserve"> resp. pre subjekt, ktorý zabezpečuje balenie a distribúciu výrobkov pod vlastnou obchodnou značkou. </w:t>
      </w:r>
      <w:r>
        <w:t>Zákon o obaloch síce ustanovuje povinnosť vypracovať programy prevencie, avšak o</w:t>
      </w:r>
      <w:r w:rsidRPr="002A6F88">
        <w:t>bsahové náležitosti programov sú v zákone vymedzené veľmi všeobecne.</w:t>
      </w:r>
      <w:r>
        <w:t xml:space="preserve"> Žiaden orgán štátnej správy nekontroluje obsah, stanovenie cieľov a opatrení a ich plnenie. Doposiaľ nebolo vyhodnotené, ako tento inštitút prispel k predchádzaniu vzniku odpadov z obalov. </w:t>
      </w:r>
    </w:p>
    <w:p w:rsidR="007F1BA3" w:rsidRDefault="007F1BA3" w:rsidP="00A60ABE">
      <w:pPr>
        <w:jc w:val="both"/>
      </w:pPr>
      <w:r w:rsidRPr="006A7963">
        <w:rPr>
          <w:b/>
        </w:rPr>
        <w:t xml:space="preserve">Predchádzanie vzniku odpadu je základom hierarchie v odpadovom hospodárstve </w:t>
      </w:r>
      <w:r>
        <w:rPr>
          <w:b/>
        </w:rPr>
        <w:t xml:space="preserve">SR už </w:t>
      </w:r>
      <w:r w:rsidRPr="006A7963">
        <w:rPr>
          <w:b/>
        </w:rPr>
        <w:t>od r.</w:t>
      </w:r>
      <w:r>
        <w:rPr>
          <w:b/>
        </w:rPr>
        <w:t xml:space="preserve"> </w:t>
      </w:r>
      <w:r w:rsidRPr="006A7963">
        <w:rPr>
          <w:b/>
        </w:rPr>
        <w:t>2001 (§ 3 zákona o odpadoch). Ustanovenia o predchádzaní vzniku odpadu boli pr</w:t>
      </w:r>
      <w:r>
        <w:rPr>
          <w:b/>
        </w:rPr>
        <w:t>evzaté z príslušných smerníc EÚ</w:t>
      </w:r>
      <w:r w:rsidRPr="006A7963">
        <w:rPr>
          <w:b/>
        </w:rPr>
        <w:t xml:space="preserve">, </w:t>
      </w:r>
      <w:r>
        <w:rPr>
          <w:b/>
        </w:rPr>
        <w:t>a</w:t>
      </w:r>
      <w:r w:rsidRPr="006A7963">
        <w:rPr>
          <w:b/>
        </w:rPr>
        <w:t>však bez vytvorenia presnejšieho legislatívneho rámca na ich aplikovanie a bez akejkoľvek kontroly plnenia povinností v oblasti prevencie. Z uvedeného dôvodu sa predchádzanie vzniku odpadu a preventívne opatrenia realizovali iba v obmedzenom rozsahu</w:t>
      </w:r>
      <w:r>
        <w:t>. Zákon č. 343/2012 Z. z., ktorým sa mení a dopĺňa zákon č. 223/2001 Z. z. o odpadoch v znení neskorších predpisov s účinnosťou od 1. januára 2013 ustanovuje po prvýkrát záväznosť hierarchie odpadového hospodárstva, kde je prioritou predchádzanie vzniku odpadu.</w:t>
      </w:r>
    </w:p>
    <w:p w:rsidR="007F1BA3" w:rsidRDefault="007F1BA3" w:rsidP="00DF7149">
      <w:pPr>
        <w:jc w:val="both"/>
      </w:pPr>
      <w:r>
        <w:t xml:space="preserve">Podrobnejšiu analýzu platného legislatívneho rámca predchádzania vzniku odpadu a vyhodnotenia jeho účinnosti uvádza </w:t>
      </w:r>
      <w:r w:rsidRPr="00913A9A">
        <w:rPr>
          <w:b/>
        </w:rPr>
        <w:t>príloha č. 1</w:t>
      </w:r>
      <w:r>
        <w:t xml:space="preserve"> k PPVO.  </w:t>
      </w:r>
    </w:p>
    <w:p w:rsidR="007F1BA3" w:rsidRDefault="007F1BA3" w:rsidP="0019623B"/>
    <w:p w:rsidR="007F1BA3" w:rsidRDefault="007F1BA3" w:rsidP="005A78AA">
      <w:pPr>
        <w:pStyle w:val="Nadpis2"/>
      </w:pPr>
      <w:bookmarkStart w:id="11" w:name="_Toc336249954"/>
      <w:bookmarkStart w:id="12" w:name="_Toc356292947"/>
      <w:r w:rsidRPr="00D03183">
        <w:t xml:space="preserve">2.2 </w:t>
      </w:r>
      <w:r>
        <w:tab/>
      </w:r>
      <w:r w:rsidRPr="00D03183">
        <w:t>Vznik odpadov v SR</w:t>
      </w:r>
      <w:bookmarkEnd w:id="11"/>
      <w:bookmarkEnd w:id="12"/>
    </w:p>
    <w:p w:rsidR="007F1BA3" w:rsidRPr="006E3FA7" w:rsidRDefault="007F1BA3" w:rsidP="00C74F67">
      <w:pPr>
        <w:pStyle w:val="Nadpis3"/>
        <w:rPr>
          <w:color w:val="003300"/>
        </w:rPr>
      </w:pPr>
      <w:bookmarkStart w:id="13" w:name="_Toc356292948"/>
      <w:r w:rsidRPr="006E3FA7">
        <w:rPr>
          <w:color w:val="003300"/>
        </w:rPr>
        <w:t>2.2</w:t>
      </w:r>
      <w:r>
        <w:rPr>
          <w:color w:val="003300"/>
        </w:rPr>
        <w:t>.</w:t>
      </w:r>
      <w:r w:rsidRPr="006E3FA7">
        <w:rPr>
          <w:color w:val="003300"/>
        </w:rPr>
        <w:t>1</w:t>
      </w:r>
      <w:r w:rsidRPr="006E3FA7">
        <w:rPr>
          <w:color w:val="003300"/>
        </w:rPr>
        <w:tab/>
        <w:t xml:space="preserve">Vznik odpadov </w:t>
      </w:r>
      <w:bookmarkEnd w:id="13"/>
      <w:r w:rsidRPr="006E3FA7">
        <w:rPr>
          <w:color w:val="003300"/>
        </w:rPr>
        <w:t>celko</w:t>
      </w:r>
      <w:r>
        <w:rPr>
          <w:color w:val="003300"/>
        </w:rPr>
        <w:t>ve</w:t>
      </w:r>
    </w:p>
    <w:p w:rsidR="007F1BA3" w:rsidRDefault="007F1BA3" w:rsidP="00C74F67">
      <w:pPr>
        <w:jc w:val="both"/>
      </w:pPr>
      <w:r>
        <w:t xml:space="preserve">Podľa údajov RISO a ŠÚ SR </w:t>
      </w:r>
      <w:r w:rsidRPr="0098383A">
        <w:t>vzni</w:t>
      </w:r>
      <w:r>
        <w:t>ká na Slovensku</w:t>
      </w:r>
      <w:r w:rsidRPr="0098383A">
        <w:t xml:space="preserve"> </w:t>
      </w:r>
      <w:r>
        <w:t xml:space="preserve">ročne </w:t>
      </w:r>
      <w:r w:rsidRPr="0098383A">
        <w:t>viac ako 10 miliónov ton odpadov (tab</w:t>
      </w:r>
      <w:r>
        <w:t>uľka 1, obrázok 4</w:t>
      </w:r>
      <w:r w:rsidRPr="0098383A">
        <w:t>).</w:t>
      </w:r>
      <w:r>
        <w:t xml:space="preserve"> Výnimkou je r. 2009, keď došlo v súvislosti s hospodárskou krízou k poklesu vzniku odpadu na 8,5 mil. ton.</w:t>
      </w:r>
    </w:p>
    <w:p w:rsidR="007F1BA3" w:rsidRDefault="007F1BA3" w:rsidP="00C74F67">
      <w:pPr>
        <w:pStyle w:val="Popis"/>
        <w:keepNext/>
        <w:rPr>
          <w:rFonts w:ascii="Calibri" w:hAnsi="Calibri"/>
          <w:color w:val="auto"/>
          <w:sz w:val="22"/>
          <w:szCs w:val="22"/>
        </w:rPr>
      </w:pPr>
      <w:bookmarkStart w:id="14" w:name="_Toc290405566"/>
      <w:r w:rsidRPr="00BB0184">
        <w:rPr>
          <w:rFonts w:ascii="Calibri" w:hAnsi="Calibri"/>
          <w:color w:val="auto"/>
          <w:sz w:val="22"/>
          <w:szCs w:val="22"/>
        </w:rPr>
        <w:t xml:space="preserve">Tabuľka </w:t>
      </w:r>
      <w:r w:rsidR="00E01F0B" w:rsidRPr="00BB0184">
        <w:rPr>
          <w:rFonts w:ascii="Calibri" w:hAnsi="Calibri"/>
          <w:color w:val="auto"/>
          <w:sz w:val="22"/>
          <w:szCs w:val="22"/>
        </w:rPr>
        <w:fldChar w:fldCharType="begin"/>
      </w:r>
      <w:r w:rsidRPr="00BB0184">
        <w:rPr>
          <w:rFonts w:ascii="Calibri" w:hAnsi="Calibri"/>
          <w:color w:val="auto"/>
          <w:sz w:val="22"/>
          <w:szCs w:val="22"/>
        </w:rPr>
        <w:instrText xml:space="preserve"> SEQ Tabuľka \* ARABIC </w:instrText>
      </w:r>
      <w:r w:rsidR="00E01F0B" w:rsidRPr="00BB0184">
        <w:rPr>
          <w:rFonts w:ascii="Calibri" w:hAnsi="Calibri"/>
          <w:color w:val="auto"/>
          <w:sz w:val="22"/>
          <w:szCs w:val="22"/>
        </w:rPr>
        <w:fldChar w:fldCharType="separate"/>
      </w:r>
      <w:r w:rsidR="001872A2">
        <w:rPr>
          <w:rFonts w:ascii="Calibri" w:hAnsi="Calibri"/>
          <w:noProof/>
          <w:color w:val="auto"/>
          <w:sz w:val="22"/>
          <w:szCs w:val="22"/>
        </w:rPr>
        <w:t>1</w:t>
      </w:r>
      <w:r w:rsidR="00E01F0B" w:rsidRPr="00BB0184">
        <w:rPr>
          <w:rFonts w:ascii="Calibri" w:hAnsi="Calibri"/>
          <w:color w:val="auto"/>
          <w:sz w:val="22"/>
          <w:szCs w:val="22"/>
        </w:rPr>
        <w:fldChar w:fldCharType="end"/>
      </w:r>
      <w:r>
        <w:rPr>
          <w:rFonts w:ascii="Calibri" w:hAnsi="Calibri"/>
          <w:color w:val="auto"/>
          <w:sz w:val="22"/>
          <w:szCs w:val="22"/>
        </w:rPr>
        <w:t>:</w:t>
      </w:r>
      <w:r w:rsidRPr="00BB0184">
        <w:rPr>
          <w:rFonts w:ascii="Calibri" w:hAnsi="Calibri"/>
          <w:color w:val="auto"/>
          <w:sz w:val="22"/>
          <w:szCs w:val="22"/>
        </w:rPr>
        <w:t xml:space="preserve"> Vznik odpad</w:t>
      </w:r>
      <w:r>
        <w:rPr>
          <w:rFonts w:ascii="Calibri" w:hAnsi="Calibri"/>
          <w:color w:val="auto"/>
          <w:sz w:val="22"/>
          <w:szCs w:val="22"/>
        </w:rPr>
        <w:t>u</w:t>
      </w:r>
      <w:r w:rsidRPr="00BB0184">
        <w:rPr>
          <w:rFonts w:ascii="Calibri" w:hAnsi="Calibri"/>
          <w:color w:val="auto"/>
          <w:sz w:val="22"/>
          <w:szCs w:val="22"/>
        </w:rPr>
        <w:t xml:space="preserve"> v SR v rokoch 200</w:t>
      </w:r>
      <w:r>
        <w:rPr>
          <w:rFonts w:ascii="Calibri" w:hAnsi="Calibri"/>
          <w:color w:val="auto"/>
          <w:sz w:val="22"/>
          <w:szCs w:val="22"/>
        </w:rPr>
        <w:t>5</w:t>
      </w:r>
      <w:r w:rsidRPr="00BB0184">
        <w:rPr>
          <w:rFonts w:ascii="Calibri" w:hAnsi="Calibri"/>
          <w:color w:val="auto"/>
          <w:sz w:val="22"/>
          <w:szCs w:val="22"/>
        </w:rPr>
        <w:t xml:space="preserve"> – 2011 (v tonách)</w:t>
      </w:r>
      <w:bookmarkEnd w:id="14"/>
    </w:p>
    <w:tbl>
      <w:tblPr>
        <w:tblW w:w="9142" w:type="dxa"/>
        <w:tblLayout w:type="fixed"/>
        <w:tblCellMar>
          <w:left w:w="70" w:type="dxa"/>
          <w:right w:w="70" w:type="dxa"/>
        </w:tblCellMar>
        <w:tblLook w:val="00A0"/>
      </w:tblPr>
      <w:tblGrid>
        <w:gridCol w:w="2040"/>
        <w:gridCol w:w="1775"/>
        <w:gridCol w:w="1776"/>
        <w:gridCol w:w="1775"/>
        <w:gridCol w:w="1776"/>
      </w:tblGrid>
      <w:tr w:rsidR="007F1BA3" w:rsidRPr="005228FE" w:rsidTr="00576C78">
        <w:trPr>
          <w:trHeight w:val="300"/>
        </w:trPr>
        <w:tc>
          <w:tcPr>
            <w:tcW w:w="2040" w:type="dxa"/>
            <w:tcBorders>
              <w:top w:val="single" w:sz="4" w:space="0" w:color="auto"/>
              <w:left w:val="single" w:sz="4" w:space="0" w:color="auto"/>
              <w:bottom w:val="single" w:sz="4" w:space="0" w:color="auto"/>
              <w:right w:val="single" w:sz="4" w:space="0" w:color="auto"/>
            </w:tcBorders>
            <w:shd w:val="clear" w:color="000000" w:fill="C2D69A"/>
            <w:noWrap/>
            <w:vAlign w:val="center"/>
          </w:tcPr>
          <w:p w:rsidR="007F1BA3" w:rsidRPr="005228FE" w:rsidRDefault="007F1BA3" w:rsidP="00576C78">
            <w:pPr>
              <w:spacing w:after="0" w:line="240" w:lineRule="auto"/>
              <w:rPr>
                <w:b/>
                <w:bCs/>
                <w:color w:val="000000"/>
                <w:lang w:eastAsia="sk-SK"/>
              </w:rPr>
            </w:pPr>
            <w:r w:rsidRPr="005228FE">
              <w:rPr>
                <w:b/>
                <w:bCs/>
                <w:color w:val="000000"/>
                <w:lang w:eastAsia="sk-SK"/>
              </w:rPr>
              <w:t>Odpad</w:t>
            </w:r>
          </w:p>
        </w:tc>
        <w:tc>
          <w:tcPr>
            <w:tcW w:w="1775" w:type="dxa"/>
            <w:tcBorders>
              <w:top w:val="single" w:sz="4" w:space="0" w:color="auto"/>
              <w:left w:val="nil"/>
              <w:bottom w:val="single" w:sz="4" w:space="0" w:color="auto"/>
              <w:right w:val="single" w:sz="4" w:space="0" w:color="auto"/>
            </w:tcBorders>
            <w:shd w:val="clear" w:color="000000" w:fill="C2D69A"/>
            <w:noWrap/>
            <w:vAlign w:val="center"/>
          </w:tcPr>
          <w:p w:rsidR="007F1BA3" w:rsidRPr="005228FE" w:rsidRDefault="007F1BA3" w:rsidP="00576C78">
            <w:pPr>
              <w:spacing w:after="0" w:line="240" w:lineRule="auto"/>
              <w:jc w:val="center"/>
              <w:rPr>
                <w:b/>
                <w:bCs/>
                <w:color w:val="000000"/>
                <w:lang w:eastAsia="sk-SK"/>
              </w:rPr>
            </w:pPr>
            <w:r w:rsidRPr="005228FE">
              <w:rPr>
                <w:b/>
                <w:bCs/>
                <w:color w:val="000000"/>
                <w:lang w:eastAsia="sk-SK"/>
              </w:rPr>
              <w:t>2005</w:t>
            </w:r>
          </w:p>
        </w:tc>
        <w:tc>
          <w:tcPr>
            <w:tcW w:w="1776" w:type="dxa"/>
            <w:tcBorders>
              <w:top w:val="single" w:sz="4" w:space="0" w:color="auto"/>
              <w:left w:val="nil"/>
              <w:bottom w:val="single" w:sz="4" w:space="0" w:color="auto"/>
              <w:right w:val="single" w:sz="4" w:space="0" w:color="auto"/>
            </w:tcBorders>
            <w:shd w:val="clear" w:color="000000" w:fill="C2D69A"/>
            <w:noWrap/>
            <w:vAlign w:val="center"/>
          </w:tcPr>
          <w:p w:rsidR="007F1BA3" w:rsidRPr="005228FE" w:rsidRDefault="007F1BA3" w:rsidP="00576C78">
            <w:pPr>
              <w:spacing w:after="0" w:line="240" w:lineRule="auto"/>
              <w:jc w:val="center"/>
              <w:rPr>
                <w:b/>
                <w:bCs/>
                <w:color w:val="000000"/>
                <w:lang w:eastAsia="sk-SK"/>
              </w:rPr>
            </w:pPr>
            <w:r w:rsidRPr="005228FE">
              <w:rPr>
                <w:b/>
                <w:bCs/>
                <w:color w:val="000000"/>
                <w:lang w:eastAsia="sk-SK"/>
              </w:rPr>
              <w:t>2006</w:t>
            </w:r>
          </w:p>
        </w:tc>
        <w:tc>
          <w:tcPr>
            <w:tcW w:w="1775" w:type="dxa"/>
            <w:tcBorders>
              <w:top w:val="single" w:sz="4" w:space="0" w:color="auto"/>
              <w:left w:val="nil"/>
              <w:bottom w:val="single" w:sz="4" w:space="0" w:color="auto"/>
              <w:right w:val="single" w:sz="4" w:space="0" w:color="auto"/>
            </w:tcBorders>
            <w:shd w:val="clear" w:color="000000" w:fill="C2D69A"/>
            <w:noWrap/>
            <w:vAlign w:val="center"/>
          </w:tcPr>
          <w:p w:rsidR="007F1BA3" w:rsidRPr="005228FE" w:rsidRDefault="007F1BA3" w:rsidP="00576C78">
            <w:pPr>
              <w:spacing w:after="0" w:line="240" w:lineRule="auto"/>
              <w:jc w:val="center"/>
              <w:rPr>
                <w:b/>
                <w:bCs/>
                <w:color w:val="000000"/>
                <w:lang w:eastAsia="sk-SK"/>
              </w:rPr>
            </w:pPr>
            <w:r w:rsidRPr="005228FE">
              <w:rPr>
                <w:b/>
                <w:bCs/>
                <w:color w:val="000000"/>
                <w:lang w:eastAsia="sk-SK"/>
              </w:rPr>
              <w:t>2007</w:t>
            </w:r>
          </w:p>
        </w:tc>
        <w:tc>
          <w:tcPr>
            <w:tcW w:w="1776" w:type="dxa"/>
            <w:tcBorders>
              <w:top w:val="single" w:sz="4" w:space="0" w:color="auto"/>
              <w:left w:val="nil"/>
              <w:bottom w:val="single" w:sz="4" w:space="0" w:color="auto"/>
              <w:right w:val="single" w:sz="4" w:space="0" w:color="auto"/>
            </w:tcBorders>
            <w:shd w:val="clear" w:color="000000" w:fill="C2D69A"/>
            <w:noWrap/>
            <w:vAlign w:val="center"/>
          </w:tcPr>
          <w:p w:rsidR="007F1BA3" w:rsidRPr="005228FE" w:rsidRDefault="007F1BA3" w:rsidP="00576C78">
            <w:pPr>
              <w:spacing w:after="0" w:line="240" w:lineRule="auto"/>
              <w:jc w:val="center"/>
              <w:rPr>
                <w:b/>
                <w:bCs/>
                <w:color w:val="000000"/>
                <w:lang w:eastAsia="sk-SK"/>
              </w:rPr>
            </w:pPr>
            <w:r w:rsidRPr="005228FE">
              <w:rPr>
                <w:b/>
                <w:bCs/>
                <w:color w:val="000000"/>
                <w:lang w:eastAsia="sk-SK"/>
              </w:rPr>
              <w:t>2008</w:t>
            </w:r>
          </w:p>
        </w:tc>
      </w:tr>
      <w:tr w:rsidR="007F1BA3" w:rsidRPr="005228FE" w:rsidTr="00576C78">
        <w:trPr>
          <w:trHeight w:val="300"/>
        </w:trPr>
        <w:tc>
          <w:tcPr>
            <w:tcW w:w="2040" w:type="dxa"/>
            <w:tcBorders>
              <w:top w:val="nil"/>
              <w:left w:val="single" w:sz="4" w:space="0" w:color="auto"/>
              <w:bottom w:val="single" w:sz="4" w:space="0" w:color="auto"/>
              <w:right w:val="single" w:sz="4" w:space="0" w:color="auto"/>
            </w:tcBorders>
            <w:noWrap/>
            <w:vAlign w:val="center"/>
          </w:tcPr>
          <w:p w:rsidR="007F1BA3" w:rsidRPr="005228FE" w:rsidRDefault="007F1BA3" w:rsidP="00576C78">
            <w:pPr>
              <w:spacing w:after="0" w:line="240" w:lineRule="auto"/>
              <w:rPr>
                <w:color w:val="000000"/>
                <w:lang w:eastAsia="sk-SK"/>
              </w:rPr>
            </w:pPr>
            <w:r w:rsidRPr="005228FE">
              <w:rPr>
                <w:color w:val="000000"/>
                <w:lang w:eastAsia="sk-SK"/>
              </w:rPr>
              <w:t>Nebezpečné odpady</w:t>
            </w:r>
          </w:p>
        </w:tc>
        <w:tc>
          <w:tcPr>
            <w:tcW w:w="1775" w:type="dxa"/>
            <w:tcBorders>
              <w:top w:val="nil"/>
              <w:left w:val="nil"/>
              <w:bottom w:val="single" w:sz="4" w:space="0" w:color="auto"/>
              <w:right w:val="single" w:sz="4" w:space="0" w:color="auto"/>
            </w:tcBorders>
            <w:vAlign w:val="center"/>
          </w:tcPr>
          <w:p w:rsidR="007F1BA3" w:rsidRPr="005228FE" w:rsidRDefault="007F1BA3" w:rsidP="00576C78">
            <w:pPr>
              <w:spacing w:after="0" w:line="240" w:lineRule="auto"/>
              <w:jc w:val="right"/>
              <w:rPr>
                <w:color w:val="000000"/>
                <w:lang w:eastAsia="sk-SK"/>
              </w:rPr>
            </w:pPr>
            <w:r w:rsidRPr="005228FE">
              <w:rPr>
                <w:color w:val="000000"/>
                <w:lang w:eastAsia="sk-SK"/>
              </w:rPr>
              <w:t>559 105,62</w:t>
            </w:r>
          </w:p>
        </w:tc>
        <w:tc>
          <w:tcPr>
            <w:tcW w:w="1776" w:type="dxa"/>
            <w:tcBorders>
              <w:top w:val="nil"/>
              <w:left w:val="nil"/>
              <w:bottom w:val="single" w:sz="4" w:space="0" w:color="auto"/>
              <w:right w:val="single" w:sz="4" w:space="0" w:color="auto"/>
            </w:tcBorders>
            <w:vAlign w:val="center"/>
          </w:tcPr>
          <w:p w:rsidR="007F1BA3" w:rsidRPr="005228FE" w:rsidRDefault="007F1BA3" w:rsidP="00576C78">
            <w:pPr>
              <w:spacing w:after="0" w:line="240" w:lineRule="auto"/>
              <w:jc w:val="right"/>
              <w:rPr>
                <w:color w:val="000000"/>
                <w:lang w:eastAsia="sk-SK"/>
              </w:rPr>
            </w:pPr>
            <w:r w:rsidRPr="005228FE">
              <w:rPr>
                <w:color w:val="000000"/>
                <w:lang w:eastAsia="sk-SK"/>
              </w:rPr>
              <w:t>531 908,34</w:t>
            </w:r>
          </w:p>
        </w:tc>
        <w:tc>
          <w:tcPr>
            <w:tcW w:w="1775" w:type="dxa"/>
            <w:tcBorders>
              <w:top w:val="nil"/>
              <w:left w:val="nil"/>
              <w:bottom w:val="single" w:sz="4" w:space="0" w:color="auto"/>
              <w:right w:val="single" w:sz="4" w:space="0" w:color="auto"/>
            </w:tcBorders>
            <w:vAlign w:val="bottom"/>
          </w:tcPr>
          <w:p w:rsidR="007F1BA3" w:rsidRPr="005228FE" w:rsidRDefault="007F1BA3" w:rsidP="00576C78">
            <w:pPr>
              <w:spacing w:after="0" w:line="240" w:lineRule="auto"/>
              <w:jc w:val="right"/>
              <w:rPr>
                <w:color w:val="000000"/>
                <w:lang w:eastAsia="sk-SK"/>
              </w:rPr>
            </w:pPr>
            <w:r w:rsidRPr="005228FE">
              <w:rPr>
                <w:color w:val="000000"/>
                <w:lang w:eastAsia="sk-SK"/>
              </w:rPr>
              <w:t>525 134,36</w:t>
            </w:r>
          </w:p>
        </w:tc>
        <w:tc>
          <w:tcPr>
            <w:tcW w:w="1776" w:type="dxa"/>
            <w:tcBorders>
              <w:top w:val="nil"/>
              <w:left w:val="nil"/>
              <w:bottom w:val="single" w:sz="4" w:space="0" w:color="auto"/>
              <w:right w:val="single" w:sz="4" w:space="0" w:color="auto"/>
            </w:tcBorders>
            <w:vAlign w:val="bottom"/>
          </w:tcPr>
          <w:p w:rsidR="007F1BA3" w:rsidRPr="005228FE" w:rsidRDefault="007F1BA3" w:rsidP="00576C78">
            <w:pPr>
              <w:spacing w:after="0" w:line="240" w:lineRule="auto"/>
              <w:jc w:val="right"/>
              <w:rPr>
                <w:color w:val="000000"/>
                <w:lang w:eastAsia="sk-SK"/>
              </w:rPr>
            </w:pPr>
            <w:r w:rsidRPr="005228FE">
              <w:rPr>
                <w:color w:val="000000"/>
                <w:lang w:eastAsia="sk-SK"/>
              </w:rPr>
              <w:t>523 910,96</w:t>
            </w:r>
          </w:p>
        </w:tc>
      </w:tr>
      <w:tr w:rsidR="007F1BA3" w:rsidRPr="005228FE" w:rsidTr="00576C78">
        <w:trPr>
          <w:trHeight w:val="300"/>
        </w:trPr>
        <w:tc>
          <w:tcPr>
            <w:tcW w:w="2040" w:type="dxa"/>
            <w:tcBorders>
              <w:top w:val="nil"/>
              <w:left w:val="single" w:sz="4" w:space="0" w:color="auto"/>
              <w:bottom w:val="single" w:sz="4" w:space="0" w:color="auto"/>
              <w:right w:val="single" w:sz="4" w:space="0" w:color="auto"/>
            </w:tcBorders>
            <w:noWrap/>
            <w:vAlign w:val="center"/>
          </w:tcPr>
          <w:p w:rsidR="007F1BA3" w:rsidRPr="005228FE" w:rsidRDefault="007F1BA3" w:rsidP="00576C78">
            <w:pPr>
              <w:spacing w:after="0" w:line="240" w:lineRule="auto"/>
              <w:rPr>
                <w:color w:val="000000"/>
                <w:lang w:eastAsia="sk-SK"/>
              </w:rPr>
            </w:pPr>
            <w:r w:rsidRPr="005228FE">
              <w:rPr>
                <w:color w:val="000000"/>
                <w:lang w:eastAsia="sk-SK"/>
              </w:rPr>
              <w:t>Ostatné odpady</w:t>
            </w:r>
          </w:p>
        </w:tc>
        <w:tc>
          <w:tcPr>
            <w:tcW w:w="1775" w:type="dxa"/>
            <w:tcBorders>
              <w:top w:val="nil"/>
              <w:left w:val="nil"/>
              <w:bottom w:val="single" w:sz="4" w:space="0" w:color="auto"/>
              <w:right w:val="single" w:sz="4" w:space="0" w:color="auto"/>
            </w:tcBorders>
            <w:vAlign w:val="center"/>
          </w:tcPr>
          <w:p w:rsidR="007F1BA3" w:rsidRPr="005228FE" w:rsidRDefault="007F1BA3" w:rsidP="00576C78">
            <w:pPr>
              <w:spacing w:after="0" w:line="240" w:lineRule="auto"/>
              <w:jc w:val="right"/>
              <w:rPr>
                <w:color w:val="000000"/>
                <w:lang w:eastAsia="sk-SK"/>
              </w:rPr>
            </w:pPr>
            <w:r w:rsidRPr="005228FE">
              <w:rPr>
                <w:color w:val="000000"/>
                <w:lang w:eastAsia="sk-SK"/>
              </w:rPr>
              <w:t>8 812 069,31</w:t>
            </w:r>
          </w:p>
        </w:tc>
        <w:tc>
          <w:tcPr>
            <w:tcW w:w="1776" w:type="dxa"/>
            <w:tcBorders>
              <w:top w:val="nil"/>
              <w:left w:val="nil"/>
              <w:bottom w:val="single" w:sz="4" w:space="0" w:color="auto"/>
              <w:right w:val="single" w:sz="4" w:space="0" w:color="auto"/>
            </w:tcBorders>
            <w:vAlign w:val="center"/>
          </w:tcPr>
          <w:p w:rsidR="007F1BA3" w:rsidRPr="005228FE" w:rsidRDefault="007F1BA3" w:rsidP="00576C78">
            <w:pPr>
              <w:spacing w:after="0" w:line="240" w:lineRule="auto"/>
              <w:jc w:val="right"/>
              <w:rPr>
                <w:color w:val="000000"/>
                <w:lang w:eastAsia="sk-SK"/>
              </w:rPr>
            </w:pPr>
            <w:r w:rsidRPr="005228FE">
              <w:rPr>
                <w:color w:val="000000"/>
                <w:lang w:eastAsia="sk-SK"/>
              </w:rPr>
              <w:t>10 073 243,88</w:t>
            </w:r>
          </w:p>
        </w:tc>
        <w:tc>
          <w:tcPr>
            <w:tcW w:w="1775" w:type="dxa"/>
            <w:tcBorders>
              <w:top w:val="nil"/>
              <w:left w:val="nil"/>
              <w:bottom w:val="single" w:sz="4" w:space="0" w:color="auto"/>
              <w:right w:val="single" w:sz="4" w:space="0" w:color="auto"/>
            </w:tcBorders>
            <w:vAlign w:val="bottom"/>
          </w:tcPr>
          <w:p w:rsidR="007F1BA3" w:rsidRPr="005228FE" w:rsidRDefault="007F1BA3" w:rsidP="00576C78">
            <w:pPr>
              <w:spacing w:after="0" w:line="240" w:lineRule="auto"/>
              <w:jc w:val="right"/>
              <w:rPr>
                <w:color w:val="000000"/>
                <w:lang w:eastAsia="sk-SK"/>
              </w:rPr>
            </w:pPr>
            <w:r w:rsidRPr="005228FE">
              <w:rPr>
                <w:color w:val="000000"/>
                <w:lang w:eastAsia="sk-SK"/>
              </w:rPr>
              <w:t>8 738 804,99</w:t>
            </w:r>
          </w:p>
        </w:tc>
        <w:tc>
          <w:tcPr>
            <w:tcW w:w="1776" w:type="dxa"/>
            <w:tcBorders>
              <w:top w:val="nil"/>
              <w:left w:val="nil"/>
              <w:bottom w:val="single" w:sz="4" w:space="0" w:color="auto"/>
              <w:right w:val="single" w:sz="4" w:space="0" w:color="auto"/>
            </w:tcBorders>
            <w:vAlign w:val="bottom"/>
          </w:tcPr>
          <w:p w:rsidR="007F1BA3" w:rsidRPr="005228FE" w:rsidRDefault="007F1BA3" w:rsidP="00576C78">
            <w:pPr>
              <w:spacing w:after="0" w:line="240" w:lineRule="auto"/>
              <w:jc w:val="right"/>
              <w:rPr>
                <w:color w:val="000000"/>
                <w:lang w:eastAsia="sk-SK"/>
              </w:rPr>
            </w:pPr>
            <w:r w:rsidRPr="005228FE">
              <w:rPr>
                <w:color w:val="000000"/>
                <w:lang w:eastAsia="sk-SK"/>
              </w:rPr>
              <w:t>9 175 670,94</w:t>
            </w:r>
          </w:p>
        </w:tc>
      </w:tr>
      <w:tr w:rsidR="007F1BA3" w:rsidRPr="005228FE" w:rsidTr="00576C78">
        <w:trPr>
          <w:trHeight w:val="300"/>
        </w:trPr>
        <w:tc>
          <w:tcPr>
            <w:tcW w:w="2040" w:type="dxa"/>
            <w:tcBorders>
              <w:top w:val="nil"/>
              <w:left w:val="single" w:sz="4" w:space="0" w:color="auto"/>
              <w:bottom w:val="single" w:sz="4" w:space="0" w:color="auto"/>
              <w:right w:val="single" w:sz="4" w:space="0" w:color="auto"/>
            </w:tcBorders>
            <w:noWrap/>
            <w:vAlign w:val="center"/>
          </w:tcPr>
          <w:p w:rsidR="007F1BA3" w:rsidRPr="005228FE" w:rsidRDefault="007F1BA3" w:rsidP="00576C78">
            <w:pPr>
              <w:spacing w:after="0" w:line="240" w:lineRule="auto"/>
              <w:rPr>
                <w:color w:val="000000"/>
                <w:lang w:eastAsia="sk-SK"/>
              </w:rPr>
            </w:pPr>
            <w:r w:rsidRPr="005228FE">
              <w:rPr>
                <w:color w:val="000000"/>
                <w:lang w:eastAsia="sk-SK"/>
              </w:rPr>
              <w:t>Komunálne odpady</w:t>
            </w:r>
          </w:p>
        </w:tc>
        <w:tc>
          <w:tcPr>
            <w:tcW w:w="1775" w:type="dxa"/>
            <w:tcBorders>
              <w:top w:val="nil"/>
              <w:left w:val="nil"/>
              <w:bottom w:val="single" w:sz="4" w:space="0" w:color="auto"/>
              <w:right w:val="single" w:sz="4" w:space="0" w:color="auto"/>
            </w:tcBorders>
            <w:noWrap/>
            <w:vAlign w:val="bottom"/>
          </w:tcPr>
          <w:p w:rsidR="007F1BA3" w:rsidRPr="005228FE" w:rsidRDefault="007F1BA3" w:rsidP="00576C78">
            <w:pPr>
              <w:spacing w:after="0" w:line="240" w:lineRule="auto"/>
              <w:jc w:val="right"/>
              <w:rPr>
                <w:color w:val="000000"/>
                <w:lang w:eastAsia="sk-SK"/>
              </w:rPr>
            </w:pPr>
            <w:r w:rsidRPr="005228FE">
              <w:rPr>
                <w:color w:val="000000"/>
                <w:lang w:eastAsia="sk-SK"/>
              </w:rPr>
              <w:t>1 558 262,94</w:t>
            </w:r>
          </w:p>
        </w:tc>
        <w:tc>
          <w:tcPr>
            <w:tcW w:w="1776" w:type="dxa"/>
            <w:tcBorders>
              <w:top w:val="nil"/>
              <w:left w:val="nil"/>
              <w:bottom w:val="single" w:sz="4" w:space="0" w:color="auto"/>
              <w:right w:val="single" w:sz="4" w:space="0" w:color="auto"/>
            </w:tcBorders>
            <w:noWrap/>
            <w:vAlign w:val="bottom"/>
          </w:tcPr>
          <w:p w:rsidR="007F1BA3" w:rsidRPr="005228FE" w:rsidRDefault="007F1BA3" w:rsidP="00576C78">
            <w:pPr>
              <w:spacing w:after="0" w:line="240" w:lineRule="auto"/>
              <w:jc w:val="right"/>
              <w:rPr>
                <w:color w:val="000000"/>
                <w:lang w:eastAsia="sk-SK"/>
              </w:rPr>
            </w:pPr>
            <w:r w:rsidRPr="005228FE">
              <w:rPr>
                <w:color w:val="000000"/>
                <w:lang w:eastAsia="sk-SK"/>
              </w:rPr>
              <w:t>1 623 306,48</w:t>
            </w:r>
          </w:p>
        </w:tc>
        <w:tc>
          <w:tcPr>
            <w:tcW w:w="1775" w:type="dxa"/>
            <w:tcBorders>
              <w:top w:val="nil"/>
              <w:left w:val="nil"/>
              <w:bottom w:val="single" w:sz="4" w:space="0" w:color="auto"/>
              <w:right w:val="single" w:sz="4" w:space="0" w:color="auto"/>
            </w:tcBorders>
            <w:noWrap/>
            <w:vAlign w:val="bottom"/>
          </w:tcPr>
          <w:p w:rsidR="007F1BA3" w:rsidRPr="005228FE" w:rsidRDefault="007F1BA3" w:rsidP="00576C78">
            <w:pPr>
              <w:spacing w:after="0" w:line="240" w:lineRule="auto"/>
              <w:jc w:val="right"/>
              <w:rPr>
                <w:color w:val="000000"/>
                <w:lang w:eastAsia="sk-SK"/>
              </w:rPr>
            </w:pPr>
            <w:r w:rsidRPr="005228FE">
              <w:rPr>
                <w:color w:val="000000"/>
                <w:lang w:eastAsia="sk-SK"/>
              </w:rPr>
              <w:t>1 668 648,31</w:t>
            </w:r>
          </w:p>
        </w:tc>
        <w:tc>
          <w:tcPr>
            <w:tcW w:w="1776" w:type="dxa"/>
            <w:tcBorders>
              <w:top w:val="nil"/>
              <w:left w:val="nil"/>
              <w:bottom w:val="single" w:sz="4" w:space="0" w:color="auto"/>
              <w:right w:val="single" w:sz="4" w:space="0" w:color="auto"/>
            </w:tcBorders>
            <w:noWrap/>
            <w:vAlign w:val="bottom"/>
          </w:tcPr>
          <w:p w:rsidR="007F1BA3" w:rsidRPr="005228FE" w:rsidRDefault="007F1BA3" w:rsidP="00576C78">
            <w:pPr>
              <w:spacing w:after="0" w:line="240" w:lineRule="auto"/>
              <w:jc w:val="right"/>
              <w:rPr>
                <w:color w:val="000000"/>
                <w:lang w:eastAsia="sk-SK"/>
              </w:rPr>
            </w:pPr>
            <w:r w:rsidRPr="005228FE">
              <w:rPr>
                <w:color w:val="000000"/>
                <w:lang w:eastAsia="sk-SK"/>
              </w:rPr>
              <w:t>1 772 425,62</w:t>
            </w:r>
          </w:p>
        </w:tc>
      </w:tr>
      <w:tr w:rsidR="007F1BA3" w:rsidRPr="005228FE" w:rsidTr="00576C78">
        <w:trPr>
          <w:trHeight w:val="300"/>
        </w:trPr>
        <w:tc>
          <w:tcPr>
            <w:tcW w:w="2040" w:type="dxa"/>
            <w:tcBorders>
              <w:top w:val="nil"/>
              <w:left w:val="single" w:sz="4" w:space="0" w:color="auto"/>
              <w:bottom w:val="single" w:sz="4" w:space="0" w:color="auto"/>
              <w:right w:val="single" w:sz="4" w:space="0" w:color="auto"/>
            </w:tcBorders>
            <w:noWrap/>
            <w:vAlign w:val="center"/>
          </w:tcPr>
          <w:p w:rsidR="007F1BA3" w:rsidRPr="005228FE" w:rsidRDefault="007F1BA3" w:rsidP="00576C78">
            <w:pPr>
              <w:spacing w:after="0" w:line="240" w:lineRule="auto"/>
              <w:rPr>
                <w:b/>
                <w:bCs/>
                <w:color w:val="000000"/>
                <w:lang w:eastAsia="sk-SK"/>
              </w:rPr>
            </w:pPr>
            <w:r w:rsidRPr="005228FE">
              <w:rPr>
                <w:b/>
                <w:bCs/>
                <w:color w:val="000000"/>
                <w:lang w:eastAsia="sk-SK"/>
              </w:rPr>
              <w:t>SPOLU</w:t>
            </w:r>
          </w:p>
        </w:tc>
        <w:tc>
          <w:tcPr>
            <w:tcW w:w="1775" w:type="dxa"/>
            <w:tcBorders>
              <w:top w:val="nil"/>
              <w:left w:val="nil"/>
              <w:bottom w:val="single" w:sz="4" w:space="0" w:color="auto"/>
              <w:right w:val="single" w:sz="4" w:space="0" w:color="auto"/>
            </w:tcBorders>
            <w:noWrap/>
            <w:vAlign w:val="bottom"/>
          </w:tcPr>
          <w:p w:rsidR="007F1BA3" w:rsidRPr="005228FE" w:rsidRDefault="007F1BA3" w:rsidP="00576C78">
            <w:pPr>
              <w:spacing w:after="0" w:line="240" w:lineRule="auto"/>
              <w:jc w:val="right"/>
              <w:rPr>
                <w:b/>
                <w:bCs/>
                <w:color w:val="000000"/>
                <w:lang w:eastAsia="sk-SK"/>
              </w:rPr>
            </w:pPr>
            <w:r w:rsidRPr="005228FE">
              <w:rPr>
                <w:b/>
                <w:bCs/>
                <w:color w:val="000000"/>
                <w:lang w:eastAsia="sk-SK"/>
              </w:rPr>
              <w:t>10 929 437,87</w:t>
            </w:r>
          </w:p>
        </w:tc>
        <w:tc>
          <w:tcPr>
            <w:tcW w:w="1776" w:type="dxa"/>
            <w:tcBorders>
              <w:top w:val="nil"/>
              <w:left w:val="nil"/>
              <w:bottom w:val="single" w:sz="4" w:space="0" w:color="auto"/>
              <w:right w:val="single" w:sz="4" w:space="0" w:color="auto"/>
            </w:tcBorders>
            <w:noWrap/>
            <w:vAlign w:val="bottom"/>
          </w:tcPr>
          <w:p w:rsidR="007F1BA3" w:rsidRPr="005228FE" w:rsidRDefault="007F1BA3" w:rsidP="00576C78">
            <w:pPr>
              <w:spacing w:after="0" w:line="240" w:lineRule="auto"/>
              <w:jc w:val="right"/>
              <w:rPr>
                <w:b/>
                <w:bCs/>
                <w:color w:val="000000"/>
                <w:lang w:eastAsia="sk-SK"/>
              </w:rPr>
            </w:pPr>
            <w:r w:rsidRPr="005228FE">
              <w:rPr>
                <w:b/>
                <w:bCs/>
                <w:color w:val="000000"/>
                <w:lang w:eastAsia="sk-SK"/>
              </w:rPr>
              <w:t>12 228 458,69</w:t>
            </w:r>
          </w:p>
        </w:tc>
        <w:tc>
          <w:tcPr>
            <w:tcW w:w="1775" w:type="dxa"/>
            <w:tcBorders>
              <w:top w:val="nil"/>
              <w:left w:val="nil"/>
              <w:bottom w:val="single" w:sz="4" w:space="0" w:color="auto"/>
              <w:right w:val="single" w:sz="4" w:space="0" w:color="auto"/>
            </w:tcBorders>
            <w:noWrap/>
            <w:vAlign w:val="bottom"/>
          </w:tcPr>
          <w:p w:rsidR="007F1BA3" w:rsidRPr="005228FE" w:rsidRDefault="007F1BA3" w:rsidP="00576C78">
            <w:pPr>
              <w:spacing w:after="0" w:line="240" w:lineRule="auto"/>
              <w:jc w:val="right"/>
              <w:rPr>
                <w:b/>
                <w:bCs/>
                <w:color w:val="000000"/>
                <w:lang w:eastAsia="sk-SK"/>
              </w:rPr>
            </w:pPr>
            <w:r w:rsidRPr="005228FE">
              <w:rPr>
                <w:b/>
                <w:bCs/>
                <w:color w:val="000000"/>
                <w:lang w:eastAsia="sk-SK"/>
              </w:rPr>
              <w:t>10 932 587,66</w:t>
            </w:r>
          </w:p>
        </w:tc>
        <w:tc>
          <w:tcPr>
            <w:tcW w:w="1776" w:type="dxa"/>
            <w:tcBorders>
              <w:top w:val="nil"/>
              <w:left w:val="nil"/>
              <w:bottom w:val="single" w:sz="4" w:space="0" w:color="auto"/>
              <w:right w:val="single" w:sz="4" w:space="0" w:color="auto"/>
            </w:tcBorders>
            <w:noWrap/>
            <w:vAlign w:val="bottom"/>
          </w:tcPr>
          <w:p w:rsidR="007F1BA3" w:rsidRPr="005228FE" w:rsidRDefault="007F1BA3" w:rsidP="00576C78">
            <w:pPr>
              <w:spacing w:after="0" w:line="240" w:lineRule="auto"/>
              <w:jc w:val="right"/>
              <w:rPr>
                <w:b/>
                <w:bCs/>
                <w:color w:val="000000"/>
                <w:lang w:eastAsia="sk-SK"/>
              </w:rPr>
            </w:pPr>
            <w:r w:rsidRPr="005228FE">
              <w:rPr>
                <w:b/>
                <w:bCs/>
                <w:color w:val="000000"/>
                <w:lang w:eastAsia="sk-SK"/>
              </w:rPr>
              <w:t>11 472 007,52</w:t>
            </w:r>
          </w:p>
        </w:tc>
      </w:tr>
      <w:tr w:rsidR="007F1BA3" w:rsidRPr="005228FE" w:rsidTr="00576C78">
        <w:trPr>
          <w:trHeight w:val="300"/>
        </w:trPr>
        <w:tc>
          <w:tcPr>
            <w:tcW w:w="2040" w:type="dxa"/>
            <w:tcBorders>
              <w:top w:val="nil"/>
              <w:left w:val="single" w:sz="4" w:space="0" w:color="auto"/>
              <w:bottom w:val="single" w:sz="4" w:space="0" w:color="auto"/>
              <w:right w:val="single" w:sz="4" w:space="0" w:color="auto"/>
            </w:tcBorders>
            <w:shd w:val="clear" w:color="000000" w:fill="C2D69A"/>
            <w:noWrap/>
            <w:vAlign w:val="center"/>
          </w:tcPr>
          <w:p w:rsidR="007F1BA3" w:rsidRPr="005228FE" w:rsidRDefault="007F1BA3" w:rsidP="00576C78">
            <w:pPr>
              <w:spacing w:after="0" w:line="240" w:lineRule="auto"/>
              <w:rPr>
                <w:b/>
                <w:bCs/>
                <w:color w:val="000000"/>
                <w:lang w:eastAsia="sk-SK"/>
              </w:rPr>
            </w:pPr>
            <w:r w:rsidRPr="005228FE">
              <w:rPr>
                <w:b/>
                <w:bCs/>
                <w:color w:val="000000"/>
                <w:lang w:eastAsia="sk-SK"/>
              </w:rPr>
              <w:t>Odpad</w:t>
            </w:r>
          </w:p>
        </w:tc>
        <w:tc>
          <w:tcPr>
            <w:tcW w:w="1775" w:type="dxa"/>
            <w:tcBorders>
              <w:top w:val="nil"/>
              <w:left w:val="nil"/>
              <w:bottom w:val="single" w:sz="4" w:space="0" w:color="auto"/>
              <w:right w:val="single" w:sz="4" w:space="0" w:color="auto"/>
            </w:tcBorders>
            <w:shd w:val="clear" w:color="000000" w:fill="C2D69A"/>
            <w:noWrap/>
            <w:vAlign w:val="center"/>
          </w:tcPr>
          <w:p w:rsidR="007F1BA3" w:rsidRPr="005228FE" w:rsidRDefault="007F1BA3" w:rsidP="00576C78">
            <w:pPr>
              <w:spacing w:after="0" w:line="240" w:lineRule="auto"/>
              <w:jc w:val="center"/>
              <w:rPr>
                <w:b/>
                <w:bCs/>
                <w:color w:val="000000"/>
                <w:lang w:eastAsia="sk-SK"/>
              </w:rPr>
            </w:pPr>
            <w:r w:rsidRPr="005228FE">
              <w:rPr>
                <w:b/>
                <w:bCs/>
                <w:color w:val="000000"/>
                <w:lang w:eastAsia="sk-SK"/>
              </w:rPr>
              <w:t>2009</w:t>
            </w:r>
          </w:p>
        </w:tc>
        <w:tc>
          <w:tcPr>
            <w:tcW w:w="1776" w:type="dxa"/>
            <w:tcBorders>
              <w:top w:val="nil"/>
              <w:left w:val="nil"/>
              <w:bottom w:val="single" w:sz="4" w:space="0" w:color="auto"/>
              <w:right w:val="single" w:sz="4" w:space="0" w:color="auto"/>
            </w:tcBorders>
            <w:shd w:val="clear" w:color="000000" w:fill="C2D69A"/>
            <w:noWrap/>
            <w:vAlign w:val="center"/>
          </w:tcPr>
          <w:p w:rsidR="007F1BA3" w:rsidRPr="005228FE" w:rsidRDefault="007F1BA3" w:rsidP="00576C78">
            <w:pPr>
              <w:spacing w:after="0" w:line="240" w:lineRule="auto"/>
              <w:jc w:val="center"/>
              <w:rPr>
                <w:b/>
                <w:bCs/>
                <w:color w:val="000000"/>
                <w:lang w:eastAsia="sk-SK"/>
              </w:rPr>
            </w:pPr>
            <w:r w:rsidRPr="005228FE">
              <w:rPr>
                <w:b/>
                <w:bCs/>
                <w:color w:val="000000"/>
                <w:lang w:eastAsia="sk-SK"/>
              </w:rPr>
              <w:t>2010</w:t>
            </w:r>
          </w:p>
        </w:tc>
        <w:tc>
          <w:tcPr>
            <w:tcW w:w="1775" w:type="dxa"/>
            <w:tcBorders>
              <w:top w:val="nil"/>
              <w:left w:val="nil"/>
              <w:bottom w:val="single" w:sz="4" w:space="0" w:color="auto"/>
              <w:right w:val="single" w:sz="4" w:space="0" w:color="auto"/>
            </w:tcBorders>
            <w:shd w:val="clear" w:color="000000" w:fill="C2D69A"/>
            <w:noWrap/>
            <w:vAlign w:val="center"/>
          </w:tcPr>
          <w:p w:rsidR="007F1BA3" w:rsidRPr="005228FE" w:rsidRDefault="007F1BA3" w:rsidP="00576C78">
            <w:pPr>
              <w:spacing w:after="0" w:line="240" w:lineRule="auto"/>
              <w:jc w:val="center"/>
              <w:rPr>
                <w:b/>
                <w:bCs/>
                <w:color w:val="000000"/>
                <w:lang w:eastAsia="sk-SK"/>
              </w:rPr>
            </w:pPr>
            <w:r w:rsidRPr="005228FE">
              <w:rPr>
                <w:b/>
                <w:bCs/>
                <w:color w:val="000000"/>
                <w:lang w:eastAsia="sk-SK"/>
              </w:rPr>
              <w:t>2011</w:t>
            </w:r>
          </w:p>
        </w:tc>
        <w:tc>
          <w:tcPr>
            <w:tcW w:w="1776" w:type="dxa"/>
            <w:tcBorders>
              <w:top w:val="nil"/>
              <w:left w:val="nil"/>
              <w:bottom w:val="single" w:sz="4" w:space="0" w:color="auto"/>
              <w:right w:val="single" w:sz="4" w:space="0" w:color="auto"/>
            </w:tcBorders>
            <w:shd w:val="clear" w:color="000000" w:fill="C2D69A"/>
            <w:noWrap/>
            <w:vAlign w:val="center"/>
          </w:tcPr>
          <w:p w:rsidR="007F1BA3" w:rsidRPr="005228FE" w:rsidRDefault="007F1BA3" w:rsidP="00576C78">
            <w:pPr>
              <w:spacing w:after="0" w:line="240" w:lineRule="auto"/>
              <w:jc w:val="center"/>
              <w:rPr>
                <w:b/>
                <w:bCs/>
                <w:color w:val="000000"/>
                <w:lang w:eastAsia="sk-SK"/>
              </w:rPr>
            </w:pPr>
            <w:r w:rsidRPr="005228FE">
              <w:rPr>
                <w:b/>
                <w:bCs/>
                <w:color w:val="000000"/>
                <w:lang w:eastAsia="sk-SK"/>
              </w:rPr>
              <w:t> </w:t>
            </w:r>
          </w:p>
        </w:tc>
      </w:tr>
      <w:tr w:rsidR="007F1BA3" w:rsidRPr="005228FE" w:rsidTr="00576C78">
        <w:trPr>
          <w:trHeight w:val="300"/>
        </w:trPr>
        <w:tc>
          <w:tcPr>
            <w:tcW w:w="2040" w:type="dxa"/>
            <w:tcBorders>
              <w:top w:val="nil"/>
              <w:left w:val="single" w:sz="4" w:space="0" w:color="auto"/>
              <w:bottom w:val="single" w:sz="4" w:space="0" w:color="auto"/>
              <w:right w:val="single" w:sz="4" w:space="0" w:color="auto"/>
            </w:tcBorders>
            <w:noWrap/>
            <w:vAlign w:val="center"/>
          </w:tcPr>
          <w:p w:rsidR="007F1BA3" w:rsidRPr="005228FE" w:rsidRDefault="007F1BA3" w:rsidP="00576C78">
            <w:pPr>
              <w:spacing w:after="0" w:line="240" w:lineRule="auto"/>
              <w:rPr>
                <w:color w:val="000000"/>
                <w:lang w:eastAsia="sk-SK"/>
              </w:rPr>
            </w:pPr>
            <w:r w:rsidRPr="005228FE">
              <w:rPr>
                <w:color w:val="000000"/>
                <w:lang w:eastAsia="sk-SK"/>
              </w:rPr>
              <w:t>Nebezpečné odpady</w:t>
            </w:r>
          </w:p>
        </w:tc>
        <w:tc>
          <w:tcPr>
            <w:tcW w:w="1775" w:type="dxa"/>
            <w:tcBorders>
              <w:top w:val="nil"/>
              <w:left w:val="nil"/>
              <w:bottom w:val="single" w:sz="4" w:space="0" w:color="auto"/>
              <w:right w:val="single" w:sz="4" w:space="0" w:color="auto"/>
            </w:tcBorders>
            <w:vAlign w:val="bottom"/>
          </w:tcPr>
          <w:p w:rsidR="007F1BA3" w:rsidRPr="005228FE" w:rsidRDefault="007F1BA3" w:rsidP="00576C78">
            <w:pPr>
              <w:spacing w:after="0" w:line="240" w:lineRule="auto"/>
              <w:jc w:val="right"/>
              <w:rPr>
                <w:color w:val="000000"/>
                <w:lang w:eastAsia="sk-SK"/>
              </w:rPr>
            </w:pPr>
            <w:r w:rsidRPr="005228FE">
              <w:rPr>
                <w:color w:val="000000"/>
                <w:lang w:eastAsia="sk-SK"/>
              </w:rPr>
              <w:t>462 100,91</w:t>
            </w:r>
          </w:p>
        </w:tc>
        <w:tc>
          <w:tcPr>
            <w:tcW w:w="1776" w:type="dxa"/>
            <w:tcBorders>
              <w:top w:val="nil"/>
              <w:left w:val="nil"/>
              <w:bottom w:val="single" w:sz="4" w:space="0" w:color="auto"/>
              <w:right w:val="single" w:sz="4" w:space="0" w:color="auto"/>
            </w:tcBorders>
            <w:vAlign w:val="bottom"/>
          </w:tcPr>
          <w:p w:rsidR="007F1BA3" w:rsidRPr="005228FE" w:rsidRDefault="007F1BA3" w:rsidP="00576C78">
            <w:pPr>
              <w:spacing w:after="0" w:line="240" w:lineRule="auto"/>
              <w:jc w:val="right"/>
              <w:rPr>
                <w:color w:val="000000"/>
                <w:lang w:eastAsia="sk-SK"/>
              </w:rPr>
            </w:pPr>
            <w:r w:rsidRPr="005228FE">
              <w:rPr>
                <w:color w:val="000000"/>
                <w:lang w:eastAsia="sk-SK"/>
              </w:rPr>
              <w:t>466 421,51</w:t>
            </w:r>
          </w:p>
        </w:tc>
        <w:tc>
          <w:tcPr>
            <w:tcW w:w="1775" w:type="dxa"/>
            <w:tcBorders>
              <w:top w:val="nil"/>
              <w:left w:val="nil"/>
              <w:bottom w:val="single" w:sz="4" w:space="0" w:color="auto"/>
              <w:right w:val="single" w:sz="4" w:space="0" w:color="auto"/>
            </w:tcBorders>
            <w:vAlign w:val="bottom"/>
          </w:tcPr>
          <w:p w:rsidR="007F1BA3" w:rsidRPr="005228FE" w:rsidRDefault="007F1BA3" w:rsidP="00576C78">
            <w:pPr>
              <w:spacing w:after="0" w:line="240" w:lineRule="auto"/>
              <w:jc w:val="right"/>
              <w:rPr>
                <w:color w:val="000000"/>
                <w:lang w:eastAsia="sk-SK"/>
              </w:rPr>
            </w:pPr>
            <w:r w:rsidRPr="005228FE">
              <w:rPr>
                <w:color w:val="000000"/>
                <w:lang w:eastAsia="sk-SK"/>
              </w:rPr>
              <w:t>379 628,73</w:t>
            </w:r>
          </w:p>
        </w:tc>
        <w:tc>
          <w:tcPr>
            <w:tcW w:w="1776" w:type="dxa"/>
            <w:tcBorders>
              <w:top w:val="nil"/>
              <w:left w:val="nil"/>
              <w:bottom w:val="single" w:sz="4" w:space="0" w:color="auto"/>
              <w:right w:val="single" w:sz="4" w:space="0" w:color="auto"/>
            </w:tcBorders>
            <w:noWrap/>
            <w:vAlign w:val="center"/>
          </w:tcPr>
          <w:p w:rsidR="007F1BA3" w:rsidRPr="005228FE" w:rsidRDefault="007F1BA3" w:rsidP="00576C78">
            <w:pPr>
              <w:spacing w:after="0" w:line="240" w:lineRule="auto"/>
              <w:rPr>
                <w:color w:val="000000"/>
                <w:lang w:eastAsia="sk-SK"/>
              </w:rPr>
            </w:pPr>
            <w:r w:rsidRPr="005228FE">
              <w:rPr>
                <w:color w:val="000000"/>
                <w:lang w:eastAsia="sk-SK"/>
              </w:rPr>
              <w:t> </w:t>
            </w:r>
          </w:p>
        </w:tc>
      </w:tr>
      <w:tr w:rsidR="007F1BA3" w:rsidRPr="005228FE" w:rsidTr="00576C78">
        <w:trPr>
          <w:trHeight w:val="300"/>
        </w:trPr>
        <w:tc>
          <w:tcPr>
            <w:tcW w:w="2040" w:type="dxa"/>
            <w:tcBorders>
              <w:top w:val="nil"/>
              <w:left w:val="single" w:sz="4" w:space="0" w:color="auto"/>
              <w:bottom w:val="single" w:sz="4" w:space="0" w:color="auto"/>
              <w:right w:val="single" w:sz="4" w:space="0" w:color="auto"/>
            </w:tcBorders>
            <w:noWrap/>
            <w:vAlign w:val="center"/>
          </w:tcPr>
          <w:p w:rsidR="007F1BA3" w:rsidRPr="005228FE" w:rsidRDefault="007F1BA3" w:rsidP="00576C78">
            <w:pPr>
              <w:spacing w:after="0" w:line="240" w:lineRule="auto"/>
              <w:rPr>
                <w:color w:val="000000"/>
                <w:lang w:eastAsia="sk-SK"/>
              </w:rPr>
            </w:pPr>
            <w:r w:rsidRPr="005228FE">
              <w:rPr>
                <w:color w:val="000000"/>
                <w:lang w:eastAsia="sk-SK"/>
              </w:rPr>
              <w:t>Ostatné odpady</w:t>
            </w:r>
          </w:p>
        </w:tc>
        <w:tc>
          <w:tcPr>
            <w:tcW w:w="1775" w:type="dxa"/>
            <w:tcBorders>
              <w:top w:val="nil"/>
              <w:left w:val="nil"/>
              <w:bottom w:val="single" w:sz="4" w:space="0" w:color="auto"/>
              <w:right w:val="single" w:sz="4" w:space="0" w:color="auto"/>
            </w:tcBorders>
            <w:vAlign w:val="bottom"/>
          </w:tcPr>
          <w:p w:rsidR="007F1BA3" w:rsidRPr="005228FE" w:rsidRDefault="007F1BA3" w:rsidP="00576C78">
            <w:pPr>
              <w:spacing w:after="0" w:line="240" w:lineRule="auto"/>
              <w:jc w:val="right"/>
              <w:rPr>
                <w:color w:val="000000"/>
                <w:lang w:eastAsia="sk-SK"/>
              </w:rPr>
            </w:pPr>
            <w:r w:rsidRPr="005228FE">
              <w:rPr>
                <w:color w:val="000000"/>
                <w:lang w:eastAsia="sk-SK"/>
              </w:rPr>
              <w:t>6 293 035,03</w:t>
            </w:r>
          </w:p>
        </w:tc>
        <w:tc>
          <w:tcPr>
            <w:tcW w:w="1776" w:type="dxa"/>
            <w:tcBorders>
              <w:top w:val="nil"/>
              <w:left w:val="nil"/>
              <w:bottom w:val="single" w:sz="4" w:space="0" w:color="auto"/>
              <w:right w:val="single" w:sz="4" w:space="0" w:color="auto"/>
            </w:tcBorders>
            <w:vAlign w:val="bottom"/>
          </w:tcPr>
          <w:p w:rsidR="007F1BA3" w:rsidRPr="005228FE" w:rsidRDefault="007F1BA3" w:rsidP="00576C78">
            <w:pPr>
              <w:spacing w:after="0" w:line="240" w:lineRule="auto"/>
              <w:jc w:val="right"/>
              <w:rPr>
                <w:color w:val="000000"/>
                <w:lang w:eastAsia="sk-SK"/>
              </w:rPr>
            </w:pPr>
            <w:r w:rsidRPr="005228FE">
              <w:rPr>
                <w:color w:val="000000"/>
                <w:lang w:eastAsia="sk-SK"/>
              </w:rPr>
              <w:t>8 480 611,66</w:t>
            </w:r>
          </w:p>
        </w:tc>
        <w:tc>
          <w:tcPr>
            <w:tcW w:w="1775" w:type="dxa"/>
            <w:tcBorders>
              <w:top w:val="nil"/>
              <w:left w:val="nil"/>
              <w:bottom w:val="single" w:sz="4" w:space="0" w:color="auto"/>
              <w:right w:val="single" w:sz="4" w:space="0" w:color="auto"/>
            </w:tcBorders>
            <w:vAlign w:val="bottom"/>
          </w:tcPr>
          <w:p w:rsidR="007F1BA3" w:rsidRPr="005228FE" w:rsidRDefault="007F1BA3" w:rsidP="00576C78">
            <w:pPr>
              <w:spacing w:after="0" w:line="240" w:lineRule="auto"/>
              <w:jc w:val="right"/>
              <w:rPr>
                <w:color w:val="000000"/>
                <w:lang w:eastAsia="sk-SK"/>
              </w:rPr>
            </w:pPr>
            <w:r w:rsidRPr="005228FE">
              <w:rPr>
                <w:color w:val="000000"/>
                <w:lang w:eastAsia="sk-SK"/>
              </w:rPr>
              <w:t>8 689 165,48</w:t>
            </w:r>
          </w:p>
        </w:tc>
        <w:tc>
          <w:tcPr>
            <w:tcW w:w="1776" w:type="dxa"/>
            <w:tcBorders>
              <w:top w:val="nil"/>
              <w:left w:val="nil"/>
              <w:bottom w:val="single" w:sz="4" w:space="0" w:color="auto"/>
              <w:right w:val="single" w:sz="4" w:space="0" w:color="auto"/>
            </w:tcBorders>
            <w:noWrap/>
            <w:vAlign w:val="center"/>
          </w:tcPr>
          <w:p w:rsidR="007F1BA3" w:rsidRPr="005228FE" w:rsidRDefault="007F1BA3" w:rsidP="00576C78">
            <w:pPr>
              <w:spacing w:after="0" w:line="240" w:lineRule="auto"/>
              <w:rPr>
                <w:color w:val="000000"/>
                <w:lang w:eastAsia="sk-SK"/>
              </w:rPr>
            </w:pPr>
            <w:r w:rsidRPr="005228FE">
              <w:rPr>
                <w:color w:val="000000"/>
                <w:lang w:eastAsia="sk-SK"/>
              </w:rPr>
              <w:t> </w:t>
            </w:r>
          </w:p>
        </w:tc>
      </w:tr>
      <w:tr w:rsidR="007F1BA3" w:rsidRPr="005228FE" w:rsidTr="00576C78">
        <w:trPr>
          <w:trHeight w:val="300"/>
        </w:trPr>
        <w:tc>
          <w:tcPr>
            <w:tcW w:w="2040" w:type="dxa"/>
            <w:tcBorders>
              <w:top w:val="nil"/>
              <w:left w:val="single" w:sz="4" w:space="0" w:color="auto"/>
              <w:bottom w:val="single" w:sz="4" w:space="0" w:color="auto"/>
              <w:right w:val="single" w:sz="4" w:space="0" w:color="auto"/>
            </w:tcBorders>
            <w:noWrap/>
            <w:vAlign w:val="center"/>
          </w:tcPr>
          <w:p w:rsidR="007F1BA3" w:rsidRPr="005228FE" w:rsidRDefault="007F1BA3" w:rsidP="00576C78">
            <w:pPr>
              <w:spacing w:after="0" w:line="240" w:lineRule="auto"/>
              <w:rPr>
                <w:color w:val="000000"/>
                <w:lang w:eastAsia="sk-SK"/>
              </w:rPr>
            </w:pPr>
            <w:r w:rsidRPr="005228FE">
              <w:rPr>
                <w:color w:val="000000"/>
                <w:lang w:eastAsia="sk-SK"/>
              </w:rPr>
              <w:t>Komunálne odpady</w:t>
            </w:r>
          </w:p>
        </w:tc>
        <w:tc>
          <w:tcPr>
            <w:tcW w:w="1775" w:type="dxa"/>
            <w:tcBorders>
              <w:top w:val="nil"/>
              <w:left w:val="nil"/>
              <w:bottom w:val="single" w:sz="4" w:space="0" w:color="auto"/>
              <w:right w:val="single" w:sz="4" w:space="0" w:color="auto"/>
            </w:tcBorders>
            <w:noWrap/>
            <w:vAlign w:val="bottom"/>
          </w:tcPr>
          <w:p w:rsidR="007F1BA3" w:rsidRPr="005228FE" w:rsidRDefault="007F1BA3" w:rsidP="00576C78">
            <w:pPr>
              <w:spacing w:after="0" w:line="240" w:lineRule="auto"/>
              <w:jc w:val="right"/>
              <w:rPr>
                <w:color w:val="000000"/>
                <w:lang w:eastAsia="sk-SK"/>
              </w:rPr>
            </w:pPr>
            <w:r w:rsidRPr="005228FE">
              <w:rPr>
                <w:color w:val="000000"/>
                <w:lang w:eastAsia="sk-SK"/>
              </w:rPr>
              <w:t>1 745 494,06</w:t>
            </w:r>
          </w:p>
        </w:tc>
        <w:tc>
          <w:tcPr>
            <w:tcW w:w="1776" w:type="dxa"/>
            <w:tcBorders>
              <w:top w:val="nil"/>
              <w:left w:val="nil"/>
              <w:bottom w:val="single" w:sz="4" w:space="0" w:color="auto"/>
              <w:right w:val="single" w:sz="4" w:space="0" w:color="auto"/>
            </w:tcBorders>
            <w:noWrap/>
            <w:vAlign w:val="bottom"/>
          </w:tcPr>
          <w:p w:rsidR="007F1BA3" w:rsidRPr="005228FE" w:rsidRDefault="007F1BA3" w:rsidP="00576C78">
            <w:pPr>
              <w:spacing w:after="0" w:line="240" w:lineRule="auto"/>
              <w:jc w:val="right"/>
              <w:rPr>
                <w:color w:val="000000"/>
                <w:lang w:eastAsia="sk-SK"/>
              </w:rPr>
            </w:pPr>
            <w:r w:rsidRPr="005228FE">
              <w:rPr>
                <w:color w:val="000000"/>
                <w:lang w:eastAsia="sk-SK"/>
              </w:rPr>
              <w:t>1 808 506,05</w:t>
            </w:r>
          </w:p>
        </w:tc>
        <w:tc>
          <w:tcPr>
            <w:tcW w:w="1775" w:type="dxa"/>
            <w:tcBorders>
              <w:top w:val="nil"/>
              <w:left w:val="nil"/>
              <w:bottom w:val="single" w:sz="4" w:space="0" w:color="auto"/>
              <w:right w:val="single" w:sz="4" w:space="0" w:color="auto"/>
            </w:tcBorders>
            <w:noWrap/>
            <w:vAlign w:val="bottom"/>
          </w:tcPr>
          <w:p w:rsidR="007F1BA3" w:rsidRPr="005228FE" w:rsidRDefault="007F1BA3" w:rsidP="00576C78">
            <w:pPr>
              <w:spacing w:after="0" w:line="240" w:lineRule="auto"/>
              <w:jc w:val="right"/>
              <w:rPr>
                <w:color w:val="000000"/>
                <w:lang w:eastAsia="sk-SK"/>
              </w:rPr>
            </w:pPr>
            <w:r w:rsidRPr="005228FE">
              <w:rPr>
                <w:color w:val="000000"/>
                <w:lang w:eastAsia="sk-SK"/>
              </w:rPr>
              <w:t>1 766 990,48</w:t>
            </w:r>
          </w:p>
        </w:tc>
        <w:tc>
          <w:tcPr>
            <w:tcW w:w="1776" w:type="dxa"/>
            <w:tcBorders>
              <w:top w:val="nil"/>
              <w:left w:val="nil"/>
              <w:bottom w:val="single" w:sz="4" w:space="0" w:color="auto"/>
              <w:right w:val="single" w:sz="4" w:space="0" w:color="auto"/>
            </w:tcBorders>
            <w:noWrap/>
            <w:vAlign w:val="center"/>
          </w:tcPr>
          <w:p w:rsidR="007F1BA3" w:rsidRPr="005228FE" w:rsidRDefault="007F1BA3" w:rsidP="00576C78">
            <w:pPr>
              <w:spacing w:after="0" w:line="240" w:lineRule="auto"/>
              <w:rPr>
                <w:b/>
                <w:bCs/>
                <w:color w:val="000000"/>
                <w:lang w:eastAsia="sk-SK"/>
              </w:rPr>
            </w:pPr>
            <w:r w:rsidRPr="005228FE">
              <w:rPr>
                <w:b/>
                <w:bCs/>
                <w:color w:val="000000"/>
                <w:lang w:eastAsia="sk-SK"/>
              </w:rPr>
              <w:t> </w:t>
            </w:r>
          </w:p>
        </w:tc>
      </w:tr>
      <w:tr w:rsidR="007F1BA3" w:rsidRPr="005228FE" w:rsidTr="00576C78">
        <w:trPr>
          <w:trHeight w:val="300"/>
        </w:trPr>
        <w:tc>
          <w:tcPr>
            <w:tcW w:w="2040" w:type="dxa"/>
            <w:tcBorders>
              <w:top w:val="nil"/>
              <w:left w:val="single" w:sz="4" w:space="0" w:color="auto"/>
              <w:bottom w:val="single" w:sz="4" w:space="0" w:color="auto"/>
              <w:right w:val="single" w:sz="4" w:space="0" w:color="auto"/>
            </w:tcBorders>
            <w:noWrap/>
            <w:vAlign w:val="bottom"/>
          </w:tcPr>
          <w:p w:rsidR="007F1BA3" w:rsidRPr="005228FE" w:rsidRDefault="007F1BA3" w:rsidP="00576C78">
            <w:pPr>
              <w:spacing w:after="0" w:line="240" w:lineRule="auto"/>
              <w:rPr>
                <w:b/>
                <w:bCs/>
                <w:color w:val="000000"/>
                <w:lang w:eastAsia="sk-SK"/>
              </w:rPr>
            </w:pPr>
            <w:r w:rsidRPr="005228FE">
              <w:rPr>
                <w:b/>
                <w:bCs/>
                <w:color w:val="000000"/>
                <w:lang w:eastAsia="sk-SK"/>
              </w:rPr>
              <w:t>SPOLU</w:t>
            </w:r>
          </w:p>
        </w:tc>
        <w:tc>
          <w:tcPr>
            <w:tcW w:w="1775" w:type="dxa"/>
            <w:tcBorders>
              <w:top w:val="nil"/>
              <w:left w:val="nil"/>
              <w:bottom w:val="single" w:sz="4" w:space="0" w:color="auto"/>
              <w:right w:val="single" w:sz="4" w:space="0" w:color="auto"/>
            </w:tcBorders>
            <w:noWrap/>
            <w:vAlign w:val="bottom"/>
          </w:tcPr>
          <w:p w:rsidR="007F1BA3" w:rsidRPr="005228FE" w:rsidRDefault="007F1BA3" w:rsidP="00576C78">
            <w:pPr>
              <w:spacing w:after="0" w:line="240" w:lineRule="auto"/>
              <w:jc w:val="right"/>
              <w:rPr>
                <w:b/>
                <w:bCs/>
                <w:color w:val="000000"/>
                <w:lang w:eastAsia="sk-SK"/>
              </w:rPr>
            </w:pPr>
            <w:r w:rsidRPr="005228FE">
              <w:rPr>
                <w:b/>
                <w:bCs/>
                <w:color w:val="000000"/>
                <w:lang w:eastAsia="sk-SK"/>
              </w:rPr>
              <w:t>8 500 630,00</w:t>
            </w:r>
          </w:p>
        </w:tc>
        <w:tc>
          <w:tcPr>
            <w:tcW w:w="1776" w:type="dxa"/>
            <w:tcBorders>
              <w:top w:val="nil"/>
              <w:left w:val="nil"/>
              <w:bottom w:val="single" w:sz="4" w:space="0" w:color="auto"/>
              <w:right w:val="single" w:sz="4" w:space="0" w:color="auto"/>
            </w:tcBorders>
            <w:noWrap/>
            <w:vAlign w:val="bottom"/>
          </w:tcPr>
          <w:p w:rsidR="007F1BA3" w:rsidRPr="005228FE" w:rsidRDefault="007F1BA3" w:rsidP="00576C78">
            <w:pPr>
              <w:spacing w:after="0" w:line="240" w:lineRule="auto"/>
              <w:jc w:val="right"/>
              <w:rPr>
                <w:b/>
                <w:bCs/>
                <w:color w:val="000000"/>
                <w:lang w:eastAsia="sk-SK"/>
              </w:rPr>
            </w:pPr>
            <w:r w:rsidRPr="005228FE">
              <w:rPr>
                <w:b/>
                <w:bCs/>
                <w:color w:val="000000"/>
                <w:lang w:eastAsia="sk-SK"/>
              </w:rPr>
              <w:t>10 755 539,23</w:t>
            </w:r>
          </w:p>
        </w:tc>
        <w:tc>
          <w:tcPr>
            <w:tcW w:w="1775" w:type="dxa"/>
            <w:tcBorders>
              <w:top w:val="nil"/>
              <w:left w:val="nil"/>
              <w:bottom w:val="single" w:sz="4" w:space="0" w:color="auto"/>
              <w:right w:val="single" w:sz="4" w:space="0" w:color="auto"/>
            </w:tcBorders>
            <w:noWrap/>
            <w:vAlign w:val="bottom"/>
          </w:tcPr>
          <w:p w:rsidR="007F1BA3" w:rsidRPr="005228FE" w:rsidRDefault="007F1BA3" w:rsidP="00576C78">
            <w:pPr>
              <w:spacing w:after="0" w:line="240" w:lineRule="auto"/>
              <w:jc w:val="right"/>
              <w:rPr>
                <w:b/>
                <w:bCs/>
                <w:color w:val="000000"/>
                <w:lang w:eastAsia="sk-SK"/>
              </w:rPr>
            </w:pPr>
            <w:r w:rsidRPr="005228FE">
              <w:rPr>
                <w:b/>
                <w:bCs/>
                <w:color w:val="000000"/>
                <w:lang w:eastAsia="sk-SK"/>
              </w:rPr>
              <w:t>10 835 784,69</w:t>
            </w:r>
          </w:p>
        </w:tc>
        <w:tc>
          <w:tcPr>
            <w:tcW w:w="1776" w:type="dxa"/>
            <w:tcBorders>
              <w:top w:val="nil"/>
              <w:left w:val="nil"/>
              <w:bottom w:val="single" w:sz="4" w:space="0" w:color="auto"/>
              <w:right w:val="single" w:sz="4" w:space="0" w:color="auto"/>
            </w:tcBorders>
            <w:noWrap/>
            <w:vAlign w:val="bottom"/>
          </w:tcPr>
          <w:p w:rsidR="007F1BA3" w:rsidRPr="005228FE" w:rsidRDefault="007F1BA3" w:rsidP="00576C78">
            <w:pPr>
              <w:spacing w:after="0" w:line="240" w:lineRule="auto"/>
              <w:rPr>
                <w:b/>
                <w:bCs/>
                <w:color w:val="000000"/>
                <w:lang w:eastAsia="sk-SK"/>
              </w:rPr>
            </w:pPr>
            <w:r w:rsidRPr="005228FE">
              <w:rPr>
                <w:b/>
                <w:bCs/>
                <w:color w:val="000000"/>
                <w:lang w:eastAsia="sk-SK"/>
              </w:rPr>
              <w:t> </w:t>
            </w:r>
          </w:p>
        </w:tc>
      </w:tr>
    </w:tbl>
    <w:p w:rsidR="007F1BA3" w:rsidRDefault="007F1BA3" w:rsidP="008C697E">
      <w:pPr>
        <w:rPr>
          <w:bCs/>
        </w:rPr>
      </w:pPr>
      <w:r w:rsidRPr="00046FB8">
        <w:rPr>
          <w:bCs/>
        </w:rPr>
        <w:t>Zdroj: RISO, SAŽP, ŠÚ SR</w:t>
      </w:r>
    </w:p>
    <w:p w:rsidR="007F1BA3" w:rsidRDefault="007F1BA3" w:rsidP="008C697E">
      <w:pPr>
        <w:rPr>
          <w:lang w:eastAsia="cs-CZ"/>
        </w:rPr>
      </w:pPr>
    </w:p>
    <w:p w:rsidR="007F1BA3" w:rsidRDefault="007F1BA3" w:rsidP="008C697E">
      <w:pPr>
        <w:rPr>
          <w:lang w:eastAsia="cs-CZ"/>
        </w:rPr>
      </w:pPr>
    </w:p>
    <w:p w:rsidR="007F1BA3" w:rsidRDefault="00C903AC" w:rsidP="00C74F67">
      <w:pPr>
        <w:rPr>
          <w:bCs/>
        </w:rPr>
      </w:pPr>
      <w:r>
        <w:rPr>
          <w:noProof/>
          <w:lang w:eastAsia="sk-SK"/>
        </w:rPr>
        <w:drawing>
          <wp:inline distT="0" distB="0" distL="0" distR="0">
            <wp:extent cx="5763122" cy="2641854"/>
            <wp:effectExtent l="12185" t="6096" r="3193" b="0"/>
            <wp:docPr id="4"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1BA3" w:rsidRPr="00BB0184" w:rsidRDefault="007F1BA3" w:rsidP="00C74F67">
      <w:pPr>
        <w:pStyle w:val="Popis"/>
        <w:jc w:val="left"/>
        <w:rPr>
          <w:rFonts w:ascii="Calibri" w:hAnsi="Calibri"/>
          <w:color w:val="auto"/>
          <w:sz w:val="22"/>
          <w:szCs w:val="22"/>
        </w:rPr>
      </w:pPr>
      <w:r w:rsidRPr="00BB0184">
        <w:rPr>
          <w:rFonts w:ascii="Calibri" w:hAnsi="Calibri"/>
          <w:color w:val="auto"/>
          <w:sz w:val="22"/>
          <w:szCs w:val="22"/>
        </w:rPr>
        <w:t xml:space="preserve">Obrázok </w:t>
      </w:r>
      <w:r>
        <w:rPr>
          <w:rFonts w:ascii="Calibri" w:hAnsi="Calibri"/>
          <w:color w:val="auto"/>
          <w:sz w:val="22"/>
          <w:szCs w:val="22"/>
        </w:rPr>
        <w:t xml:space="preserve">4: </w:t>
      </w:r>
      <w:r w:rsidRPr="00BB0184">
        <w:rPr>
          <w:rFonts w:ascii="Calibri" w:hAnsi="Calibri"/>
          <w:color w:val="auto"/>
          <w:sz w:val="22"/>
          <w:szCs w:val="22"/>
        </w:rPr>
        <w:t xml:space="preserve"> </w:t>
      </w:r>
      <w:r>
        <w:rPr>
          <w:rFonts w:ascii="Calibri" w:hAnsi="Calibri"/>
          <w:color w:val="auto"/>
          <w:sz w:val="22"/>
          <w:szCs w:val="22"/>
        </w:rPr>
        <w:t>Vznik odpadov v SR v rokoch 2005</w:t>
      </w:r>
      <w:r w:rsidRPr="00BB0184">
        <w:rPr>
          <w:rFonts w:ascii="Calibri" w:hAnsi="Calibri"/>
          <w:color w:val="auto"/>
          <w:sz w:val="22"/>
          <w:szCs w:val="22"/>
        </w:rPr>
        <w:t xml:space="preserve"> – 2011 (v tonách)</w:t>
      </w:r>
    </w:p>
    <w:p w:rsidR="007F1BA3" w:rsidRDefault="007F1BA3" w:rsidP="00C74F67">
      <w:r>
        <w:t xml:space="preserve">Množstvo vznikajúcich odpadov na jedného obyvateľa sa pohybuje v rozmedzí od 1,57 ton po 2,12 ton (tabuľka 2 obrázok 5). </w:t>
      </w:r>
    </w:p>
    <w:p w:rsidR="007F1BA3" w:rsidRPr="00BB0184" w:rsidRDefault="007F1BA3" w:rsidP="00C74F67">
      <w:pPr>
        <w:pStyle w:val="Popis"/>
        <w:rPr>
          <w:rFonts w:ascii="Calibri" w:hAnsi="Calibri"/>
          <w:color w:val="auto"/>
          <w:sz w:val="22"/>
          <w:szCs w:val="22"/>
        </w:rPr>
      </w:pPr>
      <w:r w:rsidRPr="00BB0184">
        <w:rPr>
          <w:rFonts w:ascii="Calibri" w:hAnsi="Calibri"/>
          <w:color w:val="auto"/>
          <w:sz w:val="22"/>
          <w:szCs w:val="22"/>
        </w:rPr>
        <w:t xml:space="preserve">Tabuľka </w:t>
      </w:r>
      <w:r w:rsidR="00E01F0B" w:rsidRPr="00BB0184">
        <w:rPr>
          <w:rFonts w:ascii="Calibri" w:hAnsi="Calibri"/>
          <w:color w:val="auto"/>
          <w:sz w:val="22"/>
          <w:szCs w:val="22"/>
        </w:rPr>
        <w:fldChar w:fldCharType="begin"/>
      </w:r>
      <w:r w:rsidRPr="00BB0184">
        <w:rPr>
          <w:rFonts w:ascii="Calibri" w:hAnsi="Calibri"/>
          <w:color w:val="auto"/>
          <w:sz w:val="22"/>
          <w:szCs w:val="22"/>
        </w:rPr>
        <w:instrText xml:space="preserve"> SEQ Tabuľka \* ARABIC </w:instrText>
      </w:r>
      <w:r w:rsidR="00E01F0B" w:rsidRPr="00BB0184">
        <w:rPr>
          <w:rFonts w:ascii="Calibri" w:hAnsi="Calibri"/>
          <w:color w:val="auto"/>
          <w:sz w:val="22"/>
          <w:szCs w:val="22"/>
        </w:rPr>
        <w:fldChar w:fldCharType="separate"/>
      </w:r>
      <w:r w:rsidR="001872A2">
        <w:rPr>
          <w:rFonts w:ascii="Calibri" w:hAnsi="Calibri"/>
          <w:noProof/>
          <w:color w:val="auto"/>
          <w:sz w:val="22"/>
          <w:szCs w:val="22"/>
        </w:rPr>
        <w:t>2</w:t>
      </w:r>
      <w:r w:rsidR="00E01F0B" w:rsidRPr="00BB0184">
        <w:rPr>
          <w:rFonts w:ascii="Calibri" w:hAnsi="Calibri"/>
          <w:color w:val="auto"/>
          <w:sz w:val="22"/>
          <w:szCs w:val="22"/>
        </w:rPr>
        <w:fldChar w:fldCharType="end"/>
      </w:r>
      <w:r>
        <w:rPr>
          <w:rFonts w:ascii="Calibri" w:hAnsi="Calibri"/>
          <w:color w:val="auto"/>
          <w:sz w:val="22"/>
          <w:szCs w:val="22"/>
        </w:rPr>
        <w:t>:</w:t>
      </w:r>
      <w:r w:rsidRPr="00BB0184">
        <w:rPr>
          <w:rFonts w:ascii="Calibri" w:hAnsi="Calibri"/>
          <w:color w:val="auto"/>
          <w:sz w:val="22"/>
          <w:szCs w:val="22"/>
        </w:rPr>
        <w:t xml:space="preserve"> Vznik odpadov na obyvateľa (t/obyv.) </w:t>
      </w:r>
    </w:p>
    <w:tbl>
      <w:tblPr>
        <w:tblW w:w="5000" w:type="pct"/>
        <w:tblLayout w:type="fixed"/>
        <w:tblCellMar>
          <w:left w:w="70" w:type="dxa"/>
          <w:right w:w="70" w:type="dxa"/>
        </w:tblCellMar>
        <w:tblLook w:val="00A0"/>
      </w:tblPr>
      <w:tblGrid>
        <w:gridCol w:w="1632"/>
        <w:gridCol w:w="1516"/>
        <w:gridCol w:w="1516"/>
        <w:gridCol w:w="1516"/>
        <w:gridCol w:w="1516"/>
        <w:gridCol w:w="1516"/>
      </w:tblGrid>
      <w:tr w:rsidR="007F1BA3" w:rsidRPr="000F6C19" w:rsidTr="00402862">
        <w:trPr>
          <w:trHeight w:val="20"/>
          <w:tblHeader/>
        </w:trPr>
        <w:tc>
          <w:tcPr>
            <w:tcW w:w="885" w:type="pct"/>
            <w:tcBorders>
              <w:top w:val="single" w:sz="4" w:space="0" w:color="auto"/>
              <w:left w:val="single" w:sz="4" w:space="0" w:color="auto"/>
              <w:bottom w:val="single" w:sz="4" w:space="0" w:color="auto"/>
              <w:right w:val="single" w:sz="4" w:space="0" w:color="auto"/>
            </w:tcBorders>
            <w:shd w:val="clear" w:color="auto" w:fill="C2D69B"/>
            <w:noWrap/>
            <w:vAlign w:val="center"/>
          </w:tcPr>
          <w:p w:rsidR="007F1BA3" w:rsidRPr="000F6C19" w:rsidRDefault="007F1BA3" w:rsidP="00402862">
            <w:pPr>
              <w:spacing w:after="0" w:line="240" w:lineRule="auto"/>
              <w:jc w:val="center"/>
              <w:rPr>
                <w:b/>
                <w:bCs/>
                <w:color w:val="000000"/>
                <w:lang w:eastAsia="sk-SK"/>
              </w:rPr>
            </w:pPr>
            <w:r w:rsidRPr="000F6C19">
              <w:rPr>
                <w:b/>
                <w:bCs/>
                <w:color w:val="000000"/>
                <w:lang w:eastAsia="sk-SK"/>
              </w:rPr>
              <w:t>Odpad</w:t>
            </w:r>
          </w:p>
        </w:tc>
        <w:tc>
          <w:tcPr>
            <w:tcW w:w="823" w:type="pct"/>
            <w:tcBorders>
              <w:top w:val="single" w:sz="4" w:space="0" w:color="auto"/>
              <w:left w:val="nil"/>
              <w:bottom w:val="single" w:sz="4" w:space="0" w:color="auto"/>
              <w:right w:val="single" w:sz="4" w:space="0" w:color="auto"/>
            </w:tcBorders>
            <w:shd w:val="clear" w:color="auto" w:fill="C2D69B"/>
            <w:noWrap/>
            <w:vAlign w:val="center"/>
          </w:tcPr>
          <w:p w:rsidR="007F1BA3" w:rsidRPr="000F6C19" w:rsidRDefault="007F1BA3" w:rsidP="00402862">
            <w:pPr>
              <w:spacing w:after="0" w:line="240" w:lineRule="auto"/>
              <w:jc w:val="center"/>
              <w:rPr>
                <w:b/>
                <w:bCs/>
                <w:color w:val="000000"/>
                <w:lang w:eastAsia="sk-SK"/>
              </w:rPr>
            </w:pPr>
            <w:r w:rsidRPr="000F6C19">
              <w:rPr>
                <w:b/>
                <w:bCs/>
                <w:color w:val="000000"/>
                <w:lang w:eastAsia="sk-SK"/>
              </w:rPr>
              <w:t>2007</w:t>
            </w:r>
          </w:p>
        </w:tc>
        <w:tc>
          <w:tcPr>
            <w:tcW w:w="823" w:type="pct"/>
            <w:tcBorders>
              <w:top w:val="single" w:sz="4" w:space="0" w:color="auto"/>
              <w:left w:val="nil"/>
              <w:bottom w:val="single" w:sz="4" w:space="0" w:color="auto"/>
              <w:right w:val="single" w:sz="4" w:space="0" w:color="auto"/>
            </w:tcBorders>
            <w:shd w:val="clear" w:color="auto" w:fill="C2D69B"/>
            <w:noWrap/>
            <w:vAlign w:val="center"/>
          </w:tcPr>
          <w:p w:rsidR="007F1BA3" w:rsidRPr="000F6C19" w:rsidRDefault="007F1BA3" w:rsidP="00402862">
            <w:pPr>
              <w:spacing w:after="0" w:line="240" w:lineRule="auto"/>
              <w:jc w:val="center"/>
              <w:rPr>
                <w:b/>
                <w:bCs/>
                <w:color w:val="000000"/>
                <w:lang w:eastAsia="sk-SK"/>
              </w:rPr>
            </w:pPr>
            <w:r w:rsidRPr="000F6C19">
              <w:rPr>
                <w:b/>
                <w:bCs/>
                <w:color w:val="000000"/>
                <w:lang w:eastAsia="sk-SK"/>
              </w:rPr>
              <w:t>2008</w:t>
            </w:r>
          </w:p>
        </w:tc>
        <w:tc>
          <w:tcPr>
            <w:tcW w:w="823" w:type="pct"/>
            <w:tcBorders>
              <w:top w:val="single" w:sz="4" w:space="0" w:color="auto"/>
              <w:left w:val="nil"/>
              <w:bottom w:val="single" w:sz="4" w:space="0" w:color="auto"/>
              <w:right w:val="single" w:sz="4" w:space="0" w:color="auto"/>
            </w:tcBorders>
            <w:shd w:val="clear" w:color="auto" w:fill="C2D69B"/>
            <w:noWrap/>
            <w:vAlign w:val="center"/>
          </w:tcPr>
          <w:p w:rsidR="007F1BA3" w:rsidRPr="000F6C19" w:rsidRDefault="007F1BA3" w:rsidP="00402862">
            <w:pPr>
              <w:spacing w:after="0" w:line="240" w:lineRule="auto"/>
              <w:jc w:val="center"/>
              <w:rPr>
                <w:b/>
                <w:bCs/>
                <w:color w:val="000000"/>
                <w:lang w:eastAsia="sk-SK"/>
              </w:rPr>
            </w:pPr>
            <w:r w:rsidRPr="000F6C19">
              <w:rPr>
                <w:b/>
                <w:bCs/>
                <w:color w:val="000000"/>
                <w:lang w:eastAsia="sk-SK"/>
              </w:rPr>
              <w:t>2009</w:t>
            </w:r>
          </w:p>
        </w:tc>
        <w:tc>
          <w:tcPr>
            <w:tcW w:w="823" w:type="pct"/>
            <w:tcBorders>
              <w:top w:val="single" w:sz="4" w:space="0" w:color="auto"/>
              <w:left w:val="nil"/>
              <w:bottom w:val="single" w:sz="4" w:space="0" w:color="auto"/>
              <w:right w:val="single" w:sz="4" w:space="0" w:color="auto"/>
            </w:tcBorders>
            <w:shd w:val="clear" w:color="auto" w:fill="C2D69B"/>
            <w:noWrap/>
            <w:vAlign w:val="center"/>
          </w:tcPr>
          <w:p w:rsidR="007F1BA3" w:rsidRPr="000F6C19" w:rsidRDefault="007F1BA3" w:rsidP="00402862">
            <w:pPr>
              <w:spacing w:after="0" w:line="240" w:lineRule="auto"/>
              <w:jc w:val="center"/>
              <w:rPr>
                <w:b/>
                <w:bCs/>
                <w:color w:val="000000"/>
                <w:lang w:eastAsia="sk-SK"/>
              </w:rPr>
            </w:pPr>
            <w:r w:rsidRPr="000F6C19">
              <w:rPr>
                <w:b/>
                <w:bCs/>
                <w:color w:val="000000"/>
                <w:lang w:eastAsia="sk-SK"/>
              </w:rPr>
              <w:t>2010</w:t>
            </w:r>
          </w:p>
        </w:tc>
        <w:tc>
          <w:tcPr>
            <w:tcW w:w="823" w:type="pct"/>
            <w:tcBorders>
              <w:top w:val="single" w:sz="4" w:space="0" w:color="auto"/>
              <w:left w:val="nil"/>
              <w:bottom w:val="single" w:sz="4" w:space="0" w:color="auto"/>
              <w:right w:val="single" w:sz="4" w:space="0" w:color="auto"/>
            </w:tcBorders>
            <w:shd w:val="clear" w:color="auto" w:fill="C2D69B"/>
            <w:noWrap/>
            <w:vAlign w:val="center"/>
          </w:tcPr>
          <w:p w:rsidR="007F1BA3" w:rsidRPr="000F6C19" w:rsidRDefault="007F1BA3" w:rsidP="00402862">
            <w:pPr>
              <w:spacing w:after="0" w:line="240" w:lineRule="auto"/>
              <w:jc w:val="center"/>
              <w:rPr>
                <w:b/>
                <w:bCs/>
                <w:color w:val="000000"/>
                <w:lang w:eastAsia="sk-SK"/>
              </w:rPr>
            </w:pPr>
            <w:r w:rsidRPr="000F6C19">
              <w:rPr>
                <w:b/>
                <w:bCs/>
                <w:color w:val="000000"/>
                <w:lang w:eastAsia="sk-SK"/>
              </w:rPr>
              <w:t>2011</w:t>
            </w:r>
          </w:p>
        </w:tc>
      </w:tr>
      <w:tr w:rsidR="007F1BA3" w:rsidRPr="000F6C19" w:rsidTr="00402862">
        <w:trPr>
          <w:trHeight w:val="20"/>
        </w:trPr>
        <w:tc>
          <w:tcPr>
            <w:tcW w:w="885" w:type="pct"/>
            <w:tcBorders>
              <w:top w:val="nil"/>
              <w:left w:val="single" w:sz="4" w:space="0" w:color="auto"/>
              <w:bottom w:val="single" w:sz="4" w:space="0" w:color="auto"/>
              <w:right w:val="single" w:sz="4" w:space="0" w:color="auto"/>
            </w:tcBorders>
            <w:noWrap/>
            <w:vAlign w:val="bottom"/>
          </w:tcPr>
          <w:p w:rsidR="007F1BA3" w:rsidRPr="000F6C19" w:rsidRDefault="007F1BA3" w:rsidP="00402862">
            <w:pPr>
              <w:spacing w:after="0" w:line="240" w:lineRule="auto"/>
              <w:rPr>
                <w:color w:val="000000"/>
                <w:lang w:eastAsia="sk-SK"/>
              </w:rPr>
            </w:pPr>
            <w:r w:rsidRPr="000F6C19">
              <w:rPr>
                <w:color w:val="000000"/>
                <w:lang w:eastAsia="sk-SK"/>
              </w:rPr>
              <w:t>Celkový vznik</w:t>
            </w:r>
            <w:r>
              <w:rPr>
                <w:color w:val="000000"/>
                <w:lang w:eastAsia="sk-SK"/>
              </w:rPr>
              <w:t xml:space="preserve"> (t)</w:t>
            </w:r>
          </w:p>
        </w:tc>
        <w:tc>
          <w:tcPr>
            <w:tcW w:w="823" w:type="pct"/>
            <w:tcBorders>
              <w:top w:val="nil"/>
              <w:left w:val="nil"/>
              <w:bottom w:val="single" w:sz="4" w:space="0" w:color="auto"/>
              <w:right w:val="single" w:sz="4" w:space="0" w:color="auto"/>
            </w:tcBorders>
            <w:noWrap/>
            <w:vAlign w:val="bottom"/>
          </w:tcPr>
          <w:p w:rsidR="007F1BA3" w:rsidRPr="000F6C19" w:rsidRDefault="007F1BA3" w:rsidP="00402862">
            <w:pPr>
              <w:spacing w:after="0" w:line="240" w:lineRule="auto"/>
              <w:jc w:val="right"/>
              <w:rPr>
                <w:color w:val="000000"/>
                <w:lang w:eastAsia="sk-SK"/>
              </w:rPr>
            </w:pPr>
            <w:r w:rsidRPr="000F6C19">
              <w:rPr>
                <w:color w:val="000000"/>
                <w:lang w:eastAsia="sk-SK"/>
              </w:rPr>
              <w:t>10 932 587,66</w:t>
            </w:r>
          </w:p>
        </w:tc>
        <w:tc>
          <w:tcPr>
            <w:tcW w:w="823" w:type="pct"/>
            <w:tcBorders>
              <w:top w:val="nil"/>
              <w:left w:val="nil"/>
              <w:bottom w:val="single" w:sz="4" w:space="0" w:color="auto"/>
              <w:right w:val="single" w:sz="4" w:space="0" w:color="auto"/>
            </w:tcBorders>
            <w:noWrap/>
            <w:vAlign w:val="bottom"/>
          </w:tcPr>
          <w:p w:rsidR="007F1BA3" w:rsidRPr="000F6C19" w:rsidRDefault="007F1BA3" w:rsidP="00402862">
            <w:pPr>
              <w:spacing w:after="0" w:line="240" w:lineRule="auto"/>
              <w:jc w:val="right"/>
              <w:rPr>
                <w:color w:val="000000"/>
                <w:lang w:eastAsia="sk-SK"/>
              </w:rPr>
            </w:pPr>
            <w:r w:rsidRPr="000F6C19">
              <w:rPr>
                <w:color w:val="000000"/>
                <w:lang w:eastAsia="sk-SK"/>
              </w:rPr>
              <w:t>11 472 007,52</w:t>
            </w:r>
          </w:p>
        </w:tc>
        <w:tc>
          <w:tcPr>
            <w:tcW w:w="823" w:type="pct"/>
            <w:tcBorders>
              <w:top w:val="nil"/>
              <w:left w:val="nil"/>
              <w:bottom w:val="single" w:sz="4" w:space="0" w:color="auto"/>
              <w:right w:val="single" w:sz="4" w:space="0" w:color="auto"/>
            </w:tcBorders>
            <w:noWrap/>
            <w:vAlign w:val="bottom"/>
          </w:tcPr>
          <w:p w:rsidR="007F1BA3" w:rsidRPr="000F6C19" w:rsidRDefault="007F1BA3" w:rsidP="00402862">
            <w:pPr>
              <w:spacing w:after="0" w:line="240" w:lineRule="auto"/>
              <w:jc w:val="right"/>
              <w:rPr>
                <w:color w:val="000000"/>
                <w:lang w:eastAsia="sk-SK"/>
              </w:rPr>
            </w:pPr>
            <w:r w:rsidRPr="000F6C19">
              <w:rPr>
                <w:color w:val="000000"/>
                <w:lang w:eastAsia="sk-SK"/>
              </w:rPr>
              <w:t>8 500 630,00</w:t>
            </w:r>
          </w:p>
        </w:tc>
        <w:tc>
          <w:tcPr>
            <w:tcW w:w="823" w:type="pct"/>
            <w:tcBorders>
              <w:top w:val="nil"/>
              <w:left w:val="nil"/>
              <w:bottom w:val="single" w:sz="4" w:space="0" w:color="auto"/>
              <w:right w:val="single" w:sz="4" w:space="0" w:color="auto"/>
            </w:tcBorders>
            <w:noWrap/>
            <w:vAlign w:val="bottom"/>
          </w:tcPr>
          <w:p w:rsidR="007F1BA3" w:rsidRPr="000F6C19" w:rsidRDefault="007F1BA3" w:rsidP="00402862">
            <w:pPr>
              <w:spacing w:after="0" w:line="240" w:lineRule="auto"/>
              <w:jc w:val="right"/>
              <w:rPr>
                <w:color w:val="000000"/>
                <w:lang w:eastAsia="sk-SK"/>
              </w:rPr>
            </w:pPr>
            <w:r w:rsidRPr="000F6C19">
              <w:rPr>
                <w:color w:val="000000"/>
                <w:lang w:eastAsia="sk-SK"/>
              </w:rPr>
              <w:t>10 755 539,23</w:t>
            </w:r>
          </w:p>
        </w:tc>
        <w:tc>
          <w:tcPr>
            <w:tcW w:w="823" w:type="pct"/>
            <w:tcBorders>
              <w:top w:val="nil"/>
              <w:left w:val="nil"/>
              <w:bottom w:val="single" w:sz="4" w:space="0" w:color="auto"/>
              <w:right w:val="single" w:sz="4" w:space="0" w:color="auto"/>
            </w:tcBorders>
            <w:noWrap/>
            <w:vAlign w:val="bottom"/>
          </w:tcPr>
          <w:p w:rsidR="007F1BA3" w:rsidRPr="000F6C19" w:rsidRDefault="007F1BA3" w:rsidP="00402862">
            <w:pPr>
              <w:spacing w:after="0" w:line="240" w:lineRule="auto"/>
              <w:jc w:val="right"/>
              <w:rPr>
                <w:color w:val="000000"/>
                <w:lang w:eastAsia="sk-SK"/>
              </w:rPr>
            </w:pPr>
            <w:r w:rsidRPr="000F6C19">
              <w:rPr>
                <w:color w:val="000000"/>
                <w:lang w:eastAsia="sk-SK"/>
              </w:rPr>
              <w:t>10 835 784,69</w:t>
            </w:r>
          </w:p>
        </w:tc>
      </w:tr>
      <w:tr w:rsidR="007F1BA3" w:rsidRPr="000F6C19" w:rsidTr="00402862">
        <w:trPr>
          <w:trHeight w:val="20"/>
        </w:trPr>
        <w:tc>
          <w:tcPr>
            <w:tcW w:w="885" w:type="pct"/>
            <w:tcBorders>
              <w:top w:val="nil"/>
              <w:left w:val="single" w:sz="4" w:space="0" w:color="auto"/>
              <w:bottom w:val="single" w:sz="4" w:space="0" w:color="auto"/>
              <w:right w:val="single" w:sz="4" w:space="0" w:color="auto"/>
            </w:tcBorders>
            <w:noWrap/>
            <w:vAlign w:val="bottom"/>
          </w:tcPr>
          <w:p w:rsidR="007F1BA3" w:rsidRPr="000F6C19" w:rsidRDefault="007F1BA3" w:rsidP="00402862">
            <w:pPr>
              <w:spacing w:after="0" w:line="240" w:lineRule="auto"/>
              <w:rPr>
                <w:color w:val="000000"/>
                <w:lang w:eastAsia="sk-SK"/>
              </w:rPr>
            </w:pPr>
            <w:r w:rsidRPr="000F6C19">
              <w:rPr>
                <w:color w:val="000000"/>
                <w:lang w:eastAsia="sk-SK"/>
              </w:rPr>
              <w:t>Stredný stav obyvateľov</w:t>
            </w:r>
          </w:p>
        </w:tc>
        <w:tc>
          <w:tcPr>
            <w:tcW w:w="823" w:type="pct"/>
            <w:tcBorders>
              <w:top w:val="nil"/>
              <w:left w:val="nil"/>
              <w:bottom w:val="single" w:sz="4" w:space="0" w:color="auto"/>
              <w:right w:val="single" w:sz="4" w:space="0" w:color="auto"/>
            </w:tcBorders>
            <w:vAlign w:val="center"/>
          </w:tcPr>
          <w:p w:rsidR="007F1BA3" w:rsidRPr="000F6C19" w:rsidRDefault="007F1BA3" w:rsidP="00402862">
            <w:pPr>
              <w:spacing w:after="0" w:line="240" w:lineRule="auto"/>
              <w:jc w:val="right"/>
              <w:rPr>
                <w:color w:val="000000"/>
                <w:lang w:eastAsia="sk-SK"/>
              </w:rPr>
            </w:pPr>
            <w:r w:rsidRPr="000F6C19">
              <w:rPr>
                <w:color w:val="000000"/>
                <w:lang w:eastAsia="sk-SK"/>
              </w:rPr>
              <w:t>5 397 766</w:t>
            </w:r>
          </w:p>
        </w:tc>
        <w:tc>
          <w:tcPr>
            <w:tcW w:w="823" w:type="pct"/>
            <w:tcBorders>
              <w:top w:val="nil"/>
              <w:left w:val="nil"/>
              <w:bottom w:val="single" w:sz="4" w:space="0" w:color="auto"/>
              <w:right w:val="single" w:sz="4" w:space="0" w:color="auto"/>
            </w:tcBorders>
            <w:vAlign w:val="center"/>
          </w:tcPr>
          <w:p w:rsidR="007F1BA3" w:rsidRPr="000F6C19" w:rsidRDefault="007F1BA3" w:rsidP="00402862">
            <w:pPr>
              <w:spacing w:after="0" w:line="240" w:lineRule="auto"/>
              <w:jc w:val="right"/>
              <w:rPr>
                <w:color w:val="000000"/>
                <w:lang w:eastAsia="sk-SK"/>
              </w:rPr>
            </w:pPr>
            <w:r w:rsidRPr="000F6C19">
              <w:rPr>
                <w:color w:val="000000"/>
                <w:lang w:eastAsia="sk-SK"/>
              </w:rPr>
              <w:t>5 406 972</w:t>
            </w:r>
          </w:p>
        </w:tc>
        <w:tc>
          <w:tcPr>
            <w:tcW w:w="823" w:type="pct"/>
            <w:tcBorders>
              <w:top w:val="nil"/>
              <w:left w:val="nil"/>
              <w:bottom w:val="single" w:sz="4" w:space="0" w:color="auto"/>
              <w:right w:val="single" w:sz="4" w:space="0" w:color="auto"/>
            </w:tcBorders>
            <w:vAlign w:val="center"/>
          </w:tcPr>
          <w:p w:rsidR="007F1BA3" w:rsidRPr="000F6C19" w:rsidRDefault="007F1BA3" w:rsidP="00402862">
            <w:pPr>
              <w:spacing w:after="0" w:line="240" w:lineRule="auto"/>
              <w:jc w:val="right"/>
              <w:rPr>
                <w:color w:val="000000"/>
                <w:lang w:eastAsia="sk-SK"/>
              </w:rPr>
            </w:pPr>
            <w:r w:rsidRPr="000F6C19">
              <w:rPr>
                <w:color w:val="000000"/>
                <w:lang w:eastAsia="sk-SK"/>
              </w:rPr>
              <w:t>5 418 374</w:t>
            </w:r>
          </w:p>
        </w:tc>
        <w:tc>
          <w:tcPr>
            <w:tcW w:w="823" w:type="pct"/>
            <w:tcBorders>
              <w:top w:val="nil"/>
              <w:left w:val="nil"/>
              <w:bottom w:val="single" w:sz="4" w:space="0" w:color="auto"/>
              <w:right w:val="single" w:sz="4" w:space="0" w:color="auto"/>
            </w:tcBorders>
            <w:vAlign w:val="center"/>
          </w:tcPr>
          <w:p w:rsidR="007F1BA3" w:rsidRPr="000F6C19" w:rsidRDefault="007F1BA3" w:rsidP="00402862">
            <w:pPr>
              <w:spacing w:after="0" w:line="240" w:lineRule="auto"/>
              <w:jc w:val="right"/>
              <w:rPr>
                <w:color w:val="000000"/>
                <w:lang w:eastAsia="sk-SK"/>
              </w:rPr>
            </w:pPr>
            <w:r w:rsidRPr="000F6C19">
              <w:rPr>
                <w:color w:val="000000"/>
                <w:lang w:eastAsia="sk-SK"/>
              </w:rPr>
              <w:t>5 431 024</w:t>
            </w:r>
          </w:p>
        </w:tc>
        <w:tc>
          <w:tcPr>
            <w:tcW w:w="823" w:type="pct"/>
            <w:tcBorders>
              <w:top w:val="nil"/>
              <w:left w:val="nil"/>
              <w:bottom w:val="single" w:sz="4" w:space="0" w:color="auto"/>
              <w:right w:val="single" w:sz="4" w:space="0" w:color="auto"/>
            </w:tcBorders>
            <w:vAlign w:val="center"/>
          </w:tcPr>
          <w:p w:rsidR="007F1BA3" w:rsidRPr="000F6C19" w:rsidRDefault="007F1BA3" w:rsidP="00402862">
            <w:pPr>
              <w:spacing w:after="0" w:line="240" w:lineRule="auto"/>
              <w:jc w:val="right"/>
              <w:rPr>
                <w:color w:val="000000"/>
                <w:lang w:eastAsia="sk-SK"/>
              </w:rPr>
            </w:pPr>
            <w:r w:rsidRPr="000F6C19">
              <w:rPr>
                <w:color w:val="000000"/>
                <w:lang w:eastAsia="sk-SK"/>
              </w:rPr>
              <w:t>5 397 251</w:t>
            </w:r>
          </w:p>
        </w:tc>
      </w:tr>
      <w:tr w:rsidR="007F1BA3" w:rsidRPr="000F6C19" w:rsidTr="00402862">
        <w:trPr>
          <w:trHeight w:val="20"/>
        </w:trPr>
        <w:tc>
          <w:tcPr>
            <w:tcW w:w="885" w:type="pct"/>
            <w:tcBorders>
              <w:top w:val="nil"/>
              <w:left w:val="single" w:sz="4" w:space="0" w:color="auto"/>
              <w:bottom w:val="single" w:sz="4" w:space="0" w:color="auto"/>
              <w:right w:val="single" w:sz="4" w:space="0" w:color="auto"/>
            </w:tcBorders>
            <w:noWrap/>
            <w:vAlign w:val="bottom"/>
          </w:tcPr>
          <w:p w:rsidR="007F1BA3" w:rsidRPr="000F6C19" w:rsidRDefault="007F1BA3" w:rsidP="00402862">
            <w:pPr>
              <w:spacing w:after="0" w:line="240" w:lineRule="auto"/>
              <w:rPr>
                <w:color w:val="000000"/>
                <w:lang w:eastAsia="sk-SK"/>
              </w:rPr>
            </w:pPr>
            <w:r w:rsidRPr="000F6C19">
              <w:rPr>
                <w:color w:val="000000"/>
                <w:lang w:eastAsia="sk-SK"/>
              </w:rPr>
              <w:t>Na obyvateľa</w:t>
            </w:r>
          </w:p>
        </w:tc>
        <w:tc>
          <w:tcPr>
            <w:tcW w:w="823" w:type="pct"/>
            <w:tcBorders>
              <w:top w:val="nil"/>
              <w:left w:val="nil"/>
              <w:bottom w:val="single" w:sz="4" w:space="0" w:color="auto"/>
              <w:right w:val="single" w:sz="4" w:space="0" w:color="auto"/>
            </w:tcBorders>
            <w:noWrap/>
            <w:vAlign w:val="bottom"/>
          </w:tcPr>
          <w:p w:rsidR="007F1BA3" w:rsidRPr="000F6C19" w:rsidRDefault="007F1BA3" w:rsidP="00402862">
            <w:pPr>
              <w:spacing w:after="0" w:line="240" w:lineRule="auto"/>
              <w:jc w:val="right"/>
              <w:rPr>
                <w:color w:val="000000"/>
                <w:lang w:eastAsia="sk-SK"/>
              </w:rPr>
            </w:pPr>
            <w:r w:rsidRPr="000F6C19">
              <w:rPr>
                <w:color w:val="000000"/>
                <w:lang w:eastAsia="sk-SK"/>
              </w:rPr>
              <w:t>2,03</w:t>
            </w:r>
          </w:p>
        </w:tc>
        <w:tc>
          <w:tcPr>
            <w:tcW w:w="823" w:type="pct"/>
            <w:tcBorders>
              <w:top w:val="nil"/>
              <w:left w:val="nil"/>
              <w:bottom w:val="single" w:sz="4" w:space="0" w:color="auto"/>
              <w:right w:val="single" w:sz="4" w:space="0" w:color="auto"/>
            </w:tcBorders>
            <w:noWrap/>
            <w:vAlign w:val="bottom"/>
          </w:tcPr>
          <w:p w:rsidR="007F1BA3" w:rsidRPr="000F6C19" w:rsidRDefault="007F1BA3" w:rsidP="00402862">
            <w:pPr>
              <w:spacing w:after="0" w:line="240" w:lineRule="auto"/>
              <w:jc w:val="right"/>
              <w:rPr>
                <w:color w:val="000000"/>
                <w:lang w:eastAsia="sk-SK"/>
              </w:rPr>
            </w:pPr>
            <w:r w:rsidRPr="000F6C19">
              <w:rPr>
                <w:color w:val="000000"/>
                <w:lang w:eastAsia="sk-SK"/>
              </w:rPr>
              <w:t>2,12</w:t>
            </w:r>
          </w:p>
        </w:tc>
        <w:tc>
          <w:tcPr>
            <w:tcW w:w="823" w:type="pct"/>
            <w:tcBorders>
              <w:top w:val="nil"/>
              <w:left w:val="nil"/>
              <w:bottom w:val="single" w:sz="4" w:space="0" w:color="auto"/>
              <w:right w:val="single" w:sz="4" w:space="0" w:color="auto"/>
            </w:tcBorders>
            <w:noWrap/>
            <w:vAlign w:val="bottom"/>
          </w:tcPr>
          <w:p w:rsidR="007F1BA3" w:rsidRPr="000F6C19" w:rsidRDefault="007F1BA3" w:rsidP="00402862">
            <w:pPr>
              <w:spacing w:after="0" w:line="240" w:lineRule="auto"/>
              <w:jc w:val="right"/>
              <w:rPr>
                <w:color w:val="000000"/>
                <w:lang w:eastAsia="sk-SK"/>
              </w:rPr>
            </w:pPr>
            <w:r w:rsidRPr="000F6C19">
              <w:rPr>
                <w:color w:val="000000"/>
                <w:lang w:eastAsia="sk-SK"/>
              </w:rPr>
              <w:t>1,57</w:t>
            </w:r>
          </w:p>
        </w:tc>
        <w:tc>
          <w:tcPr>
            <w:tcW w:w="823" w:type="pct"/>
            <w:tcBorders>
              <w:top w:val="nil"/>
              <w:left w:val="nil"/>
              <w:bottom w:val="single" w:sz="4" w:space="0" w:color="auto"/>
              <w:right w:val="single" w:sz="4" w:space="0" w:color="auto"/>
            </w:tcBorders>
            <w:noWrap/>
            <w:vAlign w:val="bottom"/>
          </w:tcPr>
          <w:p w:rsidR="007F1BA3" w:rsidRPr="000F6C19" w:rsidRDefault="007F1BA3" w:rsidP="00402862">
            <w:pPr>
              <w:spacing w:after="0" w:line="240" w:lineRule="auto"/>
              <w:jc w:val="right"/>
              <w:rPr>
                <w:color w:val="000000"/>
                <w:lang w:eastAsia="sk-SK"/>
              </w:rPr>
            </w:pPr>
            <w:r w:rsidRPr="000F6C19">
              <w:rPr>
                <w:color w:val="000000"/>
                <w:lang w:eastAsia="sk-SK"/>
              </w:rPr>
              <w:t>1,98</w:t>
            </w:r>
          </w:p>
        </w:tc>
        <w:tc>
          <w:tcPr>
            <w:tcW w:w="823" w:type="pct"/>
            <w:tcBorders>
              <w:top w:val="nil"/>
              <w:left w:val="nil"/>
              <w:bottom w:val="single" w:sz="4" w:space="0" w:color="auto"/>
              <w:right w:val="single" w:sz="4" w:space="0" w:color="auto"/>
            </w:tcBorders>
            <w:noWrap/>
            <w:vAlign w:val="bottom"/>
          </w:tcPr>
          <w:p w:rsidR="007F1BA3" w:rsidRPr="000F6C19" w:rsidRDefault="007F1BA3" w:rsidP="00402862">
            <w:pPr>
              <w:spacing w:after="0" w:line="240" w:lineRule="auto"/>
              <w:jc w:val="right"/>
              <w:rPr>
                <w:color w:val="000000"/>
                <w:lang w:eastAsia="sk-SK"/>
              </w:rPr>
            </w:pPr>
            <w:r w:rsidRPr="000F6C19">
              <w:rPr>
                <w:color w:val="000000"/>
                <w:lang w:eastAsia="sk-SK"/>
              </w:rPr>
              <w:t>2,01</w:t>
            </w:r>
          </w:p>
        </w:tc>
      </w:tr>
    </w:tbl>
    <w:p w:rsidR="007F1BA3" w:rsidRDefault="007F1BA3" w:rsidP="00C74F67"/>
    <w:p w:rsidR="007F1BA3" w:rsidRDefault="00C903AC" w:rsidP="00C74F67">
      <w:pPr>
        <w:spacing w:after="0" w:line="240" w:lineRule="auto"/>
      </w:pPr>
      <w:r>
        <w:rPr>
          <w:noProof/>
          <w:lang w:eastAsia="sk-SK"/>
        </w:rPr>
        <w:drawing>
          <wp:inline distT="0" distB="0" distL="0" distR="0">
            <wp:extent cx="5630207" cy="2743461"/>
            <wp:effectExtent l="12199" t="6089" r="9094" b="0"/>
            <wp:docPr id="5"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1BA3" w:rsidRPr="00BB0184" w:rsidRDefault="007F1BA3" w:rsidP="00C74F67">
      <w:pPr>
        <w:pStyle w:val="Popis"/>
        <w:rPr>
          <w:rFonts w:ascii="Calibri" w:hAnsi="Calibri"/>
          <w:color w:val="auto"/>
          <w:sz w:val="22"/>
          <w:szCs w:val="22"/>
        </w:rPr>
      </w:pPr>
      <w:r w:rsidRPr="00BB0184">
        <w:rPr>
          <w:rFonts w:ascii="Calibri" w:hAnsi="Calibri"/>
          <w:color w:val="auto"/>
          <w:sz w:val="22"/>
          <w:szCs w:val="22"/>
        </w:rPr>
        <w:t xml:space="preserve">Obrázok </w:t>
      </w:r>
      <w:r>
        <w:rPr>
          <w:rFonts w:ascii="Calibri" w:hAnsi="Calibri"/>
          <w:color w:val="auto"/>
          <w:sz w:val="22"/>
          <w:szCs w:val="22"/>
        </w:rPr>
        <w:t>5:</w:t>
      </w:r>
      <w:r w:rsidRPr="00BB0184">
        <w:rPr>
          <w:rFonts w:ascii="Calibri" w:hAnsi="Calibri"/>
          <w:color w:val="auto"/>
          <w:sz w:val="22"/>
          <w:szCs w:val="22"/>
        </w:rPr>
        <w:t xml:space="preserve"> Vznik odpadov na obyvateľa (t/obyv.)</w:t>
      </w:r>
    </w:p>
    <w:p w:rsidR="007F1BA3" w:rsidRDefault="007F1BA3" w:rsidP="00C74F67">
      <w:pPr>
        <w:spacing w:after="0" w:line="240" w:lineRule="auto"/>
      </w:pPr>
    </w:p>
    <w:p w:rsidR="007F1BA3" w:rsidRDefault="007F1BA3" w:rsidP="00C74F67">
      <w:pPr>
        <w:jc w:val="both"/>
      </w:pPr>
      <w:r>
        <w:t xml:space="preserve">Pri dlhodobom sledovaní trendov vo vzniku odpadu sa dá konštatovať, že </w:t>
      </w:r>
      <w:r w:rsidRPr="00BE13FF">
        <w:rPr>
          <w:b/>
        </w:rPr>
        <w:t>v SR nedochádza k významnejším výkyvom v množstvách vzniknutého odpadu.</w:t>
      </w:r>
      <w:r>
        <w:t xml:space="preserve"> Pokles v r. 2009 bol prechodný a nesúvisí s opatreniami na predchádzanie vzniku odpadu.</w:t>
      </w:r>
    </w:p>
    <w:p w:rsidR="007F1BA3" w:rsidRPr="000027A4" w:rsidRDefault="007F1BA3" w:rsidP="00C74F67">
      <w:pPr>
        <w:jc w:val="both"/>
      </w:pPr>
      <w:r>
        <w:t>Jedným zo sledovaných parametrov je pomer množstiev vznikajúcich odpadov k hrubému domácemu produktu (HDP). Kým predovšetkým v krajinách EÚ-15 dochádza k nárastu tohto podielu, v SR je evidentný skôr pokles, ako uvádza obrázok 6.</w:t>
      </w:r>
      <w:r w:rsidRPr="000027A4">
        <w:t xml:space="preserve"> </w:t>
      </w:r>
    </w:p>
    <w:p w:rsidR="007F1BA3" w:rsidRDefault="00C903AC" w:rsidP="00C74F67">
      <w:pPr>
        <w:spacing w:after="0"/>
        <w:jc w:val="both"/>
      </w:pPr>
      <w:r>
        <w:rPr>
          <w:noProof/>
          <w:lang w:eastAsia="sk-SK"/>
        </w:rPr>
        <w:drawing>
          <wp:inline distT="0" distB="0" distL="0" distR="0">
            <wp:extent cx="4571238" cy="2743461"/>
            <wp:effectExtent l="12192" t="6089" r="7620" b="0"/>
            <wp:docPr id="6" name="Graf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1BA3" w:rsidRPr="00BB0184" w:rsidRDefault="007F1BA3" w:rsidP="00C74F67">
      <w:pPr>
        <w:pStyle w:val="Popis"/>
        <w:rPr>
          <w:rFonts w:ascii="Calibri" w:hAnsi="Calibri"/>
          <w:color w:val="auto"/>
          <w:sz w:val="22"/>
          <w:szCs w:val="22"/>
        </w:rPr>
      </w:pPr>
      <w:r w:rsidRPr="00BB0184">
        <w:rPr>
          <w:rFonts w:ascii="Calibri" w:hAnsi="Calibri"/>
          <w:color w:val="auto"/>
          <w:sz w:val="22"/>
          <w:szCs w:val="22"/>
        </w:rPr>
        <w:t xml:space="preserve">Obrázok </w:t>
      </w:r>
      <w:r>
        <w:rPr>
          <w:rFonts w:ascii="Calibri" w:hAnsi="Calibri"/>
          <w:color w:val="auto"/>
          <w:sz w:val="22"/>
          <w:szCs w:val="22"/>
        </w:rPr>
        <w:t>6:</w:t>
      </w:r>
      <w:r w:rsidRPr="00BB0184">
        <w:rPr>
          <w:rFonts w:ascii="Calibri" w:hAnsi="Calibri"/>
          <w:color w:val="auto"/>
          <w:sz w:val="22"/>
          <w:szCs w:val="22"/>
        </w:rPr>
        <w:t xml:space="preserve"> Pomer množs</w:t>
      </w:r>
      <w:r>
        <w:rPr>
          <w:rFonts w:ascii="Calibri" w:hAnsi="Calibri"/>
          <w:color w:val="auto"/>
          <w:sz w:val="22"/>
          <w:szCs w:val="22"/>
        </w:rPr>
        <w:t>tva</w:t>
      </w:r>
      <w:r w:rsidRPr="00BB0184">
        <w:rPr>
          <w:rFonts w:ascii="Calibri" w:hAnsi="Calibri"/>
          <w:color w:val="auto"/>
          <w:sz w:val="22"/>
          <w:szCs w:val="22"/>
        </w:rPr>
        <w:t xml:space="preserve"> vznikajúc</w:t>
      </w:r>
      <w:r>
        <w:rPr>
          <w:rFonts w:ascii="Calibri" w:hAnsi="Calibri"/>
          <w:color w:val="auto"/>
          <w:sz w:val="22"/>
          <w:szCs w:val="22"/>
        </w:rPr>
        <w:t>eho</w:t>
      </w:r>
      <w:r w:rsidRPr="00BB0184">
        <w:rPr>
          <w:rFonts w:ascii="Calibri" w:hAnsi="Calibri"/>
          <w:color w:val="auto"/>
          <w:sz w:val="22"/>
          <w:szCs w:val="22"/>
        </w:rPr>
        <w:t xml:space="preserve"> odpad</w:t>
      </w:r>
      <w:r>
        <w:rPr>
          <w:rFonts w:ascii="Calibri" w:hAnsi="Calibri"/>
          <w:color w:val="auto"/>
          <w:sz w:val="22"/>
          <w:szCs w:val="22"/>
        </w:rPr>
        <w:t>u</w:t>
      </w:r>
      <w:r w:rsidRPr="00BB0184">
        <w:rPr>
          <w:rFonts w:ascii="Calibri" w:hAnsi="Calibri"/>
          <w:color w:val="auto"/>
          <w:sz w:val="22"/>
          <w:szCs w:val="22"/>
        </w:rPr>
        <w:t xml:space="preserve"> k HDP na jedného obyvateľa</w:t>
      </w:r>
    </w:p>
    <w:p w:rsidR="007F1BA3" w:rsidRDefault="007F1BA3" w:rsidP="00C74F67"/>
    <w:p w:rsidR="007F1BA3" w:rsidRPr="006E3FA7" w:rsidRDefault="007F1BA3" w:rsidP="006E3FA7">
      <w:pPr>
        <w:pStyle w:val="Nadpis3"/>
        <w:rPr>
          <w:color w:val="336600"/>
        </w:rPr>
      </w:pPr>
      <w:bookmarkStart w:id="15" w:name="_Toc356292949"/>
      <w:r>
        <w:rPr>
          <w:color w:val="336600"/>
        </w:rPr>
        <w:t>2.2.2</w:t>
      </w:r>
      <w:r>
        <w:rPr>
          <w:color w:val="336600"/>
        </w:rPr>
        <w:tab/>
      </w:r>
      <w:r w:rsidRPr="003F347E">
        <w:rPr>
          <w:color w:val="336600"/>
        </w:rPr>
        <w:t>Vznik</w:t>
      </w:r>
      <w:r>
        <w:rPr>
          <w:color w:val="336600"/>
        </w:rPr>
        <w:t xml:space="preserve"> a zloženie</w:t>
      </w:r>
      <w:r w:rsidRPr="003F347E">
        <w:rPr>
          <w:color w:val="336600"/>
        </w:rPr>
        <w:t xml:space="preserve"> komunálnych odpadov</w:t>
      </w:r>
      <w:bookmarkEnd w:id="15"/>
    </w:p>
    <w:p w:rsidR="007F1BA3" w:rsidRPr="008A2E32" w:rsidRDefault="007F1BA3" w:rsidP="00C74F67">
      <w:pPr>
        <w:jc w:val="both"/>
        <w:rPr>
          <w:rFonts w:ascii="MS Sans Serif" w:hAnsi="MS Sans Serif"/>
          <w:color w:val="000000"/>
          <w:sz w:val="20"/>
          <w:szCs w:val="20"/>
        </w:rPr>
      </w:pPr>
      <w:r>
        <w:t>Podľa § 2 ods. 14 zákona č. 223/2001 Z. z. o odpadoch a o zmene a doplnení niektorých zákonov  v znení neskorších predpisov (ďalej len „zákon o odpadoch“)  „</w:t>
      </w:r>
      <w:r w:rsidRPr="008A2E32">
        <w:rPr>
          <w:b/>
        </w:rPr>
        <w:t>komunálne odpady</w:t>
      </w:r>
      <w:r w:rsidRPr="008A2E32">
        <w:t xml:space="preserve"> </w:t>
      </w:r>
      <w:r w:rsidRPr="008A2E32">
        <w:rPr>
          <w:b/>
        </w:rPr>
        <w:t>sú odpady z domácnosti</w:t>
      </w:r>
      <w:r w:rsidRPr="008A2E32">
        <w:t xml:space="preserve"> vznikajúce na území obce pri činnosti fyzických osôb </w:t>
      </w:r>
      <w:r w:rsidRPr="008A2E32">
        <w:rPr>
          <w:b/>
        </w:rPr>
        <w:t>a odpady podobných vlastností</w:t>
      </w:r>
      <w:r w:rsidRPr="008A2E32">
        <w:t xml:space="preserve"> a zloženia, ktorých pôvodcom je právnická osoba alebo fyzická osoba</w:t>
      </w:r>
      <w:r>
        <w:t xml:space="preserve"> – </w:t>
      </w:r>
      <w:r w:rsidRPr="008A2E32">
        <w:t xml:space="preserve">podnikateľ, </w:t>
      </w:r>
      <w:r w:rsidRPr="008A2E32">
        <w:rPr>
          <w:b/>
        </w:rPr>
        <w:t>okrem odpadov vznikajúcich pri bezprostrednom výkone činností tvoriacich predmet podnikania</w:t>
      </w:r>
      <w:r w:rsidRPr="008A2E32">
        <w:t xml:space="preserve"> alebo činnosti právnickej osoby alebo fyzickej osoby</w:t>
      </w:r>
      <w:r>
        <w:t xml:space="preserve"> – </w:t>
      </w:r>
      <w:r w:rsidRPr="008A2E32">
        <w:t>podnikateľa; za odpady z domácnosti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a ďalšej zelene na pozemkoch právnických osôb, fyzických osôb a občianskych združení“</w:t>
      </w:r>
      <w:r w:rsidRPr="008A2E32">
        <w:rPr>
          <w:rFonts w:ascii="MS Sans Serif" w:hAnsi="MS Sans Serif"/>
          <w:color w:val="000000"/>
          <w:sz w:val="20"/>
          <w:szCs w:val="20"/>
        </w:rPr>
        <w:t>.</w:t>
      </w:r>
    </w:p>
    <w:p w:rsidR="007F1BA3" w:rsidRDefault="007F1BA3" w:rsidP="00C74F67">
      <w:pPr>
        <w:jc w:val="both"/>
      </w:pPr>
      <w:r>
        <w:t xml:space="preserve">Celkové množstvo komunálnych odpadov v rokoch 2005 – 2011 uvádza tabuľka 3. </w:t>
      </w:r>
    </w:p>
    <w:p w:rsidR="007F1BA3" w:rsidRDefault="007F1BA3" w:rsidP="00C74F67">
      <w:pPr>
        <w:pStyle w:val="Popis"/>
        <w:rPr>
          <w:rFonts w:ascii="Calibri" w:hAnsi="Calibri"/>
          <w:color w:val="auto"/>
          <w:sz w:val="22"/>
          <w:szCs w:val="22"/>
        </w:rPr>
      </w:pPr>
    </w:p>
    <w:p w:rsidR="007F1BA3" w:rsidRDefault="007F1BA3" w:rsidP="00C74F67">
      <w:pPr>
        <w:pStyle w:val="Popis"/>
        <w:rPr>
          <w:rFonts w:ascii="Calibri" w:hAnsi="Calibri"/>
          <w:color w:val="auto"/>
          <w:sz w:val="22"/>
          <w:szCs w:val="22"/>
        </w:rPr>
      </w:pPr>
    </w:p>
    <w:p w:rsidR="007F1BA3" w:rsidRDefault="007F1BA3" w:rsidP="00C74F67">
      <w:pPr>
        <w:pStyle w:val="Popis"/>
        <w:rPr>
          <w:rFonts w:ascii="Calibri" w:hAnsi="Calibri"/>
          <w:color w:val="auto"/>
          <w:sz w:val="22"/>
          <w:szCs w:val="22"/>
        </w:rPr>
      </w:pPr>
    </w:p>
    <w:p w:rsidR="007F1BA3" w:rsidRPr="00BB0184" w:rsidRDefault="007F1BA3" w:rsidP="00C74F67">
      <w:pPr>
        <w:pStyle w:val="Popis"/>
        <w:rPr>
          <w:rFonts w:ascii="Calibri" w:hAnsi="Calibri"/>
          <w:color w:val="auto"/>
          <w:sz w:val="22"/>
          <w:szCs w:val="22"/>
        </w:rPr>
      </w:pPr>
      <w:r w:rsidRPr="00BB0184">
        <w:rPr>
          <w:rFonts w:ascii="Calibri" w:hAnsi="Calibri"/>
          <w:color w:val="auto"/>
          <w:sz w:val="22"/>
          <w:szCs w:val="22"/>
        </w:rPr>
        <w:t xml:space="preserve">Tabuľka </w:t>
      </w:r>
      <w:r w:rsidR="00E01F0B" w:rsidRPr="00BB0184">
        <w:rPr>
          <w:rFonts w:ascii="Calibri" w:hAnsi="Calibri"/>
          <w:color w:val="auto"/>
          <w:sz w:val="22"/>
          <w:szCs w:val="22"/>
        </w:rPr>
        <w:fldChar w:fldCharType="begin"/>
      </w:r>
      <w:r w:rsidRPr="00BB0184">
        <w:rPr>
          <w:rFonts w:ascii="Calibri" w:hAnsi="Calibri"/>
          <w:color w:val="auto"/>
          <w:sz w:val="22"/>
          <w:szCs w:val="22"/>
        </w:rPr>
        <w:instrText xml:space="preserve"> SEQ Tabuľka \* ARABIC </w:instrText>
      </w:r>
      <w:r w:rsidR="00E01F0B" w:rsidRPr="00BB0184">
        <w:rPr>
          <w:rFonts w:ascii="Calibri" w:hAnsi="Calibri"/>
          <w:color w:val="auto"/>
          <w:sz w:val="22"/>
          <w:szCs w:val="22"/>
        </w:rPr>
        <w:fldChar w:fldCharType="separate"/>
      </w:r>
      <w:r w:rsidR="001872A2">
        <w:rPr>
          <w:rFonts w:ascii="Calibri" w:hAnsi="Calibri"/>
          <w:noProof/>
          <w:color w:val="auto"/>
          <w:sz w:val="22"/>
          <w:szCs w:val="22"/>
        </w:rPr>
        <w:t>3</w:t>
      </w:r>
      <w:r w:rsidR="00E01F0B" w:rsidRPr="00BB0184">
        <w:rPr>
          <w:rFonts w:ascii="Calibri" w:hAnsi="Calibri"/>
          <w:color w:val="auto"/>
          <w:sz w:val="22"/>
          <w:szCs w:val="22"/>
        </w:rPr>
        <w:fldChar w:fldCharType="end"/>
      </w:r>
      <w:r>
        <w:rPr>
          <w:rFonts w:ascii="Calibri" w:hAnsi="Calibri"/>
          <w:color w:val="auto"/>
          <w:sz w:val="22"/>
          <w:szCs w:val="22"/>
        </w:rPr>
        <w:t>:</w:t>
      </w:r>
      <w:r w:rsidRPr="00BB0184">
        <w:rPr>
          <w:rFonts w:ascii="Calibri" w:hAnsi="Calibri"/>
          <w:color w:val="auto"/>
          <w:sz w:val="22"/>
          <w:szCs w:val="22"/>
        </w:rPr>
        <w:t xml:space="preserve"> Vznik komunálnych odpadov v SR v rokoch 2005</w:t>
      </w:r>
      <w:r>
        <w:rPr>
          <w:rFonts w:ascii="Calibri" w:hAnsi="Calibri"/>
          <w:color w:val="auto"/>
          <w:sz w:val="22"/>
          <w:szCs w:val="22"/>
        </w:rPr>
        <w:t xml:space="preserve"> </w:t>
      </w:r>
      <w:r w:rsidRPr="00BB0184">
        <w:rPr>
          <w:rFonts w:ascii="Calibri" w:hAnsi="Calibri"/>
          <w:color w:val="auto"/>
          <w:sz w:val="22"/>
          <w:szCs w:val="22"/>
        </w:rPr>
        <w:t>– 2011 (v tonách)</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065"/>
        <w:gridCol w:w="1983"/>
        <w:gridCol w:w="1984"/>
        <w:gridCol w:w="1984"/>
        <w:gridCol w:w="1984"/>
      </w:tblGrid>
      <w:tr w:rsidR="007F1BA3" w:rsidRPr="00482455" w:rsidTr="00402862">
        <w:trPr>
          <w:trHeight w:val="57"/>
          <w:tblHeader/>
        </w:trPr>
        <w:tc>
          <w:tcPr>
            <w:tcW w:w="592" w:type="pct"/>
            <w:shd w:val="clear" w:color="auto" w:fill="C2D69B"/>
            <w:noWrap/>
            <w:vAlign w:val="center"/>
          </w:tcPr>
          <w:p w:rsidR="007F1BA3" w:rsidRPr="00482455" w:rsidRDefault="007F1BA3" w:rsidP="00402862">
            <w:pPr>
              <w:spacing w:after="0" w:line="240" w:lineRule="auto"/>
              <w:rPr>
                <w:b/>
                <w:bCs/>
                <w:color w:val="000000"/>
                <w:lang w:eastAsia="sk-SK"/>
              </w:rPr>
            </w:pPr>
            <w:r>
              <w:rPr>
                <w:b/>
                <w:bCs/>
                <w:color w:val="000000"/>
                <w:lang w:eastAsia="sk-SK"/>
              </w:rPr>
              <w:t>Kategória</w:t>
            </w:r>
          </w:p>
        </w:tc>
        <w:tc>
          <w:tcPr>
            <w:tcW w:w="1102" w:type="pct"/>
            <w:shd w:val="clear" w:color="auto" w:fill="C2D69B"/>
            <w:noWrap/>
            <w:vAlign w:val="center"/>
          </w:tcPr>
          <w:p w:rsidR="007F1BA3" w:rsidRPr="00482455" w:rsidRDefault="007F1BA3" w:rsidP="00402862">
            <w:pPr>
              <w:spacing w:after="0" w:line="240" w:lineRule="auto"/>
              <w:jc w:val="center"/>
              <w:rPr>
                <w:b/>
                <w:bCs/>
                <w:color w:val="000000"/>
                <w:lang w:eastAsia="sk-SK"/>
              </w:rPr>
            </w:pPr>
            <w:r w:rsidRPr="00482455">
              <w:rPr>
                <w:b/>
                <w:bCs/>
                <w:color w:val="000000"/>
                <w:lang w:eastAsia="sk-SK"/>
              </w:rPr>
              <w:t>2005</w:t>
            </w:r>
          </w:p>
        </w:tc>
        <w:tc>
          <w:tcPr>
            <w:tcW w:w="1102" w:type="pct"/>
            <w:shd w:val="clear" w:color="auto" w:fill="C2D69B"/>
            <w:noWrap/>
            <w:vAlign w:val="center"/>
          </w:tcPr>
          <w:p w:rsidR="007F1BA3" w:rsidRPr="00482455" w:rsidRDefault="007F1BA3" w:rsidP="00402862">
            <w:pPr>
              <w:spacing w:after="0" w:line="240" w:lineRule="auto"/>
              <w:jc w:val="center"/>
              <w:rPr>
                <w:b/>
                <w:bCs/>
                <w:color w:val="000000"/>
                <w:lang w:eastAsia="sk-SK"/>
              </w:rPr>
            </w:pPr>
            <w:r w:rsidRPr="00482455">
              <w:rPr>
                <w:b/>
                <w:bCs/>
                <w:color w:val="000000"/>
                <w:lang w:eastAsia="sk-SK"/>
              </w:rPr>
              <w:t>2006</w:t>
            </w:r>
          </w:p>
        </w:tc>
        <w:tc>
          <w:tcPr>
            <w:tcW w:w="1102" w:type="pct"/>
            <w:shd w:val="clear" w:color="auto" w:fill="C2D69B"/>
            <w:noWrap/>
            <w:vAlign w:val="center"/>
          </w:tcPr>
          <w:p w:rsidR="007F1BA3" w:rsidRPr="00482455" w:rsidRDefault="007F1BA3" w:rsidP="00402862">
            <w:pPr>
              <w:spacing w:after="0" w:line="240" w:lineRule="auto"/>
              <w:jc w:val="center"/>
              <w:rPr>
                <w:b/>
                <w:bCs/>
                <w:color w:val="000000"/>
                <w:lang w:eastAsia="sk-SK"/>
              </w:rPr>
            </w:pPr>
            <w:r w:rsidRPr="00482455">
              <w:rPr>
                <w:b/>
                <w:bCs/>
                <w:color w:val="000000"/>
                <w:lang w:eastAsia="sk-SK"/>
              </w:rPr>
              <w:t>2007</w:t>
            </w:r>
          </w:p>
        </w:tc>
        <w:tc>
          <w:tcPr>
            <w:tcW w:w="1102" w:type="pct"/>
            <w:shd w:val="clear" w:color="auto" w:fill="C2D69B"/>
            <w:noWrap/>
            <w:vAlign w:val="center"/>
          </w:tcPr>
          <w:p w:rsidR="007F1BA3" w:rsidRPr="00482455" w:rsidRDefault="007F1BA3" w:rsidP="00402862">
            <w:pPr>
              <w:spacing w:after="0" w:line="240" w:lineRule="auto"/>
              <w:jc w:val="center"/>
              <w:rPr>
                <w:b/>
                <w:bCs/>
                <w:color w:val="000000"/>
                <w:lang w:eastAsia="sk-SK"/>
              </w:rPr>
            </w:pPr>
            <w:r w:rsidRPr="00482455">
              <w:rPr>
                <w:b/>
                <w:bCs/>
                <w:color w:val="000000"/>
                <w:lang w:eastAsia="sk-SK"/>
              </w:rPr>
              <w:t>2008</w:t>
            </w:r>
          </w:p>
        </w:tc>
      </w:tr>
      <w:tr w:rsidR="007F1BA3" w:rsidRPr="00482455" w:rsidTr="00402862">
        <w:trPr>
          <w:trHeight w:val="57"/>
        </w:trPr>
        <w:tc>
          <w:tcPr>
            <w:tcW w:w="592" w:type="pct"/>
            <w:vAlign w:val="center"/>
          </w:tcPr>
          <w:p w:rsidR="007F1BA3" w:rsidRPr="00482455" w:rsidRDefault="007F1BA3" w:rsidP="00402862">
            <w:pPr>
              <w:spacing w:after="0" w:line="240" w:lineRule="auto"/>
              <w:rPr>
                <w:color w:val="000000"/>
                <w:lang w:eastAsia="sk-SK"/>
              </w:rPr>
            </w:pPr>
            <w:r w:rsidRPr="00482455">
              <w:rPr>
                <w:color w:val="000000"/>
                <w:lang w:eastAsia="sk-SK"/>
              </w:rPr>
              <w:t>N</w:t>
            </w:r>
          </w:p>
        </w:tc>
        <w:tc>
          <w:tcPr>
            <w:tcW w:w="1102" w:type="pct"/>
            <w:vAlign w:val="center"/>
          </w:tcPr>
          <w:p w:rsidR="007F1BA3" w:rsidRPr="00482455" w:rsidRDefault="007F1BA3" w:rsidP="00402862">
            <w:pPr>
              <w:spacing w:after="0" w:line="240" w:lineRule="auto"/>
              <w:jc w:val="right"/>
              <w:rPr>
                <w:color w:val="000000"/>
                <w:lang w:eastAsia="sk-SK"/>
              </w:rPr>
            </w:pPr>
            <w:r w:rsidRPr="00482455">
              <w:rPr>
                <w:color w:val="000000"/>
                <w:lang w:eastAsia="sk-SK"/>
              </w:rPr>
              <w:t>3 220,84</w:t>
            </w:r>
          </w:p>
        </w:tc>
        <w:tc>
          <w:tcPr>
            <w:tcW w:w="1102" w:type="pct"/>
            <w:vAlign w:val="center"/>
          </w:tcPr>
          <w:p w:rsidR="007F1BA3" w:rsidRPr="00482455" w:rsidRDefault="007F1BA3" w:rsidP="00402862">
            <w:pPr>
              <w:spacing w:after="0" w:line="240" w:lineRule="auto"/>
              <w:jc w:val="right"/>
              <w:rPr>
                <w:color w:val="000000"/>
                <w:lang w:eastAsia="sk-SK"/>
              </w:rPr>
            </w:pPr>
            <w:r w:rsidRPr="00482455">
              <w:rPr>
                <w:color w:val="000000"/>
                <w:lang w:eastAsia="sk-SK"/>
              </w:rPr>
              <w:t>3 466,61</w:t>
            </w:r>
          </w:p>
        </w:tc>
        <w:tc>
          <w:tcPr>
            <w:tcW w:w="1102" w:type="pct"/>
            <w:vAlign w:val="center"/>
          </w:tcPr>
          <w:p w:rsidR="007F1BA3" w:rsidRPr="00482455" w:rsidRDefault="007F1BA3" w:rsidP="00402862">
            <w:pPr>
              <w:spacing w:after="0" w:line="240" w:lineRule="auto"/>
              <w:jc w:val="right"/>
              <w:rPr>
                <w:color w:val="000000"/>
                <w:lang w:eastAsia="sk-SK"/>
              </w:rPr>
            </w:pPr>
            <w:r w:rsidRPr="00482455">
              <w:rPr>
                <w:color w:val="000000"/>
                <w:lang w:eastAsia="sk-SK"/>
              </w:rPr>
              <w:t>4 801,20</w:t>
            </w:r>
          </w:p>
        </w:tc>
        <w:tc>
          <w:tcPr>
            <w:tcW w:w="1102" w:type="pct"/>
            <w:vAlign w:val="center"/>
          </w:tcPr>
          <w:p w:rsidR="007F1BA3" w:rsidRPr="00482455" w:rsidRDefault="007F1BA3" w:rsidP="00402862">
            <w:pPr>
              <w:spacing w:after="0" w:line="240" w:lineRule="auto"/>
              <w:jc w:val="right"/>
              <w:rPr>
                <w:color w:val="000000"/>
                <w:lang w:eastAsia="sk-SK"/>
              </w:rPr>
            </w:pPr>
            <w:r w:rsidRPr="00482455">
              <w:rPr>
                <w:color w:val="000000"/>
                <w:lang w:eastAsia="sk-SK"/>
              </w:rPr>
              <w:t>5 452,44</w:t>
            </w:r>
          </w:p>
        </w:tc>
      </w:tr>
      <w:tr w:rsidR="007F1BA3" w:rsidRPr="00482455" w:rsidTr="00402862">
        <w:trPr>
          <w:trHeight w:val="57"/>
        </w:trPr>
        <w:tc>
          <w:tcPr>
            <w:tcW w:w="592" w:type="pct"/>
            <w:vAlign w:val="center"/>
          </w:tcPr>
          <w:p w:rsidR="007F1BA3" w:rsidRPr="00482455" w:rsidRDefault="007F1BA3" w:rsidP="00402862">
            <w:pPr>
              <w:spacing w:after="0" w:line="240" w:lineRule="auto"/>
              <w:rPr>
                <w:color w:val="000000"/>
                <w:lang w:eastAsia="sk-SK"/>
              </w:rPr>
            </w:pPr>
            <w:r w:rsidRPr="00482455">
              <w:rPr>
                <w:color w:val="000000"/>
                <w:lang w:eastAsia="sk-SK"/>
              </w:rPr>
              <w:t>O</w:t>
            </w:r>
          </w:p>
        </w:tc>
        <w:tc>
          <w:tcPr>
            <w:tcW w:w="1102" w:type="pct"/>
            <w:vAlign w:val="center"/>
          </w:tcPr>
          <w:p w:rsidR="007F1BA3" w:rsidRPr="00482455" w:rsidRDefault="007F1BA3" w:rsidP="00402862">
            <w:pPr>
              <w:spacing w:after="0" w:line="240" w:lineRule="auto"/>
              <w:jc w:val="right"/>
              <w:rPr>
                <w:color w:val="000000"/>
                <w:lang w:eastAsia="sk-SK"/>
              </w:rPr>
            </w:pPr>
            <w:r w:rsidRPr="00482455">
              <w:rPr>
                <w:color w:val="000000"/>
                <w:lang w:eastAsia="sk-SK"/>
              </w:rPr>
              <w:t>1 555 042,10</w:t>
            </w:r>
          </w:p>
        </w:tc>
        <w:tc>
          <w:tcPr>
            <w:tcW w:w="1102" w:type="pct"/>
            <w:vAlign w:val="center"/>
          </w:tcPr>
          <w:p w:rsidR="007F1BA3" w:rsidRPr="00482455" w:rsidRDefault="007F1BA3" w:rsidP="00402862">
            <w:pPr>
              <w:spacing w:after="0" w:line="240" w:lineRule="auto"/>
              <w:jc w:val="right"/>
              <w:rPr>
                <w:color w:val="000000"/>
                <w:lang w:eastAsia="sk-SK"/>
              </w:rPr>
            </w:pPr>
            <w:r w:rsidRPr="00482455">
              <w:rPr>
                <w:color w:val="000000"/>
                <w:lang w:eastAsia="sk-SK"/>
              </w:rPr>
              <w:t>1 619 839,87</w:t>
            </w:r>
          </w:p>
        </w:tc>
        <w:tc>
          <w:tcPr>
            <w:tcW w:w="1102" w:type="pct"/>
            <w:vAlign w:val="center"/>
          </w:tcPr>
          <w:p w:rsidR="007F1BA3" w:rsidRPr="00482455" w:rsidRDefault="007F1BA3" w:rsidP="00402862">
            <w:pPr>
              <w:spacing w:after="0" w:line="240" w:lineRule="auto"/>
              <w:jc w:val="right"/>
              <w:rPr>
                <w:color w:val="000000"/>
                <w:lang w:eastAsia="sk-SK"/>
              </w:rPr>
            </w:pPr>
            <w:r w:rsidRPr="00482455">
              <w:rPr>
                <w:color w:val="000000"/>
                <w:lang w:eastAsia="sk-SK"/>
              </w:rPr>
              <w:t>1 663 847,11</w:t>
            </w:r>
          </w:p>
        </w:tc>
        <w:tc>
          <w:tcPr>
            <w:tcW w:w="1102" w:type="pct"/>
            <w:vAlign w:val="center"/>
          </w:tcPr>
          <w:p w:rsidR="007F1BA3" w:rsidRPr="00482455" w:rsidRDefault="007F1BA3" w:rsidP="00402862">
            <w:pPr>
              <w:spacing w:after="0" w:line="240" w:lineRule="auto"/>
              <w:jc w:val="right"/>
              <w:rPr>
                <w:color w:val="000000"/>
                <w:lang w:eastAsia="sk-SK"/>
              </w:rPr>
            </w:pPr>
            <w:r w:rsidRPr="00482455">
              <w:rPr>
                <w:color w:val="000000"/>
                <w:lang w:eastAsia="sk-SK"/>
              </w:rPr>
              <w:t>1 766 973,18</w:t>
            </w:r>
          </w:p>
        </w:tc>
      </w:tr>
      <w:tr w:rsidR="007F1BA3" w:rsidRPr="00482455" w:rsidTr="00402862">
        <w:trPr>
          <w:trHeight w:val="57"/>
        </w:trPr>
        <w:tc>
          <w:tcPr>
            <w:tcW w:w="592" w:type="pct"/>
            <w:noWrap/>
            <w:vAlign w:val="bottom"/>
          </w:tcPr>
          <w:p w:rsidR="007F1BA3" w:rsidRPr="00F50F9A" w:rsidRDefault="007F1BA3" w:rsidP="00402862">
            <w:pPr>
              <w:spacing w:after="0" w:line="240" w:lineRule="auto"/>
              <w:rPr>
                <w:b/>
                <w:color w:val="000000"/>
                <w:lang w:eastAsia="sk-SK"/>
              </w:rPr>
            </w:pPr>
            <w:r w:rsidRPr="00F50F9A">
              <w:rPr>
                <w:b/>
                <w:color w:val="000000"/>
                <w:lang w:eastAsia="sk-SK"/>
              </w:rPr>
              <w:t>SPOLU</w:t>
            </w:r>
          </w:p>
        </w:tc>
        <w:tc>
          <w:tcPr>
            <w:tcW w:w="1102" w:type="pct"/>
            <w:noWrap/>
            <w:vAlign w:val="bottom"/>
          </w:tcPr>
          <w:p w:rsidR="007F1BA3" w:rsidRPr="00F50F9A" w:rsidRDefault="007F1BA3" w:rsidP="00402862">
            <w:pPr>
              <w:spacing w:after="0" w:line="240" w:lineRule="auto"/>
              <w:jc w:val="right"/>
              <w:rPr>
                <w:b/>
                <w:color w:val="000000"/>
                <w:lang w:eastAsia="sk-SK"/>
              </w:rPr>
            </w:pPr>
            <w:r w:rsidRPr="00F50F9A">
              <w:rPr>
                <w:b/>
                <w:color w:val="000000"/>
                <w:lang w:eastAsia="sk-SK"/>
              </w:rPr>
              <w:t>1 558 262,94</w:t>
            </w:r>
          </w:p>
        </w:tc>
        <w:tc>
          <w:tcPr>
            <w:tcW w:w="1102" w:type="pct"/>
            <w:noWrap/>
            <w:vAlign w:val="bottom"/>
          </w:tcPr>
          <w:p w:rsidR="007F1BA3" w:rsidRPr="00F50F9A" w:rsidRDefault="007F1BA3" w:rsidP="00402862">
            <w:pPr>
              <w:spacing w:after="0" w:line="240" w:lineRule="auto"/>
              <w:jc w:val="right"/>
              <w:rPr>
                <w:b/>
                <w:color w:val="000000"/>
                <w:lang w:eastAsia="sk-SK"/>
              </w:rPr>
            </w:pPr>
            <w:r w:rsidRPr="00F50F9A">
              <w:rPr>
                <w:b/>
                <w:color w:val="000000"/>
                <w:lang w:eastAsia="sk-SK"/>
              </w:rPr>
              <w:t>1 623 306,48</w:t>
            </w:r>
          </w:p>
        </w:tc>
        <w:tc>
          <w:tcPr>
            <w:tcW w:w="1102" w:type="pct"/>
            <w:noWrap/>
            <w:vAlign w:val="bottom"/>
          </w:tcPr>
          <w:p w:rsidR="007F1BA3" w:rsidRPr="00F50F9A" w:rsidRDefault="007F1BA3" w:rsidP="00402862">
            <w:pPr>
              <w:spacing w:after="0" w:line="240" w:lineRule="auto"/>
              <w:jc w:val="right"/>
              <w:rPr>
                <w:b/>
                <w:color w:val="000000"/>
                <w:lang w:eastAsia="sk-SK"/>
              </w:rPr>
            </w:pPr>
            <w:r w:rsidRPr="00F50F9A">
              <w:rPr>
                <w:b/>
                <w:color w:val="000000"/>
                <w:lang w:eastAsia="sk-SK"/>
              </w:rPr>
              <w:t>1 668 648,31</w:t>
            </w:r>
          </w:p>
        </w:tc>
        <w:tc>
          <w:tcPr>
            <w:tcW w:w="1102" w:type="pct"/>
            <w:noWrap/>
            <w:vAlign w:val="bottom"/>
          </w:tcPr>
          <w:p w:rsidR="007F1BA3" w:rsidRPr="00F50F9A" w:rsidRDefault="007F1BA3" w:rsidP="00402862">
            <w:pPr>
              <w:spacing w:after="0" w:line="240" w:lineRule="auto"/>
              <w:jc w:val="right"/>
              <w:rPr>
                <w:b/>
                <w:color w:val="000000"/>
                <w:lang w:eastAsia="sk-SK"/>
              </w:rPr>
            </w:pPr>
            <w:r w:rsidRPr="00F50F9A">
              <w:rPr>
                <w:b/>
                <w:color w:val="000000"/>
                <w:lang w:eastAsia="sk-SK"/>
              </w:rPr>
              <w:t>1 772 425,62</w:t>
            </w:r>
          </w:p>
        </w:tc>
      </w:tr>
      <w:tr w:rsidR="007F1BA3" w:rsidRPr="00F50F9A" w:rsidTr="00402862">
        <w:trPr>
          <w:trHeight w:val="57"/>
        </w:trPr>
        <w:tc>
          <w:tcPr>
            <w:tcW w:w="592" w:type="pct"/>
            <w:shd w:val="clear" w:color="auto" w:fill="C2D69B"/>
            <w:noWrap/>
            <w:vAlign w:val="bottom"/>
          </w:tcPr>
          <w:p w:rsidR="007F1BA3" w:rsidRPr="00F50F9A" w:rsidRDefault="007F1BA3" w:rsidP="00402862">
            <w:pPr>
              <w:spacing w:after="0" w:line="240" w:lineRule="auto"/>
              <w:rPr>
                <w:b/>
                <w:color w:val="000000"/>
                <w:lang w:eastAsia="sk-SK"/>
              </w:rPr>
            </w:pPr>
            <w:r w:rsidRPr="00F50F9A">
              <w:rPr>
                <w:b/>
                <w:color w:val="000000"/>
                <w:lang w:eastAsia="sk-SK"/>
              </w:rPr>
              <w:t>Kategória</w:t>
            </w:r>
          </w:p>
        </w:tc>
        <w:tc>
          <w:tcPr>
            <w:tcW w:w="1102" w:type="pct"/>
            <w:shd w:val="clear" w:color="auto" w:fill="C2D69B"/>
            <w:noWrap/>
            <w:vAlign w:val="bottom"/>
          </w:tcPr>
          <w:p w:rsidR="007F1BA3" w:rsidRPr="00F50F9A" w:rsidRDefault="007F1BA3" w:rsidP="00402862">
            <w:pPr>
              <w:spacing w:after="0" w:line="240" w:lineRule="auto"/>
              <w:jc w:val="center"/>
              <w:rPr>
                <w:b/>
                <w:color w:val="000000"/>
                <w:lang w:eastAsia="sk-SK"/>
              </w:rPr>
            </w:pPr>
            <w:r w:rsidRPr="00F50F9A">
              <w:rPr>
                <w:b/>
                <w:color w:val="000000"/>
                <w:lang w:eastAsia="sk-SK"/>
              </w:rPr>
              <w:t>2009</w:t>
            </w:r>
          </w:p>
        </w:tc>
        <w:tc>
          <w:tcPr>
            <w:tcW w:w="1102" w:type="pct"/>
            <w:shd w:val="clear" w:color="auto" w:fill="C2D69B"/>
            <w:noWrap/>
            <w:vAlign w:val="bottom"/>
          </w:tcPr>
          <w:p w:rsidR="007F1BA3" w:rsidRPr="00F50F9A" w:rsidRDefault="007F1BA3" w:rsidP="00402862">
            <w:pPr>
              <w:spacing w:after="0" w:line="240" w:lineRule="auto"/>
              <w:jc w:val="center"/>
              <w:rPr>
                <w:b/>
                <w:color w:val="000000"/>
                <w:lang w:eastAsia="sk-SK"/>
              </w:rPr>
            </w:pPr>
            <w:r w:rsidRPr="00F50F9A">
              <w:rPr>
                <w:b/>
                <w:color w:val="000000"/>
                <w:lang w:eastAsia="sk-SK"/>
              </w:rPr>
              <w:t>20</w:t>
            </w:r>
            <w:r>
              <w:rPr>
                <w:b/>
                <w:color w:val="000000"/>
                <w:lang w:eastAsia="sk-SK"/>
              </w:rPr>
              <w:t>1</w:t>
            </w:r>
            <w:r w:rsidRPr="00F50F9A">
              <w:rPr>
                <w:b/>
                <w:color w:val="000000"/>
                <w:lang w:eastAsia="sk-SK"/>
              </w:rPr>
              <w:t>0</w:t>
            </w:r>
          </w:p>
        </w:tc>
        <w:tc>
          <w:tcPr>
            <w:tcW w:w="1102" w:type="pct"/>
            <w:shd w:val="clear" w:color="auto" w:fill="C2D69B"/>
            <w:noWrap/>
            <w:vAlign w:val="bottom"/>
          </w:tcPr>
          <w:p w:rsidR="007F1BA3" w:rsidRPr="00F50F9A" w:rsidRDefault="007F1BA3" w:rsidP="00402862">
            <w:pPr>
              <w:spacing w:after="0" w:line="240" w:lineRule="auto"/>
              <w:jc w:val="center"/>
              <w:rPr>
                <w:b/>
                <w:color w:val="000000"/>
                <w:lang w:eastAsia="sk-SK"/>
              </w:rPr>
            </w:pPr>
            <w:r w:rsidRPr="00F50F9A">
              <w:rPr>
                <w:b/>
                <w:color w:val="000000"/>
                <w:lang w:eastAsia="sk-SK"/>
              </w:rPr>
              <w:t>20</w:t>
            </w:r>
            <w:r>
              <w:rPr>
                <w:b/>
                <w:color w:val="000000"/>
                <w:lang w:eastAsia="sk-SK"/>
              </w:rPr>
              <w:t>11</w:t>
            </w:r>
          </w:p>
        </w:tc>
        <w:tc>
          <w:tcPr>
            <w:tcW w:w="1102" w:type="pct"/>
            <w:shd w:val="clear" w:color="auto" w:fill="C2D69B"/>
            <w:noWrap/>
            <w:vAlign w:val="bottom"/>
          </w:tcPr>
          <w:p w:rsidR="007F1BA3" w:rsidRPr="00F50F9A" w:rsidRDefault="007F1BA3" w:rsidP="00402862">
            <w:pPr>
              <w:spacing w:after="0" w:line="240" w:lineRule="auto"/>
              <w:jc w:val="center"/>
              <w:rPr>
                <w:b/>
                <w:color w:val="000000"/>
                <w:lang w:eastAsia="sk-SK"/>
              </w:rPr>
            </w:pPr>
          </w:p>
        </w:tc>
      </w:tr>
      <w:tr w:rsidR="007F1BA3" w:rsidRPr="00482455" w:rsidTr="00402862">
        <w:trPr>
          <w:trHeight w:val="57"/>
        </w:trPr>
        <w:tc>
          <w:tcPr>
            <w:tcW w:w="592" w:type="pct"/>
            <w:noWrap/>
            <w:vAlign w:val="bottom"/>
          </w:tcPr>
          <w:p w:rsidR="007F1BA3" w:rsidRPr="00482455" w:rsidRDefault="007F1BA3" w:rsidP="00402862">
            <w:pPr>
              <w:spacing w:after="0" w:line="240" w:lineRule="auto"/>
              <w:rPr>
                <w:color w:val="000000"/>
                <w:lang w:eastAsia="sk-SK"/>
              </w:rPr>
            </w:pPr>
            <w:r w:rsidRPr="00482455">
              <w:rPr>
                <w:color w:val="000000"/>
                <w:lang w:eastAsia="sk-SK"/>
              </w:rPr>
              <w:t>N</w:t>
            </w:r>
          </w:p>
        </w:tc>
        <w:tc>
          <w:tcPr>
            <w:tcW w:w="1102" w:type="pct"/>
            <w:noWrap/>
            <w:vAlign w:val="bottom"/>
          </w:tcPr>
          <w:p w:rsidR="007F1BA3" w:rsidRPr="00482455" w:rsidRDefault="007F1BA3" w:rsidP="00402862">
            <w:pPr>
              <w:spacing w:after="0" w:line="240" w:lineRule="auto"/>
              <w:jc w:val="right"/>
              <w:rPr>
                <w:color w:val="000000"/>
                <w:lang w:eastAsia="sk-SK"/>
              </w:rPr>
            </w:pPr>
            <w:r w:rsidRPr="00482455">
              <w:rPr>
                <w:color w:val="000000"/>
                <w:lang w:eastAsia="sk-SK"/>
              </w:rPr>
              <w:t>6 244,26</w:t>
            </w:r>
          </w:p>
        </w:tc>
        <w:tc>
          <w:tcPr>
            <w:tcW w:w="1102" w:type="pct"/>
            <w:noWrap/>
            <w:vAlign w:val="bottom"/>
          </w:tcPr>
          <w:p w:rsidR="007F1BA3" w:rsidRPr="00482455" w:rsidRDefault="007F1BA3" w:rsidP="00402862">
            <w:pPr>
              <w:spacing w:after="0" w:line="240" w:lineRule="auto"/>
              <w:jc w:val="right"/>
              <w:rPr>
                <w:color w:val="000000"/>
                <w:lang w:eastAsia="sk-SK"/>
              </w:rPr>
            </w:pPr>
            <w:r w:rsidRPr="00482455">
              <w:rPr>
                <w:color w:val="000000"/>
                <w:lang w:eastAsia="sk-SK"/>
              </w:rPr>
              <w:t>5 428,06</w:t>
            </w:r>
          </w:p>
        </w:tc>
        <w:tc>
          <w:tcPr>
            <w:tcW w:w="1102" w:type="pct"/>
            <w:noWrap/>
            <w:vAlign w:val="bottom"/>
          </w:tcPr>
          <w:p w:rsidR="007F1BA3" w:rsidRPr="00482455" w:rsidRDefault="007F1BA3" w:rsidP="00402862">
            <w:pPr>
              <w:spacing w:after="0" w:line="240" w:lineRule="auto"/>
              <w:jc w:val="right"/>
              <w:rPr>
                <w:color w:val="000000"/>
                <w:lang w:eastAsia="sk-SK"/>
              </w:rPr>
            </w:pPr>
            <w:r w:rsidRPr="00482455">
              <w:rPr>
                <w:color w:val="000000"/>
                <w:lang w:eastAsia="sk-SK"/>
              </w:rPr>
              <w:t>6 234,32</w:t>
            </w:r>
          </w:p>
        </w:tc>
        <w:tc>
          <w:tcPr>
            <w:tcW w:w="1102" w:type="pct"/>
            <w:noWrap/>
            <w:vAlign w:val="bottom"/>
          </w:tcPr>
          <w:p w:rsidR="007F1BA3" w:rsidRPr="00482455" w:rsidRDefault="007F1BA3" w:rsidP="00402862">
            <w:pPr>
              <w:spacing w:after="0" w:line="240" w:lineRule="auto"/>
              <w:jc w:val="right"/>
              <w:rPr>
                <w:color w:val="000000"/>
                <w:lang w:eastAsia="sk-SK"/>
              </w:rPr>
            </w:pPr>
          </w:p>
        </w:tc>
      </w:tr>
      <w:tr w:rsidR="007F1BA3" w:rsidRPr="00482455" w:rsidTr="00402862">
        <w:trPr>
          <w:trHeight w:val="57"/>
        </w:trPr>
        <w:tc>
          <w:tcPr>
            <w:tcW w:w="592" w:type="pct"/>
            <w:noWrap/>
            <w:vAlign w:val="bottom"/>
          </w:tcPr>
          <w:p w:rsidR="007F1BA3" w:rsidRPr="00482455" w:rsidRDefault="007F1BA3" w:rsidP="00402862">
            <w:pPr>
              <w:spacing w:after="0" w:line="240" w:lineRule="auto"/>
              <w:rPr>
                <w:color w:val="000000"/>
                <w:lang w:eastAsia="sk-SK"/>
              </w:rPr>
            </w:pPr>
            <w:r w:rsidRPr="00482455">
              <w:rPr>
                <w:color w:val="000000"/>
                <w:lang w:eastAsia="sk-SK"/>
              </w:rPr>
              <w:t>O</w:t>
            </w:r>
          </w:p>
        </w:tc>
        <w:tc>
          <w:tcPr>
            <w:tcW w:w="1102" w:type="pct"/>
            <w:noWrap/>
            <w:vAlign w:val="bottom"/>
          </w:tcPr>
          <w:p w:rsidR="007F1BA3" w:rsidRPr="00482455" w:rsidRDefault="007F1BA3" w:rsidP="00402862">
            <w:pPr>
              <w:spacing w:after="0" w:line="240" w:lineRule="auto"/>
              <w:jc w:val="right"/>
              <w:rPr>
                <w:color w:val="000000"/>
                <w:lang w:eastAsia="sk-SK"/>
              </w:rPr>
            </w:pPr>
            <w:r w:rsidRPr="00482455">
              <w:rPr>
                <w:color w:val="000000"/>
                <w:lang w:eastAsia="sk-SK"/>
              </w:rPr>
              <w:t>1 739 249,80</w:t>
            </w:r>
          </w:p>
        </w:tc>
        <w:tc>
          <w:tcPr>
            <w:tcW w:w="1102" w:type="pct"/>
            <w:noWrap/>
            <w:vAlign w:val="bottom"/>
          </w:tcPr>
          <w:p w:rsidR="007F1BA3" w:rsidRPr="00482455" w:rsidRDefault="007F1BA3" w:rsidP="00402862">
            <w:pPr>
              <w:spacing w:after="0" w:line="240" w:lineRule="auto"/>
              <w:jc w:val="right"/>
              <w:rPr>
                <w:color w:val="000000"/>
                <w:lang w:eastAsia="sk-SK"/>
              </w:rPr>
            </w:pPr>
            <w:r w:rsidRPr="00482455">
              <w:rPr>
                <w:color w:val="000000"/>
                <w:lang w:eastAsia="sk-SK"/>
              </w:rPr>
              <w:t>1 803 077,99</w:t>
            </w:r>
          </w:p>
        </w:tc>
        <w:tc>
          <w:tcPr>
            <w:tcW w:w="1102" w:type="pct"/>
            <w:noWrap/>
            <w:vAlign w:val="bottom"/>
          </w:tcPr>
          <w:p w:rsidR="007F1BA3" w:rsidRPr="00482455" w:rsidRDefault="007F1BA3" w:rsidP="00402862">
            <w:pPr>
              <w:spacing w:after="0" w:line="240" w:lineRule="auto"/>
              <w:jc w:val="right"/>
              <w:rPr>
                <w:color w:val="000000"/>
                <w:lang w:eastAsia="sk-SK"/>
              </w:rPr>
            </w:pPr>
            <w:r w:rsidRPr="00482455">
              <w:rPr>
                <w:color w:val="000000"/>
                <w:lang w:eastAsia="sk-SK"/>
              </w:rPr>
              <w:t>1 760 756,16</w:t>
            </w:r>
          </w:p>
        </w:tc>
        <w:tc>
          <w:tcPr>
            <w:tcW w:w="1102" w:type="pct"/>
            <w:noWrap/>
            <w:vAlign w:val="bottom"/>
          </w:tcPr>
          <w:p w:rsidR="007F1BA3" w:rsidRPr="00482455" w:rsidRDefault="007F1BA3" w:rsidP="00402862">
            <w:pPr>
              <w:spacing w:after="0" w:line="240" w:lineRule="auto"/>
              <w:jc w:val="right"/>
              <w:rPr>
                <w:color w:val="000000"/>
                <w:lang w:eastAsia="sk-SK"/>
              </w:rPr>
            </w:pPr>
          </w:p>
        </w:tc>
      </w:tr>
      <w:tr w:rsidR="007F1BA3" w:rsidRPr="00482455" w:rsidTr="00402862">
        <w:trPr>
          <w:trHeight w:val="57"/>
        </w:trPr>
        <w:tc>
          <w:tcPr>
            <w:tcW w:w="592" w:type="pct"/>
            <w:noWrap/>
            <w:vAlign w:val="bottom"/>
          </w:tcPr>
          <w:p w:rsidR="007F1BA3" w:rsidRPr="00F50F9A" w:rsidRDefault="007F1BA3" w:rsidP="00402862">
            <w:pPr>
              <w:spacing w:after="0" w:line="240" w:lineRule="auto"/>
              <w:rPr>
                <w:b/>
                <w:color w:val="000000"/>
                <w:lang w:eastAsia="sk-SK"/>
              </w:rPr>
            </w:pPr>
            <w:r w:rsidRPr="00F50F9A">
              <w:rPr>
                <w:b/>
                <w:color w:val="000000"/>
                <w:lang w:eastAsia="sk-SK"/>
              </w:rPr>
              <w:t>SPOLU</w:t>
            </w:r>
          </w:p>
        </w:tc>
        <w:tc>
          <w:tcPr>
            <w:tcW w:w="1102" w:type="pct"/>
            <w:noWrap/>
            <w:vAlign w:val="bottom"/>
          </w:tcPr>
          <w:p w:rsidR="007F1BA3" w:rsidRPr="00F50F9A" w:rsidRDefault="007F1BA3" w:rsidP="00402862">
            <w:pPr>
              <w:spacing w:after="0" w:line="240" w:lineRule="auto"/>
              <w:jc w:val="right"/>
              <w:rPr>
                <w:b/>
                <w:color w:val="000000"/>
                <w:lang w:eastAsia="sk-SK"/>
              </w:rPr>
            </w:pPr>
            <w:r w:rsidRPr="00F50F9A">
              <w:rPr>
                <w:b/>
                <w:color w:val="000000"/>
                <w:lang w:eastAsia="sk-SK"/>
              </w:rPr>
              <w:t>1 745 494,06</w:t>
            </w:r>
          </w:p>
        </w:tc>
        <w:tc>
          <w:tcPr>
            <w:tcW w:w="1102" w:type="pct"/>
            <w:noWrap/>
            <w:vAlign w:val="bottom"/>
          </w:tcPr>
          <w:p w:rsidR="007F1BA3" w:rsidRPr="00F50F9A" w:rsidRDefault="007F1BA3" w:rsidP="00402862">
            <w:pPr>
              <w:spacing w:after="0" w:line="240" w:lineRule="auto"/>
              <w:jc w:val="right"/>
              <w:rPr>
                <w:b/>
                <w:color w:val="000000"/>
                <w:lang w:eastAsia="sk-SK"/>
              </w:rPr>
            </w:pPr>
            <w:r w:rsidRPr="00F50F9A">
              <w:rPr>
                <w:b/>
                <w:color w:val="000000"/>
                <w:lang w:eastAsia="sk-SK"/>
              </w:rPr>
              <w:t>1 808 506,05</w:t>
            </w:r>
          </w:p>
        </w:tc>
        <w:tc>
          <w:tcPr>
            <w:tcW w:w="1102" w:type="pct"/>
            <w:noWrap/>
            <w:vAlign w:val="bottom"/>
          </w:tcPr>
          <w:p w:rsidR="007F1BA3" w:rsidRPr="00F50F9A" w:rsidRDefault="007F1BA3" w:rsidP="00402862">
            <w:pPr>
              <w:spacing w:after="0" w:line="240" w:lineRule="auto"/>
              <w:jc w:val="right"/>
              <w:rPr>
                <w:b/>
                <w:color w:val="000000"/>
                <w:lang w:eastAsia="sk-SK"/>
              </w:rPr>
            </w:pPr>
            <w:r w:rsidRPr="00F50F9A">
              <w:rPr>
                <w:b/>
                <w:color w:val="000000"/>
                <w:lang w:eastAsia="sk-SK"/>
              </w:rPr>
              <w:t>1 766 990,48</w:t>
            </w:r>
          </w:p>
        </w:tc>
        <w:tc>
          <w:tcPr>
            <w:tcW w:w="1102" w:type="pct"/>
            <w:noWrap/>
            <w:vAlign w:val="bottom"/>
          </w:tcPr>
          <w:p w:rsidR="007F1BA3" w:rsidRPr="00482455" w:rsidRDefault="007F1BA3" w:rsidP="00402862">
            <w:pPr>
              <w:spacing w:after="0" w:line="240" w:lineRule="auto"/>
              <w:jc w:val="right"/>
              <w:rPr>
                <w:color w:val="000000"/>
                <w:lang w:eastAsia="sk-SK"/>
              </w:rPr>
            </w:pPr>
          </w:p>
        </w:tc>
      </w:tr>
    </w:tbl>
    <w:p w:rsidR="007F1BA3" w:rsidRDefault="007F1BA3" w:rsidP="00C74F67">
      <w:pPr>
        <w:rPr>
          <w:bCs/>
        </w:rPr>
      </w:pPr>
      <w:r w:rsidRPr="00046FB8">
        <w:rPr>
          <w:bCs/>
        </w:rPr>
        <w:t xml:space="preserve">Zdroj: </w:t>
      </w:r>
      <w:r w:rsidR="004818BE">
        <w:rPr>
          <w:bCs/>
        </w:rPr>
        <w:t>SAŽP</w:t>
      </w:r>
    </w:p>
    <w:p w:rsidR="007F1BA3" w:rsidRDefault="007F1BA3" w:rsidP="00C74F67">
      <w:pPr>
        <w:spacing w:after="0" w:line="240" w:lineRule="auto"/>
      </w:pPr>
    </w:p>
    <w:p w:rsidR="007F1BA3" w:rsidRDefault="007F1BA3" w:rsidP="00C74F67">
      <w:pPr>
        <w:jc w:val="both"/>
      </w:pPr>
      <w:r>
        <w:t xml:space="preserve">Od r. 2005 má vznik komunálnych odpadov stúpajúcu tendenciu. Mierny pokles bol zaznamenaný v rokoch 2009 a 2011, čoho hlavnou príčinou môže byť ekonomická situácia domácností. Rovnaká situácia bola zaznamenaná aj v množstve komunálneho odpadu na jedného obyvateľa (tabuľka 4). </w:t>
      </w:r>
    </w:p>
    <w:p w:rsidR="007F1BA3" w:rsidRDefault="007F1BA3" w:rsidP="00C74F67">
      <w:pPr>
        <w:spacing w:after="0" w:line="240" w:lineRule="auto"/>
      </w:pPr>
    </w:p>
    <w:p w:rsidR="007F1BA3" w:rsidRDefault="007F1BA3" w:rsidP="00C74F67">
      <w:pPr>
        <w:pStyle w:val="Popis"/>
      </w:pPr>
      <w:r w:rsidRPr="00BB0184">
        <w:rPr>
          <w:rFonts w:ascii="Calibri" w:hAnsi="Calibri"/>
          <w:color w:val="auto"/>
          <w:sz w:val="22"/>
          <w:szCs w:val="22"/>
        </w:rPr>
        <w:t xml:space="preserve">Tabuľka </w:t>
      </w:r>
      <w:r w:rsidR="00E01F0B" w:rsidRPr="00BB0184">
        <w:rPr>
          <w:rFonts w:ascii="Calibri" w:hAnsi="Calibri"/>
          <w:color w:val="auto"/>
          <w:sz w:val="22"/>
          <w:szCs w:val="22"/>
        </w:rPr>
        <w:fldChar w:fldCharType="begin"/>
      </w:r>
      <w:r w:rsidRPr="00BB0184">
        <w:rPr>
          <w:rFonts w:ascii="Calibri" w:hAnsi="Calibri"/>
          <w:color w:val="auto"/>
          <w:sz w:val="22"/>
          <w:szCs w:val="22"/>
        </w:rPr>
        <w:instrText xml:space="preserve"> SEQ Tabuľka \* ARABIC </w:instrText>
      </w:r>
      <w:r w:rsidR="00E01F0B" w:rsidRPr="00BB0184">
        <w:rPr>
          <w:rFonts w:ascii="Calibri" w:hAnsi="Calibri"/>
          <w:color w:val="auto"/>
          <w:sz w:val="22"/>
          <w:szCs w:val="22"/>
        </w:rPr>
        <w:fldChar w:fldCharType="separate"/>
      </w:r>
      <w:r w:rsidR="001872A2">
        <w:rPr>
          <w:rFonts w:ascii="Calibri" w:hAnsi="Calibri"/>
          <w:noProof/>
          <w:color w:val="auto"/>
          <w:sz w:val="22"/>
          <w:szCs w:val="22"/>
        </w:rPr>
        <w:t>4</w:t>
      </w:r>
      <w:r w:rsidR="00E01F0B" w:rsidRPr="00BB0184">
        <w:rPr>
          <w:rFonts w:ascii="Calibri" w:hAnsi="Calibri"/>
          <w:color w:val="auto"/>
          <w:sz w:val="22"/>
          <w:szCs w:val="22"/>
        </w:rPr>
        <w:fldChar w:fldCharType="end"/>
      </w:r>
      <w:r>
        <w:rPr>
          <w:rFonts w:ascii="Calibri" w:hAnsi="Calibri"/>
          <w:color w:val="auto"/>
          <w:sz w:val="22"/>
          <w:szCs w:val="22"/>
        </w:rPr>
        <w:t>:</w:t>
      </w:r>
      <w:r w:rsidRPr="00BB0184">
        <w:rPr>
          <w:rFonts w:ascii="Calibri" w:hAnsi="Calibri"/>
          <w:color w:val="auto"/>
          <w:sz w:val="22"/>
          <w:szCs w:val="22"/>
        </w:rPr>
        <w:t xml:space="preserve"> Vznik komunálnych odpadov na obyvateľa v rokoch 2005 </w:t>
      </w:r>
      <w:r>
        <w:rPr>
          <w:rFonts w:ascii="Calibri" w:hAnsi="Calibri"/>
          <w:color w:val="auto"/>
          <w:sz w:val="22"/>
          <w:szCs w:val="22"/>
        </w:rPr>
        <w:t>–</w:t>
      </w:r>
      <w:r w:rsidRPr="00BB0184">
        <w:rPr>
          <w:rFonts w:ascii="Calibri" w:hAnsi="Calibri"/>
          <w:color w:val="auto"/>
          <w:sz w:val="22"/>
          <w:szCs w:val="22"/>
        </w:rPr>
        <w:t xml:space="preserve"> 2011</w:t>
      </w:r>
    </w:p>
    <w:tbl>
      <w:tblPr>
        <w:tblW w:w="5000" w:type="pct"/>
        <w:tblLayout w:type="fixed"/>
        <w:tblCellMar>
          <w:left w:w="70" w:type="dxa"/>
          <w:right w:w="70" w:type="dxa"/>
        </w:tblCellMar>
        <w:tblLook w:val="00A0"/>
      </w:tblPr>
      <w:tblGrid>
        <w:gridCol w:w="1204"/>
        <w:gridCol w:w="1144"/>
        <w:gridCol w:w="1144"/>
        <w:gridCol w:w="1144"/>
        <w:gridCol w:w="1144"/>
        <w:gridCol w:w="1144"/>
        <w:gridCol w:w="1144"/>
        <w:gridCol w:w="1144"/>
      </w:tblGrid>
      <w:tr w:rsidR="007F1BA3" w:rsidRPr="005B4177" w:rsidTr="00402862">
        <w:trPr>
          <w:trHeight w:val="20"/>
          <w:tblHeader/>
        </w:trPr>
        <w:tc>
          <w:tcPr>
            <w:tcW w:w="653" w:type="pct"/>
            <w:tcBorders>
              <w:top w:val="single" w:sz="4" w:space="0" w:color="auto"/>
              <w:left w:val="single" w:sz="4" w:space="0" w:color="auto"/>
              <w:bottom w:val="single" w:sz="4" w:space="0" w:color="auto"/>
              <w:right w:val="single" w:sz="4" w:space="0" w:color="auto"/>
            </w:tcBorders>
            <w:shd w:val="clear" w:color="auto" w:fill="C2D69B"/>
            <w:noWrap/>
            <w:vAlign w:val="center"/>
          </w:tcPr>
          <w:p w:rsidR="007F1BA3" w:rsidRPr="005B4177" w:rsidRDefault="007F1BA3" w:rsidP="00402862">
            <w:pPr>
              <w:spacing w:after="0" w:line="240" w:lineRule="auto"/>
              <w:jc w:val="center"/>
              <w:rPr>
                <w:b/>
                <w:bCs/>
                <w:color w:val="000000"/>
                <w:lang w:eastAsia="sk-SK"/>
              </w:rPr>
            </w:pPr>
            <w:r w:rsidRPr="005B4177">
              <w:rPr>
                <w:b/>
                <w:bCs/>
                <w:color w:val="000000"/>
                <w:lang w:eastAsia="sk-SK"/>
              </w:rPr>
              <w:t>K</w:t>
            </w:r>
            <w:r>
              <w:rPr>
                <w:b/>
                <w:bCs/>
                <w:color w:val="000000"/>
                <w:lang w:eastAsia="sk-SK"/>
              </w:rPr>
              <w:t>O</w:t>
            </w:r>
          </w:p>
        </w:tc>
        <w:tc>
          <w:tcPr>
            <w:tcW w:w="621" w:type="pct"/>
            <w:tcBorders>
              <w:top w:val="single" w:sz="4" w:space="0" w:color="auto"/>
              <w:left w:val="nil"/>
              <w:bottom w:val="single" w:sz="4" w:space="0" w:color="auto"/>
              <w:right w:val="single" w:sz="4" w:space="0" w:color="auto"/>
            </w:tcBorders>
            <w:shd w:val="clear" w:color="auto" w:fill="C2D69B"/>
            <w:noWrap/>
            <w:vAlign w:val="center"/>
          </w:tcPr>
          <w:p w:rsidR="007F1BA3" w:rsidRPr="005B4177" w:rsidRDefault="007F1BA3" w:rsidP="00402862">
            <w:pPr>
              <w:spacing w:after="0" w:line="240" w:lineRule="auto"/>
              <w:jc w:val="center"/>
              <w:rPr>
                <w:b/>
                <w:bCs/>
                <w:color w:val="000000"/>
                <w:lang w:eastAsia="sk-SK"/>
              </w:rPr>
            </w:pPr>
            <w:r w:rsidRPr="005B4177">
              <w:rPr>
                <w:b/>
                <w:bCs/>
                <w:color w:val="000000"/>
                <w:lang w:eastAsia="sk-SK"/>
              </w:rPr>
              <w:t>2005</w:t>
            </w:r>
          </w:p>
        </w:tc>
        <w:tc>
          <w:tcPr>
            <w:tcW w:w="621" w:type="pct"/>
            <w:tcBorders>
              <w:top w:val="single" w:sz="4" w:space="0" w:color="auto"/>
              <w:left w:val="nil"/>
              <w:bottom w:val="single" w:sz="4" w:space="0" w:color="auto"/>
              <w:right w:val="single" w:sz="4" w:space="0" w:color="auto"/>
            </w:tcBorders>
            <w:shd w:val="clear" w:color="auto" w:fill="C2D69B"/>
            <w:noWrap/>
            <w:vAlign w:val="center"/>
          </w:tcPr>
          <w:p w:rsidR="007F1BA3" w:rsidRPr="005B4177" w:rsidRDefault="007F1BA3" w:rsidP="00402862">
            <w:pPr>
              <w:spacing w:after="0" w:line="240" w:lineRule="auto"/>
              <w:jc w:val="center"/>
              <w:rPr>
                <w:b/>
                <w:bCs/>
                <w:color w:val="000000"/>
                <w:lang w:eastAsia="sk-SK"/>
              </w:rPr>
            </w:pPr>
            <w:r w:rsidRPr="005B4177">
              <w:rPr>
                <w:b/>
                <w:bCs/>
                <w:color w:val="000000"/>
                <w:lang w:eastAsia="sk-SK"/>
              </w:rPr>
              <w:t>2006</w:t>
            </w:r>
          </w:p>
        </w:tc>
        <w:tc>
          <w:tcPr>
            <w:tcW w:w="621" w:type="pct"/>
            <w:tcBorders>
              <w:top w:val="single" w:sz="4" w:space="0" w:color="auto"/>
              <w:left w:val="nil"/>
              <w:bottom w:val="single" w:sz="4" w:space="0" w:color="auto"/>
              <w:right w:val="single" w:sz="4" w:space="0" w:color="auto"/>
            </w:tcBorders>
            <w:shd w:val="clear" w:color="auto" w:fill="C2D69B"/>
            <w:noWrap/>
            <w:vAlign w:val="center"/>
          </w:tcPr>
          <w:p w:rsidR="007F1BA3" w:rsidRPr="005B4177" w:rsidRDefault="007F1BA3" w:rsidP="00402862">
            <w:pPr>
              <w:spacing w:after="0" w:line="240" w:lineRule="auto"/>
              <w:jc w:val="center"/>
              <w:rPr>
                <w:b/>
                <w:bCs/>
                <w:color w:val="000000"/>
                <w:lang w:eastAsia="sk-SK"/>
              </w:rPr>
            </w:pPr>
            <w:r w:rsidRPr="005B4177">
              <w:rPr>
                <w:b/>
                <w:bCs/>
                <w:color w:val="000000"/>
                <w:lang w:eastAsia="sk-SK"/>
              </w:rPr>
              <w:t>2007</w:t>
            </w:r>
          </w:p>
        </w:tc>
        <w:tc>
          <w:tcPr>
            <w:tcW w:w="621" w:type="pct"/>
            <w:tcBorders>
              <w:top w:val="single" w:sz="4" w:space="0" w:color="auto"/>
              <w:left w:val="nil"/>
              <w:bottom w:val="single" w:sz="4" w:space="0" w:color="auto"/>
              <w:right w:val="single" w:sz="4" w:space="0" w:color="auto"/>
            </w:tcBorders>
            <w:shd w:val="clear" w:color="auto" w:fill="C2D69B"/>
            <w:noWrap/>
            <w:vAlign w:val="center"/>
          </w:tcPr>
          <w:p w:rsidR="007F1BA3" w:rsidRPr="005B4177" w:rsidRDefault="007F1BA3" w:rsidP="00402862">
            <w:pPr>
              <w:spacing w:after="0" w:line="240" w:lineRule="auto"/>
              <w:jc w:val="center"/>
              <w:rPr>
                <w:b/>
                <w:bCs/>
                <w:color w:val="000000"/>
                <w:lang w:eastAsia="sk-SK"/>
              </w:rPr>
            </w:pPr>
            <w:r w:rsidRPr="005B4177">
              <w:rPr>
                <w:b/>
                <w:bCs/>
                <w:color w:val="000000"/>
                <w:lang w:eastAsia="sk-SK"/>
              </w:rPr>
              <w:t>2008</w:t>
            </w:r>
          </w:p>
        </w:tc>
        <w:tc>
          <w:tcPr>
            <w:tcW w:w="621" w:type="pct"/>
            <w:tcBorders>
              <w:top w:val="single" w:sz="4" w:space="0" w:color="auto"/>
              <w:left w:val="nil"/>
              <w:bottom w:val="single" w:sz="4" w:space="0" w:color="auto"/>
              <w:right w:val="single" w:sz="4" w:space="0" w:color="auto"/>
            </w:tcBorders>
            <w:shd w:val="clear" w:color="auto" w:fill="C2D69B"/>
            <w:noWrap/>
            <w:vAlign w:val="center"/>
          </w:tcPr>
          <w:p w:rsidR="007F1BA3" w:rsidRPr="005B4177" w:rsidRDefault="007F1BA3" w:rsidP="00402862">
            <w:pPr>
              <w:spacing w:after="0" w:line="240" w:lineRule="auto"/>
              <w:jc w:val="center"/>
              <w:rPr>
                <w:b/>
                <w:bCs/>
                <w:color w:val="000000"/>
                <w:lang w:eastAsia="sk-SK"/>
              </w:rPr>
            </w:pPr>
            <w:r w:rsidRPr="005B4177">
              <w:rPr>
                <w:b/>
                <w:bCs/>
                <w:color w:val="000000"/>
                <w:lang w:eastAsia="sk-SK"/>
              </w:rPr>
              <w:t>2009</w:t>
            </w:r>
          </w:p>
        </w:tc>
        <w:tc>
          <w:tcPr>
            <w:tcW w:w="621" w:type="pct"/>
            <w:tcBorders>
              <w:top w:val="single" w:sz="4" w:space="0" w:color="auto"/>
              <w:left w:val="nil"/>
              <w:bottom w:val="single" w:sz="4" w:space="0" w:color="auto"/>
              <w:right w:val="single" w:sz="4" w:space="0" w:color="auto"/>
            </w:tcBorders>
            <w:shd w:val="clear" w:color="auto" w:fill="C2D69B"/>
            <w:noWrap/>
            <w:vAlign w:val="center"/>
          </w:tcPr>
          <w:p w:rsidR="007F1BA3" w:rsidRPr="005B4177" w:rsidRDefault="007F1BA3" w:rsidP="00402862">
            <w:pPr>
              <w:spacing w:after="0" w:line="240" w:lineRule="auto"/>
              <w:jc w:val="center"/>
              <w:rPr>
                <w:b/>
                <w:bCs/>
                <w:color w:val="000000"/>
                <w:lang w:eastAsia="sk-SK"/>
              </w:rPr>
            </w:pPr>
            <w:r w:rsidRPr="005B4177">
              <w:rPr>
                <w:b/>
                <w:bCs/>
                <w:color w:val="000000"/>
                <w:lang w:eastAsia="sk-SK"/>
              </w:rPr>
              <w:t>2010</w:t>
            </w:r>
          </w:p>
        </w:tc>
        <w:tc>
          <w:tcPr>
            <w:tcW w:w="621" w:type="pct"/>
            <w:tcBorders>
              <w:top w:val="single" w:sz="4" w:space="0" w:color="auto"/>
              <w:left w:val="nil"/>
              <w:bottom w:val="single" w:sz="4" w:space="0" w:color="auto"/>
              <w:right w:val="single" w:sz="4" w:space="0" w:color="auto"/>
            </w:tcBorders>
            <w:shd w:val="clear" w:color="auto" w:fill="C2D69B"/>
            <w:noWrap/>
            <w:vAlign w:val="center"/>
          </w:tcPr>
          <w:p w:rsidR="007F1BA3" w:rsidRPr="005B4177" w:rsidRDefault="007F1BA3" w:rsidP="00402862">
            <w:pPr>
              <w:spacing w:after="0" w:line="240" w:lineRule="auto"/>
              <w:jc w:val="center"/>
              <w:rPr>
                <w:b/>
                <w:bCs/>
                <w:color w:val="000000"/>
                <w:lang w:eastAsia="sk-SK"/>
              </w:rPr>
            </w:pPr>
            <w:r w:rsidRPr="005B4177">
              <w:rPr>
                <w:b/>
                <w:bCs/>
                <w:color w:val="000000"/>
                <w:lang w:eastAsia="sk-SK"/>
              </w:rPr>
              <w:t>2011</w:t>
            </w:r>
          </w:p>
        </w:tc>
      </w:tr>
      <w:tr w:rsidR="007F1BA3" w:rsidRPr="005B4177" w:rsidTr="00402862">
        <w:trPr>
          <w:trHeight w:val="20"/>
        </w:trPr>
        <w:tc>
          <w:tcPr>
            <w:tcW w:w="653" w:type="pct"/>
            <w:tcBorders>
              <w:top w:val="nil"/>
              <w:left w:val="single" w:sz="4" w:space="0" w:color="auto"/>
              <w:bottom w:val="single" w:sz="4" w:space="0" w:color="auto"/>
              <w:right w:val="single" w:sz="4" w:space="0" w:color="auto"/>
            </w:tcBorders>
            <w:noWrap/>
            <w:vAlign w:val="bottom"/>
          </w:tcPr>
          <w:p w:rsidR="007F1BA3" w:rsidRPr="005B4177" w:rsidRDefault="007F1BA3" w:rsidP="00402862">
            <w:pPr>
              <w:spacing w:after="0" w:line="240" w:lineRule="auto"/>
              <w:rPr>
                <w:color w:val="000000"/>
                <w:lang w:eastAsia="sk-SK"/>
              </w:rPr>
            </w:pPr>
            <w:r w:rsidRPr="005B4177">
              <w:rPr>
                <w:color w:val="000000"/>
                <w:lang w:eastAsia="sk-SK"/>
              </w:rPr>
              <w:t>kg/obyv.</w:t>
            </w:r>
          </w:p>
        </w:tc>
        <w:tc>
          <w:tcPr>
            <w:tcW w:w="621" w:type="pct"/>
            <w:tcBorders>
              <w:top w:val="nil"/>
              <w:left w:val="nil"/>
              <w:bottom w:val="single" w:sz="4" w:space="0" w:color="auto"/>
              <w:right w:val="single" w:sz="4" w:space="0" w:color="auto"/>
            </w:tcBorders>
            <w:noWrap/>
            <w:vAlign w:val="bottom"/>
          </w:tcPr>
          <w:p w:rsidR="007F1BA3" w:rsidRPr="005B4177" w:rsidRDefault="007F1BA3" w:rsidP="00402862">
            <w:pPr>
              <w:spacing w:after="0" w:line="240" w:lineRule="auto"/>
              <w:jc w:val="right"/>
              <w:rPr>
                <w:color w:val="000000"/>
                <w:lang w:eastAsia="sk-SK"/>
              </w:rPr>
            </w:pPr>
            <w:r w:rsidRPr="005B4177">
              <w:rPr>
                <w:color w:val="000000"/>
                <w:lang w:eastAsia="sk-SK"/>
              </w:rPr>
              <w:t>289,25</w:t>
            </w:r>
          </w:p>
        </w:tc>
        <w:tc>
          <w:tcPr>
            <w:tcW w:w="621" w:type="pct"/>
            <w:tcBorders>
              <w:top w:val="nil"/>
              <w:left w:val="nil"/>
              <w:bottom w:val="single" w:sz="4" w:space="0" w:color="auto"/>
              <w:right w:val="single" w:sz="4" w:space="0" w:color="auto"/>
            </w:tcBorders>
            <w:noWrap/>
            <w:vAlign w:val="bottom"/>
          </w:tcPr>
          <w:p w:rsidR="007F1BA3" w:rsidRPr="005B4177" w:rsidRDefault="007F1BA3" w:rsidP="00402862">
            <w:pPr>
              <w:spacing w:after="0" w:line="240" w:lineRule="auto"/>
              <w:jc w:val="right"/>
              <w:rPr>
                <w:color w:val="000000"/>
                <w:lang w:eastAsia="sk-SK"/>
              </w:rPr>
            </w:pPr>
            <w:r w:rsidRPr="005B4177">
              <w:rPr>
                <w:color w:val="000000"/>
                <w:lang w:eastAsia="sk-SK"/>
              </w:rPr>
              <w:t>301,10</w:t>
            </w:r>
          </w:p>
        </w:tc>
        <w:tc>
          <w:tcPr>
            <w:tcW w:w="621" w:type="pct"/>
            <w:tcBorders>
              <w:top w:val="nil"/>
              <w:left w:val="nil"/>
              <w:bottom w:val="single" w:sz="4" w:space="0" w:color="auto"/>
              <w:right w:val="single" w:sz="4" w:space="0" w:color="auto"/>
            </w:tcBorders>
            <w:noWrap/>
            <w:vAlign w:val="bottom"/>
          </w:tcPr>
          <w:p w:rsidR="007F1BA3" w:rsidRPr="005B4177" w:rsidRDefault="007F1BA3" w:rsidP="00402862">
            <w:pPr>
              <w:spacing w:after="0" w:line="240" w:lineRule="auto"/>
              <w:jc w:val="right"/>
              <w:rPr>
                <w:color w:val="000000"/>
                <w:lang w:eastAsia="sk-SK"/>
              </w:rPr>
            </w:pPr>
            <w:r w:rsidRPr="005B4177">
              <w:rPr>
                <w:color w:val="000000"/>
                <w:lang w:eastAsia="sk-SK"/>
              </w:rPr>
              <w:t>309,14</w:t>
            </w:r>
          </w:p>
        </w:tc>
        <w:tc>
          <w:tcPr>
            <w:tcW w:w="621" w:type="pct"/>
            <w:tcBorders>
              <w:top w:val="nil"/>
              <w:left w:val="nil"/>
              <w:bottom w:val="single" w:sz="4" w:space="0" w:color="auto"/>
              <w:right w:val="single" w:sz="4" w:space="0" w:color="auto"/>
            </w:tcBorders>
            <w:noWrap/>
            <w:vAlign w:val="bottom"/>
          </w:tcPr>
          <w:p w:rsidR="007F1BA3" w:rsidRPr="005B4177" w:rsidRDefault="007F1BA3" w:rsidP="00402862">
            <w:pPr>
              <w:spacing w:after="0" w:line="240" w:lineRule="auto"/>
              <w:jc w:val="right"/>
              <w:rPr>
                <w:color w:val="000000"/>
                <w:lang w:eastAsia="sk-SK"/>
              </w:rPr>
            </w:pPr>
            <w:r w:rsidRPr="005B4177">
              <w:rPr>
                <w:color w:val="000000"/>
                <w:lang w:eastAsia="sk-SK"/>
              </w:rPr>
              <w:t>327,80</w:t>
            </w:r>
          </w:p>
        </w:tc>
        <w:tc>
          <w:tcPr>
            <w:tcW w:w="621" w:type="pct"/>
            <w:tcBorders>
              <w:top w:val="nil"/>
              <w:left w:val="nil"/>
              <w:bottom w:val="single" w:sz="4" w:space="0" w:color="auto"/>
              <w:right w:val="single" w:sz="4" w:space="0" w:color="auto"/>
            </w:tcBorders>
            <w:noWrap/>
            <w:vAlign w:val="bottom"/>
          </w:tcPr>
          <w:p w:rsidR="007F1BA3" w:rsidRPr="005B4177" w:rsidRDefault="007F1BA3" w:rsidP="00402862">
            <w:pPr>
              <w:spacing w:after="0" w:line="240" w:lineRule="auto"/>
              <w:jc w:val="right"/>
              <w:rPr>
                <w:color w:val="000000"/>
                <w:lang w:eastAsia="sk-SK"/>
              </w:rPr>
            </w:pPr>
            <w:r w:rsidRPr="005B4177">
              <w:rPr>
                <w:color w:val="000000"/>
                <w:lang w:eastAsia="sk-SK"/>
              </w:rPr>
              <w:t>322,14</w:t>
            </w:r>
          </w:p>
        </w:tc>
        <w:tc>
          <w:tcPr>
            <w:tcW w:w="621" w:type="pct"/>
            <w:tcBorders>
              <w:top w:val="nil"/>
              <w:left w:val="nil"/>
              <w:bottom w:val="single" w:sz="4" w:space="0" w:color="auto"/>
              <w:right w:val="single" w:sz="4" w:space="0" w:color="auto"/>
            </w:tcBorders>
            <w:noWrap/>
            <w:vAlign w:val="bottom"/>
          </w:tcPr>
          <w:p w:rsidR="007F1BA3" w:rsidRPr="005B4177" w:rsidRDefault="007F1BA3" w:rsidP="00402862">
            <w:pPr>
              <w:spacing w:after="0" w:line="240" w:lineRule="auto"/>
              <w:jc w:val="right"/>
              <w:rPr>
                <w:color w:val="000000"/>
                <w:lang w:eastAsia="sk-SK"/>
              </w:rPr>
            </w:pPr>
            <w:r w:rsidRPr="005B4177">
              <w:rPr>
                <w:color w:val="000000"/>
                <w:lang w:eastAsia="sk-SK"/>
              </w:rPr>
              <w:t>333,00</w:t>
            </w:r>
          </w:p>
        </w:tc>
        <w:tc>
          <w:tcPr>
            <w:tcW w:w="621" w:type="pct"/>
            <w:tcBorders>
              <w:top w:val="nil"/>
              <w:left w:val="nil"/>
              <w:bottom w:val="single" w:sz="4" w:space="0" w:color="auto"/>
              <w:right w:val="single" w:sz="4" w:space="0" w:color="auto"/>
            </w:tcBorders>
            <w:noWrap/>
            <w:vAlign w:val="bottom"/>
          </w:tcPr>
          <w:p w:rsidR="007F1BA3" w:rsidRPr="005B4177" w:rsidRDefault="007F1BA3" w:rsidP="00402862">
            <w:pPr>
              <w:spacing w:after="0" w:line="240" w:lineRule="auto"/>
              <w:jc w:val="right"/>
              <w:rPr>
                <w:color w:val="000000"/>
                <w:lang w:eastAsia="sk-SK"/>
              </w:rPr>
            </w:pPr>
            <w:r w:rsidRPr="005B4177">
              <w:rPr>
                <w:color w:val="000000"/>
                <w:lang w:eastAsia="sk-SK"/>
              </w:rPr>
              <w:t>327,39</w:t>
            </w:r>
          </w:p>
        </w:tc>
      </w:tr>
    </w:tbl>
    <w:p w:rsidR="007F1BA3" w:rsidRDefault="007F1BA3" w:rsidP="00C74F67">
      <w:pPr>
        <w:rPr>
          <w:bCs/>
        </w:rPr>
      </w:pPr>
      <w:r w:rsidRPr="00046FB8">
        <w:rPr>
          <w:bCs/>
        </w:rPr>
        <w:t>Zdroj: ŠÚ SR</w:t>
      </w:r>
    </w:p>
    <w:p w:rsidR="007F1BA3" w:rsidRDefault="007F1BA3" w:rsidP="00C74F67">
      <w:pPr>
        <w:spacing w:after="0" w:line="240" w:lineRule="auto"/>
      </w:pPr>
    </w:p>
    <w:p w:rsidR="007F1BA3" w:rsidRDefault="007F1BA3" w:rsidP="00C74F67">
      <w:pPr>
        <w:spacing w:after="0" w:line="240" w:lineRule="auto"/>
        <w:jc w:val="both"/>
      </w:pPr>
    </w:p>
    <w:p w:rsidR="007F1BA3" w:rsidRPr="00BB0184" w:rsidRDefault="007F1BA3" w:rsidP="00C74F67">
      <w:pPr>
        <w:pStyle w:val="Popis"/>
        <w:rPr>
          <w:rFonts w:ascii="Calibri" w:hAnsi="Calibri"/>
          <w:bCs w:val="0"/>
          <w:color w:val="auto"/>
          <w:sz w:val="22"/>
          <w:szCs w:val="22"/>
        </w:rPr>
      </w:pPr>
      <w:r w:rsidRPr="00BB0184">
        <w:rPr>
          <w:rFonts w:ascii="Calibri" w:hAnsi="Calibri"/>
          <w:color w:val="auto"/>
          <w:sz w:val="22"/>
          <w:szCs w:val="22"/>
        </w:rPr>
        <w:t xml:space="preserve">Tabuľka </w:t>
      </w:r>
      <w:r w:rsidR="00E01F0B" w:rsidRPr="00BB0184">
        <w:rPr>
          <w:rFonts w:ascii="Calibri" w:hAnsi="Calibri"/>
          <w:color w:val="auto"/>
          <w:sz w:val="22"/>
          <w:szCs w:val="22"/>
        </w:rPr>
        <w:fldChar w:fldCharType="begin"/>
      </w:r>
      <w:r w:rsidRPr="00BB0184">
        <w:rPr>
          <w:rFonts w:ascii="Calibri" w:hAnsi="Calibri"/>
          <w:color w:val="auto"/>
          <w:sz w:val="22"/>
          <w:szCs w:val="22"/>
        </w:rPr>
        <w:instrText xml:space="preserve"> SEQ Tabuľka \* ARABIC </w:instrText>
      </w:r>
      <w:r w:rsidR="00E01F0B" w:rsidRPr="00BB0184">
        <w:rPr>
          <w:rFonts w:ascii="Calibri" w:hAnsi="Calibri"/>
          <w:color w:val="auto"/>
          <w:sz w:val="22"/>
          <w:szCs w:val="22"/>
        </w:rPr>
        <w:fldChar w:fldCharType="separate"/>
      </w:r>
      <w:r w:rsidR="001872A2">
        <w:rPr>
          <w:rFonts w:ascii="Calibri" w:hAnsi="Calibri"/>
          <w:noProof/>
          <w:color w:val="auto"/>
          <w:sz w:val="22"/>
          <w:szCs w:val="22"/>
        </w:rPr>
        <w:t>5</w:t>
      </w:r>
      <w:r w:rsidR="00E01F0B" w:rsidRPr="00BB0184">
        <w:rPr>
          <w:rFonts w:ascii="Calibri" w:hAnsi="Calibri"/>
          <w:color w:val="auto"/>
          <w:sz w:val="22"/>
          <w:szCs w:val="22"/>
        </w:rPr>
        <w:fldChar w:fldCharType="end"/>
      </w:r>
      <w:r>
        <w:rPr>
          <w:rFonts w:ascii="Calibri" w:hAnsi="Calibri"/>
          <w:color w:val="auto"/>
          <w:sz w:val="22"/>
          <w:szCs w:val="22"/>
        </w:rPr>
        <w:t>:</w:t>
      </w:r>
      <w:r w:rsidRPr="00BB0184">
        <w:rPr>
          <w:rFonts w:ascii="Calibri" w:hAnsi="Calibri"/>
          <w:color w:val="auto"/>
          <w:sz w:val="22"/>
          <w:szCs w:val="22"/>
        </w:rPr>
        <w:t xml:space="preserve"> Podiel zmesového komunálneho odpadu (20 03 01) a objemného odpadu (20 03 07) v komunálnych odpado</w:t>
      </w:r>
      <w:r>
        <w:rPr>
          <w:rFonts w:ascii="Calibri" w:hAnsi="Calibri"/>
          <w:color w:val="auto"/>
          <w:sz w:val="22"/>
          <w:szCs w:val="22"/>
        </w:rPr>
        <w:t>ch</w:t>
      </w:r>
    </w:p>
    <w:tbl>
      <w:tblPr>
        <w:tblW w:w="9369" w:type="dxa"/>
        <w:tblInd w:w="57" w:type="dxa"/>
        <w:tblCellMar>
          <w:left w:w="70" w:type="dxa"/>
          <w:right w:w="70" w:type="dxa"/>
        </w:tblCellMar>
        <w:tblLook w:val="00A0"/>
      </w:tblPr>
      <w:tblGrid>
        <w:gridCol w:w="1006"/>
        <w:gridCol w:w="2126"/>
        <w:gridCol w:w="1559"/>
        <w:gridCol w:w="1559"/>
        <w:gridCol w:w="1418"/>
        <w:gridCol w:w="1701"/>
      </w:tblGrid>
      <w:tr w:rsidR="007F1BA3" w:rsidRPr="006066FB" w:rsidTr="00402862">
        <w:trPr>
          <w:trHeight w:val="270"/>
        </w:trPr>
        <w:tc>
          <w:tcPr>
            <w:tcW w:w="1006" w:type="dxa"/>
            <w:tcBorders>
              <w:top w:val="single" w:sz="4" w:space="0" w:color="auto"/>
              <w:left w:val="single" w:sz="4" w:space="0" w:color="auto"/>
              <w:bottom w:val="single" w:sz="4" w:space="0" w:color="auto"/>
              <w:right w:val="single" w:sz="4" w:space="0" w:color="auto"/>
            </w:tcBorders>
            <w:shd w:val="clear" w:color="auto" w:fill="C2D69B"/>
            <w:noWrap/>
            <w:vAlign w:val="bottom"/>
          </w:tcPr>
          <w:p w:rsidR="007F1BA3" w:rsidRPr="006066FB" w:rsidRDefault="007F1BA3" w:rsidP="00402862">
            <w:pPr>
              <w:spacing w:after="0"/>
              <w:jc w:val="center"/>
              <w:rPr>
                <w:b/>
                <w:color w:val="000000"/>
                <w:lang w:eastAsia="zh-TW"/>
              </w:rPr>
            </w:pPr>
            <w:r w:rsidRPr="006066FB">
              <w:rPr>
                <w:b/>
                <w:color w:val="000000"/>
                <w:lang w:eastAsia="zh-TW"/>
              </w:rPr>
              <w:t>Rok</w:t>
            </w:r>
          </w:p>
        </w:tc>
        <w:tc>
          <w:tcPr>
            <w:tcW w:w="2126" w:type="dxa"/>
            <w:tcBorders>
              <w:top w:val="single" w:sz="4" w:space="0" w:color="auto"/>
              <w:left w:val="nil"/>
              <w:bottom w:val="single" w:sz="4" w:space="0" w:color="auto"/>
              <w:right w:val="single" w:sz="4" w:space="0" w:color="auto"/>
            </w:tcBorders>
            <w:shd w:val="clear" w:color="auto" w:fill="C2D69B"/>
            <w:noWrap/>
            <w:vAlign w:val="bottom"/>
          </w:tcPr>
          <w:p w:rsidR="007F1BA3" w:rsidRPr="006066FB" w:rsidRDefault="007F1BA3" w:rsidP="00402862">
            <w:pPr>
              <w:spacing w:after="0"/>
              <w:jc w:val="center"/>
              <w:rPr>
                <w:b/>
                <w:color w:val="000000"/>
                <w:lang w:eastAsia="zh-TW"/>
              </w:rPr>
            </w:pPr>
            <w:r w:rsidRPr="006066FB">
              <w:rPr>
                <w:b/>
                <w:color w:val="000000"/>
                <w:lang w:eastAsia="zh-TW"/>
              </w:rPr>
              <w:t>Komun</w:t>
            </w:r>
            <w:r w:rsidRPr="0045018E">
              <w:rPr>
                <w:b/>
                <w:color w:val="000000"/>
                <w:lang w:eastAsia="zh-TW"/>
              </w:rPr>
              <w:t>á</w:t>
            </w:r>
            <w:r w:rsidRPr="006066FB">
              <w:rPr>
                <w:b/>
                <w:color w:val="000000"/>
                <w:lang w:eastAsia="zh-TW"/>
              </w:rPr>
              <w:t>l</w:t>
            </w:r>
            <w:r w:rsidRPr="0045018E">
              <w:rPr>
                <w:b/>
                <w:color w:val="000000"/>
                <w:lang w:eastAsia="zh-TW"/>
              </w:rPr>
              <w:t>ne odpad</w:t>
            </w:r>
            <w:r>
              <w:rPr>
                <w:b/>
                <w:color w:val="000000"/>
                <w:lang w:eastAsia="zh-TW"/>
              </w:rPr>
              <w:t>y</w:t>
            </w:r>
          </w:p>
        </w:tc>
        <w:tc>
          <w:tcPr>
            <w:tcW w:w="1559" w:type="dxa"/>
            <w:tcBorders>
              <w:top w:val="single" w:sz="4" w:space="0" w:color="auto"/>
              <w:left w:val="nil"/>
              <w:bottom w:val="single" w:sz="4" w:space="0" w:color="auto"/>
              <w:right w:val="single" w:sz="4" w:space="0" w:color="auto"/>
            </w:tcBorders>
            <w:shd w:val="clear" w:color="auto" w:fill="C2D69B"/>
            <w:noWrap/>
            <w:vAlign w:val="bottom"/>
          </w:tcPr>
          <w:p w:rsidR="007F1BA3" w:rsidRPr="006066FB" w:rsidRDefault="007F1BA3" w:rsidP="00402862">
            <w:pPr>
              <w:spacing w:after="0"/>
              <w:jc w:val="center"/>
              <w:rPr>
                <w:b/>
                <w:color w:val="000000"/>
                <w:lang w:eastAsia="zh-TW"/>
              </w:rPr>
            </w:pPr>
            <w:r w:rsidRPr="006066FB">
              <w:rPr>
                <w:b/>
                <w:color w:val="000000"/>
                <w:lang w:eastAsia="zh-TW"/>
              </w:rPr>
              <w:t>200301</w:t>
            </w:r>
          </w:p>
        </w:tc>
        <w:tc>
          <w:tcPr>
            <w:tcW w:w="1559" w:type="dxa"/>
            <w:tcBorders>
              <w:top w:val="single" w:sz="4" w:space="0" w:color="auto"/>
              <w:left w:val="nil"/>
              <w:bottom w:val="single" w:sz="4" w:space="0" w:color="auto"/>
              <w:right w:val="single" w:sz="4" w:space="0" w:color="auto"/>
            </w:tcBorders>
            <w:shd w:val="clear" w:color="auto" w:fill="C2D69B"/>
            <w:noWrap/>
            <w:vAlign w:val="bottom"/>
          </w:tcPr>
          <w:p w:rsidR="007F1BA3" w:rsidRPr="006066FB" w:rsidRDefault="007F1BA3" w:rsidP="00402862">
            <w:pPr>
              <w:spacing w:after="0"/>
              <w:jc w:val="center"/>
              <w:rPr>
                <w:b/>
                <w:color w:val="000000"/>
                <w:lang w:eastAsia="zh-TW"/>
              </w:rPr>
            </w:pPr>
            <w:r w:rsidRPr="006066FB">
              <w:rPr>
                <w:b/>
                <w:color w:val="000000"/>
                <w:lang w:eastAsia="zh-TW"/>
              </w:rPr>
              <w:t>Podiel 200301</w:t>
            </w:r>
          </w:p>
        </w:tc>
        <w:tc>
          <w:tcPr>
            <w:tcW w:w="1418" w:type="dxa"/>
            <w:tcBorders>
              <w:top w:val="single" w:sz="4" w:space="0" w:color="auto"/>
              <w:left w:val="nil"/>
              <w:bottom w:val="single" w:sz="4" w:space="0" w:color="auto"/>
              <w:right w:val="single" w:sz="4" w:space="0" w:color="auto"/>
            </w:tcBorders>
            <w:shd w:val="clear" w:color="auto" w:fill="C2D69B"/>
            <w:noWrap/>
            <w:vAlign w:val="bottom"/>
          </w:tcPr>
          <w:p w:rsidR="007F1BA3" w:rsidRPr="006066FB" w:rsidRDefault="007F1BA3" w:rsidP="00402862">
            <w:pPr>
              <w:spacing w:after="0"/>
              <w:jc w:val="center"/>
              <w:rPr>
                <w:b/>
                <w:color w:val="000000"/>
                <w:lang w:eastAsia="zh-TW"/>
              </w:rPr>
            </w:pPr>
            <w:r w:rsidRPr="006066FB">
              <w:rPr>
                <w:b/>
                <w:color w:val="000000"/>
                <w:lang w:eastAsia="zh-TW"/>
              </w:rPr>
              <w:t>200307</w:t>
            </w:r>
          </w:p>
        </w:tc>
        <w:tc>
          <w:tcPr>
            <w:tcW w:w="1701" w:type="dxa"/>
            <w:tcBorders>
              <w:top w:val="single" w:sz="4" w:space="0" w:color="auto"/>
              <w:left w:val="nil"/>
              <w:bottom w:val="single" w:sz="4" w:space="0" w:color="auto"/>
              <w:right w:val="single" w:sz="4" w:space="0" w:color="auto"/>
            </w:tcBorders>
            <w:shd w:val="clear" w:color="auto" w:fill="C2D69B"/>
            <w:noWrap/>
            <w:vAlign w:val="bottom"/>
          </w:tcPr>
          <w:p w:rsidR="007F1BA3" w:rsidRPr="006066FB" w:rsidRDefault="007F1BA3" w:rsidP="00402862">
            <w:pPr>
              <w:spacing w:after="0"/>
              <w:jc w:val="center"/>
              <w:rPr>
                <w:b/>
                <w:color w:val="000000"/>
                <w:lang w:eastAsia="zh-TW"/>
              </w:rPr>
            </w:pPr>
            <w:r w:rsidRPr="006066FB">
              <w:rPr>
                <w:b/>
                <w:color w:val="000000"/>
                <w:lang w:eastAsia="zh-TW"/>
              </w:rPr>
              <w:t>Podiel 200307</w:t>
            </w:r>
          </w:p>
        </w:tc>
      </w:tr>
      <w:tr w:rsidR="007F1BA3" w:rsidRPr="006066FB" w:rsidTr="00402862">
        <w:trPr>
          <w:trHeight w:val="270"/>
        </w:trPr>
        <w:tc>
          <w:tcPr>
            <w:tcW w:w="1006" w:type="dxa"/>
            <w:tcBorders>
              <w:top w:val="nil"/>
              <w:left w:val="single" w:sz="4" w:space="0" w:color="auto"/>
              <w:bottom w:val="single" w:sz="4" w:space="0" w:color="auto"/>
              <w:right w:val="single" w:sz="4" w:space="0" w:color="auto"/>
            </w:tcBorders>
            <w:vAlign w:val="bottom"/>
          </w:tcPr>
          <w:p w:rsidR="007F1BA3" w:rsidRPr="006066FB" w:rsidRDefault="007F1BA3" w:rsidP="00402862">
            <w:pPr>
              <w:spacing w:after="0"/>
              <w:jc w:val="center"/>
              <w:rPr>
                <w:color w:val="000000"/>
                <w:lang w:eastAsia="zh-TW"/>
              </w:rPr>
            </w:pPr>
            <w:r w:rsidRPr="006066FB">
              <w:rPr>
                <w:color w:val="000000"/>
                <w:lang w:eastAsia="zh-TW"/>
              </w:rPr>
              <w:t>2005</w:t>
            </w:r>
          </w:p>
        </w:tc>
        <w:tc>
          <w:tcPr>
            <w:tcW w:w="2126" w:type="dxa"/>
            <w:tcBorders>
              <w:top w:val="nil"/>
              <w:left w:val="nil"/>
              <w:bottom w:val="single" w:sz="4" w:space="0" w:color="auto"/>
              <w:right w:val="single" w:sz="4" w:space="0" w:color="auto"/>
            </w:tcBorders>
            <w:vAlign w:val="bottom"/>
          </w:tcPr>
          <w:p w:rsidR="007F1BA3" w:rsidRPr="006066FB" w:rsidRDefault="007F1BA3" w:rsidP="00402862">
            <w:pPr>
              <w:spacing w:after="0"/>
              <w:jc w:val="right"/>
              <w:rPr>
                <w:color w:val="000000"/>
                <w:lang w:eastAsia="zh-TW"/>
              </w:rPr>
            </w:pPr>
            <w:r w:rsidRPr="006066FB">
              <w:rPr>
                <w:color w:val="000000"/>
                <w:lang w:eastAsia="zh-TW"/>
              </w:rPr>
              <w:t>1 558 262,94</w:t>
            </w:r>
          </w:p>
        </w:tc>
        <w:tc>
          <w:tcPr>
            <w:tcW w:w="1559" w:type="dxa"/>
            <w:tcBorders>
              <w:top w:val="nil"/>
              <w:left w:val="nil"/>
              <w:bottom w:val="single" w:sz="4" w:space="0" w:color="auto"/>
              <w:right w:val="single" w:sz="4" w:space="0" w:color="auto"/>
            </w:tcBorders>
            <w:vAlign w:val="bottom"/>
          </w:tcPr>
          <w:p w:rsidR="007F1BA3" w:rsidRPr="006066FB" w:rsidRDefault="007F1BA3" w:rsidP="00402862">
            <w:pPr>
              <w:spacing w:after="0"/>
              <w:jc w:val="right"/>
              <w:rPr>
                <w:color w:val="000000"/>
                <w:lang w:eastAsia="zh-TW"/>
              </w:rPr>
            </w:pPr>
            <w:r w:rsidRPr="006066FB">
              <w:rPr>
                <w:color w:val="000000"/>
                <w:lang w:eastAsia="zh-TW"/>
              </w:rPr>
              <w:t>1 114 584,81</w:t>
            </w:r>
          </w:p>
        </w:tc>
        <w:tc>
          <w:tcPr>
            <w:tcW w:w="1559" w:type="dxa"/>
            <w:tcBorders>
              <w:top w:val="nil"/>
              <w:left w:val="nil"/>
              <w:bottom w:val="single" w:sz="4" w:space="0" w:color="auto"/>
              <w:right w:val="single" w:sz="4" w:space="0" w:color="auto"/>
            </w:tcBorders>
            <w:noWrap/>
            <w:vAlign w:val="bottom"/>
          </w:tcPr>
          <w:p w:rsidR="007F1BA3" w:rsidRPr="006066FB" w:rsidRDefault="007F1BA3" w:rsidP="00402862">
            <w:pPr>
              <w:spacing w:after="0"/>
              <w:jc w:val="center"/>
              <w:rPr>
                <w:b/>
                <w:color w:val="000000"/>
                <w:lang w:eastAsia="zh-TW"/>
              </w:rPr>
            </w:pPr>
            <w:r w:rsidRPr="006066FB">
              <w:rPr>
                <w:b/>
                <w:color w:val="000000"/>
                <w:lang w:eastAsia="zh-TW"/>
              </w:rPr>
              <w:t>71,53%</w:t>
            </w:r>
          </w:p>
        </w:tc>
        <w:tc>
          <w:tcPr>
            <w:tcW w:w="1418" w:type="dxa"/>
            <w:tcBorders>
              <w:top w:val="nil"/>
              <w:left w:val="nil"/>
              <w:bottom w:val="single" w:sz="4" w:space="0" w:color="auto"/>
              <w:right w:val="single" w:sz="4" w:space="0" w:color="auto"/>
            </w:tcBorders>
            <w:vAlign w:val="bottom"/>
          </w:tcPr>
          <w:p w:rsidR="007F1BA3" w:rsidRPr="006066FB" w:rsidRDefault="007F1BA3" w:rsidP="00402862">
            <w:pPr>
              <w:spacing w:after="0"/>
              <w:jc w:val="right"/>
              <w:rPr>
                <w:color w:val="000000"/>
                <w:lang w:eastAsia="zh-TW"/>
              </w:rPr>
            </w:pPr>
            <w:r w:rsidRPr="006066FB">
              <w:rPr>
                <w:color w:val="000000"/>
                <w:lang w:eastAsia="zh-TW"/>
              </w:rPr>
              <w:t>224 295,75</w:t>
            </w:r>
          </w:p>
        </w:tc>
        <w:tc>
          <w:tcPr>
            <w:tcW w:w="1701" w:type="dxa"/>
            <w:tcBorders>
              <w:top w:val="nil"/>
              <w:left w:val="nil"/>
              <w:bottom w:val="single" w:sz="4" w:space="0" w:color="auto"/>
              <w:right w:val="single" w:sz="4" w:space="0" w:color="auto"/>
            </w:tcBorders>
            <w:noWrap/>
            <w:vAlign w:val="bottom"/>
          </w:tcPr>
          <w:p w:rsidR="007F1BA3" w:rsidRPr="006066FB" w:rsidRDefault="007F1BA3" w:rsidP="00402862">
            <w:pPr>
              <w:spacing w:after="0"/>
              <w:jc w:val="center"/>
              <w:rPr>
                <w:b/>
                <w:color w:val="000000"/>
                <w:lang w:eastAsia="zh-TW"/>
              </w:rPr>
            </w:pPr>
            <w:r w:rsidRPr="006066FB">
              <w:rPr>
                <w:b/>
                <w:color w:val="000000"/>
                <w:lang w:eastAsia="zh-TW"/>
              </w:rPr>
              <w:t>14,39%</w:t>
            </w:r>
          </w:p>
        </w:tc>
      </w:tr>
      <w:tr w:rsidR="007F1BA3" w:rsidRPr="006066FB" w:rsidTr="00402862">
        <w:trPr>
          <w:trHeight w:val="270"/>
        </w:trPr>
        <w:tc>
          <w:tcPr>
            <w:tcW w:w="1006" w:type="dxa"/>
            <w:tcBorders>
              <w:top w:val="nil"/>
              <w:left w:val="single" w:sz="4" w:space="0" w:color="auto"/>
              <w:bottom w:val="single" w:sz="4" w:space="0" w:color="auto"/>
              <w:right w:val="single" w:sz="4" w:space="0" w:color="auto"/>
            </w:tcBorders>
            <w:vAlign w:val="bottom"/>
          </w:tcPr>
          <w:p w:rsidR="007F1BA3" w:rsidRPr="006066FB" w:rsidRDefault="007F1BA3" w:rsidP="00402862">
            <w:pPr>
              <w:spacing w:after="0"/>
              <w:jc w:val="center"/>
              <w:rPr>
                <w:color w:val="000000"/>
                <w:lang w:eastAsia="zh-TW"/>
              </w:rPr>
            </w:pPr>
            <w:r w:rsidRPr="006066FB">
              <w:rPr>
                <w:color w:val="000000"/>
                <w:lang w:eastAsia="zh-TW"/>
              </w:rPr>
              <w:t>2006</w:t>
            </w:r>
          </w:p>
        </w:tc>
        <w:tc>
          <w:tcPr>
            <w:tcW w:w="2126" w:type="dxa"/>
            <w:tcBorders>
              <w:top w:val="nil"/>
              <w:left w:val="nil"/>
              <w:bottom w:val="single" w:sz="4" w:space="0" w:color="auto"/>
              <w:right w:val="single" w:sz="4" w:space="0" w:color="auto"/>
            </w:tcBorders>
            <w:vAlign w:val="bottom"/>
          </w:tcPr>
          <w:p w:rsidR="007F1BA3" w:rsidRPr="006066FB" w:rsidRDefault="007F1BA3" w:rsidP="00402862">
            <w:pPr>
              <w:spacing w:after="0"/>
              <w:jc w:val="right"/>
              <w:rPr>
                <w:color w:val="000000"/>
                <w:lang w:eastAsia="zh-TW"/>
              </w:rPr>
            </w:pPr>
            <w:r w:rsidRPr="006066FB">
              <w:rPr>
                <w:color w:val="000000"/>
                <w:lang w:eastAsia="zh-TW"/>
              </w:rPr>
              <w:t>1 623 306,48</w:t>
            </w:r>
          </w:p>
        </w:tc>
        <w:tc>
          <w:tcPr>
            <w:tcW w:w="1559" w:type="dxa"/>
            <w:tcBorders>
              <w:top w:val="nil"/>
              <w:left w:val="nil"/>
              <w:bottom w:val="single" w:sz="4" w:space="0" w:color="auto"/>
              <w:right w:val="single" w:sz="4" w:space="0" w:color="auto"/>
            </w:tcBorders>
            <w:vAlign w:val="bottom"/>
          </w:tcPr>
          <w:p w:rsidR="007F1BA3" w:rsidRPr="006066FB" w:rsidRDefault="007F1BA3" w:rsidP="00402862">
            <w:pPr>
              <w:spacing w:after="0"/>
              <w:jc w:val="right"/>
              <w:rPr>
                <w:color w:val="000000"/>
                <w:lang w:eastAsia="zh-TW"/>
              </w:rPr>
            </w:pPr>
            <w:r w:rsidRPr="006066FB">
              <w:rPr>
                <w:color w:val="000000"/>
                <w:lang w:eastAsia="zh-TW"/>
              </w:rPr>
              <w:t>1 144 806,13</w:t>
            </w:r>
          </w:p>
        </w:tc>
        <w:tc>
          <w:tcPr>
            <w:tcW w:w="1559" w:type="dxa"/>
            <w:tcBorders>
              <w:top w:val="nil"/>
              <w:left w:val="nil"/>
              <w:bottom w:val="single" w:sz="4" w:space="0" w:color="auto"/>
              <w:right w:val="single" w:sz="4" w:space="0" w:color="auto"/>
            </w:tcBorders>
            <w:noWrap/>
            <w:vAlign w:val="bottom"/>
          </w:tcPr>
          <w:p w:rsidR="007F1BA3" w:rsidRPr="006066FB" w:rsidRDefault="007F1BA3" w:rsidP="00402862">
            <w:pPr>
              <w:spacing w:after="0"/>
              <w:jc w:val="center"/>
              <w:rPr>
                <w:b/>
                <w:color w:val="000000"/>
                <w:lang w:eastAsia="zh-TW"/>
              </w:rPr>
            </w:pPr>
            <w:r w:rsidRPr="006066FB">
              <w:rPr>
                <w:b/>
                <w:color w:val="000000"/>
                <w:lang w:eastAsia="zh-TW"/>
              </w:rPr>
              <w:t>70,52%</w:t>
            </w:r>
          </w:p>
        </w:tc>
        <w:tc>
          <w:tcPr>
            <w:tcW w:w="1418" w:type="dxa"/>
            <w:tcBorders>
              <w:top w:val="nil"/>
              <w:left w:val="nil"/>
              <w:bottom w:val="single" w:sz="4" w:space="0" w:color="auto"/>
              <w:right w:val="single" w:sz="4" w:space="0" w:color="auto"/>
            </w:tcBorders>
            <w:vAlign w:val="bottom"/>
          </w:tcPr>
          <w:p w:rsidR="007F1BA3" w:rsidRPr="006066FB" w:rsidRDefault="007F1BA3" w:rsidP="00402862">
            <w:pPr>
              <w:spacing w:after="0"/>
              <w:jc w:val="right"/>
              <w:rPr>
                <w:color w:val="000000"/>
                <w:lang w:eastAsia="zh-TW"/>
              </w:rPr>
            </w:pPr>
            <w:r w:rsidRPr="006066FB">
              <w:rPr>
                <w:color w:val="000000"/>
                <w:lang w:eastAsia="zh-TW"/>
              </w:rPr>
              <w:t>248 689,98</w:t>
            </w:r>
          </w:p>
        </w:tc>
        <w:tc>
          <w:tcPr>
            <w:tcW w:w="1701" w:type="dxa"/>
            <w:tcBorders>
              <w:top w:val="nil"/>
              <w:left w:val="nil"/>
              <w:bottom w:val="single" w:sz="4" w:space="0" w:color="auto"/>
              <w:right w:val="single" w:sz="4" w:space="0" w:color="auto"/>
            </w:tcBorders>
            <w:noWrap/>
            <w:vAlign w:val="bottom"/>
          </w:tcPr>
          <w:p w:rsidR="007F1BA3" w:rsidRPr="006066FB" w:rsidRDefault="007F1BA3" w:rsidP="00402862">
            <w:pPr>
              <w:spacing w:after="0"/>
              <w:jc w:val="center"/>
              <w:rPr>
                <w:b/>
                <w:color w:val="000000"/>
                <w:lang w:eastAsia="zh-TW"/>
              </w:rPr>
            </w:pPr>
            <w:r w:rsidRPr="006066FB">
              <w:rPr>
                <w:b/>
                <w:color w:val="000000"/>
                <w:lang w:eastAsia="zh-TW"/>
              </w:rPr>
              <w:t>15,32%</w:t>
            </w:r>
          </w:p>
        </w:tc>
      </w:tr>
      <w:tr w:rsidR="007F1BA3" w:rsidRPr="006066FB" w:rsidTr="00402862">
        <w:trPr>
          <w:trHeight w:val="270"/>
        </w:trPr>
        <w:tc>
          <w:tcPr>
            <w:tcW w:w="1006" w:type="dxa"/>
            <w:tcBorders>
              <w:top w:val="nil"/>
              <w:left w:val="single" w:sz="4" w:space="0" w:color="auto"/>
              <w:bottom w:val="single" w:sz="4" w:space="0" w:color="auto"/>
              <w:right w:val="single" w:sz="4" w:space="0" w:color="auto"/>
            </w:tcBorders>
            <w:vAlign w:val="bottom"/>
          </w:tcPr>
          <w:p w:rsidR="007F1BA3" w:rsidRPr="006066FB" w:rsidRDefault="007F1BA3" w:rsidP="00402862">
            <w:pPr>
              <w:spacing w:after="0"/>
              <w:jc w:val="center"/>
              <w:rPr>
                <w:color w:val="000000"/>
                <w:lang w:eastAsia="zh-TW"/>
              </w:rPr>
            </w:pPr>
            <w:r w:rsidRPr="006066FB">
              <w:rPr>
                <w:color w:val="000000"/>
                <w:lang w:eastAsia="zh-TW"/>
              </w:rPr>
              <w:t>2007</w:t>
            </w:r>
          </w:p>
        </w:tc>
        <w:tc>
          <w:tcPr>
            <w:tcW w:w="2126" w:type="dxa"/>
            <w:tcBorders>
              <w:top w:val="nil"/>
              <w:left w:val="nil"/>
              <w:bottom w:val="single" w:sz="4" w:space="0" w:color="auto"/>
              <w:right w:val="single" w:sz="4" w:space="0" w:color="auto"/>
            </w:tcBorders>
            <w:vAlign w:val="bottom"/>
          </w:tcPr>
          <w:p w:rsidR="007F1BA3" w:rsidRPr="006066FB" w:rsidRDefault="007F1BA3" w:rsidP="00402862">
            <w:pPr>
              <w:spacing w:after="0"/>
              <w:jc w:val="right"/>
              <w:rPr>
                <w:color w:val="000000"/>
                <w:lang w:eastAsia="zh-TW"/>
              </w:rPr>
            </w:pPr>
            <w:r w:rsidRPr="006066FB">
              <w:rPr>
                <w:color w:val="000000"/>
                <w:lang w:eastAsia="zh-TW"/>
              </w:rPr>
              <w:t>1 668 648,31</w:t>
            </w:r>
          </w:p>
        </w:tc>
        <w:tc>
          <w:tcPr>
            <w:tcW w:w="1559" w:type="dxa"/>
            <w:tcBorders>
              <w:top w:val="nil"/>
              <w:left w:val="nil"/>
              <w:bottom w:val="single" w:sz="4" w:space="0" w:color="auto"/>
              <w:right w:val="single" w:sz="4" w:space="0" w:color="auto"/>
            </w:tcBorders>
            <w:vAlign w:val="bottom"/>
          </w:tcPr>
          <w:p w:rsidR="007F1BA3" w:rsidRPr="006066FB" w:rsidRDefault="007F1BA3" w:rsidP="00402862">
            <w:pPr>
              <w:spacing w:after="0"/>
              <w:jc w:val="right"/>
              <w:rPr>
                <w:color w:val="000000"/>
                <w:lang w:eastAsia="zh-TW"/>
              </w:rPr>
            </w:pPr>
            <w:r w:rsidRPr="006066FB">
              <w:rPr>
                <w:color w:val="000000"/>
                <w:lang w:eastAsia="zh-TW"/>
              </w:rPr>
              <w:t>1 165 163,46</w:t>
            </w:r>
          </w:p>
        </w:tc>
        <w:tc>
          <w:tcPr>
            <w:tcW w:w="1559" w:type="dxa"/>
            <w:tcBorders>
              <w:top w:val="nil"/>
              <w:left w:val="nil"/>
              <w:bottom w:val="single" w:sz="4" w:space="0" w:color="auto"/>
              <w:right w:val="single" w:sz="4" w:space="0" w:color="auto"/>
            </w:tcBorders>
            <w:noWrap/>
            <w:vAlign w:val="bottom"/>
          </w:tcPr>
          <w:p w:rsidR="007F1BA3" w:rsidRPr="006066FB" w:rsidRDefault="007F1BA3" w:rsidP="00402862">
            <w:pPr>
              <w:spacing w:after="0"/>
              <w:jc w:val="center"/>
              <w:rPr>
                <w:b/>
                <w:color w:val="000000"/>
                <w:lang w:eastAsia="zh-TW"/>
              </w:rPr>
            </w:pPr>
            <w:r w:rsidRPr="006066FB">
              <w:rPr>
                <w:b/>
                <w:color w:val="000000"/>
                <w:lang w:eastAsia="zh-TW"/>
              </w:rPr>
              <w:t>69,83%</w:t>
            </w:r>
          </w:p>
        </w:tc>
        <w:tc>
          <w:tcPr>
            <w:tcW w:w="1418" w:type="dxa"/>
            <w:tcBorders>
              <w:top w:val="nil"/>
              <w:left w:val="nil"/>
              <w:bottom w:val="single" w:sz="4" w:space="0" w:color="auto"/>
              <w:right w:val="single" w:sz="4" w:space="0" w:color="auto"/>
            </w:tcBorders>
            <w:vAlign w:val="bottom"/>
          </w:tcPr>
          <w:p w:rsidR="007F1BA3" w:rsidRPr="006066FB" w:rsidRDefault="007F1BA3" w:rsidP="00402862">
            <w:pPr>
              <w:spacing w:after="0"/>
              <w:jc w:val="right"/>
              <w:rPr>
                <w:color w:val="000000"/>
                <w:lang w:eastAsia="zh-TW"/>
              </w:rPr>
            </w:pPr>
            <w:r w:rsidRPr="006066FB">
              <w:rPr>
                <w:color w:val="000000"/>
                <w:lang w:eastAsia="zh-TW"/>
              </w:rPr>
              <w:t>252 906,55</w:t>
            </w:r>
          </w:p>
        </w:tc>
        <w:tc>
          <w:tcPr>
            <w:tcW w:w="1701" w:type="dxa"/>
            <w:tcBorders>
              <w:top w:val="nil"/>
              <w:left w:val="nil"/>
              <w:bottom w:val="single" w:sz="4" w:space="0" w:color="auto"/>
              <w:right w:val="single" w:sz="4" w:space="0" w:color="auto"/>
            </w:tcBorders>
            <w:noWrap/>
            <w:vAlign w:val="bottom"/>
          </w:tcPr>
          <w:p w:rsidR="007F1BA3" w:rsidRPr="006066FB" w:rsidRDefault="007F1BA3" w:rsidP="00402862">
            <w:pPr>
              <w:spacing w:after="0"/>
              <w:jc w:val="center"/>
              <w:rPr>
                <w:b/>
                <w:color w:val="000000"/>
                <w:lang w:eastAsia="zh-TW"/>
              </w:rPr>
            </w:pPr>
            <w:r w:rsidRPr="006066FB">
              <w:rPr>
                <w:b/>
                <w:color w:val="000000"/>
                <w:lang w:eastAsia="zh-TW"/>
              </w:rPr>
              <w:t>15,16%</w:t>
            </w:r>
          </w:p>
        </w:tc>
      </w:tr>
      <w:tr w:rsidR="007F1BA3" w:rsidRPr="006066FB" w:rsidTr="00402862">
        <w:trPr>
          <w:trHeight w:val="270"/>
        </w:trPr>
        <w:tc>
          <w:tcPr>
            <w:tcW w:w="1006" w:type="dxa"/>
            <w:tcBorders>
              <w:top w:val="nil"/>
              <w:left w:val="single" w:sz="4" w:space="0" w:color="auto"/>
              <w:bottom w:val="single" w:sz="4" w:space="0" w:color="auto"/>
              <w:right w:val="single" w:sz="4" w:space="0" w:color="auto"/>
            </w:tcBorders>
            <w:vAlign w:val="bottom"/>
          </w:tcPr>
          <w:p w:rsidR="007F1BA3" w:rsidRPr="006066FB" w:rsidRDefault="007F1BA3" w:rsidP="00402862">
            <w:pPr>
              <w:spacing w:after="0"/>
              <w:jc w:val="center"/>
              <w:rPr>
                <w:color w:val="000000"/>
                <w:lang w:eastAsia="zh-TW"/>
              </w:rPr>
            </w:pPr>
            <w:r w:rsidRPr="006066FB">
              <w:rPr>
                <w:color w:val="000000"/>
                <w:lang w:eastAsia="zh-TW"/>
              </w:rPr>
              <w:t>2008</w:t>
            </w:r>
          </w:p>
        </w:tc>
        <w:tc>
          <w:tcPr>
            <w:tcW w:w="2126" w:type="dxa"/>
            <w:tcBorders>
              <w:top w:val="nil"/>
              <w:left w:val="nil"/>
              <w:bottom w:val="single" w:sz="4" w:space="0" w:color="auto"/>
              <w:right w:val="single" w:sz="4" w:space="0" w:color="auto"/>
            </w:tcBorders>
            <w:vAlign w:val="bottom"/>
          </w:tcPr>
          <w:p w:rsidR="007F1BA3" w:rsidRPr="006066FB" w:rsidRDefault="007F1BA3" w:rsidP="00402862">
            <w:pPr>
              <w:spacing w:after="0"/>
              <w:jc w:val="right"/>
              <w:rPr>
                <w:color w:val="000000"/>
                <w:lang w:eastAsia="zh-TW"/>
              </w:rPr>
            </w:pPr>
            <w:r w:rsidRPr="006066FB">
              <w:rPr>
                <w:color w:val="000000"/>
                <w:lang w:eastAsia="zh-TW"/>
              </w:rPr>
              <w:t>1 772 425,62</w:t>
            </w:r>
          </w:p>
        </w:tc>
        <w:tc>
          <w:tcPr>
            <w:tcW w:w="1559" w:type="dxa"/>
            <w:tcBorders>
              <w:top w:val="nil"/>
              <w:left w:val="nil"/>
              <w:bottom w:val="single" w:sz="4" w:space="0" w:color="auto"/>
              <w:right w:val="single" w:sz="4" w:space="0" w:color="auto"/>
            </w:tcBorders>
            <w:vAlign w:val="bottom"/>
          </w:tcPr>
          <w:p w:rsidR="007F1BA3" w:rsidRPr="006066FB" w:rsidRDefault="007F1BA3" w:rsidP="00402862">
            <w:pPr>
              <w:spacing w:after="0"/>
              <w:jc w:val="right"/>
              <w:rPr>
                <w:color w:val="000000"/>
                <w:lang w:eastAsia="zh-TW"/>
              </w:rPr>
            </w:pPr>
            <w:r w:rsidRPr="006066FB">
              <w:rPr>
                <w:color w:val="000000"/>
                <w:lang w:eastAsia="zh-TW"/>
              </w:rPr>
              <w:t>1 218 040,03</w:t>
            </w:r>
          </w:p>
        </w:tc>
        <w:tc>
          <w:tcPr>
            <w:tcW w:w="1559" w:type="dxa"/>
            <w:tcBorders>
              <w:top w:val="nil"/>
              <w:left w:val="nil"/>
              <w:bottom w:val="single" w:sz="4" w:space="0" w:color="auto"/>
              <w:right w:val="single" w:sz="4" w:space="0" w:color="auto"/>
            </w:tcBorders>
            <w:noWrap/>
            <w:vAlign w:val="bottom"/>
          </w:tcPr>
          <w:p w:rsidR="007F1BA3" w:rsidRPr="006066FB" w:rsidRDefault="007F1BA3" w:rsidP="00402862">
            <w:pPr>
              <w:spacing w:after="0"/>
              <w:jc w:val="center"/>
              <w:rPr>
                <w:b/>
                <w:color w:val="000000"/>
                <w:lang w:eastAsia="zh-TW"/>
              </w:rPr>
            </w:pPr>
            <w:r w:rsidRPr="006066FB">
              <w:rPr>
                <w:b/>
                <w:color w:val="000000"/>
                <w:lang w:eastAsia="zh-TW"/>
              </w:rPr>
              <w:t>68,72%</w:t>
            </w:r>
          </w:p>
        </w:tc>
        <w:tc>
          <w:tcPr>
            <w:tcW w:w="1418" w:type="dxa"/>
            <w:tcBorders>
              <w:top w:val="nil"/>
              <w:left w:val="nil"/>
              <w:bottom w:val="single" w:sz="4" w:space="0" w:color="auto"/>
              <w:right w:val="single" w:sz="4" w:space="0" w:color="auto"/>
            </w:tcBorders>
            <w:vAlign w:val="bottom"/>
          </w:tcPr>
          <w:p w:rsidR="007F1BA3" w:rsidRPr="006066FB" w:rsidRDefault="007F1BA3" w:rsidP="00402862">
            <w:pPr>
              <w:spacing w:after="0"/>
              <w:jc w:val="right"/>
              <w:rPr>
                <w:color w:val="000000"/>
                <w:lang w:eastAsia="zh-TW"/>
              </w:rPr>
            </w:pPr>
            <w:r w:rsidRPr="006066FB">
              <w:rPr>
                <w:color w:val="000000"/>
                <w:lang w:eastAsia="zh-TW"/>
              </w:rPr>
              <w:t>281 953,49</w:t>
            </w:r>
          </w:p>
        </w:tc>
        <w:tc>
          <w:tcPr>
            <w:tcW w:w="1701" w:type="dxa"/>
            <w:tcBorders>
              <w:top w:val="nil"/>
              <w:left w:val="nil"/>
              <w:bottom w:val="single" w:sz="4" w:space="0" w:color="auto"/>
              <w:right w:val="single" w:sz="4" w:space="0" w:color="auto"/>
            </w:tcBorders>
            <w:noWrap/>
            <w:vAlign w:val="bottom"/>
          </w:tcPr>
          <w:p w:rsidR="007F1BA3" w:rsidRPr="006066FB" w:rsidRDefault="007F1BA3" w:rsidP="00402862">
            <w:pPr>
              <w:spacing w:after="0"/>
              <w:jc w:val="center"/>
              <w:rPr>
                <w:b/>
                <w:color w:val="000000"/>
                <w:lang w:eastAsia="zh-TW"/>
              </w:rPr>
            </w:pPr>
            <w:r w:rsidRPr="006066FB">
              <w:rPr>
                <w:b/>
                <w:color w:val="000000"/>
                <w:lang w:eastAsia="zh-TW"/>
              </w:rPr>
              <w:t>15,91%</w:t>
            </w:r>
          </w:p>
        </w:tc>
      </w:tr>
      <w:tr w:rsidR="007F1BA3" w:rsidRPr="006066FB" w:rsidTr="00402862">
        <w:trPr>
          <w:trHeight w:val="270"/>
        </w:trPr>
        <w:tc>
          <w:tcPr>
            <w:tcW w:w="1006" w:type="dxa"/>
            <w:tcBorders>
              <w:top w:val="nil"/>
              <w:left w:val="single" w:sz="4" w:space="0" w:color="auto"/>
              <w:bottom w:val="single" w:sz="4" w:space="0" w:color="auto"/>
              <w:right w:val="single" w:sz="4" w:space="0" w:color="auto"/>
            </w:tcBorders>
            <w:vAlign w:val="bottom"/>
          </w:tcPr>
          <w:p w:rsidR="007F1BA3" w:rsidRPr="006066FB" w:rsidRDefault="007F1BA3" w:rsidP="00402862">
            <w:pPr>
              <w:spacing w:after="0"/>
              <w:jc w:val="center"/>
              <w:rPr>
                <w:color w:val="000000"/>
                <w:lang w:eastAsia="zh-TW"/>
              </w:rPr>
            </w:pPr>
            <w:r w:rsidRPr="006066FB">
              <w:rPr>
                <w:color w:val="000000"/>
                <w:lang w:eastAsia="zh-TW"/>
              </w:rPr>
              <w:t>2009</w:t>
            </w:r>
          </w:p>
        </w:tc>
        <w:tc>
          <w:tcPr>
            <w:tcW w:w="2126" w:type="dxa"/>
            <w:tcBorders>
              <w:top w:val="nil"/>
              <w:left w:val="nil"/>
              <w:bottom w:val="single" w:sz="4" w:space="0" w:color="auto"/>
              <w:right w:val="single" w:sz="4" w:space="0" w:color="auto"/>
            </w:tcBorders>
            <w:vAlign w:val="bottom"/>
          </w:tcPr>
          <w:p w:rsidR="007F1BA3" w:rsidRPr="006066FB" w:rsidRDefault="007F1BA3" w:rsidP="00402862">
            <w:pPr>
              <w:spacing w:after="0"/>
              <w:jc w:val="right"/>
              <w:rPr>
                <w:color w:val="000000"/>
                <w:lang w:eastAsia="zh-TW"/>
              </w:rPr>
            </w:pPr>
            <w:r w:rsidRPr="006066FB">
              <w:rPr>
                <w:color w:val="000000"/>
                <w:lang w:eastAsia="zh-TW"/>
              </w:rPr>
              <w:t>1 745 494,06</w:t>
            </w:r>
          </w:p>
        </w:tc>
        <w:tc>
          <w:tcPr>
            <w:tcW w:w="1559" w:type="dxa"/>
            <w:tcBorders>
              <w:top w:val="nil"/>
              <w:left w:val="nil"/>
              <w:bottom w:val="single" w:sz="4" w:space="0" w:color="auto"/>
              <w:right w:val="single" w:sz="4" w:space="0" w:color="auto"/>
            </w:tcBorders>
            <w:vAlign w:val="bottom"/>
          </w:tcPr>
          <w:p w:rsidR="007F1BA3" w:rsidRPr="006066FB" w:rsidRDefault="007F1BA3" w:rsidP="00402862">
            <w:pPr>
              <w:spacing w:after="0"/>
              <w:jc w:val="right"/>
              <w:rPr>
                <w:color w:val="000000"/>
                <w:lang w:eastAsia="zh-TW"/>
              </w:rPr>
            </w:pPr>
            <w:r w:rsidRPr="006066FB">
              <w:rPr>
                <w:color w:val="000000"/>
                <w:lang w:eastAsia="zh-TW"/>
              </w:rPr>
              <w:t>1 212 725,20</w:t>
            </w:r>
          </w:p>
        </w:tc>
        <w:tc>
          <w:tcPr>
            <w:tcW w:w="1559" w:type="dxa"/>
            <w:tcBorders>
              <w:top w:val="nil"/>
              <w:left w:val="nil"/>
              <w:bottom w:val="single" w:sz="4" w:space="0" w:color="auto"/>
              <w:right w:val="single" w:sz="4" w:space="0" w:color="auto"/>
            </w:tcBorders>
            <w:noWrap/>
            <w:vAlign w:val="bottom"/>
          </w:tcPr>
          <w:p w:rsidR="007F1BA3" w:rsidRPr="006066FB" w:rsidRDefault="007F1BA3" w:rsidP="00402862">
            <w:pPr>
              <w:spacing w:after="0"/>
              <w:jc w:val="center"/>
              <w:rPr>
                <w:b/>
                <w:color w:val="000000"/>
                <w:lang w:eastAsia="zh-TW"/>
              </w:rPr>
            </w:pPr>
            <w:r w:rsidRPr="006066FB">
              <w:rPr>
                <w:b/>
                <w:color w:val="000000"/>
                <w:lang w:eastAsia="zh-TW"/>
              </w:rPr>
              <w:t>69,48%</w:t>
            </w:r>
          </w:p>
        </w:tc>
        <w:tc>
          <w:tcPr>
            <w:tcW w:w="1418" w:type="dxa"/>
            <w:tcBorders>
              <w:top w:val="nil"/>
              <w:left w:val="nil"/>
              <w:bottom w:val="single" w:sz="4" w:space="0" w:color="auto"/>
              <w:right w:val="single" w:sz="4" w:space="0" w:color="auto"/>
            </w:tcBorders>
            <w:vAlign w:val="bottom"/>
          </w:tcPr>
          <w:p w:rsidR="007F1BA3" w:rsidRPr="006066FB" w:rsidRDefault="007F1BA3" w:rsidP="00402862">
            <w:pPr>
              <w:spacing w:after="0"/>
              <w:jc w:val="right"/>
              <w:rPr>
                <w:color w:val="000000"/>
                <w:lang w:eastAsia="zh-TW"/>
              </w:rPr>
            </w:pPr>
            <w:r w:rsidRPr="006066FB">
              <w:rPr>
                <w:color w:val="000000"/>
                <w:lang w:eastAsia="zh-TW"/>
              </w:rPr>
              <w:t>279 168,90</w:t>
            </w:r>
          </w:p>
        </w:tc>
        <w:tc>
          <w:tcPr>
            <w:tcW w:w="1701" w:type="dxa"/>
            <w:tcBorders>
              <w:top w:val="nil"/>
              <w:left w:val="nil"/>
              <w:bottom w:val="single" w:sz="4" w:space="0" w:color="auto"/>
              <w:right w:val="single" w:sz="4" w:space="0" w:color="auto"/>
            </w:tcBorders>
            <w:noWrap/>
            <w:vAlign w:val="bottom"/>
          </w:tcPr>
          <w:p w:rsidR="007F1BA3" w:rsidRPr="006066FB" w:rsidRDefault="007F1BA3" w:rsidP="00402862">
            <w:pPr>
              <w:spacing w:after="0"/>
              <w:jc w:val="center"/>
              <w:rPr>
                <w:b/>
                <w:color w:val="000000"/>
                <w:lang w:eastAsia="zh-TW"/>
              </w:rPr>
            </w:pPr>
            <w:r w:rsidRPr="006066FB">
              <w:rPr>
                <w:b/>
                <w:color w:val="000000"/>
                <w:lang w:eastAsia="zh-TW"/>
              </w:rPr>
              <w:t>15,99%</w:t>
            </w:r>
          </w:p>
        </w:tc>
      </w:tr>
      <w:tr w:rsidR="007F1BA3" w:rsidRPr="006066FB" w:rsidTr="00402862">
        <w:trPr>
          <w:trHeight w:val="270"/>
        </w:trPr>
        <w:tc>
          <w:tcPr>
            <w:tcW w:w="1006" w:type="dxa"/>
            <w:tcBorders>
              <w:top w:val="nil"/>
              <w:left w:val="single" w:sz="4" w:space="0" w:color="auto"/>
              <w:bottom w:val="single" w:sz="4" w:space="0" w:color="auto"/>
              <w:right w:val="single" w:sz="4" w:space="0" w:color="auto"/>
            </w:tcBorders>
            <w:vAlign w:val="bottom"/>
          </w:tcPr>
          <w:p w:rsidR="007F1BA3" w:rsidRPr="006066FB" w:rsidRDefault="007F1BA3" w:rsidP="00402862">
            <w:pPr>
              <w:spacing w:after="0"/>
              <w:jc w:val="center"/>
              <w:rPr>
                <w:color w:val="000000"/>
                <w:lang w:eastAsia="zh-TW"/>
              </w:rPr>
            </w:pPr>
            <w:r w:rsidRPr="006066FB">
              <w:rPr>
                <w:color w:val="000000"/>
                <w:lang w:eastAsia="zh-TW"/>
              </w:rPr>
              <w:t>2010</w:t>
            </w:r>
          </w:p>
        </w:tc>
        <w:tc>
          <w:tcPr>
            <w:tcW w:w="2126" w:type="dxa"/>
            <w:tcBorders>
              <w:top w:val="nil"/>
              <w:left w:val="nil"/>
              <w:bottom w:val="single" w:sz="4" w:space="0" w:color="auto"/>
              <w:right w:val="single" w:sz="4" w:space="0" w:color="auto"/>
            </w:tcBorders>
            <w:vAlign w:val="bottom"/>
          </w:tcPr>
          <w:p w:rsidR="007F1BA3" w:rsidRPr="006066FB" w:rsidRDefault="007F1BA3" w:rsidP="00402862">
            <w:pPr>
              <w:spacing w:after="0"/>
              <w:jc w:val="right"/>
              <w:rPr>
                <w:color w:val="000000"/>
                <w:lang w:eastAsia="zh-TW"/>
              </w:rPr>
            </w:pPr>
            <w:r w:rsidRPr="006066FB">
              <w:rPr>
                <w:color w:val="000000"/>
                <w:lang w:eastAsia="zh-TW"/>
              </w:rPr>
              <w:t>1 808 506,05</w:t>
            </w:r>
          </w:p>
        </w:tc>
        <w:tc>
          <w:tcPr>
            <w:tcW w:w="1559" w:type="dxa"/>
            <w:tcBorders>
              <w:top w:val="nil"/>
              <w:left w:val="nil"/>
              <w:bottom w:val="single" w:sz="4" w:space="0" w:color="auto"/>
              <w:right w:val="single" w:sz="4" w:space="0" w:color="auto"/>
            </w:tcBorders>
            <w:vAlign w:val="bottom"/>
          </w:tcPr>
          <w:p w:rsidR="007F1BA3" w:rsidRPr="006066FB" w:rsidRDefault="007F1BA3" w:rsidP="00402862">
            <w:pPr>
              <w:spacing w:after="0"/>
              <w:jc w:val="right"/>
              <w:rPr>
                <w:color w:val="000000"/>
                <w:lang w:eastAsia="zh-TW"/>
              </w:rPr>
            </w:pPr>
            <w:r w:rsidRPr="006066FB">
              <w:rPr>
                <w:color w:val="000000"/>
                <w:lang w:eastAsia="zh-TW"/>
              </w:rPr>
              <w:t>1 209 368,54</w:t>
            </w:r>
          </w:p>
        </w:tc>
        <w:tc>
          <w:tcPr>
            <w:tcW w:w="1559" w:type="dxa"/>
            <w:tcBorders>
              <w:top w:val="nil"/>
              <w:left w:val="nil"/>
              <w:bottom w:val="single" w:sz="4" w:space="0" w:color="auto"/>
              <w:right w:val="single" w:sz="4" w:space="0" w:color="auto"/>
            </w:tcBorders>
            <w:noWrap/>
            <w:vAlign w:val="bottom"/>
          </w:tcPr>
          <w:p w:rsidR="007F1BA3" w:rsidRPr="006066FB" w:rsidRDefault="007F1BA3" w:rsidP="00402862">
            <w:pPr>
              <w:spacing w:after="0"/>
              <w:jc w:val="center"/>
              <w:rPr>
                <w:b/>
                <w:color w:val="000000"/>
                <w:lang w:eastAsia="zh-TW"/>
              </w:rPr>
            </w:pPr>
            <w:r w:rsidRPr="006066FB">
              <w:rPr>
                <w:b/>
                <w:color w:val="000000"/>
                <w:lang w:eastAsia="zh-TW"/>
              </w:rPr>
              <w:t>66,87%</w:t>
            </w:r>
          </w:p>
        </w:tc>
        <w:tc>
          <w:tcPr>
            <w:tcW w:w="1418" w:type="dxa"/>
            <w:tcBorders>
              <w:top w:val="nil"/>
              <w:left w:val="nil"/>
              <w:bottom w:val="single" w:sz="4" w:space="0" w:color="auto"/>
              <w:right w:val="single" w:sz="4" w:space="0" w:color="auto"/>
            </w:tcBorders>
            <w:vAlign w:val="bottom"/>
          </w:tcPr>
          <w:p w:rsidR="007F1BA3" w:rsidRPr="006066FB" w:rsidRDefault="007F1BA3" w:rsidP="00402862">
            <w:pPr>
              <w:spacing w:after="0"/>
              <w:jc w:val="right"/>
              <w:rPr>
                <w:color w:val="000000"/>
                <w:lang w:eastAsia="zh-TW"/>
              </w:rPr>
            </w:pPr>
            <w:r w:rsidRPr="006066FB">
              <w:rPr>
                <w:color w:val="000000"/>
                <w:lang w:eastAsia="zh-TW"/>
              </w:rPr>
              <w:t>299 005,33</w:t>
            </w:r>
          </w:p>
        </w:tc>
        <w:tc>
          <w:tcPr>
            <w:tcW w:w="1701" w:type="dxa"/>
            <w:tcBorders>
              <w:top w:val="nil"/>
              <w:left w:val="nil"/>
              <w:bottom w:val="single" w:sz="4" w:space="0" w:color="auto"/>
              <w:right w:val="single" w:sz="4" w:space="0" w:color="auto"/>
            </w:tcBorders>
            <w:noWrap/>
            <w:vAlign w:val="bottom"/>
          </w:tcPr>
          <w:p w:rsidR="007F1BA3" w:rsidRPr="006066FB" w:rsidRDefault="007F1BA3" w:rsidP="00402862">
            <w:pPr>
              <w:spacing w:after="0"/>
              <w:jc w:val="center"/>
              <w:rPr>
                <w:b/>
                <w:color w:val="000000"/>
                <w:lang w:eastAsia="zh-TW"/>
              </w:rPr>
            </w:pPr>
            <w:r w:rsidRPr="006066FB">
              <w:rPr>
                <w:b/>
                <w:color w:val="000000"/>
                <w:lang w:eastAsia="zh-TW"/>
              </w:rPr>
              <w:t>16,53%</w:t>
            </w:r>
          </w:p>
        </w:tc>
      </w:tr>
      <w:tr w:rsidR="007F1BA3" w:rsidRPr="006066FB" w:rsidTr="00402862">
        <w:trPr>
          <w:trHeight w:val="270"/>
        </w:trPr>
        <w:tc>
          <w:tcPr>
            <w:tcW w:w="1006" w:type="dxa"/>
            <w:tcBorders>
              <w:top w:val="nil"/>
              <w:left w:val="single" w:sz="4" w:space="0" w:color="auto"/>
              <w:bottom w:val="single" w:sz="4" w:space="0" w:color="auto"/>
              <w:right w:val="single" w:sz="4" w:space="0" w:color="auto"/>
            </w:tcBorders>
            <w:vAlign w:val="bottom"/>
          </w:tcPr>
          <w:p w:rsidR="007F1BA3" w:rsidRPr="006066FB" w:rsidRDefault="007F1BA3" w:rsidP="00402862">
            <w:pPr>
              <w:spacing w:after="0"/>
              <w:jc w:val="center"/>
              <w:rPr>
                <w:color w:val="000000"/>
                <w:lang w:eastAsia="zh-TW"/>
              </w:rPr>
            </w:pPr>
            <w:r w:rsidRPr="006066FB">
              <w:rPr>
                <w:color w:val="000000"/>
                <w:lang w:eastAsia="zh-TW"/>
              </w:rPr>
              <w:t>2011</w:t>
            </w:r>
          </w:p>
        </w:tc>
        <w:tc>
          <w:tcPr>
            <w:tcW w:w="2126" w:type="dxa"/>
            <w:tcBorders>
              <w:top w:val="nil"/>
              <w:left w:val="nil"/>
              <w:bottom w:val="single" w:sz="4" w:space="0" w:color="auto"/>
              <w:right w:val="single" w:sz="4" w:space="0" w:color="auto"/>
            </w:tcBorders>
            <w:vAlign w:val="bottom"/>
          </w:tcPr>
          <w:p w:rsidR="007F1BA3" w:rsidRPr="006066FB" w:rsidRDefault="007F1BA3" w:rsidP="00402862">
            <w:pPr>
              <w:spacing w:after="0"/>
              <w:jc w:val="right"/>
              <w:rPr>
                <w:color w:val="000000"/>
                <w:lang w:eastAsia="zh-TW"/>
              </w:rPr>
            </w:pPr>
            <w:r w:rsidRPr="006066FB">
              <w:rPr>
                <w:color w:val="000000"/>
                <w:lang w:eastAsia="zh-TW"/>
              </w:rPr>
              <w:t>1 766 990,48</w:t>
            </w:r>
          </w:p>
        </w:tc>
        <w:tc>
          <w:tcPr>
            <w:tcW w:w="1559" w:type="dxa"/>
            <w:tcBorders>
              <w:top w:val="nil"/>
              <w:left w:val="nil"/>
              <w:bottom w:val="single" w:sz="4" w:space="0" w:color="auto"/>
              <w:right w:val="single" w:sz="4" w:space="0" w:color="auto"/>
            </w:tcBorders>
            <w:vAlign w:val="bottom"/>
          </w:tcPr>
          <w:p w:rsidR="007F1BA3" w:rsidRPr="006066FB" w:rsidRDefault="007F1BA3" w:rsidP="00402862">
            <w:pPr>
              <w:spacing w:after="0"/>
              <w:jc w:val="right"/>
              <w:rPr>
                <w:color w:val="000000"/>
                <w:lang w:eastAsia="zh-TW"/>
              </w:rPr>
            </w:pPr>
            <w:r w:rsidRPr="006066FB">
              <w:rPr>
                <w:color w:val="000000"/>
                <w:lang w:eastAsia="zh-TW"/>
              </w:rPr>
              <w:t>1 199 691,69</w:t>
            </w:r>
          </w:p>
        </w:tc>
        <w:tc>
          <w:tcPr>
            <w:tcW w:w="1559" w:type="dxa"/>
            <w:tcBorders>
              <w:top w:val="nil"/>
              <w:left w:val="nil"/>
              <w:bottom w:val="single" w:sz="4" w:space="0" w:color="auto"/>
              <w:right w:val="single" w:sz="4" w:space="0" w:color="auto"/>
            </w:tcBorders>
            <w:noWrap/>
            <w:vAlign w:val="bottom"/>
          </w:tcPr>
          <w:p w:rsidR="007F1BA3" w:rsidRPr="006066FB" w:rsidRDefault="007F1BA3" w:rsidP="00402862">
            <w:pPr>
              <w:spacing w:after="0"/>
              <w:jc w:val="center"/>
              <w:rPr>
                <w:b/>
                <w:color w:val="000000"/>
                <w:lang w:eastAsia="zh-TW"/>
              </w:rPr>
            </w:pPr>
            <w:r w:rsidRPr="006066FB">
              <w:rPr>
                <w:b/>
                <w:color w:val="000000"/>
                <w:lang w:eastAsia="zh-TW"/>
              </w:rPr>
              <w:t>67,89%</w:t>
            </w:r>
          </w:p>
        </w:tc>
        <w:tc>
          <w:tcPr>
            <w:tcW w:w="1418" w:type="dxa"/>
            <w:tcBorders>
              <w:top w:val="nil"/>
              <w:left w:val="nil"/>
              <w:bottom w:val="single" w:sz="4" w:space="0" w:color="auto"/>
              <w:right w:val="single" w:sz="4" w:space="0" w:color="auto"/>
            </w:tcBorders>
            <w:vAlign w:val="bottom"/>
          </w:tcPr>
          <w:p w:rsidR="007F1BA3" w:rsidRPr="006066FB" w:rsidRDefault="007F1BA3" w:rsidP="00402862">
            <w:pPr>
              <w:spacing w:after="0"/>
              <w:jc w:val="right"/>
              <w:rPr>
                <w:color w:val="000000"/>
                <w:lang w:eastAsia="zh-TW"/>
              </w:rPr>
            </w:pPr>
            <w:r w:rsidRPr="006066FB">
              <w:rPr>
                <w:color w:val="000000"/>
                <w:lang w:eastAsia="zh-TW"/>
              </w:rPr>
              <w:t>282 817,06</w:t>
            </w:r>
          </w:p>
        </w:tc>
        <w:tc>
          <w:tcPr>
            <w:tcW w:w="1701" w:type="dxa"/>
            <w:tcBorders>
              <w:top w:val="nil"/>
              <w:left w:val="nil"/>
              <w:bottom w:val="single" w:sz="4" w:space="0" w:color="auto"/>
              <w:right w:val="single" w:sz="4" w:space="0" w:color="auto"/>
            </w:tcBorders>
            <w:noWrap/>
            <w:vAlign w:val="bottom"/>
          </w:tcPr>
          <w:p w:rsidR="007F1BA3" w:rsidRPr="006066FB" w:rsidRDefault="007F1BA3" w:rsidP="00402862">
            <w:pPr>
              <w:spacing w:after="0"/>
              <w:jc w:val="center"/>
              <w:rPr>
                <w:b/>
                <w:color w:val="000000"/>
                <w:lang w:eastAsia="zh-TW"/>
              </w:rPr>
            </w:pPr>
            <w:r w:rsidRPr="006066FB">
              <w:rPr>
                <w:b/>
                <w:color w:val="000000"/>
                <w:lang w:eastAsia="zh-TW"/>
              </w:rPr>
              <w:t>16,01%</w:t>
            </w:r>
          </w:p>
        </w:tc>
      </w:tr>
    </w:tbl>
    <w:p w:rsidR="007F1BA3" w:rsidRDefault="007F1BA3" w:rsidP="006E3FA7">
      <w:pPr>
        <w:rPr>
          <w:bCs/>
        </w:rPr>
      </w:pPr>
      <w:r w:rsidRPr="00046FB8">
        <w:rPr>
          <w:bCs/>
        </w:rPr>
        <w:t xml:space="preserve">Zdroj: </w:t>
      </w:r>
      <w:r>
        <w:rPr>
          <w:bCs/>
        </w:rPr>
        <w:t>SAŽP</w:t>
      </w:r>
    </w:p>
    <w:p w:rsidR="007F1BA3" w:rsidRPr="006E3FA7" w:rsidRDefault="007F1BA3" w:rsidP="006E3FA7">
      <w:pPr>
        <w:rPr>
          <w:bCs/>
        </w:rPr>
      </w:pPr>
    </w:p>
    <w:p w:rsidR="007F1BA3" w:rsidRPr="000C5CB0" w:rsidRDefault="007F1BA3" w:rsidP="00C74F67">
      <w:pPr>
        <w:jc w:val="both"/>
        <w:rPr>
          <w:b/>
          <w:lang w:eastAsia="sk-SK"/>
        </w:rPr>
      </w:pPr>
      <w:r w:rsidRPr="000C5CB0">
        <w:rPr>
          <w:b/>
          <w:lang w:eastAsia="sk-SK"/>
        </w:rPr>
        <w:t xml:space="preserve">Zloženie zmesového komunálneho odpadu </w:t>
      </w:r>
    </w:p>
    <w:p w:rsidR="00E01F0B" w:rsidRPr="002D2630" w:rsidRDefault="007F1BA3">
      <w:pPr>
        <w:jc w:val="both"/>
      </w:pPr>
      <w:r>
        <w:rPr>
          <w:lang w:eastAsia="sk-SK"/>
        </w:rPr>
        <w:t xml:space="preserve">Nezisková organizácia </w:t>
      </w:r>
      <w:r w:rsidRPr="00353EBE">
        <w:rPr>
          <w:lang w:eastAsia="sk-SK"/>
        </w:rPr>
        <w:t>Priatelia Zeme – SPZ vykonal</w:t>
      </w:r>
      <w:r>
        <w:rPr>
          <w:lang w:eastAsia="sk-SK"/>
        </w:rPr>
        <w:t>a</w:t>
      </w:r>
      <w:r w:rsidRPr="00353EBE">
        <w:rPr>
          <w:lang w:eastAsia="sk-SK"/>
        </w:rPr>
        <w:t xml:space="preserve"> v rokoch 2005 až 2011 analýzy zloženia zmesového </w:t>
      </w:r>
      <w:r>
        <w:rPr>
          <w:lang w:eastAsia="sk-SK"/>
        </w:rPr>
        <w:t xml:space="preserve">komunálneho odpadu </w:t>
      </w:r>
      <w:r w:rsidRPr="00353EBE">
        <w:rPr>
          <w:lang w:eastAsia="sk-SK"/>
        </w:rPr>
        <w:t xml:space="preserve">pre komplexnú bytovú výstavbu (ďalej len „KBV“) a individuálnu bytovú výstavbu (ďalej len „IBV“). </w:t>
      </w:r>
      <w:r w:rsidRPr="002D2630">
        <w:rPr>
          <w:lang w:eastAsia="sk-SK"/>
        </w:rPr>
        <w:t xml:space="preserve">Metodika výpočtu zloženia zmesového komunálneho odpadu je opísaná v Prílohe č. 2 k PPVO. </w:t>
      </w:r>
      <w:r w:rsidR="00F242B1" w:rsidRPr="002D2630">
        <w:rPr>
          <w:lang w:eastAsia="sk-SK"/>
        </w:rPr>
        <w:t>Technická univerzita v Košiciach, Hutnícka fakulta, Katedra neželezných kovov a spracovania odpadu v roku 2011 vypracovala</w:t>
      </w:r>
      <w:r w:rsidR="000908DE">
        <w:rPr>
          <w:lang w:eastAsia="sk-SK"/>
        </w:rPr>
        <w:t xml:space="preserve"> materiál</w:t>
      </w:r>
      <w:r w:rsidR="00F242B1" w:rsidRPr="002D2630">
        <w:rPr>
          <w:lang w:eastAsia="sk-SK"/>
        </w:rPr>
        <w:t xml:space="preserve"> </w:t>
      </w:r>
      <w:r w:rsidR="000908DE">
        <w:rPr>
          <w:lang w:eastAsia="sk-SK"/>
        </w:rPr>
        <w:t>„Analýza</w:t>
      </w:r>
      <w:r w:rsidR="00F242B1" w:rsidRPr="002D2630">
        <w:rPr>
          <w:lang w:eastAsia="sk-SK"/>
        </w:rPr>
        <w:t xml:space="preserve"> zloženia zmesového </w:t>
      </w:r>
      <w:r w:rsidR="00F242B1" w:rsidRPr="002D2630">
        <w:rPr>
          <w:lang w:eastAsia="sk-SK"/>
        </w:rPr>
        <w:lastRenderedPageBreak/>
        <w:t>komunálneho odpadu a metodika odberu vzoriek</w:t>
      </w:r>
      <w:r w:rsidR="000908DE">
        <w:rPr>
          <w:lang w:eastAsia="sk-SK"/>
        </w:rPr>
        <w:t>“</w:t>
      </w:r>
      <w:r w:rsidR="00F242B1" w:rsidRPr="002D2630">
        <w:rPr>
          <w:lang w:eastAsia="sk-SK"/>
        </w:rPr>
        <w:t xml:space="preserve">. Výsledky obidvoch analýz sú uvedené v tabuľkách 6 a 7.  </w:t>
      </w:r>
    </w:p>
    <w:p w:rsidR="007F1BA3" w:rsidRPr="00BB0184" w:rsidRDefault="007F1BA3" w:rsidP="00C74F67">
      <w:pPr>
        <w:pStyle w:val="Popis"/>
        <w:rPr>
          <w:rFonts w:ascii="Calibri" w:hAnsi="Calibri"/>
          <w:color w:val="auto"/>
          <w:sz w:val="22"/>
          <w:szCs w:val="22"/>
          <w:lang w:eastAsia="sk-SK"/>
        </w:rPr>
      </w:pPr>
      <w:r w:rsidRPr="00BB0184">
        <w:rPr>
          <w:rFonts w:ascii="Calibri" w:hAnsi="Calibri"/>
          <w:color w:val="auto"/>
          <w:sz w:val="22"/>
          <w:szCs w:val="22"/>
        </w:rPr>
        <w:t xml:space="preserve">Tabuľka </w:t>
      </w:r>
      <w:r w:rsidR="00E01F0B" w:rsidRPr="00BB0184">
        <w:rPr>
          <w:rFonts w:ascii="Calibri" w:hAnsi="Calibri"/>
          <w:color w:val="auto"/>
          <w:sz w:val="22"/>
          <w:szCs w:val="22"/>
        </w:rPr>
        <w:fldChar w:fldCharType="begin"/>
      </w:r>
      <w:r w:rsidRPr="00BB0184">
        <w:rPr>
          <w:rFonts w:ascii="Calibri" w:hAnsi="Calibri"/>
          <w:color w:val="auto"/>
          <w:sz w:val="22"/>
          <w:szCs w:val="22"/>
        </w:rPr>
        <w:instrText xml:space="preserve"> SEQ Tabuľka \* ARABIC </w:instrText>
      </w:r>
      <w:r w:rsidR="00E01F0B" w:rsidRPr="00BB0184">
        <w:rPr>
          <w:rFonts w:ascii="Calibri" w:hAnsi="Calibri"/>
          <w:color w:val="auto"/>
          <w:sz w:val="22"/>
          <w:szCs w:val="22"/>
        </w:rPr>
        <w:fldChar w:fldCharType="separate"/>
      </w:r>
      <w:r w:rsidR="001872A2">
        <w:rPr>
          <w:rFonts w:ascii="Calibri" w:hAnsi="Calibri"/>
          <w:noProof/>
          <w:color w:val="auto"/>
          <w:sz w:val="22"/>
          <w:szCs w:val="22"/>
        </w:rPr>
        <w:t>6</w:t>
      </w:r>
      <w:r w:rsidR="00E01F0B" w:rsidRPr="00BB0184">
        <w:rPr>
          <w:rFonts w:ascii="Calibri" w:hAnsi="Calibri"/>
          <w:color w:val="auto"/>
          <w:sz w:val="22"/>
          <w:szCs w:val="22"/>
        </w:rPr>
        <w:fldChar w:fldCharType="end"/>
      </w:r>
      <w:r>
        <w:rPr>
          <w:rFonts w:ascii="Calibri" w:hAnsi="Calibri"/>
          <w:color w:val="auto"/>
          <w:sz w:val="22"/>
          <w:szCs w:val="22"/>
          <w:lang w:eastAsia="sk-SK"/>
        </w:rPr>
        <w:t xml:space="preserve">: </w:t>
      </w:r>
      <w:r w:rsidRPr="00BB0184">
        <w:rPr>
          <w:rFonts w:ascii="Calibri" w:hAnsi="Calibri"/>
          <w:color w:val="auto"/>
          <w:sz w:val="22"/>
          <w:szCs w:val="22"/>
          <w:lang w:eastAsia="sk-SK"/>
        </w:rPr>
        <w:t xml:space="preserve">Priemerné hmotnostné zloženie zmesového komunálneho odpadu v zástavbe KBV </w:t>
      </w:r>
    </w:p>
    <w:tbl>
      <w:tblPr>
        <w:tblW w:w="9142" w:type="dxa"/>
        <w:jc w:val="center"/>
        <w:tblInd w:w="70"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CellMar>
          <w:left w:w="70" w:type="dxa"/>
          <w:right w:w="70" w:type="dxa"/>
        </w:tblCellMar>
        <w:tblLook w:val="0000"/>
      </w:tblPr>
      <w:tblGrid>
        <w:gridCol w:w="3420"/>
        <w:gridCol w:w="2852"/>
        <w:gridCol w:w="2870"/>
      </w:tblGrid>
      <w:tr w:rsidR="00185B54" w:rsidRPr="00353EBE" w:rsidTr="00185B54">
        <w:trPr>
          <w:trHeight w:val="317"/>
          <w:jc w:val="center"/>
        </w:trPr>
        <w:tc>
          <w:tcPr>
            <w:tcW w:w="3420" w:type="dxa"/>
            <w:shd w:val="clear" w:color="auto" w:fill="C2D69B"/>
            <w:noWrap/>
            <w:vAlign w:val="bottom"/>
          </w:tcPr>
          <w:p w:rsidR="00185B54" w:rsidRPr="00353EBE" w:rsidRDefault="00185B54" w:rsidP="00402862">
            <w:pPr>
              <w:spacing w:before="40" w:after="40"/>
              <w:rPr>
                <w:b/>
                <w:lang w:eastAsia="sk-SK"/>
              </w:rPr>
            </w:pPr>
            <w:r w:rsidRPr="00353EBE">
              <w:rPr>
                <w:b/>
                <w:lang w:eastAsia="sk-SK"/>
              </w:rPr>
              <w:t>Druh odpadu</w:t>
            </w:r>
          </w:p>
        </w:tc>
        <w:tc>
          <w:tcPr>
            <w:tcW w:w="2852" w:type="dxa"/>
            <w:shd w:val="clear" w:color="auto" w:fill="C2D69B"/>
            <w:vAlign w:val="bottom"/>
          </w:tcPr>
          <w:p w:rsidR="00185B54" w:rsidRPr="00353EBE" w:rsidRDefault="00185B54" w:rsidP="00402862">
            <w:pPr>
              <w:spacing w:before="40" w:after="40"/>
              <w:jc w:val="center"/>
              <w:rPr>
                <w:b/>
                <w:bCs/>
                <w:lang w:eastAsia="sk-SK"/>
              </w:rPr>
            </w:pPr>
            <w:r w:rsidRPr="00353EBE">
              <w:rPr>
                <w:b/>
                <w:bCs/>
                <w:lang w:eastAsia="sk-SK"/>
              </w:rPr>
              <w:t>Zastúpenie v KO (%)</w:t>
            </w:r>
            <w:r w:rsidR="001F69C1">
              <w:rPr>
                <w:b/>
                <w:bCs/>
                <w:lang w:eastAsia="sk-SK"/>
              </w:rPr>
              <w:t>, PZ - SPZ</w:t>
            </w:r>
          </w:p>
        </w:tc>
        <w:tc>
          <w:tcPr>
            <w:tcW w:w="2870" w:type="dxa"/>
            <w:shd w:val="clear" w:color="auto" w:fill="C2D69B"/>
          </w:tcPr>
          <w:p w:rsidR="00185B54" w:rsidRPr="00353EBE" w:rsidRDefault="001F69C1" w:rsidP="00402862">
            <w:pPr>
              <w:spacing w:before="40" w:after="40"/>
              <w:jc w:val="center"/>
              <w:rPr>
                <w:b/>
                <w:bCs/>
                <w:lang w:eastAsia="sk-SK"/>
              </w:rPr>
            </w:pPr>
            <w:r>
              <w:rPr>
                <w:b/>
                <w:bCs/>
                <w:lang w:eastAsia="sk-SK"/>
              </w:rPr>
              <w:t xml:space="preserve">Zastúpenie </w:t>
            </w:r>
            <w:r w:rsidR="004F0F56">
              <w:rPr>
                <w:b/>
                <w:bCs/>
                <w:lang w:eastAsia="sk-SK"/>
              </w:rPr>
              <w:t xml:space="preserve">v </w:t>
            </w:r>
            <w:r>
              <w:rPr>
                <w:b/>
                <w:bCs/>
                <w:lang w:eastAsia="sk-SK"/>
              </w:rPr>
              <w:t>KO (%), TU</w:t>
            </w:r>
            <w:r w:rsidR="00B66799">
              <w:rPr>
                <w:b/>
                <w:bCs/>
                <w:lang w:eastAsia="sk-SK"/>
              </w:rPr>
              <w:t xml:space="preserve"> Košice</w:t>
            </w:r>
          </w:p>
        </w:tc>
      </w:tr>
      <w:tr w:rsidR="00185B54" w:rsidRPr="00353EBE" w:rsidTr="00185B54">
        <w:trPr>
          <w:trHeight w:val="342"/>
          <w:jc w:val="center"/>
        </w:trPr>
        <w:tc>
          <w:tcPr>
            <w:tcW w:w="3420" w:type="dxa"/>
            <w:shd w:val="clear" w:color="auto" w:fill="EAF1DD"/>
            <w:noWrap/>
            <w:vAlign w:val="bottom"/>
          </w:tcPr>
          <w:p w:rsidR="00185B54" w:rsidRPr="00353EBE" w:rsidRDefault="00185B54" w:rsidP="00402862">
            <w:pPr>
              <w:spacing w:after="0"/>
              <w:rPr>
                <w:b/>
                <w:bCs/>
                <w:lang w:eastAsia="sk-SK"/>
              </w:rPr>
            </w:pPr>
            <w:r w:rsidRPr="00353EBE">
              <w:rPr>
                <w:b/>
                <w:bCs/>
                <w:lang w:eastAsia="sk-SK"/>
              </w:rPr>
              <w:t>Papier</w:t>
            </w:r>
          </w:p>
        </w:tc>
        <w:tc>
          <w:tcPr>
            <w:tcW w:w="2852" w:type="dxa"/>
            <w:noWrap/>
            <w:vAlign w:val="bottom"/>
          </w:tcPr>
          <w:p w:rsidR="00185B54" w:rsidRPr="00353EBE" w:rsidRDefault="00185B54" w:rsidP="00402862">
            <w:pPr>
              <w:spacing w:after="0"/>
              <w:jc w:val="center"/>
              <w:rPr>
                <w:lang w:eastAsia="sk-SK"/>
              </w:rPr>
            </w:pPr>
            <w:r w:rsidRPr="00353EBE">
              <w:rPr>
                <w:lang w:eastAsia="sk-SK"/>
              </w:rPr>
              <w:t>11,9</w:t>
            </w:r>
          </w:p>
        </w:tc>
        <w:tc>
          <w:tcPr>
            <w:tcW w:w="2870" w:type="dxa"/>
          </w:tcPr>
          <w:p w:rsidR="00185B54" w:rsidRPr="00353EBE" w:rsidRDefault="005716AA" w:rsidP="00402862">
            <w:pPr>
              <w:spacing w:after="0"/>
              <w:jc w:val="center"/>
              <w:rPr>
                <w:lang w:eastAsia="sk-SK"/>
              </w:rPr>
            </w:pPr>
            <w:r>
              <w:rPr>
                <w:lang w:eastAsia="sk-SK"/>
              </w:rPr>
              <w:t>16,45</w:t>
            </w:r>
          </w:p>
        </w:tc>
      </w:tr>
      <w:tr w:rsidR="00185B54" w:rsidRPr="00353EBE" w:rsidTr="00185B54">
        <w:trPr>
          <w:trHeight w:val="255"/>
          <w:jc w:val="center"/>
        </w:trPr>
        <w:tc>
          <w:tcPr>
            <w:tcW w:w="3420" w:type="dxa"/>
            <w:shd w:val="clear" w:color="auto" w:fill="EAF1DD"/>
            <w:noWrap/>
            <w:vAlign w:val="bottom"/>
          </w:tcPr>
          <w:p w:rsidR="00185B54" w:rsidRPr="00353EBE" w:rsidRDefault="00185B54" w:rsidP="00402862">
            <w:pPr>
              <w:spacing w:after="0"/>
              <w:rPr>
                <w:b/>
                <w:bCs/>
                <w:lang w:eastAsia="sk-SK"/>
              </w:rPr>
            </w:pPr>
            <w:r w:rsidRPr="00353EBE">
              <w:rPr>
                <w:b/>
                <w:bCs/>
                <w:lang w:eastAsia="sk-SK"/>
              </w:rPr>
              <w:t>Plasty</w:t>
            </w:r>
          </w:p>
        </w:tc>
        <w:tc>
          <w:tcPr>
            <w:tcW w:w="2852" w:type="dxa"/>
            <w:noWrap/>
            <w:vAlign w:val="bottom"/>
          </w:tcPr>
          <w:p w:rsidR="00185B54" w:rsidRPr="00353EBE" w:rsidRDefault="00185B54" w:rsidP="00402862">
            <w:pPr>
              <w:spacing w:after="0"/>
              <w:jc w:val="center"/>
              <w:rPr>
                <w:lang w:eastAsia="sk-SK"/>
              </w:rPr>
            </w:pPr>
            <w:r w:rsidRPr="00353EBE">
              <w:rPr>
                <w:lang w:eastAsia="sk-SK"/>
              </w:rPr>
              <w:t>12,7</w:t>
            </w:r>
          </w:p>
        </w:tc>
        <w:tc>
          <w:tcPr>
            <w:tcW w:w="2870" w:type="dxa"/>
          </w:tcPr>
          <w:p w:rsidR="00185B54" w:rsidRPr="00353EBE" w:rsidRDefault="005716AA" w:rsidP="00402862">
            <w:pPr>
              <w:spacing w:after="0"/>
              <w:jc w:val="center"/>
              <w:rPr>
                <w:lang w:eastAsia="sk-SK"/>
              </w:rPr>
            </w:pPr>
            <w:r>
              <w:rPr>
                <w:lang w:eastAsia="sk-SK"/>
              </w:rPr>
              <w:t>13,62</w:t>
            </w:r>
          </w:p>
        </w:tc>
      </w:tr>
      <w:tr w:rsidR="00185B54" w:rsidRPr="00353EBE" w:rsidTr="00185B54">
        <w:trPr>
          <w:trHeight w:val="255"/>
          <w:jc w:val="center"/>
        </w:trPr>
        <w:tc>
          <w:tcPr>
            <w:tcW w:w="3420" w:type="dxa"/>
            <w:shd w:val="clear" w:color="auto" w:fill="EAF1DD"/>
            <w:noWrap/>
            <w:vAlign w:val="bottom"/>
          </w:tcPr>
          <w:p w:rsidR="00185B54" w:rsidRPr="00353EBE" w:rsidRDefault="00185B54" w:rsidP="00402862">
            <w:pPr>
              <w:spacing w:after="0"/>
              <w:rPr>
                <w:b/>
                <w:bCs/>
                <w:lang w:eastAsia="sk-SK"/>
              </w:rPr>
            </w:pPr>
            <w:r w:rsidRPr="00353EBE">
              <w:rPr>
                <w:b/>
                <w:bCs/>
                <w:lang w:eastAsia="sk-SK"/>
              </w:rPr>
              <w:t>Sklo</w:t>
            </w:r>
          </w:p>
        </w:tc>
        <w:tc>
          <w:tcPr>
            <w:tcW w:w="2852" w:type="dxa"/>
            <w:noWrap/>
            <w:vAlign w:val="bottom"/>
          </w:tcPr>
          <w:p w:rsidR="00185B54" w:rsidRPr="00353EBE" w:rsidRDefault="00185B54" w:rsidP="00402862">
            <w:pPr>
              <w:spacing w:after="0"/>
              <w:jc w:val="center"/>
              <w:rPr>
                <w:lang w:eastAsia="sk-SK"/>
              </w:rPr>
            </w:pPr>
            <w:r w:rsidRPr="00353EBE">
              <w:rPr>
                <w:lang w:eastAsia="sk-SK"/>
              </w:rPr>
              <w:t>6,2</w:t>
            </w:r>
          </w:p>
        </w:tc>
        <w:tc>
          <w:tcPr>
            <w:tcW w:w="2870" w:type="dxa"/>
          </w:tcPr>
          <w:p w:rsidR="00185B54" w:rsidRPr="00353EBE" w:rsidRDefault="005716AA" w:rsidP="00402862">
            <w:pPr>
              <w:spacing w:after="0"/>
              <w:jc w:val="center"/>
              <w:rPr>
                <w:lang w:eastAsia="sk-SK"/>
              </w:rPr>
            </w:pPr>
            <w:r>
              <w:rPr>
                <w:lang w:eastAsia="sk-SK"/>
              </w:rPr>
              <w:t>4,6</w:t>
            </w:r>
          </w:p>
        </w:tc>
      </w:tr>
      <w:tr w:rsidR="00185B54" w:rsidRPr="00353EBE" w:rsidTr="00185B54">
        <w:trPr>
          <w:trHeight w:val="255"/>
          <w:jc w:val="center"/>
        </w:trPr>
        <w:tc>
          <w:tcPr>
            <w:tcW w:w="3420" w:type="dxa"/>
            <w:shd w:val="clear" w:color="auto" w:fill="EAF1DD"/>
            <w:noWrap/>
            <w:vAlign w:val="bottom"/>
          </w:tcPr>
          <w:p w:rsidR="00185B54" w:rsidRPr="00353EBE" w:rsidRDefault="00185B54" w:rsidP="00402862">
            <w:pPr>
              <w:spacing w:after="0"/>
              <w:rPr>
                <w:b/>
                <w:bCs/>
                <w:lang w:eastAsia="sk-SK"/>
              </w:rPr>
            </w:pPr>
            <w:r w:rsidRPr="00353EBE">
              <w:rPr>
                <w:b/>
                <w:bCs/>
                <w:lang w:eastAsia="sk-SK"/>
              </w:rPr>
              <w:t>Kovy</w:t>
            </w:r>
          </w:p>
        </w:tc>
        <w:tc>
          <w:tcPr>
            <w:tcW w:w="2852" w:type="dxa"/>
            <w:noWrap/>
            <w:vAlign w:val="bottom"/>
          </w:tcPr>
          <w:p w:rsidR="00185B54" w:rsidRPr="00353EBE" w:rsidRDefault="00185B54" w:rsidP="00402862">
            <w:pPr>
              <w:spacing w:after="0"/>
              <w:jc w:val="center"/>
              <w:rPr>
                <w:lang w:eastAsia="sk-SK"/>
              </w:rPr>
            </w:pPr>
            <w:r w:rsidRPr="00353EBE">
              <w:rPr>
                <w:lang w:eastAsia="sk-SK"/>
              </w:rPr>
              <w:t>2,7</w:t>
            </w:r>
          </w:p>
        </w:tc>
        <w:tc>
          <w:tcPr>
            <w:tcW w:w="2870" w:type="dxa"/>
          </w:tcPr>
          <w:p w:rsidR="00185B54" w:rsidRPr="00353EBE" w:rsidRDefault="005716AA" w:rsidP="00402862">
            <w:pPr>
              <w:spacing w:after="0"/>
              <w:jc w:val="center"/>
              <w:rPr>
                <w:lang w:eastAsia="sk-SK"/>
              </w:rPr>
            </w:pPr>
            <w:r>
              <w:rPr>
                <w:lang w:eastAsia="sk-SK"/>
              </w:rPr>
              <w:t>2,31</w:t>
            </w:r>
          </w:p>
        </w:tc>
      </w:tr>
      <w:tr w:rsidR="00185B54" w:rsidRPr="00353EBE" w:rsidTr="00185B54">
        <w:trPr>
          <w:trHeight w:val="255"/>
          <w:jc w:val="center"/>
        </w:trPr>
        <w:tc>
          <w:tcPr>
            <w:tcW w:w="3420" w:type="dxa"/>
            <w:shd w:val="clear" w:color="auto" w:fill="EAF1DD"/>
            <w:noWrap/>
            <w:vAlign w:val="bottom"/>
          </w:tcPr>
          <w:p w:rsidR="00185B54" w:rsidRPr="00353EBE" w:rsidRDefault="00185B54" w:rsidP="00402862">
            <w:pPr>
              <w:spacing w:after="0"/>
              <w:rPr>
                <w:b/>
                <w:bCs/>
                <w:lang w:eastAsia="sk-SK"/>
              </w:rPr>
            </w:pPr>
            <w:r w:rsidRPr="00353EBE">
              <w:rPr>
                <w:b/>
                <w:bCs/>
                <w:lang w:eastAsia="sk-SK"/>
              </w:rPr>
              <w:t>VKM</w:t>
            </w:r>
          </w:p>
        </w:tc>
        <w:tc>
          <w:tcPr>
            <w:tcW w:w="2852" w:type="dxa"/>
            <w:noWrap/>
            <w:vAlign w:val="bottom"/>
          </w:tcPr>
          <w:p w:rsidR="00185B54" w:rsidRPr="00353EBE" w:rsidRDefault="00185B54" w:rsidP="00402862">
            <w:pPr>
              <w:spacing w:after="0"/>
              <w:jc w:val="center"/>
              <w:rPr>
                <w:lang w:eastAsia="sk-SK"/>
              </w:rPr>
            </w:pPr>
            <w:r w:rsidRPr="00353EBE">
              <w:rPr>
                <w:lang w:eastAsia="sk-SK"/>
              </w:rPr>
              <w:t>1,6</w:t>
            </w:r>
          </w:p>
        </w:tc>
        <w:tc>
          <w:tcPr>
            <w:tcW w:w="2870" w:type="dxa"/>
          </w:tcPr>
          <w:p w:rsidR="00185B54" w:rsidRPr="00353EBE" w:rsidRDefault="005716AA" w:rsidP="00402862">
            <w:pPr>
              <w:spacing w:after="0"/>
              <w:jc w:val="center"/>
              <w:rPr>
                <w:lang w:eastAsia="sk-SK"/>
              </w:rPr>
            </w:pPr>
            <w:r>
              <w:rPr>
                <w:lang w:eastAsia="sk-SK"/>
              </w:rPr>
              <w:t>1,11</w:t>
            </w:r>
          </w:p>
        </w:tc>
      </w:tr>
      <w:tr w:rsidR="00185B54" w:rsidRPr="00353EBE" w:rsidTr="00185B54">
        <w:trPr>
          <w:trHeight w:val="255"/>
          <w:jc w:val="center"/>
        </w:trPr>
        <w:tc>
          <w:tcPr>
            <w:tcW w:w="3420" w:type="dxa"/>
            <w:shd w:val="clear" w:color="auto" w:fill="EAF1DD"/>
            <w:noWrap/>
            <w:vAlign w:val="bottom"/>
          </w:tcPr>
          <w:p w:rsidR="00185B54" w:rsidRPr="00353EBE" w:rsidRDefault="00185B54" w:rsidP="00402862">
            <w:pPr>
              <w:spacing w:after="0"/>
              <w:rPr>
                <w:b/>
                <w:bCs/>
                <w:lang w:eastAsia="sk-SK"/>
              </w:rPr>
            </w:pPr>
            <w:r w:rsidRPr="00353EBE">
              <w:rPr>
                <w:b/>
                <w:bCs/>
                <w:lang w:eastAsia="sk-SK"/>
              </w:rPr>
              <w:t>BRKO</w:t>
            </w:r>
          </w:p>
        </w:tc>
        <w:tc>
          <w:tcPr>
            <w:tcW w:w="2852" w:type="dxa"/>
            <w:noWrap/>
            <w:vAlign w:val="bottom"/>
          </w:tcPr>
          <w:p w:rsidR="00185B54" w:rsidRPr="00353EBE" w:rsidRDefault="00185B54" w:rsidP="00402862">
            <w:pPr>
              <w:spacing w:after="0"/>
              <w:jc w:val="center"/>
              <w:rPr>
                <w:lang w:eastAsia="sk-SK"/>
              </w:rPr>
            </w:pPr>
            <w:r w:rsidRPr="00353EBE">
              <w:rPr>
                <w:lang w:eastAsia="sk-SK"/>
              </w:rPr>
              <w:t>45,2</w:t>
            </w:r>
          </w:p>
        </w:tc>
        <w:tc>
          <w:tcPr>
            <w:tcW w:w="2870" w:type="dxa"/>
          </w:tcPr>
          <w:p w:rsidR="00185B54" w:rsidRPr="00353EBE" w:rsidRDefault="005716AA" w:rsidP="00402862">
            <w:pPr>
              <w:spacing w:after="0"/>
              <w:jc w:val="center"/>
              <w:rPr>
                <w:lang w:eastAsia="sk-SK"/>
              </w:rPr>
            </w:pPr>
            <w:r>
              <w:rPr>
                <w:lang w:eastAsia="sk-SK"/>
              </w:rPr>
              <w:t>47,29</w:t>
            </w:r>
          </w:p>
        </w:tc>
      </w:tr>
      <w:tr w:rsidR="00185B54" w:rsidRPr="00353EBE" w:rsidTr="00185B54">
        <w:trPr>
          <w:trHeight w:val="255"/>
          <w:jc w:val="center"/>
        </w:trPr>
        <w:tc>
          <w:tcPr>
            <w:tcW w:w="3420" w:type="dxa"/>
            <w:shd w:val="clear" w:color="auto" w:fill="EAF1DD"/>
            <w:noWrap/>
            <w:vAlign w:val="bottom"/>
          </w:tcPr>
          <w:p w:rsidR="00185B54" w:rsidRPr="00353EBE" w:rsidRDefault="00185B54" w:rsidP="00402862">
            <w:pPr>
              <w:spacing w:after="0"/>
              <w:rPr>
                <w:b/>
                <w:bCs/>
                <w:lang w:eastAsia="sk-SK"/>
              </w:rPr>
            </w:pPr>
            <w:r w:rsidRPr="00353EBE">
              <w:rPr>
                <w:b/>
                <w:bCs/>
                <w:lang w:eastAsia="sk-SK"/>
              </w:rPr>
              <w:t>DSO</w:t>
            </w:r>
          </w:p>
        </w:tc>
        <w:tc>
          <w:tcPr>
            <w:tcW w:w="2852" w:type="dxa"/>
            <w:noWrap/>
            <w:vAlign w:val="bottom"/>
          </w:tcPr>
          <w:p w:rsidR="00185B54" w:rsidRPr="00353EBE" w:rsidRDefault="00185B54" w:rsidP="00402862">
            <w:pPr>
              <w:spacing w:after="0"/>
              <w:jc w:val="center"/>
              <w:rPr>
                <w:lang w:eastAsia="sk-SK"/>
              </w:rPr>
            </w:pPr>
            <w:r w:rsidRPr="00353EBE">
              <w:rPr>
                <w:lang w:eastAsia="sk-SK"/>
              </w:rPr>
              <w:t>3,8</w:t>
            </w:r>
          </w:p>
        </w:tc>
        <w:tc>
          <w:tcPr>
            <w:tcW w:w="2870" w:type="dxa"/>
          </w:tcPr>
          <w:p w:rsidR="00185B54" w:rsidRPr="00353EBE" w:rsidRDefault="00185B54" w:rsidP="00402862">
            <w:pPr>
              <w:spacing w:after="0"/>
              <w:jc w:val="center"/>
              <w:rPr>
                <w:lang w:eastAsia="sk-SK"/>
              </w:rPr>
            </w:pPr>
          </w:p>
        </w:tc>
      </w:tr>
      <w:tr w:rsidR="00185B54" w:rsidRPr="00353EBE" w:rsidTr="00185B54">
        <w:trPr>
          <w:trHeight w:val="255"/>
          <w:jc w:val="center"/>
        </w:trPr>
        <w:tc>
          <w:tcPr>
            <w:tcW w:w="3420" w:type="dxa"/>
            <w:shd w:val="clear" w:color="auto" w:fill="EAF1DD"/>
            <w:noWrap/>
            <w:vAlign w:val="bottom"/>
          </w:tcPr>
          <w:p w:rsidR="00185B54" w:rsidRPr="00353EBE" w:rsidRDefault="00185B54" w:rsidP="00402862">
            <w:pPr>
              <w:spacing w:after="0"/>
              <w:rPr>
                <w:b/>
                <w:bCs/>
                <w:lang w:eastAsia="sk-SK"/>
              </w:rPr>
            </w:pPr>
            <w:r w:rsidRPr="00353EBE">
              <w:rPr>
                <w:b/>
                <w:bCs/>
                <w:lang w:eastAsia="sk-SK"/>
              </w:rPr>
              <w:t>Zmesový odpad</w:t>
            </w:r>
          </w:p>
        </w:tc>
        <w:tc>
          <w:tcPr>
            <w:tcW w:w="2852" w:type="dxa"/>
            <w:noWrap/>
            <w:vAlign w:val="bottom"/>
          </w:tcPr>
          <w:p w:rsidR="00185B54" w:rsidRPr="00353EBE" w:rsidRDefault="00185B54" w:rsidP="00402862">
            <w:pPr>
              <w:spacing w:after="0"/>
              <w:jc w:val="center"/>
              <w:rPr>
                <w:lang w:eastAsia="sk-SK"/>
              </w:rPr>
            </w:pPr>
            <w:r w:rsidRPr="00353EBE">
              <w:rPr>
                <w:lang w:eastAsia="sk-SK"/>
              </w:rPr>
              <w:t>11,6</w:t>
            </w:r>
          </w:p>
        </w:tc>
        <w:tc>
          <w:tcPr>
            <w:tcW w:w="2870" w:type="dxa"/>
          </w:tcPr>
          <w:p w:rsidR="00185B54" w:rsidRPr="00353EBE" w:rsidRDefault="00185B54" w:rsidP="00402862">
            <w:pPr>
              <w:spacing w:after="0"/>
              <w:jc w:val="center"/>
              <w:rPr>
                <w:lang w:eastAsia="sk-SK"/>
              </w:rPr>
            </w:pPr>
          </w:p>
        </w:tc>
      </w:tr>
      <w:tr w:rsidR="00185B54" w:rsidRPr="00353EBE" w:rsidTr="00185B54">
        <w:trPr>
          <w:trHeight w:val="255"/>
          <w:jc w:val="center"/>
        </w:trPr>
        <w:tc>
          <w:tcPr>
            <w:tcW w:w="3420" w:type="dxa"/>
            <w:shd w:val="clear" w:color="auto" w:fill="EAF1DD"/>
            <w:noWrap/>
            <w:vAlign w:val="bottom"/>
          </w:tcPr>
          <w:p w:rsidR="00185B54" w:rsidRPr="00353EBE" w:rsidRDefault="00185B54" w:rsidP="00402862">
            <w:pPr>
              <w:spacing w:after="0"/>
              <w:rPr>
                <w:b/>
                <w:bCs/>
                <w:lang w:eastAsia="sk-SK"/>
              </w:rPr>
            </w:pPr>
            <w:r w:rsidRPr="00353EBE">
              <w:rPr>
                <w:b/>
                <w:bCs/>
                <w:lang w:eastAsia="sk-SK"/>
              </w:rPr>
              <w:t>NO</w:t>
            </w:r>
          </w:p>
        </w:tc>
        <w:tc>
          <w:tcPr>
            <w:tcW w:w="2852" w:type="dxa"/>
            <w:noWrap/>
            <w:vAlign w:val="bottom"/>
          </w:tcPr>
          <w:p w:rsidR="00185B54" w:rsidRPr="00353EBE" w:rsidRDefault="00185B54" w:rsidP="00402862">
            <w:pPr>
              <w:spacing w:after="0"/>
              <w:jc w:val="center"/>
              <w:rPr>
                <w:lang w:eastAsia="sk-SK"/>
              </w:rPr>
            </w:pPr>
            <w:r w:rsidRPr="00353EBE">
              <w:rPr>
                <w:lang w:eastAsia="sk-SK"/>
              </w:rPr>
              <w:t>1,0</w:t>
            </w:r>
          </w:p>
        </w:tc>
        <w:tc>
          <w:tcPr>
            <w:tcW w:w="2870" w:type="dxa"/>
          </w:tcPr>
          <w:p w:rsidR="00185B54" w:rsidRPr="00353EBE" w:rsidRDefault="005716AA" w:rsidP="00402862">
            <w:pPr>
              <w:spacing w:after="0"/>
              <w:jc w:val="center"/>
              <w:rPr>
                <w:lang w:eastAsia="sk-SK"/>
              </w:rPr>
            </w:pPr>
            <w:r>
              <w:rPr>
                <w:lang w:eastAsia="sk-SK"/>
              </w:rPr>
              <w:t>0,10</w:t>
            </w:r>
          </w:p>
        </w:tc>
      </w:tr>
      <w:tr w:rsidR="00185B54" w:rsidRPr="00353EBE" w:rsidTr="00185B54">
        <w:trPr>
          <w:trHeight w:val="255"/>
          <w:jc w:val="center"/>
        </w:trPr>
        <w:tc>
          <w:tcPr>
            <w:tcW w:w="3420" w:type="dxa"/>
            <w:shd w:val="clear" w:color="auto" w:fill="EAF1DD"/>
            <w:noWrap/>
            <w:vAlign w:val="bottom"/>
          </w:tcPr>
          <w:p w:rsidR="00185B54" w:rsidRPr="00A91136" w:rsidRDefault="00185B54" w:rsidP="00402862">
            <w:pPr>
              <w:spacing w:after="0"/>
              <w:rPr>
                <w:b/>
                <w:bCs/>
                <w:lang w:eastAsia="sk-SK"/>
              </w:rPr>
            </w:pPr>
            <w:r w:rsidRPr="00A91136">
              <w:rPr>
                <w:b/>
                <w:bCs/>
                <w:lang w:eastAsia="sk-SK"/>
              </w:rPr>
              <w:t>Textil</w:t>
            </w:r>
          </w:p>
        </w:tc>
        <w:tc>
          <w:tcPr>
            <w:tcW w:w="2852" w:type="dxa"/>
            <w:noWrap/>
            <w:vAlign w:val="bottom"/>
          </w:tcPr>
          <w:p w:rsidR="00185B54" w:rsidRPr="00353EBE" w:rsidRDefault="00185B54" w:rsidP="00402862">
            <w:pPr>
              <w:spacing w:after="0"/>
              <w:jc w:val="center"/>
              <w:rPr>
                <w:lang w:eastAsia="sk-SK"/>
              </w:rPr>
            </w:pPr>
            <w:r w:rsidRPr="00353EBE">
              <w:rPr>
                <w:lang w:eastAsia="sk-SK"/>
              </w:rPr>
              <w:t>3,5</w:t>
            </w:r>
          </w:p>
        </w:tc>
        <w:tc>
          <w:tcPr>
            <w:tcW w:w="2870" w:type="dxa"/>
          </w:tcPr>
          <w:p w:rsidR="00185B54" w:rsidRPr="00353EBE" w:rsidRDefault="005716AA" w:rsidP="00402862">
            <w:pPr>
              <w:spacing w:after="0"/>
              <w:jc w:val="center"/>
              <w:rPr>
                <w:lang w:eastAsia="sk-SK"/>
              </w:rPr>
            </w:pPr>
            <w:r>
              <w:rPr>
                <w:lang w:eastAsia="sk-SK"/>
              </w:rPr>
              <w:t>5,65</w:t>
            </w:r>
          </w:p>
        </w:tc>
      </w:tr>
    </w:tbl>
    <w:p w:rsidR="007F1BA3" w:rsidRDefault="007F1BA3" w:rsidP="00C74F67">
      <w:pPr>
        <w:ind w:firstLine="709"/>
        <w:rPr>
          <w:lang w:eastAsia="sk-SK"/>
        </w:rPr>
      </w:pPr>
      <w:r w:rsidRPr="00B724A8">
        <w:rPr>
          <w:lang w:eastAsia="sk-SK"/>
        </w:rPr>
        <w:t>Zdroj: Priatelia Zeme –</w:t>
      </w:r>
      <w:r>
        <w:rPr>
          <w:lang w:eastAsia="sk-SK"/>
        </w:rPr>
        <w:t xml:space="preserve"> SPZ</w:t>
      </w:r>
      <w:r w:rsidR="00185B54">
        <w:rPr>
          <w:lang w:eastAsia="sk-SK"/>
        </w:rPr>
        <w:t>, Technická univerzita v Košiciach, Hutnícka fakulta</w:t>
      </w:r>
    </w:p>
    <w:p w:rsidR="007F1BA3" w:rsidRPr="00353EBE" w:rsidRDefault="007F1BA3" w:rsidP="00C74F67">
      <w:pPr>
        <w:spacing w:before="240"/>
        <w:jc w:val="both"/>
        <w:rPr>
          <w:lang w:eastAsia="sk-SK"/>
        </w:rPr>
      </w:pPr>
      <w:r w:rsidRPr="00353EBE">
        <w:rPr>
          <w:lang w:eastAsia="sk-SK"/>
        </w:rPr>
        <w:t xml:space="preserve">Z  prepočtov vyplýva, že v zmesovom </w:t>
      </w:r>
      <w:r>
        <w:rPr>
          <w:lang w:eastAsia="sk-SK"/>
        </w:rPr>
        <w:t>komunálnom odpade,</w:t>
      </w:r>
      <w:r w:rsidRPr="00353EBE">
        <w:rPr>
          <w:lang w:eastAsia="sk-SK"/>
        </w:rPr>
        <w:t xml:space="preserve"> ktorý </w:t>
      </w:r>
      <w:r>
        <w:rPr>
          <w:lang w:eastAsia="sk-SK"/>
        </w:rPr>
        <w:t>vznikol</w:t>
      </w:r>
      <w:r w:rsidRPr="00353EBE">
        <w:rPr>
          <w:lang w:eastAsia="sk-SK"/>
        </w:rPr>
        <w:t xml:space="preserve"> v domácnostiach žijúcich v zástavbe bytových domov (KBV)</w:t>
      </w:r>
      <w:r>
        <w:rPr>
          <w:lang w:eastAsia="sk-SK"/>
        </w:rPr>
        <w:t>,</w:t>
      </w:r>
      <w:r w:rsidRPr="00353EBE">
        <w:rPr>
          <w:lang w:eastAsia="sk-SK"/>
        </w:rPr>
        <w:t xml:space="preserve"> sa nachádza cca </w:t>
      </w:r>
      <w:r w:rsidRPr="00353EBE">
        <w:rPr>
          <w:b/>
          <w:lang w:eastAsia="sk-SK"/>
        </w:rPr>
        <w:t>281</w:t>
      </w:r>
      <w:r>
        <w:rPr>
          <w:b/>
          <w:lang w:eastAsia="sk-SK"/>
        </w:rPr>
        <w:t>-</w:t>
      </w:r>
      <w:r w:rsidRPr="00353EBE">
        <w:rPr>
          <w:b/>
          <w:lang w:eastAsia="sk-SK"/>
        </w:rPr>
        <w:t>tisíc ton biologických odpadov</w:t>
      </w:r>
      <w:r w:rsidRPr="00353EBE">
        <w:rPr>
          <w:lang w:eastAsia="sk-SK"/>
        </w:rPr>
        <w:t xml:space="preserve"> (cca </w:t>
      </w:r>
      <w:smartTag w:uri="urn:schemas-microsoft-com:office:smarttags" w:element="metricconverter">
        <w:smartTagPr>
          <w:attr w:name="ProductID" w:val="104 kg"/>
        </w:smartTagPr>
        <w:r w:rsidRPr="00353EBE">
          <w:rPr>
            <w:lang w:eastAsia="sk-SK"/>
          </w:rPr>
          <w:t>104 kg</w:t>
        </w:r>
      </w:smartTag>
      <w:r w:rsidRPr="00353EBE">
        <w:rPr>
          <w:lang w:eastAsia="sk-SK"/>
        </w:rPr>
        <w:t xml:space="preserve"> na 1 obyvateľa) a cca </w:t>
      </w:r>
      <w:r w:rsidRPr="00353EBE">
        <w:rPr>
          <w:b/>
          <w:lang w:eastAsia="sk-SK"/>
        </w:rPr>
        <w:t>68</w:t>
      </w:r>
      <w:r>
        <w:rPr>
          <w:b/>
          <w:lang w:eastAsia="sk-SK"/>
        </w:rPr>
        <w:t>-</w:t>
      </w:r>
      <w:r w:rsidRPr="00353EBE">
        <w:rPr>
          <w:b/>
          <w:lang w:eastAsia="sk-SK"/>
        </w:rPr>
        <w:t>tisíc ton papiera</w:t>
      </w:r>
      <w:r w:rsidRPr="00353EBE">
        <w:rPr>
          <w:lang w:eastAsia="sk-SK"/>
        </w:rPr>
        <w:t xml:space="preserve"> (cca </w:t>
      </w:r>
      <w:smartTag w:uri="urn:schemas-microsoft-com:office:smarttags" w:element="metricconverter">
        <w:smartTagPr>
          <w:attr w:name="ProductID" w:val="25 kg"/>
        </w:smartTagPr>
        <w:r w:rsidRPr="00353EBE">
          <w:rPr>
            <w:lang w:eastAsia="sk-SK"/>
          </w:rPr>
          <w:t>25 kg</w:t>
        </w:r>
      </w:smartTag>
      <w:r w:rsidRPr="00353EBE">
        <w:rPr>
          <w:lang w:eastAsia="sk-SK"/>
        </w:rPr>
        <w:t xml:space="preserve"> na 1 obyvateľa).</w:t>
      </w:r>
    </w:p>
    <w:p w:rsidR="007F1BA3" w:rsidRDefault="007F1BA3" w:rsidP="00C74F67">
      <w:pPr>
        <w:pStyle w:val="Popis"/>
        <w:rPr>
          <w:rFonts w:ascii="Calibri" w:hAnsi="Calibri"/>
          <w:color w:val="auto"/>
          <w:sz w:val="22"/>
          <w:szCs w:val="22"/>
        </w:rPr>
      </w:pPr>
    </w:p>
    <w:p w:rsidR="007F1BA3" w:rsidRPr="00BB0184" w:rsidRDefault="007F1BA3" w:rsidP="00C74F67">
      <w:pPr>
        <w:pStyle w:val="Popis"/>
        <w:rPr>
          <w:rFonts w:ascii="Calibri" w:hAnsi="Calibri"/>
          <w:color w:val="auto"/>
          <w:sz w:val="22"/>
          <w:szCs w:val="22"/>
          <w:lang w:eastAsia="sk-SK"/>
        </w:rPr>
      </w:pPr>
      <w:r w:rsidRPr="00BB0184">
        <w:rPr>
          <w:rFonts w:ascii="Calibri" w:hAnsi="Calibri"/>
          <w:color w:val="auto"/>
          <w:sz w:val="22"/>
          <w:szCs w:val="22"/>
        </w:rPr>
        <w:t xml:space="preserve">Tabuľka </w:t>
      </w:r>
      <w:r>
        <w:rPr>
          <w:rFonts w:ascii="Calibri" w:hAnsi="Calibri"/>
          <w:color w:val="auto"/>
          <w:sz w:val="22"/>
          <w:szCs w:val="22"/>
        </w:rPr>
        <w:t xml:space="preserve">7: </w:t>
      </w:r>
      <w:r w:rsidRPr="00BB0184">
        <w:rPr>
          <w:rFonts w:ascii="Calibri" w:hAnsi="Calibri"/>
          <w:color w:val="auto"/>
          <w:sz w:val="22"/>
          <w:szCs w:val="22"/>
          <w:lang w:eastAsia="sk-SK"/>
        </w:rPr>
        <w:t xml:space="preserve"> Hmotnostné zloženie zmesového komunálneho odpadu v zástavbe IBV</w:t>
      </w:r>
    </w:p>
    <w:tbl>
      <w:tblPr>
        <w:tblW w:w="9212"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CellMar>
          <w:left w:w="70" w:type="dxa"/>
          <w:right w:w="70" w:type="dxa"/>
        </w:tblCellMar>
        <w:tblLook w:val="0000"/>
      </w:tblPr>
      <w:tblGrid>
        <w:gridCol w:w="3420"/>
        <w:gridCol w:w="3960"/>
        <w:gridCol w:w="1832"/>
      </w:tblGrid>
      <w:tr w:rsidR="003B0A4E" w:rsidRPr="000C30CF" w:rsidTr="003B0A4E">
        <w:trPr>
          <w:trHeight w:val="255"/>
        </w:trPr>
        <w:tc>
          <w:tcPr>
            <w:tcW w:w="3420" w:type="dxa"/>
            <w:shd w:val="clear" w:color="auto" w:fill="C2D69B"/>
            <w:noWrap/>
            <w:vAlign w:val="bottom"/>
          </w:tcPr>
          <w:p w:rsidR="003B0A4E" w:rsidRPr="000C30CF" w:rsidRDefault="003B0A4E" w:rsidP="00402862">
            <w:pPr>
              <w:spacing w:before="80" w:after="80"/>
              <w:rPr>
                <w:b/>
                <w:lang w:eastAsia="sk-SK"/>
              </w:rPr>
            </w:pPr>
            <w:r w:rsidRPr="000C30CF">
              <w:rPr>
                <w:b/>
                <w:lang w:eastAsia="sk-SK"/>
              </w:rPr>
              <w:t>Druh</w:t>
            </w:r>
            <w:r>
              <w:rPr>
                <w:b/>
                <w:lang w:eastAsia="sk-SK"/>
              </w:rPr>
              <w:t xml:space="preserve"> odpadu</w:t>
            </w:r>
          </w:p>
        </w:tc>
        <w:tc>
          <w:tcPr>
            <w:tcW w:w="3960" w:type="dxa"/>
            <w:shd w:val="clear" w:color="auto" w:fill="C2D69B"/>
            <w:vAlign w:val="bottom"/>
          </w:tcPr>
          <w:p w:rsidR="003B0A4E" w:rsidRPr="000C30CF" w:rsidRDefault="003B0A4E" w:rsidP="00402862">
            <w:pPr>
              <w:spacing w:before="80" w:after="80"/>
              <w:jc w:val="center"/>
              <w:rPr>
                <w:b/>
                <w:lang w:eastAsia="sk-SK"/>
              </w:rPr>
            </w:pPr>
            <w:r w:rsidRPr="000C30CF">
              <w:rPr>
                <w:b/>
                <w:lang w:eastAsia="sk-SK"/>
              </w:rPr>
              <w:t>Zastúpenie v KO (%)</w:t>
            </w:r>
            <w:r w:rsidR="001F69C1">
              <w:rPr>
                <w:b/>
                <w:bCs/>
                <w:lang w:eastAsia="sk-SK"/>
              </w:rPr>
              <w:t>, PZ - SPZ</w:t>
            </w:r>
          </w:p>
        </w:tc>
        <w:tc>
          <w:tcPr>
            <w:tcW w:w="1832" w:type="dxa"/>
            <w:shd w:val="clear" w:color="auto" w:fill="C2D69B"/>
          </w:tcPr>
          <w:p w:rsidR="003B0A4E" w:rsidRPr="000C30CF" w:rsidRDefault="001F69C1" w:rsidP="00402862">
            <w:pPr>
              <w:spacing w:before="80" w:after="80"/>
              <w:jc w:val="center"/>
              <w:rPr>
                <w:b/>
                <w:lang w:eastAsia="sk-SK"/>
              </w:rPr>
            </w:pPr>
            <w:r>
              <w:rPr>
                <w:b/>
                <w:bCs/>
                <w:lang w:eastAsia="sk-SK"/>
              </w:rPr>
              <w:t xml:space="preserve">Zastúpenie </w:t>
            </w:r>
            <w:r w:rsidR="004F0F56">
              <w:rPr>
                <w:b/>
                <w:bCs/>
                <w:lang w:eastAsia="sk-SK"/>
              </w:rPr>
              <w:t xml:space="preserve">v </w:t>
            </w:r>
            <w:r>
              <w:rPr>
                <w:b/>
                <w:bCs/>
                <w:lang w:eastAsia="sk-SK"/>
              </w:rPr>
              <w:t>KO (%), TU</w:t>
            </w:r>
            <w:r w:rsidR="00BA7251">
              <w:rPr>
                <w:b/>
                <w:bCs/>
                <w:lang w:eastAsia="sk-SK"/>
              </w:rPr>
              <w:t xml:space="preserve"> Košice</w:t>
            </w:r>
          </w:p>
        </w:tc>
      </w:tr>
      <w:tr w:rsidR="003B0A4E" w:rsidRPr="00963538" w:rsidTr="003B0A4E">
        <w:trPr>
          <w:trHeight w:val="255"/>
        </w:trPr>
        <w:tc>
          <w:tcPr>
            <w:tcW w:w="3420" w:type="dxa"/>
            <w:shd w:val="clear" w:color="auto" w:fill="EAF1DD"/>
            <w:noWrap/>
            <w:vAlign w:val="bottom"/>
          </w:tcPr>
          <w:p w:rsidR="003B0A4E" w:rsidRPr="000C30CF" w:rsidRDefault="003B0A4E" w:rsidP="00402862">
            <w:pPr>
              <w:spacing w:after="0"/>
              <w:rPr>
                <w:b/>
                <w:bCs/>
                <w:lang w:eastAsia="sk-SK"/>
              </w:rPr>
            </w:pPr>
            <w:r w:rsidRPr="000C30CF">
              <w:rPr>
                <w:b/>
                <w:bCs/>
                <w:lang w:eastAsia="sk-SK"/>
              </w:rPr>
              <w:t>Papier</w:t>
            </w:r>
          </w:p>
        </w:tc>
        <w:tc>
          <w:tcPr>
            <w:tcW w:w="3960" w:type="dxa"/>
            <w:noWrap/>
            <w:vAlign w:val="bottom"/>
          </w:tcPr>
          <w:p w:rsidR="003B0A4E" w:rsidRPr="000C30CF" w:rsidRDefault="003B0A4E" w:rsidP="00402862">
            <w:pPr>
              <w:spacing w:after="0"/>
              <w:jc w:val="center"/>
              <w:rPr>
                <w:lang w:eastAsia="sk-SK"/>
              </w:rPr>
            </w:pPr>
            <w:r w:rsidRPr="000C30CF">
              <w:rPr>
                <w:lang w:eastAsia="sk-SK"/>
              </w:rPr>
              <w:t>7,8 %</w:t>
            </w:r>
          </w:p>
        </w:tc>
        <w:tc>
          <w:tcPr>
            <w:tcW w:w="1832" w:type="dxa"/>
          </w:tcPr>
          <w:p w:rsidR="003B0A4E" w:rsidRPr="000C30CF" w:rsidRDefault="003B0A4E" w:rsidP="00402862">
            <w:pPr>
              <w:spacing w:after="0"/>
              <w:jc w:val="center"/>
              <w:rPr>
                <w:lang w:eastAsia="sk-SK"/>
              </w:rPr>
            </w:pPr>
            <w:r>
              <w:rPr>
                <w:lang w:eastAsia="sk-SK"/>
              </w:rPr>
              <w:t>6,24</w:t>
            </w:r>
          </w:p>
        </w:tc>
      </w:tr>
      <w:tr w:rsidR="003B0A4E" w:rsidRPr="00963538" w:rsidTr="003B0A4E">
        <w:trPr>
          <w:trHeight w:val="255"/>
        </w:trPr>
        <w:tc>
          <w:tcPr>
            <w:tcW w:w="3420" w:type="dxa"/>
            <w:shd w:val="clear" w:color="auto" w:fill="EAF1DD"/>
            <w:noWrap/>
            <w:vAlign w:val="bottom"/>
          </w:tcPr>
          <w:p w:rsidR="003B0A4E" w:rsidRPr="000C30CF" w:rsidRDefault="003B0A4E" w:rsidP="00402862">
            <w:pPr>
              <w:spacing w:after="0"/>
              <w:rPr>
                <w:b/>
                <w:bCs/>
                <w:lang w:eastAsia="sk-SK"/>
              </w:rPr>
            </w:pPr>
            <w:r w:rsidRPr="000C30CF">
              <w:rPr>
                <w:b/>
                <w:bCs/>
                <w:lang w:eastAsia="sk-SK"/>
              </w:rPr>
              <w:t>Plasty</w:t>
            </w:r>
          </w:p>
        </w:tc>
        <w:tc>
          <w:tcPr>
            <w:tcW w:w="3960" w:type="dxa"/>
            <w:noWrap/>
            <w:vAlign w:val="bottom"/>
          </w:tcPr>
          <w:p w:rsidR="003B0A4E" w:rsidRPr="000C30CF" w:rsidRDefault="003B0A4E" w:rsidP="00402862">
            <w:pPr>
              <w:spacing w:after="0"/>
              <w:jc w:val="center"/>
              <w:rPr>
                <w:lang w:eastAsia="sk-SK"/>
              </w:rPr>
            </w:pPr>
            <w:r w:rsidRPr="000C30CF">
              <w:rPr>
                <w:lang w:eastAsia="sk-SK"/>
              </w:rPr>
              <w:t>9,9 %</w:t>
            </w:r>
          </w:p>
        </w:tc>
        <w:tc>
          <w:tcPr>
            <w:tcW w:w="1832" w:type="dxa"/>
          </w:tcPr>
          <w:p w:rsidR="003B0A4E" w:rsidRPr="000C30CF" w:rsidRDefault="003B0A4E" w:rsidP="00402862">
            <w:pPr>
              <w:spacing w:after="0"/>
              <w:jc w:val="center"/>
              <w:rPr>
                <w:lang w:eastAsia="sk-SK"/>
              </w:rPr>
            </w:pPr>
            <w:r>
              <w:rPr>
                <w:lang w:eastAsia="sk-SK"/>
              </w:rPr>
              <w:t>12,23</w:t>
            </w:r>
          </w:p>
        </w:tc>
      </w:tr>
      <w:tr w:rsidR="003B0A4E" w:rsidRPr="00963538" w:rsidTr="003B0A4E">
        <w:trPr>
          <w:trHeight w:val="255"/>
        </w:trPr>
        <w:tc>
          <w:tcPr>
            <w:tcW w:w="3420" w:type="dxa"/>
            <w:shd w:val="clear" w:color="auto" w:fill="EAF1DD"/>
            <w:noWrap/>
            <w:vAlign w:val="bottom"/>
          </w:tcPr>
          <w:p w:rsidR="003B0A4E" w:rsidRPr="000C30CF" w:rsidRDefault="003B0A4E" w:rsidP="00402862">
            <w:pPr>
              <w:spacing w:after="0"/>
              <w:rPr>
                <w:b/>
                <w:bCs/>
                <w:lang w:eastAsia="sk-SK"/>
              </w:rPr>
            </w:pPr>
            <w:r w:rsidRPr="000C30CF">
              <w:rPr>
                <w:b/>
                <w:bCs/>
                <w:lang w:eastAsia="sk-SK"/>
              </w:rPr>
              <w:t>Sklo</w:t>
            </w:r>
          </w:p>
        </w:tc>
        <w:tc>
          <w:tcPr>
            <w:tcW w:w="3960" w:type="dxa"/>
            <w:noWrap/>
            <w:vAlign w:val="bottom"/>
          </w:tcPr>
          <w:p w:rsidR="003B0A4E" w:rsidRPr="000C30CF" w:rsidRDefault="003B0A4E" w:rsidP="00402862">
            <w:pPr>
              <w:spacing w:after="0"/>
              <w:jc w:val="center"/>
              <w:rPr>
                <w:lang w:eastAsia="sk-SK"/>
              </w:rPr>
            </w:pPr>
            <w:r w:rsidRPr="000C30CF">
              <w:rPr>
                <w:lang w:eastAsia="sk-SK"/>
              </w:rPr>
              <w:t>5,0 %</w:t>
            </w:r>
          </w:p>
        </w:tc>
        <w:tc>
          <w:tcPr>
            <w:tcW w:w="1832" w:type="dxa"/>
          </w:tcPr>
          <w:p w:rsidR="003B0A4E" w:rsidRPr="000C30CF" w:rsidRDefault="003B0A4E" w:rsidP="00402862">
            <w:pPr>
              <w:spacing w:after="0"/>
              <w:jc w:val="center"/>
              <w:rPr>
                <w:lang w:eastAsia="sk-SK"/>
              </w:rPr>
            </w:pPr>
            <w:r>
              <w:rPr>
                <w:lang w:eastAsia="sk-SK"/>
              </w:rPr>
              <w:t>3,22</w:t>
            </w:r>
          </w:p>
        </w:tc>
      </w:tr>
      <w:tr w:rsidR="003B0A4E" w:rsidRPr="00963538" w:rsidTr="003B0A4E">
        <w:trPr>
          <w:trHeight w:val="255"/>
        </w:trPr>
        <w:tc>
          <w:tcPr>
            <w:tcW w:w="3420" w:type="dxa"/>
            <w:shd w:val="clear" w:color="auto" w:fill="EAF1DD"/>
            <w:noWrap/>
            <w:vAlign w:val="bottom"/>
          </w:tcPr>
          <w:p w:rsidR="003B0A4E" w:rsidRPr="000C30CF" w:rsidRDefault="003B0A4E" w:rsidP="00402862">
            <w:pPr>
              <w:spacing w:after="0"/>
              <w:rPr>
                <w:b/>
                <w:bCs/>
                <w:lang w:eastAsia="sk-SK"/>
              </w:rPr>
            </w:pPr>
            <w:r w:rsidRPr="000C30CF">
              <w:rPr>
                <w:b/>
                <w:bCs/>
                <w:lang w:eastAsia="sk-SK"/>
              </w:rPr>
              <w:t>Kovy</w:t>
            </w:r>
          </w:p>
        </w:tc>
        <w:tc>
          <w:tcPr>
            <w:tcW w:w="3960" w:type="dxa"/>
            <w:noWrap/>
            <w:vAlign w:val="bottom"/>
          </w:tcPr>
          <w:p w:rsidR="003B0A4E" w:rsidRPr="000C30CF" w:rsidRDefault="003B0A4E" w:rsidP="00402862">
            <w:pPr>
              <w:spacing w:after="0"/>
              <w:jc w:val="center"/>
              <w:rPr>
                <w:lang w:eastAsia="sk-SK"/>
              </w:rPr>
            </w:pPr>
            <w:r w:rsidRPr="000C30CF">
              <w:rPr>
                <w:lang w:eastAsia="sk-SK"/>
              </w:rPr>
              <w:t>2,5 %</w:t>
            </w:r>
          </w:p>
        </w:tc>
        <w:tc>
          <w:tcPr>
            <w:tcW w:w="1832" w:type="dxa"/>
          </w:tcPr>
          <w:p w:rsidR="003B0A4E" w:rsidRPr="000C30CF" w:rsidRDefault="003B0A4E" w:rsidP="00402862">
            <w:pPr>
              <w:spacing w:after="0"/>
              <w:jc w:val="center"/>
              <w:rPr>
                <w:lang w:eastAsia="sk-SK"/>
              </w:rPr>
            </w:pPr>
            <w:r>
              <w:rPr>
                <w:lang w:eastAsia="sk-SK"/>
              </w:rPr>
              <w:t>2,62</w:t>
            </w:r>
          </w:p>
        </w:tc>
      </w:tr>
      <w:tr w:rsidR="003B0A4E" w:rsidRPr="00963538" w:rsidTr="003B0A4E">
        <w:trPr>
          <w:trHeight w:val="255"/>
        </w:trPr>
        <w:tc>
          <w:tcPr>
            <w:tcW w:w="3420" w:type="dxa"/>
            <w:shd w:val="clear" w:color="auto" w:fill="EAF1DD"/>
            <w:noWrap/>
            <w:vAlign w:val="bottom"/>
          </w:tcPr>
          <w:p w:rsidR="003B0A4E" w:rsidRPr="000C30CF" w:rsidRDefault="003B0A4E" w:rsidP="00402862">
            <w:pPr>
              <w:spacing w:after="0"/>
              <w:rPr>
                <w:b/>
                <w:bCs/>
                <w:lang w:eastAsia="sk-SK"/>
              </w:rPr>
            </w:pPr>
            <w:r w:rsidRPr="000C30CF">
              <w:rPr>
                <w:b/>
                <w:bCs/>
                <w:lang w:eastAsia="sk-SK"/>
              </w:rPr>
              <w:t>VKM</w:t>
            </w:r>
          </w:p>
        </w:tc>
        <w:tc>
          <w:tcPr>
            <w:tcW w:w="3960" w:type="dxa"/>
            <w:noWrap/>
            <w:vAlign w:val="bottom"/>
          </w:tcPr>
          <w:p w:rsidR="003B0A4E" w:rsidRPr="000C30CF" w:rsidRDefault="003B0A4E" w:rsidP="00402862">
            <w:pPr>
              <w:spacing w:after="0"/>
              <w:jc w:val="center"/>
              <w:rPr>
                <w:lang w:eastAsia="sk-SK"/>
              </w:rPr>
            </w:pPr>
            <w:r w:rsidRPr="000C30CF">
              <w:rPr>
                <w:lang w:eastAsia="sk-SK"/>
              </w:rPr>
              <w:t>1,3 %</w:t>
            </w:r>
          </w:p>
        </w:tc>
        <w:tc>
          <w:tcPr>
            <w:tcW w:w="1832" w:type="dxa"/>
          </w:tcPr>
          <w:p w:rsidR="003B0A4E" w:rsidRPr="000C30CF" w:rsidRDefault="003B0A4E" w:rsidP="00402862">
            <w:pPr>
              <w:spacing w:after="0"/>
              <w:jc w:val="center"/>
              <w:rPr>
                <w:lang w:eastAsia="sk-SK"/>
              </w:rPr>
            </w:pPr>
            <w:r>
              <w:rPr>
                <w:lang w:eastAsia="sk-SK"/>
              </w:rPr>
              <w:t>1,01</w:t>
            </w:r>
          </w:p>
        </w:tc>
      </w:tr>
      <w:tr w:rsidR="003B0A4E" w:rsidRPr="00963538" w:rsidTr="003B0A4E">
        <w:trPr>
          <w:trHeight w:val="255"/>
        </w:trPr>
        <w:tc>
          <w:tcPr>
            <w:tcW w:w="3420" w:type="dxa"/>
            <w:shd w:val="clear" w:color="auto" w:fill="EAF1DD"/>
            <w:noWrap/>
            <w:vAlign w:val="bottom"/>
          </w:tcPr>
          <w:p w:rsidR="003B0A4E" w:rsidRPr="000C30CF" w:rsidRDefault="003B0A4E" w:rsidP="00402862">
            <w:pPr>
              <w:spacing w:after="0"/>
              <w:rPr>
                <w:b/>
                <w:bCs/>
                <w:lang w:eastAsia="sk-SK"/>
              </w:rPr>
            </w:pPr>
            <w:r w:rsidRPr="000C30CF">
              <w:rPr>
                <w:b/>
                <w:bCs/>
                <w:lang w:eastAsia="sk-SK"/>
              </w:rPr>
              <w:t>BRKO</w:t>
            </w:r>
          </w:p>
        </w:tc>
        <w:tc>
          <w:tcPr>
            <w:tcW w:w="3960" w:type="dxa"/>
            <w:noWrap/>
            <w:vAlign w:val="bottom"/>
          </w:tcPr>
          <w:p w:rsidR="003B0A4E" w:rsidRPr="000C30CF" w:rsidRDefault="003B0A4E" w:rsidP="00402862">
            <w:pPr>
              <w:spacing w:after="0"/>
              <w:jc w:val="center"/>
              <w:rPr>
                <w:lang w:eastAsia="sk-SK"/>
              </w:rPr>
            </w:pPr>
            <w:r w:rsidRPr="000C30CF">
              <w:rPr>
                <w:lang w:eastAsia="sk-SK"/>
              </w:rPr>
              <w:t>52,1 %</w:t>
            </w:r>
          </w:p>
        </w:tc>
        <w:tc>
          <w:tcPr>
            <w:tcW w:w="1832" w:type="dxa"/>
          </w:tcPr>
          <w:p w:rsidR="003B0A4E" w:rsidRPr="000C30CF" w:rsidRDefault="003B0A4E" w:rsidP="00402862">
            <w:pPr>
              <w:spacing w:after="0"/>
              <w:jc w:val="center"/>
              <w:rPr>
                <w:lang w:eastAsia="sk-SK"/>
              </w:rPr>
            </w:pPr>
            <w:r>
              <w:rPr>
                <w:lang w:eastAsia="sk-SK"/>
              </w:rPr>
              <w:t>56,40</w:t>
            </w:r>
          </w:p>
        </w:tc>
      </w:tr>
      <w:tr w:rsidR="003B0A4E" w:rsidRPr="00963538" w:rsidTr="003B0A4E">
        <w:trPr>
          <w:trHeight w:val="255"/>
        </w:trPr>
        <w:tc>
          <w:tcPr>
            <w:tcW w:w="3420" w:type="dxa"/>
            <w:shd w:val="clear" w:color="auto" w:fill="EAF1DD"/>
            <w:noWrap/>
            <w:vAlign w:val="bottom"/>
          </w:tcPr>
          <w:p w:rsidR="003B0A4E" w:rsidRPr="000C30CF" w:rsidRDefault="003B0A4E" w:rsidP="00402862">
            <w:pPr>
              <w:spacing w:after="0"/>
              <w:rPr>
                <w:b/>
                <w:bCs/>
                <w:lang w:eastAsia="sk-SK"/>
              </w:rPr>
            </w:pPr>
            <w:r w:rsidRPr="000C30CF">
              <w:rPr>
                <w:b/>
                <w:bCs/>
                <w:lang w:eastAsia="sk-SK"/>
              </w:rPr>
              <w:t>DSO</w:t>
            </w:r>
          </w:p>
        </w:tc>
        <w:tc>
          <w:tcPr>
            <w:tcW w:w="3960" w:type="dxa"/>
            <w:noWrap/>
            <w:vAlign w:val="bottom"/>
          </w:tcPr>
          <w:p w:rsidR="003B0A4E" w:rsidRPr="000C30CF" w:rsidRDefault="003B0A4E" w:rsidP="00402862">
            <w:pPr>
              <w:spacing w:after="0"/>
              <w:jc w:val="center"/>
              <w:rPr>
                <w:lang w:eastAsia="sk-SK"/>
              </w:rPr>
            </w:pPr>
            <w:r w:rsidRPr="000C30CF">
              <w:rPr>
                <w:lang w:eastAsia="sk-SK"/>
              </w:rPr>
              <w:t>3,1 %</w:t>
            </w:r>
          </w:p>
        </w:tc>
        <w:tc>
          <w:tcPr>
            <w:tcW w:w="1832" w:type="dxa"/>
          </w:tcPr>
          <w:p w:rsidR="003B0A4E" w:rsidRPr="000C30CF" w:rsidRDefault="003B0A4E" w:rsidP="00402862">
            <w:pPr>
              <w:spacing w:after="0"/>
              <w:jc w:val="center"/>
              <w:rPr>
                <w:lang w:eastAsia="sk-SK"/>
              </w:rPr>
            </w:pPr>
          </w:p>
        </w:tc>
      </w:tr>
      <w:tr w:rsidR="003B0A4E" w:rsidRPr="00963538" w:rsidTr="003B0A4E">
        <w:trPr>
          <w:trHeight w:val="255"/>
        </w:trPr>
        <w:tc>
          <w:tcPr>
            <w:tcW w:w="3420" w:type="dxa"/>
            <w:shd w:val="clear" w:color="auto" w:fill="EAF1DD"/>
            <w:noWrap/>
            <w:vAlign w:val="bottom"/>
          </w:tcPr>
          <w:p w:rsidR="003B0A4E" w:rsidRPr="000C30CF" w:rsidRDefault="003B0A4E" w:rsidP="00402862">
            <w:pPr>
              <w:spacing w:after="0"/>
              <w:rPr>
                <w:b/>
                <w:bCs/>
                <w:lang w:eastAsia="sk-SK"/>
              </w:rPr>
            </w:pPr>
            <w:r w:rsidRPr="000C30CF">
              <w:rPr>
                <w:b/>
                <w:bCs/>
                <w:lang w:eastAsia="sk-SK"/>
              </w:rPr>
              <w:t>Zmesový odpad</w:t>
            </w:r>
          </w:p>
        </w:tc>
        <w:tc>
          <w:tcPr>
            <w:tcW w:w="3960" w:type="dxa"/>
            <w:noWrap/>
            <w:vAlign w:val="bottom"/>
          </w:tcPr>
          <w:p w:rsidR="003B0A4E" w:rsidRPr="000C30CF" w:rsidRDefault="003B0A4E" w:rsidP="00402862">
            <w:pPr>
              <w:spacing w:after="0"/>
              <w:jc w:val="center"/>
              <w:rPr>
                <w:lang w:eastAsia="sk-SK"/>
              </w:rPr>
            </w:pPr>
            <w:r w:rsidRPr="000C30CF">
              <w:rPr>
                <w:lang w:eastAsia="sk-SK"/>
              </w:rPr>
              <w:t>10,7 %</w:t>
            </w:r>
          </w:p>
        </w:tc>
        <w:tc>
          <w:tcPr>
            <w:tcW w:w="1832" w:type="dxa"/>
          </w:tcPr>
          <w:p w:rsidR="003B0A4E" w:rsidRPr="000C30CF" w:rsidRDefault="003B0A4E" w:rsidP="00402862">
            <w:pPr>
              <w:spacing w:after="0"/>
              <w:jc w:val="center"/>
              <w:rPr>
                <w:lang w:eastAsia="sk-SK"/>
              </w:rPr>
            </w:pPr>
          </w:p>
        </w:tc>
      </w:tr>
      <w:tr w:rsidR="003B0A4E" w:rsidRPr="00963538" w:rsidTr="003B0A4E">
        <w:trPr>
          <w:trHeight w:val="255"/>
        </w:trPr>
        <w:tc>
          <w:tcPr>
            <w:tcW w:w="3420" w:type="dxa"/>
            <w:shd w:val="clear" w:color="auto" w:fill="EAF1DD"/>
            <w:noWrap/>
            <w:vAlign w:val="bottom"/>
          </w:tcPr>
          <w:p w:rsidR="003B0A4E" w:rsidRPr="000C30CF" w:rsidRDefault="003B0A4E" w:rsidP="00402862">
            <w:pPr>
              <w:spacing w:after="0"/>
              <w:rPr>
                <w:b/>
                <w:bCs/>
                <w:lang w:eastAsia="sk-SK"/>
              </w:rPr>
            </w:pPr>
            <w:r w:rsidRPr="000C30CF">
              <w:rPr>
                <w:b/>
                <w:bCs/>
                <w:lang w:eastAsia="sk-SK"/>
              </w:rPr>
              <w:t>Popol</w:t>
            </w:r>
          </w:p>
        </w:tc>
        <w:tc>
          <w:tcPr>
            <w:tcW w:w="3960" w:type="dxa"/>
            <w:noWrap/>
            <w:vAlign w:val="bottom"/>
          </w:tcPr>
          <w:p w:rsidR="003B0A4E" w:rsidRPr="000C30CF" w:rsidRDefault="003B0A4E" w:rsidP="00402862">
            <w:pPr>
              <w:spacing w:after="0"/>
              <w:jc w:val="center"/>
              <w:rPr>
                <w:lang w:eastAsia="sk-SK"/>
              </w:rPr>
            </w:pPr>
            <w:r w:rsidRPr="000C30CF">
              <w:rPr>
                <w:lang w:eastAsia="sk-SK"/>
              </w:rPr>
              <w:t>3,3 %</w:t>
            </w:r>
          </w:p>
        </w:tc>
        <w:tc>
          <w:tcPr>
            <w:tcW w:w="1832" w:type="dxa"/>
          </w:tcPr>
          <w:p w:rsidR="003B0A4E" w:rsidRPr="000C30CF" w:rsidRDefault="003B0A4E" w:rsidP="00402862">
            <w:pPr>
              <w:spacing w:after="0"/>
              <w:jc w:val="center"/>
              <w:rPr>
                <w:lang w:eastAsia="sk-SK"/>
              </w:rPr>
            </w:pPr>
          </w:p>
        </w:tc>
      </w:tr>
      <w:tr w:rsidR="003B0A4E" w:rsidRPr="00963538" w:rsidTr="003B0A4E">
        <w:trPr>
          <w:trHeight w:val="255"/>
        </w:trPr>
        <w:tc>
          <w:tcPr>
            <w:tcW w:w="3420" w:type="dxa"/>
            <w:shd w:val="clear" w:color="auto" w:fill="EAF1DD"/>
            <w:noWrap/>
            <w:vAlign w:val="bottom"/>
          </w:tcPr>
          <w:p w:rsidR="003B0A4E" w:rsidRPr="000C30CF" w:rsidRDefault="003B0A4E" w:rsidP="00402862">
            <w:pPr>
              <w:spacing w:after="0"/>
              <w:rPr>
                <w:b/>
                <w:bCs/>
                <w:lang w:eastAsia="sk-SK"/>
              </w:rPr>
            </w:pPr>
            <w:r w:rsidRPr="000C30CF">
              <w:rPr>
                <w:b/>
                <w:bCs/>
                <w:lang w:eastAsia="sk-SK"/>
              </w:rPr>
              <w:t>NO</w:t>
            </w:r>
          </w:p>
        </w:tc>
        <w:tc>
          <w:tcPr>
            <w:tcW w:w="3960" w:type="dxa"/>
            <w:noWrap/>
            <w:vAlign w:val="bottom"/>
          </w:tcPr>
          <w:p w:rsidR="003B0A4E" w:rsidRPr="000C30CF" w:rsidRDefault="003B0A4E" w:rsidP="00402862">
            <w:pPr>
              <w:spacing w:after="0"/>
              <w:jc w:val="center"/>
              <w:rPr>
                <w:lang w:eastAsia="sk-SK"/>
              </w:rPr>
            </w:pPr>
            <w:r w:rsidRPr="000C30CF">
              <w:rPr>
                <w:lang w:eastAsia="sk-SK"/>
              </w:rPr>
              <w:t>1,1 %</w:t>
            </w:r>
          </w:p>
        </w:tc>
        <w:tc>
          <w:tcPr>
            <w:tcW w:w="1832" w:type="dxa"/>
          </w:tcPr>
          <w:p w:rsidR="003B0A4E" w:rsidRPr="000C30CF" w:rsidRDefault="003B0A4E" w:rsidP="00402862">
            <w:pPr>
              <w:spacing w:after="0"/>
              <w:jc w:val="center"/>
              <w:rPr>
                <w:lang w:eastAsia="sk-SK"/>
              </w:rPr>
            </w:pPr>
            <w:r>
              <w:rPr>
                <w:lang w:eastAsia="sk-SK"/>
              </w:rPr>
              <w:t>0,01</w:t>
            </w:r>
          </w:p>
        </w:tc>
      </w:tr>
      <w:tr w:rsidR="003B0A4E" w:rsidRPr="00963538" w:rsidTr="003B0A4E">
        <w:trPr>
          <w:trHeight w:val="255"/>
        </w:trPr>
        <w:tc>
          <w:tcPr>
            <w:tcW w:w="3420" w:type="dxa"/>
            <w:shd w:val="clear" w:color="auto" w:fill="EAF1DD"/>
            <w:noWrap/>
            <w:vAlign w:val="bottom"/>
          </w:tcPr>
          <w:p w:rsidR="003B0A4E" w:rsidRPr="000C30CF" w:rsidRDefault="003B0A4E" w:rsidP="00402862">
            <w:pPr>
              <w:spacing w:after="0"/>
              <w:rPr>
                <w:b/>
                <w:bCs/>
                <w:lang w:eastAsia="sk-SK"/>
              </w:rPr>
            </w:pPr>
            <w:r w:rsidRPr="000C30CF">
              <w:rPr>
                <w:b/>
                <w:bCs/>
                <w:lang w:eastAsia="sk-SK"/>
              </w:rPr>
              <w:t>Textil</w:t>
            </w:r>
          </w:p>
        </w:tc>
        <w:tc>
          <w:tcPr>
            <w:tcW w:w="3960" w:type="dxa"/>
            <w:noWrap/>
            <w:vAlign w:val="bottom"/>
          </w:tcPr>
          <w:p w:rsidR="003B0A4E" w:rsidRPr="000C30CF" w:rsidRDefault="003B0A4E" w:rsidP="00402862">
            <w:pPr>
              <w:spacing w:after="0"/>
              <w:jc w:val="center"/>
              <w:rPr>
                <w:lang w:eastAsia="sk-SK"/>
              </w:rPr>
            </w:pPr>
            <w:r w:rsidRPr="000C30CF">
              <w:rPr>
                <w:lang w:eastAsia="sk-SK"/>
              </w:rPr>
              <w:t>3,3 %</w:t>
            </w:r>
          </w:p>
        </w:tc>
        <w:tc>
          <w:tcPr>
            <w:tcW w:w="1832" w:type="dxa"/>
          </w:tcPr>
          <w:p w:rsidR="003B0A4E" w:rsidRPr="000C30CF" w:rsidRDefault="003B0A4E" w:rsidP="00402862">
            <w:pPr>
              <w:spacing w:after="0"/>
              <w:jc w:val="center"/>
              <w:rPr>
                <w:lang w:eastAsia="sk-SK"/>
              </w:rPr>
            </w:pPr>
            <w:r>
              <w:rPr>
                <w:lang w:eastAsia="sk-SK"/>
              </w:rPr>
              <w:t>6,00</w:t>
            </w:r>
          </w:p>
        </w:tc>
      </w:tr>
    </w:tbl>
    <w:p w:rsidR="007F1BA3" w:rsidRPr="007F4B79" w:rsidRDefault="007F1BA3" w:rsidP="00C74F67">
      <w:pPr>
        <w:spacing w:before="120"/>
        <w:rPr>
          <w:lang w:eastAsia="sk-SK"/>
        </w:rPr>
      </w:pPr>
      <w:r w:rsidRPr="007F4B79">
        <w:rPr>
          <w:lang w:eastAsia="sk-SK"/>
        </w:rPr>
        <w:t xml:space="preserve">Zdroj: Priatelia Zeme </w:t>
      </w:r>
      <w:r>
        <w:rPr>
          <w:lang w:eastAsia="sk-SK"/>
        </w:rPr>
        <w:t>–</w:t>
      </w:r>
      <w:r w:rsidRPr="007F4B79">
        <w:rPr>
          <w:lang w:eastAsia="sk-SK"/>
        </w:rPr>
        <w:t xml:space="preserve"> SPZ</w:t>
      </w:r>
      <w:r w:rsidR="003B0A4E">
        <w:rPr>
          <w:lang w:eastAsia="sk-SK"/>
        </w:rPr>
        <w:t>, Technická univerzita v Košiciach, Hutnícka fakulta</w:t>
      </w:r>
    </w:p>
    <w:p w:rsidR="00E01F0B" w:rsidRDefault="007F1BA3">
      <w:pPr>
        <w:spacing w:before="240"/>
        <w:jc w:val="both"/>
      </w:pPr>
      <w:r>
        <w:rPr>
          <w:lang w:eastAsia="sk-SK"/>
        </w:rPr>
        <w:t>Z</w:t>
      </w:r>
      <w:r w:rsidRPr="00353EBE">
        <w:rPr>
          <w:lang w:eastAsia="sk-SK"/>
        </w:rPr>
        <w:t xml:space="preserve"> prepočto</w:t>
      </w:r>
      <w:r>
        <w:rPr>
          <w:lang w:eastAsia="sk-SK"/>
        </w:rPr>
        <w:t>v</w:t>
      </w:r>
      <w:r w:rsidRPr="00353EBE">
        <w:rPr>
          <w:lang w:eastAsia="sk-SK"/>
        </w:rPr>
        <w:t xml:space="preserve"> vychádza</w:t>
      </w:r>
      <w:r>
        <w:rPr>
          <w:lang w:eastAsia="sk-SK"/>
        </w:rPr>
        <w:t xml:space="preserve">, </w:t>
      </w:r>
      <w:r w:rsidRPr="00353EBE">
        <w:rPr>
          <w:lang w:eastAsia="sk-SK"/>
        </w:rPr>
        <w:t xml:space="preserve">že </w:t>
      </w:r>
      <w:r w:rsidRPr="007F4B79">
        <w:rPr>
          <w:b/>
          <w:lang w:eastAsia="sk-SK"/>
        </w:rPr>
        <w:t xml:space="preserve">v zmesovom komunálnom odpade zo zástavby </w:t>
      </w:r>
      <w:r>
        <w:rPr>
          <w:b/>
          <w:lang w:eastAsia="sk-SK"/>
        </w:rPr>
        <w:t>individuálnej bytovej výstavby</w:t>
      </w:r>
      <w:r w:rsidRPr="007F4B79">
        <w:rPr>
          <w:b/>
          <w:lang w:eastAsia="sk-SK"/>
        </w:rPr>
        <w:t xml:space="preserve"> sa nachádza 52,1 % </w:t>
      </w:r>
      <w:r w:rsidR="003044CD">
        <w:rPr>
          <w:b/>
          <w:lang w:eastAsia="sk-SK"/>
        </w:rPr>
        <w:t xml:space="preserve">až 56,40 % </w:t>
      </w:r>
      <w:r w:rsidRPr="007F4B79">
        <w:rPr>
          <w:b/>
          <w:lang w:eastAsia="sk-SK"/>
        </w:rPr>
        <w:t>biologických odpadov a</w:t>
      </w:r>
      <w:r w:rsidR="003044CD">
        <w:rPr>
          <w:b/>
          <w:lang w:eastAsia="sk-SK"/>
        </w:rPr>
        <w:t xml:space="preserve"> 6,24 % až </w:t>
      </w:r>
      <w:r w:rsidRPr="007F4B79">
        <w:rPr>
          <w:b/>
          <w:lang w:eastAsia="sk-SK"/>
        </w:rPr>
        <w:t>7,8 % papiera</w:t>
      </w:r>
      <w:r w:rsidRPr="00353EBE">
        <w:rPr>
          <w:lang w:eastAsia="sk-SK"/>
        </w:rPr>
        <w:t>.</w:t>
      </w:r>
      <w:r>
        <w:rPr>
          <w:lang w:eastAsia="sk-SK"/>
        </w:rPr>
        <w:t xml:space="preserve"> </w:t>
      </w:r>
      <w:r w:rsidRPr="00353EBE">
        <w:rPr>
          <w:lang w:eastAsia="sk-SK"/>
        </w:rPr>
        <w:t xml:space="preserve">Z vyššie vykonaných prepočtov vyplýva, že v zmesovom </w:t>
      </w:r>
      <w:r>
        <w:rPr>
          <w:lang w:eastAsia="sk-SK"/>
        </w:rPr>
        <w:t>komunálnom odpade</w:t>
      </w:r>
      <w:r w:rsidRPr="00353EBE">
        <w:rPr>
          <w:lang w:eastAsia="sk-SK"/>
        </w:rPr>
        <w:t xml:space="preserve">, ktorý </w:t>
      </w:r>
      <w:r>
        <w:rPr>
          <w:lang w:eastAsia="sk-SK"/>
        </w:rPr>
        <w:t xml:space="preserve">vznikol </w:t>
      </w:r>
      <w:r w:rsidRPr="00353EBE">
        <w:rPr>
          <w:lang w:eastAsia="sk-SK"/>
        </w:rPr>
        <w:t xml:space="preserve">v domácnostiach </w:t>
      </w:r>
      <w:r w:rsidRPr="00353EBE">
        <w:rPr>
          <w:lang w:eastAsia="sk-SK"/>
        </w:rPr>
        <w:lastRenderedPageBreak/>
        <w:t>žijúcich v zástavbe rodinných domov (IBV)</w:t>
      </w:r>
      <w:r>
        <w:rPr>
          <w:lang w:eastAsia="sk-SK"/>
        </w:rPr>
        <w:t>,</w:t>
      </w:r>
      <w:r w:rsidRPr="00353EBE">
        <w:rPr>
          <w:lang w:eastAsia="sk-SK"/>
        </w:rPr>
        <w:t xml:space="preserve"> sa nachádza cca </w:t>
      </w:r>
      <w:r w:rsidRPr="00353EBE">
        <w:rPr>
          <w:b/>
          <w:lang w:eastAsia="sk-SK"/>
        </w:rPr>
        <w:t>316</w:t>
      </w:r>
      <w:r>
        <w:rPr>
          <w:b/>
          <w:lang w:eastAsia="sk-SK"/>
        </w:rPr>
        <w:t>-</w:t>
      </w:r>
      <w:r w:rsidRPr="00353EBE">
        <w:rPr>
          <w:b/>
          <w:lang w:eastAsia="sk-SK"/>
        </w:rPr>
        <w:t>tisíc ton biologických odpadov</w:t>
      </w:r>
      <w:r w:rsidRPr="00353EBE">
        <w:rPr>
          <w:lang w:eastAsia="sk-SK"/>
        </w:rPr>
        <w:t xml:space="preserve"> (cca </w:t>
      </w:r>
      <w:smartTag w:uri="urn:schemas-microsoft-com:office:smarttags" w:element="metricconverter">
        <w:smartTagPr>
          <w:attr w:name="ProductID" w:val="118 kg"/>
        </w:smartTagPr>
        <w:r w:rsidRPr="00353EBE">
          <w:rPr>
            <w:lang w:eastAsia="sk-SK"/>
          </w:rPr>
          <w:t>118 kg</w:t>
        </w:r>
      </w:smartTag>
      <w:r w:rsidRPr="00353EBE">
        <w:rPr>
          <w:lang w:eastAsia="sk-SK"/>
        </w:rPr>
        <w:t xml:space="preserve"> na 1 obyvateľa) a cca </w:t>
      </w:r>
      <w:r w:rsidRPr="00353EBE">
        <w:rPr>
          <w:b/>
          <w:lang w:eastAsia="sk-SK"/>
        </w:rPr>
        <w:t>47</w:t>
      </w:r>
      <w:r>
        <w:rPr>
          <w:b/>
          <w:lang w:eastAsia="sk-SK"/>
        </w:rPr>
        <w:t>-</w:t>
      </w:r>
      <w:r w:rsidRPr="00353EBE">
        <w:rPr>
          <w:b/>
          <w:lang w:eastAsia="sk-SK"/>
        </w:rPr>
        <w:t>tisíc ton papiera</w:t>
      </w:r>
      <w:r w:rsidRPr="00353EBE">
        <w:rPr>
          <w:lang w:eastAsia="sk-SK"/>
        </w:rPr>
        <w:t xml:space="preserve"> (cca </w:t>
      </w:r>
      <w:smartTag w:uri="urn:schemas-microsoft-com:office:smarttags" w:element="metricconverter">
        <w:smartTagPr>
          <w:attr w:name="ProductID" w:val="17,5 kg"/>
        </w:smartTagPr>
        <w:r w:rsidRPr="00353EBE">
          <w:rPr>
            <w:lang w:eastAsia="sk-SK"/>
          </w:rPr>
          <w:t>17,5 kg</w:t>
        </w:r>
      </w:smartTag>
      <w:r w:rsidRPr="00353EBE">
        <w:rPr>
          <w:lang w:eastAsia="sk-SK"/>
        </w:rPr>
        <w:t xml:space="preserve"> na 1 obyvateľa).</w:t>
      </w:r>
    </w:p>
    <w:p w:rsidR="007F1BA3" w:rsidRPr="00BB0184" w:rsidRDefault="007F1BA3" w:rsidP="00C74F67">
      <w:pPr>
        <w:pStyle w:val="Popis"/>
        <w:rPr>
          <w:rFonts w:ascii="Calibri" w:hAnsi="Calibri"/>
          <w:color w:val="auto"/>
          <w:sz w:val="22"/>
          <w:szCs w:val="22"/>
          <w:lang w:eastAsia="sk-SK"/>
        </w:rPr>
      </w:pPr>
      <w:r w:rsidRPr="00BB0184">
        <w:rPr>
          <w:rFonts w:ascii="Calibri" w:hAnsi="Calibri"/>
          <w:color w:val="auto"/>
          <w:sz w:val="22"/>
          <w:szCs w:val="22"/>
        </w:rPr>
        <w:t xml:space="preserve">Tabuľka </w:t>
      </w:r>
      <w:r>
        <w:rPr>
          <w:rFonts w:ascii="Calibri" w:hAnsi="Calibri"/>
          <w:color w:val="auto"/>
          <w:sz w:val="22"/>
          <w:szCs w:val="22"/>
        </w:rPr>
        <w:t>8:</w:t>
      </w:r>
      <w:r w:rsidRPr="00BB0184">
        <w:rPr>
          <w:rFonts w:ascii="Calibri" w:hAnsi="Calibri"/>
          <w:color w:val="auto"/>
          <w:sz w:val="22"/>
          <w:szCs w:val="22"/>
          <w:lang w:eastAsia="sk-SK"/>
        </w:rPr>
        <w:t xml:space="preserve"> Predpokladané množstvo biologického odpadu a papiera, s ktorými je potrebné počítať pri tvorbe opatrení na predchádzanie vzniku KO</w:t>
      </w:r>
    </w:p>
    <w:tbl>
      <w:tblPr>
        <w:tblW w:w="0" w:type="auto"/>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ook w:val="01E0"/>
      </w:tblPr>
      <w:tblGrid>
        <w:gridCol w:w="4369"/>
        <w:gridCol w:w="2520"/>
      </w:tblGrid>
      <w:tr w:rsidR="007F1BA3" w:rsidRPr="00941CEF" w:rsidTr="00402862">
        <w:tc>
          <w:tcPr>
            <w:tcW w:w="4369" w:type="dxa"/>
            <w:shd w:val="clear" w:color="auto" w:fill="D6E3BC"/>
          </w:tcPr>
          <w:p w:rsidR="007F1BA3" w:rsidRPr="00941CEF" w:rsidRDefault="007F1BA3" w:rsidP="00402862">
            <w:pPr>
              <w:spacing w:before="60" w:after="60"/>
              <w:rPr>
                <w:b/>
                <w:bCs/>
              </w:rPr>
            </w:pPr>
            <w:r w:rsidRPr="00941CEF">
              <w:rPr>
                <w:b/>
                <w:bCs/>
              </w:rPr>
              <w:t>Zdroj biologického odpadu</w:t>
            </w:r>
          </w:p>
        </w:tc>
        <w:tc>
          <w:tcPr>
            <w:tcW w:w="2520" w:type="dxa"/>
            <w:shd w:val="clear" w:color="auto" w:fill="D6E3BC"/>
          </w:tcPr>
          <w:p w:rsidR="007F1BA3" w:rsidRPr="00941CEF" w:rsidRDefault="007F1BA3" w:rsidP="00402862">
            <w:pPr>
              <w:spacing w:before="60" w:after="60"/>
              <w:jc w:val="center"/>
              <w:rPr>
                <w:b/>
                <w:bCs/>
              </w:rPr>
            </w:pPr>
            <w:r w:rsidRPr="00941CEF">
              <w:rPr>
                <w:b/>
                <w:bCs/>
              </w:rPr>
              <w:t>Množstvo (t)</w:t>
            </w:r>
          </w:p>
        </w:tc>
      </w:tr>
      <w:tr w:rsidR="007F1BA3" w:rsidRPr="00941CEF" w:rsidTr="00402862">
        <w:trPr>
          <w:trHeight w:val="251"/>
        </w:trPr>
        <w:tc>
          <w:tcPr>
            <w:tcW w:w="4369" w:type="dxa"/>
            <w:shd w:val="clear" w:color="auto" w:fill="EAF1DD"/>
          </w:tcPr>
          <w:p w:rsidR="007F1BA3" w:rsidRPr="00941CEF" w:rsidRDefault="007F1BA3" w:rsidP="00402862">
            <w:pPr>
              <w:spacing w:after="0"/>
            </w:pPr>
            <w:r w:rsidRPr="00941CEF">
              <w:t>Biologický odpad zo zmesového odpadu</w:t>
            </w:r>
          </w:p>
        </w:tc>
        <w:tc>
          <w:tcPr>
            <w:tcW w:w="2520" w:type="dxa"/>
          </w:tcPr>
          <w:p w:rsidR="007F1BA3" w:rsidRPr="00941CEF" w:rsidRDefault="007F1BA3" w:rsidP="00402862">
            <w:pPr>
              <w:spacing w:after="0"/>
              <w:jc w:val="center"/>
            </w:pPr>
            <w:r w:rsidRPr="00941CEF">
              <w:t>596 439</w:t>
            </w:r>
          </w:p>
        </w:tc>
      </w:tr>
      <w:tr w:rsidR="007F1BA3" w:rsidRPr="00941CEF" w:rsidTr="00402862">
        <w:tc>
          <w:tcPr>
            <w:tcW w:w="4369" w:type="dxa"/>
            <w:shd w:val="clear" w:color="auto" w:fill="EAF1DD"/>
          </w:tcPr>
          <w:p w:rsidR="007F1BA3" w:rsidRPr="00941CEF" w:rsidRDefault="007F1BA3" w:rsidP="00402862">
            <w:pPr>
              <w:spacing w:after="0"/>
            </w:pPr>
            <w:r w:rsidRPr="00941CEF">
              <w:t>Papier zo zmesového odpadu</w:t>
            </w:r>
          </w:p>
        </w:tc>
        <w:tc>
          <w:tcPr>
            <w:tcW w:w="2520" w:type="dxa"/>
          </w:tcPr>
          <w:p w:rsidR="007F1BA3" w:rsidRPr="00941CEF" w:rsidRDefault="007F1BA3" w:rsidP="00402862">
            <w:pPr>
              <w:spacing w:after="0"/>
              <w:jc w:val="center"/>
            </w:pPr>
            <w:r w:rsidRPr="00941CEF">
              <w:t>115 135</w:t>
            </w:r>
          </w:p>
        </w:tc>
      </w:tr>
      <w:tr w:rsidR="007F1BA3" w:rsidRPr="00941CEF" w:rsidTr="00402862">
        <w:tc>
          <w:tcPr>
            <w:tcW w:w="4369" w:type="dxa"/>
            <w:shd w:val="clear" w:color="auto" w:fill="EAF1DD"/>
          </w:tcPr>
          <w:p w:rsidR="007F1BA3" w:rsidRPr="00941CEF" w:rsidRDefault="007F1BA3" w:rsidP="00402862">
            <w:pPr>
              <w:spacing w:after="0"/>
            </w:pPr>
            <w:r w:rsidRPr="00941CEF">
              <w:t>Biologický odpad z </w:t>
            </w:r>
            <w:r>
              <w:t>nelegálnyc</w:t>
            </w:r>
            <w:r w:rsidRPr="00941CEF">
              <w:t>h skládok</w:t>
            </w:r>
          </w:p>
        </w:tc>
        <w:tc>
          <w:tcPr>
            <w:tcW w:w="2520" w:type="dxa"/>
          </w:tcPr>
          <w:p w:rsidR="007F1BA3" w:rsidRPr="00941CEF" w:rsidRDefault="007F1BA3" w:rsidP="00402862">
            <w:pPr>
              <w:spacing w:after="0"/>
              <w:jc w:val="center"/>
            </w:pPr>
            <w:r w:rsidRPr="00941CEF">
              <w:t>80 000</w:t>
            </w:r>
          </w:p>
        </w:tc>
      </w:tr>
      <w:tr w:rsidR="007F1BA3" w:rsidRPr="00941CEF" w:rsidTr="00402862">
        <w:tc>
          <w:tcPr>
            <w:tcW w:w="4369" w:type="dxa"/>
            <w:shd w:val="clear" w:color="auto" w:fill="EAF1DD"/>
          </w:tcPr>
          <w:p w:rsidR="007F1BA3" w:rsidRPr="00941CEF" w:rsidRDefault="007F1BA3" w:rsidP="00402862">
            <w:pPr>
              <w:spacing w:after="0"/>
            </w:pPr>
            <w:r w:rsidRPr="00941CEF">
              <w:t xml:space="preserve">Biologický odpad zo </w:t>
            </w:r>
            <w:r>
              <w:t xml:space="preserve">nelegálneho </w:t>
            </w:r>
            <w:r w:rsidRPr="00941CEF">
              <w:t>spaľovania odpadu</w:t>
            </w:r>
            <w:r>
              <w:t xml:space="preserve"> (konáre, lístie, burina)</w:t>
            </w:r>
          </w:p>
        </w:tc>
        <w:tc>
          <w:tcPr>
            <w:tcW w:w="2520" w:type="dxa"/>
          </w:tcPr>
          <w:p w:rsidR="007F1BA3" w:rsidRPr="00941CEF" w:rsidRDefault="007F1BA3" w:rsidP="00402862">
            <w:pPr>
              <w:spacing w:after="0"/>
              <w:jc w:val="center"/>
            </w:pPr>
            <w:r w:rsidRPr="00941CEF">
              <w:t>280 632</w:t>
            </w:r>
          </w:p>
        </w:tc>
      </w:tr>
      <w:tr w:rsidR="007F1BA3" w:rsidRPr="00941CEF" w:rsidTr="00402862">
        <w:tc>
          <w:tcPr>
            <w:tcW w:w="4369" w:type="dxa"/>
            <w:shd w:val="clear" w:color="auto" w:fill="EAF1DD"/>
          </w:tcPr>
          <w:p w:rsidR="007F1BA3" w:rsidRPr="00941CEF" w:rsidRDefault="007F1BA3" w:rsidP="00402862">
            <w:pPr>
              <w:spacing w:after="0"/>
            </w:pPr>
            <w:r w:rsidRPr="00941CEF">
              <w:t>Biologický odpad z údržby verejnej zelene</w:t>
            </w:r>
          </w:p>
        </w:tc>
        <w:tc>
          <w:tcPr>
            <w:tcW w:w="2520" w:type="dxa"/>
          </w:tcPr>
          <w:p w:rsidR="007F1BA3" w:rsidRPr="00941CEF" w:rsidRDefault="007F1BA3" w:rsidP="00402862">
            <w:pPr>
              <w:spacing w:after="0"/>
              <w:jc w:val="center"/>
            </w:pPr>
            <w:r w:rsidRPr="00941CEF">
              <w:t>283 600</w:t>
            </w:r>
          </w:p>
        </w:tc>
      </w:tr>
      <w:tr w:rsidR="007F1BA3" w:rsidRPr="00941CEF" w:rsidTr="00402862">
        <w:tc>
          <w:tcPr>
            <w:tcW w:w="4369" w:type="dxa"/>
            <w:shd w:val="clear" w:color="auto" w:fill="EAF1DD"/>
          </w:tcPr>
          <w:p w:rsidR="007F1BA3" w:rsidRPr="00941CEF" w:rsidRDefault="007F1BA3" w:rsidP="00402862">
            <w:pPr>
              <w:spacing w:after="0"/>
              <w:rPr>
                <w:b/>
              </w:rPr>
            </w:pPr>
            <w:r w:rsidRPr="00941CEF">
              <w:rPr>
                <w:b/>
              </w:rPr>
              <w:t>SPOLU:</w:t>
            </w:r>
          </w:p>
        </w:tc>
        <w:tc>
          <w:tcPr>
            <w:tcW w:w="2520" w:type="dxa"/>
          </w:tcPr>
          <w:p w:rsidR="007F1BA3" w:rsidRPr="001113FA" w:rsidRDefault="007F1BA3" w:rsidP="00402862">
            <w:pPr>
              <w:spacing w:after="0"/>
              <w:jc w:val="center"/>
              <w:rPr>
                <w:b/>
              </w:rPr>
            </w:pPr>
            <w:r>
              <w:rPr>
                <w:b/>
              </w:rPr>
              <w:t xml:space="preserve">1 </w:t>
            </w:r>
            <w:r w:rsidRPr="001113FA">
              <w:rPr>
                <w:b/>
              </w:rPr>
              <w:t>355 806</w:t>
            </w:r>
          </w:p>
        </w:tc>
      </w:tr>
    </w:tbl>
    <w:p w:rsidR="007F1BA3" w:rsidRDefault="007F1BA3" w:rsidP="002A4D60">
      <w:pPr>
        <w:rPr>
          <w:lang w:eastAsia="sk-SK"/>
        </w:rPr>
      </w:pPr>
      <w:r w:rsidRPr="00B724A8">
        <w:rPr>
          <w:lang w:eastAsia="sk-SK"/>
        </w:rPr>
        <w:t>Zdroj: Priatelia Zeme –</w:t>
      </w:r>
      <w:r>
        <w:rPr>
          <w:lang w:eastAsia="sk-SK"/>
        </w:rPr>
        <w:t xml:space="preserve"> SPZ</w:t>
      </w:r>
    </w:p>
    <w:p w:rsidR="007F1BA3" w:rsidRPr="00402862" w:rsidRDefault="007F1BA3" w:rsidP="00C74F67">
      <w:pPr>
        <w:spacing w:before="240"/>
        <w:jc w:val="both"/>
        <w:rPr>
          <w:color w:val="003300"/>
          <w:lang w:eastAsia="sk-SK"/>
        </w:rPr>
      </w:pPr>
    </w:p>
    <w:p w:rsidR="007F1BA3" w:rsidRPr="00402862" w:rsidRDefault="007F1BA3" w:rsidP="00C74F67">
      <w:pPr>
        <w:pStyle w:val="Nadpis3"/>
        <w:rPr>
          <w:color w:val="003300"/>
          <w:lang w:eastAsia="sk-SK"/>
        </w:rPr>
      </w:pPr>
      <w:bookmarkStart w:id="16" w:name="_Toc356292950"/>
      <w:r w:rsidRPr="00402862">
        <w:rPr>
          <w:color w:val="003300"/>
          <w:lang w:eastAsia="sk-SK"/>
        </w:rPr>
        <w:t>2.2.3</w:t>
      </w:r>
      <w:r w:rsidRPr="00402862">
        <w:rPr>
          <w:color w:val="003300"/>
          <w:lang w:eastAsia="sk-SK"/>
        </w:rPr>
        <w:tab/>
        <w:t>Vznik biologicky rozložiteľných komunálnych odpadov</w:t>
      </w:r>
      <w:bookmarkEnd w:id="16"/>
    </w:p>
    <w:p w:rsidR="007F1BA3" w:rsidRDefault="007F1BA3" w:rsidP="00C74F67">
      <w:r>
        <w:t>V Metodickom usmernení EK sa odporúča v programoch predchádzania vzniku odpadu zamerať sa najmä na</w:t>
      </w:r>
      <w:r w:rsidR="00872AA3">
        <w:t>:</w:t>
      </w:r>
      <w:r>
        <w:t xml:space="preserve"> </w:t>
      </w:r>
    </w:p>
    <w:p w:rsidR="007F1BA3" w:rsidRPr="00F64354" w:rsidRDefault="007F1BA3" w:rsidP="00677DBF">
      <w:pPr>
        <w:numPr>
          <w:ilvl w:val="0"/>
          <w:numId w:val="8"/>
        </w:numPr>
        <w:spacing w:after="0"/>
        <w:ind w:left="714" w:hanging="357"/>
        <w:rPr>
          <w:b/>
        </w:rPr>
      </w:pPr>
      <w:r w:rsidRPr="00F64354">
        <w:rPr>
          <w:b/>
        </w:rPr>
        <w:t>biologicky rozložiteľný kuchynský a reštauračný odpad (</w:t>
      </w:r>
      <w:r w:rsidRPr="00F64354">
        <w:t>katalógové číslo</w:t>
      </w:r>
      <w:r w:rsidRPr="00F64354">
        <w:rPr>
          <w:b/>
        </w:rPr>
        <w:t xml:space="preserve"> 20 01 08)</w:t>
      </w:r>
      <w:r w:rsidR="00872AA3">
        <w:rPr>
          <w:b/>
        </w:rPr>
        <w:t>,</w:t>
      </w:r>
      <w:r w:rsidRPr="00F64354">
        <w:rPr>
          <w:b/>
        </w:rPr>
        <w:t xml:space="preserve">  </w:t>
      </w:r>
    </w:p>
    <w:p w:rsidR="007F1BA3" w:rsidRPr="00F64354" w:rsidRDefault="007F1BA3" w:rsidP="00677DBF">
      <w:pPr>
        <w:numPr>
          <w:ilvl w:val="0"/>
          <w:numId w:val="8"/>
        </w:numPr>
        <w:spacing w:after="100" w:afterAutospacing="1"/>
        <w:ind w:left="714" w:hanging="357"/>
        <w:rPr>
          <w:b/>
        </w:rPr>
      </w:pPr>
      <w:r w:rsidRPr="00F64354">
        <w:rPr>
          <w:b/>
        </w:rPr>
        <w:t>biologicky rozložiteľný odpad z parkov a záhrad (</w:t>
      </w:r>
      <w:r w:rsidRPr="00F64354">
        <w:t>katalógové číslo</w:t>
      </w:r>
      <w:r w:rsidRPr="00F64354">
        <w:rPr>
          <w:b/>
        </w:rPr>
        <w:t xml:space="preserve"> 20 02 01)</w:t>
      </w:r>
      <w:r w:rsidR="00872AA3">
        <w:rPr>
          <w:b/>
        </w:rPr>
        <w:t>.</w:t>
      </w:r>
      <w:r w:rsidRPr="00F64354">
        <w:rPr>
          <w:b/>
        </w:rPr>
        <w:t xml:space="preserve"> </w:t>
      </w:r>
    </w:p>
    <w:p w:rsidR="007F1BA3" w:rsidRPr="00BA7F73" w:rsidRDefault="007F1BA3" w:rsidP="00C74F67">
      <w:pPr>
        <w:jc w:val="both"/>
        <w:rPr>
          <w:b/>
        </w:rPr>
      </w:pPr>
      <w:r>
        <w:t>Z tabuľky 9 vyplýva, že vznik kuchynského a reštauračného odpadu je relatívne nízky a od roku 2005 došlo k významnému poklesu vykazovaného množstva. Jedným z vysvetlení môže byť, že s týmto odpadom sa nakladá nelegálne, teda </w:t>
      </w:r>
      <w:r w:rsidRPr="00BA7F73">
        <w:rPr>
          <w:b/>
        </w:rPr>
        <w:t>naďalej sa skrmuje</w:t>
      </w:r>
      <w:r>
        <w:t xml:space="preserve">, ale v hláseniach sa nevykazuje. Ako je uvedené v kapitole 2.2.2, relatívne veľké </w:t>
      </w:r>
      <w:r w:rsidRPr="00BA7F73">
        <w:rPr>
          <w:b/>
        </w:rPr>
        <w:t>množstvo kuchynského a reštauračného odpadu je súčasťou zmesového komunálneho odpadu.</w:t>
      </w:r>
    </w:p>
    <w:p w:rsidR="007F1BA3" w:rsidRDefault="007F1BA3" w:rsidP="00C74F67">
      <w:pPr>
        <w:spacing w:after="0"/>
      </w:pPr>
    </w:p>
    <w:p w:rsidR="007F1BA3" w:rsidRPr="00BB0184" w:rsidRDefault="007F1BA3" w:rsidP="00C74F67">
      <w:pPr>
        <w:pStyle w:val="Popis"/>
        <w:rPr>
          <w:rFonts w:ascii="Calibri" w:hAnsi="Calibri"/>
          <w:color w:val="auto"/>
          <w:sz w:val="22"/>
          <w:szCs w:val="22"/>
        </w:rPr>
      </w:pPr>
      <w:r w:rsidRPr="00BB0184">
        <w:rPr>
          <w:rFonts w:ascii="Calibri" w:hAnsi="Calibri"/>
          <w:color w:val="auto"/>
          <w:sz w:val="22"/>
          <w:szCs w:val="22"/>
        </w:rPr>
        <w:t xml:space="preserve">Tabuľka </w:t>
      </w:r>
      <w:r>
        <w:rPr>
          <w:rFonts w:ascii="Calibri" w:hAnsi="Calibri"/>
          <w:color w:val="auto"/>
          <w:sz w:val="22"/>
          <w:szCs w:val="22"/>
        </w:rPr>
        <w:t>9:</w:t>
      </w:r>
      <w:r w:rsidRPr="00BB0184">
        <w:rPr>
          <w:rFonts w:ascii="Calibri" w:hAnsi="Calibri"/>
          <w:color w:val="auto"/>
          <w:sz w:val="22"/>
          <w:szCs w:val="22"/>
        </w:rPr>
        <w:t xml:space="preserve"> Vznik vybraných biologicky rozložiteľných odpadov (v tonách)</w:t>
      </w:r>
    </w:p>
    <w:tbl>
      <w:tblPr>
        <w:tblW w:w="5000" w:type="pct"/>
        <w:tblInd w:w="-214" w:type="dxa"/>
        <w:tblLayout w:type="fixed"/>
        <w:tblCellMar>
          <w:left w:w="70" w:type="dxa"/>
          <w:right w:w="70" w:type="dxa"/>
        </w:tblCellMar>
        <w:tblLook w:val="00A0"/>
      </w:tblPr>
      <w:tblGrid>
        <w:gridCol w:w="1282"/>
        <w:gridCol w:w="1140"/>
        <w:gridCol w:w="1140"/>
        <w:gridCol w:w="1131"/>
        <w:gridCol w:w="1128"/>
        <w:gridCol w:w="1128"/>
        <w:gridCol w:w="1137"/>
        <w:gridCol w:w="1126"/>
      </w:tblGrid>
      <w:tr w:rsidR="00340AEF" w:rsidRPr="001401CB" w:rsidTr="00340AEF">
        <w:trPr>
          <w:trHeight w:val="170"/>
          <w:tblHeader/>
        </w:trPr>
        <w:tc>
          <w:tcPr>
            <w:tcW w:w="696" w:type="pct"/>
            <w:tcBorders>
              <w:top w:val="single" w:sz="4" w:space="0" w:color="auto"/>
              <w:left w:val="single" w:sz="4" w:space="0" w:color="auto"/>
              <w:bottom w:val="single" w:sz="4" w:space="0" w:color="auto"/>
              <w:right w:val="single" w:sz="4" w:space="0" w:color="auto"/>
            </w:tcBorders>
            <w:shd w:val="clear" w:color="auto" w:fill="C2D69B"/>
            <w:noWrap/>
            <w:vAlign w:val="center"/>
          </w:tcPr>
          <w:p w:rsidR="007F1BA3" w:rsidRPr="001401CB" w:rsidRDefault="00E6352C" w:rsidP="00340AEF">
            <w:pPr>
              <w:spacing w:after="0" w:line="240" w:lineRule="auto"/>
              <w:jc w:val="center"/>
              <w:rPr>
                <w:b/>
                <w:bCs/>
                <w:color w:val="000000"/>
                <w:lang w:eastAsia="sk-SK"/>
              </w:rPr>
            </w:pPr>
            <w:r>
              <w:rPr>
                <w:b/>
                <w:bCs/>
                <w:color w:val="000000"/>
                <w:lang w:eastAsia="sk-SK"/>
              </w:rPr>
              <w:t>Katalógové číslo</w:t>
            </w:r>
            <w:r w:rsidR="00340AEF">
              <w:rPr>
                <w:b/>
                <w:bCs/>
                <w:color w:val="000000"/>
                <w:lang w:eastAsia="sk-SK"/>
              </w:rPr>
              <w:t xml:space="preserve"> odpadu</w:t>
            </w:r>
          </w:p>
        </w:tc>
        <w:tc>
          <w:tcPr>
            <w:tcW w:w="619" w:type="pct"/>
            <w:tcBorders>
              <w:top w:val="single" w:sz="4" w:space="0" w:color="auto"/>
              <w:left w:val="nil"/>
              <w:bottom w:val="single" w:sz="4" w:space="0" w:color="auto"/>
              <w:right w:val="single" w:sz="4" w:space="0" w:color="auto"/>
            </w:tcBorders>
            <w:shd w:val="clear" w:color="auto" w:fill="C2D69B"/>
            <w:noWrap/>
            <w:vAlign w:val="center"/>
          </w:tcPr>
          <w:p w:rsidR="007F1BA3" w:rsidRPr="001401CB" w:rsidRDefault="007F1BA3" w:rsidP="00402862">
            <w:pPr>
              <w:spacing w:after="0" w:line="240" w:lineRule="auto"/>
              <w:jc w:val="center"/>
              <w:rPr>
                <w:b/>
                <w:bCs/>
                <w:color w:val="000000"/>
                <w:lang w:eastAsia="sk-SK"/>
              </w:rPr>
            </w:pPr>
            <w:r w:rsidRPr="001401CB">
              <w:rPr>
                <w:b/>
                <w:bCs/>
                <w:color w:val="000000"/>
                <w:lang w:eastAsia="sk-SK"/>
              </w:rPr>
              <w:t>2005</w:t>
            </w:r>
          </w:p>
        </w:tc>
        <w:tc>
          <w:tcPr>
            <w:tcW w:w="619" w:type="pct"/>
            <w:tcBorders>
              <w:top w:val="single" w:sz="4" w:space="0" w:color="auto"/>
              <w:left w:val="nil"/>
              <w:bottom w:val="single" w:sz="4" w:space="0" w:color="auto"/>
              <w:right w:val="single" w:sz="4" w:space="0" w:color="auto"/>
            </w:tcBorders>
            <w:shd w:val="clear" w:color="auto" w:fill="C2D69B"/>
            <w:noWrap/>
            <w:vAlign w:val="center"/>
          </w:tcPr>
          <w:p w:rsidR="007F1BA3" w:rsidRPr="001401CB" w:rsidRDefault="007F1BA3" w:rsidP="00402862">
            <w:pPr>
              <w:spacing w:after="0" w:line="240" w:lineRule="auto"/>
              <w:jc w:val="center"/>
              <w:rPr>
                <w:b/>
                <w:bCs/>
                <w:color w:val="000000"/>
                <w:lang w:eastAsia="sk-SK"/>
              </w:rPr>
            </w:pPr>
            <w:r w:rsidRPr="001401CB">
              <w:rPr>
                <w:b/>
                <w:bCs/>
                <w:color w:val="000000"/>
                <w:lang w:eastAsia="sk-SK"/>
              </w:rPr>
              <w:t>2006</w:t>
            </w:r>
          </w:p>
        </w:tc>
        <w:tc>
          <w:tcPr>
            <w:tcW w:w="614" w:type="pct"/>
            <w:tcBorders>
              <w:top w:val="single" w:sz="4" w:space="0" w:color="auto"/>
              <w:left w:val="nil"/>
              <w:bottom w:val="single" w:sz="4" w:space="0" w:color="auto"/>
              <w:right w:val="single" w:sz="4" w:space="0" w:color="auto"/>
            </w:tcBorders>
            <w:shd w:val="clear" w:color="auto" w:fill="C2D69B"/>
            <w:noWrap/>
            <w:vAlign w:val="center"/>
          </w:tcPr>
          <w:p w:rsidR="007F1BA3" w:rsidRPr="001401CB" w:rsidRDefault="007F1BA3" w:rsidP="00402862">
            <w:pPr>
              <w:spacing w:after="0" w:line="240" w:lineRule="auto"/>
              <w:jc w:val="center"/>
              <w:rPr>
                <w:b/>
                <w:bCs/>
                <w:color w:val="000000"/>
                <w:lang w:eastAsia="sk-SK"/>
              </w:rPr>
            </w:pPr>
            <w:r w:rsidRPr="001401CB">
              <w:rPr>
                <w:b/>
                <w:bCs/>
                <w:color w:val="000000"/>
                <w:lang w:eastAsia="sk-SK"/>
              </w:rPr>
              <w:t>2007</w:t>
            </w:r>
          </w:p>
        </w:tc>
        <w:tc>
          <w:tcPr>
            <w:tcW w:w="612" w:type="pct"/>
            <w:tcBorders>
              <w:top w:val="single" w:sz="4" w:space="0" w:color="auto"/>
              <w:left w:val="nil"/>
              <w:bottom w:val="single" w:sz="4" w:space="0" w:color="auto"/>
              <w:right w:val="single" w:sz="4" w:space="0" w:color="auto"/>
            </w:tcBorders>
            <w:shd w:val="clear" w:color="auto" w:fill="C2D69B"/>
            <w:noWrap/>
            <w:vAlign w:val="center"/>
          </w:tcPr>
          <w:p w:rsidR="007F1BA3" w:rsidRPr="001401CB" w:rsidRDefault="007F1BA3" w:rsidP="00402862">
            <w:pPr>
              <w:spacing w:after="0" w:line="240" w:lineRule="auto"/>
              <w:jc w:val="center"/>
              <w:rPr>
                <w:b/>
                <w:bCs/>
                <w:color w:val="000000"/>
                <w:lang w:eastAsia="sk-SK"/>
              </w:rPr>
            </w:pPr>
            <w:r w:rsidRPr="001401CB">
              <w:rPr>
                <w:b/>
                <w:bCs/>
                <w:color w:val="000000"/>
                <w:lang w:eastAsia="sk-SK"/>
              </w:rPr>
              <w:t>2008</w:t>
            </w:r>
          </w:p>
        </w:tc>
        <w:tc>
          <w:tcPr>
            <w:tcW w:w="612" w:type="pct"/>
            <w:tcBorders>
              <w:top w:val="single" w:sz="4" w:space="0" w:color="auto"/>
              <w:left w:val="nil"/>
              <w:bottom w:val="single" w:sz="4" w:space="0" w:color="auto"/>
              <w:right w:val="single" w:sz="4" w:space="0" w:color="auto"/>
            </w:tcBorders>
            <w:shd w:val="clear" w:color="auto" w:fill="C2D69B"/>
            <w:noWrap/>
            <w:vAlign w:val="center"/>
          </w:tcPr>
          <w:p w:rsidR="007F1BA3" w:rsidRPr="001401CB" w:rsidRDefault="007F1BA3" w:rsidP="00402862">
            <w:pPr>
              <w:spacing w:after="0" w:line="240" w:lineRule="auto"/>
              <w:jc w:val="center"/>
              <w:rPr>
                <w:b/>
                <w:bCs/>
                <w:color w:val="000000"/>
                <w:lang w:eastAsia="sk-SK"/>
              </w:rPr>
            </w:pPr>
            <w:r w:rsidRPr="001401CB">
              <w:rPr>
                <w:b/>
                <w:bCs/>
                <w:color w:val="000000"/>
                <w:lang w:eastAsia="sk-SK"/>
              </w:rPr>
              <w:t>2009</w:t>
            </w:r>
          </w:p>
        </w:tc>
        <w:tc>
          <w:tcPr>
            <w:tcW w:w="617" w:type="pct"/>
            <w:tcBorders>
              <w:top w:val="single" w:sz="4" w:space="0" w:color="auto"/>
              <w:left w:val="nil"/>
              <w:bottom w:val="single" w:sz="4" w:space="0" w:color="auto"/>
              <w:right w:val="single" w:sz="4" w:space="0" w:color="auto"/>
            </w:tcBorders>
            <w:shd w:val="clear" w:color="auto" w:fill="C2D69B"/>
            <w:noWrap/>
            <w:vAlign w:val="center"/>
          </w:tcPr>
          <w:p w:rsidR="007F1BA3" w:rsidRPr="001401CB" w:rsidRDefault="007F1BA3" w:rsidP="00402862">
            <w:pPr>
              <w:spacing w:after="0" w:line="240" w:lineRule="auto"/>
              <w:jc w:val="center"/>
              <w:rPr>
                <w:b/>
                <w:bCs/>
                <w:color w:val="000000"/>
                <w:lang w:eastAsia="sk-SK"/>
              </w:rPr>
            </w:pPr>
            <w:r w:rsidRPr="001401CB">
              <w:rPr>
                <w:b/>
                <w:bCs/>
                <w:color w:val="000000"/>
                <w:lang w:eastAsia="sk-SK"/>
              </w:rPr>
              <w:t>2010</w:t>
            </w:r>
          </w:p>
        </w:tc>
        <w:tc>
          <w:tcPr>
            <w:tcW w:w="611" w:type="pct"/>
            <w:tcBorders>
              <w:top w:val="single" w:sz="4" w:space="0" w:color="auto"/>
              <w:left w:val="nil"/>
              <w:bottom w:val="single" w:sz="4" w:space="0" w:color="auto"/>
              <w:right w:val="single" w:sz="4" w:space="0" w:color="auto"/>
            </w:tcBorders>
            <w:shd w:val="clear" w:color="auto" w:fill="C2D69B"/>
            <w:noWrap/>
            <w:vAlign w:val="center"/>
          </w:tcPr>
          <w:p w:rsidR="007F1BA3" w:rsidRPr="001401CB" w:rsidRDefault="007F1BA3" w:rsidP="00402862">
            <w:pPr>
              <w:spacing w:after="0" w:line="240" w:lineRule="auto"/>
              <w:jc w:val="center"/>
              <w:rPr>
                <w:b/>
                <w:bCs/>
                <w:color w:val="000000"/>
                <w:lang w:eastAsia="sk-SK"/>
              </w:rPr>
            </w:pPr>
            <w:r w:rsidRPr="001401CB">
              <w:rPr>
                <w:b/>
                <w:bCs/>
                <w:color w:val="000000"/>
                <w:lang w:eastAsia="sk-SK"/>
              </w:rPr>
              <w:t>2011</w:t>
            </w:r>
          </w:p>
        </w:tc>
      </w:tr>
      <w:tr w:rsidR="00340AEF" w:rsidRPr="001401CB" w:rsidTr="00340AEF">
        <w:trPr>
          <w:trHeight w:val="170"/>
        </w:trPr>
        <w:tc>
          <w:tcPr>
            <w:tcW w:w="696" w:type="pct"/>
            <w:tcBorders>
              <w:top w:val="nil"/>
              <w:left w:val="single" w:sz="4" w:space="0" w:color="auto"/>
              <w:bottom w:val="single" w:sz="4" w:space="0" w:color="auto"/>
              <w:right w:val="single" w:sz="4" w:space="0" w:color="auto"/>
            </w:tcBorders>
            <w:vAlign w:val="center"/>
          </w:tcPr>
          <w:p w:rsidR="00E01F0B" w:rsidRDefault="007F1BA3">
            <w:pPr>
              <w:spacing w:after="0" w:line="240" w:lineRule="auto"/>
              <w:jc w:val="right"/>
              <w:rPr>
                <w:color w:val="000000"/>
                <w:lang w:eastAsia="sk-SK"/>
              </w:rPr>
            </w:pPr>
            <w:r w:rsidRPr="001401CB">
              <w:rPr>
                <w:color w:val="000000"/>
                <w:lang w:eastAsia="sk-SK"/>
              </w:rPr>
              <w:t>200108</w:t>
            </w:r>
          </w:p>
        </w:tc>
        <w:tc>
          <w:tcPr>
            <w:tcW w:w="619" w:type="pct"/>
            <w:tcBorders>
              <w:top w:val="nil"/>
              <w:left w:val="nil"/>
              <w:bottom w:val="single" w:sz="4" w:space="0" w:color="auto"/>
              <w:right w:val="single" w:sz="4" w:space="0" w:color="auto"/>
            </w:tcBorders>
            <w:vAlign w:val="center"/>
          </w:tcPr>
          <w:p w:rsidR="007F1BA3" w:rsidRPr="001401CB" w:rsidRDefault="007F1BA3" w:rsidP="00402862">
            <w:pPr>
              <w:spacing w:after="0" w:line="240" w:lineRule="auto"/>
              <w:jc w:val="right"/>
              <w:rPr>
                <w:color w:val="000000"/>
                <w:lang w:eastAsia="sk-SK"/>
              </w:rPr>
            </w:pPr>
            <w:r w:rsidRPr="001401CB">
              <w:rPr>
                <w:color w:val="000000"/>
                <w:lang w:eastAsia="sk-SK"/>
              </w:rPr>
              <w:t>4 590,82</w:t>
            </w:r>
          </w:p>
        </w:tc>
        <w:tc>
          <w:tcPr>
            <w:tcW w:w="619" w:type="pct"/>
            <w:tcBorders>
              <w:top w:val="nil"/>
              <w:left w:val="nil"/>
              <w:bottom w:val="single" w:sz="4" w:space="0" w:color="auto"/>
              <w:right w:val="single" w:sz="4" w:space="0" w:color="auto"/>
            </w:tcBorders>
            <w:vAlign w:val="center"/>
          </w:tcPr>
          <w:p w:rsidR="007F1BA3" w:rsidRPr="001401CB" w:rsidRDefault="007F1BA3" w:rsidP="00402862">
            <w:pPr>
              <w:spacing w:after="0" w:line="240" w:lineRule="auto"/>
              <w:jc w:val="right"/>
              <w:rPr>
                <w:color w:val="000000"/>
                <w:lang w:eastAsia="sk-SK"/>
              </w:rPr>
            </w:pPr>
            <w:r w:rsidRPr="001401CB">
              <w:rPr>
                <w:color w:val="000000"/>
                <w:lang w:eastAsia="sk-SK"/>
              </w:rPr>
              <w:t>1 710,17</w:t>
            </w:r>
          </w:p>
        </w:tc>
        <w:tc>
          <w:tcPr>
            <w:tcW w:w="614" w:type="pct"/>
            <w:tcBorders>
              <w:top w:val="nil"/>
              <w:left w:val="nil"/>
              <w:bottom w:val="single" w:sz="4" w:space="0" w:color="auto"/>
              <w:right w:val="single" w:sz="4" w:space="0" w:color="auto"/>
            </w:tcBorders>
            <w:vAlign w:val="center"/>
          </w:tcPr>
          <w:p w:rsidR="007F1BA3" w:rsidRPr="001401CB" w:rsidRDefault="007F1BA3" w:rsidP="00402862">
            <w:pPr>
              <w:spacing w:after="0" w:line="240" w:lineRule="auto"/>
              <w:jc w:val="right"/>
              <w:rPr>
                <w:color w:val="000000"/>
                <w:lang w:eastAsia="sk-SK"/>
              </w:rPr>
            </w:pPr>
            <w:r w:rsidRPr="001401CB">
              <w:rPr>
                <w:color w:val="000000"/>
                <w:lang w:eastAsia="sk-SK"/>
              </w:rPr>
              <w:t>1 198,51</w:t>
            </w:r>
          </w:p>
        </w:tc>
        <w:tc>
          <w:tcPr>
            <w:tcW w:w="612" w:type="pct"/>
            <w:tcBorders>
              <w:top w:val="nil"/>
              <w:left w:val="nil"/>
              <w:bottom w:val="single" w:sz="4" w:space="0" w:color="auto"/>
              <w:right w:val="single" w:sz="4" w:space="0" w:color="auto"/>
            </w:tcBorders>
            <w:vAlign w:val="center"/>
          </w:tcPr>
          <w:p w:rsidR="007F1BA3" w:rsidRPr="001401CB" w:rsidRDefault="007F1BA3" w:rsidP="00402862">
            <w:pPr>
              <w:spacing w:after="0" w:line="240" w:lineRule="auto"/>
              <w:jc w:val="right"/>
              <w:rPr>
                <w:color w:val="000000"/>
                <w:lang w:eastAsia="sk-SK"/>
              </w:rPr>
            </w:pPr>
            <w:r w:rsidRPr="001401CB">
              <w:rPr>
                <w:color w:val="000000"/>
                <w:lang w:eastAsia="sk-SK"/>
              </w:rPr>
              <w:t>1 623,63</w:t>
            </w:r>
          </w:p>
        </w:tc>
        <w:tc>
          <w:tcPr>
            <w:tcW w:w="612" w:type="pct"/>
            <w:tcBorders>
              <w:top w:val="nil"/>
              <w:left w:val="nil"/>
              <w:bottom w:val="single" w:sz="4" w:space="0" w:color="auto"/>
              <w:right w:val="single" w:sz="4" w:space="0" w:color="auto"/>
            </w:tcBorders>
            <w:vAlign w:val="center"/>
          </w:tcPr>
          <w:p w:rsidR="007F1BA3" w:rsidRPr="001401CB" w:rsidRDefault="007F1BA3" w:rsidP="00402862">
            <w:pPr>
              <w:spacing w:after="0" w:line="240" w:lineRule="auto"/>
              <w:jc w:val="right"/>
              <w:rPr>
                <w:color w:val="000000"/>
                <w:lang w:eastAsia="sk-SK"/>
              </w:rPr>
            </w:pPr>
            <w:r w:rsidRPr="001401CB">
              <w:rPr>
                <w:color w:val="000000"/>
                <w:lang w:eastAsia="sk-SK"/>
              </w:rPr>
              <w:t>1 744,78</w:t>
            </w:r>
          </w:p>
        </w:tc>
        <w:tc>
          <w:tcPr>
            <w:tcW w:w="617" w:type="pct"/>
            <w:tcBorders>
              <w:top w:val="nil"/>
              <w:left w:val="nil"/>
              <w:bottom w:val="single" w:sz="4" w:space="0" w:color="auto"/>
              <w:right w:val="single" w:sz="4" w:space="0" w:color="auto"/>
            </w:tcBorders>
            <w:vAlign w:val="center"/>
          </w:tcPr>
          <w:p w:rsidR="007F1BA3" w:rsidRPr="001401CB" w:rsidRDefault="007F1BA3" w:rsidP="00402862">
            <w:pPr>
              <w:spacing w:after="0" w:line="240" w:lineRule="auto"/>
              <w:jc w:val="right"/>
              <w:rPr>
                <w:color w:val="000000"/>
                <w:lang w:eastAsia="sk-SK"/>
              </w:rPr>
            </w:pPr>
            <w:r w:rsidRPr="001401CB">
              <w:rPr>
                <w:color w:val="000000"/>
                <w:lang w:eastAsia="sk-SK"/>
              </w:rPr>
              <w:t>1 527,91</w:t>
            </w:r>
          </w:p>
        </w:tc>
        <w:tc>
          <w:tcPr>
            <w:tcW w:w="611" w:type="pct"/>
            <w:tcBorders>
              <w:top w:val="nil"/>
              <w:left w:val="nil"/>
              <w:bottom w:val="single" w:sz="4" w:space="0" w:color="auto"/>
              <w:right w:val="single" w:sz="4" w:space="0" w:color="auto"/>
            </w:tcBorders>
            <w:vAlign w:val="center"/>
          </w:tcPr>
          <w:p w:rsidR="007F1BA3" w:rsidRPr="001401CB" w:rsidRDefault="007F1BA3" w:rsidP="00402862">
            <w:pPr>
              <w:spacing w:after="0" w:line="240" w:lineRule="auto"/>
              <w:jc w:val="right"/>
              <w:rPr>
                <w:color w:val="000000"/>
                <w:lang w:eastAsia="sk-SK"/>
              </w:rPr>
            </w:pPr>
            <w:r w:rsidRPr="001401CB">
              <w:rPr>
                <w:color w:val="000000"/>
                <w:lang w:eastAsia="sk-SK"/>
              </w:rPr>
              <w:t>1 612,76</w:t>
            </w:r>
          </w:p>
        </w:tc>
      </w:tr>
      <w:tr w:rsidR="00340AEF" w:rsidRPr="001401CB" w:rsidTr="00340AEF">
        <w:trPr>
          <w:trHeight w:val="170"/>
        </w:trPr>
        <w:tc>
          <w:tcPr>
            <w:tcW w:w="696" w:type="pct"/>
            <w:tcBorders>
              <w:top w:val="nil"/>
              <w:left w:val="single" w:sz="4" w:space="0" w:color="auto"/>
              <w:bottom w:val="single" w:sz="4" w:space="0" w:color="auto"/>
              <w:right w:val="single" w:sz="4" w:space="0" w:color="auto"/>
            </w:tcBorders>
            <w:vAlign w:val="center"/>
          </w:tcPr>
          <w:p w:rsidR="00E01F0B" w:rsidRDefault="007F1BA3">
            <w:pPr>
              <w:spacing w:after="0" w:line="240" w:lineRule="auto"/>
              <w:jc w:val="right"/>
              <w:rPr>
                <w:color w:val="000000"/>
                <w:lang w:eastAsia="sk-SK"/>
              </w:rPr>
            </w:pPr>
            <w:r w:rsidRPr="001401CB">
              <w:rPr>
                <w:color w:val="000000"/>
                <w:lang w:eastAsia="sk-SK"/>
              </w:rPr>
              <w:t>200201</w:t>
            </w:r>
          </w:p>
        </w:tc>
        <w:tc>
          <w:tcPr>
            <w:tcW w:w="619" w:type="pct"/>
            <w:tcBorders>
              <w:top w:val="nil"/>
              <w:left w:val="nil"/>
              <w:bottom w:val="single" w:sz="4" w:space="0" w:color="auto"/>
              <w:right w:val="single" w:sz="4" w:space="0" w:color="auto"/>
            </w:tcBorders>
            <w:vAlign w:val="center"/>
          </w:tcPr>
          <w:p w:rsidR="007F1BA3" w:rsidRPr="001401CB" w:rsidRDefault="007F1BA3" w:rsidP="00402862">
            <w:pPr>
              <w:spacing w:after="0" w:line="240" w:lineRule="auto"/>
              <w:jc w:val="right"/>
              <w:rPr>
                <w:color w:val="000000"/>
                <w:lang w:eastAsia="sk-SK"/>
              </w:rPr>
            </w:pPr>
            <w:r w:rsidRPr="001401CB">
              <w:rPr>
                <w:color w:val="000000"/>
                <w:lang w:eastAsia="sk-SK"/>
              </w:rPr>
              <w:t>67 754,62</w:t>
            </w:r>
          </w:p>
        </w:tc>
        <w:tc>
          <w:tcPr>
            <w:tcW w:w="619" w:type="pct"/>
            <w:tcBorders>
              <w:top w:val="nil"/>
              <w:left w:val="nil"/>
              <w:bottom w:val="single" w:sz="4" w:space="0" w:color="auto"/>
              <w:right w:val="single" w:sz="4" w:space="0" w:color="auto"/>
            </w:tcBorders>
            <w:vAlign w:val="center"/>
          </w:tcPr>
          <w:p w:rsidR="007F1BA3" w:rsidRPr="001401CB" w:rsidRDefault="007F1BA3" w:rsidP="00402862">
            <w:pPr>
              <w:spacing w:after="0" w:line="240" w:lineRule="auto"/>
              <w:jc w:val="right"/>
              <w:rPr>
                <w:color w:val="000000"/>
                <w:lang w:eastAsia="sk-SK"/>
              </w:rPr>
            </w:pPr>
            <w:r w:rsidRPr="001401CB">
              <w:rPr>
                <w:color w:val="000000"/>
                <w:lang w:eastAsia="sk-SK"/>
              </w:rPr>
              <w:t>75 440,29</w:t>
            </w:r>
          </w:p>
        </w:tc>
        <w:tc>
          <w:tcPr>
            <w:tcW w:w="614" w:type="pct"/>
            <w:tcBorders>
              <w:top w:val="nil"/>
              <w:left w:val="nil"/>
              <w:bottom w:val="single" w:sz="4" w:space="0" w:color="auto"/>
              <w:right w:val="single" w:sz="4" w:space="0" w:color="auto"/>
            </w:tcBorders>
            <w:vAlign w:val="center"/>
          </w:tcPr>
          <w:p w:rsidR="007F1BA3" w:rsidRPr="001401CB" w:rsidRDefault="007F1BA3" w:rsidP="00402862">
            <w:pPr>
              <w:spacing w:after="0" w:line="240" w:lineRule="auto"/>
              <w:jc w:val="right"/>
              <w:rPr>
                <w:color w:val="000000"/>
                <w:lang w:eastAsia="sk-SK"/>
              </w:rPr>
            </w:pPr>
            <w:r w:rsidRPr="001401CB">
              <w:rPr>
                <w:color w:val="000000"/>
                <w:lang w:eastAsia="sk-SK"/>
              </w:rPr>
              <w:t>82 839,47</w:t>
            </w:r>
          </w:p>
        </w:tc>
        <w:tc>
          <w:tcPr>
            <w:tcW w:w="612" w:type="pct"/>
            <w:tcBorders>
              <w:top w:val="nil"/>
              <w:left w:val="nil"/>
              <w:bottom w:val="single" w:sz="4" w:space="0" w:color="auto"/>
              <w:right w:val="single" w:sz="4" w:space="0" w:color="auto"/>
            </w:tcBorders>
            <w:vAlign w:val="center"/>
          </w:tcPr>
          <w:p w:rsidR="007F1BA3" w:rsidRPr="001401CB" w:rsidRDefault="007F1BA3" w:rsidP="00402862">
            <w:pPr>
              <w:spacing w:after="0" w:line="240" w:lineRule="auto"/>
              <w:jc w:val="right"/>
              <w:rPr>
                <w:color w:val="000000"/>
                <w:lang w:eastAsia="sk-SK"/>
              </w:rPr>
            </w:pPr>
            <w:r w:rsidRPr="001401CB">
              <w:rPr>
                <w:color w:val="000000"/>
                <w:lang w:eastAsia="sk-SK"/>
              </w:rPr>
              <w:t>85 854,52</w:t>
            </w:r>
          </w:p>
        </w:tc>
        <w:tc>
          <w:tcPr>
            <w:tcW w:w="612" w:type="pct"/>
            <w:tcBorders>
              <w:top w:val="nil"/>
              <w:left w:val="nil"/>
              <w:bottom w:val="single" w:sz="4" w:space="0" w:color="auto"/>
              <w:right w:val="single" w:sz="4" w:space="0" w:color="auto"/>
            </w:tcBorders>
            <w:vAlign w:val="center"/>
          </w:tcPr>
          <w:p w:rsidR="007F1BA3" w:rsidRPr="001401CB" w:rsidRDefault="007F1BA3" w:rsidP="00402862">
            <w:pPr>
              <w:spacing w:after="0" w:line="240" w:lineRule="auto"/>
              <w:jc w:val="right"/>
              <w:rPr>
                <w:color w:val="000000"/>
                <w:lang w:eastAsia="sk-SK"/>
              </w:rPr>
            </w:pPr>
            <w:r w:rsidRPr="001401CB">
              <w:rPr>
                <w:color w:val="000000"/>
                <w:lang w:eastAsia="sk-SK"/>
              </w:rPr>
              <w:t>82 752,37</w:t>
            </w:r>
          </w:p>
        </w:tc>
        <w:tc>
          <w:tcPr>
            <w:tcW w:w="617" w:type="pct"/>
            <w:tcBorders>
              <w:top w:val="nil"/>
              <w:left w:val="nil"/>
              <w:bottom w:val="single" w:sz="4" w:space="0" w:color="auto"/>
              <w:right w:val="single" w:sz="4" w:space="0" w:color="auto"/>
            </w:tcBorders>
            <w:vAlign w:val="center"/>
          </w:tcPr>
          <w:p w:rsidR="007F1BA3" w:rsidRPr="001401CB" w:rsidRDefault="007F1BA3" w:rsidP="00402862">
            <w:pPr>
              <w:spacing w:after="0" w:line="240" w:lineRule="auto"/>
              <w:jc w:val="right"/>
              <w:rPr>
                <w:color w:val="000000"/>
                <w:lang w:eastAsia="sk-SK"/>
              </w:rPr>
            </w:pPr>
            <w:r w:rsidRPr="001401CB">
              <w:rPr>
                <w:color w:val="000000"/>
                <w:lang w:eastAsia="sk-SK"/>
              </w:rPr>
              <w:t>94 027,11</w:t>
            </w:r>
          </w:p>
        </w:tc>
        <w:tc>
          <w:tcPr>
            <w:tcW w:w="611" w:type="pct"/>
            <w:tcBorders>
              <w:top w:val="nil"/>
              <w:left w:val="nil"/>
              <w:bottom w:val="single" w:sz="4" w:space="0" w:color="auto"/>
              <w:right w:val="single" w:sz="4" w:space="0" w:color="auto"/>
            </w:tcBorders>
            <w:vAlign w:val="center"/>
          </w:tcPr>
          <w:p w:rsidR="007F1BA3" w:rsidRPr="001401CB" w:rsidRDefault="007F1BA3" w:rsidP="00402862">
            <w:pPr>
              <w:spacing w:after="0" w:line="240" w:lineRule="auto"/>
              <w:jc w:val="right"/>
              <w:rPr>
                <w:color w:val="000000"/>
                <w:lang w:eastAsia="sk-SK"/>
              </w:rPr>
            </w:pPr>
            <w:r w:rsidRPr="001401CB">
              <w:rPr>
                <w:color w:val="000000"/>
                <w:lang w:eastAsia="sk-SK"/>
              </w:rPr>
              <w:t>89 276,41</w:t>
            </w:r>
          </w:p>
        </w:tc>
      </w:tr>
    </w:tbl>
    <w:p w:rsidR="007F1BA3" w:rsidRDefault="007F1BA3" w:rsidP="00C74F67">
      <w:r>
        <w:t>Zdroj: RISO, SAŽP</w:t>
      </w:r>
    </w:p>
    <w:p w:rsidR="007F1BA3" w:rsidRPr="00EA0881" w:rsidRDefault="007F1BA3" w:rsidP="00C74F67">
      <w:pPr>
        <w:jc w:val="both"/>
        <w:rPr>
          <w:lang w:eastAsia="sk-SK"/>
        </w:rPr>
      </w:pPr>
      <w:r>
        <w:rPr>
          <w:lang w:eastAsia="sk-SK"/>
        </w:rPr>
        <w:t xml:space="preserve">Ďalším problémom je propagácia </w:t>
      </w:r>
      <w:r w:rsidRPr="00EA0881">
        <w:rPr>
          <w:b/>
          <w:lang w:eastAsia="sk-SK"/>
        </w:rPr>
        <w:t>používania drvičov kuchynského a reštauračného odpadu</w:t>
      </w:r>
      <w:r>
        <w:rPr>
          <w:lang w:eastAsia="sk-SK"/>
        </w:rPr>
        <w:t xml:space="preserve"> napojených priamo na výlevky zo strany ich výrobcov. </w:t>
      </w:r>
      <w:r w:rsidRPr="005D0024">
        <w:rPr>
          <w:b/>
          <w:lang w:eastAsia="sk-SK"/>
        </w:rPr>
        <w:t>SR</w:t>
      </w:r>
      <w:r>
        <w:rPr>
          <w:lang w:eastAsia="sk-SK"/>
        </w:rPr>
        <w:t xml:space="preserve"> </w:t>
      </w:r>
      <w:r>
        <w:rPr>
          <w:lang w:eastAsia="zh-TW"/>
        </w:rPr>
        <w:t xml:space="preserve">má </w:t>
      </w:r>
      <w:r w:rsidRPr="00EA0881">
        <w:rPr>
          <w:b/>
          <w:lang w:eastAsia="zh-TW"/>
        </w:rPr>
        <w:t>v zákaze používania drvičov nepriamu zákonnú oporu</w:t>
      </w:r>
      <w:r>
        <w:rPr>
          <w:lang w:eastAsia="sk-SK"/>
        </w:rPr>
        <w:t xml:space="preserve"> v § 18 ods. </w:t>
      </w:r>
      <w:r w:rsidR="007D1A93">
        <w:rPr>
          <w:lang w:eastAsia="sk-SK"/>
        </w:rPr>
        <w:t xml:space="preserve">4 </w:t>
      </w:r>
      <w:r>
        <w:rPr>
          <w:lang w:eastAsia="sk-SK"/>
        </w:rPr>
        <w:t>písm. c) zákona o odpadoch. Podľa tohto ustanovenia sa zakazuje zneškodniť odpad vypúšťaním a vhadzovaním do vodného recipienta.</w:t>
      </w:r>
    </w:p>
    <w:p w:rsidR="007F1BA3" w:rsidRDefault="007F1BA3" w:rsidP="00C74F67">
      <w:pPr>
        <w:spacing w:before="240"/>
        <w:jc w:val="both"/>
        <w:rPr>
          <w:lang w:eastAsia="sk-SK"/>
        </w:rPr>
      </w:pPr>
      <w:r>
        <w:rPr>
          <w:lang w:eastAsia="sk-SK"/>
        </w:rPr>
        <w:lastRenderedPageBreak/>
        <w:t>Povinnosť zaviesť v obciach triedený zber biologicky rozložiteľných odpadov ustanovuje až nové znenie § 39 zákona novely zákona o odpadoch. Očakáva sa, že sa plnením tejto povinnosti skvalitnia aj údaje o vzniku a nakladaní s biologicky rozložiteľnými komunálnymi odpadmi.</w:t>
      </w:r>
    </w:p>
    <w:p w:rsidR="007F1BA3" w:rsidRDefault="007F1BA3" w:rsidP="00C74F67">
      <w:pPr>
        <w:pStyle w:val="Nadpis3"/>
        <w:rPr>
          <w:lang w:eastAsia="sk-SK"/>
        </w:rPr>
      </w:pPr>
    </w:p>
    <w:p w:rsidR="007F1BA3" w:rsidRDefault="007F1BA3" w:rsidP="00C74F67">
      <w:pPr>
        <w:pStyle w:val="Nadpis3"/>
        <w:rPr>
          <w:lang w:eastAsia="sk-SK"/>
        </w:rPr>
      </w:pPr>
      <w:bookmarkStart w:id="17" w:name="_Toc356292951"/>
      <w:r w:rsidRPr="00255564">
        <w:rPr>
          <w:lang w:eastAsia="sk-SK"/>
        </w:rPr>
        <w:t>2.2.4</w:t>
      </w:r>
      <w:r>
        <w:rPr>
          <w:lang w:eastAsia="sk-SK"/>
        </w:rPr>
        <w:tab/>
        <w:t>Vznik odpadu z papiera</w:t>
      </w:r>
      <w:bookmarkEnd w:id="17"/>
    </w:p>
    <w:p w:rsidR="007F1BA3" w:rsidRDefault="007F1BA3" w:rsidP="0051003C">
      <w:pPr>
        <w:jc w:val="both"/>
      </w:pPr>
      <w:r>
        <w:t>V Metodickom usmernení EK sa odporúča v programoch predchádzania vzniku odpadu zamerať sa aj na odpad z papiera, n</w:t>
      </w:r>
      <w:r>
        <w:rPr>
          <w:lang w:eastAsia="sk-SK"/>
        </w:rPr>
        <w:t xml:space="preserve">ajmä na </w:t>
      </w:r>
      <w:r>
        <w:t>noviny, letáky, katalógy a kancelársky papier. V tabuľke 10</w:t>
      </w:r>
      <w:r w:rsidR="00703F7D">
        <w:t xml:space="preserve"> </w:t>
      </w:r>
      <w:r>
        <w:t xml:space="preserve">je uvedený vznik odpadu s katalógovými číslami 19 12 01 a 20 01 </w:t>
      </w:r>
      <w:proofErr w:type="spellStart"/>
      <w:r>
        <w:t>01</w:t>
      </w:r>
      <w:proofErr w:type="spellEnd"/>
      <w:r>
        <w:t>.</w:t>
      </w:r>
    </w:p>
    <w:p w:rsidR="007F1BA3" w:rsidRPr="00BB0184" w:rsidRDefault="007F1BA3" w:rsidP="00C74F67">
      <w:pPr>
        <w:pStyle w:val="Popis"/>
        <w:rPr>
          <w:rFonts w:ascii="Calibri" w:hAnsi="Calibri"/>
          <w:color w:val="auto"/>
          <w:sz w:val="22"/>
          <w:szCs w:val="22"/>
        </w:rPr>
      </w:pPr>
      <w:r w:rsidRPr="00BB0184">
        <w:rPr>
          <w:rFonts w:ascii="Calibri" w:hAnsi="Calibri"/>
          <w:color w:val="auto"/>
          <w:sz w:val="22"/>
          <w:szCs w:val="22"/>
        </w:rPr>
        <w:t xml:space="preserve">Tabuľka </w:t>
      </w:r>
      <w:r>
        <w:rPr>
          <w:rFonts w:ascii="Calibri" w:hAnsi="Calibri"/>
          <w:color w:val="auto"/>
          <w:sz w:val="22"/>
          <w:szCs w:val="22"/>
        </w:rPr>
        <w:t xml:space="preserve">10: </w:t>
      </w:r>
      <w:r w:rsidRPr="00BB0184">
        <w:rPr>
          <w:rFonts w:ascii="Calibri" w:hAnsi="Calibri"/>
          <w:color w:val="auto"/>
          <w:sz w:val="22"/>
          <w:szCs w:val="22"/>
        </w:rPr>
        <w:t>Vznik odpadu z papiera v rokoch 2005 – 2011 (v tonách)</w:t>
      </w:r>
    </w:p>
    <w:tbl>
      <w:tblPr>
        <w:tblW w:w="5000" w:type="pct"/>
        <w:tblCellMar>
          <w:left w:w="70" w:type="dxa"/>
          <w:right w:w="70" w:type="dxa"/>
        </w:tblCellMar>
        <w:tblLook w:val="00A0"/>
      </w:tblPr>
      <w:tblGrid>
        <w:gridCol w:w="1151"/>
        <w:gridCol w:w="1151"/>
        <w:gridCol w:w="1151"/>
        <w:gridCol w:w="1151"/>
        <w:gridCol w:w="1152"/>
        <w:gridCol w:w="1152"/>
        <w:gridCol w:w="1152"/>
        <w:gridCol w:w="1152"/>
      </w:tblGrid>
      <w:tr w:rsidR="007F1BA3" w:rsidRPr="00E34EC4" w:rsidTr="00402862">
        <w:trPr>
          <w:trHeight w:val="170"/>
          <w:tblHeader/>
        </w:trPr>
        <w:tc>
          <w:tcPr>
            <w:tcW w:w="625" w:type="pct"/>
            <w:tcBorders>
              <w:top w:val="single" w:sz="4" w:space="0" w:color="auto"/>
              <w:left w:val="single" w:sz="4" w:space="0" w:color="auto"/>
              <w:bottom w:val="single" w:sz="4" w:space="0" w:color="auto"/>
              <w:right w:val="single" w:sz="4" w:space="0" w:color="auto"/>
            </w:tcBorders>
            <w:shd w:val="clear" w:color="auto" w:fill="C2D69B"/>
            <w:noWrap/>
            <w:vAlign w:val="center"/>
          </w:tcPr>
          <w:p w:rsidR="007F1BA3" w:rsidRPr="00E34EC4" w:rsidRDefault="007F1BA3" w:rsidP="00402862">
            <w:pPr>
              <w:spacing w:after="0" w:line="240" w:lineRule="auto"/>
              <w:jc w:val="center"/>
              <w:rPr>
                <w:b/>
                <w:bCs/>
                <w:color w:val="000000"/>
                <w:lang w:eastAsia="sk-SK"/>
              </w:rPr>
            </w:pPr>
            <w:r w:rsidRPr="00E34EC4">
              <w:rPr>
                <w:b/>
                <w:bCs/>
                <w:color w:val="000000"/>
                <w:lang w:eastAsia="sk-SK"/>
              </w:rPr>
              <w:t>Rok</w:t>
            </w:r>
          </w:p>
        </w:tc>
        <w:tc>
          <w:tcPr>
            <w:tcW w:w="625" w:type="pct"/>
            <w:tcBorders>
              <w:top w:val="single" w:sz="4" w:space="0" w:color="auto"/>
              <w:left w:val="nil"/>
              <w:bottom w:val="single" w:sz="4" w:space="0" w:color="auto"/>
              <w:right w:val="single" w:sz="4" w:space="0" w:color="auto"/>
            </w:tcBorders>
            <w:shd w:val="clear" w:color="auto" w:fill="C2D69B"/>
            <w:noWrap/>
            <w:vAlign w:val="center"/>
          </w:tcPr>
          <w:p w:rsidR="007F1BA3" w:rsidRPr="00E34EC4" w:rsidRDefault="007F1BA3" w:rsidP="00402862">
            <w:pPr>
              <w:spacing w:after="0" w:line="240" w:lineRule="auto"/>
              <w:jc w:val="center"/>
              <w:rPr>
                <w:b/>
                <w:bCs/>
                <w:color w:val="000000"/>
                <w:lang w:eastAsia="sk-SK"/>
              </w:rPr>
            </w:pPr>
            <w:r w:rsidRPr="00E34EC4">
              <w:rPr>
                <w:b/>
                <w:bCs/>
                <w:color w:val="000000"/>
                <w:lang w:eastAsia="sk-SK"/>
              </w:rPr>
              <w:t>2005</w:t>
            </w:r>
          </w:p>
        </w:tc>
        <w:tc>
          <w:tcPr>
            <w:tcW w:w="625" w:type="pct"/>
            <w:tcBorders>
              <w:top w:val="single" w:sz="4" w:space="0" w:color="auto"/>
              <w:left w:val="nil"/>
              <w:bottom w:val="single" w:sz="4" w:space="0" w:color="auto"/>
              <w:right w:val="single" w:sz="4" w:space="0" w:color="auto"/>
            </w:tcBorders>
            <w:shd w:val="clear" w:color="auto" w:fill="C2D69B"/>
            <w:noWrap/>
            <w:vAlign w:val="center"/>
          </w:tcPr>
          <w:p w:rsidR="007F1BA3" w:rsidRPr="00E34EC4" w:rsidRDefault="007F1BA3" w:rsidP="00402862">
            <w:pPr>
              <w:spacing w:after="0" w:line="240" w:lineRule="auto"/>
              <w:jc w:val="center"/>
              <w:rPr>
                <w:b/>
                <w:bCs/>
                <w:color w:val="000000"/>
                <w:lang w:eastAsia="sk-SK"/>
              </w:rPr>
            </w:pPr>
            <w:r w:rsidRPr="00E34EC4">
              <w:rPr>
                <w:b/>
                <w:bCs/>
                <w:color w:val="000000"/>
                <w:lang w:eastAsia="sk-SK"/>
              </w:rPr>
              <w:t>2006</w:t>
            </w:r>
          </w:p>
        </w:tc>
        <w:tc>
          <w:tcPr>
            <w:tcW w:w="625" w:type="pct"/>
            <w:tcBorders>
              <w:top w:val="single" w:sz="4" w:space="0" w:color="auto"/>
              <w:left w:val="nil"/>
              <w:bottom w:val="single" w:sz="4" w:space="0" w:color="auto"/>
              <w:right w:val="single" w:sz="4" w:space="0" w:color="auto"/>
            </w:tcBorders>
            <w:shd w:val="clear" w:color="auto" w:fill="C2D69B"/>
            <w:noWrap/>
            <w:vAlign w:val="center"/>
          </w:tcPr>
          <w:p w:rsidR="007F1BA3" w:rsidRPr="00E34EC4" w:rsidRDefault="007F1BA3" w:rsidP="00402862">
            <w:pPr>
              <w:spacing w:after="0" w:line="240" w:lineRule="auto"/>
              <w:jc w:val="center"/>
              <w:rPr>
                <w:b/>
                <w:bCs/>
                <w:color w:val="000000"/>
                <w:lang w:eastAsia="sk-SK"/>
              </w:rPr>
            </w:pPr>
            <w:r w:rsidRPr="00E34EC4">
              <w:rPr>
                <w:b/>
                <w:bCs/>
                <w:color w:val="000000"/>
                <w:lang w:eastAsia="sk-SK"/>
              </w:rPr>
              <w:t>2007</w:t>
            </w:r>
          </w:p>
        </w:tc>
        <w:tc>
          <w:tcPr>
            <w:tcW w:w="625" w:type="pct"/>
            <w:tcBorders>
              <w:top w:val="single" w:sz="4" w:space="0" w:color="auto"/>
              <w:left w:val="nil"/>
              <w:bottom w:val="single" w:sz="4" w:space="0" w:color="auto"/>
              <w:right w:val="single" w:sz="4" w:space="0" w:color="auto"/>
            </w:tcBorders>
            <w:shd w:val="clear" w:color="auto" w:fill="C2D69B"/>
            <w:noWrap/>
            <w:vAlign w:val="center"/>
          </w:tcPr>
          <w:p w:rsidR="007F1BA3" w:rsidRPr="00E34EC4" w:rsidRDefault="007F1BA3" w:rsidP="00402862">
            <w:pPr>
              <w:spacing w:after="0" w:line="240" w:lineRule="auto"/>
              <w:jc w:val="center"/>
              <w:rPr>
                <w:b/>
                <w:bCs/>
                <w:color w:val="000000"/>
                <w:lang w:eastAsia="sk-SK"/>
              </w:rPr>
            </w:pPr>
            <w:r w:rsidRPr="00E34EC4">
              <w:rPr>
                <w:b/>
                <w:bCs/>
                <w:color w:val="000000"/>
                <w:lang w:eastAsia="sk-SK"/>
              </w:rPr>
              <w:t>2008</w:t>
            </w:r>
          </w:p>
        </w:tc>
        <w:tc>
          <w:tcPr>
            <w:tcW w:w="625" w:type="pct"/>
            <w:tcBorders>
              <w:top w:val="single" w:sz="4" w:space="0" w:color="auto"/>
              <w:left w:val="nil"/>
              <w:bottom w:val="single" w:sz="4" w:space="0" w:color="auto"/>
              <w:right w:val="single" w:sz="4" w:space="0" w:color="auto"/>
            </w:tcBorders>
            <w:shd w:val="clear" w:color="auto" w:fill="C2D69B"/>
            <w:noWrap/>
            <w:vAlign w:val="center"/>
          </w:tcPr>
          <w:p w:rsidR="007F1BA3" w:rsidRPr="00E34EC4" w:rsidRDefault="007F1BA3" w:rsidP="00402862">
            <w:pPr>
              <w:spacing w:after="0" w:line="240" w:lineRule="auto"/>
              <w:jc w:val="center"/>
              <w:rPr>
                <w:b/>
                <w:bCs/>
                <w:color w:val="000000"/>
                <w:lang w:eastAsia="sk-SK"/>
              </w:rPr>
            </w:pPr>
            <w:r w:rsidRPr="00E34EC4">
              <w:rPr>
                <w:b/>
                <w:bCs/>
                <w:color w:val="000000"/>
                <w:lang w:eastAsia="sk-SK"/>
              </w:rPr>
              <w:t>2009</w:t>
            </w:r>
          </w:p>
        </w:tc>
        <w:tc>
          <w:tcPr>
            <w:tcW w:w="625" w:type="pct"/>
            <w:tcBorders>
              <w:top w:val="single" w:sz="4" w:space="0" w:color="auto"/>
              <w:left w:val="nil"/>
              <w:bottom w:val="single" w:sz="4" w:space="0" w:color="auto"/>
              <w:right w:val="single" w:sz="4" w:space="0" w:color="auto"/>
            </w:tcBorders>
            <w:shd w:val="clear" w:color="auto" w:fill="C2D69B"/>
            <w:noWrap/>
            <w:vAlign w:val="center"/>
          </w:tcPr>
          <w:p w:rsidR="007F1BA3" w:rsidRPr="00E34EC4" w:rsidRDefault="007F1BA3" w:rsidP="00402862">
            <w:pPr>
              <w:spacing w:after="0" w:line="240" w:lineRule="auto"/>
              <w:jc w:val="center"/>
              <w:rPr>
                <w:b/>
                <w:bCs/>
                <w:color w:val="000000"/>
                <w:lang w:eastAsia="sk-SK"/>
              </w:rPr>
            </w:pPr>
            <w:r w:rsidRPr="00E34EC4">
              <w:rPr>
                <w:b/>
                <w:bCs/>
                <w:color w:val="000000"/>
                <w:lang w:eastAsia="sk-SK"/>
              </w:rPr>
              <w:t>2010</w:t>
            </w:r>
          </w:p>
        </w:tc>
        <w:tc>
          <w:tcPr>
            <w:tcW w:w="625" w:type="pct"/>
            <w:tcBorders>
              <w:top w:val="single" w:sz="4" w:space="0" w:color="auto"/>
              <w:left w:val="nil"/>
              <w:bottom w:val="single" w:sz="4" w:space="0" w:color="auto"/>
              <w:right w:val="single" w:sz="4" w:space="0" w:color="auto"/>
            </w:tcBorders>
            <w:shd w:val="clear" w:color="auto" w:fill="C2D69B"/>
            <w:noWrap/>
            <w:vAlign w:val="center"/>
          </w:tcPr>
          <w:p w:rsidR="007F1BA3" w:rsidRPr="00E34EC4" w:rsidRDefault="007F1BA3" w:rsidP="00402862">
            <w:pPr>
              <w:spacing w:after="0" w:line="240" w:lineRule="auto"/>
              <w:jc w:val="center"/>
              <w:rPr>
                <w:b/>
                <w:bCs/>
                <w:color w:val="000000"/>
                <w:lang w:eastAsia="sk-SK"/>
              </w:rPr>
            </w:pPr>
            <w:r w:rsidRPr="00E34EC4">
              <w:rPr>
                <w:b/>
                <w:bCs/>
                <w:color w:val="000000"/>
                <w:lang w:eastAsia="sk-SK"/>
              </w:rPr>
              <w:t>2011</w:t>
            </w:r>
          </w:p>
        </w:tc>
      </w:tr>
      <w:tr w:rsidR="007F1BA3" w:rsidRPr="00E34EC4" w:rsidTr="00402862">
        <w:trPr>
          <w:trHeight w:val="170"/>
        </w:trPr>
        <w:tc>
          <w:tcPr>
            <w:tcW w:w="625" w:type="pct"/>
            <w:tcBorders>
              <w:top w:val="nil"/>
              <w:left w:val="single" w:sz="4" w:space="0" w:color="auto"/>
              <w:bottom w:val="single" w:sz="4" w:space="0" w:color="auto"/>
              <w:right w:val="single" w:sz="4" w:space="0" w:color="auto"/>
            </w:tcBorders>
            <w:vAlign w:val="center"/>
          </w:tcPr>
          <w:p w:rsidR="007F1BA3" w:rsidRPr="00E34EC4" w:rsidRDefault="007F1BA3" w:rsidP="00402862">
            <w:pPr>
              <w:spacing w:after="0" w:line="240" w:lineRule="auto"/>
              <w:rPr>
                <w:color w:val="000000"/>
                <w:lang w:eastAsia="sk-SK"/>
              </w:rPr>
            </w:pPr>
            <w:r w:rsidRPr="00E34EC4">
              <w:rPr>
                <w:color w:val="000000"/>
                <w:lang w:eastAsia="sk-SK"/>
              </w:rPr>
              <w:t>Množstvo (t)</w:t>
            </w:r>
          </w:p>
        </w:tc>
        <w:tc>
          <w:tcPr>
            <w:tcW w:w="625" w:type="pct"/>
            <w:tcBorders>
              <w:top w:val="nil"/>
              <w:left w:val="nil"/>
              <w:bottom w:val="single" w:sz="4" w:space="0" w:color="auto"/>
              <w:right w:val="single" w:sz="4" w:space="0" w:color="auto"/>
            </w:tcBorders>
            <w:vAlign w:val="center"/>
          </w:tcPr>
          <w:p w:rsidR="007F1BA3" w:rsidRPr="00E34EC4" w:rsidRDefault="007F1BA3" w:rsidP="00402862">
            <w:pPr>
              <w:spacing w:after="0" w:line="240" w:lineRule="auto"/>
              <w:jc w:val="right"/>
              <w:rPr>
                <w:color w:val="000000"/>
                <w:lang w:eastAsia="sk-SK"/>
              </w:rPr>
            </w:pPr>
            <w:r w:rsidRPr="00E34EC4">
              <w:rPr>
                <w:color w:val="000000"/>
                <w:lang w:eastAsia="sk-SK"/>
              </w:rPr>
              <w:t>76 991,76</w:t>
            </w:r>
          </w:p>
        </w:tc>
        <w:tc>
          <w:tcPr>
            <w:tcW w:w="625" w:type="pct"/>
            <w:tcBorders>
              <w:top w:val="nil"/>
              <w:left w:val="nil"/>
              <w:bottom w:val="single" w:sz="4" w:space="0" w:color="auto"/>
              <w:right w:val="single" w:sz="4" w:space="0" w:color="auto"/>
            </w:tcBorders>
            <w:vAlign w:val="center"/>
          </w:tcPr>
          <w:p w:rsidR="007F1BA3" w:rsidRPr="00E34EC4" w:rsidRDefault="007F1BA3" w:rsidP="00402862">
            <w:pPr>
              <w:spacing w:after="0" w:line="240" w:lineRule="auto"/>
              <w:jc w:val="right"/>
              <w:rPr>
                <w:color w:val="000000"/>
                <w:lang w:eastAsia="sk-SK"/>
              </w:rPr>
            </w:pPr>
            <w:r w:rsidRPr="00E34EC4">
              <w:rPr>
                <w:color w:val="000000"/>
                <w:lang w:eastAsia="sk-SK"/>
              </w:rPr>
              <w:t>62 583,92</w:t>
            </w:r>
          </w:p>
        </w:tc>
        <w:tc>
          <w:tcPr>
            <w:tcW w:w="625" w:type="pct"/>
            <w:tcBorders>
              <w:top w:val="nil"/>
              <w:left w:val="nil"/>
              <w:bottom w:val="single" w:sz="4" w:space="0" w:color="auto"/>
              <w:right w:val="single" w:sz="4" w:space="0" w:color="auto"/>
            </w:tcBorders>
            <w:vAlign w:val="center"/>
          </w:tcPr>
          <w:p w:rsidR="007F1BA3" w:rsidRPr="00E34EC4" w:rsidRDefault="007F1BA3" w:rsidP="00402862">
            <w:pPr>
              <w:spacing w:after="0" w:line="240" w:lineRule="auto"/>
              <w:jc w:val="right"/>
              <w:rPr>
                <w:color w:val="000000"/>
                <w:lang w:eastAsia="sk-SK"/>
              </w:rPr>
            </w:pPr>
            <w:r w:rsidRPr="00E34EC4">
              <w:rPr>
                <w:color w:val="000000"/>
                <w:lang w:eastAsia="sk-SK"/>
              </w:rPr>
              <w:t>96 676,99</w:t>
            </w:r>
          </w:p>
        </w:tc>
        <w:tc>
          <w:tcPr>
            <w:tcW w:w="625" w:type="pct"/>
            <w:tcBorders>
              <w:top w:val="nil"/>
              <w:left w:val="nil"/>
              <w:bottom w:val="single" w:sz="4" w:space="0" w:color="auto"/>
              <w:right w:val="single" w:sz="4" w:space="0" w:color="auto"/>
            </w:tcBorders>
            <w:vAlign w:val="center"/>
          </w:tcPr>
          <w:p w:rsidR="007F1BA3" w:rsidRPr="00E34EC4" w:rsidRDefault="007F1BA3" w:rsidP="00402862">
            <w:pPr>
              <w:spacing w:after="0" w:line="240" w:lineRule="auto"/>
              <w:jc w:val="right"/>
              <w:rPr>
                <w:color w:val="000000"/>
                <w:lang w:eastAsia="sk-SK"/>
              </w:rPr>
            </w:pPr>
            <w:r w:rsidRPr="00E34EC4">
              <w:rPr>
                <w:color w:val="000000"/>
                <w:lang w:eastAsia="sk-SK"/>
              </w:rPr>
              <w:t>70 630,96</w:t>
            </w:r>
          </w:p>
        </w:tc>
        <w:tc>
          <w:tcPr>
            <w:tcW w:w="625" w:type="pct"/>
            <w:tcBorders>
              <w:top w:val="nil"/>
              <w:left w:val="nil"/>
              <w:bottom w:val="single" w:sz="4" w:space="0" w:color="auto"/>
              <w:right w:val="single" w:sz="4" w:space="0" w:color="auto"/>
            </w:tcBorders>
            <w:vAlign w:val="center"/>
          </w:tcPr>
          <w:p w:rsidR="007F1BA3" w:rsidRPr="00E34EC4" w:rsidRDefault="007F1BA3" w:rsidP="00402862">
            <w:pPr>
              <w:spacing w:after="0" w:line="240" w:lineRule="auto"/>
              <w:jc w:val="right"/>
              <w:rPr>
                <w:color w:val="000000"/>
                <w:lang w:eastAsia="sk-SK"/>
              </w:rPr>
            </w:pPr>
            <w:r w:rsidRPr="00E34EC4">
              <w:rPr>
                <w:color w:val="000000"/>
                <w:lang w:eastAsia="sk-SK"/>
              </w:rPr>
              <w:t>67 922,54</w:t>
            </w:r>
          </w:p>
        </w:tc>
        <w:tc>
          <w:tcPr>
            <w:tcW w:w="625" w:type="pct"/>
            <w:tcBorders>
              <w:top w:val="nil"/>
              <w:left w:val="nil"/>
              <w:bottom w:val="single" w:sz="4" w:space="0" w:color="auto"/>
              <w:right w:val="single" w:sz="4" w:space="0" w:color="auto"/>
            </w:tcBorders>
            <w:vAlign w:val="center"/>
          </w:tcPr>
          <w:p w:rsidR="007F1BA3" w:rsidRPr="00E34EC4" w:rsidRDefault="007F1BA3" w:rsidP="00402862">
            <w:pPr>
              <w:spacing w:after="0" w:line="240" w:lineRule="auto"/>
              <w:jc w:val="right"/>
              <w:rPr>
                <w:color w:val="000000"/>
                <w:lang w:eastAsia="sk-SK"/>
              </w:rPr>
            </w:pPr>
            <w:r w:rsidRPr="00E34EC4">
              <w:rPr>
                <w:color w:val="000000"/>
                <w:lang w:eastAsia="sk-SK"/>
              </w:rPr>
              <w:t>78 301,04</w:t>
            </w:r>
          </w:p>
        </w:tc>
        <w:tc>
          <w:tcPr>
            <w:tcW w:w="625" w:type="pct"/>
            <w:tcBorders>
              <w:top w:val="nil"/>
              <w:left w:val="nil"/>
              <w:bottom w:val="single" w:sz="4" w:space="0" w:color="auto"/>
              <w:right w:val="single" w:sz="4" w:space="0" w:color="auto"/>
            </w:tcBorders>
            <w:vAlign w:val="center"/>
          </w:tcPr>
          <w:p w:rsidR="007F1BA3" w:rsidRPr="00E34EC4" w:rsidRDefault="007F1BA3" w:rsidP="00402862">
            <w:pPr>
              <w:spacing w:after="0" w:line="240" w:lineRule="auto"/>
              <w:jc w:val="right"/>
              <w:rPr>
                <w:color w:val="000000"/>
                <w:lang w:eastAsia="sk-SK"/>
              </w:rPr>
            </w:pPr>
            <w:r w:rsidRPr="00E34EC4">
              <w:rPr>
                <w:color w:val="000000"/>
                <w:lang w:eastAsia="sk-SK"/>
              </w:rPr>
              <w:t>66 902,18</w:t>
            </w:r>
          </w:p>
        </w:tc>
      </w:tr>
    </w:tbl>
    <w:p w:rsidR="007F1BA3" w:rsidRDefault="007F1BA3" w:rsidP="00C74F67">
      <w:r>
        <w:t>Zdroj: RISO, ŠÚ SR</w:t>
      </w:r>
    </w:p>
    <w:p w:rsidR="007F1BA3" w:rsidRDefault="007F1BA3" w:rsidP="00C74F67">
      <w:pPr>
        <w:jc w:val="both"/>
      </w:pPr>
      <w:r>
        <w:t>Aj v tomto prípade môžu byť údaje o vzniku zaťažené chybou, keďže v obciach sa v rámci triedeného zberu vytrieďujú do spoločnej zbernej nádoby obaly z papiera, noviny, letáky aj kancelársky papier.</w:t>
      </w:r>
    </w:p>
    <w:p w:rsidR="007F1BA3" w:rsidRPr="00BA7F73" w:rsidRDefault="007F1BA3" w:rsidP="00C74F67">
      <w:pPr>
        <w:jc w:val="both"/>
        <w:rPr>
          <w:b/>
        </w:rPr>
      </w:pPr>
      <w:r>
        <w:t xml:space="preserve">Ako je uvedené v kapitole 2.2.2, relatívne veľké </w:t>
      </w:r>
      <w:r w:rsidRPr="00BA7F73">
        <w:rPr>
          <w:b/>
        </w:rPr>
        <w:t>množstvo odpadu</w:t>
      </w:r>
      <w:r>
        <w:rPr>
          <w:b/>
        </w:rPr>
        <w:t xml:space="preserve"> z papiera</w:t>
      </w:r>
      <w:r w:rsidRPr="00BA7F73">
        <w:rPr>
          <w:b/>
        </w:rPr>
        <w:t xml:space="preserve"> je súčasťou zmesového komunálneho odpadu.</w:t>
      </w:r>
    </w:p>
    <w:p w:rsidR="007F1BA3" w:rsidRDefault="007F1BA3" w:rsidP="00C74F67">
      <w:pPr>
        <w:jc w:val="both"/>
      </w:pPr>
      <w:r>
        <w:t>Obalom je výrobok, ktorý sa používa na balenie tovaru, jeho ochranu, manipuláciu s ním, dodávanie a prezentáciu od surovín po výrobky a od výrobcu po používateľa alebo spotrebiteľa. Obaly sa delia do troch kategórií:</w:t>
      </w:r>
    </w:p>
    <w:p w:rsidR="007F1BA3" w:rsidRDefault="007F1BA3" w:rsidP="00677DBF">
      <w:pPr>
        <w:numPr>
          <w:ilvl w:val="0"/>
          <w:numId w:val="9"/>
        </w:numPr>
        <w:jc w:val="both"/>
      </w:pPr>
      <w:r>
        <w:rPr>
          <w:b/>
        </w:rPr>
        <w:t>s</w:t>
      </w:r>
      <w:r w:rsidRPr="00CA1973">
        <w:rPr>
          <w:b/>
        </w:rPr>
        <w:t>potrebiteľský (primárny) obal</w:t>
      </w:r>
      <w:r>
        <w:t xml:space="preserve"> je obal určený na bezprostrednú ochranu tovaru alebo skupiny tovarov, ktorý v mieste nákupu tvorí tovarovú jednotku pre konečného používateľa alebo pre spotrebiteľa,</w:t>
      </w:r>
    </w:p>
    <w:p w:rsidR="007F1BA3" w:rsidRDefault="007F1BA3" w:rsidP="00677DBF">
      <w:pPr>
        <w:numPr>
          <w:ilvl w:val="0"/>
          <w:numId w:val="9"/>
        </w:numPr>
        <w:jc w:val="both"/>
      </w:pPr>
      <w:r>
        <w:rPr>
          <w:b/>
        </w:rPr>
        <w:t>s</w:t>
      </w:r>
      <w:r w:rsidRPr="00CA1973">
        <w:rPr>
          <w:b/>
        </w:rPr>
        <w:t>kupinový (sekundárny) obal</w:t>
      </w:r>
      <w:r>
        <w:t xml:space="preserve"> je obal určený na to, aby tvoril v mieste nákupu skupinu určitého počtu tovarových jednotiek bez ohľadu na to, či sa predáva konečnému používateľovi alebo spotrebiteľovi alebo slúži ako prostriedok na dopĺňanie tovarov do ponuky počas predaja; môže sa z tovaru odstrániť bez ovplyvnenia jeho vlastností,</w:t>
      </w:r>
    </w:p>
    <w:p w:rsidR="007F1BA3" w:rsidRDefault="007F1BA3" w:rsidP="00677DBF">
      <w:pPr>
        <w:numPr>
          <w:ilvl w:val="0"/>
          <w:numId w:val="9"/>
        </w:numPr>
        <w:jc w:val="both"/>
        <w:rPr>
          <w:lang w:eastAsia="sk-SK"/>
        </w:rPr>
      </w:pPr>
      <w:r>
        <w:rPr>
          <w:b/>
        </w:rPr>
        <w:t>p</w:t>
      </w:r>
      <w:r w:rsidRPr="00CA1973">
        <w:rPr>
          <w:b/>
        </w:rPr>
        <w:t>repravný (terciárny) obal</w:t>
      </w:r>
      <w:r>
        <w:t xml:space="preserve"> je obal určený na uľahčenie manipulácie a prepravu určitého množstva tovarových jednotiek alebo skupinových balení s cieľom predchádzať fyzickému poškodeniu pri manipulácii a preprave; prepravným obalom nie je cestný kontajner, železničný kontajner, lodný kontajner a letecký kontajner.</w:t>
      </w:r>
    </w:p>
    <w:p w:rsidR="007F1BA3" w:rsidRDefault="007F1BA3" w:rsidP="00C74F67">
      <w:pPr>
        <w:jc w:val="both"/>
        <w:rPr>
          <w:lang w:eastAsia="sk-SK"/>
        </w:rPr>
      </w:pPr>
      <w:r>
        <w:rPr>
          <w:lang w:eastAsia="sk-SK"/>
        </w:rPr>
        <w:t>Odpad z obalov vzniká v celom reťazci dodávateľsko-odberateľských vzťahov, končí však ako odpad najmä u konečného spotrebiteľa.</w:t>
      </w:r>
    </w:p>
    <w:p w:rsidR="007F1BA3" w:rsidRPr="009E2BB1" w:rsidRDefault="007F1BA3" w:rsidP="00C74F67">
      <w:pPr>
        <w:jc w:val="both"/>
        <w:rPr>
          <w:b/>
          <w:lang w:eastAsia="sk-SK"/>
        </w:rPr>
      </w:pPr>
      <w:r>
        <w:rPr>
          <w:lang w:eastAsia="sk-SK"/>
        </w:rPr>
        <w:t xml:space="preserve">Vznik odpadu z obalov v rokoch 2005 – 2011 uvádza tabuľka 11. </w:t>
      </w:r>
      <w:r w:rsidRPr="009E2BB1">
        <w:rPr>
          <w:b/>
          <w:lang w:eastAsia="sk-SK"/>
        </w:rPr>
        <w:t xml:space="preserve">Znepokojivý je trend vzniku odpadu najmä v prípade obalov z papiera a lepenky (15 01 </w:t>
      </w:r>
      <w:proofErr w:type="spellStart"/>
      <w:r w:rsidRPr="009E2BB1">
        <w:rPr>
          <w:b/>
          <w:lang w:eastAsia="sk-SK"/>
        </w:rPr>
        <w:t>01</w:t>
      </w:r>
      <w:proofErr w:type="spellEnd"/>
      <w:r w:rsidRPr="009E2BB1">
        <w:rPr>
          <w:b/>
          <w:lang w:eastAsia="sk-SK"/>
        </w:rPr>
        <w:t>) a obalov z plastov (15 01 02), ktorých množstvá sa v sl</w:t>
      </w:r>
      <w:r>
        <w:rPr>
          <w:b/>
          <w:lang w:eastAsia="sk-SK"/>
        </w:rPr>
        <w:t>edovanom období zdvojnásobili.</w:t>
      </w:r>
    </w:p>
    <w:p w:rsidR="007F1BA3" w:rsidRDefault="007F1BA3" w:rsidP="00C74F67">
      <w:pPr>
        <w:spacing w:before="240" w:after="0"/>
        <w:jc w:val="both"/>
        <w:rPr>
          <w:lang w:eastAsia="sk-SK"/>
        </w:rPr>
      </w:pPr>
    </w:p>
    <w:p w:rsidR="007F1BA3" w:rsidRPr="00BB0184" w:rsidRDefault="007F1BA3" w:rsidP="00C74F67">
      <w:pPr>
        <w:pStyle w:val="Popis"/>
        <w:rPr>
          <w:rFonts w:ascii="Calibri" w:hAnsi="Calibri"/>
          <w:color w:val="auto"/>
          <w:sz w:val="22"/>
          <w:szCs w:val="22"/>
          <w:lang w:eastAsia="sk-SK"/>
        </w:rPr>
      </w:pPr>
      <w:r w:rsidRPr="00BB0184">
        <w:rPr>
          <w:rFonts w:ascii="Calibri" w:hAnsi="Calibri"/>
          <w:color w:val="auto"/>
          <w:sz w:val="22"/>
          <w:szCs w:val="22"/>
        </w:rPr>
        <w:t xml:space="preserve">Tabuľka </w:t>
      </w:r>
      <w:r>
        <w:rPr>
          <w:rFonts w:ascii="Calibri" w:hAnsi="Calibri"/>
          <w:color w:val="auto"/>
          <w:sz w:val="22"/>
          <w:szCs w:val="22"/>
        </w:rPr>
        <w:t>11:</w:t>
      </w:r>
      <w:r w:rsidRPr="00BB0184">
        <w:rPr>
          <w:rFonts w:ascii="Calibri" w:hAnsi="Calibri"/>
          <w:color w:val="auto"/>
          <w:sz w:val="22"/>
          <w:szCs w:val="22"/>
          <w:lang w:eastAsia="sk-SK"/>
        </w:rPr>
        <w:t xml:space="preserve"> Vznik odpadu z obalov v rokoch 2005 – 2011 (v tonách)</w:t>
      </w:r>
    </w:p>
    <w:tbl>
      <w:tblPr>
        <w:tblW w:w="5000" w:type="pct"/>
        <w:tblLayout w:type="fixed"/>
        <w:tblCellMar>
          <w:left w:w="70" w:type="dxa"/>
          <w:right w:w="70" w:type="dxa"/>
        </w:tblCellMar>
        <w:tblLook w:val="00A0"/>
      </w:tblPr>
      <w:tblGrid>
        <w:gridCol w:w="918"/>
        <w:gridCol w:w="1184"/>
        <w:gridCol w:w="1185"/>
        <w:gridCol w:w="1185"/>
        <w:gridCol w:w="1185"/>
        <w:gridCol w:w="1185"/>
        <w:gridCol w:w="1185"/>
        <w:gridCol w:w="1185"/>
      </w:tblGrid>
      <w:tr w:rsidR="007F1BA3" w:rsidRPr="001A3CF9" w:rsidTr="00402862">
        <w:trPr>
          <w:trHeight w:val="170"/>
          <w:tblHeader/>
        </w:trPr>
        <w:tc>
          <w:tcPr>
            <w:tcW w:w="499" w:type="pct"/>
            <w:tcBorders>
              <w:top w:val="single" w:sz="4" w:space="0" w:color="auto"/>
              <w:left w:val="single" w:sz="4" w:space="0" w:color="auto"/>
              <w:bottom w:val="single" w:sz="4" w:space="0" w:color="auto"/>
              <w:right w:val="single" w:sz="4" w:space="0" w:color="auto"/>
            </w:tcBorders>
            <w:shd w:val="clear" w:color="auto" w:fill="C2D69B"/>
            <w:noWrap/>
            <w:vAlign w:val="center"/>
          </w:tcPr>
          <w:p w:rsidR="007F1BA3" w:rsidRPr="001A3CF9" w:rsidRDefault="007F1BA3" w:rsidP="00402862">
            <w:pPr>
              <w:spacing w:after="0" w:line="240" w:lineRule="auto"/>
              <w:jc w:val="center"/>
              <w:rPr>
                <w:b/>
                <w:bCs/>
                <w:color w:val="000000"/>
                <w:lang w:eastAsia="sk-SK"/>
              </w:rPr>
            </w:pPr>
            <w:r w:rsidRPr="001A3CF9">
              <w:rPr>
                <w:b/>
                <w:bCs/>
                <w:color w:val="000000"/>
                <w:lang w:eastAsia="sk-SK"/>
              </w:rPr>
              <w:t>Druh odpadu</w:t>
            </w:r>
          </w:p>
        </w:tc>
        <w:tc>
          <w:tcPr>
            <w:tcW w:w="643" w:type="pct"/>
            <w:tcBorders>
              <w:top w:val="single" w:sz="4" w:space="0" w:color="auto"/>
              <w:left w:val="nil"/>
              <w:bottom w:val="single" w:sz="4" w:space="0" w:color="auto"/>
              <w:right w:val="single" w:sz="4" w:space="0" w:color="auto"/>
            </w:tcBorders>
            <w:shd w:val="clear" w:color="auto" w:fill="C2D69B"/>
            <w:noWrap/>
            <w:vAlign w:val="center"/>
          </w:tcPr>
          <w:p w:rsidR="007F1BA3" w:rsidRPr="001A3CF9" w:rsidRDefault="007F1BA3" w:rsidP="00402862">
            <w:pPr>
              <w:spacing w:after="0" w:line="240" w:lineRule="auto"/>
              <w:jc w:val="center"/>
              <w:rPr>
                <w:b/>
                <w:bCs/>
                <w:color w:val="000000"/>
                <w:lang w:eastAsia="sk-SK"/>
              </w:rPr>
            </w:pPr>
            <w:r w:rsidRPr="001A3CF9">
              <w:rPr>
                <w:b/>
                <w:bCs/>
                <w:color w:val="000000"/>
                <w:lang w:eastAsia="sk-SK"/>
              </w:rPr>
              <w:t>2005</w:t>
            </w:r>
          </w:p>
        </w:tc>
        <w:tc>
          <w:tcPr>
            <w:tcW w:w="643" w:type="pct"/>
            <w:tcBorders>
              <w:top w:val="single" w:sz="4" w:space="0" w:color="auto"/>
              <w:left w:val="nil"/>
              <w:bottom w:val="single" w:sz="4" w:space="0" w:color="auto"/>
              <w:right w:val="single" w:sz="4" w:space="0" w:color="auto"/>
            </w:tcBorders>
            <w:shd w:val="clear" w:color="auto" w:fill="C2D69B"/>
            <w:noWrap/>
            <w:vAlign w:val="center"/>
          </w:tcPr>
          <w:p w:rsidR="007F1BA3" w:rsidRPr="001A3CF9" w:rsidRDefault="007F1BA3" w:rsidP="00402862">
            <w:pPr>
              <w:spacing w:after="0" w:line="240" w:lineRule="auto"/>
              <w:jc w:val="center"/>
              <w:rPr>
                <w:b/>
                <w:bCs/>
                <w:color w:val="000000"/>
                <w:lang w:eastAsia="sk-SK"/>
              </w:rPr>
            </w:pPr>
            <w:r w:rsidRPr="001A3CF9">
              <w:rPr>
                <w:b/>
                <w:bCs/>
                <w:color w:val="000000"/>
                <w:lang w:eastAsia="sk-SK"/>
              </w:rPr>
              <w:t>2006</w:t>
            </w:r>
          </w:p>
        </w:tc>
        <w:tc>
          <w:tcPr>
            <w:tcW w:w="643" w:type="pct"/>
            <w:tcBorders>
              <w:top w:val="single" w:sz="4" w:space="0" w:color="auto"/>
              <w:left w:val="nil"/>
              <w:bottom w:val="single" w:sz="4" w:space="0" w:color="auto"/>
              <w:right w:val="single" w:sz="4" w:space="0" w:color="auto"/>
            </w:tcBorders>
            <w:shd w:val="clear" w:color="auto" w:fill="C2D69B"/>
            <w:noWrap/>
            <w:vAlign w:val="center"/>
          </w:tcPr>
          <w:p w:rsidR="007F1BA3" w:rsidRPr="001A3CF9" w:rsidRDefault="007F1BA3" w:rsidP="00402862">
            <w:pPr>
              <w:spacing w:after="0" w:line="240" w:lineRule="auto"/>
              <w:jc w:val="center"/>
              <w:rPr>
                <w:b/>
                <w:bCs/>
                <w:color w:val="000000"/>
                <w:lang w:eastAsia="sk-SK"/>
              </w:rPr>
            </w:pPr>
            <w:r w:rsidRPr="001A3CF9">
              <w:rPr>
                <w:b/>
                <w:bCs/>
                <w:color w:val="000000"/>
                <w:lang w:eastAsia="sk-SK"/>
              </w:rPr>
              <w:t>2007</w:t>
            </w:r>
          </w:p>
        </w:tc>
        <w:tc>
          <w:tcPr>
            <w:tcW w:w="643" w:type="pct"/>
            <w:tcBorders>
              <w:top w:val="single" w:sz="4" w:space="0" w:color="auto"/>
              <w:left w:val="nil"/>
              <w:bottom w:val="single" w:sz="4" w:space="0" w:color="auto"/>
              <w:right w:val="single" w:sz="4" w:space="0" w:color="auto"/>
            </w:tcBorders>
            <w:shd w:val="clear" w:color="auto" w:fill="C2D69B"/>
            <w:noWrap/>
            <w:vAlign w:val="center"/>
          </w:tcPr>
          <w:p w:rsidR="007F1BA3" w:rsidRPr="001A3CF9" w:rsidRDefault="007F1BA3" w:rsidP="00402862">
            <w:pPr>
              <w:spacing w:after="0" w:line="240" w:lineRule="auto"/>
              <w:jc w:val="center"/>
              <w:rPr>
                <w:b/>
                <w:bCs/>
                <w:color w:val="000000"/>
                <w:lang w:eastAsia="sk-SK"/>
              </w:rPr>
            </w:pPr>
            <w:r w:rsidRPr="001A3CF9">
              <w:rPr>
                <w:b/>
                <w:bCs/>
                <w:color w:val="000000"/>
                <w:lang w:eastAsia="sk-SK"/>
              </w:rPr>
              <w:t>2008</w:t>
            </w:r>
          </w:p>
        </w:tc>
        <w:tc>
          <w:tcPr>
            <w:tcW w:w="643" w:type="pct"/>
            <w:tcBorders>
              <w:top w:val="single" w:sz="4" w:space="0" w:color="auto"/>
              <w:left w:val="nil"/>
              <w:bottom w:val="single" w:sz="4" w:space="0" w:color="auto"/>
              <w:right w:val="single" w:sz="4" w:space="0" w:color="auto"/>
            </w:tcBorders>
            <w:shd w:val="clear" w:color="auto" w:fill="C2D69B"/>
            <w:noWrap/>
            <w:vAlign w:val="center"/>
          </w:tcPr>
          <w:p w:rsidR="007F1BA3" w:rsidRPr="001A3CF9" w:rsidRDefault="007F1BA3" w:rsidP="00402862">
            <w:pPr>
              <w:spacing w:after="0" w:line="240" w:lineRule="auto"/>
              <w:jc w:val="center"/>
              <w:rPr>
                <w:b/>
                <w:bCs/>
                <w:color w:val="000000"/>
                <w:lang w:eastAsia="sk-SK"/>
              </w:rPr>
            </w:pPr>
            <w:r w:rsidRPr="001A3CF9">
              <w:rPr>
                <w:b/>
                <w:bCs/>
                <w:color w:val="000000"/>
                <w:lang w:eastAsia="sk-SK"/>
              </w:rPr>
              <w:t>2009</w:t>
            </w:r>
          </w:p>
        </w:tc>
        <w:tc>
          <w:tcPr>
            <w:tcW w:w="643" w:type="pct"/>
            <w:tcBorders>
              <w:top w:val="single" w:sz="4" w:space="0" w:color="auto"/>
              <w:left w:val="nil"/>
              <w:bottom w:val="single" w:sz="4" w:space="0" w:color="auto"/>
              <w:right w:val="single" w:sz="4" w:space="0" w:color="auto"/>
            </w:tcBorders>
            <w:shd w:val="clear" w:color="auto" w:fill="C2D69B"/>
            <w:noWrap/>
            <w:vAlign w:val="center"/>
          </w:tcPr>
          <w:p w:rsidR="007F1BA3" w:rsidRPr="001A3CF9" w:rsidRDefault="007F1BA3" w:rsidP="00402862">
            <w:pPr>
              <w:spacing w:after="0" w:line="240" w:lineRule="auto"/>
              <w:jc w:val="center"/>
              <w:rPr>
                <w:b/>
                <w:bCs/>
                <w:color w:val="000000"/>
                <w:lang w:eastAsia="sk-SK"/>
              </w:rPr>
            </w:pPr>
            <w:r w:rsidRPr="001A3CF9">
              <w:rPr>
                <w:b/>
                <w:bCs/>
                <w:color w:val="000000"/>
                <w:lang w:eastAsia="sk-SK"/>
              </w:rPr>
              <w:t>2010</w:t>
            </w:r>
          </w:p>
        </w:tc>
        <w:tc>
          <w:tcPr>
            <w:tcW w:w="643" w:type="pct"/>
            <w:tcBorders>
              <w:top w:val="single" w:sz="4" w:space="0" w:color="auto"/>
              <w:left w:val="nil"/>
              <w:bottom w:val="single" w:sz="4" w:space="0" w:color="auto"/>
              <w:right w:val="single" w:sz="4" w:space="0" w:color="auto"/>
            </w:tcBorders>
            <w:shd w:val="clear" w:color="auto" w:fill="C2D69B"/>
            <w:noWrap/>
            <w:vAlign w:val="center"/>
          </w:tcPr>
          <w:p w:rsidR="007F1BA3" w:rsidRPr="001A3CF9" w:rsidRDefault="007F1BA3" w:rsidP="00402862">
            <w:pPr>
              <w:spacing w:after="0" w:line="240" w:lineRule="auto"/>
              <w:jc w:val="center"/>
              <w:rPr>
                <w:b/>
                <w:bCs/>
                <w:color w:val="000000"/>
                <w:lang w:eastAsia="sk-SK"/>
              </w:rPr>
            </w:pPr>
            <w:r w:rsidRPr="001A3CF9">
              <w:rPr>
                <w:b/>
                <w:bCs/>
                <w:color w:val="000000"/>
                <w:lang w:eastAsia="sk-SK"/>
              </w:rPr>
              <w:t>2011</w:t>
            </w:r>
          </w:p>
        </w:tc>
      </w:tr>
      <w:tr w:rsidR="007F1BA3" w:rsidRPr="001A3CF9" w:rsidTr="00402862">
        <w:trPr>
          <w:trHeight w:val="170"/>
        </w:trPr>
        <w:tc>
          <w:tcPr>
            <w:tcW w:w="499" w:type="pct"/>
            <w:tcBorders>
              <w:top w:val="nil"/>
              <w:left w:val="single" w:sz="4" w:space="0" w:color="auto"/>
              <w:bottom w:val="single" w:sz="4" w:space="0" w:color="auto"/>
              <w:right w:val="single" w:sz="4" w:space="0" w:color="auto"/>
            </w:tcBorders>
            <w:vAlign w:val="center"/>
          </w:tcPr>
          <w:p w:rsidR="007F1BA3" w:rsidRPr="00E91C0F" w:rsidRDefault="007F1BA3" w:rsidP="00402862">
            <w:pPr>
              <w:spacing w:after="0" w:line="240" w:lineRule="auto"/>
              <w:rPr>
                <w:b/>
                <w:color w:val="000000"/>
                <w:lang w:eastAsia="sk-SK"/>
              </w:rPr>
            </w:pPr>
            <w:r w:rsidRPr="00E91C0F">
              <w:rPr>
                <w:b/>
                <w:color w:val="000000"/>
                <w:lang w:eastAsia="sk-SK"/>
              </w:rPr>
              <w:t>150101</w:t>
            </w:r>
          </w:p>
        </w:tc>
        <w:tc>
          <w:tcPr>
            <w:tcW w:w="643" w:type="pct"/>
            <w:tcBorders>
              <w:top w:val="nil"/>
              <w:left w:val="nil"/>
              <w:bottom w:val="single" w:sz="4" w:space="0" w:color="auto"/>
              <w:right w:val="single" w:sz="4" w:space="0" w:color="auto"/>
            </w:tcBorders>
            <w:vAlign w:val="center"/>
          </w:tcPr>
          <w:p w:rsidR="007F1BA3" w:rsidRPr="00E91C0F" w:rsidRDefault="007F1BA3" w:rsidP="00402862">
            <w:pPr>
              <w:spacing w:after="0" w:line="240" w:lineRule="auto"/>
              <w:jc w:val="right"/>
              <w:rPr>
                <w:b/>
                <w:color w:val="000000"/>
                <w:lang w:eastAsia="sk-SK"/>
              </w:rPr>
            </w:pPr>
            <w:r w:rsidRPr="00E91C0F">
              <w:rPr>
                <w:b/>
                <w:color w:val="000000"/>
                <w:lang w:eastAsia="sk-SK"/>
              </w:rPr>
              <w:t>65 767,99</w:t>
            </w:r>
          </w:p>
        </w:tc>
        <w:tc>
          <w:tcPr>
            <w:tcW w:w="643" w:type="pct"/>
            <w:tcBorders>
              <w:top w:val="nil"/>
              <w:left w:val="nil"/>
              <w:bottom w:val="single" w:sz="4" w:space="0" w:color="auto"/>
              <w:right w:val="single" w:sz="4" w:space="0" w:color="auto"/>
            </w:tcBorders>
            <w:vAlign w:val="center"/>
          </w:tcPr>
          <w:p w:rsidR="007F1BA3" w:rsidRPr="00E91C0F" w:rsidRDefault="007F1BA3" w:rsidP="00402862">
            <w:pPr>
              <w:spacing w:after="0" w:line="240" w:lineRule="auto"/>
              <w:jc w:val="right"/>
              <w:rPr>
                <w:b/>
                <w:color w:val="000000"/>
                <w:lang w:eastAsia="sk-SK"/>
              </w:rPr>
            </w:pPr>
            <w:r w:rsidRPr="00E91C0F">
              <w:rPr>
                <w:b/>
                <w:color w:val="000000"/>
                <w:lang w:eastAsia="sk-SK"/>
              </w:rPr>
              <w:t>134 096,94</w:t>
            </w:r>
          </w:p>
        </w:tc>
        <w:tc>
          <w:tcPr>
            <w:tcW w:w="643" w:type="pct"/>
            <w:tcBorders>
              <w:top w:val="nil"/>
              <w:left w:val="nil"/>
              <w:bottom w:val="single" w:sz="4" w:space="0" w:color="auto"/>
              <w:right w:val="single" w:sz="4" w:space="0" w:color="auto"/>
            </w:tcBorders>
            <w:vAlign w:val="center"/>
          </w:tcPr>
          <w:p w:rsidR="007F1BA3" w:rsidRPr="00E91C0F" w:rsidRDefault="007F1BA3" w:rsidP="00402862">
            <w:pPr>
              <w:spacing w:after="0" w:line="240" w:lineRule="auto"/>
              <w:jc w:val="right"/>
              <w:rPr>
                <w:b/>
                <w:color w:val="000000"/>
                <w:lang w:eastAsia="sk-SK"/>
              </w:rPr>
            </w:pPr>
            <w:r w:rsidRPr="00E91C0F">
              <w:rPr>
                <w:b/>
                <w:color w:val="000000"/>
                <w:lang w:eastAsia="sk-SK"/>
              </w:rPr>
              <w:t>108 010,35</w:t>
            </w:r>
          </w:p>
        </w:tc>
        <w:tc>
          <w:tcPr>
            <w:tcW w:w="643" w:type="pct"/>
            <w:tcBorders>
              <w:top w:val="nil"/>
              <w:left w:val="nil"/>
              <w:bottom w:val="single" w:sz="4" w:space="0" w:color="auto"/>
              <w:right w:val="single" w:sz="4" w:space="0" w:color="auto"/>
            </w:tcBorders>
            <w:vAlign w:val="center"/>
          </w:tcPr>
          <w:p w:rsidR="007F1BA3" w:rsidRPr="00E91C0F" w:rsidRDefault="007F1BA3" w:rsidP="00402862">
            <w:pPr>
              <w:spacing w:after="0" w:line="240" w:lineRule="auto"/>
              <w:jc w:val="right"/>
              <w:rPr>
                <w:b/>
                <w:color w:val="000000"/>
                <w:lang w:eastAsia="sk-SK"/>
              </w:rPr>
            </w:pPr>
            <w:r w:rsidRPr="00E91C0F">
              <w:rPr>
                <w:b/>
                <w:color w:val="000000"/>
                <w:lang w:eastAsia="sk-SK"/>
              </w:rPr>
              <w:t>143 287,70</w:t>
            </w:r>
          </w:p>
        </w:tc>
        <w:tc>
          <w:tcPr>
            <w:tcW w:w="643" w:type="pct"/>
            <w:tcBorders>
              <w:top w:val="nil"/>
              <w:left w:val="nil"/>
              <w:bottom w:val="single" w:sz="4" w:space="0" w:color="auto"/>
              <w:right w:val="single" w:sz="4" w:space="0" w:color="auto"/>
            </w:tcBorders>
            <w:vAlign w:val="center"/>
          </w:tcPr>
          <w:p w:rsidR="007F1BA3" w:rsidRPr="00E91C0F" w:rsidRDefault="007F1BA3" w:rsidP="00402862">
            <w:pPr>
              <w:spacing w:after="0" w:line="240" w:lineRule="auto"/>
              <w:jc w:val="right"/>
              <w:rPr>
                <w:b/>
                <w:color w:val="000000"/>
                <w:lang w:eastAsia="sk-SK"/>
              </w:rPr>
            </w:pPr>
            <w:r w:rsidRPr="00E91C0F">
              <w:rPr>
                <w:b/>
                <w:color w:val="000000"/>
                <w:lang w:eastAsia="sk-SK"/>
              </w:rPr>
              <w:t>121 449,30</w:t>
            </w:r>
          </w:p>
        </w:tc>
        <w:tc>
          <w:tcPr>
            <w:tcW w:w="643" w:type="pct"/>
            <w:tcBorders>
              <w:top w:val="nil"/>
              <w:left w:val="nil"/>
              <w:bottom w:val="single" w:sz="4" w:space="0" w:color="auto"/>
              <w:right w:val="single" w:sz="4" w:space="0" w:color="auto"/>
            </w:tcBorders>
            <w:vAlign w:val="center"/>
          </w:tcPr>
          <w:p w:rsidR="007F1BA3" w:rsidRPr="00E91C0F" w:rsidRDefault="007F1BA3" w:rsidP="00402862">
            <w:pPr>
              <w:spacing w:after="0" w:line="240" w:lineRule="auto"/>
              <w:jc w:val="right"/>
              <w:rPr>
                <w:b/>
                <w:color w:val="000000"/>
                <w:lang w:eastAsia="sk-SK"/>
              </w:rPr>
            </w:pPr>
            <w:r w:rsidRPr="00E91C0F">
              <w:rPr>
                <w:b/>
                <w:color w:val="000000"/>
                <w:lang w:eastAsia="sk-SK"/>
              </w:rPr>
              <w:t>114 296,52</w:t>
            </w:r>
          </w:p>
        </w:tc>
        <w:tc>
          <w:tcPr>
            <w:tcW w:w="643" w:type="pct"/>
            <w:tcBorders>
              <w:top w:val="nil"/>
              <w:left w:val="nil"/>
              <w:bottom w:val="single" w:sz="4" w:space="0" w:color="auto"/>
              <w:right w:val="single" w:sz="4" w:space="0" w:color="auto"/>
            </w:tcBorders>
            <w:vAlign w:val="center"/>
          </w:tcPr>
          <w:p w:rsidR="007F1BA3" w:rsidRPr="00E91C0F" w:rsidRDefault="007F1BA3" w:rsidP="00402862">
            <w:pPr>
              <w:spacing w:after="0" w:line="240" w:lineRule="auto"/>
              <w:jc w:val="right"/>
              <w:rPr>
                <w:b/>
                <w:color w:val="000000"/>
                <w:lang w:eastAsia="sk-SK"/>
              </w:rPr>
            </w:pPr>
            <w:r w:rsidRPr="00E91C0F">
              <w:rPr>
                <w:b/>
                <w:color w:val="000000"/>
                <w:lang w:eastAsia="sk-SK"/>
              </w:rPr>
              <w:t>125 301,00</w:t>
            </w:r>
          </w:p>
        </w:tc>
      </w:tr>
      <w:tr w:rsidR="007F1BA3" w:rsidRPr="001A3CF9" w:rsidTr="00402862">
        <w:trPr>
          <w:trHeight w:val="170"/>
        </w:trPr>
        <w:tc>
          <w:tcPr>
            <w:tcW w:w="499" w:type="pct"/>
            <w:tcBorders>
              <w:top w:val="nil"/>
              <w:left w:val="single" w:sz="4" w:space="0" w:color="auto"/>
              <w:bottom w:val="single" w:sz="4" w:space="0" w:color="auto"/>
              <w:right w:val="single" w:sz="4" w:space="0" w:color="auto"/>
            </w:tcBorders>
            <w:vAlign w:val="center"/>
          </w:tcPr>
          <w:p w:rsidR="007F1BA3" w:rsidRPr="00F933E5" w:rsidRDefault="007F1BA3" w:rsidP="00402862">
            <w:pPr>
              <w:spacing w:after="0" w:line="240" w:lineRule="auto"/>
              <w:rPr>
                <w:b/>
                <w:color w:val="000000"/>
                <w:lang w:eastAsia="sk-SK"/>
              </w:rPr>
            </w:pPr>
            <w:r w:rsidRPr="00F933E5">
              <w:rPr>
                <w:b/>
                <w:color w:val="000000"/>
                <w:lang w:eastAsia="sk-SK"/>
              </w:rPr>
              <w:t>150102</w:t>
            </w:r>
          </w:p>
        </w:tc>
        <w:tc>
          <w:tcPr>
            <w:tcW w:w="643" w:type="pct"/>
            <w:tcBorders>
              <w:top w:val="nil"/>
              <w:left w:val="nil"/>
              <w:bottom w:val="single" w:sz="4" w:space="0" w:color="auto"/>
              <w:right w:val="single" w:sz="4" w:space="0" w:color="auto"/>
            </w:tcBorders>
            <w:vAlign w:val="center"/>
          </w:tcPr>
          <w:p w:rsidR="007F1BA3" w:rsidRPr="00F933E5" w:rsidRDefault="007F1BA3" w:rsidP="00402862">
            <w:pPr>
              <w:spacing w:after="0" w:line="240" w:lineRule="auto"/>
              <w:jc w:val="right"/>
              <w:rPr>
                <w:b/>
                <w:color w:val="000000"/>
                <w:lang w:eastAsia="sk-SK"/>
              </w:rPr>
            </w:pPr>
            <w:r w:rsidRPr="00F933E5">
              <w:rPr>
                <w:b/>
                <w:color w:val="000000"/>
                <w:lang w:eastAsia="sk-SK"/>
              </w:rPr>
              <w:t>20 910,43</w:t>
            </w:r>
          </w:p>
        </w:tc>
        <w:tc>
          <w:tcPr>
            <w:tcW w:w="643" w:type="pct"/>
            <w:tcBorders>
              <w:top w:val="nil"/>
              <w:left w:val="nil"/>
              <w:bottom w:val="single" w:sz="4" w:space="0" w:color="auto"/>
              <w:right w:val="single" w:sz="4" w:space="0" w:color="auto"/>
            </w:tcBorders>
            <w:vAlign w:val="center"/>
          </w:tcPr>
          <w:p w:rsidR="007F1BA3" w:rsidRPr="00F933E5" w:rsidRDefault="007F1BA3" w:rsidP="00402862">
            <w:pPr>
              <w:spacing w:after="0" w:line="240" w:lineRule="auto"/>
              <w:jc w:val="right"/>
              <w:rPr>
                <w:b/>
                <w:color w:val="000000"/>
                <w:lang w:eastAsia="sk-SK"/>
              </w:rPr>
            </w:pPr>
            <w:r w:rsidRPr="00F933E5">
              <w:rPr>
                <w:b/>
                <w:color w:val="000000"/>
                <w:lang w:eastAsia="sk-SK"/>
              </w:rPr>
              <w:t>28 230,16</w:t>
            </w:r>
          </w:p>
        </w:tc>
        <w:tc>
          <w:tcPr>
            <w:tcW w:w="643" w:type="pct"/>
            <w:tcBorders>
              <w:top w:val="nil"/>
              <w:left w:val="nil"/>
              <w:bottom w:val="single" w:sz="4" w:space="0" w:color="auto"/>
              <w:right w:val="single" w:sz="4" w:space="0" w:color="auto"/>
            </w:tcBorders>
            <w:vAlign w:val="center"/>
          </w:tcPr>
          <w:p w:rsidR="007F1BA3" w:rsidRPr="00F933E5" w:rsidRDefault="007F1BA3" w:rsidP="00402862">
            <w:pPr>
              <w:spacing w:after="0" w:line="240" w:lineRule="auto"/>
              <w:jc w:val="right"/>
              <w:rPr>
                <w:b/>
                <w:color w:val="000000"/>
                <w:lang w:eastAsia="sk-SK"/>
              </w:rPr>
            </w:pPr>
            <w:r w:rsidRPr="00F933E5">
              <w:rPr>
                <w:b/>
                <w:color w:val="000000"/>
                <w:lang w:eastAsia="sk-SK"/>
              </w:rPr>
              <w:t>28 997,82</w:t>
            </w:r>
          </w:p>
        </w:tc>
        <w:tc>
          <w:tcPr>
            <w:tcW w:w="643" w:type="pct"/>
            <w:tcBorders>
              <w:top w:val="nil"/>
              <w:left w:val="nil"/>
              <w:bottom w:val="single" w:sz="4" w:space="0" w:color="auto"/>
              <w:right w:val="single" w:sz="4" w:space="0" w:color="auto"/>
            </w:tcBorders>
            <w:vAlign w:val="center"/>
          </w:tcPr>
          <w:p w:rsidR="007F1BA3" w:rsidRPr="00F933E5" w:rsidRDefault="007F1BA3" w:rsidP="00402862">
            <w:pPr>
              <w:spacing w:after="0" w:line="240" w:lineRule="auto"/>
              <w:jc w:val="right"/>
              <w:rPr>
                <w:b/>
                <w:color w:val="000000"/>
                <w:lang w:eastAsia="sk-SK"/>
              </w:rPr>
            </w:pPr>
            <w:r w:rsidRPr="00F933E5">
              <w:rPr>
                <w:b/>
                <w:color w:val="000000"/>
                <w:lang w:eastAsia="sk-SK"/>
              </w:rPr>
              <w:t>30 998,97</w:t>
            </w:r>
          </w:p>
        </w:tc>
        <w:tc>
          <w:tcPr>
            <w:tcW w:w="643" w:type="pct"/>
            <w:tcBorders>
              <w:top w:val="nil"/>
              <w:left w:val="nil"/>
              <w:bottom w:val="single" w:sz="4" w:space="0" w:color="auto"/>
              <w:right w:val="single" w:sz="4" w:space="0" w:color="auto"/>
            </w:tcBorders>
            <w:vAlign w:val="center"/>
          </w:tcPr>
          <w:p w:rsidR="007F1BA3" w:rsidRPr="00F933E5" w:rsidRDefault="007F1BA3" w:rsidP="00402862">
            <w:pPr>
              <w:spacing w:after="0" w:line="240" w:lineRule="auto"/>
              <w:jc w:val="right"/>
              <w:rPr>
                <w:b/>
                <w:color w:val="000000"/>
                <w:lang w:eastAsia="sk-SK"/>
              </w:rPr>
            </w:pPr>
            <w:r w:rsidRPr="00F933E5">
              <w:rPr>
                <w:b/>
                <w:color w:val="000000"/>
                <w:lang w:eastAsia="sk-SK"/>
              </w:rPr>
              <w:t>32 470,27</w:t>
            </w:r>
          </w:p>
        </w:tc>
        <w:tc>
          <w:tcPr>
            <w:tcW w:w="643" w:type="pct"/>
            <w:tcBorders>
              <w:top w:val="nil"/>
              <w:left w:val="nil"/>
              <w:bottom w:val="single" w:sz="4" w:space="0" w:color="auto"/>
              <w:right w:val="single" w:sz="4" w:space="0" w:color="auto"/>
            </w:tcBorders>
            <w:vAlign w:val="center"/>
          </w:tcPr>
          <w:p w:rsidR="007F1BA3" w:rsidRPr="00F933E5" w:rsidRDefault="007F1BA3" w:rsidP="00402862">
            <w:pPr>
              <w:spacing w:after="0" w:line="240" w:lineRule="auto"/>
              <w:jc w:val="right"/>
              <w:rPr>
                <w:b/>
                <w:color w:val="000000"/>
                <w:lang w:eastAsia="sk-SK"/>
              </w:rPr>
            </w:pPr>
            <w:r w:rsidRPr="00F933E5">
              <w:rPr>
                <w:b/>
                <w:color w:val="000000"/>
                <w:lang w:eastAsia="sk-SK"/>
              </w:rPr>
              <w:t>36 504,92</w:t>
            </w:r>
          </w:p>
        </w:tc>
        <w:tc>
          <w:tcPr>
            <w:tcW w:w="643" w:type="pct"/>
            <w:tcBorders>
              <w:top w:val="nil"/>
              <w:left w:val="nil"/>
              <w:bottom w:val="single" w:sz="4" w:space="0" w:color="auto"/>
              <w:right w:val="single" w:sz="4" w:space="0" w:color="auto"/>
            </w:tcBorders>
            <w:vAlign w:val="center"/>
          </w:tcPr>
          <w:p w:rsidR="007F1BA3" w:rsidRPr="00F933E5" w:rsidRDefault="007F1BA3" w:rsidP="00402862">
            <w:pPr>
              <w:spacing w:after="0" w:line="240" w:lineRule="auto"/>
              <w:jc w:val="right"/>
              <w:rPr>
                <w:b/>
                <w:color w:val="000000"/>
                <w:lang w:eastAsia="sk-SK"/>
              </w:rPr>
            </w:pPr>
            <w:r w:rsidRPr="00F933E5">
              <w:rPr>
                <w:b/>
                <w:color w:val="000000"/>
                <w:lang w:eastAsia="sk-SK"/>
              </w:rPr>
              <w:t>52 178,08</w:t>
            </w:r>
          </w:p>
        </w:tc>
      </w:tr>
      <w:tr w:rsidR="007F1BA3" w:rsidRPr="001A3CF9" w:rsidTr="00402862">
        <w:trPr>
          <w:trHeight w:val="170"/>
        </w:trPr>
        <w:tc>
          <w:tcPr>
            <w:tcW w:w="499" w:type="pct"/>
            <w:tcBorders>
              <w:top w:val="nil"/>
              <w:left w:val="single" w:sz="4" w:space="0" w:color="auto"/>
              <w:bottom w:val="single" w:sz="4" w:space="0" w:color="auto"/>
              <w:right w:val="single" w:sz="4" w:space="0" w:color="auto"/>
            </w:tcBorders>
            <w:vAlign w:val="center"/>
          </w:tcPr>
          <w:p w:rsidR="007F1BA3" w:rsidRPr="001A3CF9" w:rsidRDefault="007F1BA3" w:rsidP="00402862">
            <w:pPr>
              <w:spacing w:after="0" w:line="240" w:lineRule="auto"/>
              <w:rPr>
                <w:color w:val="000000"/>
                <w:lang w:eastAsia="sk-SK"/>
              </w:rPr>
            </w:pPr>
            <w:r w:rsidRPr="001A3CF9">
              <w:rPr>
                <w:color w:val="000000"/>
                <w:lang w:eastAsia="sk-SK"/>
              </w:rPr>
              <w:t>150103</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13 165,94</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15 163,04</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17 863,59</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25 345,29</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21 619,33</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23 236,19</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24 447,58</w:t>
            </w:r>
          </w:p>
        </w:tc>
      </w:tr>
      <w:tr w:rsidR="007F1BA3" w:rsidRPr="001A3CF9" w:rsidTr="00402862">
        <w:trPr>
          <w:trHeight w:val="170"/>
        </w:trPr>
        <w:tc>
          <w:tcPr>
            <w:tcW w:w="499" w:type="pct"/>
            <w:tcBorders>
              <w:top w:val="nil"/>
              <w:left w:val="single" w:sz="4" w:space="0" w:color="auto"/>
              <w:bottom w:val="single" w:sz="4" w:space="0" w:color="auto"/>
              <w:right w:val="single" w:sz="4" w:space="0" w:color="auto"/>
            </w:tcBorders>
            <w:vAlign w:val="center"/>
          </w:tcPr>
          <w:p w:rsidR="007F1BA3" w:rsidRPr="001A3CF9" w:rsidRDefault="007F1BA3" w:rsidP="00402862">
            <w:pPr>
              <w:spacing w:after="0" w:line="240" w:lineRule="auto"/>
              <w:rPr>
                <w:color w:val="000000"/>
                <w:lang w:eastAsia="sk-SK"/>
              </w:rPr>
            </w:pPr>
            <w:r w:rsidRPr="001A3CF9">
              <w:rPr>
                <w:color w:val="000000"/>
                <w:lang w:eastAsia="sk-SK"/>
              </w:rPr>
              <w:t>150104</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16 977,75</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2 455,67</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9 441,50</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16 378,74</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11 075,79</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14 567,21</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11 183,80</w:t>
            </w:r>
          </w:p>
        </w:tc>
      </w:tr>
      <w:tr w:rsidR="007F1BA3" w:rsidRPr="001A3CF9" w:rsidTr="00402862">
        <w:trPr>
          <w:trHeight w:val="170"/>
        </w:trPr>
        <w:tc>
          <w:tcPr>
            <w:tcW w:w="499" w:type="pct"/>
            <w:tcBorders>
              <w:top w:val="nil"/>
              <w:left w:val="single" w:sz="4" w:space="0" w:color="auto"/>
              <w:bottom w:val="single" w:sz="4" w:space="0" w:color="auto"/>
              <w:right w:val="single" w:sz="4" w:space="0" w:color="auto"/>
            </w:tcBorders>
            <w:vAlign w:val="center"/>
          </w:tcPr>
          <w:p w:rsidR="007F1BA3" w:rsidRPr="001A3CF9" w:rsidRDefault="007F1BA3" w:rsidP="00402862">
            <w:pPr>
              <w:spacing w:after="0" w:line="240" w:lineRule="auto"/>
              <w:rPr>
                <w:color w:val="000000"/>
                <w:lang w:eastAsia="sk-SK"/>
              </w:rPr>
            </w:pPr>
            <w:r w:rsidRPr="001A3CF9">
              <w:rPr>
                <w:color w:val="000000"/>
                <w:lang w:eastAsia="sk-SK"/>
              </w:rPr>
              <w:t>150105</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733,37</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450,21</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840,61</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1 091,35</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1 073,87</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774,60</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945,10</w:t>
            </w:r>
          </w:p>
        </w:tc>
      </w:tr>
      <w:tr w:rsidR="007F1BA3" w:rsidRPr="001A3CF9" w:rsidTr="00402862">
        <w:trPr>
          <w:trHeight w:val="170"/>
        </w:trPr>
        <w:tc>
          <w:tcPr>
            <w:tcW w:w="499" w:type="pct"/>
            <w:tcBorders>
              <w:top w:val="nil"/>
              <w:left w:val="single" w:sz="4" w:space="0" w:color="auto"/>
              <w:bottom w:val="single" w:sz="4" w:space="0" w:color="auto"/>
              <w:right w:val="single" w:sz="4" w:space="0" w:color="auto"/>
            </w:tcBorders>
            <w:vAlign w:val="center"/>
          </w:tcPr>
          <w:p w:rsidR="007F1BA3" w:rsidRPr="0073233A" w:rsidRDefault="007F1BA3" w:rsidP="00402862">
            <w:pPr>
              <w:spacing w:after="0" w:line="240" w:lineRule="auto"/>
              <w:rPr>
                <w:color w:val="000000"/>
                <w:lang w:eastAsia="sk-SK"/>
              </w:rPr>
            </w:pPr>
            <w:r w:rsidRPr="0073233A">
              <w:rPr>
                <w:color w:val="000000"/>
                <w:lang w:eastAsia="sk-SK"/>
              </w:rPr>
              <w:t>150106</w:t>
            </w:r>
          </w:p>
        </w:tc>
        <w:tc>
          <w:tcPr>
            <w:tcW w:w="643" w:type="pct"/>
            <w:tcBorders>
              <w:top w:val="nil"/>
              <w:left w:val="nil"/>
              <w:bottom w:val="single" w:sz="4" w:space="0" w:color="auto"/>
              <w:right w:val="single" w:sz="4" w:space="0" w:color="auto"/>
            </w:tcBorders>
            <w:vAlign w:val="center"/>
          </w:tcPr>
          <w:p w:rsidR="007F1BA3" w:rsidRPr="0073233A" w:rsidRDefault="007F1BA3" w:rsidP="00402862">
            <w:pPr>
              <w:spacing w:after="0" w:line="240" w:lineRule="auto"/>
              <w:jc w:val="right"/>
              <w:rPr>
                <w:color w:val="000000"/>
                <w:lang w:eastAsia="sk-SK"/>
              </w:rPr>
            </w:pPr>
            <w:r w:rsidRPr="0073233A">
              <w:rPr>
                <w:color w:val="000000"/>
                <w:lang w:eastAsia="sk-SK"/>
              </w:rPr>
              <w:t>54 197,44</w:t>
            </w:r>
          </w:p>
        </w:tc>
        <w:tc>
          <w:tcPr>
            <w:tcW w:w="643" w:type="pct"/>
            <w:tcBorders>
              <w:top w:val="nil"/>
              <w:left w:val="nil"/>
              <w:bottom w:val="single" w:sz="4" w:space="0" w:color="auto"/>
              <w:right w:val="single" w:sz="4" w:space="0" w:color="auto"/>
            </w:tcBorders>
            <w:vAlign w:val="center"/>
          </w:tcPr>
          <w:p w:rsidR="007F1BA3" w:rsidRPr="0073233A" w:rsidRDefault="007F1BA3" w:rsidP="00402862">
            <w:pPr>
              <w:spacing w:after="0" w:line="240" w:lineRule="auto"/>
              <w:jc w:val="right"/>
              <w:rPr>
                <w:color w:val="000000"/>
                <w:lang w:eastAsia="sk-SK"/>
              </w:rPr>
            </w:pPr>
            <w:r w:rsidRPr="0073233A">
              <w:rPr>
                <w:color w:val="000000"/>
                <w:lang w:eastAsia="sk-SK"/>
              </w:rPr>
              <w:t>79 367,48</w:t>
            </w:r>
          </w:p>
        </w:tc>
        <w:tc>
          <w:tcPr>
            <w:tcW w:w="643" w:type="pct"/>
            <w:tcBorders>
              <w:top w:val="nil"/>
              <w:left w:val="nil"/>
              <w:bottom w:val="single" w:sz="4" w:space="0" w:color="auto"/>
              <w:right w:val="single" w:sz="4" w:space="0" w:color="auto"/>
            </w:tcBorders>
            <w:vAlign w:val="center"/>
          </w:tcPr>
          <w:p w:rsidR="007F1BA3" w:rsidRPr="0073233A" w:rsidRDefault="007F1BA3" w:rsidP="00402862">
            <w:pPr>
              <w:spacing w:after="0" w:line="240" w:lineRule="auto"/>
              <w:jc w:val="right"/>
              <w:rPr>
                <w:color w:val="000000"/>
                <w:lang w:eastAsia="sk-SK"/>
              </w:rPr>
            </w:pPr>
            <w:r w:rsidRPr="0073233A">
              <w:rPr>
                <w:color w:val="000000"/>
                <w:lang w:eastAsia="sk-SK"/>
              </w:rPr>
              <w:t>71 806,74</w:t>
            </w:r>
          </w:p>
        </w:tc>
        <w:tc>
          <w:tcPr>
            <w:tcW w:w="643" w:type="pct"/>
            <w:tcBorders>
              <w:top w:val="nil"/>
              <w:left w:val="nil"/>
              <w:bottom w:val="single" w:sz="4" w:space="0" w:color="auto"/>
              <w:right w:val="single" w:sz="4" w:space="0" w:color="auto"/>
            </w:tcBorders>
            <w:vAlign w:val="center"/>
          </w:tcPr>
          <w:p w:rsidR="007F1BA3" w:rsidRPr="0073233A" w:rsidRDefault="007F1BA3" w:rsidP="00402862">
            <w:pPr>
              <w:spacing w:after="0" w:line="240" w:lineRule="auto"/>
              <w:jc w:val="right"/>
              <w:rPr>
                <w:color w:val="000000"/>
                <w:lang w:eastAsia="sk-SK"/>
              </w:rPr>
            </w:pPr>
            <w:r w:rsidRPr="0073233A">
              <w:rPr>
                <w:color w:val="000000"/>
                <w:lang w:eastAsia="sk-SK"/>
              </w:rPr>
              <w:t>75 515,75</w:t>
            </w:r>
          </w:p>
        </w:tc>
        <w:tc>
          <w:tcPr>
            <w:tcW w:w="643" w:type="pct"/>
            <w:tcBorders>
              <w:top w:val="nil"/>
              <w:left w:val="nil"/>
              <w:bottom w:val="single" w:sz="4" w:space="0" w:color="auto"/>
              <w:right w:val="single" w:sz="4" w:space="0" w:color="auto"/>
            </w:tcBorders>
            <w:vAlign w:val="center"/>
          </w:tcPr>
          <w:p w:rsidR="007F1BA3" w:rsidRPr="0073233A" w:rsidRDefault="007F1BA3" w:rsidP="00402862">
            <w:pPr>
              <w:spacing w:after="0" w:line="240" w:lineRule="auto"/>
              <w:jc w:val="right"/>
              <w:rPr>
                <w:color w:val="000000"/>
                <w:lang w:eastAsia="sk-SK"/>
              </w:rPr>
            </w:pPr>
            <w:r w:rsidRPr="0073233A">
              <w:rPr>
                <w:color w:val="000000"/>
                <w:lang w:eastAsia="sk-SK"/>
              </w:rPr>
              <w:t>84 608,37</w:t>
            </w:r>
          </w:p>
        </w:tc>
        <w:tc>
          <w:tcPr>
            <w:tcW w:w="643" w:type="pct"/>
            <w:tcBorders>
              <w:top w:val="nil"/>
              <w:left w:val="nil"/>
              <w:bottom w:val="single" w:sz="4" w:space="0" w:color="auto"/>
              <w:right w:val="single" w:sz="4" w:space="0" w:color="auto"/>
            </w:tcBorders>
            <w:vAlign w:val="center"/>
          </w:tcPr>
          <w:p w:rsidR="007F1BA3" w:rsidRPr="0073233A" w:rsidRDefault="007F1BA3" w:rsidP="00402862">
            <w:pPr>
              <w:spacing w:after="0" w:line="240" w:lineRule="auto"/>
              <w:jc w:val="right"/>
              <w:rPr>
                <w:color w:val="000000"/>
                <w:lang w:eastAsia="sk-SK"/>
              </w:rPr>
            </w:pPr>
            <w:r w:rsidRPr="0073233A">
              <w:rPr>
                <w:color w:val="000000"/>
                <w:lang w:eastAsia="sk-SK"/>
              </w:rPr>
              <w:t>119 808,29</w:t>
            </w:r>
          </w:p>
        </w:tc>
        <w:tc>
          <w:tcPr>
            <w:tcW w:w="643" w:type="pct"/>
            <w:tcBorders>
              <w:top w:val="nil"/>
              <w:left w:val="nil"/>
              <w:bottom w:val="single" w:sz="4" w:space="0" w:color="auto"/>
              <w:right w:val="single" w:sz="4" w:space="0" w:color="auto"/>
            </w:tcBorders>
            <w:vAlign w:val="center"/>
          </w:tcPr>
          <w:p w:rsidR="007F1BA3" w:rsidRPr="0073233A" w:rsidRDefault="007F1BA3" w:rsidP="00402862">
            <w:pPr>
              <w:spacing w:after="0" w:line="240" w:lineRule="auto"/>
              <w:jc w:val="right"/>
              <w:rPr>
                <w:color w:val="000000"/>
                <w:lang w:eastAsia="sk-SK"/>
              </w:rPr>
            </w:pPr>
            <w:r w:rsidRPr="0073233A">
              <w:rPr>
                <w:color w:val="000000"/>
                <w:lang w:eastAsia="sk-SK"/>
              </w:rPr>
              <w:t>75 070,79</w:t>
            </w:r>
          </w:p>
        </w:tc>
      </w:tr>
      <w:tr w:rsidR="007F1BA3" w:rsidRPr="001A3CF9" w:rsidTr="00402862">
        <w:trPr>
          <w:trHeight w:val="170"/>
        </w:trPr>
        <w:tc>
          <w:tcPr>
            <w:tcW w:w="499" w:type="pct"/>
            <w:tcBorders>
              <w:top w:val="nil"/>
              <w:left w:val="single" w:sz="4" w:space="0" w:color="auto"/>
              <w:bottom w:val="single" w:sz="4" w:space="0" w:color="auto"/>
              <w:right w:val="single" w:sz="4" w:space="0" w:color="auto"/>
            </w:tcBorders>
            <w:vAlign w:val="center"/>
          </w:tcPr>
          <w:p w:rsidR="007F1BA3" w:rsidRPr="001A3CF9" w:rsidRDefault="007F1BA3" w:rsidP="00402862">
            <w:pPr>
              <w:spacing w:after="0" w:line="240" w:lineRule="auto"/>
              <w:rPr>
                <w:color w:val="000000"/>
                <w:lang w:eastAsia="sk-SK"/>
              </w:rPr>
            </w:pPr>
            <w:r w:rsidRPr="001A3CF9">
              <w:rPr>
                <w:color w:val="000000"/>
                <w:lang w:eastAsia="sk-SK"/>
              </w:rPr>
              <w:t>150107</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5 303,30</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5 310,80</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7 147,48</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5 480,22</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3 773,25</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7 109,26</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4 623,59</w:t>
            </w:r>
          </w:p>
        </w:tc>
      </w:tr>
      <w:tr w:rsidR="007F1BA3" w:rsidRPr="001A3CF9" w:rsidTr="00402862">
        <w:trPr>
          <w:trHeight w:val="170"/>
        </w:trPr>
        <w:tc>
          <w:tcPr>
            <w:tcW w:w="499" w:type="pct"/>
            <w:tcBorders>
              <w:top w:val="nil"/>
              <w:left w:val="single" w:sz="4" w:space="0" w:color="auto"/>
              <w:bottom w:val="single" w:sz="4" w:space="0" w:color="auto"/>
              <w:right w:val="single" w:sz="4" w:space="0" w:color="auto"/>
            </w:tcBorders>
            <w:vAlign w:val="center"/>
          </w:tcPr>
          <w:p w:rsidR="007F1BA3" w:rsidRPr="001A3CF9" w:rsidRDefault="007F1BA3" w:rsidP="00402862">
            <w:pPr>
              <w:spacing w:after="0" w:line="240" w:lineRule="auto"/>
              <w:rPr>
                <w:color w:val="000000"/>
                <w:lang w:eastAsia="sk-SK"/>
              </w:rPr>
            </w:pPr>
            <w:r w:rsidRPr="001A3CF9">
              <w:rPr>
                <w:color w:val="000000"/>
                <w:lang w:eastAsia="sk-SK"/>
              </w:rPr>
              <w:t>150109</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1 334,89</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1 378,44</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479,91</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507,40</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71,03</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62,92</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90,13</w:t>
            </w:r>
          </w:p>
        </w:tc>
      </w:tr>
      <w:tr w:rsidR="007F1BA3" w:rsidRPr="001A3CF9" w:rsidTr="00402862">
        <w:trPr>
          <w:trHeight w:val="170"/>
        </w:trPr>
        <w:tc>
          <w:tcPr>
            <w:tcW w:w="499" w:type="pct"/>
            <w:tcBorders>
              <w:top w:val="nil"/>
              <w:left w:val="single" w:sz="4" w:space="0" w:color="auto"/>
              <w:bottom w:val="single" w:sz="4" w:space="0" w:color="auto"/>
              <w:right w:val="single" w:sz="4" w:space="0" w:color="auto"/>
            </w:tcBorders>
            <w:vAlign w:val="center"/>
          </w:tcPr>
          <w:p w:rsidR="007F1BA3" w:rsidRPr="001A3CF9" w:rsidRDefault="007F1BA3" w:rsidP="00402862">
            <w:pPr>
              <w:spacing w:after="0" w:line="240" w:lineRule="auto"/>
              <w:rPr>
                <w:color w:val="000000"/>
                <w:lang w:eastAsia="sk-SK"/>
              </w:rPr>
            </w:pPr>
            <w:r w:rsidRPr="001A3CF9">
              <w:rPr>
                <w:color w:val="000000"/>
                <w:lang w:eastAsia="sk-SK"/>
              </w:rPr>
              <w:t>150110</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5 180,53</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5 114,78</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5 976,27</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5 786,54</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5 099,75</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4 822,45</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6 201,43</w:t>
            </w:r>
          </w:p>
        </w:tc>
      </w:tr>
      <w:tr w:rsidR="007F1BA3" w:rsidRPr="001A3CF9" w:rsidTr="00402862">
        <w:trPr>
          <w:trHeight w:val="170"/>
        </w:trPr>
        <w:tc>
          <w:tcPr>
            <w:tcW w:w="499" w:type="pct"/>
            <w:tcBorders>
              <w:top w:val="nil"/>
              <w:left w:val="single" w:sz="4" w:space="0" w:color="auto"/>
              <w:bottom w:val="single" w:sz="4" w:space="0" w:color="auto"/>
              <w:right w:val="single" w:sz="4" w:space="0" w:color="auto"/>
            </w:tcBorders>
            <w:vAlign w:val="center"/>
          </w:tcPr>
          <w:p w:rsidR="007F1BA3" w:rsidRPr="001A3CF9" w:rsidRDefault="007F1BA3" w:rsidP="00402862">
            <w:pPr>
              <w:spacing w:after="0" w:line="240" w:lineRule="auto"/>
              <w:rPr>
                <w:color w:val="000000"/>
                <w:lang w:eastAsia="sk-SK"/>
              </w:rPr>
            </w:pPr>
            <w:r w:rsidRPr="001A3CF9">
              <w:rPr>
                <w:color w:val="000000"/>
                <w:lang w:eastAsia="sk-SK"/>
              </w:rPr>
              <w:t>150111</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174,70</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133,68</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145,54</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78,94</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67,82</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156,88</w:t>
            </w:r>
          </w:p>
        </w:tc>
        <w:tc>
          <w:tcPr>
            <w:tcW w:w="643" w:type="pct"/>
            <w:tcBorders>
              <w:top w:val="nil"/>
              <w:left w:val="nil"/>
              <w:bottom w:val="single" w:sz="4" w:space="0" w:color="auto"/>
              <w:right w:val="single" w:sz="4" w:space="0" w:color="auto"/>
            </w:tcBorders>
            <w:vAlign w:val="center"/>
          </w:tcPr>
          <w:p w:rsidR="007F1BA3" w:rsidRPr="001A3CF9" w:rsidRDefault="007F1BA3" w:rsidP="00402862">
            <w:pPr>
              <w:spacing w:after="0" w:line="240" w:lineRule="auto"/>
              <w:jc w:val="right"/>
              <w:rPr>
                <w:color w:val="000000"/>
                <w:lang w:eastAsia="sk-SK"/>
              </w:rPr>
            </w:pPr>
            <w:r w:rsidRPr="001A3CF9">
              <w:rPr>
                <w:color w:val="000000"/>
                <w:lang w:eastAsia="sk-SK"/>
              </w:rPr>
              <w:t>89,70</w:t>
            </w:r>
          </w:p>
        </w:tc>
      </w:tr>
    </w:tbl>
    <w:p w:rsidR="007F1BA3" w:rsidRDefault="007F1BA3" w:rsidP="00C74F67">
      <w:pPr>
        <w:jc w:val="both"/>
        <w:rPr>
          <w:lang w:eastAsia="sk-SK"/>
        </w:rPr>
      </w:pPr>
      <w:r>
        <w:rPr>
          <w:lang w:eastAsia="sk-SK"/>
        </w:rPr>
        <w:t>Zdroj: RISO, SAŽP</w:t>
      </w:r>
    </w:p>
    <w:p w:rsidR="007F1BA3" w:rsidRDefault="007F1BA3" w:rsidP="00C74F67">
      <w:pPr>
        <w:spacing w:before="240"/>
        <w:jc w:val="both"/>
        <w:rPr>
          <w:lang w:eastAsia="sk-SK"/>
        </w:rPr>
      </w:pPr>
    </w:p>
    <w:p w:rsidR="007F1BA3" w:rsidRDefault="007F1BA3" w:rsidP="00C74F67">
      <w:pPr>
        <w:pStyle w:val="Nadpis3"/>
        <w:rPr>
          <w:color w:val="336600"/>
          <w:lang w:eastAsia="sk-SK"/>
        </w:rPr>
      </w:pPr>
      <w:bookmarkStart w:id="18" w:name="_Toc356292953"/>
      <w:r>
        <w:rPr>
          <w:color w:val="336600"/>
          <w:lang w:eastAsia="sk-SK"/>
        </w:rPr>
        <w:t>2.2.6</w:t>
      </w:r>
      <w:r>
        <w:rPr>
          <w:color w:val="336600"/>
          <w:lang w:eastAsia="sk-SK"/>
        </w:rPr>
        <w:tab/>
      </w:r>
      <w:r w:rsidRPr="00DB3110">
        <w:rPr>
          <w:color w:val="336600"/>
          <w:lang w:eastAsia="sk-SK"/>
        </w:rPr>
        <w:t>Vznik stavebných odpadov</w:t>
      </w:r>
      <w:r w:rsidRPr="00BB4A31">
        <w:rPr>
          <w:color w:val="336600"/>
          <w:lang w:eastAsia="sk-SK"/>
        </w:rPr>
        <w:t xml:space="preserve"> </w:t>
      </w:r>
      <w:r>
        <w:rPr>
          <w:color w:val="336600"/>
          <w:lang w:eastAsia="sk-SK"/>
        </w:rPr>
        <w:t>a odpadov z demolácií</w:t>
      </w:r>
      <w:bookmarkEnd w:id="18"/>
    </w:p>
    <w:p w:rsidR="007F1BA3" w:rsidRPr="00DB3110" w:rsidRDefault="007F1BA3" w:rsidP="0098624B">
      <w:pPr>
        <w:jc w:val="both"/>
        <w:rPr>
          <w:lang w:eastAsia="sk-SK"/>
        </w:rPr>
      </w:pPr>
      <w:r>
        <w:rPr>
          <w:lang w:eastAsia="sk-SK"/>
        </w:rPr>
        <w:t>Stavebné odpady a odpady z demolácií tvoria približne 25 % z celkového množstva odpadov vznikajúcich v EÚ. Tento údaj potvrdzuje aj Správa o stave životného prostredia z roku 2011</w:t>
      </w:r>
      <w:r>
        <w:rPr>
          <w:rStyle w:val="Odkaznapoznmkupodiarou"/>
          <w:lang w:eastAsia="sk-SK"/>
        </w:rPr>
        <w:footnoteReference w:id="2"/>
      </w:r>
      <w:r>
        <w:rPr>
          <w:lang w:eastAsia="sk-SK"/>
        </w:rPr>
        <w:t xml:space="preserve">, podľa ktorej odpady zo stavebníctva tvoria 23,6 %. </w:t>
      </w:r>
    </w:p>
    <w:p w:rsidR="007F1BA3" w:rsidRDefault="007F1BA3" w:rsidP="008566AC">
      <w:pPr>
        <w:rPr>
          <w:lang w:eastAsia="sk-SK"/>
        </w:rPr>
      </w:pPr>
      <w:r>
        <w:rPr>
          <w:lang w:eastAsia="sk-SK"/>
        </w:rPr>
        <w:t>Vznik a nakladanie so stavebnými odpadmi a odpadmi z demolácií uvádza tabuľka 12.</w:t>
      </w:r>
    </w:p>
    <w:p w:rsidR="007F1BA3" w:rsidRDefault="007F1BA3" w:rsidP="008566AC">
      <w:pPr>
        <w:rPr>
          <w:b/>
          <w:lang w:eastAsia="sk-SK"/>
        </w:rPr>
      </w:pPr>
    </w:p>
    <w:p w:rsidR="007F1BA3" w:rsidRPr="00BF4036" w:rsidRDefault="007F1BA3" w:rsidP="00C70CA9">
      <w:pPr>
        <w:rPr>
          <w:b/>
          <w:lang w:eastAsia="sk-SK"/>
        </w:rPr>
      </w:pPr>
      <w:r w:rsidRPr="00BF4036">
        <w:rPr>
          <w:b/>
          <w:lang w:eastAsia="sk-SK"/>
        </w:rPr>
        <w:t xml:space="preserve">Tabuľka 12: Vznik stavebných odpadov a odpadov z demolácií </w:t>
      </w:r>
    </w:p>
    <w:tbl>
      <w:tblPr>
        <w:tblW w:w="9219" w:type="dxa"/>
        <w:tblLayout w:type="fixed"/>
        <w:tblCellMar>
          <w:left w:w="70" w:type="dxa"/>
          <w:right w:w="70" w:type="dxa"/>
        </w:tblCellMar>
        <w:tblLook w:val="00A0"/>
      </w:tblPr>
      <w:tblGrid>
        <w:gridCol w:w="1011"/>
        <w:gridCol w:w="1172"/>
        <w:gridCol w:w="1173"/>
        <w:gridCol w:w="1172"/>
        <w:gridCol w:w="1173"/>
        <w:gridCol w:w="1172"/>
        <w:gridCol w:w="1173"/>
        <w:gridCol w:w="1173"/>
      </w:tblGrid>
      <w:tr w:rsidR="007F1BA3" w:rsidRPr="00AA2104" w:rsidTr="00576C78">
        <w:trPr>
          <w:trHeight w:val="480"/>
        </w:trPr>
        <w:tc>
          <w:tcPr>
            <w:tcW w:w="1011" w:type="dxa"/>
            <w:tcBorders>
              <w:top w:val="single" w:sz="4" w:space="0" w:color="auto"/>
              <w:left w:val="single" w:sz="4" w:space="0" w:color="auto"/>
              <w:bottom w:val="single" w:sz="4" w:space="0" w:color="auto"/>
              <w:right w:val="single" w:sz="4" w:space="0" w:color="auto"/>
            </w:tcBorders>
            <w:shd w:val="clear" w:color="000000" w:fill="C2D69A"/>
            <w:vAlign w:val="center"/>
          </w:tcPr>
          <w:p w:rsidR="007F1BA3" w:rsidRPr="00AA2104" w:rsidRDefault="007F1BA3" w:rsidP="00576C78">
            <w:pPr>
              <w:spacing w:after="0" w:line="240" w:lineRule="auto"/>
              <w:jc w:val="center"/>
              <w:rPr>
                <w:b/>
                <w:bCs/>
                <w:color w:val="000000"/>
                <w:sz w:val="18"/>
                <w:szCs w:val="18"/>
                <w:lang w:eastAsia="sk-SK"/>
              </w:rPr>
            </w:pPr>
            <w:r w:rsidRPr="00AA2104">
              <w:rPr>
                <w:b/>
                <w:bCs/>
                <w:color w:val="000000"/>
                <w:sz w:val="18"/>
                <w:szCs w:val="18"/>
                <w:lang w:eastAsia="sk-SK"/>
              </w:rPr>
              <w:t>Podskupina odpadu</w:t>
            </w:r>
          </w:p>
        </w:tc>
        <w:tc>
          <w:tcPr>
            <w:tcW w:w="1172" w:type="dxa"/>
            <w:tcBorders>
              <w:top w:val="single" w:sz="4" w:space="0" w:color="auto"/>
              <w:left w:val="nil"/>
              <w:bottom w:val="single" w:sz="4" w:space="0" w:color="auto"/>
              <w:right w:val="single" w:sz="4" w:space="0" w:color="auto"/>
            </w:tcBorders>
            <w:shd w:val="clear" w:color="000000" w:fill="C2D69A"/>
            <w:vAlign w:val="center"/>
          </w:tcPr>
          <w:p w:rsidR="007F1BA3" w:rsidRPr="00AA2104" w:rsidRDefault="007F1BA3" w:rsidP="00576C78">
            <w:pPr>
              <w:spacing w:after="0" w:line="240" w:lineRule="auto"/>
              <w:jc w:val="center"/>
              <w:rPr>
                <w:b/>
                <w:bCs/>
                <w:color w:val="000000"/>
                <w:sz w:val="18"/>
                <w:szCs w:val="18"/>
                <w:lang w:eastAsia="sk-SK"/>
              </w:rPr>
            </w:pPr>
            <w:r w:rsidRPr="00AA2104">
              <w:rPr>
                <w:b/>
                <w:bCs/>
                <w:color w:val="000000"/>
                <w:sz w:val="18"/>
                <w:szCs w:val="18"/>
                <w:lang w:eastAsia="sk-SK"/>
              </w:rPr>
              <w:t>2005</w:t>
            </w:r>
          </w:p>
        </w:tc>
        <w:tc>
          <w:tcPr>
            <w:tcW w:w="1173" w:type="dxa"/>
            <w:tcBorders>
              <w:top w:val="single" w:sz="4" w:space="0" w:color="auto"/>
              <w:left w:val="nil"/>
              <w:bottom w:val="single" w:sz="4" w:space="0" w:color="auto"/>
              <w:right w:val="single" w:sz="4" w:space="0" w:color="auto"/>
            </w:tcBorders>
            <w:shd w:val="clear" w:color="000000" w:fill="C2D69A"/>
            <w:vAlign w:val="center"/>
          </w:tcPr>
          <w:p w:rsidR="007F1BA3" w:rsidRPr="00AA2104" w:rsidRDefault="007F1BA3" w:rsidP="00576C78">
            <w:pPr>
              <w:spacing w:after="0" w:line="240" w:lineRule="auto"/>
              <w:jc w:val="center"/>
              <w:rPr>
                <w:b/>
                <w:bCs/>
                <w:color w:val="000000"/>
                <w:sz w:val="18"/>
                <w:szCs w:val="18"/>
                <w:lang w:eastAsia="sk-SK"/>
              </w:rPr>
            </w:pPr>
            <w:r w:rsidRPr="00AA2104">
              <w:rPr>
                <w:b/>
                <w:bCs/>
                <w:color w:val="000000"/>
                <w:sz w:val="18"/>
                <w:szCs w:val="18"/>
                <w:lang w:eastAsia="sk-SK"/>
              </w:rPr>
              <w:t>2006</w:t>
            </w:r>
          </w:p>
        </w:tc>
        <w:tc>
          <w:tcPr>
            <w:tcW w:w="1172" w:type="dxa"/>
            <w:tcBorders>
              <w:top w:val="single" w:sz="4" w:space="0" w:color="auto"/>
              <w:left w:val="nil"/>
              <w:bottom w:val="single" w:sz="4" w:space="0" w:color="auto"/>
              <w:right w:val="single" w:sz="4" w:space="0" w:color="auto"/>
            </w:tcBorders>
            <w:shd w:val="clear" w:color="000000" w:fill="C2D69A"/>
            <w:vAlign w:val="center"/>
          </w:tcPr>
          <w:p w:rsidR="007F1BA3" w:rsidRPr="00AA2104" w:rsidRDefault="007F1BA3" w:rsidP="00576C78">
            <w:pPr>
              <w:spacing w:after="0" w:line="240" w:lineRule="auto"/>
              <w:jc w:val="center"/>
              <w:rPr>
                <w:b/>
                <w:bCs/>
                <w:color w:val="000000"/>
                <w:sz w:val="18"/>
                <w:szCs w:val="18"/>
                <w:lang w:eastAsia="sk-SK"/>
              </w:rPr>
            </w:pPr>
            <w:r w:rsidRPr="00AA2104">
              <w:rPr>
                <w:b/>
                <w:bCs/>
                <w:color w:val="000000"/>
                <w:sz w:val="18"/>
                <w:szCs w:val="18"/>
                <w:lang w:eastAsia="sk-SK"/>
              </w:rPr>
              <w:t>2007</w:t>
            </w:r>
          </w:p>
        </w:tc>
        <w:tc>
          <w:tcPr>
            <w:tcW w:w="1173" w:type="dxa"/>
            <w:tcBorders>
              <w:top w:val="single" w:sz="4" w:space="0" w:color="auto"/>
              <w:left w:val="nil"/>
              <w:bottom w:val="single" w:sz="4" w:space="0" w:color="auto"/>
              <w:right w:val="single" w:sz="4" w:space="0" w:color="auto"/>
            </w:tcBorders>
            <w:shd w:val="clear" w:color="000000" w:fill="C2D69A"/>
            <w:vAlign w:val="center"/>
          </w:tcPr>
          <w:p w:rsidR="007F1BA3" w:rsidRPr="00AA2104" w:rsidRDefault="007F1BA3" w:rsidP="00576C78">
            <w:pPr>
              <w:spacing w:after="0" w:line="240" w:lineRule="auto"/>
              <w:jc w:val="center"/>
              <w:rPr>
                <w:b/>
                <w:bCs/>
                <w:color w:val="000000"/>
                <w:sz w:val="18"/>
                <w:szCs w:val="18"/>
                <w:lang w:eastAsia="sk-SK"/>
              </w:rPr>
            </w:pPr>
            <w:r w:rsidRPr="00AA2104">
              <w:rPr>
                <w:b/>
                <w:bCs/>
                <w:color w:val="000000"/>
                <w:sz w:val="18"/>
                <w:szCs w:val="18"/>
                <w:lang w:eastAsia="sk-SK"/>
              </w:rPr>
              <w:t>2008</w:t>
            </w:r>
          </w:p>
        </w:tc>
        <w:tc>
          <w:tcPr>
            <w:tcW w:w="1172" w:type="dxa"/>
            <w:tcBorders>
              <w:top w:val="single" w:sz="4" w:space="0" w:color="auto"/>
              <w:left w:val="nil"/>
              <w:bottom w:val="single" w:sz="4" w:space="0" w:color="auto"/>
              <w:right w:val="single" w:sz="4" w:space="0" w:color="auto"/>
            </w:tcBorders>
            <w:shd w:val="clear" w:color="000000" w:fill="C2D69A"/>
            <w:vAlign w:val="center"/>
          </w:tcPr>
          <w:p w:rsidR="007F1BA3" w:rsidRPr="00AA2104" w:rsidRDefault="007F1BA3" w:rsidP="00576C78">
            <w:pPr>
              <w:spacing w:after="0" w:line="240" w:lineRule="auto"/>
              <w:jc w:val="center"/>
              <w:rPr>
                <w:b/>
                <w:bCs/>
                <w:color w:val="000000"/>
                <w:sz w:val="18"/>
                <w:szCs w:val="18"/>
                <w:lang w:eastAsia="sk-SK"/>
              </w:rPr>
            </w:pPr>
            <w:r w:rsidRPr="00AA2104">
              <w:rPr>
                <w:b/>
                <w:bCs/>
                <w:color w:val="000000"/>
                <w:sz w:val="18"/>
                <w:szCs w:val="18"/>
                <w:lang w:eastAsia="sk-SK"/>
              </w:rPr>
              <w:t>2009</w:t>
            </w:r>
          </w:p>
        </w:tc>
        <w:tc>
          <w:tcPr>
            <w:tcW w:w="1173" w:type="dxa"/>
            <w:tcBorders>
              <w:top w:val="single" w:sz="4" w:space="0" w:color="auto"/>
              <w:left w:val="nil"/>
              <w:bottom w:val="single" w:sz="4" w:space="0" w:color="auto"/>
              <w:right w:val="single" w:sz="4" w:space="0" w:color="auto"/>
            </w:tcBorders>
            <w:shd w:val="clear" w:color="000000" w:fill="C2D69A"/>
            <w:vAlign w:val="center"/>
          </w:tcPr>
          <w:p w:rsidR="007F1BA3" w:rsidRPr="00AA2104" w:rsidRDefault="007F1BA3" w:rsidP="00576C78">
            <w:pPr>
              <w:spacing w:after="0" w:line="240" w:lineRule="auto"/>
              <w:jc w:val="center"/>
              <w:rPr>
                <w:b/>
                <w:bCs/>
                <w:color w:val="000000"/>
                <w:sz w:val="18"/>
                <w:szCs w:val="18"/>
                <w:lang w:eastAsia="sk-SK"/>
              </w:rPr>
            </w:pPr>
            <w:r w:rsidRPr="00AA2104">
              <w:rPr>
                <w:b/>
                <w:bCs/>
                <w:color w:val="000000"/>
                <w:sz w:val="18"/>
                <w:szCs w:val="18"/>
                <w:lang w:eastAsia="sk-SK"/>
              </w:rPr>
              <w:t>2010</w:t>
            </w:r>
          </w:p>
        </w:tc>
        <w:tc>
          <w:tcPr>
            <w:tcW w:w="1173" w:type="dxa"/>
            <w:tcBorders>
              <w:top w:val="single" w:sz="4" w:space="0" w:color="auto"/>
              <w:left w:val="nil"/>
              <w:bottom w:val="single" w:sz="4" w:space="0" w:color="auto"/>
              <w:right w:val="single" w:sz="4" w:space="0" w:color="auto"/>
            </w:tcBorders>
            <w:shd w:val="clear" w:color="000000" w:fill="C2D69A"/>
            <w:vAlign w:val="center"/>
          </w:tcPr>
          <w:p w:rsidR="007F1BA3" w:rsidRPr="00AA2104" w:rsidRDefault="007F1BA3" w:rsidP="00576C78">
            <w:pPr>
              <w:spacing w:after="0" w:line="240" w:lineRule="auto"/>
              <w:jc w:val="center"/>
              <w:rPr>
                <w:b/>
                <w:bCs/>
                <w:color w:val="000000"/>
                <w:sz w:val="18"/>
                <w:szCs w:val="18"/>
                <w:lang w:eastAsia="sk-SK"/>
              </w:rPr>
            </w:pPr>
            <w:r w:rsidRPr="00AA2104">
              <w:rPr>
                <w:b/>
                <w:bCs/>
                <w:color w:val="000000"/>
                <w:sz w:val="18"/>
                <w:szCs w:val="18"/>
                <w:lang w:eastAsia="sk-SK"/>
              </w:rPr>
              <w:t>2011</w:t>
            </w:r>
          </w:p>
        </w:tc>
      </w:tr>
      <w:tr w:rsidR="007F1BA3" w:rsidRPr="00AA2104" w:rsidTr="00576C78">
        <w:trPr>
          <w:trHeight w:val="300"/>
        </w:trPr>
        <w:tc>
          <w:tcPr>
            <w:tcW w:w="1011" w:type="dxa"/>
            <w:tcBorders>
              <w:top w:val="nil"/>
              <w:left w:val="single" w:sz="4" w:space="0" w:color="auto"/>
              <w:bottom w:val="single" w:sz="4" w:space="0" w:color="auto"/>
              <w:right w:val="single" w:sz="4" w:space="0" w:color="auto"/>
            </w:tcBorders>
            <w:noWrap/>
            <w:vAlign w:val="center"/>
          </w:tcPr>
          <w:p w:rsidR="007F1BA3" w:rsidRPr="00AA2104" w:rsidRDefault="007F1BA3" w:rsidP="00576C78">
            <w:pPr>
              <w:spacing w:after="0" w:line="240" w:lineRule="auto"/>
              <w:rPr>
                <w:color w:val="000000"/>
                <w:sz w:val="18"/>
                <w:szCs w:val="18"/>
                <w:lang w:eastAsia="sk-SK"/>
              </w:rPr>
            </w:pPr>
            <w:r w:rsidRPr="00AA2104">
              <w:rPr>
                <w:color w:val="000000"/>
                <w:sz w:val="18"/>
                <w:szCs w:val="18"/>
                <w:lang w:eastAsia="sk-SK"/>
              </w:rPr>
              <w:t>17 01</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214 272,55</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269 575,84</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374 629,83</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511 670,97</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355 413,73</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289 896,06</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284 878,79</w:t>
            </w:r>
          </w:p>
        </w:tc>
      </w:tr>
      <w:tr w:rsidR="007F1BA3" w:rsidRPr="00AA2104" w:rsidTr="00576C78">
        <w:trPr>
          <w:trHeight w:val="300"/>
        </w:trPr>
        <w:tc>
          <w:tcPr>
            <w:tcW w:w="1011" w:type="dxa"/>
            <w:tcBorders>
              <w:top w:val="nil"/>
              <w:left w:val="single" w:sz="4" w:space="0" w:color="auto"/>
              <w:bottom w:val="single" w:sz="4" w:space="0" w:color="auto"/>
              <w:right w:val="single" w:sz="4" w:space="0" w:color="auto"/>
            </w:tcBorders>
            <w:noWrap/>
            <w:vAlign w:val="center"/>
          </w:tcPr>
          <w:p w:rsidR="007F1BA3" w:rsidRPr="00AA2104" w:rsidRDefault="007F1BA3" w:rsidP="00576C78">
            <w:pPr>
              <w:spacing w:after="0" w:line="240" w:lineRule="auto"/>
              <w:rPr>
                <w:color w:val="000000"/>
                <w:sz w:val="18"/>
                <w:szCs w:val="18"/>
                <w:lang w:eastAsia="sk-SK"/>
              </w:rPr>
            </w:pPr>
            <w:r w:rsidRPr="00AA2104">
              <w:rPr>
                <w:color w:val="000000"/>
                <w:sz w:val="18"/>
                <w:szCs w:val="18"/>
                <w:lang w:eastAsia="sk-SK"/>
              </w:rPr>
              <w:t>17 02</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14 327,87</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17 309,61</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22 728,96</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16 224,23</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11 827,03</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13 445,09</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13 726,28</w:t>
            </w:r>
          </w:p>
        </w:tc>
      </w:tr>
      <w:tr w:rsidR="007F1BA3" w:rsidRPr="00AA2104" w:rsidTr="00576C78">
        <w:trPr>
          <w:trHeight w:val="300"/>
        </w:trPr>
        <w:tc>
          <w:tcPr>
            <w:tcW w:w="1011" w:type="dxa"/>
            <w:tcBorders>
              <w:top w:val="nil"/>
              <w:left w:val="single" w:sz="4" w:space="0" w:color="auto"/>
              <w:bottom w:val="single" w:sz="4" w:space="0" w:color="auto"/>
              <w:right w:val="single" w:sz="4" w:space="0" w:color="auto"/>
            </w:tcBorders>
            <w:noWrap/>
            <w:vAlign w:val="center"/>
          </w:tcPr>
          <w:p w:rsidR="007F1BA3" w:rsidRPr="00AA2104" w:rsidRDefault="007F1BA3" w:rsidP="00576C78">
            <w:pPr>
              <w:spacing w:after="0" w:line="240" w:lineRule="auto"/>
              <w:rPr>
                <w:color w:val="000000"/>
                <w:sz w:val="18"/>
                <w:szCs w:val="18"/>
                <w:lang w:eastAsia="sk-SK"/>
              </w:rPr>
            </w:pPr>
            <w:r w:rsidRPr="00AA2104">
              <w:rPr>
                <w:color w:val="000000"/>
                <w:sz w:val="18"/>
                <w:szCs w:val="18"/>
                <w:lang w:eastAsia="sk-SK"/>
              </w:rPr>
              <w:t>17 03</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109 854,82</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65 282,71</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92 708,67</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57 850,92</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136 475,83</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82 088,11</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103 226,98</w:t>
            </w:r>
          </w:p>
        </w:tc>
      </w:tr>
      <w:tr w:rsidR="007F1BA3" w:rsidRPr="00AA2104" w:rsidTr="00576C78">
        <w:trPr>
          <w:trHeight w:val="300"/>
        </w:trPr>
        <w:tc>
          <w:tcPr>
            <w:tcW w:w="1011" w:type="dxa"/>
            <w:tcBorders>
              <w:top w:val="nil"/>
              <w:left w:val="single" w:sz="4" w:space="0" w:color="auto"/>
              <w:bottom w:val="single" w:sz="4" w:space="0" w:color="auto"/>
              <w:right w:val="single" w:sz="4" w:space="0" w:color="auto"/>
            </w:tcBorders>
            <w:noWrap/>
            <w:vAlign w:val="center"/>
          </w:tcPr>
          <w:p w:rsidR="007F1BA3" w:rsidRPr="00AA2104" w:rsidRDefault="007F1BA3" w:rsidP="00576C78">
            <w:pPr>
              <w:spacing w:after="0" w:line="240" w:lineRule="auto"/>
              <w:rPr>
                <w:color w:val="000000"/>
                <w:sz w:val="18"/>
                <w:szCs w:val="18"/>
                <w:lang w:eastAsia="sk-SK"/>
              </w:rPr>
            </w:pPr>
            <w:r w:rsidRPr="00AA2104">
              <w:rPr>
                <w:color w:val="000000"/>
                <w:sz w:val="18"/>
                <w:szCs w:val="18"/>
                <w:lang w:eastAsia="sk-SK"/>
              </w:rPr>
              <w:t>17 04</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686 654,16</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242 672,21</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283 036,23</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298 533,97</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206 946,75</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433 591,19</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372 423,06</w:t>
            </w:r>
          </w:p>
        </w:tc>
      </w:tr>
      <w:tr w:rsidR="007F1BA3" w:rsidRPr="00AA2104" w:rsidTr="00576C78">
        <w:trPr>
          <w:trHeight w:val="300"/>
        </w:trPr>
        <w:tc>
          <w:tcPr>
            <w:tcW w:w="1011" w:type="dxa"/>
            <w:tcBorders>
              <w:top w:val="nil"/>
              <w:left w:val="single" w:sz="4" w:space="0" w:color="auto"/>
              <w:bottom w:val="single" w:sz="4" w:space="0" w:color="auto"/>
              <w:right w:val="single" w:sz="4" w:space="0" w:color="auto"/>
            </w:tcBorders>
            <w:noWrap/>
            <w:vAlign w:val="center"/>
          </w:tcPr>
          <w:p w:rsidR="007F1BA3" w:rsidRPr="00AA2104" w:rsidRDefault="007F1BA3" w:rsidP="00576C78">
            <w:pPr>
              <w:spacing w:after="0" w:line="240" w:lineRule="auto"/>
              <w:rPr>
                <w:color w:val="000000"/>
                <w:sz w:val="18"/>
                <w:szCs w:val="18"/>
                <w:lang w:eastAsia="sk-SK"/>
              </w:rPr>
            </w:pPr>
            <w:r w:rsidRPr="00AA2104">
              <w:rPr>
                <w:color w:val="000000"/>
                <w:sz w:val="18"/>
                <w:szCs w:val="18"/>
                <w:lang w:eastAsia="sk-SK"/>
              </w:rPr>
              <w:t>17 05</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1 035 468,85</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3 599 351,68</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2 270 026,72</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1 365 850,70</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1 145 658,62</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1 868 474,05</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2 007 110,35</w:t>
            </w:r>
          </w:p>
        </w:tc>
      </w:tr>
      <w:tr w:rsidR="007F1BA3" w:rsidRPr="00AA2104" w:rsidTr="00576C78">
        <w:trPr>
          <w:trHeight w:val="300"/>
        </w:trPr>
        <w:tc>
          <w:tcPr>
            <w:tcW w:w="1011" w:type="dxa"/>
            <w:tcBorders>
              <w:top w:val="nil"/>
              <w:left w:val="single" w:sz="4" w:space="0" w:color="auto"/>
              <w:bottom w:val="single" w:sz="4" w:space="0" w:color="auto"/>
              <w:right w:val="single" w:sz="4" w:space="0" w:color="auto"/>
            </w:tcBorders>
            <w:noWrap/>
            <w:vAlign w:val="center"/>
          </w:tcPr>
          <w:p w:rsidR="007F1BA3" w:rsidRPr="00AA2104" w:rsidRDefault="007F1BA3" w:rsidP="00576C78">
            <w:pPr>
              <w:spacing w:after="0" w:line="240" w:lineRule="auto"/>
              <w:rPr>
                <w:color w:val="000000"/>
                <w:sz w:val="18"/>
                <w:szCs w:val="18"/>
                <w:lang w:eastAsia="sk-SK"/>
              </w:rPr>
            </w:pPr>
            <w:r w:rsidRPr="00AA2104">
              <w:rPr>
                <w:color w:val="000000"/>
                <w:sz w:val="18"/>
                <w:szCs w:val="18"/>
                <w:lang w:eastAsia="sk-SK"/>
              </w:rPr>
              <w:t>17 06</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12 166,25</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6 451,86</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4 739,33</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57 773,68</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4 785,45</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4 750,62</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3 573,92</w:t>
            </w:r>
          </w:p>
        </w:tc>
      </w:tr>
      <w:tr w:rsidR="007F1BA3" w:rsidRPr="00AA2104" w:rsidTr="00576C78">
        <w:trPr>
          <w:trHeight w:val="300"/>
        </w:trPr>
        <w:tc>
          <w:tcPr>
            <w:tcW w:w="1011" w:type="dxa"/>
            <w:tcBorders>
              <w:top w:val="nil"/>
              <w:left w:val="single" w:sz="4" w:space="0" w:color="auto"/>
              <w:bottom w:val="single" w:sz="4" w:space="0" w:color="auto"/>
              <w:right w:val="single" w:sz="4" w:space="0" w:color="auto"/>
            </w:tcBorders>
            <w:noWrap/>
            <w:vAlign w:val="center"/>
          </w:tcPr>
          <w:p w:rsidR="007F1BA3" w:rsidRPr="00AA2104" w:rsidRDefault="007F1BA3" w:rsidP="00576C78">
            <w:pPr>
              <w:spacing w:after="0" w:line="240" w:lineRule="auto"/>
              <w:rPr>
                <w:color w:val="000000"/>
                <w:sz w:val="18"/>
                <w:szCs w:val="18"/>
                <w:lang w:eastAsia="sk-SK"/>
              </w:rPr>
            </w:pPr>
            <w:r w:rsidRPr="00AA2104">
              <w:rPr>
                <w:color w:val="000000"/>
                <w:sz w:val="18"/>
                <w:szCs w:val="18"/>
                <w:lang w:eastAsia="sk-SK"/>
              </w:rPr>
              <w:t>17 08</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43,08</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535,77</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263,05</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2 047,46</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500,37</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1,70</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31,93</w:t>
            </w:r>
          </w:p>
        </w:tc>
      </w:tr>
      <w:tr w:rsidR="007F1BA3" w:rsidRPr="00AA2104" w:rsidTr="00576C78">
        <w:trPr>
          <w:trHeight w:val="300"/>
        </w:trPr>
        <w:tc>
          <w:tcPr>
            <w:tcW w:w="1011" w:type="dxa"/>
            <w:tcBorders>
              <w:top w:val="nil"/>
              <w:left w:val="single" w:sz="4" w:space="0" w:color="auto"/>
              <w:bottom w:val="single" w:sz="4" w:space="0" w:color="auto"/>
              <w:right w:val="single" w:sz="4" w:space="0" w:color="auto"/>
            </w:tcBorders>
            <w:noWrap/>
            <w:vAlign w:val="center"/>
          </w:tcPr>
          <w:p w:rsidR="007F1BA3" w:rsidRPr="00AA2104" w:rsidRDefault="007F1BA3" w:rsidP="00576C78">
            <w:pPr>
              <w:spacing w:after="0" w:line="240" w:lineRule="auto"/>
              <w:rPr>
                <w:color w:val="000000"/>
                <w:sz w:val="18"/>
                <w:szCs w:val="18"/>
                <w:lang w:eastAsia="sk-SK"/>
              </w:rPr>
            </w:pPr>
            <w:r w:rsidRPr="00AA2104">
              <w:rPr>
                <w:color w:val="000000"/>
                <w:sz w:val="18"/>
                <w:szCs w:val="18"/>
                <w:lang w:eastAsia="sk-SK"/>
              </w:rPr>
              <w:t>17 09</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154 772,74</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168 639,61</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257 039,58</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167 177,45</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253 142,85</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191 498,55</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color w:val="000000"/>
                <w:sz w:val="18"/>
                <w:szCs w:val="18"/>
                <w:lang w:eastAsia="sk-SK"/>
              </w:rPr>
            </w:pPr>
            <w:r w:rsidRPr="00AA2104">
              <w:rPr>
                <w:color w:val="000000"/>
                <w:sz w:val="18"/>
                <w:szCs w:val="18"/>
                <w:lang w:eastAsia="sk-SK"/>
              </w:rPr>
              <w:t>198 287,18</w:t>
            </w:r>
          </w:p>
        </w:tc>
      </w:tr>
      <w:tr w:rsidR="007F1BA3" w:rsidRPr="00AA2104" w:rsidTr="00576C78">
        <w:trPr>
          <w:trHeight w:val="300"/>
        </w:trPr>
        <w:tc>
          <w:tcPr>
            <w:tcW w:w="1011" w:type="dxa"/>
            <w:tcBorders>
              <w:top w:val="nil"/>
              <w:left w:val="single" w:sz="4" w:space="0" w:color="auto"/>
              <w:bottom w:val="single" w:sz="4" w:space="0" w:color="auto"/>
              <w:right w:val="single" w:sz="4" w:space="0" w:color="auto"/>
            </w:tcBorders>
            <w:noWrap/>
            <w:vAlign w:val="center"/>
          </w:tcPr>
          <w:p w:rsidR="007F1BA3" w:rsidRPr="00AA2104" w:rsidRDefault="007F1BA3" w:rsidP="00576C78">
            <w:pPr>
              <w:spacing w:after="0" w:line="240" w:lineRule="auto"/>
              <w:rPr>
                <w:b/>
                <w:bCs/>
                <w:color w:val="000000"/>
                <w:sz w:val="18"/>
                <w:szCs w:val="18"/>
                <w:lang w:eastAsia="sk-SK"/>
              </w:rPr>
            </w:pPr>
            <w:r w:rsidRPr="00AA2104">
              <w:rPr>
                <w:b/>
                <w:bCs/>
                <w:color w:val="000000"/>
                <w:sz w:val="18"/>
                <w:szCs w:val="18"/>
                <w:lang w:eastAsia="sk-SK"/>
              </w:rPr>
              <w:t>SPOLU</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b/>
                <w:bCs/>
                <w:color w:val="000000"/>
                <w:sz w:val="18"/>
                <w:szCs w:val="18"/>
                <w:lang w:eastAsia="sk-SK"/>
              </w:rPr>
            </w:pPr>
            <w:r w:rsidRPr="00AA2104">
              <w:rPr>
                <w:b/>
                <w:bCs/>
                <w:color w:val="000000"/>
                <w:sz w:val="18"/>
                <w:szCs w:val="18"/>
                <w:lang w:eastAsia="sk-SK"/>
              </w:rPr>
              <w:t>2 227 560,33</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b/>
                <w:bCs/>
                <w:color w:val="000000"/>
                <w:sz w:val="18"/>
                <w:szCs w:val="18"/>
                <w:lang w:eastAsia="sk-SK"/>
              </w:rPr>
            </w:pPr>
            <w:r w:rsidRPr="00AA2104">
              <w:rPr>
                <w:b/>
                <w:bCs/>
                <w:color w:val="000000"/>
                <w:sz w:val="18"/>
                <w:szCs w:val="18"/>
                <w:lang w:eastAsia="sk-SK"/>
              </w:rPr>
              <w:t>4 369 819,29</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b/>
                <w:bCs/>
                <w:color w:val="000000"/>
                <w:sz w:val="18"/>
                <w:szCs w:val="18"/>
                <w:lang w:eastAsia="sk-SK"/>
              </w:rPr>
            </w:pPr>
            <w:r w:rsidRPr="00AA2104">
              <w:rPr>
                <w:b/>
                <w:bCs/>
                <w:color w:val="000000"/>
                <w:sz w:val="18"/>
                <w:szCs w:val="18"/>
                <w:lang w:eastAsia="sk-SK"/>
              </w:rPr>
              <w:t>3 305 172,36</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b/>
                <w:bCs/>
                <w:color w:val="000000"/>
                <w:sz w:val="18"/>
                <w:szCs w:val="18"/>
                <w:lang w:eastAsia="sk-SK"/>
              </w:rPr>
            </w:pPr>
            <w:r w:rsidRPr="00AA2104">
              <w:rPr>
                <w:b/>
                <w:bCs/>
                <w:color w:val="000000"/>
                <w:sz w:val="18"/>
                <w:szCs w:val="18"/>
                <w:lang w:eastAsia="sk-SK"/>
              </w:rPr>
              <w:t>2 477 129,38</w:t>
            </w:r>
          </w:p>
        </w:tc>
        <w:tc>
          <w:tcPr>
            <w:tcW w:w="1172"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b/>
                <w:bCs/>
                <w:color w:val="000000"/>
                <w:sz w:val="18"/>
                <w:szCs w:val="18"/>
                <w:lang w:eastAsia="sk-SK"/>
              </w:rPr>
            </w:pPr>
            <w:r w:rsidRPr="00AA2104">
              <w:rPr>
                <w:b/>
                <w:bCs/>
                <w:color w:val="000000"/>
                <w:sz w:val="18"/>
                <w:szCs w:val="18"/>
                <w:lang w:eastAsia="sk-SK"/>
              </w:rPr>
              <w:t>2 114 750,63</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b/>
                <w:bCs/>
                <w:color w:val="000000"/>
                <w:sz w:val="18"/>
                <w:szCs w:val="18"/>
                <w:lang w:eastAsia="sk-SK"/>
              </w:rPr>
            </w:pPr>
            <w:r w:rsidRPr="00AA2104">
              <w:rPr>
                <w:b/>
                <w:bCs/>
                <w:color w:val="000000"/>
                <w:sz w:val="18"/>
                <w:szCs w:val="18"/>
                <w:lang w:eastAsia="sk-SK"/>
              </w:rPr>
              <w:t>2 883 745,38</w:t>
            </w:r>
          </w:p>
        </w:tc>
        <w:tc>
          <w:tcPr>
            <w:tcW w:w="1173" w:type="dxa"/>
            <w:tcBorders>
              <w:top w:val="nil"/>
              <w:left w:val="nil"/>
              <w:bottom w:val="single" w:sz="4" w:space="0" w:color="auto"/>
              <w:right w:val="single" w:sz="4" w:space="0" w:color="auto"/>
            </w:tcBorders>
            <w:noWrap/>
            <w:vAlign w:val="center"/>
          </w:tcPr>
          <w:p w:rsidR="007F1BA3" w:rsidRPr="00AA2104" w:rsidRDefault="007F1BA3" w:rsidP="00576C78">
            <w:pPr>
              <w:spacing w:after="0" w:line="240" w:lineRule="auto"/>
              <w:jc w:val="right"/>
              <w:rPr>
                <w:b/>
                <w:bCs/>
                <w:color w:val="000000"/>
                <w:sz w:val="18"/>
                <w:szCs w:val="18"/>
                <w:lang w:eastAsia="sk-SK"/>
              </w:rPr>
            </w:pPr>
            <w:r w:rsidRPr="00AA2104">
              <w:rPr>
                <w:b/>
                <w:bCs/>
                <w:color w:val="000000"/>
                <w:sz w:val="18"/>
                <w:szCs w:val="18"/>
                <w:lang w:eastAsia="sk-SK"/>
              </w:rPr>
              <w:t>2 983 258,48</w:t>
            </w:r>
          </w:p>
        </w:tc>
      </w:tr>
    </w:tbl>
    <w:p w:rsidR="007F1BA3" w:rsidRDefault="007F1BA3" w:rsidP="00C70CA9">
      <w:pPr>
        <w:jc w:val="both"/>
        <w:rPr>
          <w:lang w:eastAsia="sk-SK"/>
        </w:rPr>
      </w:pPr>
      <w:r>
        <w:rPr>
          <w:lang w:eastAsia="sk-SK"/>
        </w:rPr>
        <w:t>Zdroj: RISO, SAŽP</w:t>
      </w:r>
    </w:p>
    <w:p w:rsidR="007F1BA3" w:rsidRDefault="007F1BA3" w:rsidP="008566AC">
      <w:pPr>
        <w:rPr>
          <w:b/>
          <w:lang w:eastAsia="sk-SK"/>
        </w:rPr>
      </w:pPr>
    </w:p>
    <w:p w:rsidR="007F1BA3" w:rsidRDefault="007F1BA3" w:rsidP="00C74F67">
      <w:pPr>
        <w:pStyle w:val="Nadpis3"/>
        <w:rPr>
          <w:color w:val="336600"/>
          <w:lang w:eastAsia="sk-SK"/>
        </w:rPr>
      </w:pPr>
    </w:p>
    <w:p w:rsidR="00E01F0B" w:rsidRDefault="007F1BA3">
      <w:pPr>
        <w:pStyle w:val="Nadpis3"/>
        <w:rPr>
          <w:lang w:eastAsia="sk-SK"/>
        </w:rPr>
      </w:pPr>
      <w:bookmarkStart w:id="19" w:name="_Toc356292954"/>
      <w:r>
        <w:rPr>
          <w:color w:val="336600"/>
          <w:lang w:eastAsia="sk-SK"/>
        </w:rPr>
        <w:t>2.2.7</w:t>
      </w:r>
      <w:r>
        <w:rPr>
          <w:color w:val="336600"/>
          <w:lang w:eastAsia="sk-SK"/>
        </w:rPr>
        <w:tab/>
      </w:r>
      <w:r w:rsidRPr="00BB4A31">
        <w:rPr>
          <w:color w:val="336600"/>
          <w:lang w:eastAsia="sk-SK"/>
        </w:rPr>
        <w:t>Vznik nebezpečných odpadov</w:t>
      </w:r>
      <w:bookmarkEnd w:id="19"/>
    </w:p>
    <w:p w:rsidR="007F1BA3" w:rsidRDefault="007F1BA3" w:rsidP="00C74F67">
      <w:pPr>
        <w:spacing w:after="0"/>
        <w:rPr>
          <w:lang w:eastAsia="sk-SK"/>
        </w:rPr>
      </w:pPr>
      <w:r>
        <w:rPr>
          <w:lang w:eastAsia="sk-SK"/>
        </w:rPr>
        <w:t>Údaje o vzniku nebezpečného odpadu v SR sú uvedené v tabuľke 13 a na obrázku 11.</w:t>
      </w:r>
    </w:p>
    <w:p w:rsidR="007F1BA3" w:rsidRDefault="007F1BA3" w:rsidP="00C74F67">
      <w:pPr>
        <w:spacing w:after="0"/>
        <w:rPr>
          <w:lang w:eastAsia="sk-SK"/>
        </w:rPr>
      </w:pPr>
    </w:p>
    <w:p w:rsidR="007F1BA3" w:rsidRPr="00BB0184" w:rsidRDefault="007F1BA3" w:rsidP="00C74F67">
      <w:pPr>
        <w:pStyle w:val="Popis"/>
        <w:rPr>
          <w:rFonts w:ascii="Calibri" w:hAnsi="Calibri"/>
          <w:color w:val="auto"/>
          <w:sz w:val="22"/>
          <w:szCs w:val="22"/>
          <w:lang w:eastAsia="sk-SK"/>
        </w:rPr>
      </w:pPr>
      <w:r w:rsidRPr="00BB0184">
        <w:rPr>
          <w:rFonts w:ascii="Calibri" w:hAnsi="Calibri"/>
          <w:color w:val="auto"/>
          <w:sz w:val="22"/>
          <w:szCs w:val="22"/>
        </w:rPr>
        <w:t xml:space="preserve">Tabuľka </w:t>
      </w:r>
      <w:r>
        <w:rPr>
          <w:rFonts w:ascii="Calibri" w:hAnsi="Calibri"/>
          <w:color w:val="auto"/>
          <w:sz w:val="22"/>
          <w:szCs w:val="22"/>
        </w:rPr>
        <w:t>13:</w:t>
      </w:r>
      <w:r w:rsidRPr="00BB0184">
        <w:rPr>
          <w:rFonts w:ascii="Calibri" w:hAnsi="Calibri"/>
          <w:color w:val="auto"/>
          <w:sz w:val="22"/>
          <w:szCs w:val="22"/>
          <w:lang w:eastAsia="sk-SK"/>
        </w:rPr>
        <w:t xml:space="preserve"> Vznik nebezpečn</w:t>
      </w:r>
      <w:r>
        <w:rPr>
          <w:rFonts w:ascii="Calibri" w:hAnsi="Calibri"/>
          <w:color w:val="auto"/>
          <w:sz w:val="22"/>
          <w:szCs w:val="22"/>
          <w:lang w:eastAsia="sk-SK"/>
        </w:rPr>
        <w:t>ých</w:t>
      </w:r>
      <w:r w:rsidRPr="00BB0184">
        <w:rPr>
          <w:rFonts w:ascii="Calibri" w:hAnsi="Calibri"/>
          <w:color w:val="auto"/>
          <w:sz w:val="22"/>
          <w:szCs w:val="22"/>
          <w:lang w:eastAsia="sk-SK"/>
        </w:rPr>
        <w:t xml:space="preserve"> odpad</w:t>
      </w:r>
      <w:r>
        <w:rPr>
          <w:rFonts w:ascii="Calibri" w:hAnsi="Calibri"/>
          <w:color w:val="auto"/>
          <w:sz w:val="22"/>
          <w:szCs w:val="22"/>
          <w:lang w:eastAsia="sk-SK"/>
        </w:rPr>
        <w:t>ov</w:t>
      </w:r>
      <w:r w:rsidRPr="00BB0184">
        <w:rPr>
          <w:rFonts w:ascii="Calibri" w:hAnsi="Calibri"/>
          <w:color w:val="auto"/>
          <w:sz w:val="22"/>
          <w:szCs w:val="22"/>
          <w:lang w:eastAsia="sk-SK"/>
        </w:rPr>
        <w:t xml:space="preserve"> v rokoch 2005 – 2011 (v tonách)</w:t>
      </w:r>
    </w:p>
    <w:tbl>
      <w:tblPr>
        <w:tblW w:w="5000" w:type="pct"/>
        <w:tblCellMar>
          <w:left w:w="70" w:type="dxa"/>
          <w:right w:w="70" w:type="dxa"/>
        </w:tblCellMar>
        <w:tblLook w:val="00A0"/>
      </w:tblPr>
      <w:tblGrid>
        <w:gridCol w:w="637"/>
        <w:gridCol w:w="1225"/>
        <w:gridCol w:w="1225"/>
        <w:gridCol w:w="1225"/>
        <w:gridCol w:w="1225"/>
        <w:gridCol w:w="1225"/>
        <w:gridCol w:w="1225"/>
        <w:gridCol w:w="1225"/>
      </w:tblGrid>
      <w:tr w:rsidR="007F1BA3" w:rsidRPr="0087781C" w:rsidTr="00402862">
        <w:trPr>
          <w:trHeight w:val="170"/>
          <w:tblHeader/>
        </w:trPr>
        <w:tc>
          <w:tcPr>
            <w:tcW w:w="345" w:type="pct"/>
            <w:tcBorders>
              <w:top w:val="single" w:sz="4" w:space="0" w:color="auto"/>
              <w:left w:val="single" w:sz="4" w:space="0" w:color="auto"/>
              <w:bottom w:val="single" w:sz="4" w:space="0" w:color="auto"/>
              <w:right w:val="single" w:sz="4" w:space="0" w:color="auto"/>
            </w:tcBorders>
            <w:shd w:val="clear" w:color="auto" w:fill="C2D69B"/>
            <w:noWrap/>
            <w:vAlign w:val="center"/>
          </w:tcPr>
          <w:p w:rsidR="007F1BA3" w:rsidRPr="0087781C" w:rsidRDefault="007F1BA3" w:rsidP="00402862">
            <w:pPr>
              <w:spacing w:after="0" w:line="240" w:lineRule="auto"/>
              <w:jc w:val="center"/>
              <w:rPr>
                <w:b/>
                <w:bCs/>
                <w:color w:val="000000"/>
                <w:lang w:eastAsia="sk-SK"/>
              </w:rPr>
            </w:pPr>
            <w:r w:rsidRPr="0087781C">
              <w:rPr>
                <w:b/>
                <w:bCs/>
                <w:color w:val="000000"/>
                <w:lang w:eastAsia="sk-SK"/>
              </w:rPr>
              <w:t> </w:t>
            </w:r>
          </w:p>
        </w:tc>
        <w:tc>
          <w:tcPr>
            <w:tcW w:w="665" w:type="pct"/>
            <w:tcBorders>
              <w:top w:val="single" w:sz="4" w:space="0" w:color="auto"/>
              <w:left w:val="nil"/>
              <w:bottom w:val="single" w:sz="4" w:space="0" w:color="auto"/>
              <w:right w:val="single" w:sz="4" w:space="0" w:color="auto"/>
            </w:tcBorders>
            <w:shd w:val="clear" w:color="auto" w:fill="C2D69B"/>
            <w:noWrap/>
            <w:vAlign w:val="center"/>
          </w:tcPr>
          <w:p w:rsidR="007F1BA3" w:rsidRPr="0087781C" w:rsidRDefault="007F1BA3" w:rsidP="00402862">
            <w:pPr>
              <w:spacing w:after="0" w:line="240" w:lineRule="auto"/>
              <w:jc w:val="center"/>
              <w:rPr>
                <w:b/>
                <w:bCs/>
                <w:color w:val="000000"/>
                <w:lang w:eastAsia="sk-SK"/>
              </w:rPr>
            </w:pPr>
            <w:r w:rsidRPr="0087781C">
              <w:rPr>
                <w:b/>
                <w:bCs/>
                <w:color w:val="000000"/>
                <w:lang w:eastAsia="sk-SK"/>
              </w:rPr>
              <w:t>2005</w:t>
            </w:r>
          </w:p>
        </w:tc>
        <w:tc>
          <w:tcPr>
            <w:tcW w:w="665" w:type="pct"/>
            <w:tcBorders>
              <w:top w:val="single" w:sz="4" w:space="0" w:color="auto"/>
              <w:left w:val="nil"/>
              <w:bottom w:val="single" w:sz="4" w:space="0" w:color="auto"/>
              <w:right w:val="single" w:sz="4" w:space="0" w:color="auto"/>
            </w:tcBorders>
            <w:shd w:val="clear" w:color="auto" w:fill="C2D69B"/>
            <w:noWrap/>
            <w:vAlign w:val="center"/>
          </w:tcPr>
          <w:p w:rsidR="007F1BA3" w:rsidRPr="0087781C" w:rsidRDefault="007F1BA3" w:rsidP="00402862">
            <w:pPr>
              <w:spacing w:after="0" w:line="240" w:lineRule="auto"/>
              <w:jc w:val="center"/>
              <w:rPr>
                <w:b/>
                <w:bCs/>
                <w:color w:val="000000"/>
                <w:lang w:eastAsia="sk-SK"/>
              </w:rPr>
            </w:pPr>
            <w:r w:rsidRPr="0087781C">
              <w:rPr>
                <w:b/>
                <w:bCs/>
                <w:color w:val="000000"/>
                <w:lang w:eastAsia="sk-SK"/>
              </w:rPr>
              <w:t>2006</w:t>
            </w:r>
          </w:p>
        </w:tc>
        <w:tc>
          <w:tcPr>
            <w:tcW w:w="665" w:type="pct"/>
            <w:tcBorders>
              <w:top w:val="single" w:sz="4" w:space="0" w:color="auto"/>
              <w:left w:val="nil"/>
              <w:bottom w:val="single" w:sz="4" w:space="0" w:color="auto"/>
              <w:right w:val="single" w:sz="4" w:space="0" w:color="auto"/>
            </w:tcBorders>
            <w:shd w:val="clear" w:color="auto" w:fill="C2D69B"/>
            <w:noWrap/>
            <w:vAlign w:val="center"/>
          </w:tcPr>
          <w:p w:rsidR="007F1BA3" w:rsidRPr="0087781C" w:rsidRDefault="007F1BA3" w:rsidP="00402862">
            <w:pPr>
              <w:spacing w:after="0" w:line="240" w:lineRule="auto"/>
              <w:jc w:val="center"/>
              <w:rPr>
                <w:b/>
                <w:bCs/>
                <w:color w:val="000000"/>
                <w:lang w:eastAsia="sk-SK"/>
              </w:rPr>
            </w:pPr>
            <w:r w:rsidRPr="0087781C">
              <w:rPr>
                <w:b/>
                <w:bCs/>
                <w:color w:val="000000"/>
                <w:lang w:eastAsia="sk-SK"/>
              </w:rPr>
              <w:t>2007</w:t>
            </w:r>
          </w:p>
        </w:tc>
        <w:tc>
          <w:tcPr>
            <w:tcW w:w="665" w:type="pct"/>
            <w:tcBorders>
              <w:top w:val="single" w:sz="4" w:space="0" w:color="auto"/>
              <w:left w:val="nil"/>
              <w:bottom w:val="single" w:sz="4" w:space="0" w:color="auto"/>
              <w:right w:val="single" w:sz="4" w:space="0" w:color="auto"/>
            </w:tcBorders>
            <w:shd w:val="clear" w:color="auto" w:fill="C2D69B"/>
            <w:noWrap/>
            <w:vAlign w:val="center"/>
          </w:tcPr>
          <w:p w:rsidR="007F1BA3" w:rsidRPr="0087781C" w:rsidRDefault="007F1BA3" w:rsidP="00402862">
            <w:pPr>
              <w:spacing w:after="0" w:line="240" w:lineRule="auto"/>
              <w:jc w:val="center"/>
              <w:rPr>
                <w:b/>
                <w:bCs/>
                <w:color w:val="000000"/>
                <w:lang w:eastAsia="sk-SK"/>
              </w:rPr>
            </w:pPr>
            <w:r w:rsidRPr="0087781C">
              <w:rPr>
                <w:b/>
                <w:bCs/>
                <w:color w:val="000000"/>
                <w:lang w:eastAsia="sk-SK"/>
              </w:rPr>
              <w:t>2008</w:t>
            </w:r>
          </w:p>
        </w:tc>
        <w:tc>
          <w:tcPr>
            <w:tcW w:w="665" w:type="pct"/>
            <w:tcBorders>
              <w:top w:val="single" w:sz="4" w:space="0" w:color="auto"/>
              <w:left w:val="nil"/>
              <w:bottom w:val="single" w:sz="4" w:space="0" w:color="auto"/>
              <w:right w:val="single" w:sz="4" w:space="0" w:color="auto"/>
            </w:tcBorders>
            <w:shd w:val="clear" w:color="auto" w:fill="C2D69B"/>
            <w:noWrap/>
            <w:vAlign w:val="center"/>
          </w:tcPr>
          <w:p w:rsidR="007F1BA3" w:rsidRPr="0087781C" w:rsidRDefault="007F1BA3" w:rsidP="00402862">
            <w:pPr>
              <w:spacing w:after="0" w:line="240" w:lineRule="auto"/>
              <w:jc w:val="center"/>
              <w:rPr>
                <w:b/>
                <w:bCs/>
                <w:color w:val="000000"/>
                <w:lang w:eastAsia="sk-SK"/>
              </w:rPr>
            </w:pPr>
            <w:r w:rsidRPr="0087781C">
              <w:rPr>
                <w:b/>
                <w:bCs/>
                <w:color w:val="000000"/>
                <w:lang w:eastAsia="sk-SK"/>
              </w:rPr>
              <w:t>2009</w:t>
            </w:r>
          </w:p>
        </w:tc>
        <w:tc>
          <w:tcPr>
            <w:tcW w:w="665" w:type="pct"/>
            <w:tcBorders>
              <w:top w:val="single" w:sz="4" w:space="0" w:color="auto"/>
              <w:left w:val="nil"/>
              <w:bottom w:val="single" w:sz="4" w:space="0" w:color="auto"/>
              <w:right w:val="single" w:sz="4" w:space="0" w:color="auto"/>
            </w:tcBorders>
            <w:shd w:val="clear" w:color="auto" w:fill="C2D69B"/>
            <w:noWrap/>
            <w:vAlign w:val="center"/>
          </w:tcPr>
          <w:p w:rsidR="007F1BA3" w:rsidRPr="0087781C" w:rsidRDefault="007F1BA3" w:rsidP="00402862">
            <w:pPr>
              <w:spacing w:after="0" w:line="240" w:lineRule="auto"/>
              <w:jc w:val="center"/>
              <w:rPr>
                <w:b/>
                <w:bCs/>
                <w:color w:val="000000"/>
                <w:lang w:eastAsia="sk-SK"/>
              </w:rPr>
            </w:pPr>
            <w:r w:rsidRPr="0087781C">
              <w:rPr>
                <w:b/>
                <w:bCs/>
                <w:color w:val="000000"/>
                <w:lang w:eastAsia="sk-SK"/>
              </w:rPr>
              <w:t>2010</w:t>
            </w:r>
          </w:p>
        </w:tc>
        <w:tc>
          <w:tcPr>
            <w:tcW w:w="665" w:type="pct"/>
            <w:tcBorders>
              <w:top w:val="single" w:sz="4" w:space="0" w:color="auto"/>
              <w:left w:val="nil"/>
              <w:bottom w:val="single" w:sz="4" w:space="0" w:color="auto"/>
              <w:right w:val="single" w:sz="4" w:space="0" w:color="auto"/>
            </w:tcBorders>
            <w:shd w:val="clear" w:color="auto" w:fill="C2D69B"/>
            <w:noWrap/>
            <w:vAlign w:val="center"/>
          </w:tcPr>
          <w:p w:rsidR="007F1BA3" w:rsidRPr="0087781C" w:rsidRDefault="007F1BA3" w:rsidP="00402862">
            <w:pPr>
              <w:spacing w:after="0" w:line="240" w:lineRule="auto"/>
              <w:jc w:val="center"/>
              <w:rPr>
                <w:b/>
                <w:bCs/>
                <w:color w:val="000000"/>
                <w:lang w:eastAsia="sk-SK"/>
              </w:rPr>
            </w:pPr>
            <w:r w:rsidRPr="0087781C">
              <w:rPr>
                <w:b/>
                <w:bCs/>
                <w:color w:val="000000"/>
                <w:lang w:eastAsia="sk-SK"/>
              </w:rPr>
              <w:t>2011</w:t>
            </w:r>
          </w:p>
        </w:tc>
      </w:tr>
      <w:tr w:rsidR="007F1BA3" w:rsidRPr="0087781C" w:rsidTr="00402862">
        <w:trPr>
          <w:trHeight w:val="170"/>
        </w:trPr>
        <w:tc>
          <w:tcPr>
            <w:tcW w:w="345" w:type="pct"/>
            <w:tcBorders>
              <w:top w:val="nil"/>
              <w:left w:val="single" w:sz="4" w:space="0" w:color="auto"/>
              <w:bottom w:val="single" w:sz="4" w:space="0" w:color="auto"/>
              <w:right w:val="single" w:sz="4" w:space="0" w:color="auto"/>
            </w:tcBorders>
            <w:vAlign w:val="center"/>
          </w:tcPr>
          <w:p w:rsidR="007F1BA3" w:rsidRPr="0087781C" w:rsidRDefault="007F1BA3" w:rsidP="00402862">
            <w:pPr>
              <w:spacing w:after="0" w:line="240" w:lineRule="auto"/>
              <w:rPr>
                <w:color w:val="000000"/>
                <w:lang w:eastAsia="sk-SK"/>
              </w:rPr>
            </w:pPr>
            <w:r>
              <w:rPr>
                <w:color w:val="000000"/>
                <w:lang w:eastAsia="sk-SK"/>
              </w:rPr>
              <w:t>t/rok</w:t>
            </w:r>
          </w:p>
        </w:tc>
        <w:tc>
          <w:tcPr>
            <w:tcW w:w="665" w:type="pct"/>
            <w:tcBorders>
              <w:top w:val="nil"/>
              <w:left w:val="nil"/>
              <w:bottom w:val="single" w:sz="4" w:space="0" w:color="auto"/>
              <w:right w:val="single" w:sz="4" w:space="0" w:color="auto"/>
            </w:tcBorders>
            <w:vAlign w:val="center"/>
          </w:tcPr>
          <w:p w:rsidR="007F1BA3" w:rsidRPr="0087781C" w:rsidRDefault="007F1BA3" w:rsidP="00402862">
            <w:pPr>
              <w:spacing w:after="0" w:line="240" w:lineRule="auto"/>
              <w:jc w:val="right"/>
              <w:rPr>
                <w:color w:val="000000"/>
                <w:lang w:eastAsia="sk-SK"/>
              </w:rPr>
            </w:pPr>
            <w:r w:rsidRPr="0087781C">
              <w:rPr>
                <w:color w:val="000000"/>
                <w:lang w:eastAsia="sk-SK"/>
              </w:rPr>
              <w:t>562 326,46</w:t>
            </w:r>
          </w:p>
        </w:tc>
        <w:tc>
          <w:tcPr>
            <w:tcW w:w="665" w:type="pct"/>
            <w:tcBorders>
              <w:top w:val="nil"/>
              <w:left w:val="nil"/>
              <w:bottom w:val="single" w:sz="4" w:space="0" w:color="auto"/>
              <w:right w:val="single" w:sz="4" w:space="0" w:color="auto"/>
            </w:tcBorders>
            <w:vAlign w:val="center"/>
          </w:tcPr>
          <w:p w:rsidR="007F1BA3" w:rsidRPr="0087781C" w:rsidRDefault="007F1BA3" w:rsidP="00402862">
            <w:pPr>
              <w:spacing w:after="0" w:line="240" w:lineRule="auto"/>
              <w:jc w:val="right"/>
              <w:rPr>
                <w:color w:val="000000"/>
                <w:lang w:eastAsia="sk-SK"/>
              </w:rPr>
            </w:pPr>
            <w:r w:rsidRPr="0087781C">
              <w:rPr>
                <w:color w:val="000000"/>
                <w:lang w:eastAsia="sk-SK"/>
              </w:rPr>
              <w:t>535 374,95</w:t>
            </w:r>
          </w:p>
        </w:tc>
        <w:tc>
          <w:tcPr>
            <w:tcW w:w="665" w:type="pct"/>
            <w:tcBorders>
              <w:top w:val="nil"/>
              <w:left w:val="nil"/>
              <w:bottom w:val="single" w:sz="4" w:space="0" w:color="auto"/>
              <w:right w:val="single" w:sz="4" w:space="0" w:color="auto"/>
            </w:tcBorders>
            <w:vAlign w:val="center"/>
          </w:tcPr>
          <w:p w:rsidR="007F1BA3" w:rsidRPr="0087781C" w:rsidRDefault="007F1BA3" w:rsidP="00402862">
            <w:pPr>
              <w:spacing w:after="0" w:line="240" w:lineRule="auto"/>
              <w:jc w:val="right"/>
              <w:rPr>
                <w:color w:val="000000"/>
                <w:lang w:eastAsia="sk-SK"/>
              </w:rPr>
            </w:pPr>
            <w:r w:rsidRPr="0087781C">
              <w:rPr>
                <w:color w:val="000000"/>
                <w:lang w:eastAsia="sk-SK"/>
              </w:rPr>
              <w:t>529 935,56</w:t>
            </w:r>
          </w:p>
        </w:tc>
        <w:tc>
          <w:tcPr>
            <w:tcW w:w="665" w:type="pct"/>
            <w:tcBorders>
              <w:top w:val="nil"/>
              <w:left w:val="nil"/>
              <w:bottom w:val="single" w:sz="4" w:space="0" w:color="auto"/>
              <w:right w:val="single" w:sz="4" w:space="0" w:color="auto"/>
            </w:tcBorders>
            <w:vAlign w:val="center"/>
          </w:tcPr>
          <w:p w:rsidR="007F1BA3" w:rsidRPr="0087781C" w:rsidRDefault="007F1BA3" w:rsidP="00402862">
            <w:pPr>
              <w:spacing w:after="0" w:line="240" w:lineRule="auto"/>
              <w:jc w:val="right"/>
              <w:rPr>
                <w:color w:val="000000"/>
                <w:lang w:eastAsia="sk-SK"/>
              </w:rPr>
            </w:pPr>
            <w:r w:rsidRPr="0087781C">
              <w:rPr>
                <w:color w:val="000000"/>
                <w:lang w:eastAsia="sk-SK"/>
              </w:rPr>
              <w:t>529 363,40</w:t>
            </w:r>
          </w:p>
        </w:tc>
        <w:tc>
          <w:tcPr>
            <w:tcW w:w="665" w:type="pct"/>
            <w:tcBorders>
              <w:top w:val="nil"/>
              <w:left w:val="nil"/>
              <w:bottom w:val="single" w:sz="4" w:space="0" w:color="auto"/>
              <w:right w:val="single" w:sz="4" w:space="0" w:color="auto"/>
            </w:tcBorders>
            <w:vAlign w:val="center"/>
          </w:tcPr>
          <w:p w:rsidR="007F1BA3" w:rsidRPr="0087781C" w:rsidRDefault="007F1BA3" w:rsidP="00402862">
            <w:pPr>
              <w:spacing w:after="0" w:line="240" w:lineRule="auto"/>
              <w:jc w:val="right"/>
              <w:rPr>
                <w:color w:val="000000"/>
                <w:lang w:eastAsia="sk-SK"/>
              </w:rPr>
            </w:pPr>
            <w:r w:rsidRPr="0087781C">
              <w:rPr>
                <w:color w:val="000000"/>
                <w:lang w:eastAsia="sk-SK"/>
              </w:rPr>
              <w:t>468 345,17</w:t>
            </w:r>
          </w:p>
        </w:tc>
        <w:tc>
          <w:tcPr>
            <w:tcW w:w="665" w:type="pct"/>
            <w:tcBorders>
              <w:top w:val="nil"/>
              <w:left w:val="nil"/>
              <w:bottom w:val="single" w:sz="4" w:space="0" w:color="auto"/>
              <w:right w:val="single" w:sz="4" w:space="0" w:color="auto"/>
            </w:tcBorders>
            <w:vAlign w:val="center"/>
          </w:tcPr>
          <w:p w:rsidR="007F1BA3" w:rsidRPr="0087781C" w:rsidRDefault="007F1BA3" w:rsidP="00402862">
            <w:pPr>
              <w:spacing w:after="0" w:line="240" w:lineRule="auto"/>
              <w:jc w:val="right"/>
              <w:rPr>
                <w:color w:val="000000"/>
                <w:lang w:eastAsia="sk-SK"/>
              </w:rPr>
            </w:pPr>
            <w:r w:rsidRPr="0087781C">
              <w:rPr>
                <w:color w:val="000000"/>
                <w:lang w:eastAsia="sk-SK"/>
              </w:rPr>
              <w:t>471 849,57</w:t>
            </w:r>
          </w:p>
        </w:tc>
        <w:tc>
          <w:tcPr>
            <w:tcW w:w="665" w:type="pct"/>
            <w:tcBorders>
              <w:top w:val="nil"/>
              <w:left w:val="nil"/>
              <w:bottom w:val="single" w:sz="4" w:space="0" w:color="auto"/>
              <w:right w:val="single" w:sz="4" w:space="0" w:color="auto"/>
            </w:tcBorders>
            <w:vAlign w:val="center"/>
          </w:tcPr>
          <w:p w:rsidR="007F1BA3" w:rsidRPr="0087781C" w:rsidRDefault="007F1BA3" w:rsidP="00402862">
            <w:pPr>
              <w:spacing w:after="0" w:line="240" w:lineRule="auto"/>
              <w:jc w:val="right"/>
              <w:rPr>
                <w:color w:val="000000"/>
                <w:lang w:eastAsia="sk-SK"/>
              </w:rPr>
            </w:pPr>
            <w:r w:rsidRPr="0087781C">
              <w:rPr>
                <w:color w:val="000000"/>
                <w:lang w:eastAsia="sk-SK"/>
              </w:rPr>
              <w:t>385 863,05</w:t>
            </w:r>
          </w:p>
        </w:tc>
      </w:tr>
    </w:tbl>
    <w:p w:rsidR="007F1BA3" w:rsidRDefault="007F1BA3" w:rsidP="00C74F67">
      <w:pPr>
        <w:jc w:val="both"/>
        <w:rPr>
          <w:lang w:eastAsia="sk-SK"/>
        </w:rPr>
      </w:pPr>
      <w:r>
        <w:rPr>
          <w:lang w:eastAsia="sk-SK"/>
        </w:rPr>
        <w:t>Zdroj: SAŽP, RISO</w:t>
      </w:r>
    </w:p>
    <w:p w:rsidR="007F1BA3" w:rsidRDefault="007F1BA3" w:rsidP="00C74F67">
      <w:pPr>
        <w:jc w:val="both"/>
        <w:rPr>
          <w:noProof/>
          <w:lang w:eastAsia="zh-TW"/>
        </w:rPr>
      </w:pPr>
      <w:r>
        <w:rPr>
          <w:noProof/>
          <w:lang w:eastAsia="zh-TW"/>
        </w:rPr>
        <w:t xml:space="preserve">Ako vyplýva z tabuľky 13, </w:t>
      </w:r>
      <w:r w:rsidRPr="00203B5E">
        <w:rPr>
          <w:b/>
          <w:noProof/>
          <w:lang w:eastAsia="zh-TW"/>
        </w:rPr>
        <w:t>vznik nebezpečného odpadu vykazuje kontinuálny pokles</w:t>
      </w:r>
      <w:r>
        <w:rPr>
          <w:noProof/>
          <w:lang w:eastAsia="zh-TW"/>
        </w:rPr>
        <w:t xml:space="preserve"> v absolútnych aj v relatívnych</w:t>
      </w:r>
      <w:r w:rsidRPr="00EE6460">
        <w:rPr>
          <w:noProof/>
          <w:lang w:eastAsia="zh-TW"/>
        </w:rPr>
        <w:t xml:space="preserve"> </w:t>
      </w:r>
      <w:r>
        <w:rPr>
          <w:noProof/>
          <w:lang w:eastAsia="zh-TW"/>
        </w:rPr>
        <w:t xml:space="preserve">hodnotách. Kým napr. v roku 2009 tvoril nebezpečný odpad 5,4 % celkových odpadov, v roku 2011 iba 3,5 %. Tento trend potvrdzuje aj vznik nebezpečného odpadu na obyvateľa v rokoch 2005 – 2011 (tabuľka 14). </w:t>
      </w:r>
    </w:p>
    <w:p w:rsidR="007F1BA3" w:rsidRPr="00BB0184" w:rsidRDefault="007F1BA3" w:rsidP="00C74F67">
      <w:pPr>
        <w:pStyle w:val="Popis"/>
        <w:rPr>
          <w:rFonts w:ascii="Calibri" w:hAnsi="Calibri"/>
          <w:color w:val="auto"/>
          <w:sz w:val="22"/>
          <w:szCs w:val="22"/>
          <w:lang w:eastAsia="sk-SK"/>
        </w:rPr>
      </w:pPr>
      <w:r w:rsidRPr="00BB0184">
        <w:rPr>
          <w:rFonts w:ascii="Calibri" w:hAnsi="Calibri"/>
          <w:color w:val="auto"/>
          <w:sz w:val="22"/>
          <w:szCs w:val="22"/>
        </w:rPr>
        <w:t xml:space="preserve">Tabuľka </w:t>
      </w:r>
      <w:r>
        <w:rPr>
          <w:rFonts w:ascii="Calibri" w:hAnsi="Calibri"/>
          <w:color w:val="auto"/>
          <w:sz w:val="22"/>
          <w:szCs w:val="22"/>
        </w:rPr>
        <w:t>14:</w:t>
      </w:r>
      <w:r w:rsidRPr="00BB0184">
        <w:rPr>
          <w:rFonts w:ascii="Calibri" w:hAnsi="Calibri"/>
          <w:noProof/>
          <w:color w:val="auto"/>
          <w:sz w:val="22"/>
          <w:szCs w:val="22"/>
          <w:lang w:eastAsia="zh-TW"/>
        </w:rPr>
        <w:t xml:space="preserve"> </w:t>
      </w:r>
      <w:r w:rsidRPr="00BB0184">
        <w:rPr>
          <w:rFonts w:ascii="Calibri" w:hAnsi="Calibri"/>
          <w:color w:val="auto"/>
          <w:sz w:val="22"/>
          <w:szCs w:val="22"/>
          <w:lang w:eastAsia="sk-SK"/>
        </w:rPr>
        <w:t>Vznik nebezpečn</w:t>
      </w:r>
      <w:r>
        <w:rPr>
          <w:rFonts w:ascii="Calibri" w:hAnsi="Calibri"/>
          <w:color w:val="auto"/>
          <w:sz w:val="22"/>
          <w:szCs w:val="22"/>
          <w:lang w:eastAsia="sk-SK"/>
        </w:rPr>
        <w:t>ých</w:t>
      </w:r>
      <w:r w:rsidRPr="00BB0184">
        <w:rPr>
          <w:rFonts w:ascii="Calibri" w:hAnsi="Calibri"/>
          <w:color w:val="auto"/>
          <w:sz w:val="22"/>
          <w:szCs w:val="22"/>
          <w:lang w:eastAsia="sk-SK"/>
        </w:rPr>
        <w:t xml:space="preserve"> odpad</w:t>
      </w:r>
      <w:r>
        <w:rPr>
          <w:rFonts w:ascii="Calibri" w:hAnsi="Calibri"/>
          <w:color w:val="auto"/>
          <w:sz w:val="22"/>
          <w:szCs w:val="22"/>
          <w:lang w:eastAsia="sk-SK"/>
        </w:rPr>
        <w:t>ov</w:t>
      </w:r>
      <w:r w:rsidRPr="00BB0184">
        <w:rPr>
          <w:rFonts w:ascii="Calibri" w:hAnsi="Calibri"/>
          <w:color w:val="auto"/>
          <w:sz w:val="22"/>
          <w:szCs w:val="22"/>
          <w:lang w:eastAsia="sk-SK"/>
        </w:rPr>
        <w:t xml:space="preserve"> na obyvateľa</w:t>
      </w:r>
    </w:p>
    <w:tbl>
      <w:tblPr>
        <w:tblW w:w="9140" w:type="dxa"/>
        <w:tblInd w:w="55" w:type="dxa"/>
        <w:tblCellMar>
          <w:left w:w="70" w:type="dxa"/>
          <w:right w:w="70" w:type="dxa"/>
        </w:tblCellMar>
        <w:tblLook w:val="00A0"/>
      </w:tblPr>
      <w:tblGrid>
        <w:gridCol w:w="1720"/>
        <w:gridCol w:w="1060"/>
        <w:gridCol w:w="1060"/>
        <w:gridCol w:w="1060"/>
        <w:gridCol w:w="1060"/>
        <w:gridCol w:w="1060"/>
        <w:gridCol w:w="1060"/>
        <w:gridCol w:w="1060"/>
      </w:tblGrid>
      <w:tr w:rsidR="007F1BA3" w:rsidRPr="0087781C" w:rsidTr="00402862">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C2D69B"/>
            <w:noWrap/>
            <w:vAlign w:val="center"/>
          </w:tcPr>
          <w:p w:rsidR="007F1BA3" w:rsidRPr="0087781C" w:rsidRDefault="007F1BA3" w:rsidP="00402862">
            <w:pPr>
              <w:spacing w:after="0" w:line="240" w:lineRule="auto"/>
              <w:jc w:val="center"/>
              <w:rPr>
                <w:b/>
                <w:bCs/>
                <w:color w:val="000000"/>
                <w:lang w:eastAsia="sk-SK"/>
              </w:rPr>
            </w:pPr>
          </w:p>
        </w:tc>
        <w:tc>
          <w:tcPr>
            <w:tcW w:w="1060" w:type="dxa"/>
            <w:tcBorders>
              <w:top w:val="single" w:sz="4" w:space="0" w:color="auto"/>
              <w:left w:val="nil"/>
              <w:bottom w:val="single" w:sz="4" w:space="0" w:color="auto"/>
              <w:right w:val="single" w:sz="4" w:space="0" w:color="auto"/>
            </w:tcBorders>
            <w:shd w:val="clear" w:color="auto" w:fill="C2D69B"/>
            <w:noWrap/>
            <w:vAlign w:val="center"/>
          </w:tcPr>
          <w:p w:rsidR="007F1BA3" w:rsidRPr="0087781C" w:rsidRDefault="007F1BA3" w:rsidP="00402862">
            <w:pPr>
              <w:spacing w:after="0" w:line="240" w:lineRule="auto"/>
              <w:jc w:val="center"/>
              <w:rPr>
                <w:b/>
                <w:bCs/>
                <w:color w:val="000000"/>
                <w:lang w:eastAsia="sk-SK"/>
              </w:rPr>
            </w:pPr>
            <w:r w:rsidRPr="0087781C">
              <w:rPr>
                <w:b/>
                <w:bCs/>
                <w:color w:val="000000"/>
                <w:lang w:eastAsia="sk-SK"/>
              </w:rPr>
              <w:t>2005</w:t>
            </w:r>
          </w:p>
        </w:tc>
        <w:tc>
          <w:tcPr>
            <w:tcW w:w="1060" w:type="dxa"/>
            <w:tcBorders>
              <w:top w:val="single" w:sz="4" w:space="0" w:color="auto"/>
              <w:left w:val="nil"/>
              <w:bottom w:val="single" w:sz="4" w:space="0" w:color="auto"/>
              <w:right w:val="single" w:sz="4" w:space="0" w:color="auto"/>
            </w:tcBorders>
            <w:shd w:val="clear" w:color="auto" w:fill="C2D69B"/>
            <w:noWrap/>
            <w:vAlign w:val="center"/>
          </w:tcPr>
          <w:p w:rsidR="007F1BA3" w:rsidRPr="0087781C" w:rsidRDefault="007F1BA3" w:rsidP="00402862">
            <w:pPr>
              <w:spacing w:after="0" w:line="240" w:lineRule="auto"/>
              <w:jc w:val="center"/>
              <w:rPr>
                <w:b/>
                <w:bCs/>
                <w:color w:val="000000"/>
                <w:lang w:eastAsia="sk-SK"/>
              </w:rPr>
            </w:pPr>
            <w:r w:rsidRPr="0087781C">
              <w:rPr>
                <w:b/>
                <w:bCs/>
                <w:color w:val="000000"/>
                <w:lang w:eastAsia="sk-SK"/>
              </w:rPr>
              <w:t>2006</w:t>
            </w:r>
          </w:p>
        </w:tc>
        <w:tc>
          <w:tcPr>
            <w:tcW w:w="1060" w:type="dxa"/>
            <w:tcBorders>
              <w:top w:val="single" w:sz="4" w:space="0" w:color="auto"/>
              <w:left w:val="nil"/>
              <w:bottom w:val="single" w:sz="4" w:space="0" w:color="auto"/>
              <w:right w:val="single" w:sz="4" w:space="0" w:color="auto"/>
            </w:tcBorders>
            <w:shd w:val="clear" w:color="auto" w:fill="C2D69B"/>
            <w:noWrap/>
            <w:vAlign w:val="center"/>
          </w:tcPr>
          <w:p w:rsidR="007F1BA3" w:rsidRPr="0087781C" w:rsidRDefault="007F1BA3" w:rsidP="00402862">
            <w:pPr>
              <w:spacing w:after="0" w:line="240" w:lineRule="auto"/>
              <w:jc w:val="center"/>
              <w:rPr>
                <w:b/>
                <w:bCs/>
                <w:color w:val="000000"/>
                <w:lang w:eastAsia="sk-SK"/>
              </w:rPr>
            </w:pPr>
            <w:r w:rsidRPr="0087781C">
              <w:rPr>
                <w:b/>
                <w:bCs/>
                <w:color w:val="000000"/>
                <w:lang w:eastAsia="sk-SK"/>
              </w:rPr>
              <w:t>2007</w:t>
            </w:r>
          </w:p>
        </w:tc>
        <w:tc>
          <w:tcPr>
            <w:tcW w:w="1060" w:type="dxa"/>
            <w:tcBorders>
              <w:top w:val="single" w:sz="4" w:space="0" w:color="auto"/>
              <w:left w:val="nil"/>
              <w:bottom w:val="single" w:sz="4" w:space="0" w:color="auto"/>
              <w:right w:val="single" w:sz="4" w:space="0" w:color="auto"/>
            </w:tcBorders>
            <w:shd w:val="clear" w:color="auto" w:fill="C2D69B"/>
            <w:noWrap/>
            <w:vAlign w:val="center"/>
          </w:tcPr>
          <w:p w:rsidR="007F1BA3" w:rsidRPr="0087781C" w:rsidRDefault="007F1BA3" w:rsidP="00402862">
            <w:pPr>
              <w:spacing w:after="0" w:line="240" w:lineRule="auto"/>
              <w:jc w:val="center"/>
              <w:rPr>
                <w:b/>
                <w:bCs/>
                <w:color w:val="000000"/>
                <w:lang w:eastAsia="sk-SK"/>
              </w:rPr>
            </w:pPr>
            <w:r w:rsidRPr="0087781C">
              <w:rPr>
                <w:b/>
                <w:bCs/>
                <w:color w:val="000000"/>
                <w:lang w:eastAsia="sk-SK"/>
              </w:rPr>
              <w:t>2008</w:t>
            </w:r>
          </w:p>
        </w:tc>
        <w:tc>
          <w:tcPr>
            <w:tcW w:w="1060" w:type="dxa"/>
            <w:tcBorders>
              <w:top w:val="single" w:sz="4" w:space="0" w:color="auto"/>
              <w:left w:val="nil"/>
              <w:bottom w:val="single" w:sz="4" w:space="0" w:color="auto"/>
              <w:right w:val="single" w:sz="4" w:space="0" w:color="auto"/>
            </w:tcBorders>
            <w:shd w:val="clear" w:color="auto" w:fill="C2D69B"/>
            <w:noWrap/>
            <w:vAlign w:val="center"/>
          </w:tcPr>
          <w:p w:rsidR="007F1BA3" w:rsidRPr="0087781C" w:rsidRDefault="007F1BA3" w:rsidP="00402862">
            <w:pPr>
              <w:spacing w:after="0" w:line="240" w:lineRule="auto"/>
              <w:jc w:val="center"/>
              <w:rPr>
                <w:b/>
                <w:bCs/>
                <w:color w:val="000000"/>
                <w:lang w:eastAsia="sk-SK"/>
              </w:rPr>
            </w:pPr>
            <w:r w:rsidRPr="0087781C">
              <w:rPr>
                <w:b/>
                <w:bCs/>
                <w:color w:val="000000"/>
                <w:lang w:eastAsia="sk-SK"/>
              </w:rPr>
              <w:t>2009</w:t>
            </w:r>
          </w:p>
        </w:tc>
        <w:tc>
          <w:tcPr>
            <w:tcW w:w="1060" w:type="dxa"/>
            <w:tcBorders>
              <w:top w:val="single" w:sz="4" w:space="0" w:color="auto"/>
              <w:left w:val="nil"/>
              <w:bottom w:val="single" w:sz="4" w:space="0" w:color="auto"/>
              <w:right w:val="single" w:sz="4" w:space="0" w:color="auto"/>
            </w:tcBorders>
            <w:shd w:val="clear" w:color="auto" w:fill="C2D69B"/>
            <w:noWrap/>
            <w:vAlign w:val="center"/>
          </w:tcPr>
          <w:p w:rsidR="007F1BA3" w:rsidRPr="0087781C" w:rsidRDefault="007F1BA3" w:rsidP="00402862">
            <w:pPr>
              <w:spacing w:after="0" w:line="240" w:lineRule="auto"/>
              <w:jc w:val="center"/>
              <w:rPr>
                <w:b/>
                <w:bCs/>
                <w:color w:val="000000"/>
                <w:lang w:eastAsia="sk-SK"/>
              </w:rPr>
            </w:pPr>
            <w:r w:rsidRPr="0087781C">
              <w:rPr>
                <w:b/>
                <w:bCs/>
                <w:color w:val="000000"/>
                <w:lang w:eastAsia="sk-SK"/>
              </w:rPr>
              <w:t>2010</w:t>
            </w:r>
          </w:p>
        </w:tc>
        <w:tc>
          <w:tcPr>
            <w:tcW w:w="1060" w:type="dxa"/>
            <w:tcBorders>
              <w:top w:val="single" w:sz="4" w:space="0" w:color="auto"/>
              <w:left w:val="nil"/>
              <w:bottom w:val="single" w:sz="4" w:space="0" w:color="auto"/>
              <w:right w:val="single" w:sz="4" w:space="0" w:color="auto"/>
            </w:tcBorders>
            <w:shd w:val="clear" w:color="auto" w:fill="C2D69B"/>
            <w:noWrap/>
            <w:vAlign w:val="center"/>
          </w:tcPr>
          <w:p w:rsidR="007F1BA3" w:rsidRPr="0087781C" w:rsidRDefault="007F1BA3" w:rsidP="00402862">
            <w:pPr>
              <w:spacing w:after="0" w:line="240" w:lineRule="auto"/>
              <w:jc w:val="center"/>
              <w:rPr>
                <w:b/>
                <w:bCs/>
                <w:color w:val="000000"/>
                <w:lang w:eastAsia="sk-SK"/>
              </w:rPr>
            </w:pPr>
            <w:r w:rsidRPr="0087781C">
              <w:rPr>
                <w:b/>
                <w:bCs/>
                <w:color w:val="000000"/>
                <w:lang w:eastAsia="sk-SK"/>
              </w:rPr>
              <w:t>2011</w:t>
            </w:r>
          </w:p>
        </w:tc>
      </w:tr>
      <w:tr w:rsidR="007F1BA3" w:rsidRPr="0087781C" w:rsidTr="00402862">
        <w:trPr>
          <w:trHeight w:val="300"/>
        </w:trPr>
        <w:tc>
          <w:tcPr>
            <w:tcW w:w="1720" w:type="dxa"/>
            <w:tcBorders>
              <w:top w:val="nil"/>
              <w:left w:val="single" w:sz="4" w:space="0" w:color="auto"/>
              <w:bottom w:val="single" w:sz="4" w:space="0" w:color="auto"/>
              <w:right w:val="single" w:sz="4" w:space="0" w:color="auto"/>
            </w:tcBorders>
            <w:noWrap/>
            <w:vAlign w:val="bottom"/>
          </w:tcPr>
          <w:p w:rsidR="007F1BA3" w:rsidRPr="0087781C" w:rsidRDefault="007F1BA3" w:rsidP="00402862">
            <w:pPr>
              <w:spacing w:after="0" w:line="240" w:lineRule="auto"/>
              <w:rPr>
                <w:color w:val="000000"/>
                <w:lang w:eastAsia="sk-SK"/>
              </w:rPr>
            </w:pPr>
            <w:r w:rsidRPr="0087781C">
              <w:rPr>
                <w:color w:val="000000"/>
                <w:lang w:eastAsia="sk-SK"/>
              </w:rPr>
              <w:t>kg/obyvateľa</w:t>
            </w:r>
          </w:p>
        </w:tc>
        <w:tc>
          <w:tcPr>
            <w:tcW w:w="1060" w:type="dxa"/>
            <w:tcBorders>
              <w:top w:val="nil"/>
              <w:left w:val="nil"/>
              <w:bottom w:val="single" w:sz="4" w:space="0" w:color="auto"/>
              <w:right w:val="single" w:sz="4" w:space="0" w:color="auto"/>
            </w:tcBorders>
            <w:noWrap/>
            <w:vAlign w:val="bottom"/>
          </w:tcPr>
          <w:p w:rsidR="007F1BA3" w:rsidRPr="0087781C" w:rsidRDefault="007F1BA3" w:rsidP="00402862">
            <w:pPr>
              <w:spacing w:after="0" w:line="240" w:lineRule="auto"/>
              <w:jc w:val="right"/>
              <w:rPr>
                <w:color w:val="000000"/>
                <w:lang w:eastAsia="sk-SK"/>
              </w:rPr>
            </w:pPr>
            <w:r w:rsidRPr="0087781C">
              <w:rPr>
                <w:color w:val="000000"/>
                <w:lang w:eastAsia="sk-SK"/>
              </w:rPr>
              <w:t>104,38</w:t>
            </w:r>
          </w:p>
        </w:tc>
        <w:tc>
          <w:tcPr>
            <w:tcW w:w="1060" w:type="dxa"/>
            <w:tcBorders>
              <w:top w:val="nil"/>
              <w:left w:val="nil"/>
              <w:bottom w:val="single" w:sz="4" w:space="0" w:color="auto"/>
              <w:right w:val="single" w:sz="4" w:space="0" w:color="auto"/>
            </w:tcBorders>
            <w:noWrap/>
            <w:vAlign w:val="bottom"/>
          </w:tcPr>
          <w:p w:rsidR="007F1BA3" w:rsidRPr="0087781C" w:rsidRDefault="007F1BA3" w:rsidP="00402862">
            <w:pPr>
              <w:spacing w:after="0" w:line="240" w:lineRule="auto"/>
              <w:jc w:val="right"/>
              <w:rPr>
                <w:color w:val="000000"/>
                <w:lang w:eastAsia="sk-SK"/>
              </w:rPr>
            </w:pPr>
            <w:r w:rsidRPr="0087781C">
              <w:rPr>
                <w:color w:val="000000"/>
                <w:lang w:eastAsia="sk-SK"/>
              </w:rPr>
              <w:t>99,31</w:t>
            </w:r>
          </w:p>
        </w:tc>
        <w:tc>
          <w:tcPr>
            <w:tcW w:w="1060" w:type="dxa"/>
            <w:tcBorders>
              <w:top w:val="nil"/>
              <w:left w:val="nil"/>
              <w:bottom w:val="single" w:sz="4" w:space="0" w:color="auto"/>
              <w:right w:val="single" w:sz="4" w:space="0" w:color="auto"/>
            </w:tcBorders>
            <w:noWrap/>
            <w:vAlign w:val="bottom"/>
          </w:tcPr>
          <w:p w:rsidR="007F1BA3" w:rsidRPr="0087781C" w:rsidRDefault="007F1BA3" w:rsidP="00402862">
            <w:pPr>
              <w:spacing w:after="0" w:line="240" w:lineRule="auto"/>
              <w:jc w:val="right"/>
              <w:rPr>
                <w:color w:val="000000"/>
                <w:lang w:eastAsia="sk-SK"/>
              </w:rPr>
            </w:pPr>
            <w:r w:rsidRPr="0087781C">
              <w:rPr>
                <w:color w:val="000000"/>
                <w:lang w:eastAsia="sk-SK"/>
              </w:rPr>
              <w:t>98,18</w:t>
            </w:r>
          </w:p>
        </w:tc>
        <w:tc>
          <w:tcPr>
            <w:tcW w:w="1060" w:type="dxa"/>
            <w:tcBorders>
              <w:top w:val="nil"/>
              <w:left w:val="nil"/>
              <w:bottom w:val="single" w:sz="4" w:space="0" w:color="auto"/>
              <w:right w:val="single" w:sz="4" w:space="0" w:color="auto"/>
            </w:tcBorders>
            <w:noWrap/>
            <w:vAlign w:val="bottom"/>
          </w:tcPr>
          <w:p w:rsidR="007F1BA3" w:rsidRPr="0087781C" w:rsidRDefault="007F1BA3" w:rsidP="00402862">
            <w:pPr>
              <w:spacing w:after="0" w:line="240" w:lineRule="auto"/>
              <w:jc w:val="right"/>
              <w:rPr>
                <w:color w:val="000000"/>
                <w:lang w:eastAsia="sk-SK"/>
              </w:rPr>
            </w:pPr>
            <w:r w:rsidRPr="0087781C">
              <w:rPr>
                <w:color w:val="000000"/>
                <w:lang w:eastAsia="sk-SK"/>
              </w:rPr>
              <w:t>97,90</w:t>
            </w:r>
          </w:p>
        </w:tc>
        <w:tc>
          <w:tcPr>
            <w:tcW w:w="1060" w:type="dxa"/>
            <w:tcBorders>
              <w:top w:val="nil"/>
              <w:left w:val="nil"/>
              <w:bottom w:val="single" w:sz="4" w:space="0" w:color="auto"/>
              <w:right w:val="single" w:sz="4" w:space="0" w:color="auto"/>
            </w:tcBorders>
            <w:noWrap/>
            <w:vAlign w:val="bottom"/>
          </w:tcPr>
          <w:p w:rsidR="007F1BA3" w:rsidRPr="0087781C" w:rsidRDefault="007F1BA3" w:rsidP="00402862">
            <w:pPr>
              <w:spacing w:after="0" w:line="240" w:lineRule="auto"/>
              <w:jc w:val="right"/>
              <w:rPr>
                <w:color w:val="000000"/>
                <w:lang w:eastAsia="sk-SK"/>
              </w:rPr>
            </w:pPr>
            <w:r w:rsidRPr="0087781C">
              <w:rPr>
                <w:color w:val="000000"/>
                <w:lang w:eastAsia="sk-SK"/>
              </w:rPr>
              <w:t>86,44</w:t>
            </w:r>
          </w:p>
        </w:tc>
        <w:tc>
          <w:tcPr>
            <w:tcW w:w="1060" w:type="dxa"/>
            <w:tcBorders>
              <w:top w:val="nil"/>
              <w:left w:val="nil"/>
              <w:bottom w:val="single" w:sz="4" w:space="0" w:color="auto"/>
              <w:right w:val="single" w:sz="4" w:space="0" w:color="auto"/>
            </w:tcBorders>
            <w:noWrap/>
            <w:vAlign w:val="bottom"/>
          </w:tcPr>
          <w:p w:rsidR="007F1BA3" w:rsidRPr="0087781C" w:rsidRDefault="007F1BA3" w:rsidP="00402862">
            <w:pPr>
              <w:spacing w:after="0" w:line="240" w:lineRule="auto"/>
              <w:jc w:val="right"/>
              <w:rPr>
                <w:color w:val="000000"/>
                <w:lang w:eastAsia="sk-SK"/>
              </w:rPr>
            </w:pPr>
            <w:r w:rsidRPr="0087781C">
              <w:rPr>
                <w:color w:val="000000"/>
                <w:lang w:eastAsia="sk-SK"/>
              </w:rPr>
              <w:t>86,88</w:t>
            </w:r>
          </w:p>
        </w:tc>
        <w:tc>
          <w:tcPr>
            <w:tcW w:w="1060" w:type="dxa"/>
            <w:tcBorders>
              <w:top w:val="nil"/>
              <w:left w:val="nil"/>
              <w:bottom w:val="single" w:sz="4" w:space="0" w:color="auto"/>
              <w:right w:val="single" w:sz="4" w:space="0" w:color="auto"/>
            </w:tcBorders>
            <w:noWrap/>
            <w:vAlign w:val="bottom"/>
          </w:tcPr>
          <w:p w:rsidR="007F1BA3" w:rsidRPr="0087781C" w:rsidRDefault="007F1BA3" w:rsidP="00402862">
            <w:pPr>
              <w:spacing w:after="0" w:line="240" w:lineRule="auto"/>
              <w:jc w:val="right"/>
              <w:rPr>
                <w:color w:val="000000"/>
                <w:lang w:eastAsia="sk-SK"/>
              </w:rPr>
            </w:pPr>
            <w:r w:rsidRPr="0087781C">
              <w:rPr>
                <w:color w:val="000000"/>
                <w:lang w:eastAsia="sk-SK"/>
              </w:rPr>
              <w:t>71,49</w:t>
            </w:r>
          </w:p>
        </w:tc>
      </w:tr>
    </w:tbl>
    <w:p w:rsidR="0053435C" w:rsidRDefault="007F1BA3" w:rsidP="00CD60B6">
      <w:pPr>
        <w:jc w:val="both"/>
        <w:rPr>
          <w:rFonts w:ascii="Cambria" w:hAnsi="Cambria"/>
          <w:b/>
          <w:bCs/>
          <w:color w:val="336600"/>
          <w:lang w:eastAsia="sk-SK"/>
        </w:rPr>
      </w:pPr>
      <w:r>
        <w:rPr>
          <w:lang w:eastAsia="sk-SK"/>
        </w:rPr>
        <w:t>Zdroj: SAŽP, RISO, ŠÚSR</w:t>
      </w:r>
    </w:p>
    <w:p w:rsidR="007F1BA3" w:rsidRPr="00DA775B" w:rsidRDefault="007F1BA3" w:rsidP="00CD60B6">
      <w:pPr>
        <w:jc w:val="both"/>
        <w:rPr>
          <w:rFonts w:ascii="Times New Roman" w:hAnsi="Times New Roman"/>
          <w:szCs w:val="24"/>
        </w:rPr>
      </w:pPr>
      <w:r>
        <w:rPr>
          <w:rFonts w:ascii="Cambria" w:hAnsi="Cambria"/>
          <w:b/>
          <w:bCs/>
          <w:color w:val="336600"/>
          <w:lang w:eastAsia="sk-SK"/>
        </w:rPr>
        <w:t xml:space="preserve">2.2.8  </w:t>
      </w:r>
      <w:r w:rsidRPr="00CD60B6">
        <w:rPr>
          <w:rFonts w:ascii="Cambria" w:hAnsi="Cambria"/>
          <w:b/>
          <w:bCs/>
          <w:color w:val="336600"/>
          <w:lang w:eastAsia="sk-SK"/>
        </w:rPr>
        <w:t>Vznik odpadu z ťažobného priemyslu</w:t>
      </w:r>
      <w:r w:rsidRPr="00DA775B">
        <w:rPr>
          <w:rFonts w:ascii="Times New Roman" w:hAnsi="Times New Roman"/>
          <w:szCs w:val="24"/>
        </w:rPr>
        <w:t xml:space="preserve"> </w:t>
      </w:r>
    </w:p>
    <w:p w:rsidR="007F1BA3" w:rsidRPr="00CD60B6" w:rsidRDefault="007F1BA3" w:rsidP="00A22343">
      <w:pPr>
        <w:jc w:val="both"/>
        <w:rPr>
          <w:noProof/>
          <w:lang w:eastAsia="zh-TW"/>
        </w:rPr>
      </w:pPr>
      <w:r w:rsidRPr="00CD60B6">
        <w:rPr>
          <w:noProof/>
          <w:lang w:eastAsia="zh-TW"/>
        </w:rPr>
        <w:t>Podľa Správy o stave životného prostredia 2011</w:t>
      </w:r>
      <w:r w:rsidRPr="00AC1515">
        <w:rPr>
          <w:noProof/>
          <w:vertAlign w:val="superscript"/>
          <w:lang w:eastAsia="zh-TW"/>
        </w:rPr>
        <w:footnoteReference w:id="3"/>
      </w:r>
      <w:r w:rsidRPr="00CD60B6">
        <w:rPr>
          <w:noProof/>
          <w:lang w:eastAsia="zh-TW"/>
        </w:rPr>
        <w:t xml:space="preserve"> sa v SR vyprodukovalo 219 146,15 ton odpadu z ťažby a dobývania, z toho 928,03 ton nebezpečného odpadu a 218 218,12 ostatného odpadu, čo predstavuje celkovo približne 2,41 % vyprodukovaného odpadu (bez KO) v SR.</w:t>
      </w:r>
    </w:p>
    <w:p w:rsidR="007F1BA3" w:rsidRPr="00CD60B6" w:rsidRDefault="007F1BA3" w:rsidP="00CD60B6">
      <w:pPr>
        <w:rPr>
          <w:b/>
          <w:noProof/>
          <w:lang w:eastAsia="zh-TW"/>
        </w:rPr>
      </w:pPr>
      <w:r w:rsidRPr="00CD60B6">
        <w:rPr>
          <w:b/>
          <w:noProof/>
          <w:lang w:eastAsia="zh-TW"/>
        </w:rPr>
        <w:t xml:space="preserve">Tabuľka </w:t>
      </w:r>
      <w:r>
        <w:rPr>
          <w:b/>
          <w:noProof/>
          <w:lang w:eastAsia="zh-TW"/>
        </w:rPr>
        <w:t>15:</w:t>
      </w:r>
      <w:r w:rsidRPr="00CD60B6">
        <w:rPr>
          <w:b/>
          <w:noProof/>
          <w:lang w:eastAsia="zh-TW"/>
        </w:rPr>
        <w:t xml:space="preserve"> </w:t>
      </w:r>
      <w:r>
        <w:rPr>
          <w:b/>
          <w:noProof/>
          <w:lang w:eastAsia="zh-TW"/>
        </w:rPr>
        <w:t xml:space="preserve"> </w:t>
      </w:r>
      <w:r w:rsidRPr="00CD60B6">
        <w:rPr>
          <w:b/>
          <w:noProof/>
          <w:lang w:eastAsia="zh-TW"/>
        </w:rPr>
        <w:t>Množstvo vzniknutého ťažobného odpadu v roku 2011 (v tonách)</w:t>
      </w:r>
    </w:p>
    <w:tbl>
      <w:tblPr>
        <w:tblW w:w="4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991"/>
        <w:gridCol w:w="1559"/>
        <w:gridCol w:w="1559"/>
        <w:gridCol w:w="1276"/>
      </w:tblGrid>
      <w:tr w:rsidR="0053435C" w:rsidRPr="00CD60B6" w:rsidTr="0053435C">
        <w:trPr>
          <w:trHeight w:val="960"/>
        </w:trPr>
        <w:tc>
          <w:tcPr>
            <w:tcW w:w="1531" w:type="pct"/>
          </w:tcPr>
          <w:p w:rsidR="00E01F0B" w:rsidRDefault="007F1BA3">
            <w:pPr>
              <w:autoSpaceDE w:val="0"/>
              <w:autoSpaceDN w:val="0"/>
              <w:adjustRightInd w:val="0"/>
              <w:rPr>
                <w:noProof/>
                <w:lang w:eastAsia="zh-TW"/>
              </w:rPr>
            </w:pPr>
            <w:r w:rsidRPr="00CD60B6">
              <w:rPr>
                <w:b/>
                <w:noProof/>
                <w:lang w:eastAsia="zh-TW"/>
              </w:rPr>
              <w:t>Sekcia</w:t>
            </w:r>
          </w:p>
        </w:tc>
        <w:tc>
          <w:tcPr>
            <w:tcW w:w="638" w:type="pct"/>
          </w:tcPr>
          <w:p w:rsidR="007F1BA3" w:rsidRPr="00CD60B6" w:rsidRDefault="007F1BA3" w:rsidP="00AC1515">
            <w:pPr>
              <w:autoSpaceDE w:val="0"/>
              <w:autoSpaceDN w:val="0"/>
              <w:adjustRightInd w:val="0"/>
              <w:rPr>
                <w:b/>
                <w:noProof/>
                <w:lang w:eastAsia="zh-TW"/>
              </w:rPr>
            </w:pPr>
            <w:r w:rsidRPr="00CD60B6">
              <w:rPr>
                <w:b/>
                <w:noProof/>
                <w:lang w:eastAsia="zh-TW"/>
              </w:rPr>
              <w:t>rok</w:t>
            </w:r>
          </w:p>
        </w:tc>
        <w:tc>
          <w:tcPr>
            <w:tcW w:w="1004" w:type="pct"/>
          </w:tcPr>
          <w:p w:rsidR="007F1BA3" w:rsidRPr="00CD60B6" w:rsidRDefault="007F1BA3" w:rsidP="00AC1515">
            <w:pPr>
              <w:autoSpaceDE w:val="0"/>
              <w:autoSpaceDN w:val="0"/>
              <w:adjustRightInd w:val="0"/>
              <w:rPr>
                <w:b/>
                <w:noProof/>
                <w:lang w:eastAsia="zh-TW"/>
              </w:rPr>
            </w:pPr>
            <w:r w:rsidRPr="00CD60B6">
              <w:rPr>
                <w:b/>
                <w:noProof/>
                <w:lang w:eastAsia="zh-TW"/>
              </w:rPr>
              <w:t>Nebezpečný</w:t>
            </w:r>
          </w:p>
          <w:p w:rsidR="007F1BA3" w:rsidRPr="00CD60B6" w:rsidRDefault="007F1BA3" w:rsidP="00AC1515">
            <w:pPr>
              <w:autoSpaceDE w:val="0"/>
              <w:autoSpaceDN w:val="0"/>
              <w:adjustRightInd w:val="0"/>
              <w:rPr>
                <w:b/>
                <w:noProof/>
                <w:lang w:eastAsia="zh-TW"/>
              </w:rPr>
            </w:pPr>
            <w:r w:rsidRPr="00CD60B6">
              <w:rPr>
                <w:b/>
                <w:noProof/>
                <w:lang w:eastAsia="zh-TW"/>
              </w:rPr>
              <w:t>Odpad (t)</w:t>
            </w:r>
          </w:p>
          <w:p w:rsidR="007F1BA3" w:rsidRPr="00CD60B6" w:rsidRDefault="007F1BA3" w:rsidP="00AC1515">
            <w:pPr>
              <w:rPr>
                <w:b/>
                <w:noProof/>
                <w:lang w:eastAsia="zh-TW"/>
              </w:rPr>
            </w:pPr>
          </w:p>
        </w:tc>
        <w:tc>
          <w:tcPr>
            <w:tcW w:w="1004" w:type="pct"/>
          </w:tcPr>
          <w:p w:rsidR="007F1BA3" w:rsidRPr="00CD60B6" w:rsidRDefault="007F1BA3" w:rsidP="00AC1515">
            <w:pPr>
              <w:autoSpaceDE w:val="0"/>
              <w:autoSpaceDN w:val="0"/>
              <w:adjustRightInd w:val="0"/>
              <w:rPr>
                <w:b/>
                <w:noProof/>
                <w:lang w:eastAsia="zh-TW"/>
              </w:rPr>
            </w:pPr>
            <w:r w:rsidRPr="00CD60B6">
              <w:rPr>
                <w:b/>
                <w:noProof/>
                <w:lang w:eastAsia="zh-TW"/>
              </w:rPr>
              <w:t>Ostatný</w:t>
            </w:r>
          </w:p>
          <w:p w:rsidR="007F1BA3" w:rsidRPr="00CD60B6" w:rsidRDefault="007F1BA3" w:rsidP="00AC1515">
            <w:pPr>
              <w:rPr>
                <w:b/>
                <w:noProof/>
                <w:lang w:eastAsia="zh-TW"/>
              </w:rPr>
            </w:pPr>
            <w:r w:rsidRPr="00CD60B6">
              <w:rPr>
                <w:b/>
                <w:noProof/>
                <w:lang w:eastAsia="zh-TW"/>
              </w:rPr>
              <w:t>Odpad (t)</w:t>
            </w:r>
          </w:p>
        </w:tc>
        <w:tc>
          <w:tcPr>
            <w:tcW w:w="822" w:type="pct"/>
          </w:tcPr>
          <w:p w:rsidR="007F1BA3" w:rsidRPr="00CD60B6" w:rsidRDefault="007F1BA3" w:rsidP="00AC1515">
            <w:pPr>
              <w:rPr>
                <w:b/>
                <w:noProof/>
                <w:lang w:eastAsia="zh-TW"/>
              </w:rPr>
            </w:pPr>
            <w:r w:rsidRPr="00CD60B6">
              <w:rPr>
                <w:b/>
                <w:noProof/>
                <w:lang w:eastAsia="zh-TW"/>
              </w:rPr>
              <w:t>Spolu (t)</w:t>
            </w:r>
          </w:p>
        </w:tc>
      </w:tr>
      <w:tr w:rsidR="007F1BA3" w:rsidRPr="00CD60B6" w:rsidTr="0053435C">
        <w:trPr>
          <w:trHeight w:val="416"/>
        </w:trPr>
        <w:tc>
          <w:tcPr>
            <w:tcW w:w="1531" w:type="pct"/>
          </w:tcPr>
          <w:p w:rsidR="007F1BA3" w:rsidRPr="00CD60B6" w:rsidRDefault="007F1BA3" w:rsidP="00AC1515">
            <w:pPr>
              <w:rPr>
                <w:noProof/>
                <w:lang w:eastAsia="zh-TW"/>
              </w:rPr>
            </w:pPr>
            <w:r w:rsidRPr="00CD60B6">
              <w:rPr>
                <w:noProof/>
                <w:lang w:eastAsia="zh-TW"/>
              </w:rPr>
              <w:t>B – Ťažba a  dobývanie</w:t>
            </w:r>
          </w:p>
        </w:tc>
        <w:tc>
          <w:tcPr>
            <w:tcW w:w="638" w:type="pct"/>
          </w:tcPr>
          <w:p w:rsidR="007F1BA3" w:rsidRPr="00CD60B6" w:rsidRDefault="007F1BA3" w:rsidP="00AC1515">
            <w:pPr>
              <w:rPr>
                <w:noProof/>
                <w:lang w:eastAsia="zh-TW"/>
              </w:rPr>
            </w:pPr>
            <w:r w:rsidRPr="00CD60B6">
              <w:rPr>
                <w:noProof/>
                <w:lang w:eastAsia="zh-TW"/>
              </w:rPr>
              <w:t>2008</w:t>
            </w:r>
          </w:p>
        </w:tc>
        <w:tc>
          <w:tcPr>
            <w:tcW w:w="1004" w:type="pct"/>
          </w:tcPr>
          <w:p w:rsidR="007F1BA3" w:rsidRPr="00CD60B6" w:rsidRDefault="007F1BA3" w:rsidP="00AC1515">
            <w:pPr>
              <w:rPr>
                <w:noProof/>
                <w:lang w:eastAsia="zh-TW"/>
              </w:rPr>
            </w:pPr>
            <w:r w:rsidRPr="00CD60B6">
              <w:rPr>
                <w:noProof/>
                <w:lang w:eastAsia="zh-TW"/>
              </w:rPr>
              <w:t>569</w:t>
            </w:r>
          </w:p>
        </w:tc>
        <w:tc>
          <w:tcPr>
            <w:tcW w:w="1004" w:type="pct"/>
          </w:tcPr>
          <w:p w:rsidR="007F1BA3" w:rsidRPr="00CD60B6" w:rsidRDefault="007F1BA3" w:rsidP="00AC1515">
            <w:pPr>
              <w:rPr>
                <w:noProof/>
                <w:lang w:eastAsia="zh-TW"/>
              </w:rPr>
            </w:pPr>
            <w:r w:rsidRPr="00CD60B6">
              <w:rPr>
                <w:noProof/>
                <w:lang w:eastAsia="zh-TW"/>
              </w:rPr>
              <w:t>150 291</w:t>
            </w:r>
          </w:p>
        </w:tc>
        <w:tc>
          <w:tcPr>
            <w:tcW w:w="822" w:type="pct"/>
          </w:tcPr>
          <w:p w:rsidR="007F1BA3" w:rsidRPr="00CD60B6" w:rsidRDefault="007F1BA3" w:rsidP="00AC1515">
            <w:pPr>
              <w:rPr>
                <w:noProof/>
                <w:lang w:eastAsia="zh-TW"/>
              </w:rPr>
            </w:pPr>
            <w:r w:rsidRPr="00CD60B6">
              <w:rPr>
                <w:noProof/>
                <w:lang w:eastAsia="zh-TW"/>
              </w:rPr>
              <w:t>150 860</w:t>
            </w:r>
          </w:p>
        </w:tc>
      </w:tr>
      <w:tr w:rsidR="007F1BA3" w:rsidRPr="00CD60B6" w:rsidTr="0053435C">
        <w:trPr>
          <w:trHeight w:val="324"/>
        </w:trPr>
        <w:tc>
          <w:tcPr>
            <w:tcW w:w="1531" w:type="pct"/>
          </w:tcPr>
          <w:p w:rsidR="007F1BA3" w:rsidRPr="00CD60B6" w:rsidRDefault="007F1BA3" w:rsidP="00AC1515">
            <w:pPr>
              <w:rPr>
                <w:noProof/>
                <w:lang w:eastAsia="zh-TW"/>
              </w:rPr>
            </w:pPr>
            <w:r w:rsidRPr="00CD60B6">
              <w:rPr>
                <w:noProof/>
                <w:lang w:eastAsia="zh-TW"/>
              </w:rPr>
              <w:t>B – Ťažba a  dobývanie</w:t>
            </w:r>
          </w:p>
        </w:tc>
        <w:tc>
          <w:tcPr>
            <w:tcW w:w="638" w:type="pct"/>
          </w:tcPr>
          <w:p w:rsidR="007F1BA3" w:rsidRPr="00CD60B6" w:rsidRDefault="007F1BA3" w:rsidP="00AC1515">
            <w:pPr>
              <w:rPr>
                <w:noProof/>
                <w:lang w:eastAsia="zh-TW"/>
              </w:rPr>
            </w:pPr>
            <w:r w:rsidRPr="00CD60B6">
              <w:rPr>
                <w:noProof/>
                <w:lang w:eastAsia="zh-TW"/>
              </w:rPr>
              <w:t>2009</w:t>
            </w:r>
          </w:p>
        </w:tc>
        <w:tc>
          <w:tcPr>
            <w:tcW w:w="1004" w:type="pct"/>
          </w:tcPr>
          <w:p w:rsidR="007F1BA3" w:rsidRPr="00CD60B6" w:rsidRDefault="007F1BA3" w:rsidP="00AC1515">
            <w:pPr>
              <w:rPr>
                <w:noProof/>
                <w:lang w:eastAsia="zh-TW"/>
              </w:rPr>
            </w:pPr>
            <w:r w:rsidRPr="00CD60B6">
              <w:rPr>
                <w:noProof/>
                <w:lang w:eastAsia="zh-TW"/>
              </w:rPr>
              <w:t>341,88</w:t>
            </w:r>
          </w:p>
        </w:tc>
        <w:tc>
          <w:tcPr>
            <w:tcW w:w="1004" w:type="pct"/>
          </w:tcPr>
          <w:p w:rsidR="007F1BA3" w:rsidRPr="00CD60B6" w:rsidRDefault="007F1BA3" w:rsidP="00AC1515">
            <w:pPr>
              <w:rPr>
                <w:noProof/>
                <w:lang w:eastAsia="zh-TW"/>
              </w:rPr>
            </w:pPr>
            <w:r w:rsidRPr="00CD60B6">
              <w:rPr>
                <w:noProof/>
                <w:lang w:eastAsia="zh-TW"/>
              </w:rPr>
              <w:t>197 821,16</w:t>
            </w:r>
          </w:p>
        </w:tc>
        <w:tc>
          <w:tcPr>
            <w:tcW w:w="822" w:type="pct"/>
          </w:tcPr>
          <w:p w:rsidR="007F1BA3" w:rsidRPr="00CD60B6" w:rsidRDefault="007F1BA3" w:rsidP="00AC1515">
            <w:pPr>
              <w:rPr>
                <w:noProof/>
                <w:lang w:eastAsia="zh-TW"/>
              </w:rPr>
            </w:pPr>
            <w:r w:rsidRPr="00CD60B6">
              <w:rPr>
                <w:noProof/>
                <w:lang w:eastAsia="zh-TW"/>
              </w:rPr>
              <w:t>198 163,04</w:t>
            </w:r>
          </w:p>
        </w:tc>
      </w:tr>
      <w:tr w:rsidR="007F1BA3" w:rsidRPr="00CD60B6" w:rsidTr="0053435C">
        <w:tc>
          <w:tcPr>
            <w:tcW w:w="1531" w:type="pct"/>
          </w:tcPr>
          <w:p w:rsidR="007F1BA3" w:rsidRPr="00CD60B6" w:rsidRDefault="007F1BA3" w:rsidP="00AC1515">
            <w:pPr>
              <w:rPr>
                <w:noProof/>
                <w:lang w:eastAsia="zh-TW"/>
              </w:rPr>
            </w:pPr>
            <w:r w:rsidRPr="00CD60B6">
              <w:rPr>
                <w:noProof/>
                <w:lang w:eastAsia="zh-TW"/>
              </w:rPr>
              <w:t>B – Ťažba a  dobývanie</w:t>
            </w:r>
          </w:p>
        </w:tc>
        <w:tc>
          <w:tcPr>
            <w:tcW w:w="638" w:type="pct"/>
          </w:tcPr>
          <w:p w:rsidR="007F1BA3" w:rsidRPr="00CD60B6" w:rsidRDefault="007F1BA3" w:rsidP="00AC1515">
            <w:pPr>
              <w:rPr>
                <w:noProof/>
                <w:lang w:eastAsia="zh-TW"/>
              </w:rPr>
            </w:pPr>
            <w:r w:rsidRPr="00CD60B6">
              <w:rPr>
                <w:noProof/>
                <w:lang w:eastAsia="zh-TW"/>
              </w:rPr>
              <w:t>2010</w:t>
            </w:r>
          </w:p>
        </w:tc>
        <w:tc>
          <w:tcPr>
            <w:tcW w:w="1004" w:type="pct"/>
          </w:tcPr>
          <w:p w:rsidR="007F1BA3" w:rsidRPr="00CD60B6" w:rsidRDefault="007F1BA3" w:rsidP="00AC1515">
            <w:pPr>
              <w:rPr>
                <w:noProof/>
                <w:lang w:eastAsia="zh-TW"/>
              </w:rPr>
            </w:pPr>
            <w:r w:rsidRPr="00CD60B6">
              <w:rPr>
                <w:noProof/>
                <w:lang w:eastAsia="zh-TW"/>
              </w:rPr>
              <w:t>384,03</w:t>
            </w:r>
          </w:p>
        </w:tc>
        <w:tc>
          <w:tcPr>
            <w:tcW w:w="1004" w:type="pct"/>
          </w:tcPr>
          <w:p w:rsidR="007F1BA3" w:rsidRPr="00CD60B6" w:rsidRDefault="007F1BA3" w:rsidP="00AC1515">
            <w:pPr>
              <w:rPr>
                <w:noProof/>
                <w:lang w:eastAsia="zh-TW"/>
              </w:rPr>
            </w:pPr>
            <w:r w:rsidRPr="00CD60B6">
              <w:rPr>
                <w:noProof/>
                <w:lang w:eastAsia="zh-TW"/>
              </w:rPr>
              <w:t>165 200,58</w:t>
            </w:r>
          </w:p>
        </w:tc>
        <w:tc>
          <w:tcPr>
            <w:tcW w:w="822" w:type="pct"/>
          </w:tcPr>
          <w:p w:rsidR="007F1BA3" w:rsidRPr="00CD60B6" w:rsidRDefault="007F1BA3" w:rsidP="00AC1515">
            <w:pPr>
              <w:rPr>
                <w:noProof/>
                <w:lang w:eastAsia="zh-TW"/>
              </w:rPr>
            </w:pPr>
            <w:r w:rsidRPr="00CD60B6">
              <w:rPr>
                <w:noProof/>
                <w:lang w:eastAsia="zh-TW"/>
              </w:rPr>
              <w:t>165 584,61</w:t>
            </w:r>
          </w:p>
        </w:tc>
      </w:tr>
      <w:tr w:rsidR="007F1BA3" w:rsidRPr="00CD60B6" w:rsidTr="0053435C">
        <w:tc>
          <w:tcPr>
            <w:tcW w:w="1531" w:type="pct"/>
          </w:tcPr>
          <w:p w:rsidR="007F1BA3" w:rsidRPr="00CD60B6" w:rsidRDefault="007F1BA3" w:rsidP="00AC1515">
            <w:pPr>
              <w:rPr>
                <w:noProof/>
                <w:lang w:eastAsia="zh-TW"/>
              </w:rPr>
            </w:pPr>
            <w:r w:rsidRPr="00CD60B6">
              <w:rPr>
                <w:noProof/>
                <w:lang w:eastAsia="zh-TW"/>
              </w:rPr>
              <w:t>B – Ťažba a  dobývanie</w:t>
            </w:r>
          </w:p>
        </w:tc>
        <w:tc>
          <w:tcPr>
            <w:tcW w:w="638" w:type="pct"/>
          </w:tcPr>
          <w:p w:rsidR="007F1BA3" w:rsidRPr="00CD60B6" w:rsidRDefault="007F1BA3" w:rsidP="00AC1515">
            <w:pPr>
              <w:rPr>
                <w:noProof/>
                <w:lang w:eastAsia="zh-TW"/>
              </w:rPr>
            </w:pPr>
            <w:r w:rsidRPr="00CD60B6">
              <w:rPr>
                <w:noProof/>
                <w:lang w:eastAsia="zh-TW"/>
              </w:rPr>
              <w:t>2011</w:t>
            </w:r>
          </w:p>
        </w:tc>
        <w:tc>
          <w:tcPr>
            <w:tcW w:w="1004" w:type="pct"/>
          </w:tcPr>
          <w:p w:rsidR="007F1BA3" w:rsidRPr="00CD60B6" w:rsidRDefault="007F1BA3" w:rsidP="00AC1515">
            <w:pPr>
              <w:rPr>
                <w:noProof/>
                <w:lang w:eastAsia="zh-TW"/>
              </w:rPr>
            </w:pPr>
            <w:r w:rsidRPr="00CD60B6">
              <w:rPr>
                <w:noProof/>
                <w:lang w:eastAsia="zh-TW"/>
              </w:rPr>
              <w:t>928,03</w:t>
            </w:r>
          </w:p>
        </w:tc>
        <w:tc>
          <w:tcPr>
            <w:tcW w:w="1004" w:type="pct"/>
          </w:tcPr>
          <w:p w:rsidR="007F1BA3" w:rsidRPr="00CD60B6" w:rsidRDefault="007F1BA3" w:rsidP="00AC1515">
            <w:pPr>
              <w:rPr>
                <w:noProof/>
                <w:lang w:eastAsia="zh-TW"/>
              </w:rPr>
            </w:pPr>
            <w:r w:rsidRPr="00CD60B6">
              <w:rPr>
                <w:noProof/>
                <w:lang w:eastAsia="zh-TW"/>
              </w:rPr>
              <w:t>218 218,12</w:t>
            </w:r>
          </w:p>
        </w:tc>
        <w:tc>
          <w:tcPr>
            <w:tcW w:w="822" w:type="pct"/>
          </w:tcPr>
          <w:p w:rsidR="007F1BA3" w:rsidRPr="00CD60B6" w:rsidRDefault="007F1BA3" w:rsidP="00AC1515">
            <w:pPr>
              <w:rPr>
                <w:noProof/>
                <w:lang w:eastAsia="zh-TW"/>
              </w:rPr>
            </w:pPr>
            <w:r w:rsidRPr="00CD60B6">
              <w:rPr>
                <w:noProof/>
                <w:lang w:eastAsia="zh-TW"/>
              </w:rPr>
              <w:t>219 146,15</w:t>
            </w:r>
          </w:p>
        </w:tc>
      </w:tr>
    </w:tbl>
    <w:p w:rsidR="007F1BA3" w:rsidRPr="00CD60B6" w:rsidRDefault="007F1BA3" w:rsidP="008C1AE6">
      <w:pPr>
        <w:pStyle w:val="Nadpis2"/>
        <w:rPr>
          <w:rFonts w:ascii="Calibri" w:hAnsi="Calibri"/>
          <w:b w:val="0"/>
          <w:bCs/>
          <w:noProof/>
          <w:color w:val="auto"/>
          <w:sz w:val="22"/>
          <w:szCs w:val="22"/>
          <w:lang w:eastAsia="zh-TW"/>
        </w:rPr>
      </w:pPr>
    </w:p>
    <w:p w:rsidR="007F1BA3" w:rsidRDefault="007F1BA3" w:rsidP="008C1AE6">
      <w:pPr>
        <w:pStyle w:val="Nadpis2"/>
        <w:rPr>
          <w:lang w:eastAsia="sk-SK"/>
        </w:rPr>
      </w:pPr>
      <w:bookmarkStart w:id="20" w:name="_Toc356292955"/>
      <w:r w:rsidRPr="00BC77AC">
        <w:rPr>
          <w:lang w:eastAsia="sk-SK"/>
        </w:rPr>
        <w:t xml:space="preserve">2.3 </w:t>
      </w:r>
      <w:r>
        <w:rPr>
          <w:lang w:eastAsia="sk-SK"/>
        </w:rPr>
        <w:tab/>
        <w:t>P</w:t>
      </w:r>
      <w:r w:rsidRPr="00BC77AC">
        <w:rPr>
          <w:lang w:eastAsia="sk-SK"/>
        </w:rPr>
        <w:t>redchádzani</w:t>
      </w:r>
      <w:r>
        <w:rPr>
          <w:lang w:eastAsia="sk-SK"/>
        </w:rPr>
        <w:t>e</w:t>
      </w:r>
      <w:r w:rsidRPr="00BC77AC">
        <w:rPr>
          <w:lang w:eastAsia="sk-SK"/>
        </w:rPr>
        <w:t xml:space="preserve"> vzniku odpadu v SR</w:t>
      </w:r>
      <w:bookmarkEnd w:id="20"/>
      <w:r w:rsidRPr="00BC77AC">
        <w:rPr>
          <w:lang w:eastAsia="sk-SK"/>
        </w:rPr>
        <w:t xml:space="preserve"> </w:t>
      </w:r>
    </w:p>
    <w:p w:rsidR="007F1BA3" w:rsidRDefault="007F1BA3" w:rsidP="00BC77AC">
      <w:pPr>
        <w:jc w:val="both"/>
      </w:pPr>
      <w:r w:rsidRPr="00816C28">
        <w:t>Predchádzanie vzniku odpadu je deklarované ako hlavný cieľ odpadového hospodárstva v zákone o odpadoch už od r. 2001.</w:t>
      </w:r>
      <w:r>
        <w:t xml:space="preserve"> V pôvodnom znení zákona však nemala hierarchia odpadového hospodárstva </w:t>
      </w:r>
      <w:r w:rsidRPr="00B96459">
        <w:t>bezprostredne záväzný charakter a</w:t>
      </w:r>
      <w:r>
        <w:t> </w:t>
      </w:r>
      <w:r w:rsidRPr="00B96459">
        <w:t>je</w:t>
      </w:r>
      <w:r>
        <w:t xml:space="preserve">j </w:t>
      </w:r>
      <w:r w:rsidRPr="00B96459">
        <w:t>uplatňovanie sa m</w:t>
      </w:r>
      <w:r>
        <w:t>alo</w:t>
      </w:r>
      <w:r w:rsidRPr="00B96459">
        <w:t xml:space="preserve"> realizovať nepriamo cez programy odpadového hospodárstva. V Programe odpadového hospodárstva Slovenskej republiky na roky 2005 – 2010 však hierarchia nebola dostatočne rozpracovaná. Program nestanovil žiadne ciele týkajúce sa predchádzania vzniku odpadu a zaoberá sa výlučne podielom energeticky a materiálovo zhodnocovaných o</w:t>
      </w:r>
      <w:r>
        <w:t xml:space="preserve">dpadov a ich zneškodňovaním. </w:t>
      </w:r>
    </w:p>
    <w:p w:rsidR="007F1BA3" w:rsidRDefault="007F1BA3" w:rsidP="00BC77AC">
      <w:pPr>
        <w:jc w:val="both"/>
        <w:rPr>
          <w:b/>
        </w:rPr>
      </w:pPr>
      <w:r>
        <w:t>To však neznamená, že situácia na úrovni priemyselných podnikov a obcí je rovnako zlá. Podniky sú pôvodcami či držiteľmi odpadu a na základe princípu „platí znečisťovateľ“ sú povinné znášať náklady na zneškodňovanie svojich odpadov. Preto je v ich ekonomickom záujme hľadať možnosti predchádzania vzniku odpadu v súlade s platnými právnymi predpismi. Mnohé podniky majú zavedený a certifikovaný systém environmentálneho manažérstva podľa normy ISO 14001 a usilujú sa o zlepšenie odpadového hospodárstva vrátane predchádzania vzniku odpadu aj nad rámec platnej legislatívy z dôvodu budovania svojho environmentálneho profilu. Viaceré obce v snahe znížiť náklady na zneškodňovanie komunálnych odpadov spolupracujú s mimovládnymi organizáciami. Veľmi dobré výsledky prezentujú najmä Priatelia Zeme – SPZ.</w:t>
      </w:r>
    </w:p>
    <w:p w:rsidR="007F1BA3" w:rsidRPr="00C60CA9" w:rsidRDefault="007F1BA3" w:rsidP="00BC77AC">
      <w:pPr>
        <w:jc w:val="both"/>
        <w:rPr>
          <w:b/>
        </w:rPr>
      </w:pPr>
      <w:r w:rsidRPr="00C60CA9">
        <w:rPr>
          <w:b/>
        </w:rPr>
        <w:t>Napriek absencii národnej stratégie predchádzania vzniku odpadu boli realizo</w:t>
      </w:r>
      <w:r>
        <w:rPr>
          <w:b/>
        </w:rPr>
        <w:t>vané viaceré úspešné projekty</w:t>
      </w:r>
      <w:r w:rsidRPr="00FC1DE9">
        <w:t xml:space="preserve">, ktoré uvádza </w:t>
      </w:r>
      <w:r>
        <w:rPr>
          <w:b/>
        </w:rPr>
        <w:t>príloha č. 3 k PPVO .</w:t>
      </w:r>
    </w:p>
    <w:p w:rsidR="007F1BA3" w:rsidRDefault="007F1BA3" w:rsidP="007866B7">
      <w:pPr>
        <w:pStyle w:val="Nadpis1"/>
      </w:pPr>
      <w:bookmarkStart w:id="21" w:name="_Toc356292956"/>
      <w:r>
        <w:t>3</w:t>
      </w:r>
      <w:r>
        <w:tab/>
        <w:t>Vyhodnotenie užitočnosti opatrení odporúčaných EK</w:t>
      </w:r>
      <w:bookmarkEnd w:id="21"/>
    </w:p>
    <w:p w:rsidR="007F1BA3" w:rsidRDefault="007F1BA3" w:rsidP="002977F1">
      <w:pPr>
        <w:jc w:val="both"/>
      </w:pPr>
      <w:r>
        <w:t xml:space="preserve">Kapitola 3 je spracovaná v súlade s </w:t>
      </w:r>
      <w:r w:rsidRPr="004D0CFC">
        <w:rPr>
          <w:b/>
        </w:rPr>
        <w:t xml:space="preserve">§ 6b ods. 4 </w:t>
      </w:r>
      <w:r>
        <w:rPr>
          <w:b/>
        </w:rPr>
        <w:t xml:space="preserve">novely </w:t>
      </w:r>
      <w:r w:rsidRPr="004D0CFC">
        <w:rPr>
          <w:b/>
        </w:rPr>
        <w:t>zákona o odpadoch</w:t>
      </w:r>
      <w:r>
        <w:t xml:space="preserve">, podľa ktorého je súčasťou programu predchádzania vzniku odpadu aj </w:t>
      </w:r>
      <w:r w:rsidRPr="004D0CFC">
        <w:rPr>
          <w:b/>
        </w:rPr>
        <w:t>vyhodnotenie užitočnosti opatrení uvedených v prílohe 4a k</w:t>
      </w:r>
      <w:r>
        <w:rPr>
          <w:b/>
        </w:rPr>
        <w:t xml:space="preserve">  </w:t>
      </w:r>
      <w:r w:rsidRPr="004D0CFC">
        <w:rPr>
          <w:b/>
        </w:rPr>
        <w:t>zákon</w:t>
      </w:r>
      <w:r>
        <w:rPr>
          <w:b/>
        </w:rPr>
        <w:t>u o odpadoch</w:t>
      </w:r>
      <w:r>
        <w:t xml:space="preserve"> alebo iných existujúcich opatrení. Sú to opatrenia, ktoré môžu ovplyvniť</w:t>
      </w:r>
    </w:p>
    <w:p w:rsidR="007F1BA3" w:rsidRDefault="007F1BA3" w:rsidP="008468C9">
      <w:pPr>
        <w:pStyle w:val="Odsekzoznamu"/>
        <w:numPr>
          <w:ilvl w:val="0"/>
          <w:numId w:val="24"/>
        </w:numPr>
        <w:jc w:val="both"/>
      </w:pPr>
      <w:r>
        <w:t>rámcové podmienky týkajúce sa vzniku odpadu (legislatíva, plánovanie, ekonomické nástroje, výskum a vývoj),</w:t>
      </w:r>
    </w:p>
    <w:p w:rsidR="007F1BA3" w:rsidRDefault="007F1BA3" w:rsidP="008468C9">
      <w:pPr>
        <w:pStyle w:val="Odsekzoznamu"/>
        <w:numPr>
          <w:ilvl w:val="0"/>
          <w:numId w:val="24"/>
        </w:numPr>
        <w:jc w:val="both"/>
      </w:pPr>
      <w:r>
        <w:t>štádium navrhovania, výroby a distribúcie produktov (</w:t>
      </w:r>
      <w:r w:rsidRPr="00954AF1">
        <w:t xml:space="preserve">podpora </w:t>
      </w:r>
      <w:proofErr w:type="spellStart"/>
      <w:r w:rsidRPr="00954AF1">
        <w:t>ekodizajnu</w:t>
      </w:r>
      <w:proofErr w:type="spellEnd"/>
      <w:r w:rsidRPr="00954AF1">
        <w:t>; poskytovanie informácií o technikách predchádzania vzniku odpadu; organizovanie školení na úrovni príslušného orgánu o začleňovaní požiadaviek predchádzania vzniku odpadov do povolení podľa zákona 223/2001 Z.</w:t>
      </w:r>
      <w:r>
        <w:t xml:space="preserve"> </w:t>
      </w:r>
      <w:r w:rsidRPr="00954AF1">
        <w:t xml:space="preserve">z. o odpadoch v znení neskorších predpisov a zákona </w:t>
      </w:r>
      <w:r>
        <w:t>39</w:t>
      </w:r>
      <w:r w:rsidRPr="00954AF1">
        <w:t>/20</w:t>
      </w:r>
      <w:r>
        <w:t>1</w:t>
      </w:r>
      <w:r w:rsidRPr="00954AF1">
        <w:t>3 Z. z. o integrovanej prevencii a kontrole znečisťovania životného prostredia a o zmene a doplnení niektorých zákonov; využitie dobrovoľných dohôd; podpora dôveryhodných systémov environmentálneho riadenia</w:t>
      </w:r>
      <w:r>
        <w:t>),</w:t>
      </w:r>
    </w:p>
    <w:p w:rsidR="007F1BA3" w:rsidRDefault="007F1BA3" w:rsidP="008468C9">
      <w:pPr>
        <w:pStyle w:val="Odsekzoznamu"/>
        <w:numPr>
          <w:ilvl w:val="0"/>
          <w:numId w:val="24"/>
        </w:numPr>
        <w:jc w:val="both"/>
      </w:pPr>
      <w:r>
        <w:t>štádium spotreby a používania (</w:t>
      </w:r>
      <w:r w:rsidRPr="00954AF1">
        <w:t>hospodárske nástroje – stimuly pre čisté nákupy, zavedenie povinnej platby pre spotrebiteľov za istú časť alebo prvok obalu, ktorý by sa inak poskytoval zadarmo; využívanie kampaní na informovanie verejnosti; dobrovoľné dohody s priemyslom; podpora opätovného používania a opráv vyradených výrobkov a ich súčastí</w:t>
      </w:r>
      <w:r>
        <w:t xml:space="preserve">). </w:t>
      </w:r>
    </w:p>
    <w:p w:rsidR="007F1BA3" w:rsidRPr="002977F1" w:rsidRDefault="007F1BA3" w:rsidP="002977F1">
      <w:pPr>
        <w:jc w:val="both"/>
      </w:pPr>
    </w:p>
    <w:p w:rsidR="007F1BA3" w:rsidRDefault="007F1BA3" w:rsidP="00677DBF">
      <w:pPr>
        <w:pStyle w:val="Nadpis2"/>
        <w:numPr>
          <w:ilvl w:val="1"/>
          <w:numId w:val="9"/>
        </w:numPr>
      </w:pPr>
      <w:bookmarkStart w:id="22" w:name="_Toc356292957"/>
      <w:r>
        <w:t xml:space="preserve">Opatrenia, ktoré môžu ovplyvniť rámcové podmienky týkajúce sa vzniku </w:t>
      </w:r>
      <w:r w:rsidRPr="00A75CD0">
        <w:t>odpadu</w:t>
      </w:r>
      <w:bookmarkEnd w:id="22"/>
    </w:p>
    <w:p w:rsidR="007F1BA3" w:rsidRPr="007866B7" w:rsidRDefault="007F1BA3" w:rsidP="007866B7">
      <w:pPr>
        <w:ind w:left="360"/>
      </w:pPr>
    </w:p>
    <w:p w:rsidR="007F1BA3" w:rsidRDefault="007F1BA3" w:rsidP="00D16FCA">
      <w:pPr>
        <w:pStyle w:val="Nadpis3"/>
        <w:ind w:left="709" w:hanging="709"/>
      </w:pPr>
      <w:bookmarkStart w:id="23" w:name="_Toc356292958"/>
      <w:r w:rsidRPr="00D62A41">
        <w:t>3.1.1</w:t>
      </w:r>
      <w:r w:rsidRPr="00D62A41">
        <w:tab/>
        <w:t>Používanie plánovacích opatrení alebo iných hospodárskych nástrojov podporujúcich efektívne využívanie zdrojov</w:t>
      </w:r>
      <w:bookmarkEnd w:id="23"/>
      <w:r w:rsidRPr="00D62A41">
        <w:t xml:space="preserve">  </w:t>
      </w:r>
    </w:p>
    <w:p w:rsidR="007F1BA3" w:rsidRPr="0008166D" w:rsidRDefault="007F1BA3" w:rsidP="00774BD8">
      <w:pPr>
        <w:jc w:val="both"/>
        <w:rPr>
          <w:b/>
        </w:rPr>
      </w:pPr>
      <w:r w:rsidRPr="0008166D">
        <w:rPr>
          <w:b/>
        </w:rPr>
        <w:t>Plánovacie opatrenia</w:t>
      </w:r>
    </w:p>
    <w:p w:rsidR="007F1BA3" w:rsidRDefault="007F1BA3" w:rsidP="004F1D79">
      <w:pPr>
        <w:jc w:val="both"/>
      </w:pPr>
      <w:r>
        <w:t xml:space="preserve">Surovinová a energetická politika sú základnými plánovacími nástrojmi podporujúcimi efektívne využívanie zdrojov. Tieto politiky patria do pôsobnosti Ministerstva hospodárstva SR, zatiaľ čo problematika odpadového hospodárstva patrí do pôsobnosti Ministerstva životného prostredia SR. V SR sa doposiaľ </w:t>
      </w:r>
      <w:r w:rsidRPr="00BD7492">
        <w:rPr>
          <w:b/>
        </w:rPr>
        <w:t>nepodarilo presadiť prístup, ktorý by zohľadňoval celý životný cyklus výrobkov a materiálov</w:t>
      </w:r>
      <w:r>
        <w:t xml:space="preserve">. Opatrenia na predchádzanie vzniku odpadu sa však musia </w:t>
      </w:r>
      <w:r w:rsidRPr="00B251EE">
        <w:rPr>
          <w:b/>
        </w:rPr>
        <w:t xml:space="preserve">realizovať </w:t>
      </w:r>
      <w:r>
        <w:rPr>
          <w:b/>
        </w:rPr>
        <w:t xml:space="preserve">počas celého životného cyklu výrobku </w:t>
      </w:r>
      <w:r w:rsidRPr="00724E81">
        <w:t>– už od ťažby surovín, cez výrobu, distribúciu, obchod až po konečnú spotrebu</w:t>
      </w:r>
      <w:r>
        <w:t>. Teda nielen v etape, keď sa výrobok po vypotrebovaní úžitkových hodnôt stáva odpadom (obrázok 17).</w:t>
      </w:r>
    </w:p>
    <w:p w:rsidR="00415210" w:rsidRPr="004F1D79" w:rsidRDefault="00415210" w:rsidP="004F1D79">
      <w:pPr>
        <w:jc w:val="both"/>
      </w:pPr>
    </w:p>
    <w:p w:rsidR="007F1BA3" w:rsidRDefault="007F1BA3" w:rsidP="00EC040B">
      <w:r w:rsidRPr="00F71F4B">
        <w:rPr>
          <w:b/>
        </w:rPr>
        <w:lastRenderedPageBreak/>
        <w:t>Obrázok 17:  Rámec predchádzania vzniku odpadu</w:t>
      </w:r>
      <w:r>
        <w:rPr>
          <w:rStyle w:val="Odkaznapoznmkupodiarou"/>
        </w:rPr>
        <w:footnoteReference w:id="4"/>
      </w:r>
      <w:r w:rsidR="00C903AC">
        <w:rPr>
          <w:noProof/>
          <w:lang w:eastAsia="sk-SK"/>
        </w:rPr>
        <w:drawing>
          <wp:inline distT="0" distB="0" distL="0" distR="0">
            <wp:extent cx="5289550" cy="6108700"/>
            <wp:effectExtent l="19050" t="0" r="635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5289550" cy="6108700"/>
                    </a:xfrm>
                    <a:prstGeom prst="rect">
                      <a:avLst/>
                    </a:prstGeom>
                    <a:noFill/>
                    <a:ln w="9525">
                      <a:noFill/>
                      <a:miter lim="800000"/>
                      <a:headEnd/>
                      <a:tailEnd/>
                    </a:ln>
                  </pic:spPr>
                </pic:pic>
              </a:graphicData>
            </a:graphic>
          </wp:inline>
        </w:drawing>
      </w:r>
    </w:p>
    <w:p w:rsidR="007F1BA3" w:rsidRDefault="007F1BA3" w:rsidP="008F59DB">
      <w:pPr>
        <w:jc w:val="both"/>
      </w:pPr>
      <w:r>
        <w:t xml:space="preserve">K základným strategickým dokumentom MŽP SR patrí </w:t>
      </w:r>
      <w:r w:rsidRPr="00021FA6">
        <w:rPr>
          <w:b/>
        </w:rPr>
        <w:t>Stratégia, zásady a priority štátnej environmentálnej politiky</w:t>
      </w:r>
      <w:r>
        <w:t xml:space="preserve">, schválená uznesením vlády SR č. 619 </w:t>
      </w:r>
      <w:r w:rsidRPr="009F705C">
        <w:t>zo 7. septembra 1993</w:t>
      </w:r>
      <w:r>
        <w:t xml:space="preserve"> a </w:t>
      </w:r>
      <w:r w:rsidRPr="00834EC5">
        <w:rPr>
          <w:b/>
        </w:rPr>
        <w:t>Národná stratégia trvalo udržateľného rozvoja</w:t>
      </w:r>
      <w:r>
        <w:t xml:space="preserve"> schválená uznesením vlády SR č. 978 </w:t>
      </w:r>
      <w:r w:rsidRPr="009F705C">
        <w:t>z 10. októbra 2001.</w:t>
      </w:r>
      <w:r>
        <w:t xml:space="preserve"> Problematika efektívneho využívania zdrojov vo vzťahu k predchádzaniu vzniku odpadu nie je v týchto dokumentoch rozpracovaná.</w:t>
      </w:r>
    </w:p>
    <w:p w:rsidR="007F1BA3" w:rsidRDefault="007F1BA3" w:rsidP="008F59DB">
      <w:pPr>
        <w:jc w:val="both"/>
      </w:pPr>
      <w:r>
        <w:t xml:space="preserve">Efektívnym využívaním zdrojov sa zaoberajú viaceré </w:t>
      </w:r>
      <w:r w:rsidRPr="00204902">
        <w:rPr>
          <w:b/>
        </w:rPr>
        <w:t>strategické dokumenty Ministerstva hospodárstva SR</w:t>
      </w:r>
      <w:r>
        <w:t xml:space="preserve"> vrátane využívania druhotných surovinových a energetických zdrojov, resp. odpadov. K dokumentom, ktoré by v budúcnosti mohli prispieť k predchádzaniu vzniku odpadu, patria najmä:</w:t>
      </w:r>
    </w:p>
    <w:p w:rsidR="007F1BA3" w:rsidRPr="00A35A01" w:rsidRDefault="007F1BA3" w:rsidP="00677DBF">
      <w:pPr>
        <w:numPr>
          <w:ilvl w:val="0"/>
          <w:numId w:val="2"/>
        </w:numPr>
        <w:spacing w:after="0"/>
        <w:jc w:val="both"/>
        <w:rPr>
          <w:lang w:eastAsia="zh-TW"/>
        </w:rPr>
      </w:pPr>
      <w:r>
        <w:rPr>
          <w:lang w:eastAsia="zh-TW"/>
        </w:rPr>
        <w:lastRenderedPageBreak/>
        <w:t>s</w:t>
      </w:r>
      <w:r w:rsidRPr="00A35A01">
        <w:rPr>
          <w:lang w:eastAsia="zh-TW"/>
        </w:rPr>
        <w:t>urovino</w:t>
      </w:r>
      <w:r>
        <w:rPr>
          <w:lang w:eastAsia="zh-TW"/>
        </w:rPr>
        <w:t>vá</w:t>
      </w:r>
      <w:r w:rsidRPr="00A35A01">
        <w:rPr>
          <w:lang w:eastAsia="zh-TW"/>
        </w:rPr>
        <w:t xml:space="preserve"> politik</w:t>
      </w:r>
      <w:r>
        <w:rPr>
          <w:lang w:eastAsia="zh-TW"/>
        </w:rPr>
        <w:t>a</w:t>
      </w:r>
      <w:r w:rsidRPr="00A35A01">
        <w:rPr>
          <w:lang w:eastAsia="zh-TW"/>
        </w:rPr>
        <w:t xml:space="preserve"> S</w:t>
      </w:r>
      <w:r>
        <w:rPr>
          <w:lang w:eastAsia="zh-TW"/>
        </w:rPr>
        <w:t>R,</w:t>
      </w:r>
      <w:r w:rsidRPr="00A35A01">
        <w:rPr>
          <w:lang w:eastAsia="zh-TW"/>
        </w:rPr>
        <w:t xml:space="preserve"> </w:t>
      </w:r>
    </w:p>
    <w:p w:rsidR="007F1BA3" w:rsidRPr="00A35A01" w:rsidRDefault="007F1BA3" w:rsidP="00677DBF">
      <w:pPr>
        <w:numPr>
          <w:ilvl w:val="0"/>
          <w:numId w:val="2"/>
        </w:numPr>
        <w:spacing w:after="0"/>
        <w:jc w:val="both"/>
        <w:rPr>
          <w:lang w:eastAsia="zh-TW"/>
        </w:rPr>
      </w:pPr>
      <w:r>
        <w:rPr>
          <w:lang w:eastAsia="zh-TW"/>
        </w:rPr>
        <w:t>s</w:t>
      </w:r>
      <w:r w:rsidRPr="00A35A01">
        <w:rPr>
          <w:lang w:eastAsia="zh-TW"/>
        </w:rPr>
        <w:t xml:space="preserve">tratégia energetickej bezpečnosti </w:t>
      </w:r>
      <w:r>
        <w:rPr>
          <w:lang w:eastAsia="zh-TW"/>
        </w:rPr>
        <w:t>SR,</w:t>
      </w:r>
    </w:p>
    <w:p w:rsidR="007F1BA3" w:rsidRPr="00A35A01" w:rsidRDefault="007F1BA3" w:rsidP="00677DBF">
      <w:pPr>
        <w:numPr>
          <w:ilvl w:val="0"/>
          <w:numId w:val="2"/>
        </w:numPr>
        <w:autoSpaceDE w:val="0"/>
        <w:autoSpaceDN w:val="0"/>
        <w:adjustRightInd w:val="0"/>
        <w:spacing w:after="0"/>
        <w:jc w:val="both"/>
      </w:pPr>
      <w:r>
        <w:t>e</w:t>
      </w:r>
      <w:r w:rsidRPr="00A35A01">
        <w:t>nergetická politika SR</w:t>
      </w:r>
      <w:r>
        <w:t>,</w:t>
      </w:r>
    </w:p>
    <w:p w:rsidR="007F1BA3" w:rsidRPr="0029371C" w:rsidRDefault="007F1BA3" w:rsidP="00677DBF">
      <w:pPr>
        <w:numPr>
          <w:ilvl w:val="0"/>
          <w:numId w:val="2"/>
        </w:numPr>
        <w:autoSpaceDE w:val="0"/>
        <w:autoSpaceDN w:val="0"/>
        <w:adjustRightInd w:val="0"/>
        <w:ind w:left="714" w:hanging="357"/>
        <w:jc w:val="both"/>
        <w:rPr>
          <w:b/>
        </w:rPr>
      </w:pPr>
      <w:r>
        <w:t>s</w:t>
      </w:r>
      <w:r w:rsidRPr="00A35A01">
        <w:t>tratégia vyššieho využitia obnoviteľných zdrojov energie</w:t>
      </w:r>
      <w:r>
        <w:t>.</w:t>
      </w:r>
    </w:p>
    <w:p w:rsidR="007F1BA3" w:rsidRPr="00140F76" w:rsidRDefault="007F1BA3" w:rsidP="008F59DB">
      <w:pPr>
        <w:jc w:val="both"/>
        <w:rPr>
          <w:lang w:eastAsia="zh-TW"/>
        </w:rPr>
      </w:pPr>
      <w:r w:rsidRPr="00140F76">
        <w:rPr>
          <w:lang w:eastAsia="zh-TW"/>
        </w:rPr>
        <w:t xml:space="preserve">Podrobnejšiu </w:t>
      </w:r>
      <w:r>
        <w:rPr>
          <w:lang w:eastAsia="zh-TW"/>
        </w:rPr>
        <w:t xml:space="preserve">analýzu uvedených dokumentov obsahuje </w:t>
      </w:r>
      <w:r w:rsidRPr="000363BA">
        <w:rPr>
          <w:b/>
          <w:lang w:eastAsia="zh-TW"/>
        </w:rPr>
        <w:t>príloha č. 4</w:t>
      </w:r>
      <w:r>
        <w:rPr>
          <w:lang w:eastAsia="zh-TW"/>
        </w:rPr>
        <w:t xml:space="preserve"> k PPVO.</w:t>
      </w:r>
    </w:p>
    <w:p w:rsidR="007F1BA3" w:rsidRPr="00BB0184" w:rsidRDefault="007F1BA3" w:rsidP="008F59DB">
      <w:pPr>
        <w:autoSpaceDE w:val="0"/>
        <w:autoSpaceDN w:val="0"/>
        <w:adjustRightInd w:val="0"/>
        <w:jc w:val="both"/>
        <w:rPr>
          <w:rFonts w:cs="LiberationSerif-Regular"/>
          <w:b/>
        </w:rPr>
      </w:pPr>
      <w:r w:rsidRPr="00BB0184">
        <w:rPr>
          <w:rFonts w:cs="LiberationSerif-Regular"/>
        </w:rPr>
        <w:t xml:space="preserve">Existujúce opatrenia v oblasti politík, stratégií a plánov v SR sú zamerané na efektívne využívanie surovinových a energetických zdrojov. </w:t>
      </w:r>
      <w:r w:rsidRPr="00BB0184">
        <w:rPr>
          <w:rFonts w:cs="LiberationSerif-Regular"/>
          <w:b/>
        </w:rPr>
        <w:t>Neprispievajú však významnou mierou k predchádzaniu vzniku odpadu.</w:t>
      </w:r>
    </w:p>
    <w:p w:rsidR="007F1BA3" w:rsidRPr="001B1257" w:rsidRDefault="007F1BA3" w:rsidP="0008166D">
      <w:pPr>
        <w:autoSpaceDE w:val="0"/>
        <w:autoSpaceDN w:val="0"/>
        <w:adjustRightInd w:val="0"/>
        <w:jc w:val="both"/>
        <w:rPr>
          <w:rFonts w:cs="LiberationSerif-Regular"/>
          <w:b/>
        </w:rPr>
      </w:pPr>
      <w:r w:rsidRPr="001B1257">
        <w:rPr>
          <w:rFonts w:cs="LiberationSerif-Regular"/>
          <w:b/>
        </w:rPr>
        <w:t>Ekonomické nástroje</w:t>
      </w:r>
    </w:p>
    <w:p w:rsidR="007F1BA3" w:rsidRDefault="007F1BA3" w:rsidP="00D76988">
      <w:pPr>
        <w:jc w:val="both"/>
        <w:rPr>
          <w:rFonts w:cs="LiberationSerif-Regular"/>
        </w:rPr>
      </w:pPr>
      <w:r>
        <w:rPr>
          <w:rFonts w:cs="LiberationSerif-Regular"/>
        </w:rPr>
        <w:t xml:space="preserve">V odpadovom hospodárstve SR sa využíva viacero ekonomických nástrojov. Vo vzťahu k predchádzaniu vzniku odpadu je to najmä: </w:t>
      </w:r>
    </w:p>
    <w:p w:rsidR="007F1BA3" w:rsidRPr="00AF47C2" w:rsidRDefault="007F1BA3" w:rsidP="00AF47C2">
      <w:pPr>
        <w:pStyle w:val="Odsekzoznamu"/>
        <w:numPr>
          <w:ilvl w:val="0"/>
          <w:numId w:val="47"/>
        </w:numPr>
        <w:jc w:val="both"/>
        <w:rPr>
          <w:rFonts w:cs="LiberationSerif-Regular"/>
        </w:rPr>
      </w:pPr>
      <w:r w:rsidRPr="00AF47C2">
        <w:rPr>
          <w:rFonts w:cs="LiberationSerif-Regular"/>
        </w:rPr>
        <w:t>poplatok za uloženie odpadov na skládku odpadov a </w:t>
      </w:r>
    </w:p>
    <w:p w:rsidR="007F1BA3" w:rsidRPr="00AF47C2" w:rsidRDefault="007F1BA3" w:rsidP="00AF47C2">
      <w:pPr>
        <w:pStyle w:val="Odsekzoznamu"/>
        <w:numPr>
          <w:ilvl w:val="0"/>
          <w:numId w:val="47"/>
        </w:numPr>
        <w:jc w:val="both"/>
        <w:rPr>
          <w:rFonts w:cs="LiberationSerif-Regular"/>
        </w:rPr>
      </w:pPr>
      <w:r w:rsidRPr="00AF47C2">
        <w:rPr>
          <w:rFonts w:cs="LiberationSerif-Regular"/>
        </w:rPr>
        <w:t>miestny poplatok za komunálne odpady a drobné stavebné odpady.</w:t>
      </w:r>
    </w:p>
    <w:p w:rsidR="007F1BA3" w:rsidRDefault="007F1BA3" w:rsidP="00D76988">
      <w:pPr>
        <w:jc w:val="both"/>
        <w:rPr>
          <w:rFonts w:cs="LiberationSerif-Regular"/>
        </w:rPr>
      </w:pPr>
      <w:r>
        <w:rPr>
          <w:rFonts w:cs="LiberationSerif-Regular"/>
        </w:rPr>
        <w:t xml:space="preserve">Hlavným zámerom zákona č. 17/2004 Z. z. o poplatkoch za uloženie odpadov v znení neskorších predpisov bola snaha obmedziť vznik odpadov a podporiť ich ďalšie zhodnocovanie. Tento zámer </w:t>
      </w:r>
      <w:r w:rsidRPr="00741F7B">
        <w:rPr>
          <w:rFonts w:cs="LiberationSerif-Regular"/>
          <w:b/>
        </w:rPr>
        <w:t>sa nepodarilo celkom dosiahnuť, keďže sadzby za jednotlivé položky odpadov sú dlhodobo nízke</w:t>
      </w:r>
      <w:r>
        <w:rPr>
          <w:rFonts w:cs="LiberationSerif-Regular"/>
        </w:rPr>
        <w:t xml:space="preserve"> a skládkovanie je stále najlacnejším spôsobom nakladania s odpadmi.   </w:t>
      </w:r>
    </w:p>
    <w:p w:rsidR="007F1BA3" w:rsidRPr="00741F7B" w:rsidRDefault="007F1BA3" w:rsidP="00D76988">
      <w:pPr>
        <w:jc w:val="both"/>
        <w:rPr>
          <w:rFonts w:cs="LiberationSerif-Regular"/>
          <w:b/>
        </w:rPr>
      </w:pPr>
      <w:r>
        <w:rPr>
          <w:rFonts w:cs="LiberationSerif-Regular"/>
        </w:rPr>
        <w:t>Zákon č. 582/2004 Z, z.</w:t>
      </w:r>
      <w:r w:rsidRPr="00AF47C2">
        <w:rPr>
          <w:rFonts w:ascii="Times New Roman" w:hAnsi="Times New Roman"/>
          <w:b/>
          <w:sz w:val="24"/>
          <w:szCs w:val="24"/>
        </w:rPr>
        <w:t xml:space="preserve"> </w:t>
      </w:r>
      <w:r w:rsidRPr="00AF47C2">
        <w:t>o miestnych daniach a miestnom poplatku za komunálne odpady a drobné stavebné odpady</w:t>
      </w:r>
      <w:r>
        <w:rPr>
          <w:rFonts w:cs="LiberationSerif-Regular"/>
        </w:rPr>
        <w:t xml:space="preserve"> v znení neskorších predpisov umožňuje obci vyberať poplatok za zber, prepravu a zneškodňovanie komunálnych odpadov a drobných stavebných odpadov. Miestny poplatok platí poplatník buď ako paušálny poplatok na základe ustanovenej sadzby [§ 78 ods. 1 písm. b)] alebo podľa množstva vzniknutého odpadu [§ 78 ods. 1 písm. a)]. V zákone je stanovená horná aj dolná hranica sadzby poplatku. Vo väčšine obcí SR je zavedený </w:t>
      </w:r>
      <w:r w:rsidRPr="00741F7B">
        <w:rPr>
          <w:rFonts w:cs="LiberationSerif-Regular"/>
          <w:b/>
        </w:rPr>
        <w:t xml:space="preserve">paušálny poplatok, ktorý nemá vplyv na predchádzanie vzniku odpadu.  </w:t>
      </w:r>
    </w:p>
    <w:p w:rsidR="007F1BA3" w:rsidRPr="00741F7B" w:rsidRDefault="007F1BA3" w:rsidP="00AF47C2">
      <w:pPr>
        <w:jc w:val="both"/>
        <w:rPr>
          <w:rFonts w:cs="LiberationSerif-Regular"/>
          <w:b/>
        </w:rPr>
      </w:pPr>
      <w:r>
        <w:t>Špecifickým nástrojom sú príspevky výrobcov a dovozcov vybraných komodít do Recyklačného fondu, ktorý bol zriadený</w:t>
      </w:r>
      <w:r w:rsidRPr="00FC576A">
        <w:t xml:space="preserve"> zákonom č. 223/2001 Z. z. </w:t>
      </w:r>
      <w:r>
        <w:t>o odpadoch</w:t>
      </w:r>
      <w:r w:rsidRPr="00FC576A">
        <w:t xml:space="preserve">. Idea zriadenia Recyklačného fondu vychádzala zo základného princípu ochrany životného prostredia v Európskej únii „znečisťovateľ platí“. Cieľom Recyklačného fondu bolo podporiť vybudovanie </w:t>
      </w:r>
      <w:proofErr w:type="spellStart"/>
      <w:r w:rsidRPr="00FC576A">
        <w:t>zhodnocovacích</w:t>
      </w:r>
      <w:proofErr w:type="spellEnd"/>
      <w:r w:rsidRPr="00FC576A">
        <w:t>, najmä recyklačných kapacít, pričom Recyklačný fond</w:t>
      </w:r>
      <w:r>
        <w:t xml:space="preserve"> zároveň finančne podporoval</w:t>
      </w:r>
      <w:r w:rsidRPr="00FC576A">
        <w:t xml:space="preserve"> triedený (separovaný) zber komunálneho odpadu v</w:t>
      </w:r>
      <w:r>
        <w:t> </w:t>
      </w:r>
      <w:r w:rsidRPr="00FC576A">
        <w:t>obciach</w:t>
      </w:r>
      <w:r>
        <w:t xml:space="preserve">. Ako sa ukázalo, </w:t>
      </w:r>
      <w:r w:rsidRPr="002A39C4">
        <w:rPr>
          <w:b/>
        </w:rPr>
        <w:t>p</w:t>
      </w:r>
      <w:r w:rsidRPr="00741F7B">
        <w:rPr>
          <w:b/>
        </w:rPr>
        <w:t>ríspevky do Recyklačného fondu nemajú vplyv na predchádzanie vzniku odpadu</w:t>
      </w:r>
      <w:r>
        <w:rPr>
          <w:b/>
        </w:rPr>
        <w:t>.</w:t>
      </w:r>
    </w:p>
    <w:p w:rsidR="007F1BA3" w:rsidRDefault="007F1BA3" w:rsidP="00735A27">
      <w:pPr>
        <w:jc w:val="both"/>
        <w:rPr>
          <w:lang w:eastAsia="zh-TW"/>
        </w:rPr>
      </w:pPr>
      <w:r w:rsidRPr="00B20ECB">
        <w:rPr>
          <w:rFonts w:cs="LiberationSerif-Regular"/>
        </w:rPr>
        <w:t>K ekonomickým nástrojom, ktoré majú vplyv na efektívne využívanie zdrojov, patria</w:t>
      </w:r>
      <w:r>
        <w:rPr>
          <w:rFonts w:cs="LiberationSerif-Regular"/>
          <w:b/>
        </w:rPr>
        <w:t xml:space="preserve"> </w:t>
      </w:r>
      <w:r w:rsidRPr="00B20ECB">
        <w:rPr>
          <w:rFonts w:cs="LiberationSerif-Regular"/>
        </w:rPr>
        <w:t xml:space="preserve">spotrebné dane. </w:t>
      </w:r>
      <w:r w:rsidRPr="00B20ECB">
        <w:rPr>
          <w:lang w:eastAsia="zh-TW"/>
        </w:rPr>
        <w:t xml:space="preserve">Uvedená skupina daní predstavuje nepriame dane selektívneho charakteru, ktoré sa v SR vzťahujú len na vybraný druh tovaru. Konkrétne ide o pivo, víno, tabak a tabakové výrobky, lieh, minerálne oleje </w:t>
      </w:r>
      <w:r>
        <w:rPr>
          <w:lang w:eastAsia="zh-TW"/>
        </w:rPr>
        <w:t>–</w:t>
      </w:r>
      <w:r w:rsidRPr="00B20ECB">
        <w:rPr>
          <w:lang w:eastAsia="zh-TW"/>
        </w:rPr>
        <w:t xml:space="preserve"> benzín a naftu, uhlie, elektrinu a zemný plyn.</w:t>
      </w:r>
      <w:r>
        <w:rPr>
          <w:lang w:eastAsia="zh-TW"/>
        </w:rPr>
        <w:t xml:space="preserve"> Tieto dane ovplyvňujú spotrebu, keďže spotrebná daň je zakalkulovaná v predajnej cene výrobku, teda v jej navýšení. </w:t>
      </w:r>
    </w:p>
    <w:p w:rsidR="007F1BA3" w:rsidRPr="009A0502" w:rsidRDefault="007F1BA3" w:rsidP="00A72201">
      <w:pPr>
        <w:jc w:val="both"/>
        <w:rPr>
          <w:b/>
          <w:lang w:eastAsia="zh-TW"/>
        </w:rPr>
      </w:pPr>
      <w:r w:rsidRPr="00BB0184">
        <w:rPr>
          <w:lang w:eastAsia="zh-TW"/>
        </w:rPr>
        <w:t xml:space="preserve">Kým v prípade piva, vína, tabaku, tabakových výrobkov a liehu </w:t>
      </w:r>
      <w:r>
        <w:rPr>
          <w:lang w:eastAsia="zh-TW"/>
        </w:rPr>
        <w:t>ide</w:t>
      </w:r>
      <w:r w:rsidRPr="00BB0184">
        <w:rPr>
          <w:lang w:eastAsia="zh-TW"/>
        </w:rPr>
        <w:t xml:space="preserve"> o naplnenie štátnej pokladne, spotrebné dane </w:t>
      </w:r>
      <w:r>
        <w:rPr>
          <w:lang w:eastAsia="zh-TW"/>
        </w:rPr>
        <w:t xml:space="preserve">na </w:t>
      </w:r>
      <w:r w:rsidRPr="00BB0184">
        <w:rPr>
          <w:lang w:eastAsia="zh-TW"/>
        </w:rPr>
        <w:t>energetické zdroje – olej, benzín, naftu</w:t>
      </w:r>
      <w:r>
        <w:rPr>
          <w:lang w:eastAsia="zh-TW"/>
        </w:rPr>
        <w:t>,</w:t>
      </w:r>
      <w:r w:rsidRPr="00BB0184">
        <w:rPr>
          <w:lang w:eastAsia="zh-TW"/>
        </w:rPr>
        <w:t xml:space="preserve"> uhlie, elektrinu a zemný plyn – majú vplyv</w:t>
      </w:r>
      <w:r>
        <w:rPr>
          <w:lang w:eastAsia="zh-TW"/>
        </w:rPr>
        <w:t xml:space="preserve"> </w:t>
      </w:r>
      <w:r>
        <w:rPr>
          <w:lang w:eastAsia="zh-TW"/>
        </w:rPr>
        <w:lastRenderedPageBreak/>
        <w:t xml:space="preserve">na ich efektívnejšie využívanie. </w:t>
      </w:r>
      <w:r w:rsidRPr="009A0502">
        <w:rPr>
          <w:b/>
          <w:lang w:eastAsia="zh-TW"/>
        </w:rPr>
        <w:t xml:space="preserve">Spotrebné dane v SR nemajú priamy vplyv na predchádzanie vzniku odpadu. </w:t>
      </w:r>
    </w:p>
    <w:p w:rsidR="007F1BA3" w:rsidRPr="00BB0184" w:rsidRDefault="007F1BA3" w:rsidP="0008166D">
      <w:pPr>
        <w:jc w:val="both"/>
        <w:rPr>
          <w:b/>
          <w:lang w:eastAsia="zh-TW"/>
        </w:rPr>
      </w:pPr>
      <w:r>
        <w:rPr>
          <w:b/>
          <w:lang w:eastAsia="zh-TW"/>
        </w:rPr>
        <w:t>Vy</w:t>
      </w:r>
      <w:r w:rsidRPr="00BB0184">
        <w:rPr>
          <w:b/>
          <w:lang w:eastAsia="zh-TW"/>
        </w:rPr>
        <w:t>hodnotenie</w:t>
      </w:r>
    </w:p>
    <w:p w:rsidR="007F1BA3" w:rsidRPr="00B20ECB" w:rsidRDefault="007F1BA3" w:rsidP="0008166D">
      <w:pPr>
        <w:jc w:val="both"/>
        <w:rPr>
          <w:lang w:eastAsia="zh-TW"/>
        </w:rPr>
      </w:pPr>
      <w:r w:rsidRPr="00B20ECB">
        <w:rPr>
          <w:lang w:eastAsia="zh-TW"/>
        </w:rPr>
        <w:t xml:space="preserve">Analýza a zhodnotenie existujúcej právnej úpravy odpadového hospodárstva </w:t>
      </w:r>
      <w:r>
        <w:rPr>
          <w:lang w:eastAsia="zh-TW"/>
        </w:rPr>
        <w:t>a</w:t>
      </w:r>
      <w:r w:rsidRPr="00B20ECB">
        <w:rPr>
          <w:lang w:eastAsia="zh-TW"/>
        </w:rPr>
        <w:t xml:space="preserve"> ekonomických nástrojov, ktoré majú vplyv na predchádzanie vzniku odpadov</w:t>
      </w:r>
      <w:r>
        <w:rPr>
          <w:lang w:eastAsia="zh-TW"/>
        </w:rPr>
        <w:t xml:space="preserve"> (najmä poplatok za množstvový zber komunálnych odpadov), </w:t>
      </w:r>
      <w:r w:rsidR="001614F9" w:rsidRPr="003D3DC0">
        <w:rPr>
          <w:lang w:eastAsia="zh-TW"/>
        </w:rPr>
        <w:t>a následná legislatívna úprava už</w:t>
      </w:r>
      <w:r w:rsidRPr="00B20ECB">
        <w:rPr>
          <w:lang w:eastAsia="zh-TW"/>
        </w:rPr>
        <w:t xml:space="preserve"> neúčinných nástrojov </w:t>
      </w:r>
      <w:r>
        <w:rPr>
          <w:lang w:eastAsia="zh-TW"/>
        </w:rPr>
        <w:t xml:space="preserve">(príspevky do Recyklačného fondu) môžu </w:t>
      </w:r>
      <w:r w:rsidRPr="00B20ECB">
        <w:rPr>
          <w:lang w:eastAsia="zh-TW"/>
        </w:rPr>
        <w:t>vo významnej miere podpor</w:t>
      </w:r>
      <w:r>
        <w:rPr>
          <w:lang w:eastAsia="zh-TW"/>
        </w:rPr>
        <w:t>iť</w:t>
      </w:r>
      <w:r w:rsidRPr="00B20ECB">
        <w:rPr>
          <w:lang w:eastAsia="zh-TW"/>
        </w:rPr>
        <w:t xml:space="preserve"> predchádzanie vzniku odpadov.</w:t>
      </w:r>
    </w:p>
    <w:p w:rsidR="007F1BA3" w:rsidRPr="00BB0184" w:rsidRDefault="007F1BA3" w:rsidP="00781A1F">
      <w:pPr>
        <w:autoSpaceDE w:val="0"/>
        <w:autoSpaceDN w:val="0"/>
        <w:adjustRightInd w:val="0"/>
        <w:jc w:val="both"/>
        <w:rPr>
          <w:rFonts w:cs="LiberationSerif-Regular"/>
        </w:rPr>
      </w:pPr>
    </w:p>
    <w:p w:rsidR="007F1BA3" w:rsidRPr="008941C8" w:rsidRDefault="007F1BA3" w:rsidP="008C1AE6">
      <w:pPr>
        <w:pStyle w:val="Nadpis3"/>
        <w:rPr>
          <w:rFonts w:ascii="LiberationSerif-Regular" w:hAnsi="LiberationSerif-Regular" w:cs="LiberationSerif-Regular"/>
        </w:rPr>
      </w:pPr>
      <w:bookmarkStart w:id="24" w:name="_Toc356292959"/>
      <w:r w:rsidRPr="008941C8">
        <w:t>3.1.2</w:t>
      </w:r>
      <w:r w:rsidRPr="008941C8">
        <w:tab/>
        <w:t>Podpora výskumu a vývoja v oblasti dosahovania čistejších výrobkov a technológií</w:t>
      </w:r>
      <w:bookmarkEnd w:id="24"/>
    </w:p>
    <w:p w:rsidR="007F1BA3" w:rsidRPr="00EE28F9" w:rsidRDefault="007F1BA3" w:rsidP="007458CC">
      <w:pPr>
        <w:autoSpaceDE w:val="0"/>
        <w:autoSpaceDN w:val="0"/>
        <w:adjustRightInd w:val="0"/>
        <w:jc w:val="both"/>
        <w:rPr>
          <w:b/>
        </w:rPr>
      </w:pPr>
      <w:r w:rsidRPr="00EE28F9">
        <w:rPr>
          <w:b/>
          <w:bCs/>
        </w:rPr>
        <w:t>Akčný plán pre environmentálne technológie SR (ETAP)</w:t>
      </w:r>
    </w:p>
    <w:p w:rsidR="007F1BA3" w:rsidRPr="00BD5A3D" w:rsidRDefault="007F1BA3" w:rsidP="007458CC">
      <w:pPr>
        <w:autoSpaceDE w:val="0"/>
        <w:autoSpaceDN w:val="0"/>
        <w:adjustRightInd w:val="0"/>
        <w:jc w:val="both"/>
      </w:pPr>
      <w:r w:rsidRPr="00BD5A3D">
        <w:t>V súlade s požiadavkou Európskej komisie MŽP SR vypracovalo</w:t>
      </w:r>
      <w:r>
        <w:t xml:space="preserve"> dokument</w:t>
      </w:r>
      <w:r w:rsidRPr="00BD5A3D">
        <w:t xml:space="preserve"> </w:t>
      </w:r>
      <w:r>
        <w:t>„</w:t>
      </w:r>
      <w:hyperlink r:id="rId16" w:history="1">
        <w:r w:rsidRPr="008F1BCA">
          <w:t>Postupnosť (</w:t>
        </w:r>
        <w:proofErr w:type="spellStart"/>
        <w:r w:rsidRPr="008F1BCA">
          <w:t>Roadmap</w:t>
        </w:r>
        <w:proofErr w:type="spellEnd"/>
        <w:r w:rsidRPr="008F1BCA">
          <w:t>) implementácie Akčného plánu pre environmentálne technológie (ETAP) v SR</w:t>
        </w:r>
      </w:hyperlink>
      <w:r>
        <w:t xml:space="preserve">“, ktorý </w:t>
      </w:r>
      <w:r w:rsidRPr="00BD5A3D">
        <w:t>vláda SR schválila uznesením č. 1046</w:t>
      </w:r>
      <w:r>
        <w:t xml:space="preserve"> </w:t>
      </w:r>
      <w:r w:rsidRPr="00BD5A3D">
        <w:t>z 21. decembra 2005</w:t>
      </w:r>
      <w:r>
        <w:t>.</w:t>
      </w:r>
      <w:r w:rsidRPr="00BD5A3D">
        <w:t xml:space="preserve"> Schválený materiál obsahuje </w:t>
      </w:r>
      <w:r>
        <w:t>spolu</w:t>
      </w:r>
      <w:r w:rsidRPr="00BD5A3D">
        <w:t xml:space="preserve"> 12 úloh a je kompromisom medzi záujmami zainteresovaných rezortov. V úlohách sú stanovené možnosti podpory environmentálnych technológií v podmienkach Slovenskej republiky. Pri jednotlivých úlohách je stručne charakterizovaný existujúci stav v danej oblasti, návrh opatrenia, merateľný ukazovateľ pokroku a kontakt na zodpovedný rezort, prípadne inštitúciu. Návrhy opatrení sú zásadne limitované nedostatkom rozpočtových prostriedkov. Ohraničenosť na vlastné rozpočtové prostriedky dotknutých rezortov bola jednou</w:t>
      </w:r>
      <w:r>
        <w:t xml:space="preserve"> </w:t>
      </w:r>
      <w:r w:rsidRPr="00BD5A3D">
        <w:t>z podmienok priechodnosti materiálu.</w:t>
      </w:r>
    </w:p>
    <w:p w:rsidR="007F1BA3" w:rsidRDefault="007F1BA3" w:rsidP="007458CC">
      <w:pPr>
        <w:autoSpaceDE w:val="0"/>
        <w:autoSpaceDN w:val="0"/>
        <w:adjustRightInd w:val="0"/>
        <w:jc w:val="both"/>
      </w:pPr>
      <w:r w:rsidRPr="00BD5A3D">
        <w:t xml:space="preserve">Keďže ďalšou požiadavkou EK je pravidelné dvojročné preskúmavanie a vyhodnotenie implementácie ETAP na národných úrovniach, ako aj aktualizácia na ďalšie obdobie, bol následne vypracovaný návrh </w:t>
      </w:r>
      <w:r>
        <w:t>„</w:t>
      </w:r>
      <w:hyperlink r:id="rId17" w:tgtFrame="_blank" w:history="1">
        <w:r w:rsidRPr="008F1BCA">
          <w:t>Aktualizácie postupnosti (</w:t>
        </w:r>
        <w:proofErr w:type="spellStart"/>
        <w:r w:rsidRPr="008F1BCA">
          <w:t>Roadmap</w:t>
        </w:r>
        <w:proofErr w:type="spellEnd"/>
        <w:r w:rsidRPr="008F1BCA">
          <w:t>) implementácie Akčného plánu pre environmentálne technológie (ETAP) v Slovenskej republike</w:t>
        </w:r>
      </w:hyperlink>
      <w:r>
        <w:t>“</w:t>
      </w:r>
      <w:r w:rsidRPr="008F1BCA">
        <w:t xml:space="preserve">, </w:t>
      </w:r>
      <w:r w:rsidRPr="00BD5A3D">
        <w:t>ktorý bol vládou schválený uznesením č. 19</w:t>
      </w:r>
      <w:r>
        <w:t xml:space="preserve"> </w:t>
      </w:r>
      <w:r w:rsidRPr="00BD5A3D">
        <w:t>z 9. januára 2008. Vyhodnotenie plnenia aktivít súvisiacich s</w:t>
      </w:r>
      <w:r>
        <w:t xml:space="preserve"> uvedeným </w:t>
      </w:r>
      <w:r w:rsidRPr="00BD5A3D">
        <w:t xml:space="preserve">uznesením </w:t>
      </w:r>
      <w:r>
        <w:t>sa uskutočnilo</w:t>
      </w:r>
      <w:r w:rsidRPr="00BD5A3D">
        <w:t xml:space="preserve"> v Slovenskej republike koncom roku 2009.</w:t>
      </w:r>
    </w:p>
    <w:p w:rsidR="007F1BA3" w:rsidRDefault="007F1BA3" w:rsidP="007458CC">
      <w:pPr>
        <w:autoSpaceDE w:val="0"/>
        <w:autoSpaceDN w:val="0"/>
        <w:adjustRightInd w:val="0"/>
        <w:jc w:val="both"/>
      </w:pPr>
      <w:r w:rsidRPr="007C4179">
        <w:t>Na podporu environmentálnych technológií v Slovenskej republike bolo</w:t>
      </w:r>
      <w:r>
        <w:t xml:space="preserve"> tentoraz stanovených 11 úloh vrátane </w:t>
      </w:r>
      <w:r w:rsidRPr="00E24D16">
        <w:rPr>
          <w:b/>
        </w:rPr>
        <w:t>podpory inovatívnych environmentálnych technológií, zeleného verejného obstarávania, či zabezpečenia finančných prostriedkov pre malé a stredné podniky na uplatňovanie progresívnych environmentálnych technológií a </w:t>
      </w:r>
      <w:proofErr w:type="spellStart"/>
      <w:r w:rsidRPr="00E24D16">
        <w:rPr>
          <w:b/>
        </w:rPr>
        <w:t>ekoinovácií</w:t>
      </w:r>
      <w:proofErr w:type="spellEnd"/>
      <w:r w:rsidRPr="007C4179">
        <w:t xml:space="preserve">. </w:t>
      </w:r>
    </w:p>
    <w:p w:rsidR="007F1BA3" w:rsidRDefault="007F1BA3" w:rsidP="007458CC">
      <w:pPr>
        <w:autoSpaceDE w:val="0"/>
        <w:autoSpaceDN w:val="0"/>
        <w:adjustRightInd w:val="0"/>
        <w:jc w:val="both"/>
      </w:pPr>
      <w:r>
        <w:t xml:space="preserve">MH SR vypracovalo dva dokumenty: </w:t>
      </w:r>
    </w:p>
    <w:p w:rsidR="007F1BA3" w:rsidRPr="007C4179" w:rsidRDefault="007F1BA3" w:rsidP="00677DBF">
      <w:pPr>
        <w:numPr>
          <w:ilvl w:val="0"/>
          <w:numId w:val="5"/>
        </w:numPr>
        <w:autoSpaceDE w:val="0"/>
        <w:autoSpaceDN w:val="0"/>
        <w:adjustRightInd w:val="0"/>
        <w:spacing w:after="0"/>
        <w:jc w:val="both"/>
      </w:pPr>
      <w:r>
        <w:t xml:space="preserve">Inovačná stratégia SR na roky 2007 – 2013, schválená </w:t>
      </w:r>
      <w:r w:rsidRPr="00632B1A">
        <w:rPr>
          <w:bCs/>
        </w:rPr>
        <w:t>uznesením vlády SR č. 265</w:t>
      </w:r>
      <w:r>
        <w:rPr>
          <w:bCs/>
        </w:rPr>
        <w:t xml:space="preserve"> zo dňa 14. marca 2007 </w:t>
      </w:r>
    </w:p>
    <w:p w:rsidR="007F1BA3" w:rsidRDefault="007F1BA3" w:rsidP="00677DBF">
      <w:pPr>
        <w:numPr>
          <w:ilvl w:val="0"/>
          <w:numId w:val="5"/>
        </w:numPr>
        <w:autoSpaceDE w:val="0"/>
        <w:autoSpaceDN w:val="0"/>
        <w:adjustRightInd w:val="0"/>
        <w:jc w:val="both"/>
        <w:rPr>
          <w:b/>
        </w:rPr>
      </w:pPr>
      <w:r>
        <w:t>Inovačná politika SR na roky 2011 – 2013.   </w:t>
      </w:r>
      <w:r w:rsidRPr="00D81A0F">
        <w:rPr>
          <w:b/>
        </w:rPr>
        <w:t xml:space="preserve"> </w:t>
      </w:r>
    </w:p>
    <w:p w:rsidR="007F1BA3" w:rsidRDefault="007F1BA3" w:rsidP="00770E74">
      <w:pPr>
        <w:autoSpaceDE w:val="0"/>
        <w:autoSpaceDN w:val="0"/>
        <w:adjustRightInd w:val="0"/>
        <w:jc w:val="both"/>
      </w:pPr>
      <w:r w:rsidRPr="00770E74">
        <w:t xml:space="preserve">Problematikou </w:t>
      </w:r>
      <w:proofErr w:type="spellStart"/>
      <w:r>
        <w:t>ekoinovácií</w:t>
      </w:r>
      <w:proofErr w:type="spellEnd"/>
      <w:r>
        <w:t xml:space="preserve"> sa uvedené dokumenty nezaoberajú.</w:t>
      </w:r>
    </w:p>
    <w:p w:rsidR="007F1BA3" w:rsidRDefault="007F1BA3" w:rsidP="00434F54">
      <w:pPr>
        <w:jc w:val="both"/>
      </w:pPr>
    </w:p>
    <w:p w:rsidR="00E16C5B" w:rsidRDefault="00E16C5B" w:rsidP="00434F54">
      <w:pPr>
        <w:jc w:val="both"/>
      </w:pPr>
    </w:p>
    <w:p w:rsidR="007F1BA3" w:rsidRPr="009A0502" w:rsidRDefault="007F1BA3" w:rsidP="00EE28F9">
      <w:pPr>
        <w:jc w:val="both"/>
        <w:rPr>
          <w:b/>
        </w:rPr>
      </w:pPr>
      <w:r w:rsidRPr="009A0502">
        <w:rPr>
          <w:b/>
        </w:rPr>
        <w:lastRenderedPageBreak/>
        <w:t xml:space="preserve">Vyhodnotenie: </w:t>
      </w:r>
    </w:p>
    <w:p w:rsidR="007F1BA3" w:rsidRDefault="007F1BA3" w:rsidP="00EE28F9">
      <w:pPr>
        <w:autoSpaceDE w:val="0"/>
        <w:autoSpaceDN w:val="0"/>
        <w:adjustRightInd w:val="0"/>
        <w:jc w:val="both"/>
      </w:pPr>
      <w:r w:rsidRPr="00426798">
        <w:t>S</w:t>
      </w:r>
      <w:r>
        <w:t>R</w:t>
      </w:r>
      <w:r w:rsidRPr="00426798">
        <w:t xml:space="preserve"> je malá a exportne </w:t>
      </w:r>
      <w:r>
        <w:t>orientovaná</w:t>
      </w:r>
      <w:r w:rsidRPr="00426798">
        <w:t xml:space="preserve"> ekonomik</w:t>
      </w:r>
      <w:r>
        <w:t>a</w:t>
      </w:r>
      <w:r w:rsidRPr="00426798">
        <w:t xml:space="preserve"> so slab</w:t>
      </w:r>
      <w:r>
        <w:t>ými</w:t>
      </w:r>
      <w:r w:rsidRPr="00426798">
        <w:t xml:space="preserve"> národný</w:t>
      </w:r>
      <w:r>
        <w:t>mi</w:t>
      </w:r>
      <w:r w:rsidRPr="00426798">
        <w:t xml:space="preserve"> výskumný</w:t>
      </w:r>
      <w:r>
        <w:t>mi</w:t>
      </w:r>
      <w:r w:rsidRPr="00426798">
        <w:t xml:space="preserve"> a inovačný</w:t>
      </w:r>
      <w:r>
        <w:t>mi</w:t>
      </w:r>
      <w:r w:rsidRPr="00426798">
        <w:t xml:space="preserve"> kapac</w:t>
      </w:r>
      <w:r>
        <w:t>i</w:t>
      </w:r>
      <w:r w:rsidRPr="00426798">
        <w:t>t</w:t>
      </w:r>
      <w:r>
        <w:t>ami</w:t>
      </w:r>
      <w:r w:rsidRPr="00426798">
        <w:t xml:space="preserve">. Vysoký príliv priamych zahraničných investícií v predchádzajúcom desaťročí </w:t>
      </w:r>
      <w:r>
        <w:t>bol</w:t>
      </w:r>
      <w:r w:rsidRPr="00426798">
        <w:t xml:space="preserve"> hlavnou hnacou silou modernizácie výrobného sektora a zvýšeni</w:t>
      </w:r>
      <w:r>
        <w:t>a</w:t>
      </w:r>
      <w:r w:rsidRPr="00426798">
        <w:t xml:space="preserve"> efektívnosti </w:t>
      </w:r>
      <w:r>
        <w:t xml:space="preserve">využívania </w:t>
      </w:r>
      <w:r w:rsidRPr="00426798">
        <w:t>energií a zdrojov. Veľké</w:t>
      </w:r>
      <w:r>
        <w:t xml:space="preserve"> </w:t>
      </w:r>
      <w:r w:rsidRPr="00426798">
        <w:t>zahraničné podniky zohrávajú kľúčovú úlohu v slovensk</w:t>
      </w:r>
      <w:r>
        <w:t>ej</w:t>
      </w:r>
      <w:r w:rsidRPr="00426798">
        <w:t xml:space="preserve"> ekonomik</w:t>
      </w:r>
      <w:r>
        <w:t>e</w:t>
      </w:r>
      <w:r w:rsidRPr="00426798">
        <w:t xml:space="preserve"> a ich dopyt po </w:t>
      </w:r>
      <w:proofErr w:type="spellStart"/>
      <w:r>
        <w:t>ekoinovačných</w:t>
      </w:r>
      <w:proofErr w:type="spellEnd"/>
      <w:r>
        <w:t xml:space="preserve"> riešeniach</w:t>
      </w:r>
      <w:r w:rsidRPr="00426798">
        <w:t xml:space="preserve"> bude rozhodujúc</w:t>
      </w:r>
      <w:r>
        <w:t>im</w:t>
      </w:r>
      <w:r w:rsidRPr="00426798">
        <w:t xml:space="preserve"> v procese tvorby budúcich </w:t>
      </w:r>
      <w:proofErr w:type="spellStart"/>
      <w:r w:rsidRPr="00426798">
        <w:t>eko</w:t>
      </w:r>
      <w:r>
        <w:t>inovačných</w:t>
      </w:r>
      <w:proofErr w:type="spellEnd"/>
      <w:r w:rsidRPr="00426798">
        <w:t xml:space="preserve"> trho</w:t>
      </w:r>
      <w:r>
        <w:t>v</w:t>
      </w:r>
      <w:r w:rsidRPr="00426798">
        <w:t>.</w:t>
      </w:r>
      <w:r>
        <w:t xml:space="preserve"> </w:t>
      </w:r>
      <w:r w:rsidRPr="00426798">
        <w:t xml:space="preserve">Vývoj slovenského trhu </w:t>
      </w:r>
      <w:proofErr w:type="spellStart"/>
      <w:r w:rsidRPr="00426798">
        <w:t>eko</w:t>
      </w:r>
      <w:r>
        <w:t>i</w:t>
      </w:r>
      <w:r w:rsidRPr="00426798">
        <w:t>novácií</w:t>
      </w:r>
      <w:proofErr w:type="spellEnd"/>
      <w:r w:rsidRPr="00426798">
        <w:t xml:space="preserve"> je značne obmedzený slabým národn</w:t>
      </w:r>
      <w:r>
        <w:t>ým</w:t>
      </w:r>
      <w:r w:rsidRPr="00426798">
        <w:t xml:space="preserve"> inovačn</w:t>
      </w:r>
      <w:r>
        <w:t>ým</w:t>
      </w:r>
      <w:r w:rsidRPr="00426798">
        <w:t xml:space="preserve"> systém</w:t>
      </w:r>
      <w:r>
        <w:t>om</w:t>
      </w:r>
      <w:r w:rsidRPr="00426798">
        <w:t xml:space="preserve"> s</w:t>
      </w:r>
      <w:r>
        <w:t> </w:t>
      </w:r>
      <w:r w:rsidRPr="00426798">
        <w:t>nízk</w:t>
      </w:r>
      <w:r>
        <w:t>ymi</w:t>
      </w:r>
      <w:r w:rsidRPr="00426798">
        <w:t xml:space="preserve"> vstup</w:t>
      </w:r>
      <w:r>
        <w:t>mi</w:t>
      </w:r>
      <w:r w:rsidRPr="00426798">
        <w:t xml:space="preserve"> a</w:t>
      </w:r>
      <w:r>
        <w:t> </w:t>
      </w:r>
      <w:r w:rsidRPr="00426798">
        <w:t>výstup</w:t>
      </w:r>
      <w:r>
        <w:t xml:space="preserve">mi </w:t>
      </w:r>
      <w:r w:rsidRPr="00426798">
        <w:t xml:space="preserve">výskumu a vývoja a </w:t>
      </w:r>
      <w:r>
        <w:t>nerozvinutou</w:t>
      </w:r>
      <w:r w:rsidRPr="00426798">
        <w:t xml:space="preserve"> úrovň</w:t>
      </w:r>
      <w:r>
        <w:t>ou</w:t>
      </w:r>
      <w:r w:rsidRPr="00426798">
        <w:t xml:space="preserve"> spolupráce medzi priemyslom a akademickou obcou. </w:t>
      </w:r>
      <w:r w:rsidRPr="009A0502">
        <w:rPr>
          <w:b/>
        </w:rPr>
        <w:t xml:space="preserve">Významnou bariérou inovačných aktivít (vrátane </w:t>
      </w:r>
      <w:proofErr w:type="spellStart"/>
      <w:r w:rsidRPr="009A0502">
        <w:rPr>
          <w:b/>
        </w:rPr>
        <w:t>ekoinovácií</w:t>
      </w:r>
      <w:proofErr w:type="spellEnd"/>
      <w:r w:rsidRPr="009A0502">
        <w:rPr>
          <w:b/>
        </w:rPr>
        <w:t>) sú obmedzené národné finančné prostriedky, slabý výkon vedeckých pracovníkov v oblasti výskumu a vývoja a veľmi nízka účasť domáceho podnikateľského sektora</w:t>
      </w:r>
      <w:r>
        <w:rPr>
          <w:rStyle w:val="Odkaznapoznmkupodiarou"/>
        </w:rPr>
        <w:footnoteReference w:id="5"/>
      </w:r>
      <w:r w:rsidRPr="00426798">
        <w:t>.</w:t>
      </w:r>
      <w:r>
        <w:t xml:space="preserve"> </w:t>
      </w:r>
    </w:p>
    <w:p w:rsidR="007F1BA3" w:rsidRDefault="007F1BA3" w:rsidP="006F036F">
      <w:pPr>
        <w:autoSpaceDE w:val="0"/>
        <w:autoSpaceDN w:val="0"/>
        <w:adjustRightInd w:val="0"/>
        <w:jc w:val="both"/>
      </w:pPr>
    </w:p>
    <w:p w:rsidR="007F1BA3" w:rsidRPr="008941C8" w:rsidRDefault="007F1BA3" w:rsidP="00EE28F9">
      <w:pPr>
        <w:pStyle w:val="Nadpis3"/>
        <w:ind w:left="709" w:hanging="709"/>
      </w:pPr>
      <w:bookmarkStart w:id="25" w:name="_Toc356292960"/>
      <w:r w:rsidRPr="008941C8">
        <w:t>3.1.3</w:t>
      </w:r>
      <w:r w:rsidRPr="008941C8">
        <w:tab/>
        <w:t>Vývoj účinných ukazovateľov environmentálnych tlakov spojených so vznikom odpadu</w:t>
      </w:r>
      <w:r>
        <w:t>, ktoré majú prispieť k predchádzaniu vzniku odpadu</w:t>
      </w:r>
      <w:bookmarkEnd w:id="25"/>
      <w:r>
        <w:t xml:space="preserve"> </w:t>
      </w:r>
    </w:p>
    <w:p w:rsidR="007F1BA3" w:rsidRDefault="007F1BA3" w:rsidP="00A83D4B">
      <w:pPr>
        <w:jc w:val="both"/>
      </w:pPr>
      <w:r>
        <w:t>SAŽP vypracovala súbor indikátorov, ktoré slúžia predovšetkým na prípravu a následné pravidelné vyhodnocovanie Programu odpadového hospodárstva SR 2011 – 2015 jednotným a presne definovaným spôsobom, ktorý zabezpečí kontinuitu údajov o odpadovom hospodárstve SR.</w:t>
      </w:r>
    </w:p>
    <w:p w:rsidR="007F1BA3" w:rsidRDefault="007F1BA3" w:rsidP="00A83D4B">
      <w:pPr>
        <w:jc w:val="both"/>
      </w:pPr>
      <w:r>
        <w:t>Súbor indikátorov bol navrhnutý na základe analýzy indikátorov, ktoré sú požadované v rámci národného aj medzinárodného výkazníctva. Pri zostavovaní súboru indikátorov pre odpadové hospodárstvo ako základu na plánovanie v odpadovom hospodárstve v rámci programov odpadového hospodárstva sa vychádzalo z nasledovných požiadaviek:</w:t>
      </w:r>
    </w:p>
    <w:p w:rsidR="007F1BA3" w:rsidRDefault="007F1BA3" w:rsidP="00677DBF">
      <w:pPr>
        <w:pStyle w:val="Odsekzoznamu"/>
        <w:numPr>
          <w:ilvl w:val="0"/>
          <w:numId w:val="3"/>
        </w:numPr>
        <w:ind w:left="714" w:hanging="357"/>
        <w:jc w:val="both"/>
      </w:pPr>
      <w:r>
        <w:t>súbor indikátorov musí byť ucelený, aby poskytol celkový pohľad na odpadové hospodárstvo SR a jednotlivých regiónov;</w:t>
      </w:r>
    </w:p>
    <w:p w:rsidR="007F1BA3" w:rsidRDefault="007F1BA3" w:rsidP="00677DBF">
      <w:pPr>
        <w:pStyle w:val="Odsekzoznamu"/>
        <w:numPr>
          <w:ilvl w:val="0"/>
          <w:numId w:val="3"/>
        </w:numPr>
        <w:ind w:left="714" w:hanging="357"/>
        <w:jc w:val="both"/>
      </w:pPr>
      <w:r>
        <w:t>súbor indikátorov musí byť založený na dostupných dátach, ktoré sa v SR dlhodobo zbierajú a vyhodnocujú. Súbor indikátorov musí vychádzať z rovnakých legislatívnych podmienok;</w:t>
      </w:r>
    </w:p>
    <w:p w:rsidR="007F1BA3" w:rsidRDefault="007F1BA3" w:rsidP="00677DBF">
      <w:pPr>
        <w:pStyle w:val="Odsekzoznamu"/>
        <w:numPr>
          <w:ilvl w:val="0"/>
          <w:numId w:val="3"/>
        </w:numPr>
        <w:ind w:left="714" w:hanging="357"/>
        <w:jc w:val="both"/>
      </w:pPr>
      <w:r>
        <w:t>súbor indikátorov musí obsahovať údaje, ktoré poskytnú všetky požadované a reportované zostavy dát;</w:t>
      </w:r>
    </w:p>
    <w:p w:rsidR="007F1BA3" w:rsidRDefault="007F1BA3" w:rsidP="00677DBF">
      <w:pPr>
        <w:pStyle w:val="Odsekzoznamu"/>
        <w:numPr>
          <w:ilvl w:val="0"/>
          <w:numId w:val="3"/>
        </w:numPr>
        <w:ind w:left="714" w:hanging="357"/>
        <w:jc w:val="both"/>
      </w:pPr>
      <w:r>
        <w:t>súbor indikátorov musí pokrývať prioritné prúdy odpadov, pre ktoré sú stanovené ciele v jednotlivých smerniciach EÚ;</w:t>
      </w:r>
    </w:p>
    <w:p w:rsidR="007F1BA3" w:rsidRDefault="007F1BA3" w:rsidP="00677DBF">
      <w:pPr>
        <w:pStyle w:val="Odsekzoznamu"/>
        <w:numPr>
          <w:ilvl w:val="0"/>
          <w:numId w:val="3"/>
        </w:numPr>
        <w:ind w:left="714" w:hanging="357"/>
        <w:jc w:val="both"/>
      </w:pPr>
      <w:r>
        <w:t xml:space="preserve">súbor indikátorov musí pokrývať požiadavky národného </w:t>
      </w:r>
      <w:proofErr w:type="spellStart"/>
      <w:r>
        <w:t>reportingu</w:t>
      </w:r>
      <w:proofErr w:type="spellEnd"/>
      <w:r>
        <w:t>, predovšetkým pre potreby zostavenia Správy o stave životného prostredia podľa zákona č. 17/1992 Zb. o životnom prostredí a vyhodnocovania Stratégie trvalo udržateľného rozvoja (TUR indikátory),</w:t>
      </w:r>
    </w:p>
    <w:p w:rsidR="007F1BA3" w:rsidRDefault="007F1BA3" w:rsidP="00677DBF">
      <w:pPr>
        <w:pStyle w:val="Odsekzoznamu"/>
        <w:numPr>
          <w:ilvl w:val="0"/>
          <w:numId w:val="3"/>
        </w:numPr>
        <w:ind w:left="714" w:hanging="357"/>
        <w:jc w:val="both"/>
      </w:pPr>
      <w:r>
        <w:t>vyhodnocovanie súboru indikátorov musí byť jednoznačné.</w:t>
      </w:r>
    </w:p>
    <w:p w:rsidR="007F1BA3" w:rsidRDefault="007F1BA3" w:rsidP="00A83D4B">
      <w:pPr>
        <w:jc w:val="both"/>
      </w:pPr>
      <w:r>
        <w:lastRenderedPageBreak/>
        <w:t>Súbor indikátorov je členený na tri okruhy indikátorov podľa ich výpovednej hodnoty nasledovne:</w:t>
      </w:r>
    </w:p>
    <w:p w:rsidR="007F1BA3" w:rsidRDefault="007F1BA3" w:rsidP="00677DBF">
      <w:pPr>
        <w:numPr>
          <w:ilvl w:val="0"/>
          <w:numId w:val="4"/>
        </w:numPr>
      </w:pPr>
      <w:r>
        <w:t>A – základné indikátory (A1 až A12), ktoré  popisujú základný stav odpadového hospodárstva,</w:t>
      </w:r>
    </w:p>
    <w:p w:rsidR="007F1BA3" w:rsidRDefault="007F1BA3" w:rsidP="00677DBF">
      <w:pPr>
        <w:numPr>
          <w:ilvl w:val="0"/>
          <w:numId w:val="4"/>
        </w:numPr>
      </w:pPr>
      <w:r>
        <w:t>B – doplnkové indikátory (B1 až B21), ktoré upresňujú základné indikátory,</w:t>
      </w:r>
    </w:p>
    <w:p w:rsidR="007F1BA3" w:rsidRDefault="007F1BA3" w:rsidP="00677DBF">
      <w:pPr>
        <w:numPr>
          <w:ilvl w:val="0"/>
          <w:numId w:val="4"/>
        </w:numPr>
      </w:pPr>
      <w:r>
        <w:t>C – špecifické indikátory (C1 až C33), ktoré vyhodnocujú nakladanie so špecifickými prúdmi odpadov.</w:t>
      </w:r>
    </w:p>
    <w:p w:rsidR="007F1BA3" w:rsidRDefault="007F1BA3" w:rsidP="00920FB7">
      <w:pPr>
        <w:jc w:val="both"/>
        <w:rPr>
          <w:b/>
        </w:rPr>
      </w:pPr>
      <w:r w:rsidRPr="002C4FFC">
        <w:rPr>
          <w:b/>
        </w:rPr>
        <w:t>Vyhodnotenie</w:t>
      </w:r>
    </w:p>
    <w:p w:rsidR="007F1BA3" w:rsidRPr="00561D48" w:rsidRDefault="007F1BA3" w:rsidP="00920FB7">
      <w:pPr>
        <w:jc w:val="both"/>
        <w:rPr>
          <w:b/>
        </w:rPr>
      </w:pPr>
      <w:r>
        <w:t>Pre potreby sledovania predchádzania vzniku odpadu bude možné využiť nasledovné indikátory:</w:t>
      </w:r>
    </w:p>
    <w:p w:rsidR="007F1BA3" w:rsidRPr="006B2A27" w:rsidRDefault="007F1BA3" w:rsidP="00920FB7">
      <w:pPr>
        <w:spacing w:after="0"/>
      </w:pPr>
      <w:bookmarkStart w:id="26" w:name="_Toc273270189"/>
      <w:bookmarkStart w:id="27" w:name="_Toc281930580"/>
      <w:bookmarkStart w:id="28" w:name="_Toc281930702"/>
      <w:r w:rsidRPr="006B2A27">
        <w:t>A1 Celkový vznik odpadov</w:t>
      </w:r>
      <w:bookmarkEnd w:id="26"/>
      <w:bookmarkEnd w:id="27"/>
      <w:bookmarkEnd w:id="28"/>
    </w:p>
    <w:p w:rsidR="007F1BA3" w:rsidRPr="006B2A27" w:rsidRDefault="007F1BA3" w:rsidP="00920FB7">
      <w:pPr>
        <w:spacing w:after="0"/>
      </w:pPr>
      <w:bookmarkStart w:id="29" w:name="_Toc281930583"/>
      <w:bookmarkStart w:id="30" w:name="_Toc281930705"/>
      <w:r w:rsidRPr="006B2A27">
        <w:t>A4 Celkový vznik odpadov na jednotku HDP</w:t>
      </w:r>
      <w:bookmarkEnd w:id="29"/>
      <w:bookmarkEnd w:id="30"/>
    </w:p>
    <w:p w:rsidR="007F1BA3" w:rsidRDefault="007F1BA3" w:rsidP="00920FB7">
      <w:pPr>
        <w:spacing w:after="0"/>
      </w:pPr>
      <w:bookmarkStart w:id="31" w:name="_Toc281930584"/>
      <w:bookmarkStart w:id="32" w:name="_Toc281930706"/>
      <w:r w:rsidRPr="006B2A27">
        <w:t>A5 Celkový vznik odpadov na obyvateľa</w:t>
      </w:r>
      <w:bookmarkEnd w:id="31"/>
      <w:bookmarkEnd w:id="32"/>
      <w:r>
        <w:t xml:space="preserve"> SR</w:t>
      </w:r>
    </w:p>
    <w:p w:rsidR="007F1BA3" w:rsidRDefault="007F1BA3" w:rsidP="00920FB7">
      <w:pPr>
        <w:spacing w:after="0"/>
      </w:pPr>
    </w:p>
    <w:p w:rsidR="007F1BA3" w:rsidRPr="006B2A27" w:rsidRDefault="007F1BA3" w:rsidP="00920FB7">
      <w:pPr>
        <w:spacing w:after="0"/>
        <w:jc w:val="both"/>
      </w:pPr>
      <w:r>
        <w:t>Ďalšie indikátory budú vyvinuté na základe potrieb merania efektívnosti opatrení v oblasti predchádzania vzniku odpadu.</w:t>
      </w:r>
    </w:p>
    <w:p w:rsidR="007F1BA3" w:rsidRDefault="007F1BA3" w:rsidP="00A83D4B"/>
    <w:p w:rsidR="007F1BA3" w:rsidRDefault="007F1BA3" w:rsidP="00677DBF">
      <w:pPr>
        <w:pStyle w:val="Nadpis2"/>
        <w:numPr>
          <w:ilvl w:val="1"/>
          <w:numId w:val="9"/>
        </w:numPr>
      </w:pPr>
      <w:bookmarkStart w:id="33" w:name="_Toc356292961"/>
      <w:r w:rsidRPr="00A17A67">
        <w:t>Opatrenia, ktoré môžu ovplyvniť štádium navrhovania a výroby a</w:t>
      </w:r>
      <w:r>
        <w:t> </w:t>
      </w:r>
      <w:r w:rsidRPr="00A17A67">
        <w:t>distribúcie</w:t>
      </w:r>
      <w:bookmarkEnd w:id="33"/>
    </w:p>
    <w:p w:rsidR="007F1BA3" w:rsidRPr="009804FC" w:rsidRDefault="007F1BA3" w:rsidP="009804FC">
      <w:pPr>
        <w:ind w:left="360"/>
      </w:pPr>
    </w:p>
    <w:p w:rsidR="007F1BA3" w:rsidRPr="007C2F3F" w:rsidRDefault="007F1BA3" w:rsidP="008C1AE6">
      <w:pPr>
        <w:pStyle w:val="Nadpis3"/>
      </w:pPr>
      <w:bookmarkStart w:id="34" w:name="_Toc356292962"/>
      <w:r w:rsidRPr="007C2F3F">
        <w:t>3.2.1</w:t>
      </w:r>
      <w:r w:rsidRPr="007C2F3F">
        <w:tab/>
        <w:t xml:space="preserve">Podpora </w:t>
      </w:r>
      <w:proofErr w:type="spellStart"/>
      <w:r w:rsidRPr="007C2F3F">
        <w:t>ekodizajnu</w:t>
      </w:r>
      <w:bookmarkEnd w:id="34"/>
      <w:proofErr w:type="spellEnd"/>
    </w:p>
    <w:p w:rsidR="007F1BA3" w:rsidRDefault="007F1BA3" w:rsidP="00CA047A">
      <w:pPr>
        <w:jc w:val="both"/>
      </w:pPr>
      <w:r w:rsidRPr="00966830">
        <w:rPr>
          <w:b/>
        </w:rPr>
        <w:t>Zákon č. 529/2010 Z. z. o  environmentálnom navrhovaní a používaní výrobkov (</w:t>
      </w:r>
      <w:r>
        <w:rPr>
          <w:b/>
        </w:rPr>
        <w:t>ďalej len „</w:t>
      </w:r>
      <w:r w:rsidRPr="00966830">
        <w:rPr>
          <w:b/>
        </w:rPr>
        <w:t>zákon o</w:t>
      </w:r>
      <w:r>
        <w:rPr>
          <w:b/>
        </w:rPr>
        <w:t> </w:t>
      </w:r>
      <w:proofErr w:type="spellStart"/>
      <w:r w:rsidRPr="00966830">
        <w:rPr>
          <w:b/>
        </w:rPr>
        <w:t>ekodizajne</w:t>
      </w:r>
      <w:proofErr w:type="spellEnd"/>
      <w:r>
        <w:rPr>
          <w:b/>
        </w:rPr>
        <w:t>“</w:t>
      </w:r>
      <w:r>
        <w:t>)</w:t>
      </w:r>
      <w:r w:rsidRPr="00966830">
        <w:t xml:space="preserve"> schválila Národná rada Slovenskej republiky </w:t>
      </w:r>
      <w:r>
        <w:t>na účely</w:t>
      </w:r>
      <w:r w:rsidRPr="00966830">
        <w:t xml:space="preserve"> transpozície</w:t>
      </w:r>
      <w:r>
        <w:t xml:space="preserve"> smernice </w:t>
      </w:r>
      <w:r w:rsidRPr="00966830">
        <w:t>Európskeho parlamentu a</w:t>
      </w:r>
      <w:r>
        <w:t> </w:t>
      </w:r>
      <w:r w:rsidRPr="00966830">
        <w:t>Rady</w:t>
      </w:r>
      <w:r>
        <w:t xml:space="preserve"> 2009/125/ES z 21. októbra 2009 o vytvorení rámca na </w:t>
      </w:r>
      <w:r w:rsidRPr="00966830">
        <w:rPr>
          <w:b/>
        </w:rPr>
        <w:t xml:space="preserve">stanovenie požiadaviek na </w:t>
      </w:r>
      <w:proofErr w:type="spellStart"/>
      <w:r w:rsidRPr="00966830">
        <w:rPr>
          <w:b/>
        </w:rPr>
        <w:t>ekodizajn</w:t>
      </w:r>
      <w:proofErr w:type="spellEnd"/>
      <w:r w:rsidRPr="00966830">
        <w:rPr>
          <w:b/>
        </w:rPr>
        <w:t xml:space="preserve"> energeticky významných výrobkov</w:t>
      </w:r>
      <w:r>
        <w:t>. Zákon</w:t>
      </w:r>
      <w:r w:rsidRPr="00966830">
        <w:t xml:space="preserve"> ustanovuje požiadavky na environmentálne navrhovanie a používanie výrobkov (okrem osobných a nákladných dopravných prostriedkov), aby mohli byť uvedené na trh alebo do prevádzky s cieľom zabezpečiť voľný pohyb týchto výrobkov na vnútornom trhu Európskej únie.</w:t>
      </w:r>
    </w:p>
    <w:p w:rsidR="007F1BA3" w:rsidRDefault="007F1BA3" w:rsidP="00D95509">
      <w:pPr>
        <w:autoSpaceDE w:val="0"/>
        <w:autoSpaceDN w:val="0"/>
        <w:adjustRightInd w:val="0"/>
        <w:jc w:val="both"/>
        <w:rPr>
          <w:b/>
          <w:lang w:eastAsia="cs-CZ"/>
        </w:rPr>
      </w:pPr>
      <w:r>
        <w:t>Zákon o </w:t>
      </w:r>
      <w:proofErr w:type="spellStart"/>
      <w:r w:rsidRPr="00966830">
        <w:t>ekodizajne</w:t>
      </w:r>
      <w:proofErr w:type="spellEnd"/>
      <w:r>
        <w:t xml:space="preserve"> sa podľa dôvodovej správy zameriava na energeticky významné výrobky. </w:t>
      </w:r>
      <w:r w:rsidRPr="00F14CF6">
        <w:rPr>
          <w:rFonts w:cs="EUAlbertina"/>
          <w:color w:val="000000"/>
        </w:rPr>
        <w:t xml:space="preserve">Mnohé energeticky významné výrobky majú značný potenciál na zlepšenie, </w:t>
      </w:r>
      <w:r>
        <w:rPr>
          <w:rFonts w:cs="EUAlbertina"/>
          <w:color w:val="000000"/>
        </w:rPr>
        <w:t>čo sa týka</w:t>
      </w:r>
      <w:r w:rsidRPr="00F14CF6">
        <w:rPr>
          <w:rFonts w:cs="EUAlbertina"/>
          <w:color w:val="000000"/>
        </w:rPr>
        <w:t xml:space="preserve"> </w:t>
      </w:r>
      <w:r w:rsidRPr="001B50BE">
        <w:rPr>
          <w:rFonts w:cs="EUAlbertina"/>
          <w:b/>
          <w:color w:val="000000"/>
        </w:rPr>
        <w:t>znižovani</w:t>
      </w:r>
      <w:r>
        <w:rPr>
          <w:rFonts w:cs="EUAlbertina"/>
          <w:b/>
          <w:color w:val="000000"/>
        </w:rPr>
        <w:t xml:space="preserve">a </w:t>
      </w:r>
      <w:r w:rsidRPr="001B50BE">
        <w:rPr>
          <w:rFonts w:cs="EUAlbertina"/>
          <w:b/>
          <w:color w:val="000000"/>
        </w:rPr>
        <w:t>vplyvov na životné prostredie</w:t>
      </w:r>
      <w:r w:rsidRPr="00F14CF6">
        <w:rPr>
          <w:rFonts w:cs="EUAlbertina"/>
          <w:color w:val="000000"/>
        </w:rPr>
        <w:t xml:space="preserve"> a dosiahnuti</w:t>
      </w:r>
      <w:r>
        <w:rPr>
          <w:rFonts w:cs="EUAlbertina"/>
          <w:color w:val="000000"/>
        </w:rPr>
        <w:t>a</w:t>
      </w:r>
      <w:r w:rsidRPr="00F14CF6">
        <w:rPr>
          <w:rFonts w:cs="EUAlbertina"/>
          <w:color w:val="000000"/>
        </w:rPr>
        <w:t xml:space="preserve"> úspor energie prostredníctvom lepšieho navrhovania, ktoré môže prispieť aj k úsporám nákladov pre podniky ako aj </w:t>
      </w:r>
      <w:r>
        <w:rPr>
          <w:rFonts w:cs="EUAlbertina"/>
          <w:color w:val="000000"/>
        </w:rPr>
        <w:t xml:space="preserve">pre </w:t>
      </w:r>
      <w:r w:rsidRPr="00F14CF6">
        <w:rPr>
          <w:rFonts w:cs="EUAlbertina"/>
          <w:color w:val="000000"/>
        </w:rPr>
        <w:t xml:space="preserve">koncových </w:t>
      </w:r>
      <w:r>
        <w:rPr>
          <w:rFonts w:cs="EUAlbertina"/>
          <w:color w:val="000000"/>
        </w:rPr>
        <w:t>po</w:t>
      </w:r>
      <w:r w:rsidRPr="00F14CF6">
        <w:rPr>
          <w:rFonts w:cs="EUAlbertina"/>
          <w:color w:val="000000"/>
        </w:rPr>
        <w:t>užívateľov. Okrem výrobkov, ktoré využívajú, premieňajú, distribuujú alebo merajú energiu</w:t>
      </w:r>
      <w:r w:rsidRPr="001B50BE">
        <w:rPr>
          <w:rFonts w:cs="EUAlbertina"/>
        </w:rPr>
        <w:t>,</w:t>
      </w:r>
      <w:r w:rsidRPr="00F14CF6">
        <w:rPr>
          <w:rFonts w:cs="EUAlbertina"/>
          <w:color w:val="000000"/>
        </w:rPr>
        <w:t xml:space="preserve"> by mohli pri používaní prispieť k značným úsporám energie aj niektoré iné </w:t>
      </w:r>
      <w:r w:rsidRPr="00F14CF6">
        <w:rPr>
          <w:color w:val="000000"/>
        </w:rPr>
        <w:t>energeticky významné výrobky ako na</w:t>
      </w:r>
      <w:r>
        <w:rPr>
          <w:color w:val="000000"/>
        </w:rPr>
        <w:t xml:space="preserve">pr. okná, izolačné materiály, </w:t>
      </w:r>
      <w:r w:rsidRPr="00F14CF6">
        <w:rPr>
          <w:color w:val="000000"/>
        </w:rPr>
        <w:t>sprchovacie hlavice alebo vodovodné kohútiky.</w:t>
      </w:r>
    </w:p>
    <w:p w:rsidR="007F1BA3" w:rsidRPr="003878CE" w:rsidRDefault="007F1BA3" w:rsidP="00ED5040">
      <w:pPr>
        <w:jc w:val="both"/>
        <w:rPr>
          <w:b/>
        </w:rPr>
      </w:pPr>
      <w:r w:rsidRPr="003878CE">
        <w:rPr>
          <w:b/>
        </w:rPr>
        <w:t>Vyhodnotenie</w:t>
      </w:r>
    </w:p>
    <w:p w:rsidR="007F1BA3" w:rsidRPr="00F56F57" w:rsidRDefault="007F1BA3" w:rsidP="00ED5040">
      <w:pPr>
        <w:autoSpaceDE w:val="0"/>
        <w:autoSpaceDN w:val="0"/>
        <w:adjustRightInd w:val="0"/>
        <w:jc w:val="both"/>
        <w:rPr>
          <w:b/>
          <w:lang w:eastAsia="cs-CZ"/>
        </w:rPr>
      </w:pPr>
      <w:r>
        <w:t>Zákon o </w:t>
      </w:r>
      <w:proofErr w:type="spellStart"/>
      <w:r>
        <w:t>ekodizajne</w:t>
      </w:r>
      <w:proofErr w:type="spellEnd"/>
      <w:r>
        <w:t xml:space="preserve"> sa zameriava na energeticky významné výrobky a má </w:t>
      </w:r>
      <w:r>
        <w:rPr>
          <w:color w:val="000000"/>
        </w:rPr>
        <w:t>zabezpečiť voľný pohyb týchto výrobkov na vnútornom trhu EÚ.</w:t>
      </w:r>
      <w:r>
        <w:t xml:space="preserve"> </w:t>
      </w:r>
      <w:r w:rsidR="00413769">
        <w:t xml:space="preserve">Tento zákon je zároveň zameraný na zlepšenie environmentálnych vlastností výrobku s dôrazom na dôležité environmentálne aspekty. </w:t>
      </w:r>
    </w:p>
    <w:p w:rsidR="007F1BA3" w:rsidRDefault="007F1BA3" w:rsidP="009804FC"/>
    <w:p w:rsidR="007F1BA3" w:rsidRPr="003878CE" w:rsidRDefault="007F1BA3" w:rsidP="0002512E">
      <w:pPr>
        <w:pStyle w:val="Nadpis3"/>
        <w:ind w:left="709" w:hanging="709"/>
      </w:pPr>
      <w:bookmarkStart w:id="35" w:name="_Toc356292963"/>
      <w:r w:rsidRPr="003878CE">
        <w:t>3.2.2</w:t>
      </w:r>
      <w:r w:rsidRPr="003878CE">
        <w:tab/>
        <w:t>Podpora dôveryhodných systémov environmentálneho manažérstva vrátane EMAS a</w:t>
      </w:r>
      <w:r w:rsidR="001872A2">
        <w:t xml:space="preserve"> STN EN </w:t>
      </w:r>
      <w:r w:rsidRPr="003878CE">
        <w:t>ISO 14001</w:t>
      </w:r>
      <w:bookmarkEnd w:id="35"/>
    </w:p>
    <w:p w:rsidR="007F1BA3" w:rsidRDefault="007F1BA3" w:rsidP="00A15119">
      <w:pPr>
        <w:jc w:val="both"/>
        <w:rPr>
          <w:b/>
        </w:rPr>
      </w:pPr>
      <w:r>
        <w:rPr>
          <w:b/>
        </w:rPr>
        <w:t>Právny rámec pre EMAS</w:t>
      </w:r>
    </w:p>
    <w:p w:rsidR="007F1BA3" w:rsidRDefault="007F1BA3" w:rsidP="008468C9">
      <w:pPr>
        <w:pStyle w:val="Odsekzoznamu"/>
        <w:numPr>
          <w:ilvl w:val="0"/>
          <w:numId w:val="23"/>
        </w:numPr>
        <w:jc w:val="both"/>
      </w:pPr>
      <w:r w:rsidRPr="00D417EA">
        <w:rPr>
          <w:b/>
        </w:rPr>
        <w:t>Zákon č. 351/2012 Z. z.</w:t>
      </w:r>
      <w:r>
        <w:t xml:space="preserve"> o environmentálnom overovaní a registrácii organizácií v schéme Európskej únie pre environmentálne manažérstvo a audit a o zmene a doplnení niektorých zákonov </w:t>
      </w:r>
    </w:p>
    <w:p w:rsidR="007F1BA3" w:rsidRPr="00700486" w:rsidRDefault="007F1BA3" w:rsidP="008468C9">
      <w:pPr>
        <w:pStyle w:val="Odsekzoznamu"/>
        <w:numPr>
          <w:ilvl w:val="0"/>
          <w:numId w:val="23"/>
        </w:numPr>
        <w:autoSpaceDE w:val="0"/>
        <w:autoSpaceDN w:val="0"/>
        <w:adjustRightInd w:val="0"/>
        <w:jc w:val="both"/>
      </w:pPr>
      <w:r w:rsidRPr="00D417EA">
        <w:rPr>
          <w:b/>
          <w:lang w:eastAsia="cs-CZ"/>
        </w:rPr>
        <w:t xml:space="preserve">Nariadenie </w:t>
      </w:r>
      <w:r w:rsidRPr="00D417EA">
        <w:rPr>
          <w:b/>
        </w:rPr>
        <w:t>Európskeho parlamentu a Rady (ES) č. 1221/2009</w:t>
      </w:r>
      <w:r w:rsidRPr="00700486">
        <w:t xml:space="preserve"> z 25. novembra 2009 o dobrovoľnej účasti organizácií v schéme Spoločenstva pre environmentálne manažérstvo a audit (EMAS), ktorým sa zrušuje nariadenie (ES) č. 761/2001 a rozhodnutia Komisie  2001/681/ES a 2006/193/ES</w:t>
      </w:r>
    </w:p>
    <w:p w:rsidR="007F1BA3" w:rsidRDefault="007F1BA3" w:rsidP="00D147B4">
      <w:pPr>
        <w:autoSpaceDE w:val="0"/>
        <w:autoSpaceDN w:val="0"/>
        <w:adjustRightInd w:val="0"/>
        <w:jc w:val="both"/>
        <w:rPr>
          <w:lang w:eastAsia="cs-CZ"/>
        </w:rPr>
      </w:pPr>
      <w:r w:rsidRPr="001B0E90">
        <w:rPr>
          <w:lang w:eastAsia="cs-CZ"/>
        </w:rPr>
        <w:t>Environmentálny manažérsky systém implementovaný, udržiavaný a registrovaný podľa požiadaviek nariadenia EP</w:t>
      </w:r>
      <w:r>
        <w:rPr>
          <w:lang w:eastAsia="cs-CZ"/>
        </w:rPr>
        <w:t xml:space="preserve"> </w:t>
      </w:r>
      <w:r w:rsidRPr="001B0E90">
        <w:rPr>
          <w:lang w:eastAsia="cs-CZ"/>
        </w:rPr>
        <w:t>a</w:t>
      </w:r>
      <w:r>
        <w:rPr>
          <w:lang w:eastAsia="cs-CZ"/>
        </w:rPr>
        <w:t xml:space="preserve"> </w:t>
      </w:r>
      <w:r w:rsidRPr="001B0E90">
        <w:rPr>
          <w:lang w:eastAsia="cs-CZ"/>
        </w:rPr>
        <w:t>R</w:t>
      </w:r>
      <w:r>
        <w:rPr>
          <w:lang w:eastAsia="cs-CZ"/>
        </w:rPr>
        <w:t>ady</w:t>
      </w:r>
      <w:r w:rsidRPr="001B0E90">
        <w:rPr>
          <w:lang w:eastAsia="cs-CZ"/>
        </w:rPr>
        <w:t xml:space="preserve"> č. 1221/2009 patrí </w:t>
      </w:r>
      <w:r>
        <w:rPr>
          <w:lang w:eastAsia="cs-CZ"/>
        </w:rPr>
        <w:t xml:space="preserve">celkom </w:t>
      </w:r>
      <w:r w:rsidRPr="001B0E90">
        <w:rPr>
          <w:lang w:eastAsia="cs-CZ"/>
        </w:rPr>
        <w:t xml:space="preserve">určite medzi </w:t>
      </w:r>
      <w:r w:rsidRPr="0023324B">
        <w:rPr>
          <w:b/>
          <w:lang w:eastAsia="cs-CZ"/>
        </w:rPr>
        <w:t>efektívne nástroje znižovania negatívnych vplyvov na životné prostredie</w:t>
      </w:r>
      <w:r>
        <w:rPr>
          <w:lang w:eastAsia="cs-CZ"/>
        </w:rPr>
        <w:t xml:space="preserve"> vrátane </w:t>
      </w:r>
      <w:r w:rsidRPr="001B0E90">
        <w:rPr>
          <w:lang w:eastAsia="cs-CZ"/>
        </w:rPr>
        <w:t>tvorby odpadov</w:t>
      </w:r>
      <w:r>
        <w:rPr>
          <w:lang w:eastAsia="cs-CZ"/>
        </w:rPr>
        <w:t xml:space="preserve">. Podrobnejšie informácie o EMAS sa uvádzajú v </w:t>
      </w:r>
      <w:r w:rsidRPr="00D417EA">
        <w:rPr>
          <w:b/>
          <w:lang w:eastAsia="cs-CZ"/>
        </w:rPr>
        <w:t>príloh</w:t>
      </w:r>
      <w:r>
        <w:rPr>
          <w:b/>
          <w:lang w:eastAsia="cs-CZ"/>
        </w:rPr>
        <w:t>e</w:t>
      </w:r>
      <w:r w:rsidRPr="00D417EA">
        <w:rPr>
          <w:b/>
          <w:lang w:eastAsia="cs-CZ"/>
        </w:rPr>
        <w:t xml:space="preserve"> č. 4 k PPVO</w:t>
      </w:r>
      <w:r>
        <w:rPr>
          <w:lang w:eastAsia="cs-CZ"/>
        </w:rPr>
        <w:t>.</w:t>
      </w:r>
    </w:p>
    <w:p w:rsidR="007F1BA3" w:rsidRPr="001B0E90" w:rsidRDefault="007F1BA3" w:rsidP="00D147B4">
      <w:pPr>
        <w:autoSpaceDE w:val="0"/>
        <w:autoSpaceDN w:val="0"/>
        <w:adjustRightInd w:val="0"/>
        <w:jc w:val="both"/>
        <w:rPr>
          <w:lang w:eastAsia="cs-CZ"/>
        </w:rPr>
      </w:pPr>
    </w:p>
    <w:p w:rsidR="007F1BA3" w:rsidRPr="00BB0184" w:rsidRDefault="007F1BA3" w:rsidP="009804FC">
      <w:pPr>
        <w:pStyle w:val="Popis"/>
        <w:rPr>
          <w:rFonts w:ascii="Calibri" w:hAnsi="Calibri"/>
          <w:color w:val="auto"/>
          <w:sz w:val="22"/>
          <w:szCs w:val="22"/>
        </w:rPr>
      </w:pPr>
      <w:r w:rsidRPr="00BB0184">
        <w:rPr>
          <w:rFonts w:ascii="Calibri" w:hAnsi="Calibri"/>
          <w:color w:val="auto"/>
          <w:sz w:val="22"/>
          <w:szCs w:val="22"/>
        </w:rPr>
        <w:t xml:space="preserve">Tabuľka </w:t>
      </w:r>
      <w:r>
        <w:rPr>
          <w:rFonts w:ascii="Calibri" w:hAnsi="Calibri"/>
          <w:color w:val="auto"/>
          <w:sz w:val="22"/>
          <w:szCs w:val="22"/>
        </w:rPr>
        <w:t>16:</w:t>
      </w:r>
      <w:r w:rsidRPr="00BB0184">
        <w:rPr>
          <w:rFonts w:ascii="Calibri" w:hAnsi="Calibri"/>
          <w:color w:val="auto"/>
          <w:sz w:val="22"/>
          <w:szCs w:val="22"/>
        </w:rPr>
        <w:t xml:space="preserve"> Vývoj registrácie organizáci</w:t>
      </w:r>
      <w:r>
        <w:rPr>
          <w:rFonts w:ascii="Calibri" w:hAnsi="Calibri"/>
          <w:color w:val="auto"/>
          <w:sz w:val="22"/>
          <w:szCs w:val="22"/>
        </w:rPr>
        <w:t>í</w:t>
      </w:r>
      <w:r w:rsidRPr="00BB0184">
        <w:rPr>
          <w:rFonts w:ascii="Calibri" w:hAnsi="Calibri"/>
          <w:color w:val="auto"/>
          <w:sz w:val="22"/>
          <w:szCs w:val="22"/>
        </w:rPr>
        <w:t xml:space="preserve"> v schéme EMAS v podmienkach SR</w:t>
      </w:r>
    </w:p>
    <w:tbl>
      <w:tblPr>
        <w:tblW w:w="8425" w:type="dxa"/>
        <w:tblInd w:w="65" w:type="dxa"/>
        <w:tblLayout w:type="fixed"/>
        <w:tblCellMar>
          <w:left w:w="70" w:type="dxa"/>
          <w:right w:w="70" w:type="dxa"/>
        </w:tblCellMar>
        <w:tblLook w:val="0000"/>
      </w:tblPr>
      <w:tblGrid>
        <w:gridCol w:w="1625"/>
        <w:gridCol w:w="680"/>
        <w:gridCol w:w="680"/>
        <w:gridCol w:w="680"/>
        <w:gridCol w:w="680"/>
        <w:gridCol w:w="680"/>
        <w:gridCol w:w="680"/>
        <w:gridCol w:w="680"/>
        <w:gridCol w:w="680"/>
        <w:gridCol w:w="680"/>
        <w:gridCol w:w="680"/>
      </w:tblGrid>
      <w:tr w:rsidR="007F1BA3" w:rsidRPr="001B0E90" w:rsidTr="0023324B">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C2D69B"/>
            <w:noWrap/>
            <w:vAlign w:val="bottom"/>
          </w:tcPr>
          <w:p w:rsidR="007F1BA3" w:rsidRPr="0023324B" w:rsidRDefault="007F1BA3" w:rsidP="0023324B">
            <w:pPr>
              <w:spacing w:after="0"/>
              <w:rPr>
                <w:b/>
                <w:bCs/>
                <w:lang w:eastAsia="sk-SK"/>
              </w:rPr>
            </w:pPr>
            <w:r w:rsidRPr="0023324B">
              <w:rPr>
                <w:b/>
                <w:bCs/>
                <w:lang w:eastAsia="sk-SK"/>
              </w:rPr>
              <w:t> Rok</w:t>
            </w:r>
          </w:p>
        </w:tc>
        <w:tc>
          <w:tcPr>
            <w:tcW w:w="680" w:type="dxa"/>
            <w:tcBorders>
              <w:top w:val="single" w:sz="4" w:space="0" w:color="auto"/>
              <w:left w:val="nil"/>
              <w:bottom w:val="single" w:sz="4" w:space="0" w:color="auto"/>
              <w:right w:val="single" w:sz="4" w:space="0" w:color="auto"/>
            </w:tcBorders>
            <w:shd w:val="clear" w:color="auto" w:fill="C2D69B"/>
            <w:noWrap/>
            <w:vAlign w:val="center"/>
          </w:tcPr>
          <w:p w:rsidR="007F1BA3" w:rsidRPr="0023324B" w:rsidRDefault="007F1BA3" w:rsidP="0023324B">
            <w:pPr>
              <w:spacing w:after="0"/>
              <w:jc w:val="right"/>
              <w:rPr>
                <w:b/>
                <w:bCs/>
                <w:lang w:eastAsia="sk-SK"/>
              </w:rPr>
            </w:pPr>
            <w:r w:rsidRPr="0023324B">
              <w:rPr>
                <w:b/>
                <w:bCs/>
                <w:lang w:eastAsia="sk-SK"/>
              </w:rPr>
              <w:t>2001</w:t>
            </w:r>
          </w:p>
        </w:tc>
        <w:tc>
          <w:tcPr>
            <w:tcW w:w="680" w:type="dxa"/>
            <w:tcBorders>
              <w:top w:val="single" w:sz="4" w:space="0" w:color="auto"/>
              <w:left w:val="nil"/>
              <w:bottom w:val="single" w:sz="4" w:space="0" w:color="auto"/>
              <w:right w:val="single" w:sz="4" w:space="0" w:color="auto"/>
            </w:tcBorders>
            <w:shd w:val="clear" w:color="auto" w:fill="C2D69B"/>
            <w:noWrap/>
            <w:vAlign w:val="center"/>
          </w:tcPr>
          <w:p w:rsidR="007F1BA3" w:rsidRPr="0023324B" w:rsidRDefault="007F1BA3" w:rsidP="0023324B">
            <w:pPr>
              <w:spacing w:after="0"/>
              <w:jc w:val="right"/>
              <w:rPr>
                <w:b/>
                <w:bCs/>
                <w:lang w:eastAsia="sk-SK"/>
              </w:rPr>
            </w:pPr>
            <w:r w:rsidRPr="0023324B">
              <w:rPr>
                <w:b/>
                <w:bCs/>
                <w:lang w:eastAsia="sk-SK"/>
              </w:rPr>
              <w:t>2004</w:t>
            </w:r>
          </w:p>
        </w:tc>
        <w:tc>
          <w:tcPr>
            <w:tcW w:w="680" w:type="dxa"/>
            <w:tcBorders>
              <w:top w:val="single" w:sz="4" w:space="0" w:color="auto"/>
              <w:left w:val="nil"/>
              <w:bottom w:val="single" w:sz="4" w:space="0" w:color="auto"/>
              <w:right w:val="single" w:sz="4" w:space="0" w:color="auto"/>
            </w:tcBorders>
            <w:shd w:val="clear" w:color="auto" w:fill="C2D69B"/>
            <w:noWrap/>
            <w:vAlign w:val="center"/>
          </w:tcPr>
          <w:p w:rsidR="007F1BA3" w:rsidRPr="0023324B" w:rsidRDefault="007F1BA3" w:rsidP="0023324B">
            <w:pPr>
              <w:spacing w:after="0"/>
              <w:jc w:val="right"/>
              <w:rPr>
                <w:b/>
                <w:bCs/>
                <w:lang w:eastAsia="sk-SK"/>
              </w:rPr>
            </w:pPr>
            <w:r w:rsidRPr="0023324B">
              <w:rPr>
                <w:b/>
                <w:bCs/>
                <w:lang w:eastAsia="sk-SK"/>
              </w:rPr>
              <w:t>2005</w:t>
            </w:r>
          </w:p>
        </w:tc>
        <w:tc>
          <w:tcPr>
            <w:tcW w:w="680" w:type="dxa"/>
            <w:tcBorders>
              <w:top w:val="single" w:sz="4" w:space="0" w:color="auto"/>
              <w:left w:val="nil"/>
              <w:bottom w:val="single" w:sz="4" w:space="0" w:color="auto"/>
              <w:right w:val="single" w:sz="4" w:space="0" w:color="auto"/>
            </w:tcBorders>
            <w:shd w:val="clear" w:color="auto" w:fill="C2D69B"/>
            <w:noWrap/>
            <w:vAlign w:val="center"/>
          </w:tcPr>
          <w:p w:rsidR="007F1BA3" w:rsidRPr="0023324B" w:rsidRDefault="007F1BA3" w:rsidP="0023324B">
            <w:pPr>
              <w:spacing w:after="0"/>
              <w:jc w:val="right"/>
              <w:rPr>
                <w:b/>
                <w:bCs/>
                <w:lang w:eastAsia="sk-SK"/>
              </w:rPr>
            </w:pPr>
            <w:r w:rsidRPr="0023324B">
              <w:rPr>
                <w:b/>
                <w:bCs/>
                <w:lang w:eastAsia="sk-SK"/>
              </w:rPr>
              <w:t>2006</w:t>
            </w:r>
          </w:p>
        </w:tc>
        <w:tc>
          <w:tcPr>
            <w:tcW w:w="680" w:type="dxa"/>
            <w:tcBorders>
              <w:top w:val="single" w:sz="4" w:space="0" w:color="auto"/>
              <w:left w:val="nil"/>
              <w:bottom w:val="single" w:sz="4" w:space="0" w:color="auto"/>
              <w:right w:val="single" w:sz="4" w:space="0" w:color="auto"/>
            </w:tcBorders>
            <w:shd w:val="clear" w:color="auto" w:fill="C2D69B"/>
            <w:noWrap/>
            <w:vAlign w:val="center"/>
          </w:tcPr>
          <w:p w:rsidR="007F1BA3" w:rsidRPr="0023324B" w:rsidRDefault="007F1BA3" w:rsidP="0023324B">
            <w:pPr>
              <w:spacing w:after="0"/>
              <w:jc w:val="right"/>
              <w:rPr>
                <w:b/>
                <w:bCs/>
                <w:lang w:eastAsia="sk-SK"/>
              </w:rPr>
            </w:pPr>
            <w:r w:rsidRPr="0023324B">
              <w:rPr>
                <w:b/>
                <w:bCs/>
                <w:lang w:eastAsia="sk-SK"/>
              </w:rPr>
              <w:t>2007</w:t>
            </w:r>
          </w:p>
        </w:tc>
        <w:tc>
          <w:tcPr>
            <w:tcW w:w="680" w:type="dxa"/>
            <w:tcBorders>
              <w:top w:val="single" w:sz="4" w:space="0" w:color="auto"/>
              <w:left w:val="nil"/>
              <w:bottom w:val="single" w:sz="4" w:space="0" w:color="auto"/>
              <w:right w:val="single" w:sz="4" w:space="0" w:color="auto"/>
            </w:tcBorders>
            <w:shd w:val="clear" w:color="auto" w:fill="C2D69B"/>
            <w:noWrap/>
            <w:vAlign w:val="center"/>
          </w:tcPr>
          <w:p w:rsidR="007F1BA3" w:rsidRPr="0023324B" w:rsidRDefault="007F1BA3" w:rsidP="0023324B">
            <w:pPr>
              <w:spacing w:after="0"/>
              <w:jc w:val="right"/>
              <w:rPr>
                <w:b/>
                <w:bCs/>
                <w:lang w:eastAsia="sk-SK"/>
              </w:rPr>
            </w:pPr>
            <w:r w:rsidRPr="0023324B">
              <w:rPr>
                <w:b/>
                <w:bCs/>
                <w:lang w:eastAsia="sk-SK"/>
              </w:rPr>
              <w:t>2008</w:t>
            </w:r>
          </w:p>
        </w:tc>
        <w:tc>
          <w:tcPr>
            <w:tcW w:w="680" w:type="dxa"/>
            <w:tcBorders>
              <w:top w:val="single" w:sz="4" w:space="0" w:color="auto"/>
              <w:left w:val="nil"/>
              <w:bottom w:val="single" w:sz="4" w:space="0" w:color="auto"/>
              <w:right w:val="single" w:sz="4" w:space="0" w:color="auto"/>
            </w:tcBorders>
            <w:shd w:val="clear" w:color="auto" w:fill="C2D69B"/>
            <w:noWrap/>
            <w:vAlign w:val="center"/>
          </w:tcPr>
          <w:p w:rsidR="007F1BA3" w:rsidRPr="0023324B" w:rsidRDefault="007F1BA3" w:rsidP="0023324B">
            <w:pPr>
              <w:spacing w:after="0"/>
              <w:jc w:val="right"/>
              <w:rPr>
                <w:b/>
                <w:bCs/>
                <w:lang w:eastAsia="sk-SK"/>
              </w:rPr>
            </w:pPr>
            <w:r w:rsidRPr="0023324B">
              <w:rPr>
                <w:b/>
                <w:bCs/>
                <w:lang w:eastAsia="sk-SK"/>
              </w:rPr>
              <w:t>2009</w:t>
            </w:r>
          </w:p>
        </w:tc>
        <w:tc>
          <w:tcPr>
            <w:tcW w:w="680" w:type="dxa"/>
            <w:tcBorders>
              <w:top w:val="single" w:sz="4" w:space="0" w:color="auto"/>
              <w:left w:val="nil"/>
              <w:bottom w:val="single" w:sz="4" w:space="0" w:color="auto"/>
              <w:right w:val="single" w:sz="4" w:space="0" w:color="auto"/>
            </w:tcBorders>
            <w:shd w:val="clear" w:color="auto" w:fill="C2D69B"/>
            <w:vAlign w:val="center"/>
          </w:tcPr>
          <w:p w:rsidR="007F1BA3" w:rsidRPr="0023324B" w:rsidRDefault="007F1BA3" w:rsidP="0023324B">
            <w:pPr>
              <w:spacing w:after="0"/>
              <w:jc w:val="right"/>
              <w:rPr>
                <w:b/>
                <w:bCs/>
                <w:lang w:eastAsia="sk-SK"/>
              </w:rPr>
            </w:pPr>
            <w:r w:rsidRPr="0023324B">
              <w:rPr>
                <w:b/>
                <w:bCs/>
                <w:lang w:eastAsia="sk-SK"/>
              </w:rPr>
              <w:t>2010</w:t>
            </w:r>
          </w:p>
        </w:tc>
        <w:tc>
          <w:tcPr>
            <w:tcW w:w="680" w:type="dxa"/>
            <w:tcBorders>
              <w:top w:val="single" w:sz="4" w:space="0" w:color="auto"/>
              <w:left w:val="single" w:sz="4" w:space="0" w:color="auto"/>
              <w:bottom w:val="single" w:sz="4" w:space="0" w:color="auto"/>
              <w:right w:val="single" w:sz="4" w:space="0" w:color="auto"/>
            </w:tcBorders>
            <w:shd w:val="clear" w:color="auto" w:fill="C2D69B"/>
          </w:tcPr>
          <w:p w:rsidR="007F1BA3" w:rsidRPr="0023324B" w:rsidRDefault="007F1BA3" w:rsidP="0023324B">
            <w:pPr>
              <w:spacing w:after="0"/>
              <w:jc w:val="right"/>
              <w:rPr>
                <w:b/>
                <w:bCs/>
                <w:lang w:eastAsia="sk-SK"/>
              </w:rPr>
            </w:pPr>
            <w:r w:rsidRPr="0023324B">
              <w:rPr>
                <w:b/>
                <w:bCs/>
                <w:lang w:eastAsia="sk-SK"/>
              </w:rPr>
              <w:t>2011</w:t>
            </w:r>
          </w:p>
        </w:tc>
        <w:tc>
          <w:tcPr>
            <w:tcW w:w="680" w:type="dxa"/>
            <w:tcBorders>
              <w:top w:val="single" w:sz="4" w:space="0" w:color="auto"/>
              <w:left w:val="single" w:sz="4" w:space="0" w:color="auto"/>
              <w:bottom w:val="single" w:sz="4" w:space="0" w:color="auto"/>
              <w:right w:val="single" w:sz="4" w:space="0" w:color="auto"/>
            </w:tcBorders>
            <w:shd w:val="clear" w:color="auto" w:fill="C2D69B"/>
          </w:tcPr>
          <w:p w:rsidR="007F1BA3" w:rsidRPr="0023324B" w:rsidRDefault="007F1BA3" w:rsidP="0023324B">
            <w:pPr>
              <w:spacing w:after="0"/>
              <w:jc w:val="right"/>
              <w:rPr>
                <w:b/>
                <w:bCs/>
                <w:lang w:eastAsia="sk-SK"/>
              </w:rPr>
            </w:pPr>
            <w:r w:rsidRPr="0023324B">
              <w:rPr>
                <w:b/>
                <w:bCs/>
                <w:lang w:eastAsia="sk-SK"/>
              </w:rPr>
              <w:t>2012</w:t>
            </w:r>
          </w:p>
        </w:tc>
      </w:tr>
      <w:tr w:rsidR="007F1BA3" w:rsidRPr="001B0E90" w:rsidTr="00C97F4F">
        <w:trPr>
          <w:trHeight w:val="255"/>
        </w:trPr>
        <w:tc>
          <w:tcPr>
            <w:tcW w:w="1625" w:type="dxa"/>
            <w:tcBorders>
              <w:top w:val="nil"/>
              <w:left w:val="single" w:sz="4" w:space="0" w:color="auto"/>
              <w:bottom w:val="single" w:sz="4" w:space="0" w:color="auto"/>
              <w:right w:val="single" w:sz="4" w:space="0" w:color="auto"/>
            </w:tcBorders>
            <w:noWrap/>
            <w:vAlign w:val="bottom"/>
          </w:tcPr>
          <w:p w:rsidR="007F1BA3" w:rsidRPr="001B0E90" w:rsidRDefault="007F1BA3" w:rsidP="0023324B">
            <w:pPr>
              <w:spacing w:after="0"/>
              <w:rPr>
                <w:b/>
                <w:bCs/>
                <w:lang w:eastAsia="sk-SK"/>
              </w:rPr>
            </w:pPr>
            <w:r w:rsidRPr="001B0E90">
              <w:rPr>
                <w:b/>
                <w:bCs/>
                <w:lang w:eastAsia="sk-SK"/>
              </w:rPr>
              <w:t>Počet organizáci</w:t>
            </w:r>
            <w:r>
              <w:rPr>
                <w:b/>
                <w:bCs/>
                <w:lang w:eastAsia="sk-SK"/>
              </w:rPr>
              <w:t>í</w:t>
            </w:r>
          </w:p>
        </w:tc>
        <w:tc>
          <w:tcPr>
            <w:tcW w:w="680" w:type="dxa"/>
            <w:tcBorders>
              <w:top w:val="nil"/>
              <w:left w:val="nil"/>
              <w:bottom w:val="single" w:sz="4" w:space="0" w:color="auto"/>
              <w:right w:val="single" w:sz="4" w:space="0" w:color="auto"/>
            </w:tcBorders>
            <w:noWrap/>
            <w:vAlign w:val="center"/>
          </w:tcPr>
          <w:p w:rsidR="007F1BA3" w:rsidRPr="001B0E90" w:rsidRDefault="007F1BA3" w:rsidP="0023324B">
            <w:pPr>
              <w:spacing w:after="0"/>
              <w:jc w:val="center"/>
              <w:rPr>
                <w:lang w:eastAsia="sk-SK"/>
              </w:rPr>
            </w:pPr>
            <w:r w:rsidRPr="001B0E90">
              <w:rPr>
                <w:lang w:eastAsia="sk-SK"/>
              </w:rPr>
              <w:t>1</w:t>
            </w:r>
          </w:p>
        </w:tc>
        <w:tc>
          <w:tcPr>
            <w:tcW w:w="680" w:type="dxa"/>
            <w:tcBorders>
              <w:top w:val="nil"/>
              <w:left w:val="nil"/>
              <w:bottom w:val="single" w:sz="4" w:space="0" w:color="auto"/>
              <w:right w:val="single" w:sz="4" w:space="0" w:color="auto"/>
            </w:tcBorders>
            <w:noWrap/>
            <w:vAlign w:val="center"/>
          </w:tcPr>
          <w:p w:rsidR="007F1BA3" w:rsidRPr="001B0E90" w:rsidRDefault="007F1BA3" w:rsidP="0023324B">
            <w:pPr>
              <w:spacing w:after="0"/>
              <w:jc w:val="center"/>
              <w:rPr>
                <w:lang w:eastAsia="sk-SK"/>
              </w:rPr>
            </w:pPr>
            <w:r w:rsidRPr="001B0E90">
              <w:rPr>
                <w:lang w:eastAsia="sk-SK"/>
              </w:rPr>
              <w:t>2</w:t>
            </w:r>
          </w:p>
        </w:tc>
        <w:tc>
          <w:tcPr>
            <w:tcW w:w="680" w:type="dxa"/>
            <w:tcBorders>
              <w:top w:val="nil"/>
              <w:left w:val="nil"/>
              <w:bottom w:val="single" w:sz="4" w:space="0" w:color="auto"/>
              <w:right w:val="single" w:sz="4" w:space="0" w:color="auto"/>
            </w:tcBorders>
            <w:noWrap/>
            <w:vAlign w:val="center"/>
          </w:tcPr>
          <w:p w:rsidR="007F1BA3" w:rsidRPr="001B0E90" w:rsidRDefault="007F1BA3" w:rsidP="0023324B">
            <w:pPr>
              <w:spacing w:after="0"/>
              <w:jc w:val="center"/>
              <w:rPr>
                <w:lang w:eastAsia="sk-SK"/>
              </w:rPr>
            </w:pPr>
            <w:r w:rsidRPr="001B0E90">
              <w:rPr>
                <w:lang w:eastAsia="sk-SK"/>
              </w:rPr>
              <w:t>2</w:t>
            </w:r>
          </w:p>
        </w:tc>
        <w:tc>
          <w:tcPr>
            <w:tcW w:w="680" w:type="dxa"/>
            <w:tcBorders>
              <w:top w:val="nil"/>
              <w:left w:val="nil"/>
              <w:bottom w:val="single" w:sz="4" w:space="0" w:color="auto"/>
              <w:right w:val="single" w:sz="4" w:space="0" w:color="auto"/>
            </w:tcBorders>
            <w:noWrap/>
            <w:vAlign w:val="center"/>
          </w:tcPr>
          <w:p w:rsidR="007F1BA3" w:rsidRPr="001B0E90" w:rsidRDefault="007F1BA3" w:rsidP="0023324B">
            <w:pPr>
              <w:spacing w:after="0"/>
              <w:jc w:val="center"/>
              <w:rPr>
                <w:lang w:eastAsia="sk-SK"/>
              </w:rPr>
            </w:pPr>
            <w:r w:rsidRPr="001B0E90">
              <w:rPr>
                <w:lang w:eastAsia="sk-SK"/>
              </w:rPr>
              <w:t>3</w:t>
            </w:r>
          </w:p>
        </w:tc>
        <w:tc>
          <w:tcPr>
            <w:tcW w:w="680" w:type="dxa"/>
            <w:tcBorders>
              <w:top w:val="nil"/>
              <w:left w:val="nil"/>
              <w:bottom w:val="single" w:sz="4" w:space="0" w:color="auto"/>
              <w:right w:val="single" w:sz="4" w:space="0" w:color="auto"/>
            </w:tcBorders>
            <w:noWrap/>
            <w:vAlign w:val="center"/>
          </w:tcPr>
          <w:p w:rsidR="007F1BA3" w:rsidRPr="001B0E90" w:rsidRDefault="007F1BA3" w:rsidP="0023324B">
            <w:pPr>
              <w:spacing w:after="0"/>
              <w:jc w:val="center"/>
              <w:rPr>
                <w:lang w:eastAsia="sk-SK"/>
              </w:rPr>
            </w:pPr>
            <w:r w:rsidRPr="001B0E90">
              <w:rPr>
                <w:lang w:eastAsia="sk-SK"/>
              </w:rPr>
              <w:t>5</w:t>
            </w:r>
          </w:p>
        </w:tc>
        <w:tc>
          <w:tcPr>
            <w:tcW w:w="680" w:type="dxa"/>
            <w:tcBorders>
              <w:top w:val="nil"/>
              <w:left w:val="nil"/>
              <w:bottom w:val="single" w:sz="4" w:space="0" w:color="auto"/>
              <w:right w:val="single" w:sz="4" w:space="0" w:color="auto"/>
            </w:tcBorders>
            <w:noWrap/>
            <w:vAlign w:val="center"/>
          </w:tcPr>
          <w:p w:rsidR="007F1BA3" w:rsidRPr="001B0E90" w:rsidRDefault="007F1BA3" w:rsidP="0023324B">
            <w:pPr>
              <w:spacing w:after="0"/>
              <w:jc w:val="center"/>
              <w:rPr>
                <w:lang w:eastAsia="sk-SK"/>
              </w:rPr>
            </w:pPr>
            <w:r w:rsidRPr="001B0E90">
              <w:rPr>
                <w:lang w:eastAsia="sk-SK"/>
              </w:rPr>
              <w:t>5</w:t>
            </w:r>
          </w:p>
        </w:tc>
        <w:tc>
          <w:tcPr>
            <w:tcW w:w="680" w:type="dxa"/>
            <w:tcBorders>
              <w:top w:val="nil"/>
              <w:left w:val="nil"/>
              <w:bottom w:val="single" w:sz="4" w:space="0" w:color="auto"/>
              <w:right w:val="single" w:sz="4" w:space="0" w:color="auto"/>
            </w:tcBorders>
            <w:noWrap/>
            <w:vAlign w:val="center"/>
          </w:tcPr>
          <w:p w:rsidR="007F1BA3" w:rsidRPr="001B0E90" w:rsidRDefault="007F1BA3" w:rsidP="0023324B">
            <w:pPr>
              <w:spacing w:after="0"/>
              <w:jc w:val="center"/>
              <w:rPr>
                <w:lang w:eastAsia="sk-SK"/>
              </w:rPr>
            </w:pPr>
            <w:r w:rsidRPr="001B0E90">
              <w:rPr>
                <w:lang w:eastAsia="sk-SK"/>
              </w:rPr>
              <w:t>5</w:t>
            </w:r>
          </w:p>
        </w:tc>
        <w:tc>
          <w:tcPr>
            <w:tcW w:w="680" w:type="dxa"/>
            <w:tcBorders>
              <w:top w:val="single" w:sz="4" w:space="0" w:color="auto"/>
              <w:left w:val="nil"/>
              <w:bottom w:val="single" w:sz="4" w:space="0" w:color="auto"/>
              <w:right w:val="single" w:sz="4" w:space="0" w:color="auto"/>
            </w:tcBorders>
            <w:vAlign w:val="center"/>
          </w:tcPr>
          <w:p w:rsidR="007F1BA3" w:rsidRPr="001B0E90" w:rsidRDefault="007F1BA3" w:rsidP="0023324B">
            <w:pPr>
              <w:spacing w:after="0"/>
              <w:jc w:val="center"/>
              <w:rPr>
                <w:lang w:eastAsia="sk-SK"/>
              </w:rPr>
            </w:pPr>
            <w:r w:rsidRPr="001B0E90">
              <w:rPr>
                <w:lang w:eastAsia="sk-SK"/>
              </w:rPr>
              <w:t>5</w:t>
            </w:r>
          </w:p>
        </w:tc>
        <w:tc>
          <w:tcPr>
            <w:tcW w:w="680" w:type="dxa"/>
            <w:tcBorders>
              <w:top w:val="single" w:sz="4" w:space="0" w:color="auto"/>
              <w:left w:val="single" w:sz="4" w:space="0" w:color="auto"/>
              <w:bottom w:val="single" w:sz="4" w:space="0" w:color="auto"/>
              <w:right w:val="single" w:sz="4" w:space="0" w:color="auto"/>
            </w:tcBorders>
            <w:vAlign w:val="center"/>
          </w:tcPr>
          <w:p w:rsidR="007F1BA3" w:rsidRPr="001B0E90" w:rsidRDefault="007F1BA3" w:rsidP="0023324B">
            <w:pPr>
              <w:spacing w:after="0"/>
              <w:ind w:right="220"/>
              <w:jc w:val="center"/>
              <w:rPr>
                <w:lang w:eastAsia="sk-SK"/>
              </w:rPr>
            </w:pPr>
            <w:r w:rsidRPr="001B0E90">
              <w:rPr>
                <w:lang w:eastAsia="sk-SK"/>
              </w:rPr>
              <w:t>5</w:t>
            </w:r>
          </w:p>
        </w:tc>
        <w:tc>
          <w:tcPr>
            <w:tcW w:w="680" w:type="dxa"/>
            <w:tcBorders>
              <w:top w:val="single" w:sz="4" w:space="0" w:color="auto"/>
              <w:left w:val="single" w:sz="4" w:space="0" w:color="auto"/>
              <w:bottom w:val="single" w:sz="4" w:space="0" w:color="auto"/>
              <w:right w:val="single" w:sz="4" w:space="0" w:color="auto"/>
            </w:tcBorders>
            <w:vAlign w:val="center"/>
          </w:tcPr>
          <w:p w:rsidR="007F1BA3" w:rsidRPr="00C97F4F" w:rsidRDefault="007F1BA3" w:rsidP="0023324B">
            <w:pPr>
              <w:spacing w:after="0"/>
              <w:jc w:val="center"/>
              <w:rPr>
                <w:rFonts w:eastAsia="PMingLiU"/>
                <w:lang w:val="en-US" w:eastAsia="zh-TW"/>
              </w:rPr>
            </w:pPr>
            <w:r>
              <w:rPr>
                <w:lang w:eastAsia="sk-SK"/>
              </w:rPr>
              <w:t>4</w:t>
            </w:r>
            <w:r>
              <w:rPr>
                <w:rFonts w:eastAsia="PMingLiU"/>
                <w:lang w:val="en-US" w:eastAsia="zh-TW"/>
              </w:rPr>
              <w:t>*</w:t>
            </w:r>
          </w:p>
        </w:tc>
      </w:tr>
    </w:tbl>
    <w:p w:rsidR="007F1BA3" w:rsidRDefault="007F1BA3" w:rsidP="00C97F4F">
      <w:r>
        <w:t xml:space="preserve">*V súčasnosti sú v SR </w:t>
      </w:r>
      <w:r w:rsidRPr="00C97F4F">
        <w:t>registrovan</w:t>
      </w:r>
      <w:r>
        <w:t>é</w:t>
      </w:r>
      <w:r w:rsidRPr="00C97F4F">
        <w:t xml:space="preserve"> </w:t>
      </w:r>
      <w:r>
        <w:t xml:space="preserve">2 </w:t>
      </w:r>
      <w:r w:rsidRPr="00C97F4F">
        <w:t>organiz</w:t>
      </w:r>
      <w:r>
        <w:t>á</w:t>
      </w:r>
      <w:r w:rsidRPr="00C97F4F">
        <w:t xml:space="preserve">cie </w:t>
      </w:r>
      <w:r>
        <w:t xml:space="preserve">a 2 organizácie </w:t>
      </w:r>
      <w:r w:rsidRPr="00C97F4F">
        <w:t xml:space="preserve">v decembri 2012 podali </w:t>
      </w:r>
      <w:r>
        <w:t>ž</w:t>
      </w:r>
      <w:r w:rsidRPr="00C97F4F">
        <w:t>iados</w:t>
      </w:r>
      <w:r>
        <w:t xml:space="preserve">ť </w:t>
      </w:r>
      <w:r w:rsidRPr="00C97F4F">
        <w:t>o</w:t>
      </w:r>
      <w:r>
        <w:t> </w:t>
      </w:r>
      <w:r w:rsidRPr="00C97F4F">
        <w:t>zdru</w:t>
      </w:r>
      <w:r>
        <w:t>ž</w:t>
      </w:r>
      <w:r w:rsidRPr="00C97F4F">
        <w:t>en</w:t>
      </w:r>
      <w:r>
        <w:t xml:space="preserve">ú </w:t>
      </w:r>
      <w:r w:rsidRPr="00C97F4F">
        <w:t>registr</w:t>
      </w:r>
      <w:r>
        <w:t>á</w:t>
      </w:r>
      <w:r w:rsidRPr="00C97F4F">
        <w:t>ciu</w:t>
      </w:r>
    </w:p>
    <w:p w:rsidR="007F1BA3" w:rsidRPr="001B0E90" w:rsidRDefault="007F1BA3" w:rsidP="00C97F4F">
      <w:pPr>
        <w:pStyle w:val="Default"/>
        <w:spacing w:line="264" w:lineRule="auto"/>
        <w:jc w:val="both"/>
      </w:pPr>
    </w:p>
    <w:p w:rsidR="007F1BA3" w:rsidRDefault="007F1BA3" w:rsidP="00EC3AEB">
      <w:pPr>
        <w:jc w:val="both"/>
      </w:pPr>
      <w:r w:rsidRPr="00BB107A">
        <w:rPr>
          <w:b/>
        </w:rPr>
        <w:t xml:space="preserve">Zavádzanie systémov environmentálneho manažérstva a ich certifikácia podľa normy </w:t>
      </w:r>
      <w:r w:rsidR="0041340F" w:rsidRPr="00BB107A">
        <w:rPr>
          <w:b/>
        </w:rPr>
        <w:t xml:space="preserve">STN EN </w:t>
      </w:r>
      <w:r w:rsidRPr="00BB107A">
        <w:rPr>
          <w:b/>
        </w:rPr>
        <w:t>ISO 14001 je v SR úspešnejšia v porovnaní s EMAS.</w:t>
      </w:r>
      <w:r>
        <w:t xml:space="preserve"> Podľa údajov SAŽP (obrázok 18) bol počet certifikovaných firiem v r. 2011 až 1 006. Kým v rokoch 1996 až 2008 bol zaznamenaný kontinuálny ročný prírastok udelených certifikátov, od roku 2008 dochádza k poklesu.</w:t>
      </w:r>
    </w:p>
    <w:p w:rsidR="007F1BA3" w:rsidRPr="0023324B" w:rsidRDefault="007F1BA3" w:rsidP="00EC3AEB">
      <w:pPr>
        <w:jc w:val="both"/>
        <w:rPr>
          <w:b/>
        </w:rPr>
      </w:pPr>
      <w:r>
        <w:t xml:space="preserve">Základom systému environmentálneho manažérstva (EMS) je identifikácia a riadenie významných environmentálnych aspektov a ich vplyvov. </w:t>
      </w:r>
      <w:r>
        <w:rPr>
          <w:color w:val="000000"/>
          <w:lang w:eastAsia="zh-TW"/>
        </w:rPr>
        <w:t xml:space="preserve">Tu treba zdôrazniť, že takmer v každej organizácii je odpad (jeho vznik a nakladanie s ním) významným environmentálnym vplyvom a v rámci EMS je riadený. To znamená, že sa v organizácii spravidla </w:t>
      </w:r>
      <w:r w:rsidRPr="00BB107A">
        <w:rPr>
          <w:b/>
          <w:color w:val="000000"/>
          <w:lang w:eastAsia="zh-TW"/>
        </w:rPr>
        <w:t>stanovia ciele aj v oblasti predchádzania vzniku odpadu</w:t>
      </w:r>
      <w:r>
        <w:rPr>
          <w:color w:val="000000"/>
          <w:lang w:eastAsia="zh-TW"/>
        </w:rPr>
        <w:t xml:space="preserve">. Z toho dôvodu je možné konštatovať, že </w:t>
      </w:r>
      <w:r w:rsidRPr="0023324B">
        <w:rPr>
          <w:b/>
          <w:color w:val="000000"/>
          <w:lang w:eastAsia="zh-TW"/>
        </w:rPr>
        <w:t>EMS je vhodným nástrojom na predchádzanie vzniku odpadu.</w:t>
      </w:r>
    </w:p>
    <w:p w:rsidR="007F1BA3" w:rsidRPr="00BB0184" w:rsidRDefault="00C903AC" w:rsidP="009804FC">
      <w:pPr>
        <w:pStyle w:val="Popis"/>
        <w:rPr>
          <w:rFonts w:ascii="Calibri" w:hAnsi="Calibri"/>
          <w:color w:val="auto"/>
          <w:sz w:val="22"/>
          <w:szCs w:val="22"/>
        </w:rPr>
      </w:pPr>
      <w:r>
        <w:rPr>
          <w:noProof/>
          <w:lang w:eastAsia="sk-SK"/>
        </w:rPr>
        <w:lastRenderedPageBreak/>
        <w:drawing>
          <wp:inline distT="0" distB="0" distL="0" distR="0">
            <wp:extent cx="5734050" cy="3924300"/>
            <wp:effectExtent l="19050" t="19050" r="19050" b="1905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5734050" cy="3924300"/>
                    </a:xfrm>
                    <a:prstGeom prst="rect">
                      <a:avLst/>
                    </a:prstGeom>
                    <a:noFill/>
                    <a:ln w="6350" cmpd="sng">
                      <a:solidFill>
                        <a:srgbClr val="000000"/>
                      </a:solidFill>
                      <a:miter lim="800000"/>
                      <a:headEnd/>
                      <a:tailEnd/>
                    </a:ln>
                    <a:effectLst/>
                  </pic:spPr>
                </pic:pic>
              </a:graphicData>
            </a:graphic>
          </wp:inline>
        </w:drawing>
      </w:r>
      <w:r w:rsidR="007F1BA3" w:rsidRPr="00BB0184">
        <w:rPr>
          <w:rFonts w:ascii="Calibri" w:hAnsi="Calibri"/>
          <w:color w:val="auto"/>
          <w:sz w:val="22"/>
          <w:szCs w:val="22"/>
        </w:rPr>
        <w:t xml:space="preserve">Obrázok </w:t>
      </w:r>
      <w:r w:rsidR="007F1BA3">
        <w:rPr>
          <w:rFonts w:ascii="Calibri" w:hAnsi="Calibri"/>
          <w:color w:val="auto"/>
          <w:sz w:val="22"/>
          <w:szCs w:val="22"/>
        </w:rPr>
        <w:t>18:</w:t>
      </w:r>
      <w:r w:rsidR="007F1BA3" w:rsidRPr="00BB0184">
        <w:rPr>
          <w:rFonts w:ascii="Calibri" w:hAnsi="Calibri"/>
          <w:color w:val="auto"/>
          <w:sz w:val="22"/>
          <w:szCs w:val="22"/>
        </w:rPr>
        <w:t xml:space="preserve"> Certifikácia systémov environmentálneho manažérstva (EMS) podľa </w:t>
      </w:r>
      <w:r w:rsidR="0046174B">
        <w:rPr>
          <w:rFonts w:ascii="Calibri" w:hAnsi="Calibri"/>
          <w:color w:val="auto"/>
          <w:sz w:val="22"/>
          <w:szCs w:val="22"/>
        </w:rPr>
        <w:t xml:space="preserve">STN EN </w:t>
      </w:r>
      <w:r w:rsidR="007F1BA3" w:rsidRPr="00BB0184">
        <w:rPr>
          <w:rFonts w:ascii="Calibri" w:hAnsi="Calibri"/>
          <w:color w:val="auto"/>
          <w:sz w:val="22"/>
          <w:szCs w:val="22"/>
        </w:rPr>
        <w:t>ISO 14001 v SR</w:t>
      </w:r>
    </w:p>
    <w:p w:rsidR="007F1BA3" w:rsidRPr="00400F25" w:rsidRDefault="007F1BA3" w:rsidP="00CB72AA">
      <w:pPr>
        <w:autoSpaceDE w:val="0"/>
        <w:autoSpaceDN w:val="0"/>
        <w:adjustRightInd w:val="0"/>
        <w:jc w:val="both"/>
        <w:rPr>
          <w:b/>
        </w:rPr>
      </w:pPr>
      <w:r w:rsidRPr="00400F25">
        <w:rPr>
          <w:b/>
        </w:rPr>
        <w:t>Vyhodnotenie</w:t>
      </w:r>
    </w:p>
    <w:p w:rsidR="007F1BA3" w:rsidRPr="00C148E1" w:rsidRDefault="007F1BA3" w:rsidP="00F71F4B">
      <w:pPr>
        <w:jc w:val="both"/>
      </w:pPr>
      <w:r>
        <w:t xml:space="preserve">EMAS a EMS podľa </w:t>
      </w:r>
      <w:r w:rsidR="0046174B">
        <w:t xml:space="preserve">STN EN </w:t>
      </w:r>
      <w:r>
        <w:t xml:space="preserve">ISO 14001 sú vhodnými nástrojmi na predchádzanie vzniku odpadu. Vzhľadom na počet organizácií registrovaných v schéme EMAS (4) a počet udelených certifikátov podľa </w:t>
      </w:r>
      <w:r w:rsidR="0046174B">
        <w:t xml:space="preserve">STN EN </w:t>
      </w:r>
      <w:r>
        <w:t xml:space="preserve">ISO 14001 (1006) v SR </w:t>
      </w:r>
      <w:r w:rsidRPr="00BB107A">
        <w:rPr>
          <w:b/>
        </w:rPr>
        <w:t xml:space="preserve">nemá toto opatrenie </w:t>
      </w:r>
      <w:r>
        <w:rPr>
          <w:b/>
        </w:rPr>
        <w:t xml:space="preserve">v súčasnosti </w:t>
      </w:r>
      <w:r w:rsidRPr="00BB107A">
        <w:rPr>
          <w:b/>
        </w:rPr>
        <w:t>významnejší vplyv na predchádzanie vzniku na celonárodnej úrovni.</w:t>
      </w:r>
    </w:p>
    <w:p w:rsidR="007F1BA3" w:rsidRDefault="007F1BA3" w:rsidP="00B251EE">
      <w:pPr>
        <w:jc w:val="both"/>
        <w:rPr>
          <w:b/>
          <w:lang w:eastAsia="zh-TW"/>
        </w:rPr>
      </w:pPr>
    </w:p>
    <w:p w:rsidR="007F1BA3" w:rsidRDefault="007F1BA3" w:rsidP="00677DBF">
      <w:pPr>
        <w:pStyle w:val="Nadpis2"/>
        <w:numPr>
          <w:ilvl w:val="1"/>
          <w:numId w:val="9"/>
        </w:numPr>
      </w:pPr>
      <w:bookmarkStart w:id="36" w:name="_Toc356292964"/>
      <w:r w:rsidRPr="00BE40BC">
        <w:t>Opatrenia, ktoré môžu ovplyvniť štádium spotreby a</w:t>
      </w:r>
      <w:r>
        <w:t> </w:t>
      </w:r>
      <w:r w:rsidRPr="00BE40BC">
        <w:t>používania</w:t>
      </w:r>
      <w:bookmarkEnd w:id="36"/>
    </w:p>
    <w:p w:rsidR="007F1BA3" w:rsidRPr="00BE40BC" w:rsidRDefault="007F1BA3" w:rsidP="008C1AE6">
      <w:pPr>
        <w:pStyle w:val="Nadpis3"/>
        <w:rPr>
          <w:lang w:eastAsia="zh-TW"/>
        </w:rPr>
      </w:pPr>
      <w:bookmarkStart w:id="37" w:name="_Toc356292965"/>
      <w:r w:rsidRPr="00BE40BC">
        <w:rPr>
          <w:lang w:eastAsia="zh-TW"/>
        </w:rPr>
        <w:t>3.3.1</w:t>
      </w:r>
      <w:r w:rsidRPr="00BE40BC">
        <w:rPr>
          <w:lang w:eastAsia="zh-TW"/>
        </w:rPr>
        <w:tab/>
        <w:t>Podpora dôveryhodných ekologických značiek</w:t>
      </w:r>
      <w:bookmarkEnd w:id="37"/>
    </w:p>
    <w:p w:rsidR="007F1BA3" w:rsidRDefault="007F1BA3" w:rsidP="007662D1">
      <w:pPr>
        <w:jc w:val="both"/>
        <w:rPr>
          <w:b/>
        </w:rPr>
      </w:pPr>
      <w:r>
        <w:t xml:space="preserve">V podmienkach Slovenskej republiky sa environmentálne označovanie realizuje </w:t>
      </w:r>
      <w:r w:rsidRPr="007662D1">
        <w:rPr>
          <w:b/>
        </w:rPr>
        <w:t>od roku 1996</w:t>
      </w:r>
      <w:r>
        <w:t xml:space="preserve"> prostredníctvom národnej schémy na udeľovanie národnej environmentálnej značky </w:t>
      </w:r>
      <w:r>
        <w:rPr>
          <w:b/>
        </w:rPr>
        <w:t>„Environmentálne vhodný produkt“ (EVP).</w:t>
      </w:r>
      <w:r>
        <w:t xml:space="preserve"> Podmienky a postup pri udeľovaní a používaní národnej environmentálnej značky </w:t>
      </w:r>
      <w:r w:rsidRPr="00701649">
        <w:t xml:space="preserve">upravuje zákon č. 469/2002 Z. z. o environmentálnom označovaní výrobkov </w:t>
      </w:r>
      <w:r>
        <w:t xml:space="preserve">v znení neskorších predpisov (ďalej len „zákon č. 469/2002 Z. z.“). Vykonávacím predpisom k zákonu je vyhláška č. 258/2003 Z. z. Súvisiace právne predpisy k zákonu č. 469/2002 Z. z. </w:t>
      </w:r>
      <w:r w:rsidRPr="00701649">
        <w:t>tvoria Oznámenia Ministerstva životného prostredia SR, ktoré ustanovujú na vybrané skupiny výrobkov a služieb národné environmentálne požiadavky vo forme osobitných podmienok</w:t>
      </w:r>
      <w:r>
        <w:t>,</w:t>
      </w:r>
      <w:r w:rsidRPr="00701649">
        <w:t xml:space="preserve"> podľa ktorých sú posudzované</w:t>
      </w:r>
      <w:r w:rsidRPr="00437C29">
        <w:t xml:space="preserve"> </w:t>
      </w:r>
      <w:r>
        <w:t xml:space="preserve">jednotlivé výrobky alebo služby s cieľom získať národnú environmentálnu značku EVP. </w:t>
      </w:r>
    </w:p>
    <w:p w:rsidR="007F1BA3" w:rsidRPr="007662D1" w:rsidRDefault="007F1BA3" w:rsidP="007662D1">
      <w:pPr>
        <w:jc w:val="both"/>
        <w:rPr>
          <w:b/>
        </w:rPr>
      </w:pPr>
      <w:r>
        <w:lastRenderedPageBreak/>
        <w:t xml:space="preserve">Vstupom Slovenskej republiky do Európskej únie v roku 2004 vznikla pre potenciálnych žiadateľov možnosť získať na svoje produkty aj európsku  </w:t>
      </w:r>
      <w:r>
        <w:rPr>
          <w:b/>
        </w:rPr>
        <w:t>„environmentálnu značku EÚ“</w:t>
      </w:r>
      <w:r>
        <w:t xml:space="preserve"> (predtým „Európsky kvet“). Udeľovanie environmentálnej značky EÚ sa vykonáva podľa </w:t>
      </w:r>
      <w:hyperlink r:id="rId19" w:history="1">
        <w:r w:rsidRPr="00701649">
          <w:rPr>
            <w:rStyle w:val="Hypertextovprepojenie"/>
            <w:color w:val="auto"/>
            <w:u w:val="none"/>
          </w:rPr>
          <w:t>nariadenia EP a R (ES) č. 66/2010 o environmentálnej značke EÚ</w:t>
        </w:r>
      </w:hyperlink>
      <w:r>
        <w:t xml:space="preserve">. Európske environmentálne kritériá pre príslušné skupiny produktov sú vydávané ako </w:t>
      </w:r>
      <w:r w:rsidRPr="007662D1">
        <w:t>Rozhodnutia Európskej komisie.</w:t>
      </w:r>
    </w:p>
    <w:p w:rsidR="007F1BA3" w:rsidRDefault="007F1BA3" w:rsidP="007662D1">
      <w:pPr>
        <w:spacing w:after="120"/>
        <w:jc w:val="both"/>
      </w:pPr>
      <w:r>
        <w:t>Udeľovanie environmentálnych značiek predstavuje environmentálne označovanie typu I štandardizova</w:t>
      </w:r>
      <w:r w:rsidR="00D8324E">
        <w:t>né normou STN EN ISO 14024</w:t>
      </w:r>
      <w:r>
        <w:t>. Ide o </w:t>
      </w:r>
      <w:r w:rsidRPr="007662D1">
        <w:rPr>
          <w:b/>
        </w:rPr>
        <w:t>preventívne pôsobiaci dobrovoľný regulačný nástroj,</w:t>
      </w:r>
      <w:r>
        <w:t xml:space="preserve"> pri ktorom sa posudzovanie zhody produktu vykonáva s vopred stanovenými environmentálnymi kritériami pre jednotlivé skupiny produktov </w:t>
      </w:r>
      <w:r w:rsidRPr="00701649">
        <w:rPr>
          <w:b/>
        </w:rPr>
        <w:t>s prihliadnutím na celý životný cyklus produktu</w:t>
      </w:r>
      <w:r>
        <w:t xml:space="preserve"> od získavania surovín, cez proces výroby, distribúciu, používanie, ako aj fázu nakladania s produktom po skončení jeho životnosti. Plnenie týchto požiadaviek je overované nezávislou treťou stranou. </w:t>
      </w:r>
    </w:p>
    <w:p w:rsidR="007F1BA3" w:rsidRPr="00BB0184" w:rsidRDefault="007F1BA3" w:rsidP="009804FC">
      <w:pPr>
        <w:pStyle w:val="Popis"/>
        <w:rPr>
          <w:rFonts w:ascii="Calibri" w:hAnsi="Calibri"/>
          <w:color w:val="auto"/>
          <w:sz w:val="22"/>
          <w:szCs w:val="22"/>
        </w:rPr>
      </w:pPr>
      <w:r w:rsidRPr="00BB0184">
        <w:rPr>
          <w:rFonts w:ascii="Calibri" w:hAnsi="Calibri"/>
          <w:color w:val="auto"/>
          <w:sz w:val="22"/>
          <w:szCs w:val="22"/>
        </w:rPr>
        <w:t>Tabuľka</w:t>
      </w:r>
      <w:r>
        <w:rPr>
          <w:rFonts w:ascii="Calibri" w:hAnsi="Calibri"/>
          <w:color w:val="auto"/>
          <w:sz w:val="22"/>
          <w:szCs w:val="22"/>
        </w:rPr>
        <w:t xml:space="preserve"> 17:</w:t>
      </w:r>
      <w:r w:rsidRPr="00BB0184">
        <w:rPr>
          <w:rFonts w:ascii="Calibri" w:hAnsi="Calibri"/>
          <w:color w:val="auto"/>
          <w:sz w:val="22"/>
          <w:szCs w:val="22"/>
        </w:rPr>
        <w:t xml:space="preserve"> Počet udelených národných environmentálnych značiek</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79"/>
        <w:gridCol w:w="840"/>
        <w:gridCol w:w="840"/>
        <w:gridCol w:w="840"/>
        <w:gridCol w:w="840"/>
        <w:gridCol w:w="841"/>
        <w:gridCol w:w="841"/>
        <w:gridCol w:w="1135"/>
        <w:gridCol w:w="841"/>
        <w:gridCol w:w="1063"/>
      </w:tblGrid>
      <w:tr w:rsidR="007F1BA3" w:rsidRPr="00BB0184" w:rsidTr="00E402D1">
        <w:trPr>
          <w:trHeight w:val="369"/>
        </w:trPr>
        <w:tc>
          <w:tcPr>
            <w:tcW w:w="1292" w:type="dxa"/>
            <w:shd w:val="clear" w:color="auto" w:fill="C2D69B"/>
            <w:vAlign w:val="center"/>
          </w:tcPr>
          <w:p w:rsidR="007F1BA3" w:rsidRPr="00BB0184" w:rsidRDefault="007F1BA3" w:rsidP="00C958A8">
            <w:pPr>
              <w:pStyle w:val="a1"/>
              <w:tabs>
                <w:tab w:val="clear" w:pos="2268"/>
                <w:tab w:val="left" w:pos="284"/>
              </w:tabs>
              <w:spacing w:line="360" w:lineRule="auto"/>
              <w:ind w:left="0" w:firstLine="0"/>
              <w:rPr>
                <w:rFonts w:ascii="Calibri" w:hAnsi="Calibri"/>
                <w:b/>
                <w:color w:val="000000"/>
                <w:szCs w:val="22"/>
              </w:rPr>
            </w:pPr>
            <w:r>
              <w:rPr>
                <w:rFonts w:ascii="Calibri" w:hAnsi="Calibri"/>
                <w:b/>
                <w:color w:val="000000"/>
                <w:szCs w:val="22"/>
              </w:rPr>
              <w:t>Rok</w:t>
            </w:r>
          </w:p>
        </w:tc>
        <w:tc>
          <w:tcPr>
            <w:tcW w:w="862" w:type="dxa"/>
            <w:shd w:val="clear" w:color="auto" w:fill="C2D69B"/>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1997</w:t>
            </w:r>
          </w:p>
        </w:tc>
        <w:tc>
          <w:tcPr>
            <w:tcW w:w="862" w:type="dxa"/>
            <w:shd w:val="clear" w:color="auto" w:fill="C2D69B"/>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1998</w:t>
            </w:r>
          </w:p>
        </w:tc>
        <w:tc>
          <w:tcPr>
            <w:tcW w:w="863" w:type="dxa"/>
            <w:shd w:val="clear" w:color="auto" w:fill="C2D69B"/>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1999</w:t>
            </w:r>
          </w:p>
        </w:tc>
        <w:tc>
          <w:tcPr>
            <w:tcW w:w="863" w:type="dxa"/>
            <w:shd w:val="clear" w:color="auto" w:fill="C2D69B"/>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2000</w:t>
            </w:r>
          </w:p>
        </w:tc>
        <w:tc>
          <w:tcPr>
            <w:tcW w:w="864" w:type="dxa"/>
            <w:shd w:val="clear" w:color="auto" w:fill="C2D69B"/>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2001</w:t>
            </w:r>
          </w:p>
        </w:tc>
        <w:tc>
          <w:tcPr>
            <w:tcW w:w="864" w:type="dxa"/>
            <w:shd w:val="clear" w:color="auto" w:fill="C2D69B"/>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2002</w:t>
            </w:r>
          </w:p>
        </w:tc>
        <w:tc>
          <w:tcPr>
            <w:tcW w:w="1195" w:type="dxa"/>
            <w:shd w:val="clear" w:color="auto" w:fill="C2D69B"/>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2003</w:t>
            </w:r>
          </w:p>
        </w:tc>
        <w:tc>
          <w:tcPr>
            <w:tcW w:w="864" w:type="dxa"/>
            <w:shd w:val="clear" w:color="auto" w:fill="C2D69B"/>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2004</w:t>
            </w:r>
          </w:p>
        </w:tc>
        <w:tc>
          <w:tcPr>
            <w:tcW w:w="1114" w:type="dxa"/>
            <w:shd w:val="clear" w:color="auto" w:fill="C2D69B"/>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2005</w:t>
            </w:r>
          </w:p>
        </w:tc>
      </w:tr>
      <w:tr w:rsidR="007F1BA3" w:rsidRPr="00BB0184" w:rsidTr="00C958A8">
        <w:trPr>
          <w:trHeight w:val="457"/>
        </w:trPr>
        <w:tc>
          <w:tcPr>
            <w:tcW w:w="1292" w:type="dxa"/>
            <w:vAlign w:val="center"/>
          </w:tcPr>
          <w:p w:rsidR="007F1BA3" w:rsidRPr="00BB0184" w:rsidRDefault="007F1BA3" w:rsidP="00C958A8">
            <w:pPr>
              <w:pStyle w:val="a1"/>
              <w:tabs>
                <w:tab w:val="clear" w:pos="2268"/>
                <w:tab w:val="left" w:pos="284"/>
              </w:tabs>
              <w:spacing w:line="240" w:lineRule="auto"/>
              <w:ind w:left="0" w:firstLine="0"/>
              <w:rPr>
                <w:rFonts w:ascii="Calibri" w:hAnsi="Calibri"/>
                <w:b/>
                <w:color w:val="000000"/>
                <w:szCs w:val="22"/>
              </w:rPr>
            </w:pPr>
            <w:r w:rsidRPr="00BB0184">
              <w:rPr>
                <w:rFonts w:ascii="Calibri" w:hAnsi="Calibri"/>
                <w:b/>
                <w:color w:val="000000"/>
                <w:szCs w:val="22"/>
              </w:rPr>
              <w:t>Počet produktov</w:t>
            </w:r>
          </w:p>
        </w:tc>
        <w:tc>
          <w:tcPr>
            <w:tcW w:w="862" w:type="dxa"/>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11</w:t>
            </w:r>
          </w:p>
        </w:tc>
        <w:tc>
          <w:tcPr>
            <w:tcW w:w="862" w:type="dxa"/>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22</w:t>
            </w:r>
          </w:p>
        </w:tc>
        <w:tc>
          <w:tcPr>
            <w:tcW w:w="863" w:type="dxa"/>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24</w:t>
            </w:r>
          </w:p>
        </w:tc>
        <w:tc>
          <w:tcPr>
            <w:tcW w:w="863" w:type="dxa"/>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20</w:t>
            </w:r>
          </w:p>
        </w:tc>
        <w:tc>
          <w:tcPr>
            <w:tcW w:w="864" w:type="dxa"/>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26</w:t>
            </w:r>
          </w:p>
        </w:tc>
        <w:tc>
          <w:tcPr>
            <w:tcW w:w="864" w:type="dxa"/>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29</w:t>
            </w:r>
          </w:p>
        </w:tc>
        <w:tc>
          <w:tcPr>
            <w:tcW w:w="1195" w:type="dxa"/>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47</w:t>
            </w:r>
          </w:p>
        </w:tc>
        <w:tc>
          <w:tcPr>
            <w:tcW w:w="864" w:type="dxa"/>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79</w:t>
            </w:r>
          </w:p>
        </w:tc>
        <w:tc>
          <w:tcPr>
            <w:tcW w:w="1114" w:type="dxa"/>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96</w:t>
            </w:r>
          </w:p>
        </w:tc>
      </w:tr>
      <w:tr w:rsidR="007F1BA3" w:rsidRPr="00BB0184" w:rsidTr="00E402D1">
        <w:tc>
          <w:tcPr>
            <w:tcW w:w="1292" w:type="dxa"/>
            <w:shd w:val="clear" w:color="auto" w:fill="C2D69B"/>
            <w:vAlign w:val="center"/>
          </w:tcPr>
          <w:p w:rsidR="007F1BA3" w:rsidRPr="00BB0184" w:rsidRDefault="007F1BA3" w:rsidP="00C958A8">
            <w:pPr>
              <w:pStyle w:val="a1"/>
              <w:tabs>
                <w:tab w:val="clear" w:pos="2268"/>
                <w:tab w:val="left" w:pos="284"/>
              </w:tabs>
              <w:spacing w:line="240" w:lineRule="auto"/>
              <w:ind w:left="0" w:firstLine="0"/>
              <w:rPr>
                <w:rFonts w:ascii="Calibri" w:hAnsi="Calibri"/>
                <w:b/>
                <w:color w:val="000000"/>
                <w:szCs w:val="22"/>
              </w:rPr>
            </w:pPr>
            <w:r>
              <w:rPr>
                <w:rFonts w:ascii="Calibri" w:hAnsi="Calibri"/>
                <w:b/>
                <w:color w:val="000000"/>
                <w:szCs w:val="22"/>
              </w:rPr>
              <w:t>Rok</w:t>
            </w:r>
          </w:p>
        </w:tc>
        <w:tc>
          <w:tcPr>
            <w:tcW w:w="862" w:type="dxa"/>
            <w:shd w:val="clear" w:color="auto" w:fill="C2D69B"/>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2006</w:t>
            </w:r>
          </w:p>
        </w:tc>
        <w:tc>
          <w:tcPr>
            <w:tcW w:w="862" w:type="dxa"/>
            <w:shd w:val="clear" w:color="auto" w:fill="C2D69B"/>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2007</w:t>
            </w:r>
          </w:p>
        </w:tc>
        <w:tc>
          <w:tcPr>
            <w:tcW w:w="863" w:type="dxa"/>
            <w:shd w:val="clear" w:color="auto" w:fill="C2D69B"/>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2008</w:t>
            </w:r>
          </w:p>
        </w:tc>
        <w:tc>
          <w:tcPr>
            <w:tcW w:w="863" w:type="dxa"/>
            <w:shd w:val="clear" w:color="auto" w:fill="C2D69B"/>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2009</w:t>
            </w:r>
          </w:p>
        </w:tc>
        <w:tc>
          <w:tcPr>
            <w:tcW w:w="864" w:type="dxa"/>
            <w:shd w:val="clear" w:color="auto" w:fill="C2D69B"/>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2010</w:t>
            </w:r>
          </w:p>
        </w:tc>
        <w:tc>
          <w:tcPr>
            <w:tcW w:w="864" w:type="dxa"/>
            <w:shd w:val="clear" w:color="auto" w:fill="C2D69B"/>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2011</w:t>
            </w:r>
          </w:p>
        </w:tc>
        <w:tc>
          <w:tcPr>
            <w:tcW w:w="1195" w:type="dxa"/>
            <w:shd w:val="clear" w:color="auto" w:fill="C2D69B"/>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2012</w:t>
            </w:r>
          </w:p>
        </w:tc>
        <w:tc>
          <w:tcPr>
            <w:tcW w:w="864" w:type="dxa"/>
            <w:shd w:val="clear" w:color="auto" w:fill="C2D69B"/>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color w:val="000000"/>
                <w:szCs w:val="22"/>
              </w:rPr>
            </w:pPr>
          </w:p>
        </w:tc>
        <w:tc>
          <w:tcPr>
            <w:tcW w:w="1114" w:type="dxa"/>
            <w:shd w:val="clear" w:color="auto" w:fill="C2D69B"/>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color w:val="000000"/>
                <w:szCs w:val="22"/>
              </w:rPr>
            </w:pPr>
          </w:p>
        </w:tc>
      </w:tr>
      <w:tr w:rsidR="007F1BA3" w:rsidRPr="00BB0184" w:rsidTr="00C958A8">
        <w:tc>
          <w:tcPr>
            <w:tcW w:w="1292" w:type="dxa"/>
            <w:vAlign w:val="center"/>
          </w:tcPr>
          <w:p w:rsidR="007F1BA3" w:rsidRPr="00BB0184" w:rsidRDefault="007F1BA3" w:rsidP="00C958A8">
            <w:pPr>
              <w:pStyle w:val="a1"/>
              <w:tabs>
                <w:tab w:val="clear" w:pos="2268"/>
                <w:tab w:val="left" w:pos="284"/>
              </w:tabs>
              <w:spacing w:line="240" w:lineRule="auto"/>
              <w:ind w:left="0" w:firstLine="0"/>
              <w:rPr>
                <w:rFonts w:ascii="Calibri" w:hAnsi="Calibri"/>
                <w:b/>
                <w:color w:val="000000"/>
                <w:szCs w:val="22"/>
              </w:rPr>
            </w:pPr>
            <w:r w:rsidRPr="00BB0184">
              <w:rPr>
                <w:rFonts w:ascii="Calibri" w:hAnsi="Calibri"/>
                <w:b/>
                <w:color w:val="000000"/>
                <w:szCs w:val="22"/>
              </w:rPr>
              <w:t>Počet produktov</w:t>
            </w:r>
          </w:p>
        </w:tc>
        <w:tc>
          <w:tcPr>
            <w:tcW w:w="862" w:type="dxa"/>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107</w:t>
            </w:r>
          </w:p>
        </w:tc>
        <w:tc>
          <w:tcPr>
            <w:tcW w:w="862" w:type="dxa"/>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115</w:t>
            </w:r>
          </w:p>
        </w:tc>
        <w:tc>
          <w:tcPr>
            <w:tcW w:w="863" w:type="dxa"/>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148</w:t>
            </w:r>
          </w:p>
        </w:tc>
        <w:tc>
          <w:tcPr>
            <w:tcW w:w="863" w:type="dxa"/>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148</w:t>
            </w:r>
          </w:p>
        </w:tc>
        <w:tc>
          <w:tcPr>
            <w:tcW w:w="864" w:type="dxa"/>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147</w:t>
            </w:r>
          </w:p>
        </w:tc>
        <w:tc>
          <w:tcPr>
            <w:tcW w:w="864" w:type="dxa"/>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146</w:t>
            </w:r>
          </w:p>
        </w:tc>
        <w:tc>
          <w:tcPr>
            <w:tcW w:w="1195" w:type="dxa"/>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117</w:t>
            </w:r>
          </w:p>
        </w:tc>
        <w:tc>
          <w:tcPr>
            <w:tcW w:w="864" w:type="dxa"/>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color w:val="000000"/>
                <w:szCs w:val="22"/>
              </w:rPr>
            </w:pPr>
          </w:p>
        </w:tc>
        <w:tc>
          <w:tcPr>
            <w:tcW w:w="1114" w:type="dxa"/>
            <w:vAlign w:val="center"/>
          </w:tcPr>
          <w:p w:rsidR="007F1BA3" w:rsidRPr="00BB0184" w:rsidRDefault="007F1BA3" w:rsidP="00C958A8">
            <w:pPr>
              <w:pStyle w:val="a1"/>
              <w:tabs>
                <w:tab w:val="clear" w:pos="2268"/>
                <w:tab w:val="left" w:pos="284"/>
              </w:tabs>
              <w:spacing w:line="360" w:lineRule="auto"/>
              <w:ind w:left="0" w:firstLine="0"/>
              <w:jc w:val="center"/>
              <w:rPr>
                <w:rFonts w:ascii="Calibri" w:hAnsi="Calibri"/>
                <w:color w:val="000000"/>
                <w:szCs w:val="22"/>
              </w:rPr>
            </w:pPr>
          </w:p>
        </w:tc>
      </w:tr>
    </w:tbl>
    <w:p w:rsidR="007F1BA3" w:rsidRPr="00E402D1" w:rsidRDefault="007F1BA3" w:rsidP="00C958A8">
      <w:r w:rsidRPr="00E402D1">
        <w:t>Zdroj: SAŽP</w:t>
      </w:r>
    </w:p>
    <w:p w:rsidR="007F1BA3" w:rsidRDefault="007F1BA3" w:rsidP="009C7303">
      <w:pPr>
        <w:rPr>
          <w:sz w:val="20"/>
          <w:szCs w:val="20"/>
        </w:rPr>
      </w:pPr>
    </w:p>
    <w:p w:rsidR="007F1BA3" w:rsidRDefault="007F1BA3" w:rsidP="009C7303">
      <w:pPr>
        <w:rPr>
          <w:sz w:val="20"/>
          <w:szCs w:val="20"/>
        </w:rPr>
      </w:pPr>
    </w:p>
    <w:p w:rsidR="007F1BA3" w:rsidRDefault="007F1BA3" w:rsidP="009C7303">
      <w:pPr>
        <w:rPr>
          <w:sz w:val="20"/>
          <w:szCs w:val="20"/>
        </w:rPr>
      </w:pPr>
    </w:p>
    <w:p w:rsidR="007F1BA3" w:rsidRPr="00A30B1A" w:rsidRDefault="00C903AC" w:rsidP="009C7303">
      <w:r>
        <w:rPr>
          <w:noProof/>
          <w:lang w:eastAsia="sk-SK"/>
        </w:rPr>
        <w:drawing>
          <wp:inline distT="0" distB="0" distL="0" distR="0">
            <wp:extent cx="5734050" cy="3181350"/>
            <wp:effectExtent l="19050" t="19050" r="19050" b="1905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5734050" cy="3181350"/>
                    </a:xfrm>
                    <a:prstGeom prst="rect">
                      <a:avLst/>
                    </a:prstGeom>
                    <a:noFill/>
                    <a:ln w="6350" cmpd="sng">
                      <a:solidFill>
                        <a:srgbClr val="000000"/>
                      </a:solidFill>
                      <a:miter lim="800000"/>
                      <a:headEnd/>
                      <a:tailEnd/>
                    </a:ln>
                    <a:effectLst/>
                  </pic:spPr>
                </pic:pic>
              </a:graphicData>
            </a:graphic>
          </wp:inline>
        </w:drawing>
      </w:r>
    </w:p>
    <w:p w:rsidR="007F1BA3" w:rsidRPr="00BB0184" w:rsidRDefault="007F1BA3" w:rsidP="009804FC">
      <w:pPr>
        <w:pStyle w:val="Popis"/>
        <w:rPr>
          <w:rFonts w:ascii="Calibri" w:hAnsi="Calibri"/>
          <w:color w:val="auto"/>
          <w:sz w:val="22"/>
          <w:szCs w:val="22"/>
        </w:rPr>
      </w:pPr>
      <w:r w:rsidRPr="00BB0184">
        <w:rPr>
          <w:rFonts w:ascii="Calibri" w:hAnsi="Calibri"/>
          <w:color w:val="auto"/>
          <w:sz w:val="22"/>
          <w:szCs w:val="22"/>
        </w:rPr>
        <w:t xml:space="preserve">Obrázok </w:t>
      </w:r>
      <w:r>
        <w:rPr>
          <w:rFonts w:ascii="Calibri" w:hAnsi="Calibri"/>
          <w:color w:val="auto"/>
          <w:sz w:val="22"/>
          <w:szCs w:val="22"/>
        </w:rPr>
        <w:t>19:</w:t>
      </w:r>
      <w:r w:rsidRPr="00BB0184">
        <w:rPr>
          <w:rFonts w:ascii="Calibri" w:hAnsi="Calibri"/>
          <w:color w:val="auto"/>
          <w:sz w:val="22"/>
          <w:szCs w:val="22"/>
        </w:rPr>
        <w:t xml:space="preserve"> Počet udelených národných environmentálnych značiek </w:t>
      </w:r>
    </w:p>
    <w:p w:rsidR="007F1BA3" w:rsidRDefault="007F1BA3" w:rsidP="00F522D5">
      <w:pPr>
        <w:pStyle w:val="Zkladntext"/>
        <w:spacing w:line="360" w:lineRule="auto"/>
        <w:jc w:val="left"/>
        <w:rPr>
          <w:b w:val="0"/>
        </w:rPr>
      </w:pPr>
    </w:p>
    <w:p w:rsidR="007F1BA3" w:rsidRPr="00BB0184" w:rsidRDefault="007F1BA3" w:rsidP="009804FC">
      <w:pPr>
        <w:pStyle w:val="Popis"/>
        <w:rPr>
          <w:rFonts w:ascii="Calibri" w:hAnsi="Calibri"/>
          <w:color w:val="auto"/>
          <w:sz w:val="22"/>
          <w:szCs w:val="22"/>
        </w:rPr>
      </w:pPr>
      <w:r w:rsidRPr="00BB0184">
        <w:rPr>
          <w:rFonts w:ascii="Calibri" w:hAnsi="Calibri"/>
          <w:color w:val="auto"/>
          <w:sz w:val="22"/>
          <w:szCs w:val="22"/>
        </w:rPr>
        <w:t xml:space="preserve">Tabuľka </w:t>
      </w:r>
      <w:r>
        <w:rPr>
          <w:rFonts w:ascii="Calibri" w:hAnsi="Calibri"/>
          <w:color w:val="auto"/>
          <w:sz w:val="22"/>
          <w:szCs w:val="22"/>
        </w:rPr>
        <w:t>18:</w:t>
      </w:r>
      <w:r w:rsidRPr="00BB0184">
        <w:rPr>
          <w:rFonts w:ascii="Calibri" w:hAnsi="Calibri"/>
          <w:color w:val="auto"/>
          <w:sz w:val="22"/>
          <w:szCs w:val="22"/>
        </w:rPr>
        <w:t xml:space="preserve"> Počet udelených európskych environmentálnych značiek od začiatku realizácie európskej schémy environmentálneho označovania produktov na Slovensku </w:t>
      </w:r>
    </w:p>
    <w:p w:rsidR="007F1BA3" w:rsidRPr="00400117" w:rsidRDefault="007F1BA3" w:rsidP="00F560FF">
      <w:pPr>
        <w:pStyle w:val="Zkladntext"/>
        <w:jc w:val="left"/>
        <w:rPr>
          <w:b w:val="0"/>
          <w:sz w:val="20"/>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72"/>
        <w:gridCol w:w="910"/>
        <w:gridCol w:w="910"/>
        <w:gridCol w:w="909"/>
        <w:gridCol w:w="909"/>
        <w:gridCol w:w="910"/>
        <w:gridCol w:w="910"/>
        <w:gridCol w:w="910"/>
        <w:gridCol w:w="910"/>
        <w:gridCol w:w="910"/>
      </w:tblGrid>
      <w:tr w:rsidR="007F1BA3" w:rsidRPr="00BB0184" w:rsidTr="00E402D1">
        <w:tc>
          <w:tcPr>
            <w:tcW w:w="1021" w:type="dxa"/>
            <w:shd w:val="clear" w:color="auto" w:fill="C2D69B"/>
          </w:tcPr>
          <w:p w:rsidR="007F1BA3" w:rsidRPr="00E402D1" w:rsidRDefault="007F1BA3" w:rsidP="009C7303">
            <w:pPr>
              <w:pStyle w:val="a1"/>
              <w:tabs>
                <w:tab w:val="clear" w:pos="2268"/>
                <w:tab w:val="left" w:pos="284"/>
              </w:tabs>
              <w:spacing w:line="360" w:lineRule="auto"/>
              <w:ind w:left="0" w:firstLine="0"/>
              <w:jc w:val="both"/>
              <w:rPr>
                <w:rFonts w:ascii="Calibri" w:hAnsi="Calibri"/>
                <w:b/>
                <w:color w:val="000000"/>
                <w:szCs w:val="22"/>
              </w:rPr>
            </w:pPr>
            <w:r w:rsidRPr="00E402D1">
              <w:rPr>
                <w:rFonts w:ascii="Calibri" w:hAnsi="Calibri"/>
                <w:b/>
                <w:color w:val="000000"/>
                <w:szCs w:val="22"/>
              </w:rPr>
              <w:t>Rok</w:t>
            </w:r>
          </w:p>
        </w:tc>
        <w:tc>
          <w:tcPr>
            <w:tcW w:w="949" w:type="dxa"/>
            <w:shd w:val="clear" w:color="auto" w:fill="C2D69B"/>
            <w:vAlign w:val="center"/>
          </w:tcPr>
          <w:p w:rsidR="007F1BA3" w:rsidRPr="00BB0184" w:rsidRDefault="007F1BA3" w:rsidP="009C7303">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2004</w:t>
            </w:r>
          </w:p>
        </w:tc>
        <w:tc>
          <w:tcPr>
            <w:tcW w:w="949" w:type="dxa"/>
            <w:shd w:val="clear" w:color="auto" w:fill="C2D69B"/>
            <w:vAlign w:val="center"/>
          </w:tcPr>
          <w:p w:rsidR="007F1BA3" w:rsidRPr="00BB0184" w:rsidRDefault="007F1BA3" w:rsidP="009C7303">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2005</w:t>
            </w:r>
          </w:p>
        </w:tc>
        <w:tc>
          <w:tcPr>
            <w:tcW w:w="949" w:type="dxa"/>
            <w:shd w:val="clear" w:color="auto" w:fill="C2D69B"/>
            <w:vAlign w:val="center"/>
          </w:tcPr>
          <w:p w:rsidR="007F1BA3" w:rsidRPr="00BB0184" w:rsidRDefault="007F1BA3" w:rsidP="009C7303">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2006</w:t>
            </w:r>
          </w:p>
        </w:tc>
        <w:tc>
          <w:tcPr>
            <w:tcW w:w="949" w:type="dxa"/>
            <w:shd w:val="clear" w:color="auto" w:fill="C2D69B"/>
            <w:vAlign w:val="center"/>
          </w:tcPr>
          <w:p w:rsidR="007F1BA3" w:rsidRPr="00BB0184" w:rsidRDefault="007F1BA3" w:rsidP="009C7303">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2007</w:t>
            </w:r>
          </w:p>
        </w:tc>
        <w:tc>
          <w:tcPr>
            <w:tcW w:w="950" w:type="dxa"/>
            <w:shd w:val="clear" w:color="auto" w:fill="C2D69B"/>
            <w:vAlign w:val="center"/>
          </w:tcPr>
          <w:p w:rsidR="007F1BA3" w:rsidRPr="00BB0184" w:rsidRDefault="007F1BA3" w:rsidP="009C7303">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2008</w:t>
            </w:r>
          </w:p>
        </w:tc>
        <w:tc>
          <w:tcPr>
            <w:tcW w:w="950" w:type="dxa"/>
            <w:shd w:val="clear" w:color="auto" w:fill="C2D69B"/>
            <w:vAlign w:val="center"/>
          </w:tcPr>
          <w:p w:rsidR="007F1BA3" w:rsidRPr="00BB0184" w:rsidRDefault="007F1BA3" w:rsidP="009C7303">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2009</w:t>
            </w:r>
          </w:p>
        </w:tc>
        <w:tc>
          <w:tcPr>
            <w:tcW w:w="950" w:type="dxa"/>
            <w:shd w:val="clear" w:color="auto" w:fill="C2D69B"/>
            <w:vAlign w:val="center"/>
          </w:tcPr>
          <w:p w:rsidR="007F1BA3" w:rsidRPr="00BB0184" w:rsidRDefault="007F1BA3" w:rsidP="009C7303">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2010</w:t>
            </w:r>
          </w:p>
        </w:tc>
        <w:tc>
          <w:tcPr>
            <w:tcW w:w="950" w:type="dxa"/>
            <w:shd w:val="clear" w:color="auto" w:fill="C2D69B"/>
            <w:vAlign w:val="center"/>
          </w:tcPr>
          <w:p w:rsidR="007F1BA3" w:rsidRPr="00BB0184" w:rsidRDefault="007F1BA3" w:rsidP="009C7303">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2011</w:t>
            </w:r>
          </w:p>
        </w:tc>
        <w:tc>
          <w:tcPr>
            <w:tcW w:w="950" w:type="dxa"/>
            <w:shd w:val="clear" w:color="auto" w:fill="C2D69B"/>
            <w:vAlign w:val="center"/>
          </w:tcPr>
          <w:p w:rsidR="007F1BA3" w:rsidRPr="00BB0184" w:rsidRDefault="007F1BA3" w:rsidP="009C7303">
            <w:pPr>
              <w:pStyle w:val="a1"/>
              <w:tabs>
                <w:tab w:val="clear" w:pos="2268"/>
                <w:tab w:val="left" w:pos="284"/>
              </w:tabs>
              <w:spacing w:line="360" w:lineRule="auto"/>
              <w:ind w:left="0" w:firstLine="0"/>
              <w:jc w:val="center"/>
              <w:rPr>
                <w:rFonts w:ascii="Calibri" w:hAnsi="Calibri"/>
                <w:b/>
                <w:color w:val="000000"/>
                <w:szCs w:val="22"/>
              </w:rPr>
            </w:pPr>
            <w:r w:rsidRPr="00BB0184">
              <w:rPr>
                <w:rFonts w:ascii="Calibri" w:hAnsi="Calibri"/>
                <w:b/>
                <w:color w:val="000000"/>
                <w:szCs w:val="22"/>
              </w:rPr>
              <w:t>2012</w:t>
            </w:r>
          </w:p>
        </w:tc>
      </w:tr>
      <w:tr w:rsidR="007F1BA3" w:rsidRPr="00BB0184" w:rsidTr="009C7303">
        <w:tc>
          <w:tcPr>
            <w:tcW w:w="1021" w:type="dxa"/>
          </w:tcPr>
          <w:p w:rsidR="007F1BA3" w:rsidRPr="00BB0184" w:rsidRDefault="007F1BA3" w:rsidP="009C7303">
            <w:pPr>
              <w:pStyle w:val="a1"/>
              <w:tabs>
                <w:tab w:val="clear" w:pos="2268"/>
                <w:tab w:val="left" w:pos="284"/>
              </w:tabs>
              <w:spacing w:line="240" w:lineRule="auto"/>
              <w:ind w:left="0" w:firstLine="0"/>
              <w:rPr>
                <w:rFonts w:ascii="Calibri" w:hAnsi="Calibri"/>
                <w:b/>
                <w:color w:val="000000"/>
                <w:szCs w:val="22"/>
              </w:rPr>
            </w:pPr>
            <w:r w:rsidRPr="00BB0184">
              <w:rPr>
                <w:rFonts w:ascii="Calibri" w:hAnsi="Calibri"/>
                <w:b/>
                <w:color w:val="000000"/>
                <w:szCs w:val="22"/>
              </w:rPr>
              <w:t>Počet produktov</w:t>
            </w:r>
          </w:p>
        </w:tc>
        <w:tc>
          <w:tcPr>
            <w:tcW w:w="949" w:type="dxa"/>
            <w:vAlign w:val="center"/>
          </w:tcPr>
          <w:p w:rsidR="007F1BA3" w:rsidRPr="00BB0184" w:rsidRDefault="007F1BA3" w:rsidP="009C7303">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0</w:t>
            </w:r>
          </w:p>
        </w:tc>
        <w:tc>
          <w:tcPr>
            <w:tcW w:w="949" w:type="dxa"/>
            <w:vAlign w:val="center"/>
          </w:tcPr>
          <w:p w:rsidR="007F1BA3" w:rsidRPr="00BB0184" w:rsidRDefault="007F1BA3" w:rsidP="009C7303">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0</w:t>
            </w:r>
          </w:p>
        </w:tc>
        <w:tc>
          <w:tcPr>
            <w:tcW w:w="949" w:type="dxa"/>
            <w:vAlign w:val="center"/>
          </w:tcPr>
          <w:p w:rsidR="007F1BA3" w:rsidRPr="00BB0184" w:rsidRDefault="007F1BA3" w:rsidP="009C7303">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0</w:t>
            </w:r>
          </w:p>
        </w:tc>
        <w:tc>
          <w:tcPr>
            <w:tcW w:w="949" w:type="dxa"/>
            <w:vAlign w:val="center"/>
          </w:tcPr>
          <w:p w:rsidR="007F1BA3" w:rsidRPr="00BB0184" w:rsidRDefault="007F1BA3" w:rsidP="009C7303">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0</w:t>
            </w:r>
          </w:p>
        </w:tc>
        <w:tc>
          <w:tcPr>
            <w:tcW w:w="950" w:type="dxa"/>
            <w:vAlign w:val="center"/>
          </w:tcPr>
          <w:p w:rsidR="007F1BA3" w:rsidRPr="00BB0184" w:rsidRDefault="007F1BA3" w:rsidP="009C7303">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1</w:t>
            </w:r>
          </w:p>
        </w:tc>
        <w:tc>
          <w:tcPr>
            <w:tcW w:w="950" w:type="dxa"/>
            <w:vAlign w:val="center"/>
          </w:tcPr>
          <w:p w:rsidR="007F1BA3" w:rsidRPr="00BB0184" w:rsidRDefault="007F1BA3" w:rsidP="009C7303">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5</w:t>
            </w:r>
          </w:p>
        </w:tc>
        <w:tc>
          <w:tcPr>
            <w:tcW w:w="950" w:type="dxa"/>
            <w:vAlign w:val="center"/>
          </w:tcPr>
          <w:p w:rsidR="007F1BA3" w:rsidRPr="00BB0184" w:rsidRDefault="007F1BA3" w:rsidP="009C7303">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5</w:t>
            </w:r>
          </w:p>
        </w:tc>
        <w:tc>
          <w:tcPr>
            <w:tcW w:w="950" w:type="dxa"/>
            <w:vAlign w:val="center"/>
          </w:tcPr>
          <w:p w:rsidR="007F1BA3" w:rsidRPr="00BB0184" w:rsidRDefault="007F1BA3" w:rsidP="009C7303">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3</w:t>
            </w:r>
          </w:p>
        </w:tc>
        <w:tc>
          <w:tcPr>
            <w:tcW w:w="950" w:type="dxa"/>
            <w:vAlign w:val="center"/>
          </w:tcPr>
          <w:p w:rsidR="007F1BA3" w:rsidRPr="00BB0184" w:rsidRDefault="007F1BA3" w:rsidP="009C7303">
            <w:pPr>
              <w:pStyle w:val="a1"/>
              <w:tabs>
                <w:tab w:val="clear" w:pos="2268"/>
                <w:tab w:val="left" w:pos="284"/>
              </w:tabs>
              <w:spacing w:line="360" w:lineRule="auto"/>
              <w:ind w:left="0" w:firstLine="0"/>
              <w:jc w:val="center"/>
              <w:rPr>
                <w:rFonts w:ascii="Calibri" w:hAnsi="Calibri"/>
                <w:color w:val="000000"/>
                <w:szCs w:val="22"/>
              </w:rPr>
            </w:pPr>
            <w:r w:rsidRPr="00BB0184">
              <w:rPr>
                <w:rFonts w:ascii="Calibri" w:hAnsi="Calibri"/>
                <w:color w:val="000000"/>
                <w:szCs w:val="22"/>
              </w:rPr>
              <w:t>3</w:t>
            </w:r>
          </w:p>
        </w:tc>
      </w:tr>
    </w:tbl>
    <w:p w:rsidR="007F1BA3" w:rsidRDefault="007F1BA3" w:rsidP="00EF6DBA">
      <w:pPr>
        <w:pStyle w:val="Zkladntext"/>
        <w:spacing w:line="360" w:lineRule="auto"/>
        <w:jc w:val="left"/>
        <w:rPr>
          <w:b w:val="0"/>
        </w:rPr>
      </w:pPr>
    </w:p>
    <w:p w:rsidR="007F1BA3" w:rsidRPr="00DC182F" w:rsidRDefault="00C903AC" w:rsidP="009C7303">
      <w:pPr>
        <w:pStyle w:val="Zkladntext"/>
        <w:spacing w:line="360" w:lineRule="auto"/>
      </w:pPr>
      <w:r>
        <w:rPr>
          <w:noProof/>
        </w:rPr>
        <w:drawing>
          <wp:inline distT="0" distB="0" distL="0" distR="0">
            <wp:extent cx="5632450" cy="2578100"/>
            <wp:effectExtent l="19050" t="19050" r="25400" b="1270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5632450" cy="2578100"/>
                    </a:xfrm>
                    <a:prstGeom prst="rect">
                      <a:avLst/>
                    </a:prstGeom>
                    <a:noFill/>
                    <a:ln w="6350" cmpd="sng">
                      <a:solidFill>
                        <a:srgbClr val="000000"/>
                      </a:solidFill>
                      <a:miter lim="800000"/>
                      <a:headEnd/>
                      <a:tailEnd/>
                    </a:ln>
                    <a:effectLst/>
                  </pic:spPr>
                </pic:pic>
              </a:graphicData>
            </a:graphic>
          </wp:inline>
        </w:drawing>
      </w:r>
    </w:p>
    <w:p w:rsidR="007F1BA3" w:rsidRPr="00BB0184" w:rsidRDefault="007F1BA3" w:rsidP="009804FC">
      <w:pPr>
        <w:pStyle w:val="Popis"/>
        <w:rPr>
          <w:rFonts w:ascii="Calibri" w:hAnsi="Calibri"/>
          <w:color w:val="auto"/>
          <w:sz w:val="22"/>
          <w:szCs w:val="22"/>
        </w:rPr>
      </w:pPr>
      <w:r w:rsidRPr="00BB0184">
        <w:rPr>
          <w:rFonts w:ascii="Calibri" w:hAnsi="Calibri"/>
          <w:color w:val="auto"/>
          <w:sz w:val="22"/>
          <w:szCs w:val="22"/>
        </w:rPr>
        <w:t xml:space="preserve">Obrázok </w:t>
      </w:r>
      <w:r>
        <w:rPr>
          <w:rFonts w:ascii="Calibri" w:hAnsi="Calibri"/>
          <w:color w:val="auto"/>
          <w:sz w:val="22"/>
          <w:szCs w:val="22"/>
        </w:rPr>
        <w:t>20:</w:t>
      </w:r>
      <w:r w:rsidRPr="00BB0184">
        <w:rPr>
          <w:rFonts w:ascii="Calibri" w:hAnsi="Calibri"/>
          <w:color w:val="auto"/>
          <w:sz w:val="22"/>
          <w:szCs w:val="22"/>
        </w:rPr>
        <w:t xml:space="preserve"> Počet držiteľov, ktorých produkty boli ocenené národnou environmentálnou značkou od začiatku realizácie národnej schémy environmentálneho označovania produktov na Slovensku </w:t>
      </w:r>
    </w:p>
    <w:p w:rsidR="007F1BA3" w:rsidRDefault="007F1BA3" w:rsidP="00C07A8A">
      <w:pPr>
        <w:jc w:val="both"/>
        <w:rPr>
          <w:sz w:val="20"/>
          <w:szCs w:val="20"/>
        </w:rPr>
      </w:pPr>
    </w:p>
    <w:p w:rsidR="007F1BA3" w:rsidRPr="00FC0401" w:rsidRDefault="007F1BA3" w:rsidP="00A51094">
      <w:pPr>
        <w:jc w:val="both"/>
        <w:rPr>
          <w:b/>
        </w:rPr>
      </w:pPr>
      <w:r w:rsidRPr="00FC0401">
        <w:rPr>
          <w:b/>
        </w:rPr>
        <w:t>Vyhodnotenie</w:t>
      </w:r>
    </w:p>
    <w:p w:rsidR="007F1BA3" w:rsidRDefault="007F1BA3" w:rsidP="00A51094">
      <w:pPr>
        <w:jc w:val="both"/>
      </w:pPr>
      <w:r w:rsidRPr="00FC0401">
        <w:t xml:space="preserve">Počet produktov s právom používať národnú environmentálnu značku EVP má od roku 2008 stagnujúcu tendenciu. Najväčší celkový počet EVP bol zaznamenaný v rokoch 2008 a 2009. Značkou EVP bolo doteraz ocenených </w:t>
      </w:r>
      <w:r>
        <w:t xml:space="preserve">dovedna </w:t>
      </w:r>
      <w:r w:rsidRPr="00FC0401">
        <w:t xml:space="preserve">234 produktov. Najväčší celkový počet produktov s právom používať environmentálnu značku EÚ bol zaznamenaný v rokoch 2009 a 2010. Záujem o značku EÚ mierne narastá. Počet držiteľov s právom používať národnú environmentálnu značku EVP má od roku 2009 klesajúcu tendenciu. Od roku 2009 nepribudli žiadni noví držitelia značky. </w:t>
      </w:r>
    </w:p>
    <w:p w:rsidR="007F1BA3" w:rsidRDefault="007F1BA3" w:rsidP="00A51094">
      <w:pPr>
        <w:jc w:val="both"/>
      </w:pPr>
      <w:r w:rsidRPr="00D55684">
        <w:rPr>
          <w:b/>
        </w:rPr>
        <w:t>Udeľovanie environmentálnych značiek v SR nemá významný vplyv na predchádzanie vzniku odpadu</w:t>
      </w:r>
      <w:r>
        <w:t xml:space="preserve">. Najväčší </w:t>
      </w:r>
      <w:r w:rsidRPr="00FC0401">
        <w:t>počet produktov s právom používať environmentálnu značku</w:t>
      </w:r>
      <w:r>
        <w:t xml:space="preserve"> patrí do dvoch skupín: </w:t>
      </w:r>
      <w:proofErr w:type="spellStart"/>
      <w:r>
        <w:t>adsorbenty</w:t>
      </w:r>
      <w:proofErr w:type="spellEnd"/>
      <w:r>
        <w:t xml:space="preserve"> a nepálené </w:t>
      </w:r>
      <w:proofErr w:type="spellStart"/>
      <w:r>
        <w:t>murovacie</w:t>
      </w:r>
      <w:proofErr w:type="spellEnd"/>
      <w:r>
        <w:t xml:space="preserve"> materiály.</w:t>
      </w:r>
    </w:p>
    <w:p w:rsidR="007F1BA3" w:rsidRDefault="007F1BA3" w:rsidP="007662D1">
      <w:pPr>
        <w:jc w:val="both"/>
      </w:pPr>
    </w:p>
    <w:p w:rsidR="007F1BA3" w:rsidRPr="00E63C0A" w:rsidRDefault="007F1BA3" w:rsidP="008C1AE6">
      <w:pPr>
        <w:pStyle w:val="Nadpis3"/>
      </w:pPr>
      <w:bookmarkStart w:id="38" w:name="_Toc356292966"/>
      <w:r w:rsidRPr="00E63C0A">
        <w:t xml:space="preserve">3.3.2 </w:t>
      </w:r>
      <w:r>
        <w:tab/>
      </w:r>
      <w:r w:rsidRPr="00E63C0A">
        <w:t>Zelené verejné obstarávanie</w:t>
      </w:r>
      <w:bookmarkEnd w:id="38"/>
    </w:p>
    <w:p w:rsidR="007F1BA3" w:rsidRPr="00DF56AF" w:rsidRDefault="007F1BA3" w:rsidP="007D19D0">
      <w:pPr>
        <w:jc w:val="both"/>
      </w:pPr>
      <w:r w:rsidRPr="00DF56AF">
        <w:t xml:space="preserve">Verejné obstarávanie v Slovenskej republike je upravené zákonom č. 25/2006 Z. z. o verejnom obstarávaní a o zmene a doplnení niektorých zákonov v znení neskorších predpisov (ďalej len „zákon </w:t>
      </w:r>
      <w:r w:rsidRPr="00DF56AF">
        <w:lastRenderedPageBreak/>
        <w:t>o verejnom obstarávaní“), do ktorého boli implementované európske smernice o verejnom obstarávaní. Povinnosti vyplývajúce zo zákona pr</w:t>
      </w:r>
      <w:r>
        <w:t>i</w:t>
      </w:r>
      <w:r w:rsidRPr="00DF56AF">
        <w:t xml:space="preserve"> zadávan</w:t>
      </w:r>
      <w:r>
        <w:t>í</w:t>
      </w:r>
      <w:r w:rsidRPr="00DF56AF">
        <w:t xml:space="preserve"> nadlimitných zákaziek, týkajúce sa </w:t>
      </w:r>
      <w:r w:rsidRPr="00EF7947">
        <w:rPr>
          <w:b/>
        </w:rPr>
        <w:t>uplatňovania politiky zeleného verejného obstarávania</w:t>
      </w:r>
      <w:r>
        <w:rPr>
          <w:b/>
        </w:rPr>
        <w:t>,</w:t>
      </w:r>
      <w:r w:rsidRPr="00DF56AF">
        <w:t xml:space="preserve"> sú nasledovné:</w:t>
      </w:r>
    </w:p>
    <w:p w:rsidR="007F1BA3" w:rsidRPr="00DF56AF" w:rsidRDefault="007F1BA3" w:rsidP="00677DBF">
      <w:pPr>
        <w:numPr>
          <w:ilvl w:val="0"/>
          <w:numId w:val="6"/>
        </w:numPr>
        <w:jc w:val="both"/>
      </w:pPr>
      <w:r w:rsidRPr="00DF56AF">
        <w:t xml:space="preserve">pri zadávaní zákazky </w:t>
      </w:r>
      <w:r>
        <w:t xml:space="preserve">na </w:t>
      </w:r>
      <w:r w:rsidRPr="00EF7947">
        <w:rPr>
          <w:b/>
        </w:rPr>
        <w:t>energeticky významný výrobok</w:t>
      </w:r>
      <w:r w:rsidRPr="00DF56AF">
        <w:t xml:space="preserve"> je verejný obstarávateľ povinný určiť v opise predmetu zákazky požiadavky na výrobok najvyššej výkonnosti a najvyššej triedy energetickej účinnosti podľa osobitného predpisu (§ 34 ods. 5</w:t>
      </w:r>
      <w:r w:rsidR="00DC4C0D">
        <w:t xml:space="preserve"> zákona o verejnom obstarávaní</w:t>
      </w:r>
      <w:r w:rsidRPr="00DF56AF">
        <w:t>),</w:t>
      </w:r>
    </w:p>
    <w:p w:rsidR="007F1BA3" w:rsidRPr="00DF56AF" w:rsidRDefault="007F1BA3" w:rsidP="00677DBF">
      <w:pPr>
        <w:numPr>
          <w:ilvl w:val="0"/>
          <w:numId w:val="6"/>
        </w:numPr>
        <w:jc w:val="both"/>
      </w:pPr>
      <w:r w:rsidRPr="00DF56AF">
        <w:t xml:space="preserve">pri </w:t>
      </w:r>
      <w:r w:rsidR="00D11E1A">
        <w:t xml:space="preserve">nadlimitnej </w:t>
      </w:r>
      <w:r w:rsidRPr="00DF56AF">
        <w:t xml:space="preserve">zákazke na dodanie </w:t>
      </w:r>
      <w:r w:rsidRPr="00EF7947">
        <w:rPr>
          <w:b/>
        </w:rPr>
        <w:t>motorových vozidiel</w:t>
      </w:r>
      <w:r w:rsidRPr="00DF56AF">
        <w:t xml:space="preserve"> kategórie M1, M2, M3, N1, N2 a N3 je zadávateľ </w:t>
      </w:r>
      <w:r>
        <w:t xml:space="preserve">povinný </w:t>
      </w:r>
      <w:r w:rsidRPr="00DF56AF">
        <w:t>v opise predmetu zákazky alebo v kritériách na vyhodnotenie ponúk zohľadniť energetické a environmentálne vplyvy prevádzky týchto vozidiel počas doby ich životnosti podľa zákona č.158/2011 Z. z. o podpore energeticky a environmentálne úsporných motorových vozidiel a o zmene a doplnení niektorých zákonov (ďalej len „zákon o podpore energeticky a environmentálne úsporných motorových vozidiel“)</w:t>
      </w:r>
      <w:r w:rsidR="00DC4C0D" w:rsidRPr="00DC4C0D">
        <w:t xml:space="preserve"> </w:t>
      </w:r>
      <w:r w:rsidR="00DC4C0D">
        <w:t>(</w:t>
      </w:r>
      <w:r w:rsidR="00DC4C0D" w:rsidRPr="00DF56AF">
        <w:t>§ 35a</w:t>
      </w:r>
      <w:r w:rsidR="00DC4C0D">
        <w:t xml:space="preserve"> zákona o verejnom obstarávaní)</w:t>
      </w:r>
      <w:r w:rsidRPr="00DF56AF">
        <w:t>.</w:t>
      </w:r>
    </w:p>
    <w:p w:rsidR="007F1BA3" w:rsidRDefault="007F1BA3" w:rsidP="00EF7947">
      <w:pPr>
        <w:jc w:val="both"/>
      </w:pPr>
      <w:r>
        <w:t>Okrem uvedených dvoch príkladov môže verejný obstarávateľ a obstarávateľ prostredníctvom zeleného verejného obstarávania dosiahnuť prínosy, ako je napr. znížená spotreba energie, znížená spotreba vody, znížená spotreba surovín, znížené množstvo nebezpečných látok, znížená tvorba znečisťujúcich látok, vyššie využitie obnoviteľných zdrojov energie, znížený vplyv na biodiverzitu, znižovanie hluku, využívanie recyklovaných alebo recyklovateľných materiálov  a iné.</w:t>
      </w:r>
    </w:p>
    <w:p w:rsidR="007F1BA3" w:rsidRPr="00DF56AF" w:rsidRDefault="007F1BA3" w:rsidP="00EF7947">
      <w:pPr>
        <w:jc w:val="both"/>
      </w:pPr>
      <w:r>
        <w:t>Podpornými nástrojmi pre zelené verejné obstarávanie sú  okrem zadávania zákaziek na energeticky významné výrobky a podpory energeticky a environmentálne úsporných vozidiel aj ďalšie dobrovoľné nástroje environmentálnej politiky (environmentálne označovanie produktov a environmentálne manažérstvo) a nástroje iných politík (energetické štítkovanie, energetická účinnosť kancelárskych zariadení) a pripravovaný nástroj – energetická hospodárnosť budov.</w:t>
      </w:r>
    </w:p>
    <w:p w:rsidR="007F1BA3" w:rsidRDefault="007F1BA3" w:rsidP="00EF7947">
      <w:pPr>
        <w:jc w:val="both"/>
      </w:pPr>
      <w:r w:rsidRPr="00DF56AF">
        <w:t xml:space="preserve">Na základe požiadaviek Obnovenej stratégie trvalo udržateľného rozvoja v EÚ a správ Európskej komisie Integrovaná produktová politika a Implementácia akčného plánu environmentálnych technológií bol vypracovaný </w:t>
      </w:r>
      <w:hyperlink r:id="rId22" w:history="1">
        <w:r w:rsidRPr="005E5A7F">
          <w:rPr>
            <w:rStyle w:val="Siln"/>
            <w:bCs/>
          </w:rPr>
          <w:t>Národný akčný plán pre zelené verejné obstarávanie v SR na roky 2007</w:t>
        </w:r>
        <w:r>
          <w:rPr>
            <w:rStyle w:val="Siln"/>
            <w:bCs/>
          </w:rPr>
          <w:t xml:space="preserve"> – </w:t>
        </w:r>
        <w:r w:rsidRPr="005E5A7F">
          <w:rPr>
            <w:rStyle w:val="Siln"/>
            <w:bCs/>
          </w:rPr>
          <w:t>2010 (NAP GPP)</w:t>
        </w:r>
      </w:hyperlink>
      <w:r w:rsidRPr="005E5A7F">
        <w:t>,</w:t>
      </w:r>
      <w:r w:rsidRPr="00DF56AF">
        <w:t xml:space="preserve"> ktorý vláda SR schválila uznesením č. 944</w:t>
      </w:r>
      <w:r>
        <w:t>/2007</w:t>
      </w:r>
      <w:r w:rsidRPr="00DF56AF">
        <w:t xml:space="preserve"> dňa 7. novembra 2007. Strategickým cieľom NAP GPP bolo zlepšiť environmentálne správanie verejného sektora prostredníctvom zvýšenia úrovne uplatňovania zeleného verejného obstarávania </w:t>
      </w:r>
      <w:r>
        <w:t>s cieľom</w:t>
      </w:r>
      <w:r w:rsidRPr="00DF56AF">
        <w:t xml:space="preserve"> dosiahnuť do roku 2010 jeho priemernú úroveň 50</w:t>
      </w:r>
      <w:r>
        <w:t xml:space="preserve"> </w:t>
      </w:r>
      <w:r w:rsidRPr="00DF56AF">
        <w:t xml:space="preserve">% vytýčenú Európskou komisiou. </w:t>
      </w:r>
    </w:p>
    <w:p w:rsidR="007F1BA3" w:rsidRPr="00DF56AF" w:rsidRDefault="007F1BA3" w:rsidP="00DD0964">
      <w:pPr>
        <w:jc w:val="both"/>
      </w:pPr>
      <w:r w:rsidRPr="00DF56AF">
        <w:t>Priemerná úroveň uplatňovania GPP v SR sa každoročne vyhodnocuje na základe 2 indikátorov:</w:t>
      </w:r>
    </w:p>
    <w:p w:rsidR="00A94B1B" w:rsidRDefault="007F1BA3">
      <w:pPr>
        <w:ind w:left="330" w:hanging="330"/>
      </w:pPr>
      <w:r>
        <w:rPr>
          <w:rFonts w:ascii="Arial" w:hAnsi="Arial" w:cs="Arial"/>
        </w:rPr>
        <w:t>●</w:t>
      </w:r>
      <w:r>
        <w:t xml:space="preserve">    </w:t>
      </w:r>
      <w:r w:rsidRPr="00DF56AF">
        <w:t xml:space="preserve">indikátor 1: % GPP z celkového verejného obstarávania vo väzbe na </w:t>
      </w:r>
      <w:r w:rsidRPr="00DF56AF">
        <w:rPr>
          <w:bCs/>
        </w:rPr>
        <w:t>počet zákaziek</w:t>
      </w:r>
      <w:r w:rsidRPr="00DF56AF">
        <w:t xml:space="preserve"> (uzatvorených zmlúv a objednávok),</w:t>
      </w:r>
    </w:p>
    <w:p w:rsidR="00A94B1B" w:rsidRDefault="007F1BA3">
      <w:pPr>
        <w:ind w:left="330" w:hanging="330"/>
      </w:pPr>
      <w:r w:rsidRPr="0037490D">
        <w:rPr>
          <w:rFonts w:ascii="Arial" w:hAnsi="Arial" w:cs="Arial"/>
        </w:rPr>
        <w:t>●</w:t>
      </w:r>
      <w:r>
        <w:t xml:space="preserve">    </w:t>
      </w:r>
      <w:r w:rsidRPr="00DF56AF">
        <w:t xml:space="preserve">indikátor 2: % GPP z celkového verejného obstarávania vo väzbe na </w:t>
      </w:r>
      <w:r w:rsidRPr="00DF56AF">
        <w:rPr>
          <w:bCs/>
        </w:rPr>
        <w:t>hodnotu uskutočnených zákaziek</w:t>
      </w:r>
      <w:r w:rsidRPr="00DF56AF">
        <w:t xml:space="preserve"> (uzatvorených zmlúv a objednávok s DPH).</w:t>
      </w:r>
    </w:p>
    <w:p w:rsidR="007F1BA3" w:rsidRPr="00DD0964" w:rsidRDefault="007F1BA3" w:rsidP="00DD0964">
      <w:pPr>
        <w:jc w:val="both"/>
      </w:pPr>
      <w:r w:rsidRPr="0017418F">
        <w:rPr>
          <w:b/>
        </w:rPr>
        <w:t>Strategickým cieľom NAP GPP II</w:t>
      </w:r>
      <w:r w:rsidRPr="00DF56AF">
        <w:t xml:space="preserve"> je zvýšiť podiel uplatňovania GPP v SR na úrovni ústredných orgánov štátnej správy a im podriadených organizácií na 65 % a na</w:t>
      </w:r>
      <w:r>
        <w:t xml:space="preserve"> úrovni samosprávnych krajov a </w:t>
      </w:r>
      <w:r w:rsidRPr="00DF56AF">
        <w:t>miest na 50 % do roku 2015. Na dosiahnutie strategického cieľa boli stanovené tri parciálne ciele, a to:</w:t>
      </w:r>
    </w:p>
    <w:p w:rsidR="007F1BA3" w:rsidRPr="00DF56AF" w:rsidRDefault="007F1BA3" w:rsidP="00677DBF">
      <w:pPr>
        <w:numPr>
          <w:ilvl w:val="0"/>
          <w:numId w:val="7"/>
        </w:numPr>
      </w:pPr>
      <w:r>
        <w:lastRenderedPageBreak/>
        <w:t>b</w:t>
      </w:r>
      <w:r w:rsidRPr="00DF56AF">
        <w:t>udovať povedomie verejných obstarávateľov a obstarávateľov o problematike GPP v podmienkach SR</w:t>
      </w:r>
      <w:r>
        <w:t>,</w:t>
      </w:r>
    </w:p>
    <w:p w:rsidR="007F1BA3" w:rsidRPr="00DF56AF" w:rsidRDefault="007F1BA3" w:rsidP="00677DBF">
      <w:pPr>
        <w:numPr>
          <w:ilvl w:val="0"/>
          <w:numId w:val="7"/>
        </w:numPr>
      </w:pPr>
      <w:r>
        <w:t>p</w:t>
      </w:r>
      <w:r w:rsidRPr="00DF56AF">
        <w:t>osilniť uplatňovanie environmentálnych charakteristík vo verejných zákazkách</w:t>
      </w:r>
      <w:r>
        <w:t>,</w:t>
      </w:r>
      <w:r w:rsidRPr="00DF56AF">
        <w:t xml:space="preserve"> </w:t>
      </w:r>
    </w:p>
    <w:p w:rsidR="007F1BA3" w:rsidRPr="00DF56AF" w:rsidRDefault="007F1BA3" w:rsidP="00677DBF">
      <w:pPr>
        <w:numPr>
          <w:ilvl w:val="0"/>
          <w:numId w:val="7"/>
        </w:numPr>
      </w:pPr>
      <w:r>
        <w:t>h</w:t>
      </w:r>
      <w:r w:rsidRPr="00DF56AF">
        <w:t>odnotiť úroveň uplatňovania GPP v SR vo väzbe na požiadavky Európskej komisie.</w:t>
      </w:r>
    </w:p>
    <w:p w:rsidR="007F1BA3" w:rsidRPr="0092731C" w:rsidRDefault="007F1BA3" w:rsidP="00DD0964"/>
    <w:p w:rsidR="007F1BA3" w:rsidRDefault="007F1BA3" w:rsidP="0036160A">
      <w:pPr>
        <w:jc w:val="both"/>
      </w:pPr>
      <w:r w:rsidRPr="00DF56AF">
        <w:t xml:space="preserve">Uplatňovanie takýchto charakteristík bolo v roku </w:t>
      </w:r>
      <w:r w:rsidRPr="00DD0964">
        <w:rPr>
          <w:b/>
        </w:rPr>
        <w:t>2011 na úrovni približne 2 % vo väzbe na počet zákaziek a na úrovni približne 42 % vo väzbe na hodnotu zákaziek</w:t>
      </w:r>
      <w:r w:rsidRPr="00DF56AF">
        <w:t xml:space="preserve"> (v rámci 273 verejných inštitúcií zapojených do prieskumu). </w:t>
      </w:r>
    </w:p>
    <w:p w:rsidR="007F1BA3" w:rsidRPr="00DF56AF" w:rsidRDefault="007F1BA3" w:rsidP="0036160A">
      <w:pPr>
        <w:jc w:val="both"/>
        <w:rPr>
          <w:b/>
        </w:rPr>
      </w:pPr>
      <w:r>
        <w:t xml:space="preserve">Podrobnejšie informácie o zelenom verejnom obstarávaní uvádza </w:t>
      </w:r>
      <w:r w:rsidRPr="003A65CC">
        <w:rPr>
          <w:b/>
        </w:rPr>
        <w:t>príloha č. 4 k PPVO</w:t>
      </w:r>
      <w:r>
        <w:t>.</w:t>
      </w:r>
    </w:p>
    <w:p w:rsidR="007F1BA3" w:rsidRPr="00723444" w:rsidRDefault="007F1BA3" w:rsidP="003A65CC">
      <w:pPr>
        <w:rPr>
          <w:b/>
        </w:rPr>
      </w:pPr>
      <w:r w:rsidRPr="00723444">
        <w:rPr>
          <w:b/>
        </w:rPr>
        <w:t xml:space="preserve">Vyhodnotenie </w:t>
      </w:r>
    </w:p>
    <w:p w:rsidR="007F1BA3" w:rsidRPr="00C377EA" w:rsidRDefault="007F1BA3" w:rsidP="003A65CC">
      <w:pPr>
        <w:jc w:val="both"/>
        <w:rPr>
          <w:b/>
        </w:rPr>
      </w:pPr>
      <w:r w:rsidRPr="00C377EA">
        <w:rPr>
          <w:b/>
        </w:rPr>
        <w:t>Integrovanie environmentálnych kritérií a kritérií predchádzania vzniku odpadu do zeleného verejného obstarávania nemá významný potenciál pre oblasť znižovania množstva odpadov v SR,</w:t>
      </w:r>
      <w:r>
        <w:t xml:space="preserve"> pretože uznesenie vlády SR č 22/2012 ukladá povinnosti iba ústredným orgánom štátnej správy a ich priamo riadeným organizáciám a odporúča plnenie úloh mestám a samosprávnym krajom. Vzhľadom na uvedený okruh účastníkov procesov verejného obstarávania (cca 450 subjektov), ako aj na skutočnosť, že toto uznesenie nepostihuje domácnosti, podnikateľskú sféru (fyzické a právnické osoby) okrem tých subjektov – obstarávateľov, v ktorých je majetková účasť štátu, obce (z 2927 obcí v SR sa robí monitorovanie u miest, t. j. u 139 subjektov) – </w:t>
      </w:r>
      <w:r w:rsidRPr="00C377EA">
        <w:rPr>
          <w:b/>
        </w:rPr>
        <w:t xml:space="preserve">uplatňovanie zeleného verejného obstarávania ako dobrovoľného nástroja environmentálnej politiky nie je vhodným nástrojom na predchádzanie vzniku odpadov.  </w:t>
      </w:r>
    </w:p>
    <w:p w:rsidR="007F1BA3" w:rsidRPr="003C732C" w:rsidRDefault="007F1BA3" w:rsidP="0092731C">
      <w:pPr>
        <w:pStyle w:val="Nadpis1"/>
      </w:pPr>
      <w:bookmarkStart w:id="39" w:name="_Toc356292967"/>
      <w:r w:rsidRPr="003C732C">
        <w:t xml:space="preserve">4 </w:t>
      </w:r>
      <w:r>
        <w:tab/>
      </w:r>
      <w:r w:rsidRPr="003C732C">
        <w:t xml:space="preserve">Ciele </w:t>
      </w:r>
      <w:r>
        <w:t>p</w:t>
      </w:r>
      <w:r w:rsidRPr="003C732C">
        <w:t>rogramu</w:t>
      </w:r>
      <w:r>
        <w:t xml:space="preserve"> a opatrenia na ich splnenie</w:t>
      </w:r>
      <w:bookmarkEnd w:id="39"/>
    </w:p>
    <w:p w:rsidR="007F1BA3" w:rsidRDefault="007F1BA3" w:rsidP="008C1AE6">
      <w:pPr>
        <w:pStyle w:val="Nadpis2"/>
      </w:pPr>
      <w:bookmarkStart w:id="40" w:name="_Toc356292968"/>
      <w:r w:rsidRPr="003C732C">
        <w:t xml:space="preserve">4.1 </w:t>
      </w:r>
      <w:r>
        <w:tab/>
      </w:r>
      <w:r w:rsidRPr="003C732C">
        <w:t>Hlavný cieľ</w:t>
      </w:r>
      <w:bookmarkEnd w:id="40"/>
      <w:r w:rsidRPr="003C732C">
        <w:t xml:space="preserve"> </w:t>
      </w:r>
    </w:p>
    <w:p w:rsidR="007F1BA3" w:rsidRDefault="007F1BA3" w:rsidP="00665B3D">
      <w:pPr>
        <w:jc w:val="both"/>
      </w:pPr>
      <w:r>
        <w:t xml:space="preserve">Hierarchia odpadového hospodárstva vo všeobecnosti ustanovuje poradie priorít toho, čo predstavuje v právnych predpisoch o odpadoch a v politike (smerovaní) odpadového hospodárstva z celkového hľadiska najlepšiu environmentálnu voľbu. V niektorých </w:t>
      </w:r>
      <w:r w:rsidRPr="0037490D">
        <w:t>prúdoch</w:t>
      </w:r>
      <w:r>
        <w:t xml:space="preserve"> odpadov sa môže ukázať odklonenie od hierarchie odpadového hospodárstva ako nevyhnutné a je odôvodniteľné najmä technickou neuskutočniteľnosťou, ekonomickou náročnosťou alebo ochranou životného prostredia.   </w:t>
      </w:r>
    </w:p>
    <w:p w:rsidR="007F1BA3" w:rsidRDefault="007F1BA3" w:rsidP="00665B3D">
      <w:pPr>
        <w:jc w:val="both"/>
      </w:pPr>
      <w:r w:rsidRPr="00614229">
        <w:t>Nová právna úprava odpadového hospodárstva EÚ aj SR posilňuje ustanovenia o predchádzaní vzniku odpadu.</w:t>
      </w:r>
      <w:r>
        <w:t xml:space="preserve"> Ďalej zavádza požiadavku vypracúvať programy predchádzania vzniku odpadu, ktoré sa sústredia na hlavné vplyvy odpadového hospodárstva na životné prostredie a zohľadnia celý životný cyklus výrobkov a materiálov</w:t>
      </w:r>
      <w:r w:rsidRPr="00614229">
        <w:t>. Predpokladom úspechu je zapojenie zainteresovaných strán a širokej verejnosti do príprav a realizácie týchto programov.</w:t>
      </w:r>
    </w:p>
    <w:p w:rsidR="007F1BA3" w:rsidRDefault="007F1BA3" w:rsidP="00665B3D">
      <w:pPr>
        <w:jc w:val="both"/>
      </w:pPr>
      <w:r>
        <w:t xml:space="preserve">Na rozdiel od POH, ktorý ustanovuje kvantitatívne a kvalitatívne ciele v oblasti recyklácie a zhodnocovania vybraných </w:t>
      </w:r>
      <w:r w:rsidRPr="0037490D">
        <w:t>prúdov</w:t>
      </w:r>
      <w:r>
        <w:t xml:space="preserve"> odpadov, </w:t>
      </w:r>
      <w:r w:rsidRPr="00FB31DD">
        <w:rPr>
          <w:b/>
        </w:rPr>
        <w:t xml:space="preserve">PPVO by nemal byť iba nástrojom plánovania cieľov </w:t>
      </w:r>
      <w:r w:rsidRPr="00FB31DD">
        <w:rPr>
          <w:b/>
        </w:rPr>
        <w:lastRenderedPageBreak/>
        <w:t>a definovania opatrení.</w:t>
      </w:r>
      <w:r>
        <w:t xml:space="preserve"> </w:t>
      </w:r>
      <w:r w:rsidRPr="00FB31DD">
        <w:rPr>
          <w:b/>
        </w:rPr>
        <w:t xml:space="preserve">PPVO je skôr proces kontinuálneho posudzovania efektívnosti prijatých opatrení </w:t>
      </w:r>
      <w:r>
        <w:t>(obrázok 21 a obrázok 22).</w:t>
      </w:r>
    </w:p>
    <w:p w:rsidR="007F1BA3" w:rsidRPr="001E66D4" w:rsidRDefault="007F1BA3" w:rsidP="00AE45A2">
      <w:pPr>
        <w:jc w:val="both"/>
        <w:rPr>
          <w:b/>
        </w:rPr>
      </w:pPr>
      <w:r w:rsidRPr="001E66D4">
        <w:rPr>
          <w:b/>
        </w:rPr>
        <w:t>Obrázok 21: Úlohy programu predchádzania vzniku odpadu</w:t>
      </w:r>
      <w:r w:rsidRPr="001E66D4">
        <w:rPr>
          <w:rStyle w:val="Odkaznapoznmkupodiarou"/>
          <w:b/>
        </w:rPr>
        <w:footnoteReference w:id="6"/>
      </w:r>
    </w:p>
    <w:p w:rsidR="007F1BA3" w:rsidRDefault="00C903AC" w:rsidP="00665B3D">
      <w:pPr>
        <w:jc w:val="both"/>
      </w:pPr>
      <w:r>
        <w:rPr>
          <w:noProof/>
          <w:lang w:eastAsia="sk-SK"/>
        </w:rPr>
        <w:drawing>
          <wp:inline distT="0" distB="0" distL="0" distR="0">
            <wp:extent cx="5727700" cy="3956050"/>
            <wp:effectExtent l="19050" t="0" r="635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5727700" cy="3956050"/>
                    </a:xfrm>
                    <a:prstGeom prst="rect">
                      <a:avLst/>
                    </a:prstGeom>
                    <a:noFill/>
                    <a:ln w="9525">
                      <a:noFill/>
                      <a:miter lim="800000"/>
                      <a:headEnd/>
                      <a:tailEnd/>
                    </a:ln>
                  </pic:spPr>
                </pic:pic>
              </a:graphicData>
            </a:graphic>
          </wp:inline>
        </w:drawing>
      </w:r>
    </w:p>
    <w:p w:rsidR="007F1BA3" w:rsidRDefault="00E01F0B" w:rsidP="00F05C28">
      <w:r w:rsidRPr="00E01F0B">
        <w:rPr>
          <w:noProof/>
          <w:lang w:val="en-GB" w:eastAsia="en-GB"/>
        </w:rPr>
      </w:r>
      <w:r w:rsidRPr="00E01F0B">
        <w:rPr>
          <w:noProof/>
          <w:lang w:val="en-GB" w:eastAsia="en-GB"/>
        </w:rPr>
        <w:pict>
          <v:group id="Skupina 298" o:spid="_x0000_s1028" style="width:441.15pt;height:350.85pt;mso-position-horizontal-relative:char;mso-position-vertical-relative:line" coordsize="56024,4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">
            <v:shapetype id="_x0000_t202" coordsize="21600,21600" o:spt="202" path="m,l,21600r21600,l21600,xe">
              <v:stroke joinstyle="miter"/>
              <v:path gradientshapeok="t" o:connecttype="rect"/>
            </v:shapetype>
            <v:shape id="Blok textu 2" o:spid="_x0000_s1029" type="#_x0000_t202" style="position:absolute;left:2456;top:750;width:7370;height:22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7XsMA&#10;AADbAAAADwAAAGRycy9kb3ducmV2LnhtbESPQWvCQBSE70L/w/IKvZlNU9QSXaWIAS8W1JLzM/ua&#10;Dc2+Ddk1Sf99t1DocZiZb5jNbrKtGKj3jWMFz0kKgrhyuuFawce1mL+C8AFZY+uYFHyTh932YbbB&#10;XLuRzzRcQi0ihH2OCkwIXS6lrwxZ9InriKP36XqLIcq+lrrHMcJtK7M0XUqLDccFgx3tDVVfl7tV&#10;cDTNKP37YYVYXPcZn8qXmymVenqc3tYgAk3hP/zXPmoF2Q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c7XsMAAADbAAAADwAAAAAAAAAAAAAAAACYAgAAZHJzL2Rv&#10;d25yZXYueG1sUEsFBgAAAAAEAAQA9QAAAIgDAAAAAA==&#10;" fillcolor="#c2d69b" strokecolor="#9bbb59" strokeweight="1pt">
              <v:fill color2="#9bbb59" focus="50%" type="gradient"/>
              <v:shadow on="t" color="#4e6128" offset="1pt"/>
              <v:textbox>
                <w:txbxContent>
                  <w:p w:rsidR="0041340F" w:rsidRPr="00350EDE" w:rsidRDefault="0041340F" w:rsidP="00F05C28">
                    <w:pPr>
                      <w:rPr>
                        <w:b/>
                        <w:sz w:val="20"/>
                        <w:szCs w:val="20"/>
                      </w:rPr>
                    </w:pPr>
                    <w:r w:rsidRPr="00350EDE">
                      <w:rPr>
                        <w:b/>
                        <w:sz w:val="20"/>
                        <w:szCs w:val="20"/>
                      </w:rPr>
                      <w:t>Začíname</w:t>
                    </w:r>
                  </w:p>
                </w:txbxContent>
              </v:textbox>
            </v:shape>
            <v:shape id="Blok textu 2" o:spid="_x0000_s1030" type="#_x0000_t202" style="position:absolute;left:16445;top:28182;width:10031;height:42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lKcMA&#10;AADbAAAADwAAAGRycy9kb3ducmV2LnhtbESPwWrDMBBE74H+g9hCb7FcB5ziRAklNOBLC42Dz1tr&#10;Y5laK2Mpsfv3VaGQ4zAzb5jtfra9uNHoO8cKnpMUBHHjdMetgnN1XL6A8AFZY++YFPyQh/3uYbHF&#10;QruJP+l2Cq2IEPYFKjAhDIWUvjFk0SduII7exY0WQ5RjK/WIU4TbXmZpmkuLHccFgwMdDDXfp6tV&#10;UJpukv7jbY14rA4Zv9erL1Mr9fQ4v25ABJrDPfzfLrWCLIe/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WlKcMAAADbAAAADwAAAAAAAAAAAAAAAACYAgAAZHJzL2Rv&#10;d25yZXYueG1sUEsFBgAAAAAEAAQA9QAAAIgDAAAAAA==&#10;" fillcolor="#c2d69b" strokecolor="#9bbb59" strokeweight="1pt">
              <v:fill color2="#9bbb59" focus="50%" type="gradient"/>
              <v:shadow on="t" color="#4e6128" offset="1pt"/>
              <v:textbox>
                <w:txbxContent>
                  <w:p w:rsidR="0041340F" w:rsidRPr="00350EDE" w:rsidRDefault="0041340F" w:rsidP="00F05C28">
                    <w:pPr>
                      <w:spacing w:after="0" w:line="240" w:lineRule="auto"/>
                      <w:jc w:val="center"/>
                      <w:rPr>
                        <w:b/>
                        <w:sz w:val="20"/>
                        <w:szCs w:val="20"/>
                      </w:rPr>
                    </w:pPr>
                    <w:r>
                      <w:rPr>
                        <w:b/>
                        <w:sz w:val="20"/>
                        <w:szCs w:val="20"/>
                      </w:rPr>
                      <w:t>Plán implementácie</w:t>
                    </w:r>
                  </w:p>
                </w:txbxContent>
              </v:textbox>
            </v:shape>
            <v:shape id="Blok textu 2" o:spid="_x0000_s1031" type="#_x0000_t202" style="position:absolute;left:31662;top:20471;width:11601;height:2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kAssMA&#10;AADbAAAADwAAAGRycy9kb3ducmV2LnhtbESPwWrDMBBE74X+g9hCb7VcB5LiRAklNOBLA7GDz1tr&#10;Y5laK2Mpsfv3VaGQ4zAzb5jNbra9uNHoO8cKXpMUBHHjdMetgnN1eHkD4QOyxt4xKfghD7vt48MG&#10;c+0mPtGtDK2IEPY5KjAhDLmUvjFk0SduII7exY0WQ5RjK/WIU4TbXmZpupQWO44LBgfaG2q+y6tV&#10;UJhukv74sUI8VPuMP+vFl6mVen6a39cgAs3hHv5vF1pBtoK/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kAssMAAADbAAAADwAAAAAAAAAAAAAAAACYAgAAZHJzL2Rv&#10;d25yZXYueG1sUEsFBgAAAAAEAAQA9QAAAIgDAAAAAA==&#10;" fillcolor="#c2d69b" strokecolor="#9bbb59" strokeweight="1pt">
              <v:fill color2="#9bbb59" focus="50%" type="gradient"/>
              <v:shadow on="t" color="#4e6128" offset="1pt"/>
              <v:textbox>
                <w:txbxContent>
                  <w:p w:rsidR="0041340F" w:rsidRPr="00350EDE" w:rsidRDefault="0041340F" w:rsidP="00F05C28">
                    <w:pPr>
                      <w:spacing w:after="0" w:line="240" w:lineRule="auto"/>
                      <w:rPr>
                        <w:b/>
                        <w:sz w:val="20"/>
                        <w:szCs w:val="20"/>
                      </w:rPr>
                    </w:pPr>
                    <w:r>
                      <w:rPr>
                        <w:b/>
                        <w:sz w:val="20"/>
                        <w:szCs w:val="20"/>
                      </w:rPr>
                      <w:t>Stanoviť priority</w:t>
                    </w:r>
                  </w:p>
                </w:txbxContent>
              </v:textbox>
            </v:shape>
            <v:shape id="Blok textu 2" o:spid="_x0000_s1032" type="#_x0000_t202" style="position:absolute;left:21154;top:8120;width:12623;height:7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xW8MA&#10;AADbAAAADwAAAGRycy9kb3ducmV2LnhtbESPQWvCQBSE70L/w/IKvZlNU1AbXaWIAS8W1JLzM/ua&#10;Dc2+Ddk1Sf99t1DocZiZb5jNbrKtGKj3jWMFz0kKgrhyuuFawce1mK9A+ICssXVMCr7Jw277MNtg&#10;rt3IZxouoRYRwj5HBSaELpfSV4Ys+sR1xNH7dL3FEGVfS93jGOG2lVmaLqTFhuOCwY72hqqvy90q&#10;OJpmlP79sEQsrvuMT+XLzZRKPT1Ob2sQgabwH/5rH7WC7BV+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oxW8MAAADbAAAADwAAAAAAAAAAAAAAAACYAgAAZHJzL2Rv&#10;d25yZXYueG1sUEsFBgAAAAAEAAQA9QAAAIgDAAAAAA==&#10;" fillcolor="#c2d69b" strokecolor="#9bbb59" strokeweight="1pt">
              <v:fill color2="#9bbb59" focus="50%" type="gradient"/>
              <v:shadow on="t" color="#4e6128" offset="1pt"/>
              <v:textbox>
                <w:txbxContent>
                  <w:p w:rsidR="0041340F" w:rsidRPr="001B21A2" w:rsidRDefault="0041340F" w:rsidP="00F05C28">
                    <w:pPr>
                      <w:spacing w:after="0" w:line="240" w:lineRule="auto"/>
                      <w:jc w:val="center"/>
                      <w:rPr>
                        <w:b/>
                        <w:sz w:val="20"/>
                        <w:szCs w:val="20"/>
                      </w:rPr>
                    </w:pPr>
                    <w:r>
                      <w:rPr>
                        <w:rStyle w:val="hps"/>
                        <w:sz w:val="20"/>
                        <w:szCs w:val="20"/>
                      </w:rPr>
                      <w:t>P</w:t>
                    </w:r>
                    <w:r w:rsidRPr="001B21A2">
                      <w:rPr>
                        <w:rStyle w:val="hps"/>
                        <w:sz w:val="20"/>
                        <w:szCs w:val="20"/>
                      </w:rPr>
                      <w:t>osúdenie</w:t>
                    </w:r>
                    <w:r w:rsidRPr="001B21A2">
                      <w:rPr>
                        <w:b/>
                        <w:sz w:val="20"/>
                        <w:szCs w:val="20"/>
                      </w:rPr>
                      <w:t xml:space="preserve"> </w:t>
                    </w:r>
                    <w:r w:rsidRPr="001B21A2">
                      <w:rPr>
                        <w:rStyle w:val="hps"/>
                        <w:sz w:val="20"/>
                        <w:szCs w:val="20"/>
                      </w:rPr>
                      <w:t>situácie</w:t>
                    </w:r>
                    <w:r w:rsidRPr="001B21A2">
                      <w:rPr>
                        <w:b/>
                        <w:sz w:val="20"/>
                        <w:szCs w:val="20"/>
                      </w:rPr>
                      <w:t xml:space="preserve"> </w:t>
                    </w:r>
                    <w:r>
                      <w:rPr>
                        <w:rStyle w:val="hps"/>
                        <w:sz w:val="20"/>
                        <w:szCs w:val="20"/>
                      </w:rPr>
                      <w:t>I</w:t>
                    </w:r>
                    <w:r w:rsidRPr="001B21A2">
                      <w:rPr>
                        <w:rStyle w:val="hps"/>
                        <w:sz w:val="20"/>
                        <w:szCs w:val="20"/>
                      </w:rPr>
                      <w:t>dentifikovať</w:t>
                    </w:r>
                    <w:r w:rsidRPr="001B21A2">
                      <w:rPr>
                        <w:b/>
                        <w:sz w:val="20"/>
                        <w:szCs w:val="20"/>
                      </w:rPr>
                      <w:t xml:space="preserve"> </w:t>
                    </w:r>
                    <w:r w:rsidRPr="001B21A2">
                      <w:rPr>
                        <w:rStyle w:val="hps"/>
                        <w:sz w:val="20"/>
                        <w:szCs w:val="20"/>
                      </w:rPr>
                      <w:t>súčasné</w:t>
                    </w:r>
                    <w:r w:rsidRPr="001B21A2">
                      <w:rPr>
                        <w:b/>
                        <w:sz w:val="20"/>
                        <w:szCs w:val="20"/>
                      </w:rPr>
                      <w:t xml:space="preserve"> </w:t>
                    </w:r>
                    <w:r w:rsidRPr="001B21A2">
                      <w:rPr>
                        <w:rStyle w:val="hps"/>
                        <w:sz w:val="20"/>
                        <w:szCs w:val="20"/>
                      </w:rPr>
                      <w:t>a</w:t>
                    </w:r>
                    <w:r w:rsidRPr="001B21A2">
                      <w:rPr>
                        <w:b/>
                        <w:sz w:val="20"/>
                        <w:szCs w:val="20"/>
                      </w:rPr>
                      <w:t xml:space="preserve"> </w:t>
                    </w:r>
                    <w:r w:rsidRPr="001B21A2">
                      <w:rPr>
                        <w:rStyle w:val="hps"/>
                        <w:sz w:val="20"/>
                        <w:szCs w:val="20"/>
                      </w:rPr>
                      <w:t>budúce problémy</w:t>
                    </w:r>
                  </w:p>
                </w:txbxContent>
              </v:textbox>
            </v:shape>
            <v:shape id="Blok textu 2" o:spid="_x0000_s1033" type="#_x0000_t202" style="position:absolute;left:12214;top:20130;width:11119;height:2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OG8AA&#10;AADbAAAADwAAAGRycy9kb3ducmV2LnhtbERPz2vCMBS+D/wfwhO8zXQWttEZyxALvWywOjy/Nc+m&#10;2LyUJrb1v18OgseP7/c2n20nRhp861jByzoBQVw73XKj4PdYPL+D8AFZY+eYFNzIQ75bPG0x027i&#10;Hxqr0IgYwj5DBSaEPpPS14Ys+rXriSN3doPFEOHQSD3gFMNtJzdJ8iotthwbDPa0N1RfqqtVUJp2&#10;kv778IZYHPcb/jqlf+ak1Go5f36ACDSHh/juLrWCNK6PX+IP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kOG8AAAADbAAAADwAAAAAAAAAAAAAAAACYAgAAZHJzL2Rvd25y&#10;ZXYueG1sUEsFBgAAAAAEAAQA9QAAAIUDAAAAAA==&#10;" fillcolor="#c2d69b" strokecolor="#9bbb59" strokeweight="1pt">
              <v:fill color2="#9bbb59" focus="50%" type="gradient"/>
              <v:shadow on="t" color="#4e6128" offset="1pt"/>
              <v:textbox>
                <w:txbxContent>
                  <w:p w:rsidR="0041340F" w:rsidRPr="00350EDE" w:rsidRDefault="0041340F" w:rsidP="00F05C28">
                    <w:pPr>
                      <w:spacing w:after="0" w:line="240" w:lineRule="auto"/>
                      <w:rPr>
                        <w:b/>
                        <w:sz w:val="20"/>
                        <w:szCs w:val="20"/>
                      </w:rPr>
                    </w:pPr>
                    <w:r>
                      <w:rPr>
                        <w:b/>
                        <w:sz w:val="20"/>
                        <w:szCs w:val="20"/>
                      </w:rPr>
                      <w:t>Sledovať pokrok</w:t>
                    </w:r>
                  </w:p>
                </w:txbxContent>
              </v:textbox>
            </v:shape>
            <v:shape id="Blok textu 2" o:spid="_x0000_s1034" type="#_x0000_t202" style="position:absolute;left:21154;width:26681;height:5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dD8QA&#10;AADbAAAADwAAAGRycy9kb3ducmV2LnhtbESPT4vCMBTE7wt+h/AEL4umdUGkGmURRN2D4J+D3h7N&#10;26bYvJQmav32RhA8DjPzG2Y6b20lbtT40rGCdJCAIM6dLrlQcDws+2MQPiBrrByTggd5mM86X1PM&#10;tLvzjm77UIgIYZ+hAhNCnUnpc0MW/cDVxNH7d43FEGVTSN3gPcJtJYdJMpIWS44LBmtaGMov+6tV&#10;4Jan1eG4+34Y3i7adLu+/G3OiVK9bvs7ARGoDZ/wu73WCn5SeH2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3Q/EAAAA2wAAAA8AAAAAAAAAAAAAAAAAmAIAAGRycy9k&#10;b3ducmV2LnhtbFBLBQYAAAAABAAEAPUAAACJAwAAAAA=&#10;" fillcolor="#bcbcbc" strokecolor="#9bbb59" strokeweight="1pt">
              <v:fill color2="#bcbcbc" rotate="t" colors="0 #bcbcbc;11469f #d0d0d0;.5 #ededed;54067f #d0d0d0;1 #bcbcbc" focus="100%" type="gradient"/>
              <v:shadow on="t" color="#4e6128" offset="1pt"/>
              <v:textbox>
                <w:txbxContent>
                  <w:p w:rsidR="0041340F" w:rsidRPr="003453BE" w:rsidRDefault="0041340F" w:rsidP="008468C9">
                    <w:pPr>
                      <w:pStyle w:val="Odsekzoznamu"/>
                      <w:numPr>
                        <w:ilvl w:val="0"/>
                        <w:numId w:val="25"/>
                      </w:numPr>
                      <w:spacing w:after="0" w:line="240" w:lineRule="auto"/>
                      <w:ind w:left="142" w:hanging="142"/>
                      <w:contextualSpacing/>
                      <w:rPr>
                        <w:rStyle w:val="hps"/>
                        <w:sz w:val="20"/>
                        <w:szCs w:val="20"/>
                      </w:rPr>
                    </w:pPr>
                    <w:r w:rsidRPr="003453BE">
                      <w:rPr>
                        <w:rStyle w:val="hps"/>
                        <w:sz w:val="20"/>
                        <w:szCs w:val="20"/>
                      </w:rPr>
                      <w:t>Historický</w:t>
                    </w:r>
                    <w:r w:rsidRPr="003453BE">
                      <w:rPr>
                        <w:rStyle w:val="shorttext"/>
                        <w:sz w:val="20"/>
                        <w:szCs w:val="20"/>
                      </w:rPr>
                      <w:t xml:space="preserve"> </w:t>
                    </w:r>
                    <w:r w:rsidRPr="003453BE">
                      <w:rPr>
                        <w:rStyle w:val="hps"/>
                        <w:sz w:val="20"/>
                        <w:szCs w:val="20"/>
                      </w:rPr>
                      <w:t>a</w:t>
                    </w:r>
                    <w:r w:rsidRPr="003453BE">
                      <w:rPr>
                        <w:rStyle w:val="shorttext"/>
                        <w:sz w:val="20"/>
                        <w:szCs w:val="20"/>
                      </w:rPr>
                      <w:t xml:space="preserve"> </w:t>
                    </w:r>
                    <w:r w:rsidRPr="003453BE">
                      <w:rPr>
                        <w:rStyle w:val="hps"/>
                        <w:sz w:val="20"/>
                        <w:szCs w:val="20"/>
                      </w:rPr>
                      <w:t>očakávaný</w:t>
                    </w:r>
                    <w:r w:rsidRPr="003453BE">
                      <w:rPr>
                        <w:rStyle w:val="shorttext"/>
                        <w:sz w:val="20"/>
                        <w:szCs w:val="20"/>
                      </w:rPr>
                      <w:t xml:space="preserve"> </w:t>
                    </w:r>
                    <w:r w:rsidRPr="003453BE">
                      <w:rPr>
                        <w:rStyle w:val="hps"/>
                        <w:sz w:val="20"/>
                        <w:szCs w:val="20"/>
                      </w:rPr>
                      <w:t>vývoj</w:t>
                    </w:r>
                  </w:p>
                  <w:p w:rsidR="0041340F" w:rsidRPr="003453BE" w:rsidRDefault="0041340F" w:rsidP="008468C9">
                    <w:pPr>
                      <w:pStyle w:val="Odsekzoznamu"/>
                      <w:numPr>
                        <w:ilvl w:val="0"/>
                        <w:numId w:val="25"/>
                      </w:numPr>
                      <w:spacing w:after="0" w:line="240" w:lineRule="auto"/>
                      <w:ind w:left="142" w:hanging="142"/>
                      <w:contextualSpacing/>
                      <w:rPr>
                        <w:rStyle w:val="hps"/>
                        <w:sz w:val="20"/>
                        <w:szCs w:val="20"/>
                      </w:rPr>
                    </w:pPr>
                    <w:r w:rsidRPr="003453BE">
                      <w:rPr>
                        <w:rStyle w:val="hps"/>
                        <w:sz w:val="20"/>
                        <w:szCs w:val="20"/>
                      </w:rPr>
                      <w:t>Existujúce iniciatívy</w:t>
                    </w:r>
                  </w:p>
                  <w:p w:rsidR="0041340F" w:rsidRPr="003453BE" w:rsidRDefault="0041340F" w:rsidP="008468C9">
                    <w:pPr>
                      <w:pStyle w:val="Odsekzoznamu"/>
                      <w:numPr>
                        <w:ilvl w:val="0"/>
                        <w:numId w:val="25"/>
                      </w:numPr>
                      <w:spacing w:after="0" w:line="240" w:lineRule="auto"/>
                      <w:ind w:left="142" w:hanging="142"/>
                      <w:contextualSpacing/>
                      <w:rPr>
                        <w:sz w:val="20"/>
                        <w:szCs w:val="20"/>
                      </w:rPr>
                    </w:pPr>
                    <w:r>
                      <w:rPr>
                        <w:rStyle w:val="hps"/>
                        <w:sz w:val="20"/>
                        <w:szCs w:val="20"/>
                      </w:rPr>
                      <w:t>P</w:t>
                    </w:r>
                    <w:r w:rsidRPr="003453BE">
                      <w:rPr>
                        <w:rStyle w:val="hps"/>
                        <w:sz w:val="20"/>
                        <w:szCs w:val="20"/>
                      </w:rPr>
                      <w:t>lánovanie</w:t>
                    </w:r>
                    <w:r w:rsidRPr="003453BE">
                      <w:rPr>
                        <w:rStyle w:val="shorttext"/>
                        <w:sz w:val="20"/>
                        <w:szCs w:val="20"/>
                      </w:rPr>
                      <w:t xml:space="preserve"> </w:t>
                    </w:r>
                    <w:r w:rsidRPr="003453BE">
                      <w:rPr>
                        <w:rStyle w:val="hps"/>
                        <w:sz w:val="20"/>
                        <w:szCs w:val="20"/>
                      </w:rPr>
                      <w:t>zapojenia zainteresovaných</w:t>
                    </w:r>
                    <w:r w:rsidRPr="003453BE">
                      <w:rPr>
                        <w:rStyle w:val="shorttext"/>
                        <w:sz w:val="20"/>
                        <w:szCs w:val="20"/>
                      </w:rPr>
                      <w:t xml:space="preserve"> </w:t>
                    </w:r>
                    <w:r w:rsidRPr="003453BE">
                      <w:rPr>
                        <w:rStyle w:val="hps"/>
                        <w:sz w:val="20"/>
                        <w:szCs w:val="20"/>
                      </w:rPr>
                      <w:t>strán</w:t>
                    </w:r>
                  </w:p>
                </w:txbxContent>
              </v:textbox>
            </v:shape>
            <v:shape id="Blok textu 2" o:spid="_x0000_s1035" type="#_x0000_t202" style="position:absolute;left:45174;top:15217;width:10850;height:13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JDeMUA&#10;AADbAAAADwAAAGRycy9kb3ducmV2LnhtbESPT4vCMBTE78J+h/AEL6KpCstSm4oIsupB8M9hvT2a&#10;Z1NsXkoTtX57s7Cwx2FmfsNki87W4kGtrxwrmIwTEMSF0xWXCs6n9egLhA/IGmvHpOBFHhb5Ry/D&#10;VLsnH+hxDKWIEPYpKjAhNKmUvjBk0Y9dQxy9q2sthijbUuoWnxFuazlNkk9pseK4YLChlaHidrxb&#10;BW798306H4Yvw/tVN9lvbrvtJVFq0O+WcxCBuvAf/mtvtILZFH6/xB8g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kN4xQAAANsAAAAPAAAAAAAAAAAAAAAAAJgCAABkcnMv&#10;ZG93bnJldi54bWxQSwUGAAAAAAQABAD1AAAAigMAAAAA&#10;" fillcolor="#bcbcbc" strokecolor="#9bbb59" strokeweight="1pt">
              <v:fill color2="#bcbcbc" rotate="t" colors="0 #bcbcbc;11469f #d0d0d0;.5 #ededed;54067f #d0d0d0;1 #bcbcbc" focus="100%" type="gradient"/>
              <v:shadow on="t" color="#4e6128" offset="1pt"/>
              <v:textbox>
                <w:txbxContent>
                  <w:p w:rsidR="0041340F" w:rsidRPr="006B1640" w:rsidRDefault="0041340F" w:rsidP="008468C9">
                    <w:pPr>
                      <w:pStyle w:val="Odsekzoznamu"/>
                      <w:numPr>
                        <w:ilvl w:val="0"/>
                        <w:numId w:val="26"/>
                      </w:numPr>
                      <w:spacing w:after="0" w:line="240" w:lineRule="auto"/>
                      <w:ind w:left="142" w:hanging="142"/>
                      <w:contextualSpacing/>
                      <w:rPr>
                        <w:sz w:val="20"/>
                        <w:szCs w:val="20"/>
                      </w:rPr>
                    </w:pPr>
                    <w:r w:rsidRPr="006B1640">
                      <w:rPr>
                        <w:sz w:val="20"/>
                        <w:szCs w:val="20"/>
                      </w:rPr>
                      <w:t>Vízie</w:t>
                    </w:r>
                  </w:p>
                  <w:p w:rsidR="0041340F" w:rsidRPr="006B1640" w:rsidRDefault="0041340F" w:rsidP="008468C9">
                    <w:pPr>
                      <w:pStyle w:val="Odsekzoznamu"/>
                      <w:numPr>
                        <w:ilvl w:val="0"/>
                        <w:numId w:val="26"/>
                      </w:numPr>
                      <w:spacing w:after="0" w:line="240" w:lineRule="auto"/>
                      <w:ind w:left="142" w:hanging="142"/>
                      <w:contextualSpacing/>
                      <w:rPr>
                        <w:sz w:val="20"/>
                        <w:szCs w:val="20"/>
                      </w:rPr>
                    </w:pPr>
                    <w:r w:rsidRPr="006B1640">
                      <w:rPr>
                        <w:sz w:val="20"/>
                        <w:szCs w:val="20"/>
                      </w:rPr>
                      <w:t>Účel, obmedzenia</w:t>
                    </w:r>
                  </w:p>
                  <w:p w:rsidR="0041340F" w:rsidRPr="006B1640" w:rsidRDefault="0041340F" w:rsidP="008468C9">
                    <w:pPr>
                      <w:pStyle w:val="Odsekzoznamu"/>
                      <w:numPr>
                        <w:ilvl w:val="0"/>
                        <w:numId w:val="26"/>
                      </w:numPr>
                      <w:spacing w:after="0" w:line="240" w:lineRule="auto"/>
                      <w:ind w:left="142" w:hanging="142"/>
                      <w:contextualSpacing/>
                      <w:rPr>
                        <w:sz w:val="20"/>
                        <w:szCs w:val="20"/>
                      </w:rPr>
                    </w:pPr>
                    <w:r w:rsidRPr="006B1640">
                      <w:rPr>
                        <w:sz w:val="20"/>
                        <w:szCs w:val="20"/>
                      </w:rPr>
                      <w:t>Indikátory, ciele</w:t>
                    </w:r>
                  </w:p>
                  <w:p w:rsidR="0041340F" w:rsidRPr="006B1640" w:rsidRDefault="0041340F" w:rsidP="008468C9">
                    <w:pPr>
                      <w:pStyle w:val="Odsekzoznamu"/>
                      <w:numPr>
                        <w:ilvl w:val="0"/>
                        <w:numId w:val="26"/>
                      </w:numPr>
                      <w:spacing w:after="0" w:line="240" w:lineRule="auto"/>
                      <w:ind w:left="142" w:hanging="142"/>
                      <w:contextualSpacing/>
                      <w:rPr>
                        <w:sz w:val="20"/>
                        <w:szCs w:val="20"/>
                      </w:rPr>
                    </w:pPr>
                    <w:r w:rsidRPr="006B1640">
                      <w:rPr>
                        <w:sz w:val="20"/>
                        <w:szCs w:val="20"/>
                      </w:rPr>
                      <w:t>Rozsah a limity</w:t>
                    </w:r>
                  </w:p>
                  <w:p w:rsidR="0041340F" w:rsidRPr="006B1640" w:rsidRDefault="0041340F" w:rsidP="008468C9">
                    <w:pPr>
                      <w:pStyle w:val="Odsekzoznamu"/>
                      <w:numPr>
                        <w:ilvl w:val="0"/>
                        <w:numId w:val="26"/>
                      </w:numPr>
                      <w:spacing w:after="0" w:line="240" w:lineRule="auto"/>
                      <w:ind w:left="142" w:hanging="142"/>
                      <w:contextualSpacing/>
                      <w:rPr>
                        <w:sz w:val="20"/>
                        <w:szCs w:val="20"/>
                      </w:rPr>
                    </w:pPr>
                    <w:r w:rsidRPr="006B1640">
                      <w:rPr>
                        <w:sz w:val="20"/>
                        <w:szCs w:val="20"/>
                      </w:rPr>
                      <w:t>Prioritné oblasti</w:t>
                    </w:r>
                  </w:p>
                </w:txbxContent>
              </v:textbox>
            </v:shape>
            <v:shape id="Blok textu 2" o:spid="_x0000_s1036" type="#_x0000_t202" style="position:absolute;left:32345;top:36439;width:21495;height:8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7m48UA&#10;AADbAAAADwAAAGRycy9kb3ducmV2LnhtbESPT4vCMBTE7wv7HcITvCyaqrBIbSoiyKoHwT8HvT2a&#10;Z1NsXkoTtX57s7Cwx2FmfsNk887W4kGtrxwrGA0TEMSF0xWXCk7H1WAKwgdkjbVjUvAiD/P88yPD&#10;VLsn7+lxCKWIEPYpKjAhNKmUvjBk0Q9dQxy9q2sthijbUuoWnxFuazlOkm9pseK4YLChpaHidrhb&#10;BW51/jme9l8vw7tlN9qtb9vNJVGq3+sWMxCBuvAf/muvtYLJBH6/xB8g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ubjxQAAANsAAAAPAAAAAAAAAAAAAAAAAJgCAABkcnMv&#10;ZG93bnJldi54bWxQSwUGAAAAAAQABAD1AAAAigMAAAAA&#10;" fillcolor="#bcbcbc" strokecolor="#9bbb59" strokeweight="1pt">
              <v:fill color2="#bcbcbc" rotate="t" colors="0 #bcbcbc;11469f #d0d0d0;.5 #ededed;54067f #d0d0d0;1 #bcbcbc" focus="100%" type="gradient"/>
              <v:shadow on="t" color="#4e6128" offset="1pt"/>
              <v:textbox>
                <w:txbxContent>
                  <w:p w:rsidR="0041340F" w:rsidRDefault="0041340F" w:rsidP="008468C9">
                    <w:pPr>
                      <w:pStyle w:val="Odsekzoznamu"/>
                      <w:numPr>
                        <w:ilvl w:val="0"/>
                        <w:numId w:val="27"/>
                      </w:numPr>
                      <w:spacing w:after="0" w:line="240" w:lineRule="auto"/>
                      <w:ind w:left="142" w:hanging="142"/>
                      <w:contextualSpacing/>
                    </w:pPr>
                    <w:r>
                      <w:t>Zohľadniť budúci vývoj (scenáre)</w:t>
                    </w:r>
                  </w:p>
                  <w:p w:rsidR="0041340F" w:rsidRDefault="0041340F" w:rsidP="008468C9">
                    <w:pPr>
                      <w:pStyle w:val="Odsekzoznamu"/>
                      <w:numPr>
                        <w:ilvl w:val="0"/>
                        <w:numId w:val="27"/>
                      </w:numPr>
                      <w:spacing w:after="0" w:line="240" w:lineRule="auto"/>
                      <w:ind w:left="142" w:hanging="142"/>
                      <w:contextualSpacing/>
                      <w:rPr>
                        <w:rStyle w:val="hps"/>
                      </w:rPr>
                    </w:pPr>
                    <w:r>
                      <w:rPr>
                        <w:rStyle w:val="hps"/>
                      </w:rPr>
                      <w:t>Doplniť existujúce</w:t>
                    </w:r>
                    <w:r>
                      <w:t xml:space="preserve"> </w:t>
                    </w:r>
                    <w:r>
                      <w:rPr>
                        <w:rStyle w:val="hps"/>
                      </w:rPr>
                      <w:t>opatrenia</w:t>
                    </w:r>
                    <w:r>
                      <w:t xml:space="preserve"> </w:t>
                    </w:r>
                    <w:r>
                      <w:rPr>
                        <w:rStyle w:val="hps"/>
                      </w:rPr>
                      <w:t>na</w:t>
                    </w:r>
                    <w:r>
                      <w:t xml:space="preserve"> silné </w:t>
                    </w:r>
                    <w:r>
                      <w:rPr>
                        <w:rStyle w:val="hps"/>
                      </w:rPr>
                      <w:t>stratégie</w:t>
                    </w:r>
                  </w:p>
                  <w:p w:rsidR="0041340F" w:rsidRDefault="0041340F" w:rsidP="008468C9">
                    <w:pPr>
                      <w:pStyle w:val="Odsekzoznamu"/>
                      <w:numPr>
                        <w:ilvl w:val="0"/>
                        <w:numId w:val="27"/>
                      </w:numPr>
                      <w:spacing w:after="0" w:line="240" w:lineRule="auto"/>
                      <w:ind w:left="142" w:hanging="142"/>
                      <w:contextualSpacing/>
                    </w:pPr>
                    <w:r>
                      <w:t>Výber indikátorov</w:t>
                    </w:r>
                  </w:p>
                </w:txbxContent>
              </v:textbox>
            </v:shape>
            <v:shape id="Blok textu 2" o:spid="_x0000_s1037" type="#_x0000_t202" style="position:absolute;left:2456;top:36576;width:24020;height:6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l8QA&#10;AADbAAAADwAAAGRycy9kb3ducmV2LnhtbESPT4vCMBTE7wt+h/AEL4um6iJSjSKCqHsQ/HPQ26N5&#10;NsXmpTRR67c3Cwseh5n5DTOdN7YUD6p94VhBv5eAIM6cLjhXcDquumMQPiBrLB2Tghd5mM9aX1NM&#10;tXvynh6HkIsIYZ+iAhNClUrpM0MWfc9VxNG7utpiiLLOpa7xGeG2lIMkGUmLBccFgxUtDWW3w90q&#10;cKvz+njaf78M75ZNf7e5/W4viVKddrOYgAjUhE/4v73RCoY/8Pcl/gA5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fpfEAAAA2wAAAA8AAAAAAAAAAAAAAAAAmAIAAGRycy9k&#10;b3ducmV2LnhtbFBLBQYAAAAABAAEAPUAAACJAwAAAAA=&#10;" fillcolor="#bcbcbc" strokecolor="#9bbb59" strokeweight="1pt">
              <v:fill color2="#bcbcbc" rotate="t" colors="0 #bcbcbc;11469f #d0d0d0;.5 #ededed;54067f #d0d0d0;1 #bcbcbc" focus="100%" type="gradient"/>
              <v:shadow on="t" color="#4e6128" offset="1pt"/>
              <v:textbox>
                <w:txbxContent>
                  <w:p w:rsidR="0041340F" w:rsidRDefault="0041340F" w:rsidP="008468C9">
                    <w:pPr>
                      <w:pStyle w:val="Odsekzoznamu"/>
                      <w:numPr>
                        <w:ilvl w:val="0"/>
                        <w:numId w:val="28"/>
                      </w:numPr>
                      <w:spacing w:after="0" w:line="240" w:lineRule="auto"/>
                      <w:ind w:left="142" w:hanging="142"/>
                      <w:contextualSpacing/>
                      <w:rPr>
                        <w:sz w:val="20"/>
                        <w:szCs w:val="20"/>
                      </w:rPr>
                    </w:pPr>
                    <w:r w:rsidRPr="006B1640">
                      <w:rPr>
                        <w:sz w:val="20"/>
                        <w:szCs w:val="20"/>
                      </w:rPr>
                      <w:t xml:space="preserve">Vybrať opatrenia </w:t>
                    </w:r>
                    <w:r>
                      <w:rPr>
                        <w:sz w:val="20"/>
                        <w:szCs w:val="20"/>
                      </w:rPr>
                      <w:t>na</w:t>
                    </w:r>
                    <w:r w:rsidRPr="006B1640">
                      <w:rPr>
                        <w:sz w:val="20"/>
                        <w:szCs w:val="20"/>
                      </w:rPr>
                      <w:t> prv</w:t>
                    </w:r>
                    <w:r>
                      <w:rPr>
                        <w:sz w:val="20"/>
                        <w:szCs w:val="20"/>
                      </w:rPr>
                      <w:t>ú</w:t>
                    </w:r>
                    <w:r w:rsidRPr="006B1640">
                      <w:rPr>
                        <w:sz w:val="20"/>
                        <w:szCs w:val="20"/>
                      </w:rPr>
                      <w:t xml:space="preserve"> implementáci</w:t>
                    </w:r>
                    <w:r>
                      <w:rPr>
                        <w:sz w:val="20"/>
                        <w:szCs w:val="20"/>
                      </w:rPr>
                      <w:t>u</w:t>
                    </w:r>
                  </w:p>
                  <w:p w:rsidR="0041340F" w:rsidRPr="006B1640" w:rsidRDefault="0041340F" w:rsidP="008468C9">
                    <w:pPr>
                      <w:pStyle w:val="Odsekzoznamu"/>
                      <w:numPr>
                        <w:ilvl w:val="0"/>
                        <w:numId w:val="28"/>
                      </w:numPr>
                      <w:spacing w:after="0" w:line="240" w:lineRule="auto"/>
                      <w:ind w:left="142" w:hanging="142"/>
                      <w:contextualSpacing/>
                      <w:rPr>
                        <w:sz w:val="20"/>
                        <w:szCs w:val="20"/>
                      </w:rPr>
                    </w:pPr>
                    <w:r>
                      <w:rPr>
                        <w:rStyle w:val="hps"/>
                      </w:rPr>
                      <w:t>Pokračovanie</w:t>
                    </w:r>
                    <w:r>
                      <w:rPr>
                        <w:rStyle w:val="shorttext"/>
                      </w:rPr>
                      <w:t xml:space="preserve"> </w:t>
                    </w:r>
                    <w:r>
                      <w:rPr>
                        <w:rStyle w:val="hps"/>
                      </w:rPr>
                      <w:t>účasti</w:t>
                    </w:r>
                    <w:r>
                      <w:rPr>
                        <w:rStyle w:val="shorttext"/>
                      </w:rPr>
                      <w:t xml:space="preserve"> </w:t>
                    </w:r>
                    <w:r>
                      <w:rPr>
                        <w:rStyle w:val="hps"/>
                      </w:rPr>
                      <w:t>zainteresovaných</w:t>
                    </w:r>
                    <w:r>
                      <w:rPr>
                        <w:rStyle w:val="shorttext"/>
                      </w:rPr>
                      <w:t xml:space="preserve"> </w:t>
                    </w:r>
                    <w:r>
                      <w:rPr>
                        <w:rStyle w:val="hps"/>
                      </w:rPr>
                      <w:t>strán</w:t>
                    </w:r>
                  </w:p>
                </w:txbxContent>
              </v:textbox>
            </v:shape>
            <v:shape id="Blok textu 2" o:spid="_x0000_s1038" type="#_x0000_t202" style="position:absolute;top:20130;width:9075;height:2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bDMQA&#10;AADbAAAADwAAAGRycy9kb3ducmV2LnhtbESPT4vCMBTE7wt+h/AEL4umKitSjSKCqHsQ/HPQ26N5&#10;NsXmpTRR67c3Cwseh5n5DTOdN7YUD6p94VhBv5eAIM6cLjhXcDquumMQPiBrLB2Tghd5mM9aX1NM&#10;tXvynh6HkIsIYZ+iAhNClUrpM0MWfc9VxNG7utpiiLLOpa7xGeG2lIMkGUmLBccFgxUtDWW3w90q&#10;cKvz+njaf78M75ZNf7e5/W4viVKddrOYgAjUhE/4v73RCoY/8Pcl/gA5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b2wzEAAAA2wAAAA8AAAAAAAAAAAAAAAAAmAIAAGRycy9k&#10;b3ducmV2LnhtbFBLBQYAAAAABAAEAPUAAACJAwAAAAA=&#10;" fillcolor="#bcbcbc" strokecolor="#9bbb59" strokeweight="1pt">
              <v:fill color2="#bcbcbc" rotate="t" colors="0 #bcbcbc;11469f #d0d0d0;.5 #ededed;54067f #d0d0d0;1 #bcbcbc" focus="100%" type="gradient"/>
              <v:shadow on="t" color="#4e6128" offset="1pt"/>
              <v:textbox>
                <w:txbxContent>
                  <w:p w:rsidR="0041340F" w:rsidRPr="006B1640" w:rsidRDefault="0041340F" w:rsidP="00F05C28">
                    <w:pPr>
                      <w:spacing w:after="0" w:line="240" w:lineRule="auto"/>
                      <w:rPr>
                        <w:sz w:val="20"/>
                        <w:szCs w:val="20"/>
                      </w:rPr>
                    </w:pPr>
                    <w:r w:rsidRPr="006B1640">
                      <w:rPr>
                        <w:sz w:val="20"/>
                        <w:szCs w:val="20"/>
                      </w:rPr>
                      <w:t>Merať účinky</w:t>
                    </w:r>
                  </w:p>
                </w:txbxContent>
              </v:textbox>
            </v:shape>
            <v:shapetype id="_x0000_t32" coordsize="21600,21600" o:spt="32" o:oned="t" path="m,l21600,21600e" filled="f">
              <v:path arrowok="t" fillok="f" o:connecttype="none"/>
              <o:lock v:ext="edit" shapetype="t"/>
            </v:shapetype>
            <v:shape id="Rovná spojovacia šípka 314" o:spid="_x0000_s1039" type="#_x0000_t32" style="position:absolute;left:26476;top:30229;width:389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LvisEAAADbAAAADwAAAGRycy9kb3ducmV2LnhtbESPzYrCMBSF94LvEK7gTlMtOFKNIqIy&#10;uNMZEHfX5rYpNjelidp5+8mAMMvD+fk4y3Vna/Gk1leOFUzGCQji3OmKSwXfX/vRHIQPyBprx6Tg&#10;hzysV/3eEjPtXnyi5zmUIo6wz1CBCaHJpPS5IYt+7Bri6BWutRiibEupW3zFcVvLaZLMpMWKI8Fg&#10;Q1tD+f38sJF7bD6K6+5xSFMszMXcjrs5olLDQbdZgAjUhf/wu/2pFaQz+PsSf4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Iu+KwQAAANsAAAAPAAAAAAAAAAAAAAAA&#10;AKECAABkcnMvZG93bnJldi54bWxQSwUGAAAAAAQABAD5AAAAjwMAAAAA&#10;" strokecolor="#9bbb59" strokeweight="1pt">
              <v:stroke endarrow="open"/>
              <v:shadow color="#4e6128" offset="1pt"/>
            </v:shape>
            <v:shape id="Blok textu 2" o:spid="_x0000_s1040" type="#_x0000_t202" style="position:absolute;left:30366;top:28182;width:10779;height:57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b8IA&#10;AADbAAAADwAAAGRycy9kb3ducmV2LnhtbESPT4vCMBTE74LfITxhb5qugko1lUW24EXBP3h+Ns+m&#10;2LyUJmu7394sLHgcZuY3zHrT21o8qfWVYwWfkwQEceF0xaWCyzkfL0H4gKyxdkwKfsnDJhsO1phq&#10;1/GRnqdQighhn6ICE0KTSukLQxb9xDXE0bu71mKIsi2lbrGLcFvLaZLMpcWK44LBhraGisfpxyrY&#10;maqT/vC9QMzP2ynvr7ObuSr1Meq/ViAC9eEd/m/vtILZAv6+xB8g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ZvwgAAANsAAAAPAAAAAAAAAAAAAAAAAJgCAABkcnMvZG93&#10;bnJldi54bWxQSwUGAAAAAAQABAD1AAAAhwMAAAAA&#10;" fillcolor="#c2d69b" strokecolor="#9bbb59" strokeweight="1pt">
              <v:fill color2="#9bbb59" focus="50%" type="gradient"/>
              <v:shadow on="t" color="#4e6128" offset="1pt"/>
              <v:textbox>
                <w:txbxContent>
                  <w:p w:rsidR="0041340F" w:rsidRDefault="0041340F" w:rsidP="00F05C28">
                    <w:pPr>
                      <w:spacing w:after="0" w:line="240" w:lineRule="auto"/>
                      <w:jc w:val="center"/>
                      <w:rPr>
                        <w:b/>
                        <w:sz w:val="20"/>
                        <w:szCs w:val="20"/>
                      </w:rPr>
                    </w:pPr>
                    <w:r>
                      <w:rPr>
                        <w:b/>
                        <w:sz w:val="20"/>
                        <w:szCs w:val="20"/>
                      </w:rPr>
                      <w:t>Vybrať stratégie</w:t>
                    </w:r>
                  </w:p>
                  <w:p w:rsidR="0041340F" w:rsidRPr="00350EDE" w:rsidRDefault="0041340F" w:rsidP="00F05C28">
                    <w:pPr>
                      <w:spacing w:after="0" w:line="240" w:lineRule="auto"/>
                      <w:jc w:val="center"/>
                      <w:rPr>
                        <w:b/>
                        <w:sz w:val="20"/>
                        <w:szCs w:val="20"/>
                      </w:rPr>
                    </w:pPr>
                    <w:r>
                      <w:rPr>
                        <w:b/>
                        <w:sz w:val="20"/>
                        <w:szCs w:val="20"/>
                      </w:rPr>
                      <w:t>Definovať program</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Zaoblená spojnica 316" o:spid="_x0000_s1041" type="#_x0000_t38" style="position:absolute;left:33266;top:23985;width:5612;height:3067;rotation:90;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50wcAAAADbAAAADwAAAGRycy9kb3ducmV2LnhtbERPTWvCQBC9C/6HZYRepG5sUSRmlVJo&#10;sadiVHodspNsMDsbsltN/33nUOjx8b6L/eg7daMhtoENLBcZKOIq2JYbA+fT2+MGVEzIFrvAZOCH&#10;Iux300mBuQ13PtKtTI2SEI45GnAp9bnWsXLkMS5CTyxcHQaPSeDQaDvgXcJ9p5+ybK09tiwNDnt6&#10;dVRdy29v4Lk+8PzL6dXmfZ19XDRd3Ge7NOZhNr5sQSUa07/4z32w4pOx8kV+gN7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8+dMHAAAAA2wAAAA8AAAAAAAAAAAAAAAAA&#10;oQIAAGRycy9kb3ducmV2LnhtbFBLBQYAAAAABAAEAPkAAACOAwAAAAA=&#10;" adj="10800" strokecolor="#9bbb59" strokeweight="1pt">
              <v:stroke endarrow="open"/>
              <v:shadow color="#4e6128" offset="1pt"/>
            </v:shape>
            <v:shape id="Zaoblená spojnica 317" o:spid="_x0000_s1042" type="#_x0000_t38" style="position:absolute;left:16855;top:24019;width:5600;height:2999;rotation:90;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vGDsYAAADbAAAADwAAAGRycy9kb3ducmV2LnhtbESPT2vCQBTE70K/w/IKvdVNa/2T1I2I&#10;YPFS0Cj2+pp9TUKyb2N2q/Hbd4WCx2FmfsPMF71pxJk6V1lW8DKMQBDnVldcKDjs188zEM4ja2ws&#10;k4IrOVikD4M5JtpeeEfnzBciQNglqKD0vk2kdHlJBt3QtsTB+7GdQR9kV0jd4SXATSNfo2giDVYc&#10;FkpsaVVSXme/RsGbHW9Hp9VxnH3Vn9uP6Tr+jqVX6umxX76D8NT7e/i/vdEKRjHcvoQfIN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bxg7GAAAA2wAAAA8AAAAAAAAA&#10;AAAAAAAAoQIAAGRycy9kb3ducmV2LnhtbFBLBQYAAAAABAAEAPkAAACUAwAAAAA=&#10;" adj="10800" strokecolor="#9bbb59" strokeweight="1pt">
              <v:stroke endarrow="open"/>
              <v:shadow color="#4e6128" offset="1pt"/>
            </v:shape>
            <v:shape id="Zaoblená spojnica 318" o:spid="_x0000_s1043" type="#_x0000_t38" style="position:absolute;left:33778;top:11464;width:4436;height:9011;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tQSL8AAADbAAAADwAAAGRycy9kb3ducmV2LnhtbERPy2oCMRTdC/2HcAvuNKNVKVOjtEJB&#10;XAg+PuCS3Hno5GZIoo5+vVkILg/nPV92thFX8qF2rGA0zEAQa2dqLhUcD/+DbxAhIhtsHJOCOwVY&#10;Lj56c8yNu/GOrvtYihTCIUcFVYxtLmXQFVkMQ9cSJ65w3mJM0JfSeLylcNvIcZbNpMWaU0OFLa0q&#10;0uf9xSrwf5kuJhs9vp++jtti9HDRTp1S/c/u9wdEpC6+xS/32iiYpPXpS/oBcvE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StQSL8AAADbAAAADwAAAAAAAAAAAAAAAACh&#10;AgAAZHJzL2Rvd25yZXYueG1sUEsFBgAAAAAEAAQA+QAAAI0DAAAAAA==&#10;" adj="21092" strokecolor="#9bbb59" strokeweight="1pt">
              <v:stroke endarrow="open"/>
              <v:shadow color="#4e6128" offset="1pt"/>
            </v:shape>
            <v:shape id="Zaoblená spojnica 319" o:spid="_x0000_s1044" type="#_x0000_t38" style="position:absolute;left:6209;top:3002;width:14941;height:8462;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lVo8IAAADbAAAADwAAAGRycy9kb3ducmV2LnhtbESPQWsCMRSE7wX/Q3hCbzW7ZWllNYoo&#10;gtduK3h8JM/N6uZl3aS6/vtGEHocZuYbZr4cXCuu1IfGs4J8koEg1t40XCv4+d6+TUGEiGyw9UwK&#10;7hRguRi9zLE0/sZfdK1iLRKEQ4kKbIxdKWXQlhyGie+Ik3f0vcOYZF9L0+MtwV0r37PsQzpsOC1Y&#10;7GhtSZ+rX6dgc3aVvhR22LsT3Q/Fel996lyp1/GwmoGINMT/8LO9MwqKHB5f0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lVo8IAAADbAAAADwAAAAAAAAAAAAAA&#10;AAChAgAAZHJzL2Rvd25yZXYueG1sUEsFBgAAAAAEAAQA+QAAAJADAAAAAA==&#10;" adj="-56" strokecolor="#9bbb59" strokeweight="1pt">
              <v:stroke endarrow="open"/>
              <v:shadow color="#4e6128" offset="1pt"/>
            </v:shape>
            <v:shape id="Zaoblená spojnica 320" o:spid="_x0000_s1045" type="#_x0000_t38" style="position:absolute;left:13204;top:12589;width:8666;height:6337;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SBccAAADbAAAADwAAAGRycy9kb3ducmV2LnhtbESPW2vCQBSE34X+h+UU+mY2FfGSukq9&#10;FBQFqbZI3w7Z0yQ0ezbNrjH9964g9HGYmW+Yyaw1pWiodoVlBc9RDII4tbrgTMHH8a07AuE8ssbS&#10;Min4Iwez6UNngom2F36n5uAzESDsElSQe18lUro0J4MushVx8L5tbdAHWWdS13gJcFPKXhwPpMGC&#10;w0KOFS1ySn8OZ6PAfy3m883K7JvP3+X4tBrutqe9U+rpsX19AeGp9f/he3utFfR7cPsSfoC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BIFxwAAANsAAAAPAAAAAAAA&#10;AAAAAAAAAKECAABkcnMvZG93bnJldi54bWxQSwUGAAAAAAQABAD5AAAAlQMAAAAA&#10;" adj="21511" strokecolor="#9bbb59" strokeweight="1pt">
              <v:shadow color="#4e6128" offset="1pt"/>
            </v:shape>
            <w10:wrap type="none"/>
            <w10:anchorlock/>
          </v:group>
        </w:pict>
      </w:r>
    </w:p>
    <w:p w:rsidR="007F1BA3" w:rsidRDefault="007F1BA3" w:rsidP="00665B3D">
      <w:pPr>
        <w:jc w:val="both"/>
      </w:pPr>
    </w:p>
    <w:p w:rsidR="007F1BA3" w:rsidRDefault="007F1BA3" w:rsidP="00665B3D">
      <w:pPr>
        <w:jc w:val="both"/>
      </w:pPr>
      <w:r w:rsidRPr="00C02354">
        <w:rPr>
          <w:b/>
        </w:rPr>
        <w:t>Obrázok 22: PPVO ako kontinuálny proces</w:t>
      </w:r>
      <w:r w:rsidRPr="00C02354">
        <w:rPr>
          <w:rStyle w:val="Odkaznapoznmkupodiarou"/>
          <w:b/>
        </w:rPr>
        <w:footnoteReference w:id="7"/>
      </w:r>
    </w:p>
    <w:p w:rsidR="007F1BA3" w:rsidRDefault="007F1BA3" w:rsidP="00665B3D">
      <w:pPr>
        <w:jc w:val="both"/>
      </w:pPr>
    </w:p>
    <w:p w:rsidR="007F1BA3" w:rsidRPr="0092731C" w:rsidRDefault="007F1BA3" w:rsidP="00665B3D">
      <w:pPr>
        <w:jc w:val="both"/>
      </w:pPr>
      <w:r>
        <w:t xml:space="preserve"> </w:t>
      </w:r>
    </w:p>
    <w:p w:rsidR="007F1BA3" w:rsidRDefault="007F1BA3" w:rsidP="008C1AE6">
      <w:pPr>
        <w:pStyle w:val="Nadpis3"/>
      </w:pPr>
      <w:bookmarkStart w:id="41" w:name="_Toc356292969"/>
      <w:r w:rsidRPr="00797EC3">
        <w:t>4.1.1</w:t>
      </w:r>
      <w:r w:rsidRPr="00797EC3">
        <w:tab/>
        <w:t>Definovanie hlavného cieľa</w:t>
      </w:r>
      <w:bookmarkEnd w:id="41"/>
      <w:r w:rsidRPr="00797EC3">
        <w:t xml:space="preserve"> </w:t>
      </w:r>
    </w:p>
    <w:p w:rsidR="007F1BA3" w:rsidRPr="00CD4B60" w:rsidRDefault="007F1BA3" w:rsidP="005A56F7">
      <w:pPr>
        <w:spacing w:before="240" w:line="271" w:lineRule="auto"/>
        <w:jc w:val="both"/>
      </w:pPr>
      <w:r w:rsidRPr="00CD4B60">
        <w:t xml:space="preserve">Podľa </w:t>
      </w:r>
      <w:r>
        <w:t xml:space="preserve">§ 6a ods. 2 zákona o odpadoch sa </w:t>
      </w:r>
      <w:r w:rsidRPr="00CD4B60">
        <w:t xml:space="preserve">PPVO vypracúva </w:t>
      </w:r>
      <w:r w:rsidRPr="00CD4B60">
        <w:rPr>
          <w:b/>
        </w:rPr>
        <w:t>na obdobie spravidla piatich rokov</w:t>
      </w:r>
      <w:r w:rsidRPr="00CD4B60">
        <w:t xml:space="preserve">, ak sa ciele predchádzania vzniku odpadu ustanovené v platnom </w:t>
      </w:r>
      <w:r>
        <w:t>PPVO</w:t>
      </w:r>
      <w:r w:rsidRPr="00CD4B60">
        <w:t xml:space="preserve"> </w:t>
      </w:r>
      <w:r>
        <w:t>v</w:t>
      </w:r>
      <w:r w:rsidRPr="00CD4B60">
        <w:t xml:space="preserve"> ďalš</w:t>
      </w:r>
      <w:r>
        <w:t>om</w:t>
      </w:r>
      <w:r w:rsidRPr="00CD4B60">
        <w:t xml:space="preserve"> obdob</w:t>
      </w:r>
      <w:r>
        <w:t xml:space="preserve">í </w:t>
      </w:r>
      <w:r w:rsidRPr="00CD4B60">
        <w:t xml:space="preserve">nezmenia, </w:t>
      </w:r>
      <w:r w:rsidRPr="00CD4B60">
        <w:rPr>
          <w:b/>
        </w:rPr>
        <w:t xml:space="preserve">je možné platnosť </w:t>
      </w:r>
      <w:r>
        <w:rPr>
          <w:b/>
        </w:rPr>
        <w:t>PPVO</w:t>
      </w:r>
      <w:r w:rsidRPr="00CD4B60">
        <w:rPr>
          <w:b/>
        </w:rPr>
        <w:t xml:space="preserve"> predĺžiť, najviac však o tri roky</w:t>
      </w:r>
      <w:r>
        <w:rPr>
          <w:rFonts w:ascii="MS Sans Serif" w:hAnsi="MS Sans Serif"/>
          <w:b/>
          <w:bCs/>
          <w:color w:val="0000FF"/>
          <w:sz w:val="20"/>
          <w:szCs w:val="20"/>
        </w:rPr>
        <w:t>.</w:t>
      </w:r>
    </w:p>
    <w:p w:rsidR="007F1BA3" w:rsidRPr="003373CA" w:rsidRDefault="007F1BA3" w:rsidP="005A56F7">
      <w:pPr>
        <w:spacing w:before="240" w:line="271" w:lineRule="auto"/>
        <w:jc w:val="both"/>
        <w:rPr>
          <w:b/>
        </w:rPr>
      </w:pPr>
      <w:r w:rsidRPr="00CD4B60">
        <w:t>Historicky prvý</w:t>
      </w:r>
      <w:r>
        <w:rPr>
          <w:b/>
        </w:rPr>
        <w:t xml:space="preserve"> p</w:t>
      </w:r>
      <w:r w:rsidRPr="003373CA">
        <w:rPr>
          <w:b/>
        </w:rPr>
        <w:t>rogram predchádzania vzniku odpadu SR sa vypracúva na roky 2014 – 2018.</w:t>
      </w:r>
    </w:p>
    <w:p w:rsidR="007F1BA3" w:rsidRDefault="007F1BA3" w:rsidP="003373CA">
      <w:pPr>
        <w:spacing w:before="240" w:line="271" w:lineRule="auto"/>
        <w:jc w:val="both"/>
      </w:pPr>
      <w:r w:rsidRPr="00614229">
        <w:rPr>
          <w:b/>
        </w:rPr>
        <w:t>Hlavným cieľom programu je posun od materiálového zhodnocovania</w:t>
      </w:r>
      <w:r w:rsidRPr="00614229">
        <w:t xml:space="preserve"> ako jedinej priority deklarovanej v programoch odpadového hospodárstva SR do roku 2010 </w:t>
      </w:r>
      <w:r w:rsidRPr="00614229">
        <w:rPr>
          <w:b/>
        </w:rPr>
        <w:t>k predchádzaniu vzniku odpadu.</w:t>
      </w:r>
      <w:r>
        <w:rPr>
          <w:b/>
        </w:rPr>
        <w:t xml:space="preserve"> </w:t>
      </w:r>
      <w:r w:rsidRPr="003373CA">
        <w:t>To znamená</w:t>
      </w:r>
      <w:r>
        <w:t>, že v roku 2018 bude</w:t>
      </w:r>
      <w:r w:rsidRPr="00295FE8">
        <w:t xml:space="preserve"> </w:t>
      </w:r>
      <w:r>
        <w:t>odpadové hospodárstvo SR zos</w:t>
      </w:r>
      <w:r w:rsidRPr="00295FE8">
        <w:t>úlade</w:t>
      </w:r>
      <w:r>
        <w:t>né</w:t>
      </w:r>
      <w:r w:rsidRPr="00295FE8">
        <w:t xml:space="preserve"> </w:t>
      </w:r>
      <w:r>
        <w:t xml:space="preserve">s </w:t>
      </w:r>
      <w:r w:rsidRPr="00295FE8">
        <w:t xml:space="preserve">hierarchiou </w:t>
      </w:r>
      <w:r>
        <w:t>odpadového hospodárstva podľa § 3 novely zákona o odpadoch.</w:t>
      </w:r>
    </w:p>
    <w:p w:rsidR="007F1BA3" w:rsidRDefault="007F1BA3" w:rsidP="00C168EB">
      <w:pPr>
        <w:spacing w:before="240" w:line="271" w:lineRule="auto"/>
        <w:jc w:val="both"/>
      </w:pPr>
    </w:p>
    <w:p w:rsidR="007F1BA3" w:rsidRDefault="007F1BA3" w:rsidP="00C168EB">
      <w:pPr>
        <w:spacing w:before="240" w:line="271" w:lineRule="auto"/>
        <w:jc w:val="both"/>
      </w:pPr>
    </w:p>
    <w:p w:rsidR="007F1BA3" w:rsidRPr="00797EC3" w:rsidRDefault="007F1BA3" w:rsidP="008C1AE6">
      <w:pPr>
        <w:pStyle w:val="Nadpis3"/>
      </w:pPr>
      <w:bookmarkStart w:id="42" w:name="_Toc356292970"/>
      <w:r w:rsidRPr="00797EC3">
        <w:t>4.1.2</w:t>
      </w:r>
      <w:r w:rsidRPr="00797EC3">
        <w:tab/>
        <w:t>Opatreni</w:t>
      </w:r>
      <w:r>
        <w:t>a</w:t>
      </w:r>
      <w:r w:rsidRPr="00797EC3">
        <w:t xml:space="preserve"> na splnenie hlavného cieľa</w:t>
      </w:r>
      <w:bookmarkEnd w:id="42"/>
    </w:p>
    <w:p w:rsidR="007F1BA3" w:rsidRDefault="007F1BA3" w:rsidP="005A56F7">
      <w:pPr>
        <w:spacing w:before="240" w:line="271" w:lineRule="auto"/>
        <w:jc w:val="both"/>
      </w:pPr>
      <w:r>
        <w:t xml:space="preserve">MŽP SR má právne, ekonomické a administratívne nástroje na riadenie odpadového hospodárstva až od 3. kroku v hierarchii odpadového hospodárstva, teda od recyklácie, cez zhodnocovanie až po zneškodňovanie odpadu. Na predchádzanie vzniku odpadu a prípravu na opätovné použitie môže MŽP SR vytvoriť vhodné prostredie presadzovaním základnej filozofie – a to  potreby, resp. nevyhnutnosti posunu od materiálového zhodnocovania odpadu k predchádzaniu vzniku odpadu,  ako aj zmenou nazerania na úlohy rezortu životného prostredia v systéme odpadového hospodárstva (t. j. že rezort ŽP nie je tým, kto rieši problém až v štádiu vzniku odpadu, ale práve tým, kto sa účinne snaží vytvoriť opatrenia na to, aby sa z produktu odpad vôbec nestal) a vytvorením organizačných, finančných a kvalifikovaných personálnych predpokladov na riešenie problematiky predchádzania vzniku odpadu. </w:t>
      </w:r>
    </w:p>
    <w:p w:rsidR="007F1BA3" w:rsidRDefault="007F1BA3" w:rsidP="00701BB1">
      <w:pPr>
        <w:spacing w:before="240" w:line="271" w:lineRule="auto"/>
        <w:jc w:val="both"/>
      </w:pPr>
      <w:r>
        <w:t xml:space="preserve">Rezort samotný však nevstupuje do životného cyklu výrobku, ale mal by vyvinúť opatrenia, ktoré by smerovali k jednotnému meraniu a komunikácii o environmentálnej výkonnosti výrobkov počas ich životného cyklu, čo je hodnotené ako jedno zo základných kritérií pre vstup  na budovaný „jednotný trh zelených výrobkov“. </w:t>
      </w:r>
    </w:p>
    <w:p w:rsidR="007F1BA3" w:rsidRDefault="007F1BA3" w:rsidP="005A56F7">
      <w:pPr>
        <w:spacing w:before="240" w:line="271" w:lineRule="auto"/>
        <w:jc w:val="both"/>
      </w:pPr>
      <w:r>
        <w:t>Takýto prístup vyžaduje koordináciu a účinnú spoluprácu nielen na medzirezortnej úrovni, ale najmä spoluprácu s vedeckovýskumnými kapacitami a tiež adekvátne finančné krytie a vytvorenie organizácie/štruktúry, ktorá v tejto téme bude rešpektovanou a uznávanou autoritou.</w:t>
      </w:r>
    </w:p>
    <w:p w:rsidR="007F1BA3" w:rsidRDefault="007F1BA3" w:rsidP="005A56F7">
      <w:pPr>
        <w:spacing w:before="240" w:line="271" w:lineRule="auto"/>
        <w:jc w:val="both"/>
      </w:pPr>
      <w:r>
        <w:t xml:space="preserve"> </w:t>
      </w:r>
    </w:p>
    <w:p w:rsidR="007F1BA3" w:rsidRDefault="007F1BA3" w:rsidP="005A56F7">
      <w:pPr>
        <w:spacing w:before="240" w:line="271" w:lineRule="auto"/>
        <w:jc w:val="both"/>
        <w:rPr>
          <w:b/>
        </w:rPr>
      </w:pPr>
      <w:r>
        <w:rPr>
          <w:b/>
        </w:rPr>
        <w:t xml:space="preserve">4.1.2.1. Hlavné opatrenia </w:t>
      </w:r>
    </w:p>
    <w:p w:rsidR="00F27D03" w:rsidRDefault="00F27D03" w:rsidP="00F27D03">
      <w:pPr>
        <w:pStyle w:val="Odsekzoznamu"/>
        <w:numPr>
          <w:ilvl w:val="0"/>
          <w:numId w:val="41"/>
        </w:numPr>
        <w:spacing w:before="240" w:line="271" w:lineRule="auto"/>
        <w:jc w:val="both"/>
      </w:pPr>
      <w:r>
        <w:t>Dôsledná pasportizácia legislatívy v pôsobnosti všetkých ústredných orgánov štátnej správy s podnikateľskou verejnosťou</w:t>
      </w:r>
      <w:r w:rsidR="00A05422">
        <w:t>,</w:t>
      </w:r>
      <w:r>
        <w:t xml:space="preserve"> s dôrazom na negatívne dopady na priemysel a následná zmena noriem v tých oblastiach, ktoré môžu mať za následok neodôvodnenú produkciu odpadov. </w:t>
      </w:r>
    </w:p>
    <w:p w:rsidR="007F1BA3" w:rsidRDefault="007F1BA3" w:rsidP="008468C9">
      <w:pPr>
        <w:pStyle w:val="Odsekzoznamu"/>
        <w:numPr>
          <w:ilvl w:val="0"/>
          <w:numId w:val="41"/>
        </w:numPr>
        <w:spacing w:before="240" w:line="271" w:lineRule="auto"/>
        <w:jc w:val="both"/>
      </w:pPr>
      <w:r w:rsidRPr="0044301B">
        <w:t>Dôsledne dodržiavať</w:t>
      </w:r>
      <w:r>
        <w:t xml:space="preserve"> a kontrolovať plnenie legislatívnych nástrojov ustanovených v zákone o odpadoch a v zákone o obaloch (hierarchiu odpadového hospodárstva, rozšírenú zodpovednosť výrobcov, programy prevencie povinných osôb, krajské programy odpadového hospodárstva, programy odpadového hospodárstva pôvodcov a obcí).</w:t>
      </w:r>
    </w:p>
    <w:p w:rsidR="007F1BA3" w:rsidRDefault="007F1BA3" w:rsidP="008468C9">
      <w:pPr>
        <w:pStyle w:val="Odsekzoznamu"/>
        <w:numPr>
          <w:ilvl w:val="0"/>
          <w:numId w:val="41"/>
        </w:numPr>
        <w:spacing w:before="240" w:line="271" w:lineRule="auto"/>
        <w:jc w:val="both"/>
      </w:pPr>
      <w:r>
        <w:t xml:space="preserve">Zlepšiť informovanosť verejnosti prostredníctvom informačných a vzdelávacích kampaní, ktoré budú zamerané na predchádzanie vzniku odpadov (komunálnych odpadov, odpadov z obalov a biologicky rozložiteľných odpadov). Financovanie kampaní bude zabezpečené z viacerých zdrojov: </w:t>
      </w:r>
    </w:p>
    <w:p w:rsidR="007F1BA3" w:rsidRDefault="007F1BA3" w:rsidP="008468C9">
      <w:pPr>
        <w:pStyle w:val="Odsekzoznamu"/>
        <w:numPr>
          <w:ilvl w:val="1"/>
          <w:numId w:val="41"/>
        </w:numPr>
        <w:spacing w:before="240" w:line="271" w:lineRule="auto"/>
        <w:jc w:val="both"/>
      </w:pPr>
      <w:r>
        <w:t>z </w:t>
      </w:r>
      <w:proofErr w:type="spellStart"/>
      <w:r>
        <w:t>Eurofondov</w:t>
      </w:r>
      <w:proofErr w:type="spellEnd"/>
      <w:r>
        <w:t xml:space="preserve"> (zo štrukturálnych fondov a Kohézneho fondu) v programovacom období 2014 – 2020,</w:t>
      </w:r>
    </w:p>
    <w:p w:rsidR="007F1BA3" w:rsidRDefault="007F1BA3" w:rsidP="008468C9">
      <w:pPr>
        <w:pStyle w:val="Odsekzoznamu"/>
        <w:numPr>
          <w:ilvl w:val="1"/>
          <w:numId w:val="41"/>
        </w:numPr>
        <w:spacing w:before="240" w:line="271" w:lineRule="auto"/>
        <w:jc w:val="both"/>
      </w:pPr>
      <w:r>
        <w:t>zo zdrojov kolektívnych a oprávnených organizácií,</w:t>
      </w:r>
    </w:p>
    <w:p w:rsidR="007F1BA3" w:rsidRDefault="007F1BA3" w:rsidP="008468C9">
      <w:pPr>
        <w:pStyle w:val="Odsekzoznamu"/>
        <w:numPr>
          <w:ilvl w:val="1"/>
          <w:numId w:val="41"/>
        </w:numPr>
        <w:spacing w:before="240" w:line="271" w:lineRule="auto"/>
        <w:jc w:val="both"/>
      </w:pPr>
      <w:r>
        <w:lastRenderedPageBreak/>
        <w:t>z Environmentálneho fondu,</w:t>
      </w:r>
    </w:p>
    <w:p w:rsidR="007F1BA3" w:rsidRDefault="007F1BA3" w:rsidP="008468C9">
      <w:pPr>
        <w:pStyle w:val="Odsekzoznamu"/>
        <w:numPr>
          <w:ilvl w:val="1"/>
          <w:numId w:val="41"/>
        </w:numPr>
        <w:spacing w:before="240" w:line="271" w:lineRule="auto"/>
        <w:jc w:val="both"/>
      </w:pPr>
      <w:r>
        <w:t>zo zdrojov obcí a združení obcí.</w:t>
      </w:r>
    </w:p>
    <w:p w:rsidR="007F1BA3" w:rsidRDefault="007F1BA3" w:rsidP="00C84933">
      <w:pPr>
        <w:tabs>
          <w:tab w:val="left" w:pos="567"/>
          <w:tab w:val="left" w:pos="709"/>
          <w:tab w:val="left" w:pos="851"/>
        </w:tabs>
        <w:spacing w:before="240" w:line="271" w:lineRule="auto"/>
        <w:jc w:val="both"/>
      </w:pPr>
      <w:r>
        <w:t xml:space="preserve">             Zodpovednosť: MŽP SR. </w:t>
      </w:r>
    </w:p>
    <w:p w:rsidR="007F1BA3" w:rsidRDefault="007F1BA3" w:rsidP="006D3BF8">
      <w:pPr>
        <w:rPr>
          <w:b/>
          <w:lang w:eastAsia="cs-CZ"/>
        </w:rPr>
      </w:pPr>
    </w:p>
    <w:p w:rsidR="007F1BA3" w:rsidRPr="006D3BF8" w:rsidRDefault="007F1BA3" w:rsidP="006D3BF8">
      <w:pPr>
        <w:rPr>
          <w:b/>
          <w:lang w:eastAsia="cs-CZ"/>
        </w:rPr>
      </w:pPr>
      <w:r>
        <w:rPr>
          <w:b/>
          <w:lang w:eastAsia="cs-CZ"/>
        </w:rPr>
        <w:t xml:space="preserve">4.1.2.2. </w:t>
      </w:r>
      <w:r w:rsidRPr="006D3BF8">
        <w:rPr>
          <w:b/>
          <w:lang w:eastAsia="cs-CZ"/>
        </w:rPr>
        <w:t>Podporné opatrenia</w:t>
      </w:r>
    </w:p>
    <w:p w:rsidR="007F1BA3" w:rsidRDefault="007F1BA3" w:rsidP="00BB02E2">
      <w:pPr>
        <w:pStyle w:val="Odsekzoznamu"/>
        <w:numPr>
          <w:ilvl w:val="0"/>
          <w:numId w:val="48"/>
        </w:numPr>
        <w:spacing w:before="240" w:line="271" w:lineRule="auto"/>
        <w:jc w:val="both"/>
      </w:pPr>
      <w:r>
        <w:rPr>
          <w:b/>
        </w:rPr>
        <w:t>V</w:t>
      </w:r>
      <w:r w:rsidRPr="00BB02E2">
        <w:rPr>
          <w:b/>
        </w:rPr>
        <w:t>ytvorenie riadiacej skupiny ktorá bude zložená z kľúčovýc</w:t>
      </w:r>
      <w:r w:rsidRPr="00677060">
        <w:rPr>
          <w:b/>
        </w:rPr>
        <w:t>h</w:t>
      </w:r>
      <w:r>
        <w:t xml:space="preserve"> politikov, teda predstaviteľov dotknutých ministerstiev, ktorí majú rozhodovaciu </w:t>
      </w:r>
      <w:r w:rsidR="00A05CFC">
        <w:t>právo</w:t>
      </w:r>
      <w:r>
        <w:t>moc. Táto skupina sa bude pravidelne, najmenej však dvakrát ročne stretávať s cieľom nájsť riešenia na podporu predchádzania vzniku odpadov a šetrenie primárnych zdrojov v zainteresovaných rezortoch (okrem MŽP SR najmä Ministerstvo hospodárstva SR, Ministerstvo pôdohospodárstva a rozvoja vidieka SR, Ministerstvo dopravy, výstavby a regionálneho rozvoja SR, Ministerstvo školstva, vedy, výskumu a športu SR, Ministerstvo práce, sociálnych vecí a rodiny SR, Ministerstvo financií SR) . Skupina rozhodne o potrebe aktualizácie dokumentu a rozsahu aktualizácie, ako aj o spôsobe financovania navrhnutých opatrení a mechanizmov.</w:t>
      </w:r>
    </w:p>
    <w:p w:rsidR="007F1BA3" w:rsidRDefault="00ED1FC9" w:rsidP="00ED1FC9">
      <w:pPr>
        <w:spacing w:before="240" w:line="271" w:lineRule="auto"/>
        <w:jc w:val="both"/>
      </w:pPr>
      <w:r>
        <w:t xml:space="preserve">          </w:t>
      </w:r>
      <w:r w:rsidR="007F1BA3">
        <w:t xml:space="preserve">Stretnutia </w:t>
      </w:r>
      <w:r w:rsidR="00A05CFC">
        <w:t xml:space="preserve">riadiacej </w:t>
      </w:r>
      <w:r w:rsidR="007F1BA3">
        <w:t>skupiny bude zvolávať Ministerstvo životného prostredia SR.</w:t>
      </w:r>
    </w:p>
    <w:p w:rsidR="007F1BA3" w:rsidRDefault="00ED1FC9" w:rsidP="00ED1FC9">
      <w:pPr>
        <w:spacing w:before="240" w:line="271" w:lineRule="auto"/>
        <w:jc w:val="both"/>
      </w:pPr>
      <w:r>
        <w:t xml:space="preserve">          </w:t>
      </w:r>
      <w:r w:rsidR="007F1BA3">
        <w:t xml:space="preserve">Zodpovednosť: MŽP SR. </w:t>
      </w:r>
    </w:p>
    <w:p w:rsidR="007F1BA3" w:rsidRPr="00BB02E2" w:rsidRDefault="007F1BA3" w:rsidP="00BB02E2">
      <w:pPr>
        <w:pStyle w:val="Odsekzoznamu"/>
        <w:numPr>
          <w:ilvl w:val="0"/>
          <w:numId w:val="48"/>
        </w:numPr>
        <w:spacing w:before="240" w:line="271" w:lineRule="auto"/>
        <w:jc w:val="both"/>
        <w:rPr>
          <w:b/>
        </w:rPr>
      </w:pPr>
      <w:r>
        <w:rPr>
          <w:b/>
        </w:rPr>
        <w:t>V</w:t>
      </w:r>
      <w:r w:rsidRPr="00BB02E2">
        <w:rPr>
          <w:b/>
        </w:rPr>
        <w:t>ytvorenie pracovnej skupiny, zloženej z:</w:t>
      </w:r>
    </w:p>
    <w:p w:rsidR="00A94B1B" w:rsidRDefault="007F1BA3">
      <w:pPr>
        <w:pStyle w:val="Odsekzoznamu"/>
        <w:spacing w:before="240" w:line="271" w:lineRule="auto"/>
        <w:ind w:left="1428"/>
        <w:jc w:val="both"/>
      </w:pPr>
      <w:r>
        <w:t>–   odborníkov na technické a sociálno-ekonomické analýzy,</w:t>
      </w:r>
    </w:p>
    <w:p w:rsidR="00A94B1B" w:rsidRDefault="007F1BA3">
      <w:pPr>
        <w:pStyle w:val="Odsekzoznamu"/>
        <w:spacing w:before="240" w:line="271" w:lineRule="auto"/>
        <w:ind w:left="1650" w:hanging="220"/>
        <w:jc w:val="both"/>
      </w:pPr>
      <w:r>
        <w:t xml:space="preserve">– zástupcov zainteresovaných strán, ktorí na jednej strane reprezentujú rôzne pohľady, názory a záujmy a na druhej strane sú ochotní vytvoriť spoločný základ pre predchádzanie vzniku odpadu, spolupracovať a podieľať sa na realizácii preventívnych opatrení. </w:t>
      </w:r>
    </w:p>
    <w:p w:rsidR="0004583D" w:rsidRDefault="007F1BA3">
      <w:pPr>
        <w:spacing w:before="240" w:line="271" w:lineRule="auto"/>
        <w:ind w:left="709"/>
        <w:jc w:val="both"/>
      </w:pPr>
      <w:r>
        <w:t xml:space="preserve">Úlohou pracovnej skupiny bude kontrola plnenia jednotlivých cieľov programu, návrh nových opatrení na predchádzanie vzniku odpadov, vypracovanie aktualizovaného dokumentu na základe rozhodnutí </w:t>
      </w:r>
      <w:r w:rsidR="00F002BB">
        <w:t xml:space="preserve">riadiacej </w:t>
      </w:r>
      <w:r>
        <w:t>skupiny. Pracovná skupina sa bude stretávať pravidelne</w:t>
      </w:r>
      <w:r w:rsidR="007923AA">
        <w:t>, resp.</w:t>
      </w:r>
      <w:r>
        <w:t xml:space="preserve"> podľa potreby, najmenej však dvakrát do roka. </w:t>
      </w:r>
    </w:p>
    <w:p w:rsidR="007F1BA3" w:rsidRDefault="007F1BA3">
      <w:pPr>
        <w:spacing w:before="240" w:line="271" w:lineRule="auto"/>
        <w:ind w:left="709"/>
        <w:jc w:val="both"/>
      </w:pPr>
      <w:r>
        <w:t>Stretnutia pracovnej skupiny bude zvolávať Ministerstvo životného prostredia SR.</w:t>
      </w:r>
    </w:p>
    <w:p w:rsidR="007F1BA3" w:rsidRDefault="007F1BA3" w:rsidP="00554491">
      <w:pPr>
        <w:spacing w:before="240" w:line="271" w:lineRule="auto"/>
        <w:ind w:left="348" w:firstLine="361"/>
        <w:jc w:val="both"/>
      </w:pPr>
      <w:r>
        <w:t xml:space="preserve">Zodpovednosť: MŽP SR. </w:t>
      </w:r>
    </w:p>
    <w:p w:rsidR="007F1BA3" w:rsidRDefault="007F1BA3" w:rsidP="00BB02E2">
      <w:pPr>
        <w:pStyle w:val="Odsekzoznamu"/>
        <w:numPr>
          <w:ilvl w:val="0"/>
          <w:numId w:val="48"/>
        </w:numPr>
        <w:spacing w:before="240" w:line="271" w:lineRule="auto"/>
        <w:jc w:val="both"/>
      </w:pPr>
      <w:r w:rsidRPr="00677060">
        <w:rPr>
          <w:b/>
        </w:rPr>
        <w:t>Vyhodnotenie účinnosti a aktualizácia relevantných ekonomických nástrojov</w:t>
      </w:r>
      <w:r>
        <w:t xml:space="preserve"> v oblasti odpadov a obalov, ktoré ovplyvňujú vznik odpadov, a teda aj predchádzanie vzniku odpadov.</w:t>
      </w:r>
    </w:p>
    <w:p w:rsidR="007F1BA3" w:rsidRDefault="007F1BA3">
      <w:pPr>
        <w:spacing w:before="240" w:line="271" w:lineRule="auto"/>
        <w:ind w:left="720"/>
        <w:jc w:val="both"/>
      </w:pPr>
      <w:r>
        <w:t>Zodpovednosť: MŽP SR.</w:t>
      </w:r>
    </w:p>
    <w:p w:rsidR="007F1BA3" w:rsidRPr="00E34A95" w:rsidRDefault="007F1BA3" w:rsidP="00514C42">
      <w:pPr>
        <w:pStyle w:val="Odsekzoznamu"/>
        <w:numPr>
          <w:ilvl w:val="0"/>
          <w:numId w:val="48"/>
        </w:numPr>
        <w:spacing w:before="240" w:line="271" w:lineRule="auto"/>
        <w:jc w:val="both"/>
        <w:rPr>
          <w:b/>
        </w:rPr>
      </w:pPr>
      <w:r>
        <w:rPr>
          <w:b/>
        </w:rPr>
        <w:t>V</w:t>
      </w:r>
      <w:r w:rsidRPr="00BB02E2">
        <w:rPr>
          <w:b/>
        </w:rPr>
        <w:t xml:space="preserve">ypracovanie vhodných indikátorov </w:t>
      </w:r>
      <w:r w:rsidRPr="00E4709B">
        <w:t>na sledovanie plnenia cieľov v predchádzaní vzniku odpadu a efektívnosti navrhnutých opatrení</w:t>
      </w:r>
      <w:r>
        <w:t xml:space="preserve">, ktoré budú zohľadňovať </w:t>
      </w:r>
      <w:r w:rsidRPr="00EB202C">
        <w:rPr>
          <w:b/>
        </w:rPr>
        <w:t>miesto</w:t>
      </w:r>
      <w:r>
        <w:rPr>
          <w:b/>
        </w:rPr>
        <w:t>,</w:t>
      </w:r>
      <w:r w:rsidRPr="00EB202C">
        <w:t xml:space="preserve"> </w:t>
      </w:r>
      <w:r>
        <w:t xml:space="preserve">v ktorom sa </w:t>
      </w:r>
      <w:r>
        <w:lastRenderedPageBreak/>
        <w:t xml:space="preserve">opatrenie realizuje v rámci životného cyklu produktu, </w:t>
      </w:r>
      <w:r w:rsidRPr="00EB202C">
        <w:rPr>
          <w:b/>
        </w:rPr>
        <w:t>pôsobenie</w:t>
      </w:r>
      <w:r>
        <w:t xml:space="preserve"> opatrenia v rámci klasifikačného prostriedku DPSIR</w:t>
      </w:r>
      <w:r w:rsidRPr="000766DF">
        <w:rPr>
          <w:b/>
          <w:i/>
        </w:rPr>
        <w:t xml:space="preserve">, </w:t>
      </w:r>
      <w:r w:rsidRPr="00EB202C">
        <w:rPr>
          <w:b/>
        </w:rPr>
        <w:t>charakter</w:t>
      </w:r>
      <w:r>
        <w:t xml:space="preserve"> opatrenia – právne záväzný, dobrovoľný, ekonomický, informačný.</w:t>
      </w:r>
    </w:p>
    <w:p w:rsidR="007F1BA3" w:rsidRDefault="007F1BA3" w:rsidP="00554491">
      <w:pPr>
        <w:spacing w:before="240" w:line="271" w:lineRule="auto"/>
        <w:ind w:left="360" w:firstLine="361"/>
        <w:jc w:val="both"/>
      </w:pPr>
      <w:r>
        <w:t>Zodpovednosť: MŽP SR.</w:t>
      </w:r>
    </w:p>
    <w:p w:rsidR="007F1BA3" w:rsidRPr="00E34A95" w:rsidRDefault="007F1BA3" w:rsidP="00514C42">
      <w:pPr>
        <w:numPr>
          <w:ilvl w:val="0"/>
          <w:numId w:val="48"/>
        </w:numPr>
        <w:tabs>
          <w:tab w:val="left" w:pos="6804"/>
        </w:tabs>
        <w:spacing w:before="240" w:line="271" w:lineRule="auto"/>
        <w:jc w:val="both"/>
        <w:rPr>
          <w:b/>
        </w:rPr>
      </w:pPr>
      <w:r>
        <w:rPr>
          <w:b/>
        </w:rPr>
        <w:t>S</w:t>
      </w:r>
      <w:r w:rsidRPr="009B5F00">
        <w:rPr>
          <w:b/>
        </w:rPr>
        <w:t>kvalitnenie systému vedenia evidencie a ohlasovania údajov</w:t>
      </w:r>
      <w:r>
        <w:t xml:space="preserve"> týkajúcich sa najmä komunálnych odpadov, aby bolo možné sledovať plnenie cieľov.</w:t>
      </w:r>
    </w:p>
    <w:p w:rsidR="007F1BA3" w:rsidRDefault="007F1BA3" w:rsidP="00554491">
      <w:pPr>
        <w:spacing w:before="240" w:line="271" w:lineRule="auto"/>
        <w:ind w:left="360" w:firstLine="361"/>
        <w:jc w:val="both"/>
      </w:pPr>
      <w:r>
        <w:t>Zodpovednosť: MŽP SR</w:t>
      </w:r>
      <w:r w:rsidR="00A91136">
        <w:t xml:space="preserve"> v spolupráci so</w:t>
      </w:r>
      <w:r>
        <w:t xml:space="preserve"> ŠÚ SR.</w:t>
      </w:r>
    </w:p>
    <w:p w:rsidR="007F1BA3" w:rsidRPr="00E34A95" w:rsidRDefault="007F1BA3" w:rsidP="00514C42">
      <w:pPr>
        <w:pStyle w:val="Odsekzoznamu"/>
        <w:numPr>
          <w:ilvl w:val="0"/>
          <w:numId w:val="48"/>
        </w:numPr>
        <w:jc w:val="both"/>
        <w:rPr>
          <w:b/>
          <w:lang w:eastAsia="cs-CZ"/>
        </w:rPr>
      </w:pPr>
      <w:r>
        <w:rPr>
          <w:b/>
          <w:lang w:eastAsia="cs-CZ"/>
        </w:rPr>
        <w:t>P</w:t>
      </w:r>
      <w:r w:rsidRPr="00B366B4">
        <w:rPr>
          <w:b/>
          <w:lang w:eastAsia="cs-CZ"/>
        </w:rPr>
        <w:t>odpora dobrovoľných nástrojov environmentálnej politiky</w:t>
      </w:r>
      <w:r>
        <w:rPr>
          <w:lang w:eastAsia="cs-CZ"/>
        </w:rPr>
        <w:t xml:space="preserve"> prostredníctvom</w:t>
      </w:r>
      <w:r w:rsidR="00405615">
        <w:rPr>
          <w:lang w:eastAsia="cs-CZ"/>
        </w:rPr>
        <w:t>:</w:t>
      </w:r>
      <w:r>
        <w:rPr>
          <w:lang w:eastAsia="cs-CZ"/>
        </w:rPr>
        <w:t xml:space="preserve"> </w:t>
      </w:r>
    </w:p>
    <w:p w:rsidR="007F1BA3" w:rsidRPr="003C2C9A" w:rsidRDefault="007F1BA3" w:rsidP="008468C9">
      <w:pPr>
        <w:pStyle w:val="Odsekzoznamu"/>
        <w:numPr>
          <w:ilvl w:val="0"/>
          <w:numId w:val="44"/>
        </w:numPr>
        <w:autoSpaceDE w:val="0"/>
        <w:autoSpaceDN w:val="0"/>
        <w:adjustRightInd w:val="0"/>
        <w:spacing w:after="0" w:line="240" w:lineRule="auto"/>
        <w:jc w:val="both"/>
        <w:rPr>
          <w:rFonts w:cs="ITCBookmanEE-Bold"/>
          <w:bCs/>
          <w:color w:val="231F20"/>
          <w:lang w:eastAsia="sk-SK"/>
        </w:rPr>
      </w:pPr>
      <w:r>
        <w:rPr>
          <w:lang w:eastAsia="cs-CZ"/>
        </w:rPr>
        <w:t>s</w:t>
      </w:r>
      <w:r w:rsidRPr="003C2C9A">
        <w:rPr>
          <w:lang w:eastAsia="cs-CZ"/>
        </w:rPr>
        <w:t xml:space="preserve">tratégie podpory a propagácie EMAS, ktorú vypracuje MŽP SR v súlade s § 4 zákona č. 351/2012 Z. z. </w:t>
      </w:r>
      <w:r w:rsidRPr="003C2C9A">
        <w:rPr>
          <w:rFonts w:cs="ITCBookmanEE-Bold"/>
          <w:bCs/>
          <w:color w:val="231F20"/>
          <w:lang w:eastAsia="sk-SK"/>
        </w:rPr>
        <w:t>o environmentálnom overovaní a registrácii organizácií v schéme Európskej únie pre environmentálne manažérstvo a audit a o zmene a doplnení niektorých zákonov</w:t>
      </w:r>
      <w:r>
        <w:rPr>
          <w:rFonts w:cs="ITCBookmanEE-Bold"/>
          <w:bCs/>
          <w:color w:val="231F20"/>
          <w:lang w:eastAsia="sk-SK"/>
        </w:rPr>
        <w:t>,</w:t>
      </w:r>
    </w:p>
    <w:p w:rsidR="007F1BA3" w:rsidRPr="00267E22" w:rsidRDefault="007F1BA3" w:rsidP="008468C9">
      <w:pPr>
        <w:pStyle w:val="Odsekzoznamu"/>
        <w:numPr>
          <w:ilvl w:val="0"/>
          <w:numId w:val="44"/>
        </w:numPr>
        <w:jc w:val="both"/>
        <w:rPr>
          <w:lang w:eastAsia="cs-CZ"/>
        </w:rPr>
      </w:pPr>
      <w:r>
        <w:rPr>
          <w:lang w:eastAsia="cs-CZ"/>
        </w:rPr>
        <w:t>propagácie environmentálneho označovania produktov.</w:t>
      </w:r>
    </w:p>
    <w:p w:rsidR="007F1BA3" w:rsidRDefault="007F1BA3" w:rsidP="003C2C9A">
      <w:pPr>
        <w:spacing w:before="240" w:line="271" w:lineRule="auto"/>
        <w:ind w:left="348" w:firstLine="360"/>
        <w:jc w:val="both"/>
      </w:pPr>
      <w:r>
        <w:t>Zodpovednosť: MŽP SR.</w:t>
      </w:r>
    </w:p>
    <w:p w:rsidR="007F1BA3" w:rsidRDefault="007F1BA3" w:rsidP="00514C42">
      <w:pPr>
        <w:numPr>
          <w:ilvl w:val="0"/>
          <w:numId w:val="48"/>
        </w:numPr>
        <w:spacing w:before="240" w:line="271" w:lineRule="auto"/>
        <w:jc w:val="both"/>
      </w:pPr>
      <w:r w:rsidRPr="000766DF">
        <w:rPr>
          <w:b/>
        </w:rPr>
        <w:t>Podpora uplatňovania metód merania environmentálnej výkonnosti produktov</w:t>
      </w:r>
      <w:r>
        <w:t xml:space="preserve"> počas ich životného cyklu v nasledujúcich primárne neenvironmentálnych politikách s cieľom používania harmonizovaných metód meran</w:t>
      </w:r>
      <w:r w:rsidR="00405615">
        <w:t>i</w:t>
      </w:r>
      <w:r>
        <w:t>a a komunikácie:</w:t>
      </w:r>
    </w:p>
    <w:p w:rsidR="007F1BA3" w:rsidRDefault="007F1BA3" w:rsidP="00071E83">
      <w:pPr>
        <w:spacing w:before="240" w:line="271" w:lineRule="auto"/>
        <w:ind w:left="1080"/>
        <w:jc w:val="both"/>
      </w:pPr>
      <w:r>
        <w:t>Zodpovednosť: MŽP SR</w:t>
      </w:r>
      <w:r w:rsidR="0057385C">
        <w:t>.</w:t>
      </w:r>
    </w:p>
    <w:p w:rsidR="007F1BA3" w:rsidRDefault="007F1BA3" w:rsidP="003C2C9A">
      <w:pPr>
        <w:spacing w:before="240" w:line="271" w:lineRule="auto"/>
        <w:ind w:left="348" w:firstLine="360"/>
        <w:jc w:val="both"/>
      </w:pPr>
    </w:p>
    <w:p w:rsidR="007F1BA3" w:rsidRDefault="007F1BA3" w:rsidP="0092731C">
      <w:pPr>
        <w:jc w:val="both"/>
        <w:rPr>
          <w:b/>
        </w:rPr>
      </w:pPr>
      <w:r>
        <w:rPr>
          <w:b/>
        </w:rPr>
        <w:t xml:space="preserve">Možnosti financovania: </w:t>
      </w:r>
    </w:p>
    <w:p w:rsidR="007F1BA3" w:rsidRDefault="007F1BA3" w:rsidP="007C51C1">
      <w:pPr>
        <w:pStyle w:val="Zkladntext"/>
        <w:spacing w:after="100" w:afterAutospacing="1" w:line="276" w:lineRule="auto"/>
        <w:jc w:val="both"/>
        <w:rPr>
          <w:sz w:val="24"/>
          <w:szCs w:val="24"/>
        </w:rPr>
      </w:pPr>
      <w:r w:rsidRPr="007C51C1">
        <w:rPr>
          <w:rFonts w:ascii="Calibri" w:hAnsi="Calibri"/>
          <w:b w:val="0"/>
          <w:sz w:val="22"/>
          <w:szCs w:val="22"/>
        </w:rPr>
        <w:t xml:space="preserve">Návrh orientácie, zásad, priorít a hlavných úloh starostlivosti o životné prostredie SR na roky 2014 </w:t>
      </w:r>
      <w:r>
        <w:rPr>
          <w:rFonts w:ascii="Calibri" w:hAnsi="Calibri"/>
          <w:b w:val="0"/>
          <w:sz w:val="22"/>
          <w:szCs w:val="22"/>
        </w:rPr>
        <w:t>–</w:t>
      </w:r>
      <w:r w:rsidRPr="007C51C1">
        <w:rPr>
          <w:rFonts w:ascii="Calibri" w:hAnsi="Calibri"/>
          <w:b w:val="0"/>
          <w:sz w:val="22"/>
          <w:szCs w:val="22"/>
        </w:rPr>
        <w:t xml:space="preserve"> 2020</w:t>
      </w:r>
      <w:r>
        <w:rPr>
          <w:rFonts w:ascii="Calibri" w:hAnsi="Calibri"/>
          <w:b w:val="0"/>
          <w:sz w:val="22"/>
          <w:szCs w:val="22"/>
        </w:rPr>
        <w:t xml:space="preserve">  pre </w:t>
      </w:r>
      <w:r w:rsidRPr="007C51C1">
        <w:rPr>
          <w:rFonts w:ascii="Calibri" w:hAnsi="Calibri"/>
          <w:sz w:val="22"/>
          <w:szCs w:val="22"/>
        </w:rPr>
        <w:t xml:space="preserve">Operačný program </w:t>
      </w:r>
      <w:r w:rsidR="00283F5B">
        <w:rPr>
          <w:rFonts w:ascii="Calibri" w:hAnsi="Calibri"/>
          <w:sz w:val="22"/>
          <w:szCs w:val="22"/>
        </w:rPr>
        <w:t xml:space="preserve">Kvalita </w:t>
      </w:r>
      <w:r w:rsidRPr="007C51C1">
        <w:rPr>
          <w:rFonts w:ascii="Calibri" w:hAnsi="Calibri"/>
          <w:sz w:val="22"/>
          <w:szCs w:val="22"/>
        </w:rPr>
        <w:t>životné</w:t>
      </w:r>
      <w:r w:rsidR="00283F5B">
        <w:rPr>
          <w:rFonts w:ascii="Calibri" w:hAnsi="Calibri"/>
          <w:sz w:val="22"/>
          <w:szCs w:val="22"/>
        </w:rPr>
        <w:t>ho</w:t>
      </w:r>
      <w:r w:rsidRPr="007C51C1">
        <w:rPr>
          <w:rFonts w:ascii="Calibri" w:hAnsi="Calibri"/>
          <w:sz w:val="22"/>
          <w:szCs w:val="22"/>
        </w:rPr>
        <w:t xml:space="preserve"> prostredi</w:t>
      </w:r>
      <w:r w:rsidR="00283F5B">
        <w:rPr>
          <w:rFonts w:ascii="Calibri" w:hAnsi="Calibri"/>
          <w:sz w:val="22"/>
          <w:szCs w:val="22"/>
        </w:rPr>
        <w:t>a</w:t>
      </w:r>
      <w:r w:rsidRPr="007C51C1">
        <w:rPr>
          <w:rFonts w:ascii="Calibri" w:hAnsi="Calibri"/>
          <w:sz w:val="22"/>
          <w:szCs w:val="22"/>
        </w:rPr>
        <w:t xml:space="preserve"> </w:t>
      </w:r>
      <w:r w:rsidR="00EF7A79">
        <w:rPr>
          <w:rFonts w:ascii="Calibri" w:hAnsi="Calibri"/>
          <w:sz w:val="22"/>
          <w:szCs w:val="22"/>
        </w:rPr>
        <w:t>na</w:t>
      </w:r>
      <w:r w:rsidRPr="007C51C1">
        <w:rPr>
          <w:rFonts w:ascii="Calibri" w:hAnsi="Calibri"/>
          <w:sz w:val="22"/>
          <w:szCs w:val="22"/>
        </w:rPr>
        <w:t xml:space="preserve"> roky 2014 </w:t>
      </w:r>
      <w:r>
        <w:rPr>
          <w:rFonts w:ascii="Calibri" w:hAnsi="Calibri"/>
          <w:sz w:val="22"/>
          <w:szCs w:val="22"/>
        </w:rPr>
        <w:t xml:space="preserve"> – </w:t>
      </w:r>
      <w:r w:rsidRPr="007C51C1">
        <w:rPr>
          <w:rFonts w:ascii="Calibri" w:hAnsi="Calibri"/>
          <w:sz w:val="22"/>
          <w:szCs w:val="22"/>
        </w:rPr>
        <w:t>2020</w:t>
      </w:r>
      <w:r>
        <w:rPr>
          <w:rFonts w:ascii="Calibri" w:hAnsi="Calibri"/>
          <w:sz w:val="22"/>
          <w:szCs w:val="22"/>
        </w:rPr>
        <w:t>:</w:t>
      </w:r>
      <w:r>
        <w:rPr>
          <w:rFonts w:ascii="Calibri" w:hAnsi="Calibri"/>
          <w:b w:val="0"/>
          <w:sz w:val="22"/>
          <w:szCs w:val="22"/>
        </w:rPr>
        <w:t xml:space="preserve"> </w:t>
      </w:r>
      <w:r>
        <w:rPr>
          <w:sz w:val="24"/>
          <w:szCs w:val="24"/>
        </w:rPr>
        <w:t xml:space="preserve"> </w:t>
      </w:r>
    </w:p>
    <w:p w:rsidR="007F1BA3" w:rsidRPr="007C51C1" w:rsidRDefault="007F1BA3" w:rsidP="008468C9">
      <w:pPr>
        <w:pStyle w:val="Odsekzoznamu"/>
        <w:numPr>
          <w:ilvl w:val="0"/>
          <w:numId w:val="29"/>
        </w:numPr>
        <w:spacing w:after="100" w:afterAutospacing="1"/>
        <w:jc w:val="both"/>
        <w:rPr>
          <w:sz w:val="24"/>
          <w:szCs w:val="24"/>
        </w:rPr>
      </w:pPr>
      <w:r>
        <w:t>p</w:t>
      </w:r>
      <w:r w:rsidRPr="007C51C1">
        <w:t>riorita 3</w:t>
      </w:r>
      <w:r>
        <w:t>:</w:t>
      </w:r>
      <w:r w:rsidRPr="007C51C1">
        <w:t xml:space="preserve">  </w:t>
      </w:r>
      <w:r>
        <w:t>m</w:t>
      </w:r>
      <w:r w:rsidRPr="007C51C1">
        <w:t>inimalizácia, zhodnocovanie a zneškodňovanie odpadov,   efektívne využívanie zdrojov a rozvoj zelenej ekonomiky</w:t>
      </w:r>
      <w:r>
        <w:t>,</w:t>
      </w:r>
      <w:r w:rsidRPr="007C51C1">
        <w:t> </w:t>
      </w:r>
    </w:p>
    <w:p w:rsidR="007F1BA3" w:rsidRDefault="007F1BA3" w:rsidP="008468C9">
      <w:pPr>
        <w:pStyle w:val="Odsekzoznamu"/>
        <w:numPr>
          <w:ilvl w:val="0"/>
          <w:numId w:val="29"/>
        </w:numPr>
        <w:spacing w:after="100" w:afterAutospacing="1"/>
        <w:jc w:val="both"/>
      </w:pPr>
      <w:r>
        <w:t xml:space="preserve">priorita 6: podpora </w:t>
      </w:r>
      <w:r w:rsidRPr="00C533CD">
        <w:t>environmentáln</w:t>
      </w:r>
      <w:r>
        <w:t>ej</w:t>
      </w:r>
      <w:r w:rsidRPr="00C533CD">
        <w:t xml:space="preserve"> výchov</w:t>
      </w:r>
      <w:r>
        <w:t>y a vzdelávania, vedy, výskumu a vývoja, environmentálneho monitoringu a informatiky a </w:t>
      </w:r>
      <w:r w:rsidRPr="00C533CD">
        <w:t>dobrovoľn</w:t>
      </w:r>
      <w:r>
        <w:t>ých</w:t>
      </w:r>
      <w:r w:rsidRPr="00C533CD">
        <w:t xml:space="preserve"> nástroj</w:t>
      </w:r>
      <w:r>
        <w:t>ov</w:t>
      </w:r>
      <w:r w:rsidRPr="00C533CD">
        <w:t xml:space="preserve"> </w:t>
      </w:r>
      <w:r>
        <w:t xml:space="preserve"> </w:t>
      </w:r>
      <w:r w:rsidRPr="00C533CD">
        <w:t>environmentálnej politiky</w:t>
      </w:r>
      <w:r>
        <w:t>.</w:t>
      </w:r>
    </w:p>
    <w:p w:rsidR="007F1BA3" w:rsidRPr="00386BD2" w:rsidRDefault="007F1BA3" w:rsidP="0092731C">
      <w:pPr>
        <w:jc w:val="both"/>
      </w:pPr>
      <w:r w:rsidRPr="007C51C1">
        <w:rPr>
          <w:b/>
        </w:rPr>
        <w:t>Európsky fond regionálneho rozvoja</w:t>
      </w:r>
      <w:r>
        <w:t xml:space="preserve"> v rámci tematického cieľa 6: ochrana životného prostredia propagácia účinného využívania zdrojov (politika súdržnosti Európskej únie v programovacom období 2014 – 2020).</w:t>
      </w:r>
    </w:p>
    <w:p w:rsidR="007F1BA3" w:rsidRPr="00C55467" w:rsidRDefault="007F1BA3" w:rsidP="0092731C">
      <w:pPr>
        <w:spacing w:after="120"/>
        <w:jc w:val="both"/>
      </w:pPr>
    </w:p>
    <w:p w:rsidR="007F1BA3" w:rsidRDefault="007F1BA3" w:rsidP="008C1AE6">
      <w:pPr>
        <w:pStyle w:val="Nadpis2"/>
      </w:pPr>
      <w:bookmarkStart w:id="43" w:name="_Toc356292971"/>
      <w:r w:rsidRPr="005A56F7">
        <w:t xml:space="preserve">4.2 </w:t>
      </w:r>
      <w:r>
        <w:tab/>
      </w:r>
      <w:r w:rsidRPr="005A56F7">
        <w:t>Stanovenie priorít</w:t>
      </w:r>
      <w:bookmarkEnd w:id="43"/>
    </w:p>
    <w:p w:rsidR="007F1BA3" w:rsidRPr="0092731C" w:rsidRDefault="007F1BA3" w:rsidP="00F046A3">
      <w:pPr>
        <w:jc w:val="both"/>
      </w:pPr>
      <w:r>
        <w:t>Pri stanovovaní priorít je základom vízia (obrázok 23), z ktorej sa odvíjajú ciele a z nich vyplynú prioritné oblasti.</w:t>
      </w:r>
    </w:p>
    <w:p w:rsidR="007F1BA3" w:rsidRDefault="007F1BA3" w:rsidP="00AE3785">
      <w:pPr>
        <w:jc w:val="both"/>
      </w:pPr>
      <w:r>
        <w:lastRenderedPageBreak/>
        <w:t>Národný program predchádzania vzniku odpadu je potrebné zamerať na:</w:t>
      </w:r>
    </w:p>
    <w:p w:rsidR="007F1BA3" w:rsidRDefault="007F1BA3" w:rsidP="008468C9">
      <w:pPr>
        <w:numPr>
          <w:ilvl w:val="0"/>
          <w:numId w:val="10"/>
        </w:numPr>
        <w:jc w:val="both"/>
      </w:pPr>
      <w:r>
        <w:t>zainteresované strany (napr. komunálnu sféru, podnikateľov),</w:t>
      </w:r>
    </w:p>
    <w:p w:rsidR="007F1BA3" w:rsidRDefault="007F1BA3" w:rsidP="008468C9">
      <w:pPr>
        <w:numPr>
          <w:ilvl w:val="0"/>
          <w:numId w:val="10"/>
        </w:numPr>
        <w:jc w:val="both"/>
      </w:pPr>
      <w:r>
        <w:t>vybrané prúdy odpadov (napr. biologicky rozložiteľné odpady, nebezpečné odpady),</w:t>
      </w:r>
    </w:p>
    <w:p w:rsidR="007F1BA3" w:rsidRDefault="007F1BA3" w:rsidP="008468C9">
      <w:pPr>
        <w:numPr>
          <w:ilvl w:val="0"/>
          <w:numId w:val="10"/>
        </w:numPr>
        <w:jc w:val="both"/>
      </w:pPr>
      <w:r>
        <w:t>fázy životného cyklu výrobku (návrh, výroba, spotreba).</w:t>
      </w:r>
    </w:p>
    <w:p w:rsidR="007F1BA3" w:rsidRDefault="007F1BA3" w:rsidP="00AE3785">
      <w:pPr>
        <w:jc w:val="both"/>
      </w:pPr>
      <w:r>
        <w:t>Všetky tri oblasti sú navzájom prepojené. Vzhľadom na pôsobnosť MŽP SR a dostupnosť údajov, program predchádzania vzniku odpadu SR vychádza zo</w:t>
      </w:r>
      <w:r w:rsidRPr="00D07CAC">
        <w:rPr>
          <w:b/>
        </w:rPr>
        <w:t xml:space="preserve"> sledovan</w:t>
      </w:r>
      <w:r>
        <w:rPr>
          <w:b/>
        </w:rPr>
        <w:t>ia</w:t>
      </w:r>
      <w:r w:rsidRPr="00D07CAC">
        <w:rPr>
          <w:b/>
        </w:rPr>
        <w:t xml:space="preserve"> vybraných prúdov odpadov</w:t>
      </w:r>
      <w:r>
        <w:t>.</w:t>
      </w:r>
    </w:p>
    <w:p w:rsidR="007F1BA3" w:rsidRDefault="007F1BA3" w:rsidP="00AE3785">
      <w:pPr>
        <w:jc w:val="both"/>
      </w:pPr>
      <w:r>
        <w:t xml:space="preserve">V programe predchádzania vzniku odpadu </w:t>
      </w:r>
      <w:r w:rsidRPr="006D6C63">
        <w:rPr>
          <w:b/>
        </w:rPr>
        <w:t>nie je možné stanoviť ciele pre všetky prúdy odpadov</w:t>
      </w:r>
      <w:r>
        <w:t xml:space="preserve"> a nie je to ani potrebné. Na druhej strane je nedostačujúce stanoviť iba všeobecné ciele na úrovni vzniku celkového množstva odpadu. V národnej stratégii je vhodné zamerať sa na </w:t>
      </w:r>
      <w:r w:rsidRPr="00C6194A">
        <w:rPr>
          <w:b/>
        </w:rPr>
        <w:t>prúdy</w:t>
      </w:r>
      <w:r w:rsidRPr="006D6C63">
        <w:rPr>
          <w:b/>
        </w:rPr>
        <w:t xml:space="preserve"> odpadov, ktoré </w:t>
      </w:r>
      <w:r w:rsidR="007B23C3">
        <w:rPr>
          <w:b/>
        </w:rPr>
        <w:t>majú</w:t>
      </w:r>
      <w:r w:rsidR="007B23C3" w:rsidRPr="006D6C63">
        <w:rPr>
          <w:b/>
        </w:rPr>
        <w:t xml:space="preserve"> </w:t>
      </w:r>
      <w:r w:rsidRPr="006D6C63">
        <w:rPr>
          <w:b/>
        </w:rPr>
        <w:t>významn</w:t>
      </w:r>
      <w:r w:rsidR="007B23C3">
        <w:rPr>
          <w:b/>
        </w:rPr>
        <w:t>ý</w:t>
      </w:r>
      <w:r w:rsidRPr="006D6C63">
        <w:rPr>
          <w:b/>
        </w:rPr>
        <w:t xml:space="preserve"> </w:t>
      </w:r>
      <w:r w:rsidR="007B23C3">
        <w:rPr>
          <w:b/>
        </w:rPr>
        <w:t>negatívny vplyv na životné prostredie</w:t>
      </w:r>
      <w:r>
        <w:t xml:space="preserve">, a na </w:t>
      </w:r>
      <w:r w:rsidRPr="00C6194A">
        <w:rPr>
          <w:b/>
        </w:rPr>
        <w:t>prúdy</w:t>
      </w:r>
      <w:r w:rsidRPr="006D6C63">
        <w:rPr>
          <w:b/>
        </w:rPr>
        <w:t xml:space="preserve"> odpadov, ktorých</w:t>
      </w:r>
      <w:r>
        <w:rPr>
          <w:b/>
        </w:rPr>
        <w:t xml:space="preserve"> </w:t>
      </w:r>
      <w:r w:rsidRPr="006D6C63">
        <w:rPr>
          <w:b/>
        </w:rPr>
        <w:t>množstv</w:t>
      </w:r>
      <w:r>
        <w:rPr>
          <w:b/>
        </w:rPr>
        <w:t>o</w:t>
      </w:r>
      <w:r w:rsidRPr="006D6C63">
        <w:rPr>
          <w:b/>
        </w:rPr>
        <w:t xml:space="preserve"> je možné efektívne znižovať.</w:t>
      </w:r>
      <w:r>
        <w:t xml:space="preserve"> </w:t>
      </w:r>
    </w:p>
    <w:p w:rsidR="007F1BA3" w:rsidRDefault="00C903AC" w:rsidP="00AE3785">
      <w:pPr>
        <w:jc w:val="both"/>
      </w:pPr>
      <w:r>
        <w:rPr>
          <w:noProof/>
          <w:lang w:eastAsia="sk-SK"/>
        </w:rPr>
        <w:drawing>
          <wp:inline distT="0" distB="0" distL="0" distR="0">
            <wp:extent cx="5727700" cy="3924300"/>
            <wp:effectExtent l="19050" t="0" r="635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5727700" cy="3924300"/>
                    </a:xfrm>
                    <a:prstGeom prst="rect">
                      <a:avLst/>
                    </a:prstGeom>
                    <a:noFill/>
                    <a:ln w="9525">
                      <a:noFill/>
                      <a:miter lim="800000"/>
                      <a:headEnd/>
                      <a:tailEnd/>
                    </a:ln>
                  </pic:spPr>
                </pic:pic>
              </a:graphicData>
            </a:graphic>
          </wp:inline>
        </w:drawing>
      </w:r>
    </w:p>
    <w:p w:rsidR="007F1BA3" w:rsidRPr="00AC1515" w:rsidRDefault="007F1BA3" w:rsidP="00AE3785">
      <w:pPr>
        <w:jc w:val="both"/>
        <w:rPr>
          <w:b/>
        </w:rPr>
      </w:pPr>
      <w:r w:rsidRPr="00AC1515">
        <w:rPr>
          <w:b/>
        </w:rPr>
        <w:t>Obrázok 23: Vývojová schéma prípravy PPVO</w:t>
      </w:r>
      <w:r w:rsidRPr="00AC1515">
        <w:rPr>
          <w:rStyle w:val="Odkaznapoznmkupodiarou"/>
          <w:b/>
        </w:rPr>
        <w:footnoteReference w:id="8"/>
      </w:r>
    </w:p>
    <w:p w:rsidR="007F1BA3" w:rsidRDefault="007F1BA3" w:rsidP="004C29C6">
      <w:pPr>
        <w:jc w:val="both"/>
        <w:rPr>
          <w:b/>
        </w:rPr>
      </w:pPr>
    </w:p>
    <w:p w:rsidR="007F1BA3" w:rsidRDefault="007F1BA3" w:rsidP="004C29C6">
      <w:pPr>
        <w:jc w:val="both"/>
      </w:pPr>
      <w:r w:rsidRPr="00FD2EB6">
        <w:rPr>
          <w:b/>
        </w:rPr>
        <w:t>Špeciálnu pozornosť je potrebné venovať komunálnym odpadom</w:t>
      </w:r>
      <w:r>
        <w:t xml:space="preserve">, pretože v tomto </w:t>
      </w:r>
      <w:r w:rsidRPr="00C6194A">
        <w:t>prúde</w:t>
      </w:r>
      <w:r>
        <w:t xml:space="preserve"> končia všetky výrobky po vypotrebovaní svojich úžitkových hodnôt (obrázok 24). Je to konečná fáza životného cyklu každého výrobku, a preto sa tu používajú iné stimulačné opatrenia ako pri odpade </w:t>
      </w:r>
      <w:r>
        <w:lastRenderedPageBreak/>
        <w:t xml:space="preserve">z priemyslu. Náklady súvisiace s nakladaním s priemyselným odpadom znáša priamo pôvodca odpadu, kým náklady súvisiace s komunálnymi odpadmi znáša ich pôvodca nepriamo – cez poplatky platené obci.  Na druhej strane, opatrenia na predchádzanie vzniku komunálnych odpadov môžu ovplyvniť vznik odpadov v celom životnom cykle.  </w:t>
      </w:r>
    </w:p>
    <w:p w:rsidR="007F1BA3" w:rsidRDefault="007F1BA3" w:rsidP="00AE3785">
      <w:pPr>
        <w:jc w:val="both"/>
      </w:pPr>
    </w:p>
    <w:p w:rsidR="007F1BA3" w:rsidRDefault="00C903AC" w:rsidP="00AE3785">
      <w:pPr>
        <w:jc w:val="both"/>
        <w:rPr>
          <w:b/>
        </w:rPr>
      </w:pPr>
      <w:r>
        <w:rPr>
          <w:noProof/>
          <w:lang w:eastAsia="sk-SK"/>
        </w:rPr>
        <w:drawing>
          <wp:inline distT="0" distB="0" distL="0" distR="0">
            <wp:extent cx="5619750" cy="3486150"/>
            <wp:effectExtent l="19050" t="19050" r="19050" b="19050"/>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5619750" cy="3486150"/>
                    </a:xfrm>
                    <a:prstGeom prst="rect">
                      <a:avLst/>
                    </a:prstGeom>
                    <a:noFill/>
                    <a:ln w="6350" cmpd="sng">
                      <a:solidFill>
                        <a:srgbClr val="000000"/>
                      </a:solidFill>
                      <a:miter lim="800000"/>
                      <a:headEnd/>
                      <a:tailEnd/>
                    </a:ln>
                    <a:effectLst/>
                  </pic:spPr>
                </pic:pic>
              </a:graphicData>
            </a:graphic>
          </wp:inline>
        </w:drawing>
      </w:r>
    </w:p>
    <w:p w:rsidR="007F1BA3" w:rsidRPr="00BB0184" w:rsidRDefault="007F1BA3" w:rsidP="0092731C">
      <w:pPr>
        <w:pStyle w:val="Popis"/>
        <w:rPr>
          <w:rFonts w:ascii="Calibri" w:hAnsi="Calibri"/>
          <w:color w:val="auto"/>
          <w:sz w:val="22"/>
          <w:szCs w:val="22"/>
        </w:rPr>
      </w:pPr>
      <w:r w:rsidRPr="00BB0184">
        <w:rPr>
          <w:rFonts w:ascii="Calibri" w:hAnsi="Calibri"/>
          <w:color w:val="auto"/>
          <w:sz w:val="22"/>
          <w:szCs w:val="22"/>
        </w:rPr>
        <w:t xml:space="preserve">Obrázok </w:t>
      </w:r>
      <w:r>
        <w:rPr>
          <w:rFonts w:ascii="Calibri" w:hAnsi="Calibri"/>
          <w:color w:val="auto"/>
          <w:sz w:val="22"/>
          <w:szCs w:val="22"/>
        </w:rPr>
        <w:t>24:</w:t>
      </w:r>
      <w:r w:rsidRPr="00BB0184">
        <w:rPr>
          <w:rFonts w:ascii="Calibri" w:hAnsi="Calibri"/>
          <w:color w:val="auto"/>
          <w:sz w:val="22"/>
          <w:szCs w:val="22"/>
        </w:rPr>
        <w:t xml:space="preserve"> Životný cyklus vzniku odpadu</w:t>
      </w:r>
      <w:r w:rsidRPr="00BB0184">
        <w:rPr>
          <w:rStyle w:val="Odkaznapoznmkupodiarou"/>
          <w:rFonts w:ascii="Calibri" w:hAnsi="Calibri"/>
          <w:color w:val="auto"/>
          <w:sz w:val="22"/>
          <w:szCs w:val="22"/>
        </w:rPr>
        <w:footnoteReference w:id="9"/>
      </w:r>
    </w:p>
    <w:p w:rsidR="007F1BA3" w:rsidRPr="0092731C" w:rsidRDefault="007F1BA3" w:rsidP="0092731C">
      <w:pPr>
        <w:rPr>
          <w:lang w:eastAsia="cs-CZ"/>
        </w:rPr>
      </w:pPr>
    </w:p>
    <w:p w:rsidR="007F1BA3" w:rsidRDefault="007F1BA3" w:rsidP="00AE3785">
      <w:pPr>
        <w:jc w:val="both"/>
      </w:pPr>
      <w:r>
        <w:t>Na základe metodického usmernenia EK</w:t>
      </w:r>
      <w:r w:rsidR="00946749">
        <w:t xml:space="preserve"> „</w:t>
      </w:r>
      <w:proofErr w:type="spellStart"/>
      <w:r w:rsidR="00946749">
        <w:t>Preparing</w:t>
      </w:r>
      <w:proofErr w:type="spellEnd"/>
      <w:r w:rsidR="00946749">
        <w:t xml:space="preserve"> a </w:t>
      </w:r>
      <w:proofErr w:type="spellStart"/>
      <w:r w:rsidR="00946749">
        <w:t>Waste</w:t>
      </w:r>
      <w:proofErr w:type="spellEnd"/>
      <w:r w:rsidR="00946749">
        <w:t xml:space="preserve"> </w:t>
      </w:r>
      <w:proofErr w:type="spellStart"/>
      <w:r w:rsidR="00946749">
        <w:t>Prevention</w:t>
      </w:r>
      <w:proofErr w:type="spellEnd"/>
      <w:r w:rsidR="00946749">
        <w:t xml:space="preserve"> </w:t>
      </w:r>
      <w:proofErr w:type="spellStart"/>
      <w:r w:rsidR="00946749">
        <w:t>Programme</w:t>
      </w:r>
      <w:proofErr w:type="spellEnd"/>
      <w:r w:rsidR="00946749">
        <w:t>“ uverejneného v októbri 2012</w:t>
      </w:r>
      <w:r>
        <w:t xml:space="preserve"> a analytickej časti tohto dokumentu sú stanovené </w:t>
      </w:r>
      <w:r w:rsidRPr="006D6C63">
        <w:rPr>
          <w:b/>
        </w:rPr>
        <w:t>špecifické ciele</w:t>
      </w:r>
      <w:r>
        <w:t xml:space="preserve"> pre </w:t>
      </w:r>
      <w:r w:rsidR="00A253B6">
        <w:t xml:space="preserve">7 </w:t>
      </w:r>
      <w:r>
        <w:t xml:space="preserve">vybraných </w:t>
      </w:r>
      <w:r w:rsidRPr="00C6194A">
        <w:t>prúdov</w:t>
      </w:r>
      <w:r>
        <w:t xml:space="preserve"> odpadov:</w:t>
      </w:r>
    </w:p>
    <w:p w:rsidR="007F1BA3" w:rsidRPr="006D6C63" w:rsidRDefault="007F1BA3" w:rsidP="008468C9">
      <w:pPr>
        <w:numPr>
          <w:ilvl w:val="0"/>
          <w:numId w:val="11"/>
        </w:numPr>
        <w:spacing w:after="0"/>
        <w:ind w:left="714" w:hanging="357"/>
        <w:jc w:val="both"/>
        <w:rPr>
          <w:b/>
        </w:rPr>
      </w:pPr>
      <w:r>
        <w:rPr>
          <w:b/>
        </w:rPr>
        <w:t>z</w:t>
      </w:r>
      <w:r w:rsidRPr="006D6C63">
        <w:rPr>
          <w:b/>
        </w:rPr>
        <w:t>mesový komunálny odpad</w:t>
      </w:r>
      <w:r>
        <w:rPr>
          <w:b/>
        </w:rPr>
        <w:t>,</w:t>
      </w:r>
    </w:p>
    <w:p w:rsidR="007F1BA3" w:rsidRPr="006D6C63" w:rsidRDefault="007F1BA3" w:rsidP="008468C9">
      <w:pPr>
        <w:numPr>
          <w:ilvl w:val="0"/>
          <w:numId w:val="11"/>
        </w:numPr>
        <w:spacing w:after="0"/>
        <w:ind w:left="714" w:hanging="357"/>
        <w:jc w:val="both"/>
        <w:rPr>
          <w:b/>
        </w:rPr>
      </w:pPr>
      <w:r>
        <w:rPr>
          <w:b/>
        </w:rPr>
        <w:t>b</w:t>
      </w:r>
      <w:r w:rsidRPr="006D6C63">
        <w:rPr>
          <w:b/>
        </w:rPr>
        <w:t>iologicky rozložiteľné komunálne odpady</w:t>
      </w:r>
      <w:r>
        <w:rPr>
          <w:b/>
        </w:rPr>
        <w:t>,</w:t>
      </w:r>
    </w:p>
    <w:p w:rsidR="007F1BA3" w:rsidRPr="006D6C63" w:rsidRDefault="007F1BA3" w:rsidP="008468C9">
      <w:pPr>
        <w:numPr>
          <w:ilvl w:val="0"/>
          <w:numId w:val="11"/>
        </w:numPr>
        <w:spacing w:after="0"/>
        <w:ind w:left="714" w:hanging="357"/>
        <w:jc w:val="both"/>
        <w:rPr>
          <w:b/>
        </w:rPr>
      </w:pPr>
      <w:r>
        <w:rPr>
          <w:b/>
        </w:rPr>
        <w:t>o</w:t>
      </w:r>
      <w:r w:rsidRPr="006D6C63">
        <w:rPr>
          <w:b/>
        </w:rPr>
        <w:t>dpad z</w:t>
      </w:r>
      <w:r>
        <w:rPr>
          <w:b/>
        </w:rPr>
        <w:t> </w:t>
      </w:r>
      <w:r w:rsidRPr="006D6C63">
        <w:rPr>
          <w:b/>
        </w:rPr>
        <w:t>papiera</w:t>
      </w:r>
      <w:r>
        <w:rPr>
          <w:b/>
        </w:rPr>
        <w:t>,</w:t>
      </w:r>
    </w:p>
    <w:p w:rsidR="007F1BA3" w:rsidRPr="006D6C63" w:rsidRDefault="007F1BA3" w:rsidP="008468C9">
      <w:pPr>
        <w:numPr>
          <w:ilvl w:val="0"/>
          <w:numId w:val="11"/>
        </w:numPr>
        <w:spacing w:after="0"/>
        <w:ind w:left="714" w:hanging="357"/>
        <w:jc w:val="both"/>
        <w:rPr>
          <w:b/>
        </w:rPr>
      </w:pPr>
      <w:r>
        <w:rPr>
          <w:b/>
        </w:rPr>
        <w:t>o</w:t>
      </w:r>
      <w:r w:rsidRPr="006D6C63">
        <w:rPr>
          <w:b/>
        </w:rPr>
        <w:t>dpad z</w:t>
      </w:r>
      <w:r>
        <w:rPr>
          <w:b/>
        </w:rPr>
        <w:t> </w:t>
      </w:r>
      <w:r w:rsidRPr="006D6C63">
        <w:rPr>
          <w:b/>
        </w:rPr>
        <w:t>obalov</w:t>
      </w:r>
      <w:r>
        <w:rPr>
          <w:b/>
        </w:rPr>
        <w:t>,</w:t>
      </w:r>
    </w:p>
    <w:p w:rsidR="007F1BA3" w:rsidRPr="006D6C63" w:rsidRDefault="007F1BA3" w:rsidP="008468C9">
      <w:pPr>
        <w:numPr>
          <w:ilvl w:val="0"/>
          <w:numId w:val="11"/>
        </w:numPr>
        <w:spacing w:after="0"/>
        <w:ind w:left="714" w:hanging="357"/>
        <w:jc w:val="both"/>
        <w:rPr>
          <w:b/>
        </w:rPr>
      </w:pPr>
      <w:r>
        <w:rPr>
          <w:b/>
        </w:rPr>
        <w:t>stavebné odpady a odpady z demolácií,</w:t>
      </w:r>
    </w:p>
    <w:p w:rsidR="007F1BA3" w:rsidRDefault="007F1BA3" w:rsidP="008468C9">
      <w:pPr>
        <w:numPr>
          <w:ilvl w:val="0"/>
          <w:numId w:val="11"/>
        </w:numPr>
        <w:spacing w:after="0"/>
        <w:ind w:left="714" w:hanging="357"/>
        <w:jc w:val="both"/>
        <w:rPr>
          <w:b/>
        </w:rPr>
      </w:pPr>
      <w:r>
        <w:rPr>
          <w:b/>
        </w:rPr>
        <w:t>n</w:t>
      </w:r>
      <w:r w:rsidRPr="006D6C63">
        <w:rPr>
          <w:b/>
        </w:rPr>
        <w:t>ebezpečný odpad</w:t>
      </w:r>
      <w:r>
        <w:rPr>
          <w:b/>
        </w:rPr>
        <w:t>,</w:t>
      </w:r>
    </w:p>
    <w:p w:rsidR="007F1BA3" w:rsidRPr="006D6C63" w:rsidRDefault="007F1BA3" w:rsidP="008468C9">
      <w:pPr>
        <w:numPr>
          <w:ilvl w:val="0"/>
          <w:numId w:val="11"/>
        </w:numPr>
        <w:spacing w:after="0"/>
        <w:ind w:left="714" w:hanging="357"/>
        <w:jc w:val="both"/>
        <w:rPr>
          <w:b/>
        </w:rPr>
      </w:pPr>
      <w:r>
        <w:rPr>
          <w:b/>
        </w:rPr>
        <w:t>odpad z ťažobného priemyslu.</w:t>
      </w:r>
    </w:p>
    <w:p w:rsidR="007F1BA3" w:rsidRDefault="007F1BA3" w:rsidP="008C1AE6">
      <w:pPr>
        <w:pStyle w:val="Nadpis2"/>
      </w:pPr>
    </w:p>
    <w:p w:rsidR="007F1BA3" w:rsidRDefault="007F1BA3" w:rsidP="008C1AE6">
      <w:pPr>
        <w:pStyle w:val="Nadpis2"/>
      </w:pPr>
      <w:bookmarkStart w:id="44" w:name="_Toc356292972"/>
      <w:r w:rsidRPr="006D6C63">
        <w:t>4.3</w:t>
      </w:r>
      <w:r>
        <w:tab/>
        <w:t>Špecifické ciele pre vybrané prúdy odpadov</w:t>
      </w:r>
      <w:bookmarkEnd w:id="44"/>
      <w:r w:rsidRPr="006D6C63">
        <w:tab/>
      </w:r>
    </w:p>
    <w:p w:rsidR="007F1BA3" w:rsidRDefault="007F1BA3" w:rsidP="0017410A">
      <w:pPr>
        <w:pStyle w:val="Nadpis3"/>
      </w:pPr>
      <w:bookmarkStart w:id="45" w:name="_Toc356292973"/>
      <w:r>
        <w:t>4.3.1</w:t>
      </w:r>
      <w:r>
        <w:tab/>
        <w:t>Zmesový komunálny odpad</w:t>
      </w:r>
      <w:bookmarkEnd w:id="45"/>
    </w:p>
    <w:p w:rsidR="007F1BA3" w:rsidRDefault="007F1BA3" w:rsidP="006E6E6E">
      <w:pPr>
        <w:jc w:val="both"/>
        <w:rPr>
          <w:lang w:eastAsia="sk-SK"/>
        </w:rPr>
      </w:pPr>
      <w:r w:rsidRPr="006E6E6E">
        <w:rPr>
          <w:b/>
          <w:lang w:eastAsia="sk-SK"/>
        </w:rPr>
        <w:t>Zmesový komunálny odpad (</w:t>
      </w:r>
      <w:r>
        <w:rPr>
          <w:b/>
          <w:lang w:eastAsia="sk-SK"/>
        </w:rPr>
        <w:t>ZKO</w:t>
      </w:r>
      <w:r w:rsidRPr="006E6E6E">
        <w:rPr>
          <w:b/>
          <w:lang w:eastAsia="sk-SK"/>
        </w:rPr>
        <w:t>) je prioritným prúdom odpadov</w:t>
      </w:r>
      <w:r>
        <w:rPr>
          <w:lang w:eastAsia="sk-SK"/>
        </w:rPr>
        <w:t xml:space="preserve"> v PPVO SR z týchto dôvodov:</w:t>
      </w:r>
    </w:p>
    <w:p w:rsidR="007F1BA3" w:rsidRDefault="007F1BA3" w:rsidP="008468C9">
      <w:pPr>
        <w:pStyle w:val="Odsekzoznamu"/>
        <w:numPr>
          <w:ilvl w:val="0"/>
          <w:numId w:val="30"/>
        </w:numPr>
        <w:jc w:val="both"/>
      </w:pPr>
      <w:r>
        <w:t>v tomto prúde končí väčšina výrobkov po vypotrebovaní svojich úžitkových hodnôt,</w:t>
      </w:r>
    </w:p>
    <w:p w:rsidR="007F1BA3" w:rsidRDefault="007F1BA3" w:rsidP="008468C9">
      <w:pPr>
        <w:pStyle w:val="Odsekzoznamu"/>
        <w:numPr>
          <w:ilvl w:val="0"/>
          <w:numId w:val="30"/>
        </w:numPr>
        <w:jc w:val="both"/>
      </w:pPr>
      <w:r>
        <w:t xml:space="preserve">množstvo a zloženie ZKO odráža úroveň odpadového hospodárstva (t. j. aplikovanie hierarchie odpadového hospodárstva vrátane predchádzania vzniku odpadu, stupeň vytrieďovania zložiek KO a ich recykláciu, resp. zhodnocovanie), </w:t>
      </w:r>
    </w:p>
    <w:p w:rsidR="007F1BA3" w:rsidRDefault="007F1BA3" w:rsidP="008468C9">
      <w:pPr>
        <w:pStyle w:val="Odsekzoznamu"/>
        <w:numPr>
          <w:ilvl w:val="0"/>
          <w:numId w:val="30"/>
        </w:numPr>
        <w:jc w:val="both"/>
      </w:pPr>
      <w:r>
        <w:t>pre tento prúd odpadov sú k dispozícii relatívne spoľahlivé údaje týkajúce sa vzniku a zloženia ZKO,</w:t>
      </w:r>
    </w:p>
    <w:p w:rsidR="007F1BA3" w:rsidRPr="00511EC5" w:rsidRDefault="007F1BA3" w:rsidP="008468C9">
      <w:pPr>
        <w:pStyle w:val="Odsekzoznamu"/>
        <w:numPr>
          <w:ilvl w:val="0"/>
          <w:numId w:val="30"/>
        </w:numPr>
        <w:jc w:val="both"/>
      </w:pPr>
      <w:r>
        <w:t>pre ZKO je možné stanoviť kvantitatívne referenčné hodnoty na sledovanie znižovania jeho vzniku v súvislosti s preventívnymi opatreniami.</w:t>
      </w:r>
    </w:p>
    <w:p w:rsidR="007F1BA3" w:rsidRPr="00587046" w:rsidRDefault="007F1BA3" w:rsidP="00173437">
      <w:pPr>
        <w:spacing w:before="240"/>
        <w:jc w:val="both"/>
        <w:rPr>
          <w:b/>
          <w:lang w:eastAsia="sk-SK"/>
        </w:rPr>
      </w:pPr>
      <w:r w:rsidRPr="00C02354">
        <w:rPr>
          <w:b/>
          <w:lang w:eastAsia="sk-SK"/>
        </w:rPr>
        <w:t>Z</w:t>
      </w:r>
      <w:r>
        <w:rPr>
          <w:b/>
          <w:lang w:eastAsia="sk-SK"/>
        </w:rPr>
        <w:t>KO</w:t>
      </w:r>
      <w:r w:rsidRPr="00C02354">
        <w:rPr>
          <w:b/>
          <w:lang w:eastAsia="sk-SK"/>
        </w:rPr>
        <w:t xml:space="preserve"> </w:t>
      </w:r>
      <w:r w:rsidRPr="00AF2A58">
        <w:rPr>
          <w:lang w:eastAsia="sk-SK"/>
        </w:rPr>
        <w:t>(katalógové číslo 20 03 01)</w:t>
      </w:r>
      <w:r>
        <w:rPr>
          <w:lang w:eastAsia="sk-SK"/>
        </w:rPr>
        <w:t xml:space="preserve"> v súčasnosti tvorí až  70 % komunálnych odpadov a jeho množstvo sa od roku 2005 do roku 2008 zvyšovalo (tabuľka 18), pričom v roku 2008 vzniklo najviac zmesového komunálneho odpadu. V ďalších rokoch bol zaznamenaný mierny </w:t>
      </w:r>
      <w:r w:rsidRPr="00587046">
        <w:rPr>
          <w:b/>
          <w:lang w:eastAsia="sk-SK"/>
        </w:rPr>
        <w:t xml:space="preserve">pokles spôsobený lepším vytrieďovaním zložiek komunálnych odpadov. </w:t>
      </w:r>
    </w:p>
    <w:p w:rsidR="007F1BA3" w:rsidRPr="00BB0184" w:rsidRDefault="007F1BA3" w:rsidP="0092731C">
      <w:pPr>
        <w:pStyle w:val="Popis"/>
        <w:rPr>
          <w:rFonts w:ascii="Calibri" w:hAnsi="Calibri"/>
          <w:color w:val="auto"/>
          <w:sz w:val="22"/>
          <w:szCs w:val="22"/>
        </w:rPr>
      </w:pPr>
      <w:r w:rsidRPr="00BB0184">
        <w:rPr>
          <w:rFonts w:ascii="Calibri" w:hAnsi="Calibri"/>
          <w:color w:val="auto"/>
          <w:sz w:val="22"/>
          <w:szCs w:val="22"/>
        </w:rPr>
        <w:t xml:space="preserve">Tabuľka </w:t>
      </w:r>
      <w:r>
        <w:rPr>
          <w:rFonts w:ascii="Calibri" w:hAnsi="Calibri"/>
          <w:color w:val="auto"/>
          <w:sz w:val="22"/>
          <w:szCs w:val="22"/>
        </w:rPr>
        <w:t xml:space="preserve">19: </w:t>
      </w:r>
      <w:r w:rsidRPr="00BB0184">
        <w:rPr>
          <w:rFonts w:ascii="Calibri" w:hAnsi="Calibri"/>
          <w:color w:val="auto"/>
          <w:sz w:val="22"/>
          <w:szCs w:val="22"/>
        </w:rPr>
        <w:t>Vznik zmesového komunálneho odpadu v r. 2005 – 2011 (v tonách)</w:t>
      </w:r>
    </w:p>
    <w:tbl>
      <w:tblPr>
        <w:tblW w:w="5000" w:type="pct"/>
        <w:tblCellMar>
          <w:left w:w="70" w:type="dxa"/>
          <w:right w:w="70" w:type="dxa"/>
        </w:tblCellMar>
        <w:tblLook w:val="00A0"/>
      </w:tblPr>
      <w:tblGrid>
        <w:gridCol w:w="1246"/>
        <w:gridCol w:w="1095"/>
        <w:gridCol w:w="1095"/>
        <w:gridCol w:w="1094"/>
        <w:gridCol w:w="1094"/>
        <w:gridCol w:w="1094"/>
        <w:gridCol w:w="1094"/>
        <w:gridCol w:w="1400"/>
      </w:tblGrid>
      <w:tr w:rsidR="007F1BA3" w:rsidRPr="001401CB" w:rsidTr="00AF2A58">
        <w:trPr>
          <w:trHeight w:val="170"/>
          <w:tblHeader/>
        </w:trPr>
        <w:tc>
          <w:tcPr>
            <w:tcW w:w="676" w:type="pct"/>
            <w:tcBorders>
              <w:top w:val="single" w:sz="4" w:space="0" w:color="auto"/>
              <w:left w:val="single" w:sz="4" w:space="0" w:color="auto"/>
              <w:bottom w:val="single" w:sz="4" w:space="0" w:color="auto"/>
              <w:right w:val="single" w:sz="4" w:space="0" w:color="auto"/>
            </w:tcBorders>
            <w:shd w:val="clear" w:color="auto" w:fill="C2D69B"/>
            <w:noWrap/>
            <w:vAlign w:val="center"/>
          </w:tcPr>
          <w:p w:rsidR="007F1BA3" w:rsidRPr="001401CB" w:rsidRDefault="007F1BA3" w:rsidP="00F86903">
            <w:pPr>
              <w:spacing w:after="0" w:line="240" w:lineRule="auto"/>
              <w:jc w:val="center"/>
              <w:rPr>
                <w:b/>
                <w:bCs/>
                <w:color w:val="000000"/>
                <w:lang w:eastAsia="sk-SK"/>
              </w:rPr>
            </w:pPr>
            <w:r>
              <w:rPr>
                <w:b/>
                <w:bCs/>
                <w:color w:val="000000"/>
                <w:lang w:eastAsia="sk-SK"/>
              </w:rPr>
              <w:t>Rok</w:t>
            </w:r>
          </w:p>
        </w:tc>
        <w:tc>
          <w:tcPr>
            <w:tcW w:w="594" w:type="pct"/>
            <w:tcBorders>
              <w:top w:val="single" w:sz="4" w:space="0" w:color="auto"/>
              <w:left w:val="nil"/>
              <w:bottom w:val="single" w:sz="4" w:space="0" w:color="auto"/>
              <w:right w:val="single" w:sz="4" w:space="0" w:color="auto"/>
            </w:tcBorders>
            <w:shd w:val="clear" w:color="auto" w:fill="C2D69B"/>
            <w:noWrap/>
            <w:vAlign w:val="center"/>
          </w:tcPr>
          <w:p w:rsidR="007F1BA3" w:rsidRPr="001401CB" w:rsidRDefault="007F1BA3" w:rsidP="00F86903">
            <w:pPr>
              <w:spacing w:after="0" w:line="240" w:lineRule="auto"/>
              <w:jc w:val="center"/>
              <w:rPr>
                <w:b/>
                <w:bCs/>
                <w:color w:val="000000"/>
                <w:lang w:eastAsia="sk-SK"/>
              </w:rPr>
            </w:pPr>
            <w:r w:rsidRPr="001401CB">
              <w:rPr>
                <w:b/>
                <w:bCs/>
                <w:color w:val="000000"/>
                <w:lang w:eastAsia="sk-SK"/>
              </w:rPr>
              <w:t>2005</w:t>
            </w:r>
          </w:p>
        </w:tc>
        <w:tc>
          <w:tcPr>
            <w:tcW w:w="594" w:type="pct"/>
            <w:tcBorders>
              <w:top w:val="single" w:sz="4" w:space="0" w:color="auto"/>
              <w:left w:val="nil"/>
              <w:bottom w:val="single" w:sz="4" w:space="0" w:color="auto"/>
              <w:right w:val="single" w:sz="4" w:space="0" w:color="auto"/>
            </w:tcBorders>
            <w:shd w:val="clear" w:color="auto" w:fill="C2D69B"/>
            <w:noWrap/>
            <w:vAlign w:val="center"/>
          </w:tcPr>
          <w:p w:rsidR="007F1BA3" w:rsidRPr="001401CB" w:rsidRDefault="007F1BA3" w:rsidP="00F86903">
            <w:pPr>
              <w:spacing w:after="0" w:line="240" w:lineRule="auto"/>
              <w:jc w:val="center"/>
              <w:rPr>
                <w:b/>
                <w:bCs/>
                <w:color w:val="000000"/>
                <w:lang w:eastAsia="sk-SK"/>
              </w:rPr>
            </w:pPr>
            <w:r w:rsidRPr="001401CB">
              <w:rPr>
                <w:b/>
                <w:bCs/>
                <w:color w:val="000000"/>
                <w:lang w:eastAsia="sk-SK"/>
              </w:rPr>
              <w:t>2006</w:t>
            </w:r>
          </w:p>
        </w:tc>
        <w:tc>
          <w:tcPr>
            <w:tcW w:w="594" w:type="pct"/>
            <w:tcBorders>
              <w:top w:val="single" w:sz="4" w:space="0" w:color="auto"/>
              <w:left w:val="nil"/>
              <w:bottom w:val="single" w:sz="4" w:space="0" w:color="auto"/>
              <w:right w:val="single" w:sz="4" w:space="0" w:color="auto"/>
            </w:tcBorders>
            <w:shd w:val="clear" w:color="auto" w:fill="C2D69B"/>
            <w:noWrap/>
            <w:vAlign w:val="center"/>
          </w:tcPr>
          <w:p w:rsidR="007F1BA3" w:rsidRPr="001401CB" w:rsidRDefault="007F1BA3" w:rsidP="00F86903">
            <w:pPr>
              <w:spacing w:after="0" w:line="240" w:lineRule="auto"/>
              <w:jc w:val="center"/>
              <w:rPr>
                <w:b/>
                <w:bCs/>
                <w:color w:val="000000"/>
                <w:lang w:eastAsia="sk-SK"/>
              </w:rPr>
            </w:pPr>
            <w:r w:rsidRPr="001401CB">
              <w:rPr>
                <w:b/>
                <w:bCs/>
                <w:color w:val="000000"/>
                <w:lang w:eastAsia="sk-SK"/>
              </w:rPr>
              <w:t>2007</w:t>
            </w:r>
          </w:p>
        </w:tc>
        <w:tc>
          <w:tcPr>
            <w:tcW w:w="594" w:type="pct"/>
            <w:tcBorders>
              <w:top w:val="single" w:sz="4" w:space="0" w:color="auto"/>
              <w:left w:val="nil"/>
              <w:bottom w:val="single" w:sz="4" w:space="0" w:color="auto"/>
              <w:right w:val="single" w:sz="4" w:space="0" w:color="auto"/>
            </w:tcBorders>
            <w:shd w:val="clear" w:color="auto" w:fill="FFFF00"/>
            <w:noWrap/>
            <w:vAlign w:val="center"/>
          </w:tcPr>
          <w:p w:rsidR="007F1BA3" w:rsidRPr="001401CB" w:rsidRDefault="007F1BA3" w:rsidP="00F86903">
            <w:pPr>
              <w:spacing w:after="0" w:line="240" w:lineRule="auto"/>
              <w:jc w:val="center"/>
              <w:rPr>
                <w:b/>
                <w:bCs/>
                <w:color w:val="000000"/>
                <w:lang w:eastAsia="sk-SK"/>
              </w:rPr>
            </w:pPr>
            <w:r w:rsidRPr="001401CB">
              <w:rPr>
                <w:b/>
                <w:bCs/>
                <w:color w:val="000000"/>
                <w:lang w:eastAsia="sk-SK"/>
              </w:rPr>
              <w:t>2008</w:t>
            </w:r>
          </w:p>
        </w:tc>
        <w:tc>
          <w:tcPr>
            <w:tcW w:w="594" w:type="pct"/>
            <w:tcBorders>
              <w:top w:val="single" w:sz="4" w:space="0" w:color="auto"/>
              <w:left w:val="nil"/>
              <w:bottom w:val="single" w:sz="4" w:space="0" w:color="auto"/>
              <w:right w:val="single" w:sz="4" w:space="0" w:color="auto"/>
            </w:tcBorders>
            <w:shd w:val="clear" w:color="auto" w:fill="C2D69B"/>
            <w:noWrap/>
            <w:vAlign w:val="center"/>
          </w:tcPr>
          <w:p w:rsidR="007F1BA3" w:rsidRPr="001401CB" w:rsidRDefault="007F1BA3" w:rsidP="00F86903">
            <w:pPr>
              <w:spacing w:after="0" w:line="240" w:lineRule="auto"/>
              <w:jc w:val="center"/>
              <w:rPr>
                <w:b/>
                <w:bCs/>
                <w:color w:val="000000"/>
                <w:lang w:eastAsia="sk-SK"/>
              </w:rPr>
            </w:pPr>
            <w:r w:rsidRPr="001401CB">
              <w:rPr>
                <w:b/>
                <w:bCs/>
                <w:color w:val="000000"/>
                <w:lang w:eastAsia="sk-SK"/>
              </w:rPr>
              <w:t>2009</w:t>
            </w:r>
          </w:p>
        </w:tc>
        <w:tc>
          <w:tcPr>
            <w:tcW w:w="594" w:type="pct"/>
            <w:tcBorders>
              <w:top w:val="single" w:sz="4" w:space="0" w:color="auto"/>
              <w:left w:val="nil"/>
              <w:bottom w:val="single" w:sz="4" w:space="0" w:color="auto"/>
              <w:right w:val="single" w:sz="4" w:space="0" w:color="auto"/>
            </w:tcBorders>
            <w:shd w:val="clear" w:color="auto" w:fill="C2D69B"/>
            <w:noWrap/>
            <w:vAlign w:val="center"/>
          </w:tcPr>
          <w:p w:rsidR="007F1BA3" w:rsidRPr="001401CB" w:rsidRDefault="007F1BA3" w:rsidP="00F86903">
            <w:pPr>
              <w:spacing w:after="0" w:line="240" w:lineRule="auto"/>
              <w:jc w:val="center"/>
              <w:rPr>
                <w:b/>
                <w:bCs/>
                <w:color w:val="000000"/>
                <w:lang w:eastAsia="sk-SK"/>
              </w:rPr>
            </w:pPr>
            <w:r w:rsidRPr="001401CB">
              <w:rPr>
                <w:b/>
                <w:bCs/>
                <w:color w:val="000000"/>
                <w:lang w:eastAsia="sk-SK"/>
              </w:rPr>
              <w:t>2010</w:t>
            </w:r>
          </w:p>
        </w:tc>
        <w:tc>
          <w:tcPr>
            <w:tcW w:w="760" w:type="pct"/>
            <w:tcBorders>
              <w:top w:val="single" w:sz="4" w:space="0" w:color="auto"/>
              <w:left w:val="nil"/>
              <w:bottom w:val="single" w:sz="4" w:space="0" w:color="auto"/>
              <w:right w:val="single" w:sz="4" w:space="0" w:color="auto"/>
            </w:tcBorders>
            <w:shd w:val="clear" w:color="auto" w:fill="C2D69B"/>
            <w:noWrap/>
            <w:vAlign w:val="center"/>
          </w:tcPr>
          <w:p w:rsidR="007F1BA3" w:rsidRPr="001401CB" w:rsidRDefault="007F1BA3" w:rsidP="00F86903">
            <w:pPr>
              <w:spacing w:after="0" w:line="240" w:lineRule="auto"/>
              <w:jc w:val="center"/>
              <w:rPr>
                <w:b/>
                <w:bCs/>
                <w:color w:val="000000"/>
                <w:lang w:eastAsia="sk-SK"/>
              </w:rPr>
            </w:pPr>
            <w:r w:rsidRPr="001401CB">
              <w:rPr>
                <w:b/>
                <w:bCs/>
                <w:color w:val="000000"/>
                <w:lang w:eastAsia="sk-SK"/>
              </w:rPr>
              <w:t>2011</w:t>
            </w:r>
          </w:p>
        </w:tc>
      </w:tr>
      <w:tr w:rsidR="007F1BA3" w:rsidRPr="001401CB" w:rsidTr="00AF2A58">
        <w:trPr>
          <w:trHeight w:val="170"/>
        </w:trPr>
        <w:tc>
          <w:tcPr>
            <w:tcW w:w="676" w:type="pct"/>
            <w:tcBorders>
              <w:top w:val="nil"/>
              <w:left w:val="single" w:sz="4" w:space="0" w:color="auto"/>
              <w:bottom w:val="single" w:sz="4" w:space="0" w:color="auto"/>
              <w:right w:val="single" w:sz="4" w:space="0" w:color="auto"/>
            </w:tcBorders>
            <w:vAlign w:val="center"/>
          </w:tcPr>
          <w:p w:rsidR="007F1BA3" w:rsidRPr="001401CB" w:rsidRDefault="007F1BA3" w:rsidP="00F86903">
            <w:pPr>
              <w:spacing w:after="0" w:line="240" w:lineRule="auto"/>
              <w:rPr>
                <w:color w:val="000000"/>
                <w:lang w:eastAsia="sk-SK"/>
              </w:rPr>
            </w:pPr>
            <w:r>
              <w:rPr>
                <w:color w:val="000000"/>
                <w:lang w:eastAsia="sk-SK"/>
              </w:rPr>
              <w:t>ZKO</w:t>
            </w:r>
          </w:p>
        </w:tc>
        <w:tc>
          <w:tcPr>
            <w:tcW w:w="594" w:type="pct"/>
            <w:tcBorders>
              <w:top w:val="nil"/>
              <w:left w:val="nil"/>
              <w:bottom w:val="single" w:sz="4" w:space="0" w:color="auto"/>
              <w:right w:val="single" w:sz="4" w:space="0" w:color="auto"/>
            </w:tcBorders>
            <w:vAlign w:val="center"/>
          </w:tcPr>
          <w:p w:rsidR="007F1BA3" w:rsidRPr="001401CB" w:rsidRDefault="007F1BA3" w:rsidP="00F86903">
            <w:pPr>
              <w:spacing w:after="0" w:line="240" w:lineRule="auto"/>
              <w:jc w:val="right"/>
              <w:rPr>
                <w:color w:val="000000"/>
                <w:lang w:eastAsia="sk-SK"/>
              </w:rPr>
            </w:pPr>
            <w:r w:rsidRPr="006066FB">
              <w:rPr>
                <w:color w:val="000000"/>
                <w:lang w:eastAsia="zh-TW"/>
              </w:rPr>
              <w:t>1 114 58</w:t>
            </w:r>
            <w:r>
              <w:rPr>
                <w:color w:val="000000"/>
                <w:lang w:eastAsia="zh-TW"/>
              </w:rPr>
              <w:t>5</w:t>
            </w:r>
          </w:p>
        </w:tc>
        <w:tc>
          <w:tcPr>
            <w:tcW w:w="594" w:type="pct"/>
            <w:tcBorders>
              <w:top w:val="nil"/>
              <w:left w:val="nil"/>
              <w:bottom w:val="single" w:sz="4" w:space="0" w:color="auto"/>
              <w:right w:val="single" w:sz="4" w:space="0" w:color="auto"/>
            </w:tcBorders>
            <w:vAlign w:val="center"/>
          </w:tcPr>
          <w:p w:rsidR="007F1BA3" w:rsidRPr="001401CB" w:rsidRDefault="007F1BA3" w:rsidP="00F86903">
            <w:pPr>
              <w:spacing w:after="0" w:line="240" w:lineRule="auto"/>
              <w:jc w:val="right"/>
              <w:rPr>
                <w:color w:val="000000"/>
                <w:lang w:eastAsia="sk-SK"/>
              </w:rPr>
            </w:pPr>
            <w:r w:rsidRPr="006066FB">
              <w:rPr>
                <w:color w:val="000000"/>
                <w:lang w:eastAsia="zh-TW"/>
              </w:rPr>
              <w:t>1 144 806</w:t>
            </w:r>
          </w:p>
        </w:tc>
        <w:tc>
          <w:tcPr>
            <w:tcW w:w="594" w:type="pct"/>
            <w:tcBorders>
              <w:top w:val="nil"/>
              <w:left w:val="nil"/>
              <w:bottom w:val="single" w:sz="4" w:space="0" w:color="auto"/>
              <w:right w:val="single" w:sz="4" w:space="0" w:color="auto"/>
            </w:tcBorders>
            <w:vAlign w:val="center"/>
          </w:tcPr>
          <w:p w:rsidR="007F1BA3" w:rsidRPr="001401CB" w:rsidRDefault="007F1BA3" w:rsidP="00F86903">
            <w:pPr>
              <w:spacing w:after="0" w:line="240" w:lineRule="auto"/>
              <w:jc w:val="right"/>
              <w:rPr>
                <w:color w:val="000000"/>
                <w:lang w:eastAsia="sk-SK"/>
              </w:rPr>
            </w:pPr>
            <w:r w:rsidRPr="006066FB">
              <w:rPr>
                <w:color w:val="000000"/>
                <w:lang w:eastAsia="zh-TW"/>
              </w:rPr>
              <w:t>1 165 163</w:t>
            </w:r>
          </w:p>
        </w:tc>
        <w:tc>
          <w:tcPr>
            <w:tcW w:w="594" w:type="pct"/>
            <w:tcBorders>
              <w:top w:val="nil"/>
              <w:left w:val="nil"/>
              <w:bottom w:val="single" w:sz="4" w:space="0" w:color="auto"/>
              <w:right w:val="single" w:sz="4" w:space="0" w:color="auto"/>
            </w:tcBorders>
            <w:shd w:val="clear" w:color="auto" w:fill="FFFF00"/>
            <w:vAlign w:val="center"/>
          </w:tcPr>
          <w:p w:rsidR="007F1BA3" w:rsidRPr="001401CB" w:rsidRDefault="007F1BA3" w:rsidP="00F86903">
            <w:pPr>
              <w:spacing w:after="0" w:line="240" w:lineRule="auto"/>
              <w:jc w:val="right"/>
              <w:rPr>
                <w:color w:val="000000"/>
                <w:lang w:eastAsia="sk-SK"/>
              </w:rPr>
            </w:pPr>
            <w:r w:rsidRPr="006066FB">
              <w:rPr>
                <w:color w:val="000000"/>
                <w:lang w:eastAsia="zh-TW"/>
              </w:rPr>
              <w:t>1 218 040</w:t>
            </w:r>
          </w:p>
        </w:tc>
        <w:tc>
          <w:tcPr>
            <w:tcW w:w="594" w:type="pct"/>
            <w:tcBorders>
              <w:top w:val="nil"/>
              <w:left w:val="nil"/>
              <w:bottom w:val="single" w:sz="4" w:space="0" w:color="auto"/>
              <w:right w:val="single" w:sz="4" w:space="0" w:color="auto"/>
            </w:tcBorders>
            <w:vAlign w:val="center"/>
          </w:tcPr>
          <w:p w:rsidR="007F1BA3" w:rsidRPr="001401CB" w:rsidRDefault="007F1BA3" w:rsidP="00F86903">
            <w:pPr>
              <w:spacing w:after="0" w:line="240" w:lineRule="auto"/>
              <w:jc w:val="right"/>
              <w:rPr>
                <w:color w:val="000000"/>
                <w:lang w:eastAsia="sk-SK"/>
              </w:rPr>
            </w:pPr>
            <w:r w:rsidRPr="006066FB">
              <w:rPr>
                <w:color w:val="000000"/>
                <w:lang w:eastAsia="zh-TW"/>
              </w:rPr>
              <w:t>1 212 725</w:t>
            </w:r>
          </w:p>
        </w:tc>
        <w:tc>
          <w:tcPr>
            <w:tcW w:w="594" w:type="pct"/>
            <w:tcBorders>
              <w:top w:val="nil"/>
              <w:left w:val="nil"/>
              <w:bottom w:val="single" w:sz="4" w:space="0" w:color="auto"/>
              <w:right w:val="single" w:sz="4" w:space="0" w:color="auto"/>
            </w:tcBorders>
            <w:vAlign w:val="center"/>
          </w:tcPr>
          <w:p w:rsidR="007F1BA3" w:rsidRPr="001401CB" w:rsidRDefault="007F1BA3" w:rsidP="00F86903">
            <w:pPr>
              <w:spacing w:after="0" w:line="240" w:lineRule="auto"/>
              <w:jc w:val="right"/>
              <w:rPr>
                <w:color w:val="000000"/>
                <w:lang w:eastAsia="sk-SK"/>
              </w:rPr>
            </w:pPr>
            <w:r w:rsidRPr="006066FB">
              <w:rPr>
                <w:color w:val="000000"/>
                <w:lang w:eastAsia="zh-TW"/>
              </w:rPr>
              <w:t>1 209 368</w:t>
            </w:r>
          </w:p>
        </w:tc>
        <w:tc>
          <w:tcPr>
            <w:tcW w:w="760" w:type="pct"/>
            <w:tcBorders>
              <w:top w:val="nil"/>
              <w:left w:val="nil"/>
              <w:bottom w:val="single" w:sz="4" w:space="0" w:color="auto"/>
              <w:right w:val="single" w:sz="4" w:space="0" w:color="auto"/>
            </w:tcBorders>
            <w:vAlign w:val="center"/>
          </w:tcPr>
          <w:p w:rsidR="007F1BA3" w:rsidRPr="001401CB" w:rsidRDefault="007F1BA3" w:rsidP="00F86903">
            <w:pPr>
              <w:spacing w:after="0" w:line="240" w:lineRule="auto"/>
              <w:jc w:val="right"/>
              <w:rPr>
                <w:color w:val="000000"/>
                <w:lang w:eastAsia="sk-SK"/>
              </w:rPr>
            </w:pPr>
            <w:r w:rsidRPr="006066FB">
              <w:rPr>
                <w:color w:val="000000"/>
                <w:lang w:eastAsia="zh-TW"/>
              </w:rPr>
              <w:t>1 199 691</w:t>
            </w:r>
          </w:p>
        </w:tc>
      </w:tr>
    </w:tbl>
    <w:p w:rsidR="007F1BA3" w:rsidRDefault="007F1BA3" w:rsidP="006D6C63">
      <w:pPr>
        <w:jc w:val="both"/>
      </w:pPr>
      <w:r>
        <w:t>Zdroj: ŠÚ SR</w:t>
      </w:r>
    </w:p>
    <w:p w:rsidR="007F1BA3" w:rsidRPr="00681DD6" w:rsidRDefault="007F1BA3" w:rsidP="00D01129">
      <w:pPr>
        <w:spacing w:before="240"/>
        <w:jc w:val="both"/>
        <w:rPr>
          <w:b/>
          <w:lang w:eastAsia="sk-SK"/>
        </w:rPr>
      </w:pPr>
      <w:r>
        <w:rPr>
          <w:lang w:eastAsia="sk-SK"/>
        </w:rPr>
        <w:t xml:space="preserve">Z prepočtov uvedených v kapitole 2.2.2 vyplýva, že </w:t>
      </w:r>
      <w:r w:rsidRPr="00681DD6">
        <w:rPr>
          <w:b/>
          <w:lang w:eastAsia="sk-SK"/>
        </w:rPr>
        <w:t xml:space="preserve">v ZKO sa nachádza 45,2 % </w:t>
      </w:r>
      <w:r>
        <w:rPr>
          <w:b/>
          <w:lang w:eastAsia="sk-SK"/>
        </w:rPr>
        <w:t>–</w:t>
      </w:r>
      <w:r w:rsidRPr="00681DD6">
        <w:rPr>
          <w:b/>
          <w:lang w:eastAsia="sk-SK"/>
        </w:rPr>
        <w:t xml:space="preserve"> 5</w:t>
      </w:r>
      <w:r w:rsidR="004F3B2B">
        <w:rPr>
          <w:b/>
          <w:lang w:eastAsia="sk-SK"/>
        </w:rPr>
        <w:t>6</w:t>
      </w:r>
      <w:r w:rsidRPr="00681DD6">
        <w:rPr>
          <w:b/>
          <w:lang w:eastAsia="sk-SK"/>
        </w:rPr>
        <w:t>,</w:t>
      </w:r>
      <w:r w:rsidR="004F3B2B">
        <w:rPr>
          <w:b/>
          <w:lang w:eastAsia="sk-SK"/>
        </w:rPr>
        <w:t>4</w:t>
      </w:r>
      <w:r w:rsidRPr="00681DD6">
        <w:rPr>
          <w:b/>
          <w:lang w:eastAsia="sk-SK"/>
        </w:rPr>
        <w:t xml:space="preserve"> % biologicky rozložiteľných odpadov a 7,8 % </w:t>
      </w:r>
      <w:r>
        <w:rPr>
          <w:b/>
          <w:lang w:eastAsia="sk-SK"/>
        </w:rPr>
        <w:t>–</w:t>
      </w:r>
      <w:r w:rsidRPr="00681DD6">
        <w:rPr>
          <w:b/>
          <w:lang w:eastAsia="sk-SK"/>
        </w:rPr>
        <w:t xml:space="preserve"> 1</w:t>
      </w:r>
      <w:r w:rsidR="004F3B2B">
        <w:rPr>
          <w:b/>
          <w:lang w:eastAsia="sk-SK"/>
        </w:rPr>
        <w:t>6,45</w:t>
      </w:r>
      <w:r w:rsidRPr="00681DD6">
        <w:rPr>
          <w:b/>
          <w:lang w:eastAsia="sk-SK"/>
        </w:rPr>
        <w:t xml:space="preserve"> % papiera. Preto má tento odpad z hľadiska predchádzania vzniku veľký potenciál.</w:t>
      </w:r>
    </w:p>
    <w:p w:rsidR="007F1BA3" w:rsidRPr="002242EE" w:rsidRDefault="007F1BA3" w:rsidP="00D01129">
      <w:pPr>
        <w:spacing w:before="240"/>
        <w:jc w:val="both"/>
        <w:rPr>
          <w:lang w:eastAsia="sk-SK"/>
        </w:rPr>
      </w:pPr>
    </w:p>
    <w:p w:rsidR="007F1BA3" w:rsidRPr="00E26339" w:rsidRDefault="007F1BA3" w:rsidP="00893894">
      <w:pPr>
        <w:rPr>
          <w:b/>
        </w:rPr>
      </w:pPr>
      <w:r w:rsidRPr="00E26339">
        <w:rPr>
          <w:b/>
        </w:rPr>
        <w:t>Cieľ: Pokračovať v trende medziročného znižovania vzniku zmesového komunálneho odpadu</w:t>
      </w:r>
      <w:r>
        <w:rPr>
          <w:b/>
        </w:rPr>
        <w:t>.</w:t>
      </w:r>
    </w:p>
    <w:p w:rsidR="007F1BA3" w:rsidRDefault="007F1BA3" w:rsidP="00B41AAE">
      <w:pPr>
        <w:rPr>
          <w:b/>
        </w:rPr>
      </w:pPr>
      <w:r w:rsidRPr="00CC4FCC">
        <w:rPr>
          <w:b/>
        </w:rPr>
        <w:t xml:space="preserve">Opatrenia: </w:t>
      </w:r>
    </w:p>
    <w:p w:rsidR="007F1BA3" w:rsidRPr="00EB482D" w:rsidRDefault="007F1BA3">
      <w:pPr>
        <w:numPr>
          <w:ilvl w:val="0"/>
          <w:numId w:val="13"/>
        </w:numPr>
      </w:pPr>
      <w:r w:rsidRPr="00EB482D">
        <w:t xml:space="preserve">Zhodnotiť </w:t>
      </w:r>
      <w:r w:rsidRPr="00EB482D">
        <w:rPr>
          <w:b/>
        </w:rPr>
        <w:t>ekonomické nástroje</w:t>
      </w:r>
      <w:r w:rsidRPr="00EB482D">
        <w:t xml:space="preserve"> aplikované v odpadovom hospodárstve so zreteľom na zvyšujúce sa motivácie na minimalizáciu vzniku odpadov a ich recyklovanie a odklon od ukladania odpadov na skládkach.</w:t>
      </w:r>
    </w:p>
    <w:p w:rsidR="007F1BA3" w:rsidRPr="00EB482D" w:rsidRDefault="007F1BA3">
      <w:pPr>
        <w:ind w:left="720"/>
      </w:pPr>
      <w:r w:rsidRPr="00EB482D">
        <w:t>Zodpovednosť: MŽP SR.</w:t>
      </w:r>
    </w:p>
    <w:p w:rsidR="007F1BA3" w:rsidRPr="00EB482D" w:rsidRDefault="007F1BA3">
      <w:pPr>
        <w:ind w:left="720"/>
      </w:pPr>
      <w:r w:rsidRPr="00EB482D">
        <w:t>Termín: december 2014.</w:t>
      </w:r>
    </w:p>
    <w:p w:rsidR="00E01F0B" w:rsidRPr="00EB482D" w:rsidRDefault="00915A56">
      <w:pPr>
        <w:pStyle w:val="Odsekzoznamu"/>
        <w:numPr>
          <w:ilvl w:val="0"/>
          <w:numId w:val="13"/>
        </w:numPr>
      </w:pPr>
      <w:r w:rsidRPr="00EB482D">
        <w:t xml:space="preserve">Zavedenie </w:t>
      </w:r>
      <w:r w:rsidRPr="00EB482D">
        <w:rPr>
          <w:b/>
        </w:rPr>
        <w:t>rozšírenej zodpovednosti výrobcu</w:t>
      </w:r>
      <w:r w:rsidRPr="00EB482D">
        <w:t xml:space="preserve"> s cieľom prenesenia zodpovednosti za vplyv výrobku na životné prostredie. </w:t>
      </w:r>
    </w:p>
    <w:p w:rsidR="00E01F0B" w:rsidRPr="000E72AB" w:rsidRDefault="00915A56">
      <w:pPr>
        <w:pStyle w:val="Odsekzoznamu"/>
      </w:pPr>
      <w:r w:rsidRPr="000E72AB">
        <w:lastRenderedPageBreak/>
        <w:t>Zodpovednosť:</w:t>
      </w:r>
      <w:r w:rsidR="00AC3CBA" w:rsidRPr="000E72AB">
        <w:t xml:space="preserve"> MŽP SR</w:t>
      </w:r>
      <w:r w:rsidR="00FC313A" w:rsidRPr="000E72AB">
        <w:t>.</w:t>
      </w:r>
      <w:r w:rsidRPr="000E72AB">
        <w:t xml:space="preserve"> </w:t>
      </w:r>
    </w:p>
    <w:p w:rsidR="00E01F0B" w:rsidRPr="000E72AB" w:rsidRDefault="00915A56">
      <w:pPr>
        <w:pStyle w:val="Odsekzoznamu"/>
      </w:pPr>
      <w:r w:rsidRPr="000E72AB">
        <w:t xml:space="preserve">Termín: </w:t>
      </w:r>
      <w:r w:rsidR="00AC3CBA" w:rsidRPr="000E72AB">
        <w:t xml:space="preserve">K účinnosti </w:t>
      </w:r>
      <w:r w:rsidR="00A05422" w:rsidRPr="000E72AB">
        <w:t xml:space="preserve">pripravovaného </w:t>
      </w:r>
      <w:r w:rsidR="00AC3CBA" w:rsidRPr="000E72AB">
        <w:t>zákona o</w:t>
      </w:r>
      <w:r w:rsidR="00FC313A" w:rsidRPr="000E72AB">
        <w:t> </w:t>
      </w:r>
      <w:r w:rsidR="00AC3CBA" w:rsidRPr="000E72AB">
        <w:t>odpadoch</w:t>
      </w:r>
      <w:r w:rsidR="00FC313A" w:rsidRPr="000E72AB">
        <w:t>.</w:t>
      </w:r>
    </w:p>
    <w:p w:rsidR="007F1BA3" w:rsidRPr="00200096" w:rsidRDefault="007F1BA3" w:rsidP="008468C9">
      <w:pPr>
        <w:numPr>
          <w:ilvl w:val="0"/>
          <w:numId w:val="13"/>
        </w:numPr>
        <w:jc w:val="both"/>
        <w:rPr>
          <w:rStyle w:val="longtext"/>
        </w:rPr>
      </w:pPr>
      <w:r>
        <w:t xml:space="preserve">Vypracovanie a realizácia </w:t>
      </w:r>
      <w:r w:rsidRPr="00B41AAE">
        <w:rPr>
          <w:b/>
        </w:rPr>
        <w:t>i</w:t>
      </w:r>
      <w:r w:rsidRPr="00B41AAE">
        <w:rPr>
          <w:rStyle w:val="hps"/>
          <w:b/>
        </w:rPr>
        <w:t>nformačn</w:t>
      </w:r>
      <w:r>
        <w:rPr>
          <w:rStyle w:val="hps"/>
          <w:b/>
        </w:rPr>
        <w:t>ej</w:t>
      </w:r>
      <w:r w:rsidRPr="00B41AAE">
        <w:rPr>
          <w:rStyle w:val="longtext"/>
          <w:b/>
        </w:rPr>
        <w:t xml:space="preserve"> </w:t>
      </w:r>
      <w:r>
        <w:rPr>
          <w:rStyle w:val="hps"/>
          <w:b/>
        </w:rPr>
        <w:t>stratégie</w:t>
      </w:r>
      <w:r w:rsidRPr="00200096">
        <w:rPr>
          <w:rStyle w:val="longtext"/>
        </w:rPr>
        <w:t xml:space="preserve"> </w:t>
      </w:r>
      <w:r w:rsidRPr="00200096">
        <w:rPr>
          <w:rStyle w:val="hps"/>
        </w:rPr>
        <w:t>zameran</w:t>
      </w:r>
      <w:r>
        <w:rPr>
          <w:rStyle w:val="hps"/>
        </w:rPr>
        <w:t>ej</w:t>
      </w:r>
      <w:r w:rsidRPr="00200096">
        <w:rPr>
          <w:rStyle w:val="longtext"/>
        </w:rPr>
        <w:t xml:space="preserve"> </w:t>
      </w:r>
      <w:r w:rsidRPr="00200096">
        <w:rPr>
          <w:rStyle w:val="hps"/>
        </w:rPr>
        <w:t>na</w:t>
      </w:r>
      <w:r w:rsidRPr="00200096">
        <w:rPr>
          <w:rStyle w:val="longtext"/>
        </w:rPr>
        <w:t xml:space="preserve"> </w:t>
      </w:r>
      <w:r w:rsidRPr="00200096">
        <w:rPr>
          <w:rStyle w:val="hps"/>
        </w:rPr>
        <w:t>zmenu správania</w:t>
      </w:r>
      <w:r w:rsidRPr="00200096">
        <w:t xml:space="preserve"> </w:t>
      </w:r>
      <w:r>
        <w:t xml:space="preserve">samospráv a občanov </w:t>
      </w:r>
      <w:r w:rsidRPr="00200096">
        <w:rPr>
          <w:rStyle w:val="hps"/>
        </w:rPr>
        <w:t>a</w:t>
      </w:r>
      <w:r w:rsidRPr="00200096">
        <w:rPr>
          <w:rStyle w:val="longtext"/>
        </w:rPr>
        <w:t> informujúc</w:t>
      </w:r>
      <w:r>
        <w:rPr>
          <w:rStyle w:val="longtext"/>
        </w:rPr>
        <w:t>ej</w:t>
      </w:r>
      <w:r w:rsidRPr="00200096">
        <w:rPr>
          <w:rStyle w:val="longtext"/>
        </w:rPr>
        <w:t xml:space="preserve"> o</w:t>
      </w:r>
      <w:r>
        <w:rPr>
          <w:rStyle w:val="hps"/>
        </w:rPr>
        <w:t xml:space="preserve"> nových povinnostiach vyplývajúcich </w:t>
      </w:r>
      <w:r w:rsidRPr="00200096">
        <w:rPr>
          <w:rStyle w:val="hps"/>
        </w:rPr>
        <w:t>z</w:t>
      </w:r>
      <w:r>
        <w:rPr>
          <w:rStyle w:val="hps"/>
        </w:rPr>
        <w:t> novely zákona o odpadoch, ktorá zahŕňa</w:t>
      </w:r>
      <w:r w:rsidRPr="00200096">
        <w:rPr>
          <w:rStyle w:val="longtext"/>
        </w:rPr>
        <w:t>:</w:t>
      </w:r>
    </w:p>
    <w:p w:rsidR="007F1BA3" w:rsidRPr="00200096" w:rsidRDefault="007F1BA3" w:rsidP="008468C9">
      <w:pPr>
        <w:numPr>
          <w:ilvl w:val="0"/>
          <w:numId w:val="12"/>
        </w:numPr>
        <w:tabs>
          <w:tab w:val="clear" w:pos="720"/>
          <w:tab w:val="num" w:pos="1080"/>
        </w:tabs>
        <w:autoSpaceDE w:val="0"/>
        <w:autoSpaceDN w:val="0"/>
        <w:adjustRightInd w:val="0"/>
        <w:spacing w:after="0"/>
        <w:ind w:left="1080"/>
        <w:jc w:val="both"/>
        <w:rPr>
          <w:rStyle w:val="hps"/>
        </w:rPr>
      </w:pPr>
      <w:r>
        <w:rPr>
          <w:rStyle w:val="hps"/>
        </w:rPr>
        <w:t>v</w:t>
      </w:r>
      <w:r w:rsidRPr="00200096">
        <w:rPr>
          <w:rStyle w:val="hps"/>
        </w:rPr>
        <w:t>zdelávacie</w:t>
      </w:r>
      <w:r w:rsidRPr="00200096">
        <w:rPr>
          <w:rStyle w:val="longtext"/>
        </w:rPr>
        <w:t xml:space="preserve"> </w:t>
      </w:r>
      <w:r w:rsidRPr="00200096">
        <w:rPr>
          <w:rStyle w:val="hps"/>
        </w:rPr>
        <w:t>programy</w:t>
      </w:r>
      <w:r w:rsidRPr="00200096">
        <w:rPr>
          <w:rStyle w:val="longtext"/>
        </w:rPr>
        <w:t xml:space="preserve"> </w:t>
      </w:r>
      <w:r w:rsidRPr="00200096">
        <w:rPr>
          <w:rStyle w:val="hps"/>
        </w:rPr>
        <w:t xml:space="preserve">pre </w:t>
      </w:r>
      <w:r>
        <w:rPr>
          <w:rStyle w:val="hps"/>
        </w:rPr>
        <w:t xml:space="preserve">obecné samosprávy zamerané najmä </w:t>
      </w:r>
      <w:r w:rsidR="001614F9" w:rsidRPr="00C903AC">
        <w:rPr>
          <w:rStyle w:val="hps"/>
        </w:rPr>
        <w:t>na</w:t>
      </w:r>
      <w:r>
        <w:rPr>
          <w:rStyle w:val="hps"/>
        </w:rPr>
        <w:t xml:space="preserve"> záväznosť novej hierarchie  odpadového hospodárstva, </w:t>
      </w:r>
    </w:p>
    <w:p w:rsidR="007F1BA3" w:rsidRPr="00200096" w:rsidRDefault="007F1BA3" w:rsidP="008468C9">
      <w:pPr>
        <w:numPr>
          <w:ilvl w:val="0"/>
          <w:numId w:val="12"/>
        </w:numPr>
        <w:tabs>
          <w:tab w:val="clear" w:pos="720"/>
          <w:tab w:val="num" w:pos="1080"/>
        </w:tabs>
        <w:autoSpaceDE w:val="0"/>
        <w:autoSpaceDN w:val="0"/>
        <w:adjustRightInd w:val="0"/>
        <w:spacing w:after="0"/>
        <w:ind w:left="1080"/>
        <w:jc w:val="both"/>
        <w:rPr>
          <w:rStyle w:val="hps"/>
        </w:rPr>
      </w:pPr>
      <w:r>
        <w:rPr>
          <w:rStyle w:val="hps"/>
        </w:rPr>
        <w:t>v</w:t>
      </w:r>
      <w:r w:rsidRPr="00200096">
        <w:rPr>
          <w:rStyle w:val="hps"/>
        </w:rPr>
        <w:t>erejné</w:t>
      </w:r>
      <w:r w:rsidRPr="00200096">
        <w:rPr>
          <w:rStyle w:val="longtext"/>
        </w:rPr>
        <w:t xml:space="preserve"> </w:t>
      </w:r>
      <w:r w:rsidRPr="00200096">
        <w:rPr>
          <w:rStyle w:val="hps"/>
        </w:rPr>
        <w:t>informačné kampane</w:t>
      </w:r>
      <w:r>
        <w:rPr>
          <w:rStyle w:val="hps"/>
        </w:rPr>
        <w:t xml:space="preserve"> pre občanov o potrebe a výhodnosti predchádzania vzniku odpadu,</w:t>
      </w:r>
    </w:p>
    <w:p w:rsidR="007F1BA3" w:rsidRPr="00200096" w:rsidRDefault="007F1BA3" w:rsidP="008468C9">
      <w:pPr>
        <w:numPr>
          <w:ilvl w:val="0"/>
          <w:numId w:val="12"/>
        </w:numPr>
        <w:tabs>
          <w:tab w:val="clear" w:pos="720"/>
          <w:tab w:val="num" w:pos="1080"/>
        </w:tabs>
        <w:autoSpaceDE w:val="0"/>
        <w:autoSpaceDN w:val="0"/>
        <w:adjustRightInd w:val="0"/>
        <w:spacing w:after="0"/>
        <w:ind w:left="1080"/>
        <w:jc w:val="both"/>
        <w:rPr>
          <w:rStyle w:val="hps"/>
        </w:rPr>
      </w:pPr>
      <w:r>
        <w:rPr>
          <w:rStyle w:val="hps"/>
        </w:rPr>
        <w:t>i</w:t>
      </w:r>
      <w:r w:rsidRPr="00200096">
        <w:rPr>
          <w:rStyle w:val="hps"/>
        </w:rPr>
        <w:t>nformácie</w:t>
      </w:r>
      <w:r w:rsidRPr="00200096">
        <w:rPr>
          <w:rStyle w:val="longtext"/>
        </w:rPr>
        <w:t xml:space="preserve"> </w:t>
      </w:r>
      <w:r w:rsidRPr="00200096">
        <w:rPr>
          <w:rStyle w:val="hps"/>
        </w:rPr>
        <w:t>o</w:t>
      </w:r>
      <w:r w:rsidRPr="00200096">
        <w:rPr>
          <w:rStyle w:val="longtext"/>
        </w:rPr>
        <w:t xml:space="preserve"> </w:t>
      </w:r>
      <w:r w:rsidRPr="00200096">
        <w:rPr>
          <w:rStyle w:val="hps"/>
        </w:rPr>
        <w:t>technikách</w:t>
      </w:r>
      <w:r w:rsidRPr="00200096">
        <w:rPr>
          <w:rStyle w:val="longtext"/>
        </w:rPr>
        <w:t xml:space="preserve"> </w:t>
      </w:r>
      <w:r w:rsidRPr="00200096">
        <w:rPr>
          <w:rStyle w:val="hps"/>
        </w:rPr>
        <w:t>predchádzania vzniku odpadu</w:t>
      </w:r>
      <w:r>
        <w:rPr>
          <w:rStyle w:val="hps"/>
        </w:rPr>
        <w:t>.</w:t>
      </w:r>
    </w:p>
    <w:p w:rsidR="007F1BA3" w:rsidRDefault="007F1BA3" w:rsidP="00B41AAE"/>
    <w:p w:rsidR="007F1BA3" w:rsidRPr="00163EEB" w:rsidRDefault="007F1BA3" w:rsidP="00C53EFD">
      <w:pPr>
        <w:ind w:left="708"/>
      </w:pPr>
      <w:r w:rsidRPr="00163EEB">
        <w:t>Zodpovednosť: MŽP SR</w:t>
      </w:r>
      <w:r w:rsidR="00C43E1E">
        <w:t xml:space="preserve"> v spolupráci so </w:t>
      </w:r>
      <w:r w:rsidRPr="00163EEB">
        <w:t>ZMOS</w:t>
      </w:r>
      <w:r w:rsidR="00C43E1E">
        <w:t xml:space="preserve"> a</w:t>
      </w:r>
      <w:r w:rsidRPr="00163EEB">
        <w:t xml:space="preserve"> Úni</w:t>
      </w:r>
      <w:r w:rsidR="00C43E1E">
        <w:t>ou</w:t>
      </w:r>
      <w:r w:rsidRPr="00163EEB">
        <w:t xml:space="preserve"> miest Slovenska</w:t>
      </w:r>
      <w:r>
        <w:t>.</w:t>
      </w:r>
    </w:p>
    <w:p w:rsidR="007F1BA3" w:rsidRPr="00163EEB" w:rsidRDefault="007F1BA3" w:rsidP="00C53EFD">
      <w:pPr>
        <w:ind w:left="708"/>
      </w:pPr>
      <w:r w:rsidRPr="00163EEB">
        <w:t xml:space="preserve">Termín: december </w:t>
      </w:r>
      <w:r w:rsidR="00915A56" w:rsidRPr="00163EEB">
        <w:t>201</w:t>
      </w:r>
      <w:r w:rsidR="00915A56">
        <w:t>5</w:t>
      </w:r>
      <w:r>
        <w:t>.</w:t>
      </w:r>
    </w:p>
    <w:p w:rsidR="007F1BA3" w:rsidRDefault="007F1BA3" w:rsidP="008468C9">
      <w:pPr>
        <w:numPr>
          <w:ilvl w:val="0"/>
          <w:numId w:val="13"/>
        </w:numPr>
        <w:jc w:val="both"/>
      </w:pPr>
      <w:r w:rsidRPr="00EB6D4D">
        <w:rPr>
          <w:b/>
        </w:rPr>
        <w:t>Podpor</w:t>
      </w:r>
      <w:r>
        <w:rPr>
          <w:b/>
        </w:rPr>
        <w:t>a</w:t>
      </w:r>
      <w:r w:rsidRPr="00EB6D4D">
        <w:rPr>
          <w:b/>
        </w:rPr>
        <w:t xml:space="preserve"> zavádzani</w:t>
      </w:r>
      <w:r>
        <w:rPr>
          <w:b/>
        </w:rPr>
        <w:t>a</w:t>
      </w:r>
      <w:r w:rsidRPr="00EB6D4D">
        <w:rPr>
          <w:b/>
        </w:rPr>
        <w:t xml:space="preserve"> platieb podľa vyprodukovaného množstva komunálnych odpadov</w:t>
      </w:r>
      <w:r>
        <w:t xml:space="preserve"> –</w:t>
      </w:r>
      <w:r w:rsidRPr="009E69AA">
        <w:rPr>
          <w:b/>
        </w:rPr>
        <w:t xml:space="preserve"> množstvový zber</w:t>
      </w:r>
      <w:r>
        <w:t xml:space="preserve">. Toto opatrenie je v súlade s akčným plánom, ktorý pre SR na podnet EK vypracovala spoločnosť </w:t>
      </w:r>
      <w:proofErr w:type="spellStart"/>
      <w:r>
        <w:t>BiPRO</w:t>
      </w:r>
      <w:proofErr w:type="spellEnd"/>
      <w:r>
        <w:rPr>
          <w:rStyle w:val="Odkaznapoznmkupodiarou"/>
        </w:rPr>
        <w:footnoteReference w:id="10"/>
      </w:r>
      <w:r>
        <w:t xml:space="preserve">. Akčný plán bol  prerokovaný na spoločnom pracovnom stretnutí MŽP SR, EK a spoločnosti </w:t>
      </w:r>
      <w:proofErr w:type="spellStart"/>
      <w:r>
        <w:t>BiPRO</w:t>
      </w:r>
      <w:proofErr w:type="spellEnd"/>
      <w:r>
        <w:t xml:space="preserve"> v novembri 2012.  </w:t>
      </w:r>
    </w:p>
    <w:p w:rsidR="007F1BA3" w:rsidRDefault="007F1BA3" w:rsidP="008468C9">
      <w:pPr>
        <w:pStyle w:val="Odsekzoznamu"/>
        <w:numPr>
          <w:ilvl w:val="0"/>
          <w:numId w:val="31"/>
        </w:numPr>
        <w:ind w:left="1080"/>
        <w:jc w:val="both"/>
      </w:pPr>
      <w:r>
        <w:t>Vyžaduje si to</w:t>
      </w:r>
      <w:r w:rsidRPr="00722DEE">
        <w:t xml:space="preserve"> novelizovať zákon o</w:t>
      </w:r>
      <w:r>
        <w:t xml:space="preserve"> miestnych </w:t>
      </w:r>
      <w:r w:rsidRPr="00722DEE">
        <w:t>daniach a</w:t>
      </w:r>
      <w:r>
        <w:t> </w:t>
      </w:r>
      <w:r w:rsidRPr="00722DEE">
        <w:t>miestnom</w:t>
      </w:r>
      <w:r>
        <w:t xml:space="preserve"> poplatku za komunálne odpady a drobné stavebné odpady</w:t>
      </w:r>
      <w:r w:rsidRPr="00722DEE">
        <w:t xml:space="preserve"> a zákon o odpadoch tak, aby umožnili </w:t>
      </w:r>
      <w:r w:rsidR="000157E8">
        <w:t xml:space="preserve">aj </w:t>
      </w:r>
      <w:r w:rsidRPr="00722DEE">
        <w:t>zavádzanie kombinovaného poplatku za komunálne</w:t>
      </w:r>
      <w:r>
        <w:t xml:space="preserve"> odpady a drobné stavebné odpady.</w:t>
      </w:r>
      <w:r w:rsidRPr="00723115">
        <w:t xml:space="preserve"> </w:t>
      </w:r>
      <w:r>
        <w:t>K</w:t>
      </w:r>
      <w:r w:rsidRPr="002A48B1">
        <w:t>ombinovan</w:t>
      </w:r>
      <w:r>
        <w:t>ý</w:t>
      </w:r>
      <w:r w:rsidRPr="002A48B1">
        <w:t xml:space="preserve"> poplat</w:t>
      </w:r>
      <w:r>
        <w:t>o</w:t>
      </w:r>
      <w:r w:rsidRPr="002A48B1">
        <w:t>k pre fyzické osoby</w:t>
      </w:r>
      <w:r>
        <w:t xml:space="preserve"> </w:t>
      </w:r>
      <w:r w:rsidRPr="002A48B1">
        <w:t xml:space="preserve">by sa skladal z dvoch častí – paušálnej (z tej by sa hradili náklady spojené s prevádzkou zberného dvora, obecného </w:t>
      </w:r>
      <w:proofErr w:type="spellStart"/>
      <w:r w:rsidRPr="002A48B1">
        <w:t>kompostoviska</w:t>
      </w:r>
      <w:proofErr w:type="spellEnd"/>
      <w:r w:rsidRPr="002A48B1">
        <w:t xml:space="preserve">, zber odpadov na cintorínoch, zber pouličných smetí, povinné zbery </w:t>
      </w:r>
      <w:r>
        <w:t>drobných stavebných odpadov</w:t>
      </w:r>
      <w:r w:rsidRPr="002A48B1">
        <w:t xml:space="preserve">, </w:t>
      </w:r>
      <w:r>
        <w:t>veľkoobjemového odpadu a nebezpečných odpadov) a množstvovej (tá</w:t>
      </w:r>
      <w:r w:rsidRPr="002A48B1">
        <w:t xml:space="preserve"> by bola priamo úmerná množstvu vyvezených nádob na zmesový odpad alebo hmotnosti</w:t>
      </w:r>
      <w:r>
        <w:t>,</w:t>
      </w:r>
      <w:r w:rsidRPr="002A48B1">
        <w:t xml:space="preserve"> alebo objemu vyprodukovaného zmesového odpadu u pôvodcu odpadu).</w:t>
      </w:r>
      <w:r w:rsidR="000157E8">
        <w:t xml:space="preserve"> </w:t>
      </w:r>
      <w:r w:rsidRPr="002A48B1">
        <w:t xml:space="preserve"> </w:t>
      </w:r>
    </w:p>
    <w:p w:rsidR="007F1BA3" w:rsidRPr="00163EEB" w:rsidRDefault="007F1BA3" w:rsidP="00D565C7">
      <w:pPr>
        <w:ind w:left="1068"/>
      </w:pPr>
      <w:r w:rsidRPr="00163EEB">
        <w:t>Zodpovednosť: MŽP SR</w:t>
      </w:r>
      <w:r w:rsidR="00C43E1E">
        <w:t xml:space="preserve"> a</w:t>
      </w:r>
      <w:r w:rsidRPr="00163EEB">
        <w:t xml:space="preserve"> MF SR</w:t>
      </w:r>
      <w:r w:rsidR="00C43E1E">
        <w:t xml:space="preserve"> v spolupráci so </w:t>
      </w:r>
      <w:r w:rsidRPr="00163EEB">
        <w:t>ZMOS</w:t>
      </w:r>
      <w:r w:rsidR="00C43E1E">
        <w:t xml:space="preserve"> a</w:t>
      </w:r>
      <w:r w:rsidRPr="00163EEB">
        <w:t xml:space="preserve"> Úni</w:t>
      </w:r>
      <w:r w:rsidR="00C43E1E">
        <w:t>ou</w:t>
      </w:r>
      <w:r w:rsidRPr="00163EEB">
        <w:t xml:space="preserve"> miest Slovenska</w:t>
      </w:r>
      <w:r>
        <w:t>.</w:t>
      </w:r>
    </w:p>
    <w:p w:rsidR="007F1BA3" w:rsidRPr="00163EEB" w:rsidRDefault="007F1BA3" w:rsidP="00D565C7">
      <w:pPr>
        <w:ind w:left="1068"/>
      </w:pPr>
      <w:r w:rsidRPr="00163EEB">
        <w:t>Termín: december 2014 (v súlade s odporúčaním EK)</w:t>
      </w:r>
      <w:r>
        <w:t>.</w:t>
      </w:r>
    </w:p>
    <w:p w:rsidR="007F1BA3" w:rsidRPr="00723115" w:rsidRDefault="007F1BA3" w:rsidP="008468C9">
      <w:pPr>
        <w:pStyle w:val="Odsekzoznamu"/>
        <w:numPr>
          <w:ilvl w:val="0"/>
          <w:numId w:val="31"/>
        </w:numPr>
        <w:ind w:left="1080"/>
        <w:jc w:val="both"/>
      </w:pPr>
      <w:r>
        <w:t xml:space="preserve">Súčasne je potrebné </w:t>
      </w:r>
      <w:r w:rsidRPr="00722DEE">
        <w:t>aktívne informovať samosprávy</w:t>
      </w:r>
      <w:r w:rsidRPr="00723115">
        <w:t xml:space="preserve"> o možnostiach a výhodách zavádzania poplatkov podľa vyprodukovaného množstva odpadov</w:t>
      </w:r>
      <w:r>
        <w:t>.</w:t>
      </w:r>
    </w:p>
    <w:p w:rsidR="007F1BA3" w:rsidRPr="00163EEB" w:rsidRDefault="007F1BA3" w:rsidP="00D565C7">
      <w:pPr>
        <w:ind w:left="1080"/>
      </w:pPr>
      <w:r w:rsidRPr="00163EEB">
        <w:t>Zodpovednosť: MŽP SR</w:t>
      </w:r>
      <w:r w:rsidR="00C43E1E">
        <w:t xml:space="preserve"> v spolupráci so</w:t>
      </w:r>
      <w:r w:rsidRPr="00163EEB">
        <w:t xml:space="preserve"> ZMOS</w:t>
      </w:r>
      <w:r w:rsidR="00C43E1E">
        <w:t xml:space="preserve"> a</w:t>
      </w:r>
      <w:r w:rsidRPr="00163EEB">
        <w:t xml:space="preserve"> Úni</w:t>
      </w:r>
      <w:r w:rsidR="00C43E1E">
        <w:t>ou</w:t>
      </w:r>
      <w:r w:rsidRPr="00163EEB">
        <w:t xml:space="preserve"> miest Slovenska</w:t>
      </w:r>
      <w:r>
        <w:t>.</w:t>
      </w:r>
    </w:p>
    <w:p w:rsidR="007F1BA3" w:rsidRPr="00163EEB" w:rsidRDefault="007F1BA3" w:rsidP="00D565C7">
      <w:pPr>
        <w:ind w:left="1080"/>
      </w:pPr>
      <w:r w:rsidRPr="00163EEB">
        <w:t>Termín: priebežne</w:t>
      </w:r>
      <w:r>
        <w:t>.</w:t>
      </w:r>
    </w:p>
    <w:p w:rsidR="007F1BA3" w:rsidRDefault="007F1BA3" w:rsidP="008468C9">
      <w:pPr>
        <w:numPr>
          <w:ilvl w:val="0"/>
          <w:numId w:val="13"/>
        </w:numPr>
        <w:jc w:val="both"/>
      </w:pPr>
      <w:r>
        <w:lastRenderedPageBreak/>
        <w:t xml:space="preserve">Podpora zriaďovania </w:t>
      </w:r>
      <w:r w:rsidRPr="00722DEE">
        <w:rPr>
          <w:b/>
        </w:rPr>
        <w:t>centier opätovného používania</w:t>
      </w:r>
      <w:r>
        <w:t xml:space="preserve"> vecí, </w:t>
      </w:r>
      <w:r w:rsidRPr="002F2577">
        <w:t>ako je napr. nábytok, elektrické a elektronické zariadenia, textil, knihy, CD, športové vybavenie</w:t>
      </w:r>
      <w:r>
        <w:t>. Na realizáciu tohto opatrenia je potrebné</w:t>
      </w:r>
      <w:r w:rsidR="008C588B" w:rsidRPr="008C588B">
        <w:t xml:space="preserve"> </w:t>
      </w:r>
      <w:r w:rsidR="008C588B">
        <w:t>v</w:t>
      </w:r>
      <w:r w:rsidR="008C588B" w:rsidRPr="00722DEE">
        <w:t>ytvorenie pracovnej skupiny, ktorá</w:t>
      </w:r>
      <w:r>
        <w:t xml:space="preserve">: </w:t>
      </w:r>
    </w:p>
    <w:p w:rsidR="007F1BA3" w:rsidRPr="00722DEE" w:rsidRDefault="007F1BA3" w:rsidP="008468C9">
      <w:pPr>
        <w:pStyle w:val="Odsekzoznamu"/>
        <w:numPr>
          <w:ilvl w:val="0"/>
          <w:numId w:val="31"/>
        </w:numPr>
        <w:jc w:val="both"/>
      </w:pPr>
      <w:r w:rsidRPr="00722DEE">
        <w:t xml:space="preserve">navrhne úpravy legislatívy a stanoví štandardy </w:t>
      </w:r>
      <w:r>
        <w:t>na</w:t>
      </w:r>
      <w:r w:rsidRPr="00722DEE">
        <w:t xml:space="preserve"> zriaďovanie a prevádzkovanie Centier opätovného používania</w:t>
      </w:r>
      <w:r>
        <w:t>,</w:t>
      </w:r>
    </w:p>
    <w:p w:rsidR="007F1BA3" w:rsidRPr="00722DEE" w:rsidRDefault="008C588B" w:rsidP="008468C9">
      <w:pPr>
        <w:pStyle w:val="Odsekzoznamu"/>
        <w:numPr>
          <w:ilvl w:val="0"/>
          <w:numId w:val="31"/>
        </w:numPr>
        <w:jc w:val="both"/>
      </w:pPr>
      <w:r>
        <w:t>navrhne</w:t>
      </w:r>
      <w:r w:rsidRPr="00722DEE">
        <w:t xml:space="preserve"> finančn</w:t>
      </w:r>
      <w:r>
        <w:t>ý</w:t>
      </w:r>
      <w:r w:rsidRPr="00722DEE">
        <w:t xml:space="preserve"> </w:t>
      </w:r>
      <w:r w:rsidR="007F1BA3" w:rsidRPr="00722DEE">
        <w:t>mechanizmu</w:t>
      </w:r>
      <w:r>
        <w:t>s</w:t>
      </w:r>
      <w:r w:rsidR="007F1BA3" w:rsidRPr="00722DEE">
        <w:t>, ktorý zabezpečí financovanie takýchto centier</w:t>
      </w:r>
      <w:r w:rsidR="007F1BA3">
        <w:t>,</w:t>
      </w:r>
      <w:r w:rsidR="007F1BA3" w:rsidRPr="00722DEE">
        <w:t xml:space="preserve"> </w:t>
      </w:r>
    </w:p>
    <w:p w:rsidR="007F1BA3" w:rsidRPr="00722DEE" w:rsidRDefault="008C588B" w:rsidP="008468C9">
      <w:pPr>
        <w:pStyle w:val="Odsekzoznamu"/>
        <w:numPr>
          <w:ilvl w:val="0"/>
          <w:numId w:val="31"/>
        </w:numPr>
        <w:jc w:val="both"/>
      </w:pPr>
      <w:r>
        <w:t xml:space="preserve">navrhne formu </w:t>
      </w:r>
      <w:r w:rsidR="007F1BA3">
        <w:t>p</w:t>
      </w:r>
      <w:r w:rsidR="007F1BA3" w:rsidRPr="00722DEE">
        <w:t>odpor</w:t>
      </w:r>
      <w:r>
        <w:t>y</w:t>
      </w:r>
      <w:r w:rsidR="007F1BA3" w:rsidRPr="00722DEE">
        <w:t xml:space="preserve"> zriadenia pilotných projektov Centier opätovného používania zo strany štátu</w:t>
      </w:r>
      <w:r w:rsidR="007F1BA3">
        <w:t>,</w:t>
      </w:r>
    </w:p>
    <w:p w:rsidR="007F1BA3" w:rsidRDefault="00A05422" w:rsidP="008468C9">
      <w:pPr>
        <w:pStyle w:val="Odsekzoznamu"/>
        <w:numPr>
          <w:ilvl w:val="0"/>
          <w:numId w:val="31"/>
        </w:numPr>
        <w:jc w:val="both"/>
      </w:pPr>
      <w:r>
        <w:t xml:space="preserve">prediskutuje možnosti </w:t>
      </w:r>
      <w:r w:rsidR="007F1BA3">
        <w:t>a</w:t>
      </w:r>
      <w:r w:rsidR="007F1BA3" w:rsidRPr="00722DEE">
        <w:t>ktívne</w:t>
      </w:r>
      <w:r>
        <w:t>ho</w:t>
      </w:r>
      <w:r w:rsidR="007F1BA3" w:rsidRPr="00722DEE">
        <w:t xml:space="preserve"> informovani</w:t>
      </w:r>
      <w:r>
        <w:t>a</w:t>
      </w:r>
      <w:r w:rsidR="007F1BA3" w:rsidRPr="00722DEE">
        <w:t xml:space="preserve"> samospráv a podnikateľského sektora o možnostiach a výhodách zriaďovania Centier opätovného používania.</w:t>
      </w:r>
    </w:p>
    <w:p w:rsidR="007F1BA3" w:rsidRPr="00163EEB" w:rsidRDefault="007F1BA3" w:rsidP="00163EEB">
      <w:pPr>
        <w:ind w:left="1416"/>
      </w:pPr>
      <w:r w:rsidRPr="00163EEB">
        <w:t>Zodpovednosť: MŽP SR</w:t>
      </w:r>
      <w:r w:rsidR="008C588B">
        <w:t xml:space="preserve"> v spolupráci s MH SR,</w:t>
      </w:r>
      <w:r w:rsidR="008C588B" w:rsidRPr="00163EEB">
        <w:t xml:space="preserve"> </w:t>
      </w:r>
      <w:r w:rsidRPr="00163EEB">
        <w:t>ZMOS, Úni</w:t>
      </w:r>
      <w:r w:rsidR="008C588B">
        <w:t>ou</w:t>
      </w:r>
      <w:r w:rsidRPr="00163EEB">
        <w:t xml:space="preserve"> miest Slovenska, AZZZ</w:t>
      </w:r>
      <w:r w:rsidR="008C588B">
        <w:t xml:space="preserve"> a ÚNMS</w:t>
      </w:r>
      <w:r>
        <w:t>.</w:t>
      </w:r>
    </w:p>
    <w:p w:rsidR="007F1BA3" w:rsidRPr="00163EEB" w:rsidRDefault="007F1BA3" w:rsidP="00163EEB">
      <w:pPr>
        <w:ind w:left="1416"/>
        <w:jc w:val="both"/>
      </w:pPr>
      <w:r w:rsidRPr="00163EEB">
        <w:t>Termín: december 2015</w:t>
      </w:r>
      <w:r>
        <w:t>.</w:t>
      </w:r>
    </w:p>
    <w:p w:rsidR="007F1BA3" w:rsidRDefault="007F1BA3" w:rsidP="008468C9">
      <w:pPr>
        <w:numPr>
          <w:ilvl w:val="0"/>
          <w:numId w:val="13"/>
        </w:numPr>
        <w:jc w:val="both"/>
      </w:pPr>
      <w:r w:rsidRPr="00722DEE">
        <w:rPr>
          <w:b/>
        </w:rPr>
        <w:t>Programy odpadového hospodárstva obcí vypracúvať v súlade s hierarchiou</w:t>
      </w:r>
      <w:r>
        <w:t xml:space="preserve"> odpadového hospodárstve s dôrazom na predchádzanie vzniku odpadu.</w:t>
      </w:r>
    </w:p>
    <w:p w:rsidR="007F1BA3" w:rsidRPr="00163EEB" w:rsidRDefault="007F1BA3" w:rsidP="00F8055D">
      <w:pPr>
        <w:ind w:left="708"/>
      </w:pPr>
      <w:r w:rsidRPr="00163EEB">
        <w:t>Zodpovednosť: obce</w:t>
      </w:r>
      <w:r>
        <w:t>.</w:t>
      </w:r>
    </w:p>
    <w:p w:rsidR="007F1BA3" w:rsidRDefault="007F1BA3" w:rsidP="00F8055D">
      <w:pPr>
        <w:ind w:left="708"/>
      </w:pPr>
      <w:r w:rsidRPr="00163EEB">
        <w:t>Termín: priebežne</w:t>
      </w:r>
      <w:r>
        <w:t>.</w:t>
      </w:r>
    </w:p>
    <w:p w:rsidR="00E01F0B" w:rsidRDefault="00915A56">
      <w:pPr>
        <w:pStyle w:val="Odsekzoznamu"/>
        <w:numPr>
          <w:ilvl w:val="0"/>
          <w:numId w:val="13"/>
        </w:numPr>
      </w:pPr>
      <w:r>
        <w:t>Vytvoriť pracovnú skupinu pre definovanie minimálnych normatív pre reáln</w:t>
      </w:r>
      <w:r w:rsidR="00A05422">
        <w:t>e</w:t>
      </w:r>
      <w:r>
        <w:t xml:space="preserve"> podmien</w:t>
      </w:r>
      <w:r w:rsidR="00A05422">
        <w:t>ky</w:t>
      </w:r>
      <w:r>
        <w:t xml:space="preserve"> na triedený zber komunálnych odpadov v obciach. </w:t>
      </w:r>
    </w:p>
    <w:p w:rsidR="00E01F0B" w:rsidRDefault="00915A56">
      <w:pPr>
        <w:pStyle w:val="Odsekzoznamu"/>
      </w:pPr>
      <w:r>
        <w:t>Zodpovednosť: MŽP SR</w:t>
      </w:r>
      <w:r w:rsidR="00D11BE5">
        <w:t>.</w:t>
      </w:r>
    </w:p>
    <w:p w:rsidR="00E01F0B" w:rsidRDefault="00915A56">
      <w:pPr>
        <w:pStyle w:val="Odsekzoznamu"/>
      </w:pPr>
      <w:r>
        <w:t xml:space="preserve">Termín: </w:t>
      </w:r>
      <w:r w:rsidR="00780D1E">
        <w:t>2015</w:t>
      </w:r>
      <w:r w:rsidR="009D780C">
        <w:t>.</w:t>
      </w:r>
    </w:p>
    <w:p w:rsidR="007F1BA3" w:rsidRDefault="007F1BA3" w:rsidP="0017410A">
      <w:pPr>
        <w:pStyle w:val="Nadpis3"/>
      </w:pPr>
      <w:bookmarkStart w:id="46" w:name="_Toc356292974"/>
      <w:r w:rsidRPr="004A38BF">
        <w:t>4.</w:t>
      </w:r>
      <w:r>
        <w:t>3.2</w:t>
      </w:r>
      <w:r>
        <w:tab/>
      </w:r>
      <w:r w:rsidRPr="004A38BF">
        <w:t>Biologicky rozložiteľné komunálne odpady</w:t>
      </w:r>
      <w:bookmarkEnd w:id="46"/>
    </w:p>
    <w:p w:rsidR="007F1BA3" w:rsidRDefault="007F1BA3" w:rsidP="00893894">
      <w:r>
        <w:t>Z kapitoly 2.2.3 vyplývajú nasledovné skutočnosti:</w:t>
      </w:r>
    </w:p>
    <w:p w:rsidR="007F1BA3" w:rsidRDefault="007F1BA3" w:rsidP="008468C9">
      <w:pPr>
        <w:numPr>
          <w:ilvl w:val="0"/>
          <w:numId w:val="14"/>
        </w:numPr>
        <w:spacing w:after="0"/>
        <w:ind w:left="714" w:hanging="357"/>
      </w:pPr>
      <w:r>
        <w:t>údaje o vzniku BRKO sú nepresné a nedostatočné na stanovenie kvantitatívnych cieľov,</w:t>
      </w:r>
    </w:p>
    <w:p w:rsidR="007F1BA3" w:rsidRDefault="007F1BA3" w:rsidP="008468C9">
      <w:pPr>
        <w:numPr>
          <w:ilvl w:val="0"/>
          <w:numId w:val="14"/>
        </w:numPr>
        <w:spacing w:after="0"/>
        <w:ind w:left="714" w:hanging="357"/>
      </w:pPr>
      <w:r>
        <w:t>odhaduje sa, že zmesový komunálny odpad obsahuje až 50 % BRKO,</w:t>
      </w:r>
    </w:p>
    <w:p w:rsidR="00E01F0B" w:rsidRDefault="007F1BA3">
      <w:pPr>
        <w:numPr>
          <w:ilvl w:val="0"/>
          <w:numId w:val="14"/>
        </w:numPr>
      </w:pPr>
      <w:r>
        <w:t xml:space="preserve">povinnosť zaviesť triedený zber BRKO je v SR záväzná až od 1. januára 2013.  </w:t>
      </w:r>
    </w:p>
    <w:p w:rsidR="00E16C5B" w:rsidRDefault="00E16C5B" w:rsidP="00893894">
      <w:pPr>
        <w:rPr>
          <w:b/>
        </w:rPr>
      </w:pPr>
    </w:p>
    <w:p w:rsidR="007F1BA3" w:rsidRPr="00A255E6" w:rsidRDefault="007F1BA3" w:rsidP="00893894">
      <w:pPr>
        <w:rPr>
          <w:b/>
        </w:rPr>
      </w:pPr>
      <w:r w:rsidRPr="00A255E6">
        <w:rPr>
          <w:b/>
        </w:rPr>
        <w:t>Cieľ:  Znižovať vznik BRKO a znižovať podiel BRKO v zmesovom komunálnom odpade</w:t>
      </w:r>
      <w:r>
        <w:rPr>
          <w:b/>
        </w:rPr>
        <w:t>.</w:t>
      </w:r>
      <w:r w:rsidRPr="00A255E6">
        <w:rPr>
          <w:b/>
        </w:rPr>
        <w:t xml:space="preserve"> </w:t>
      </w:r>
    </w:p>
    <w:p w:rsidR="007F1BA3" w:rsidRPr="00A255E6" w:rsidRDefault="007F1BA3" w:rsidP="00893894">
      <w:pPr>
        <w:rPr>
          <w:b/>
        </w:rPr>
      </w:pPr>
      <w:r w:rsidRPr="00A255E6">
        <w:rPr>
          <w:b/>
        </w:rPr>
        <w:t xml:space="preserve">Opatrenia: </w:t>
      </w:r>
    </w:p>
    <w:p w:rsidR="007F1BA3" w:rsidRDefault="007F1BA3" w:rsidP="008468C9">
      <w:pPr>
        <w:numPr>
          <w:ilvl w:val="0"/>
          <w:numId w:val="18"/>
        </w:numPr>
        <w:jc w:val="both"/>
      </w:pPr>
      <w:r>
        <w:rPr>
          <w:b/>
        </w:rPr>
        <w:t>Vypracovanie</w:t>
      </w:r>
      <w:r w:rsidRPr="00155CE9">
        <w:rPr>
          <w:b/>
        </w:rPr>
        <w:t xml:space="preserve"> </w:t>
      </w:r>
      <w:r>
        <w:rPr>
          <w:b/>
        </w:rPr>
        <w:t>s</w:t>
      </w:r>
      <w:r w:rsidRPr="00155CE9">
        <w:rPr>
          <w:b/>
        </w:rPr>
        <w:t>tratégi</w:t>
      </w:r>
      <w:r>
        <w:rPr>
          <w:b/>
        </w:rPr>
        <w:t>e</w:t>
      </w:r>
      <w:r w:rsidRPr="00155CE9">
        <w:rPr>
          <w:b/>
        </w:rPr>
        <w:t xml:space="preserve"> nakladania s BRKO</w:t>
      </w:r>
      <w:r>
        <w:t xml:space="preserve"> vrátane dôkladnej analýzy vzniku BRKO a aplikovania platnej hierarchie odpadového hospodárstva s dôrazom na predchádzanie vzniku.</w:t>
      </w:r>
    </w:p>
    <w:p w:rsidR="007F1BA3" w:rsidRDefault="007F1BA3" w:rsidP="00CF584C">
      <w:pPr>
        <w:ind w:left="708"/>
        <w:jc w:val="both"/>
      </w:pPr>
      <w:r>
        <w:lastRenderedPageBreak/>
        <w:t>Zodpovednosť: MŽP SR.</w:t>
      </w:r>
    </w:p>
    <w:p w:rsidR="007F1BA3" w:rsidRDefault="007F1BA3" w:rsidP="00CF584C">
      <w:pPr>
        <w:ind w:left="708"/>
        <w:jc w:val="both"/>
      </w:pPr>
      <w:r>
        <w:t>Termín: December 2014.</w:t>
      </w:r>
    </w:p>
    <w:p w:rsidR="007F1BA3" w:rsidRDefault="007F1BA3" w:rsidP="008468C9">
      <w:pPr>
        <w:numPr>
          <w:ilvl w:val="0"/>
          <w:numId w:val="18"/>
        </w:numPr>
        <w:spacing w:before="240"/>
        <w:jc w:val="both"/>
      </w:pPr>
      <w:r w:rsidRPr="00A75A96">
        <w:rPr>
          <w:b/>
        </w:rPr>
        <w:t>Príprava a realizácia informačnej kampane</w:t>
      </w:r>
      <w:r>
        <w:t xml:space="preserve"> zameranej na informovanie</w:t>
      </w:r>
      <w:r w:rsidRPr="00A75A96">
        <w:rPr>
          <w:sz w:val="24"/>
        </w:rPr>
        <w:t xml:space="preserve"> </w:t>
      </w:r>
      <w:r w:rsidRPr="00A75A96">
        <w:t>samospráv, štátnej správy, domácností, školských zariadení a firiem o možnostiach a výhodách predchádzania vzniku biologick</w:t>
      </w:r>
      <w:r>
        <w:t xml:space="preserve">y rozložiteľných </w:t>
      </w:r>
      <w:r w:rsidRPr="00A75A96">
        <w:t>odpadov</w:t>
      </w:r>
      <w:r>
        <w:t>.</w:t>
      </w:r>
    </w:p>
    <w:p w:rsidR="007F1BA3" w:rsidRDefault="007F1BA3" w:rsidP="00A75A96">
      <w:pPr>
        <w:ind w:left="708"/>
        <w:jc w:val="both"/>
      </w:pPr>
      <w:r>
        <w:t>Zodpovednosť: MŽP SR.</w:t>
      </w:r>
    </w:p>
    <w:p w:rsidR="007F1BA3" w:rsidRDefault="007F1BA3" w:rsidP="00A75A96">
      <w:pPr>
        <w:ind w:left="708"/>
        <w:jc w:val="both"/>
      </w:pPr>
      <w:r>
        <w:t>Termín: December 2014.</w:t>
      </w:r>
    </w:p>
    <w:p w:rsidR="007F1BA3" w:rsidRPr="00155CE9" w:rsidRDefault="007F1BA3" w:rsidP="008468C9">
      <w:pPr>
        <w:numPr>
          <w:ilvl w:val="0"/>
          <w:numId w:val="18"/>
        </w:numPr>
        <w:spacing w:before="240"/>
        <w:jc w:val="both"/>
      </w:pPr>
      <w:r w:rsidRPr="00155CE9">
        <w:rPr>
          <w:b/>
        </w:rPr>
        <w:t>Podpor</w:t>
      </w:r>
      <w:r>
        <w:rPr>
          <w:b/>
        </w:rPr>
        <w:t>a</w:t>
      </w:r>
      <w:r w:rsidRPr="00155CE9">
        <w:rPr>
          <w:b/>
        </w:rPr>
        <w:t xml:space="preserve"> domáce</w:t>
      </w:r>
      <w:r>
        <w:rPr>
          <w:b/>
        </w:rPr>
        <w:t>ho</w:t>
      </w:r>
      <w:r w:rsidRPr="00155CE9">
        <w:rPr>
          <w:b/>
        </w:rPr>
        <w:t xml:space="preserve"> kompostovani</w:t>
      </w:r>
      <w:r>
        <w:rPr>
          <w:b/>
        </w:rPr>
        <w:t>a</w:t>
      </w:r>
      <w:r>
        <w:t xml:space="preserve">. </w:t>
      </w:r>
      <w:r w:rsidRPr="00155CE9">
        <w:t>Podpora spočíva v týchto základných krokoch:</w:t>
      </w:r>
    </w:p>
    <w:p w:rsidR="007F1BA3" w:rsidRPr="000A1083" w:rsidRDefault="007F1BA3" w:rsidP="008468C9">
      <w:pPr>
        <w:numPr>
          <w:ilvl w:val="0"/>
          <w:numId w:val="15"/>
        </w:numPr>
        <w:ind w:left="1068"/>
        <w:jc w:val="both"/>
      </w:pPr>
      <w:r w:rsidRPr="000A1083">
        <w:t xml:space="preserve">vzdelávanie verejnosti (informovanie formou letákov, kurzov, prednášok o výhodách a prínosoch domáceho kompostovania, o správnych postupoch pri kompostovaní, o správnom využívaní kompostu), </w:t>
      </w:r>
    </w:p>
    <w:p w:rsidR="007F1BA3" w:rsidRPr="000A1083" w:rsidRDefault="001614F9" w:rsidP="008468C9">
      <w:pPr>
        <w:numPr>
          <w:ilvl w:val="0"/>
          <w:numId w:val="15"/>
        </w:numPr>
        <w:ind w:left="1068"/>
        <w:jc w:val="both"/>
      </w:pPr>
      <w:r w:rsidRPr="000A1083">
        <w:t>finančná podpora samospráv z Environmentálneho fondu a EÚ fondov na aktivity  vedúce k podpore domáceho a </w:t>
      </w:r>
      <w:proofErr w:type="spellStart"/>
      <w:r w:rsidRPr="000A1083">
        <w:t>komunitného</w:t>
      </w:r>
      <w:proofErr w:type="spellEnd"/>
      <w:r w:rsidRPr="000A1083">
        <w:t xml:space="preserve"> kompostovania (nákup </w:t>
      </w:r>
      <w:proofErr w:type="spellStart"/>
      <w:r w:rsidRPr="000A1083">
        <w:t>kompostérov</w:t>
      </w:r>
      <w:proofErr w:type="spellEnd"/>
      <w:r w:rsidR="008741A3">
        <w:t xml:space="preserve"> pre rodinné aj pre bytové domy</w:t>
      </w:r>
      <w:r w:rsidRPr="000A1083">
        <w:t>, drvičov + informačná kampaň),</w:t>
      </w:r>
    </w:p>
    <w:p w:rsidR="007F1BA3" w:rsidRPr="009E2276" w:rsidRDefault="007F1BA3" w:rsidP="008468C9">
      <w:pPr>
        <w:numPr>
          <w:ilvl w:val="0"/>
          <w:numId w:val="15"/>
        </w:numPr>
        <w:ind w:left="1068"/>
        <w:jc w:val="both"/>
      </w:pPr>
      <w:r w:rsidRPr="000A1083">
        <w:t xml:space="preserve">pomoc pri budovaní </w:t>
      </w:r>
      <w:proofErr w:type="spellStart"/>
      <w:r w:rsidRPr="000A1083">
        <w:t>kompostovacieho</w:t>
      </w:r>
      <w:proofErr w:type="spellEnd"/>
      <w:r w:rsidRPr="000A1083">
        <w:t xml:space="preserve"> zásobníka (darovanie, prenájom, čiastočné</w:t>
      </w:r>
      <w:r w:rsidRPr="009E2276">
        <w:t xml:space="preserve"> financovanie, kurzy výstavby...),</w:t>
      </w:r>
    </w:p>
    <w:p w:rsidR="007F1BA3" w:rsidRPr="009E2276" w:rsidRDefault="007F1BA3" w:rsidP="008468C9">
      <w:pPr>
        <w:numPr>
          <w:ilvl w:val="0"/>
          <w:numId w:val="15"/>
        </w:numPr>
        <w:ind w:left="1068"/>
        <w:jc w:val="both"/>
      </w:pPr>
      <w:r>
        <w:t>pomoc pri d</w:t>
      </w:r>
      <w:r w:rsidRPr="009E2276">
        <w:t>rvení</w:t>
      </w:r>
      <w:r>
        <w:t xml:space="preserve"> </w:t>
      </w:r>
      <w:r w:rsidRPr="009E2276">
        <w:t>biologických odpadov (poskytovaním menšieho drviča, drviacimi dňami, finančnou podporou pri kúpe drviča...)</w:t>
      </w:r>
      <w:r>
        <w:t>,</w:t>
      </w:r>
    </w:p>
    <w:p w:rsidR="007F1BA3" w:rsidRPr="009E2276" w:rsidRDefault="007F1BA3" w:rsidP="008468C9">
      <w:pPr>
        <w:numPr>
          <w:ilvl w:val="0"/>
          <w:numId w:val="15"/>
        </w:numPr>
        <w:ind w:left="1068"/>
        <w:jc w:val="both"/>
        <w:rPr>
          <w:szCs w:val="24"/>
        </w:rPr>
      </w:pPr>
      <w:r>
        <w:t>e</w:t>
      </w:r>
      <w:r w:rsidRPr="009E2276">
        <w:t>konomick</w:t>
      </w:r>
      <w:r>
        <w:t>á</w:t>
      </w:r>
      <w:r w:rsidRPr="009E2276">
        <w:rPr>
          <w:szCs w:val="24"/>
        </w:rPr>
        <w:t xml:space="preserve"> motiváci</w:t>
      </w:r>
      <w:r>
        <w:rPr>
          <w:szCs w:val="24"/>
        </w:rPr>
        <w:t>a</w:t>
      </w:r>
      <w:r w:rsidRPr="009E2276">
        <w:rPr>
          <w:szCs w:val="24"/>
        </w:rPr>
        <w:t xml:space="preserve"> (úľava na miestnom poplatku za odpad, množstvový zber...).</w:t>
      </w:r>
    </w:p>
    <w:p w:rsidR="007F1BA3" w:rsidRDefault="007F1BA3" w:rsidP="00992FC5">
      <w:pPr>
        <w:ind w:left="1068"/>
      </w:pPr>
      <w:r>
        <w:t>Zodpovednosť: MŽP SR, obce.</w:t>
      </w:r>
    </w:p>
    <w:p w:rsidR="007F1BA3" w:rsidRDefault="007F1BA3" w:rsidP="00992FC5">
      <w:pPr>
        <w:ind w:left="1068"/>
      </w:pPr>
      <w:r>
        <w:t>Termín: priebežne.</w:t>
      </w:r>
    </w:p>
    <w:p w:rsidR="007F1BA3" w:rsidRDefault="007F1BA3" w:rsidP="008468C9">
      <w:pPr>
        <w:numPr>
          <w:ilvl w:val="0"/>
          <w:numId w:val="18"/>
        </w:numPr>
      </w:pPr>
      <w:r w:rsidRPr="00FA4F8A">
        <w:rPr>
          <w:b/>
        </w:rPr>
        <w:t xml:space="preserve">Podpora </w:t>
      </w:r>
      <w:proofErr w:type="spellStart"/>
      <w:r w:rsidRPr="00FA4F8A">
        <w:rPr>
          <w:b/>
        </w:rPr>
        <w:t>komunitné</w:t>
      </w:r>
      <w:r>
        <w:rPr>
          <w:b/>
        </w:rPr>
        <w:t>ho</w:t>
      </w:r>
      <w:proofErr w:type="spellEnd"/>
      <w:r>
        <w:rPr>
          <w:b/>
        </w:rPr>
        <w:t xml:space="preserve"> </w:t>
      </w:r>
      <w:r w:rsidRPr="00FA4F8A">
        <w:rPr>
          <w:b/>
        </w:rPr>
        <w:t>kompostovani</w:t>
      </w:r>
      <w:r>
        <w:rPr>
          <w:b/>
        </w:rPr>
        <w:t>a</w:t>
      </w:r>
      <w:r>
        <w:t xml:space="preserve">. Podpora </w:t>
      </w:r>
      <w:r w:rsidRPr="00155CE9">
        <w:t>spočíva v týchto základných krokoch</w:t>
      </w:r>
      <w:r>
        <w:t>:</w:t>
      </w:r>
    </w:p>
    <w:p w:rsidR="007F1BA3" w:rsidRPr="009E2276" w:rsidRDefault="007F1BA3" w:rsidP="008468C9">
      <w:pPr>
        <w:numPr>
          <w:ilvl w:val="0"/>
          <w:numId w:val="16"/>
        </w:numPr>
        <w:jc w:val="both"/>
      </w:pPr>
      <w:r>
        <w:t>v</w:t>
      </w:r>
      <w:r w:rsidRPr="009E2276">
        <w:t>zdelávanie verejnosti (informovanie formou letákov, kurzov, prednášok o </w:t>
      </w:r>
      <w:proofErr w:type="spellStart"/>
      <w:r w:rsidRPr="009E2276">
        <w:t>komunitnom</w:t>
      </w:r>
      <w:proofErr w:type="spellEnd"/>
      <w:r w:rsidRPr="009E2276">
        <w:t xml:space="preserve"> kompostovaní, o správnych postupoch pri kompostovaní,</w:t>
      </w:r>
      <w:r>
        <w:t xml:space="preserve"> o správnom využívaní kompostu),</w:t>
      </w:r>
    </w:p>
    <w:p w:rsidR="007F1BA3" w:rsidRPr="009E2276" w:rsidRDefault="007F1BA3" w:rsidP="008468C9">
      <w:pPr>
        <w:numPr>
          <w:ilvl w:val="0"/>
          <w:numId w:val="16"/>
        </w:numPr>
        <w:jc w:val="both"/>
      </w:pPr>
      <w:r>
        <w:t>p</w:t>
      </w:r>
      <w:r w:rsidRPr="009E2276">
        <w:t xml:space="preserve">omoc pri budovaní </w:t>
      </w:r>
      <w:proofErr w:type="spellStart"/>
      <w:r w:rsidRPr="009E2276">
        <w:t>komunitného</w:t>
      </w:r>
      <w:proofErr w:type="spellEnd"/>
      <w:r w:rsidRPr="009E2276">
        <w:t xml:space="preserve"> </w:t>
      </w:r>
      <w:proofErr w:type="spellStart"/>
      <w:r w:rsidRPr="009E2276">
        <w:t>kompostoviska</w:t>
      </w:r>
      <w:proofErr w:type="spellEnd"/>
      <w:r w:rsidRPr="009E2276">
        <w:t xml:space="preserve"> (vymedzenie priestoru, bezplatný prenájom priestoru od o</w:t>
      </w:r>
      <w:r>
        <w:t>bce, čiastočné financovanie...),</w:t>
      </w:r>
    </w:p>
    <w:p w:rsidR="007F1BA3" w:rsidRPr="009E2276" w:rsidRDefault="007F1BA3" w:rsidP="008468C9">
      <w:pPr>
        <w:numPr>
          <w:ilvl w:val="0"/>
          <w:numId w:val="16"/>
        </w:numPr>
        <w:jc w:val="both"/>
      </w:pPr>
      <w:r>
        <w:t>pomoc pri d</w:t>
      </w:r>
      <w:r w:rsidRPr="009E2276">
        <w:t>rvení biologických odpadov (poskytovaním menšieho drvič</w:t>
      </w:r>
      <w:r>
        <w:t>a, vykonaním služby drvenia...),</w:t>
      </w:r>
    </w:p>
    <w:p w:rsidR="007F1BA3" w:rsidRPr="009E2276" w:rsidRDefault="007F1BA3" w:rsidP="008468C9">
      <w:pPr>
        <w:numPr>
          <w:ilvl w:val="0"/>
          <w:numId w:val="16"/>
        </w:numPr>
        <w:jc w:val="both"/>
      </w:pPr>
      <w:r>
        <w:t>e</w:t>
      </w:r>
      <w:r w:rsidRPr="009E2276">
        <w:t>konomick</w:t>
      </w:r>
      <w:r>
        <w:t>á</w:t>
      </w:r>
      <w:r w:rsidRPr="009E2276">
        <w:t xml:space="preserve"> motiváci</w:t>
      </w:r>
      <w:r>
        <w:t>a</w:t>
      </w:r>
      <w:r w:rsidRPr="009E2276">
        <w:t xml:space="preserve"> (úľava na miestnom poplatku za odpad, množstvový zber...).</w:t>
      </w:r>
    </w:p>
    <w:p w:rsidR="007F1BA3" w:rsidRDefault="007F1BA3" w:rsidP="00CF4451">
      <w:pPr>
        <w:ind w:left="1068"/>
      </w:pPr>
      <w:r>
        <w:t>Zodpovednosť: MŽP SR</w:t>
      </w:r>
      <w:r w:rsidR="00C43E1E">
        <w:t xml:space="preserve"> v spolupráci s</w:t>
      </w:r>
      <w:r>
        <w:t xml:space="preserve"> obc</w:t>
      </w:r>
      <w:r w:rsidR="00C43E1E">
        <w:t>am</w:t>
      </w:r>
      <w:r w:rsidR="00BC4CFD">
        <w:t>i</w:t>
      </w:r>
      <w:r>
        <w:t>.</w:t>
      </w:r>
    </w:p>
    <w:p w:rsidR="004115DE" w:rsidRDefault="007F1BA3" w:rsidP="004115DE">
      <w:pPr>
        <w:ind w:left="1068"/>
      </w:pPr>
      <w:r>
        <w:t>Termín: priebežne</w:t>
      </w:r>
      <w:r w:rsidR="009D780C">
        <w:t>.</w:t>
      </w:r>
    </w:p>
    <w:p w:rsidR="00BE1FC1" w:rsidRPr="00BE1FC1" w:rsidRDefault="000D2DDF" w:rsidP="00BE1FC1">
      <w:pPr>
        <w:pStyle w:val="Odsekzoznamu"/>
        <w:numPr>
          <w:ilvl w:val="0"/>
          <w:numId w:val="18"/>
        </w:numPr>
        <w:rPr>
          <w:rFonts w:asciiTheme="minorHAnsi" w:hAnsiTheme="minorHAnsi"/>
        </w:rPr>
      </w:pPr>
      <w:r w:rsidRPr="000D2DDF">
        <w:rPr>
          <w:rFonts w:asciiTheme="minorHAnsi" w:hAnsiTheme="minorHAnsi"/>
        </w:rPr>
        <w:lastRenderedPageBreak/>
        <w:t>Zníž</w:t>
      </w:r>
      <w:r w:rsidRPr="000D2DDF">
        <w:rPr>
          <w:rFonts w:asciiTheme="minorHAnsi" w:hAnsiTheme="minorHAnsi"/>
          <w:color w:val="1F497D"/>
        </w:rPr>
        <w:t>enie</w:t>
      </w:r>
      <w:r w:rsidRPr="000D2DDF">
        <w:rPr>
          <w:rFonts w:asciiTheme="minorHAnsi" w:hAnsiTheme="minorHAnsi"/>
        </w:rPr>
        <w:t xml:space="preserve"> množstv</w:t>
      </w:r>
      <w:r w:rsidRPr="000D2DDF">
        <w:rPr>
          <w:rFonts w:asciiTheme="minorHAnsi" w:hAnsiTheme="minorHAnsi"/>
          <w:color w:val="1F497D"/>
        </w:rPr>
        <w:t>a</w:t>
      </w:r>
      <w:r w:rsidRPr="000D2DDF">
        <w:rPr>
          <w:rFonts w:asciiTheme="minorHAnsi" w:hAnsiTheme="minorHAnsi"/>
        </w:rPr>
        <w:t xml:space="preserve"> skládkovaných biologicky rozložiteľných komunálnych odpadov na </w:t>
      </w:r>
      <w:r w:rsidRPr="000D2DDF">
        <w:rPr>
          <w:rFonts w:asciiTheme="minorHAnsi" w:hAnsiTheme="minorHAnsi"/>
          <w:color w:val="1F497D"/>
        </w:rPr>
        <w:t>40</w:t>
      </w:r>
      <w:r w:rsidRPr="000D2DDF">
        <w:rPr>
          <w:rFonts w:asciiTheme="minorHAnsi" w:hAnsiTheme="minorHAnsi"/>
        </w:rPr>
        <w:t>% z celkového množstva biologicky rozložiteľných komunálnych odpadov vzniknutých v roku 1995 (944 000 ton)</w:t>
      </w:r>
      <w:r w:rsidR="008D2CAF">
        <w:rPr>
          <w:rFonts w:asciiTheme="minorHAnsi" w:hAnsiTheme="minorHAnsi"/>
        </w:rPr>
        <w:t>.</w:t>
      </w:r>
      <w:r w:rsidRPr="000D2DDF">
        <w:rPr>
          <w:rFonts w:asciiTheme="minorHAnsi" w:hAnsiTheme="minorHAnsi"/>
        </w:rPr>
        <w:t xml:space="preserve"> </w:t>
      </w:r>
    </w:p>
    <w:p w:rsidR="00E01F0B" w:rsidRDefault="000D2DDF">
      <w:pPr>
        <w:pStyle w:val="Odsekzoznamu"/>
        <w:rPr>
          <w:rFonts w:asciiTheme="minorHAnsi" w:hAnsiTheme="minorHAnsi"/>
        </w:rPr>
      </w:pPr>
      <w:r w:rsidRPr="000D2DDF">
        <w:rPr>
          <w:rFonts w:asciiTheme="minorHAnsi" w:hAnsiTheme="minorHAnsi"/>
        </w:rPr>
        <w:t>Zodpovednosť: MŽP SR</w:t>
      </w:r>
      <w:r w:rsidR="009D780C">
        <w:rPr>
          <w:rFonts w:asciiTheme="minorHAnsi" w:hAnsiTheme="minorHAnsi"/>
        </w:rPr>
        <w:t>.</w:t>
      </w:r>
    </w:p>
    <w:p w:rsidR="004115DE" w:rsidRPr="00C054F2" w:rsidRDefault="000D2DDF" w:rsidP="00C054F2">
      <w:pPr>
        <w:pStyle w:val="Odsekzoznamu"/>
        <w:rPr>
          <w:rFonts w:asciiTheme="minorHAnsi" w:hAnsiTheme="minorHAnsi"/>
        </w:rPr>
      </w:pPr>
      <w:r w:rsidRPr="000D2DDF">
        <w:rPr>
          <w:rFonts w:asciiTheme="minorHAnsi" w:hAnsiTheme="minorHAnsi"/>
        </w:rPr>
        <w:t>Termín: priebežne</w:t>
      </w:r>
      <w:r w:rsidR="009D780C">
        <w:rPr>
          <w:rFonts w:asciiTheme="minorHAnsi" w:hAnsiTheme="minorHAnsi"/>
        </w:rPr>
        <w:t>.</w:t>
      </w:r>
    </w:p>
    <w:p w:rsidR="003D3ABB" w:rsidRPr="004D3AF5" w:rsidRDefault="003D3ABB" w:rsidP="003D3ABB">
      <w:pPr>
        <w:pStyle w:val="Odsekzoznamu"/>
        <w:numPr>
          <w:ilvl w:val="0"/>
          <w:numId w:val="18"/>
        </w:numPr>
      </w:pPr>
      <w:r w:rsidRPr="004D3AF5">
        <w:t xml:space="preserve">Zníženie množstva biologicky rozložiteľného odpadu ukladaného na skládky odpadov zapojením obcí a domácností do </w:t>
      </w:r>
      <w:proofErr w:type="spellStart"/>
      <w:r w:rsidRPr="004D3AF5">
        <w:t>komunitného</w:t>
      </w:r>
      <w:proofErr w:type="spellEnd"/>
      <w:r w:rsidRPr="004D3AF5">
        <w:t xml:space="preserve"> a domáceho kompostovania nasledovne:  </w:t>
      </w:r>
    </w:p>
    <w:tbl>
      <w:tblPr>
        <w:tblW w:w="0" w:type="auto"/>
        <w:tblInd w:w="817" w:type="dxa"/>
        <w:tblCellMar>
          <w:left w:w="0" w:type="dxa"/>
          <w:right w:w="0" w:type="dxa"/>
        </w:tblCellMar>
        <w:tblLook w:val="04A0"/>
      </w:tblPr>
      <w:tblGrid>
        <w:gridCol w:w="3561"/>
        <w:gridCol w:w="3527"/>
      </w:tblGrid>
      <w:tr w:rsidR="008C543D" w:rsidRPr="004D3AF5" w:rsidTr="009A6B6A">
        <w:trPr>
          <w:trHeight w:val="1586"/>
        </w:trPr>
        <w:tc>
          <w:tcPr>
            <w:tcW w:w="3561" w:type="dxa"/>
            <w:tcBorders>
              <w:top w:val="double" w:sz="6" w:space="0" w:color="auto"/>
              <w:left w:val="double" w:sz="6" w:space="0" w:color="auto"/>
              <w:bottom w:val="double" w:sz="6" w:space="0" w:color="auto"/>
              <w:right w:val="single" w:sz="8" w:space="0" w:color="000000"/>
            </w:tcBorders>
            <w:tcMar>
              <w:top w:w="0" w:type="dxa"/>
              <w:left w:w="108" w:type="dxa"/>
              <w:bottom w:w="0" w:type="dxa"/>
              <w:right w:w="108" w:type="dxa"/>
            </w:tcMar>
            <w:vAlign w:val="center"/>
            <w:hideMark/>
          </w:tcPr>
          <w:p w:rsidR="008C543D" w:rsidRPr="004D3AF5" w:rsidRDefault="008C543D" w:rsidP="008C543D">
            <w:pPr>
              <w:jc w:val="center"/>
              <w:rPr>
                <w:rFonts w:asciiTheme="minorHAnsi" w:eastAsiaTheme="minorHAnsi" w:hAnsiTheme="minorHAnsi"/>
                <w:b/>
                <w:bCs/>
                <w:sz w:val="28"/>
                <w:szCs w:val="28"/>
              </w:rPr>
            </w:pPr>
            <w:r w:rsidRPr="004D3AF5">
              <w:rPr>
                <w:rFonts w:asciiTheme="minorHAnsi" w:hAnsiTheme="minorHAnsi"/>
                <w:b/>
                <w:bCs/>
                <w:sz w:val="28"/>
                <w:szCs w:val="28"/>
              </w:rPr>
              <w:t>Opatrenie</w:t>
            </w:r>
          </w:p>
        </w:tc>
        <w:tc>
          <w:tcPr>
            <w:tcW w:w="3527" w:type="dxa"/>
            <w:tcBorders>
              <w:top w:val="double" w:sz="6" w:space="0" w:color="auto"/>
              <w:left w:val="nil"/>
              <w:bottom w:val="double" w:sz="6" w:space="0" w:color="auto"/>
              <w:right w:val="double" w:sz="6" w:space="0" w:color="auto"/>
            </w:tcBorders>
            <w:tcMar>
              <w:top w:w="0" w:type="dxa"/>
              <w:left w:w="108" w:type="dxa"/>
              <w:bottom w:w="0" w:type="dxa"/>
              <w:right w:w="108" w:type="dxa"/>
            </w:tcMar>
            <w:vAlign w:val="center"/>
            <w:hideMark/>
          </w:tcPr>
          <w:p w:rsidR="008C543D" w:rsidRPr="004D3AF5" w:rsidRDefault="008C543D">
            <w:pPr>
              <w:jc w:val="center"/>
              <w:rPr>
                <w:rFonts w:asciiTheme="minorHAnsi" w:eastAsiaTheme="minorHAnsi" w:hAnsiTheme="minorHAnsi"/>
                <w:b/>
                <w:bCs/>
                <w:sz w:val="28"/>
                <w:szCs w:val="28"/>
              </w:rPr>
            </w:pPr>
            <w:r w:rsidRPr="004D3AF5">
              <w:rPr>
                <w:rFonts w:asciiTheme="minorHAnsi" w:hAnsiTheme="minorHAnsi"/>
                <w:b/>
                <w:bCs/>
                <w:sz w:val="28"/>
                <w:szCs w:val="28"/>
              </w:rPr>
              <w:t>Množstvo BRO odkloneného od skládkovania</w:t>
            </w:r>
          </w:p>
          <w:p w:rsidR="008C543D" w:rsidRPr="004D3AF5" w:rsidRDefault="008C543D">
            <w:pPr>
              <w:jc w:val="center"/>
              <w:rPr>
                <w:rFonts w:asciiTheme="minorHAnsi" w:eastAsiaTheme="minorHAnsi" w:hAnsiTheme="minorHAnsi"/>
                <w:b/>
                <w:bCs/>
                <w:sz w:val="28"/>
                <w:szCs w:val="28"/>
              </w:rPr>
            </w:pPr>
            <w:r w:rsidRPr="004D3AF5">
              <w:rPr>
                <w:rFonts w:asciiTheme="minorHAnsi" w:hAnsiTheme="minorHAnsi"/>
                <w:b/>
                <w:bCs/>
                <w:sz w:val="28"/>
                <w:szCs w:val="28"/>
              </w:rPr>
              <w:t>( t )</w:t>
            </w:r>
          </w:p>
        </w:tc>
      </w:tr>
      <w:tr w:rsidR="008C543D" w:rsidRPr="004D3AF5" w:rsidTr="009A6B6A">
        <w:trPr>
          <w:trHeight w:val="511"/>
        </w:trPr>
        <w:tc>
          <w:tcPr>
            <w:tcW w:w="3561" w:type="dxa"/>
            <w:tcBorders>
              <w:top w:val="nil"/>
              <w:left w:val="double" w:sz="6" w:space="0" w:color="auto"/>
              <w:bottom w:val="single" w:sz="8" w:space="0" w:color="000000"/>
              <w:right w:val="single" w:sz="8" w:space="0" w:color="000000"/>
            </w:tcBorders>
            <w:tcMar>
              <w:top w:w="0" w:type="dxa"/>
              <w:left w:w="108" w:type="dxa"/>
              <w:bottom w:w="0" w:type="dxa"/>
              <w:right w:w="108" w:type="dxa"/>
            </w:tcMar>
            <w:vAlign w:val="center"/>
            <w:hideMark/>
          </w:tcPr>
          <w:p w:rsidR="00E01F0B" w:rsidRPr="004D3AF5" w:rsidRDefault="00993A26">
            <w:pPr>
              <w:jc w:val="center"/>
              <w:rPr>
                <w:rFonts w:asciiTheme="minorHAnsi" w:eastAsiaTheme="minorHAnsi" w:hAnsiTheme="minorHAnsi"/>
                <w:bCs/>
              </w:rPr>
            </w:pPr>
            <w:r w:rsidRPr="004D3AF5">
              <w:rPr>
                <w:rFonts w:asciiTheme="minorHAnsi" w:hAnsiTheme="minorHAnsi"/>
                <w:bCs/>
              </w:rPr>
              <w:t>Do</w:t>
            </w:r>
            <w:r w:rsidR="000D2DDF" w:rsidRPr="004D3AF5">
              <w:rPr>
                <w:rFonts w:asciiTheme="minorHAnsi" w:hAnsiTheme="minorHAnsi"/>
                <w:bCs/>
              </w:rPr>
              <w:t xml:space="preserve"> roku 2018</w:t>
            </w:r>
          </w:p>
        </w:tc>
        <w:tc>
          <w:tcPr>
            <w:tcW w:w="3527" w:type="dxa"/>
            <w:tcBorders>
              <w:top w:val="nil"/>
              <w:left w:val="nil"/>
              <w:bottom w:val="single" w:sz="8" w:space="0" w:color="000000"/>
              <w:right w:val="double" w:sz="6" w:space="0" w:color="auto"/>
            </w:tcBorders>
            <w:tcMar>
              <w:top w:w="0" w:type="dxa"/>
              <w:left w:w="108" w:type="dxa"/>
              <w:bottom w:w="0" w:type="dxa"/>
              <w:right w:w="108" w:type="dxa"/>
            </w:tcMar>
            <w:vAlign w:val="center"/>
            <w:hideMark/>
          </w:tcPr>
          <w:p w:rsidR="008C543D" w:rsidRPr="004D3AF5" w:rsidRDefault="000D2DDF">
            <w:pPr>
              <w:jc w:val="center"/>
              <w:rPr>
                <w:rFonts w:asciiTheme="minorHAnsi" w:eastAsiaTheme="minorHAnsi" w:hAnsiTheme="minorHAnsi"/>
                <w:bCs/>
              </w:rPr>
            </w:pPr>
            <w:r w:rsidRPr="004D3AF5">
              <w:rPr>
                <w:rFonts w:asciiTheme="minorHAnsi" w:hAnsiTheme="minorHAnsi"/>
                <w:bCs/>
              </w:rPr>
              <w:t>421 960</w:t>
            </w:r>
          </w:p>
        </w:tc>
      </w:tr>
      <w:tr w:rsidR="008C543D" w:rsidRPr="004D3AF5" w:rsidTr="009A6B6A">
        <w:trPr>
          <w:trHeight w:val="454"/>
        </w:trPr>
        <w:tc>
          <w:tcPr>
            <w:tcW w:w="3561" w:type="dxa"/>
            <w:tcBorders>
              <w:top w:val="nil"/>
              <w:left w:val="double" w:sz="6" w:space="0" w:color="auto"/>
              <w:bottom w:val="single" w:sz="8" w:space="0" w:color="000000"/>
              <w:right w:val="single" w:sz="8" w:space="0" w:color="000000"/>
            </w:tcBorders>
            <w:tcMar>
              <w:top w:w="0" w:type="dxa"/>
              <w:left w:w="108" w:type="dxa"/>
              <w:bottom w:w="0" w:type="dxa"/>
              <w:right w:w="108" w:type="dxa"/>
            </w:tcMar>
            <w:vAlign w:val="center"/>
            <w:hideMark/>
          </w:tcPr>
          <w:p w:rsidR="008C543D" w:rsidRPr="004D3AF5" w:rsidRDefault="000D2DDF" w:rsidP="008C543D">
            <w:pPr>
              <w:pStyle w:val="Odsekzoznamu"/>
              <w:numPr>
                <w:ilvl w:val="0"/>
                <w:numId w:val="49"/>
              </w:numPr>
              <w:spacing w:after="0" w:line="240" w:lineRule="auto"/>
              <w:rPr>
                <w:rFonts w:asciiTheme="minorHAnsi" w:hAnsiTheme="minorHAnsi"/>
              </w:rPr>
            </w:pPr>
            <w:r w:rsidRPr="004D3AF5">
              <w:rPr>
                <w:rFonts w:asciiTheme="minorHAnsi" w:hAnsiTheme="minorHAnsi"/>
              </w:rPr>
              <w:t xml:space="preserve">Zapojiť 54% obcí, ktoré majú do 1500 obyvateľov do </w:t>
            </w:r>
            <w:proofErr w:type="spellStart"/>
            <w:r w:rsidRPr="004D3AF5">
              <w:rPr>
                <w:rFonts w:asciiTheme="minorHAnsi" w:hAnsiTheme="minorHAnsi"/>
              </w:rPr>
              <w:t>komunitného</w:t>
            </w:r>
            <w:proofErr w:type="spellEnd"/>
            <w:r w:rsidRPr="004D3AF5">
              <w:rPr>
                <w:rFonts w:asciiTheme="minorHAnsi" w:hAnsiTheme="minorHAnsi"/>
              </w:rPr>
              <w:t xml:space="preserve"> kompostovania</w:t>
            </w:r>
          </w:p>
        </w:tc>
        <w:tc>
          <w:tcPr>
            <w:tcW w:w="3527" w:type="dxa"/>
            <w:tcBorders>
              <w:top w:val="nil"/>
              <w:left w:val="nil"/>
              <w:bottom w:val="single" w:sz="8" w:space="0" w:color="000000"/>
              <w:right w:val="double" w:sz="6" w:space="0" w:color="auto"/>
            </w:tcBorders>
            <w:tcMar>
              <w:top w:w="0" w:type="dxa"/>
              <w:left w:w="108" w:type="dxa"/>
              <w:bottom w:w="0" w:type="dxa"/>
              <w:right w:w="108" w:type="dxa"/>
            </w:tcMar>
            <w:vAlign w:val="center"/>
            <w:hideMark/>
          </w:tcPr>
          <w:p w:rsidR="008C543D" w:rsidRPr="004D3AF5" w:rsidRDefault="000D2DDF">
            <w:pPr>
              <w:jc w:val="center"/>
              <w:rPr>
                <w:rFonts w:asciiTheme="minorHAnsi" w:eastAsiaTheme="minorHAnsi" w:hAnsiTheme="minorHAnsi"/>
              </w:rPr>
            </w:pPr>
            <w:r w:rsidRPr="004D3AF5">
              <w:rPr>
                <w:rFonts w:asciiTheme="minorHAnsi" w:hAnsiTheme="minorHAnsi"/>
              </w:rPr>
              <w:t>37 800</w:t>
            </w:r>
          </w:p>
        </w:tc>
      </w:tr>
      <w:tr w:rsidR="008C543D" w:rsidRPr="004D3AF5" w:rsidTr="009A6B6A">
        <w:trPr>
          <w:trHeight w:val="454"/>
        </w:trPr>
        <w:tc>
          <w:tcPr>
            <w:tcW w:w="3561" w:type="dxa"/>
            <w:tcBorders>
              <w:top w:val="nil"/>
              <w:left w:val="double" w:sz="6" w:space="0" w:color="auto"/>
              <w:bottom w:val="single" w:sz="8" w:space="0" w:color="000000"/>
              <w:right w:val="single" w:sz="8" w:space="0" w:color="000000"/>
            </w:tcBorders>
            <w:tcMar>
              <w:top w:w="0" w:type="dxa"/>
              <w:left w:w="108" w:type="dxa"/>
              <w:bottom w:w="0" w:type="dxa"/>
              <w:right w:w="108" w:type="dxa"/>
            </w:tcMar>
            <w:vAlign w:val="center"/>
            <w:hideMark/>
          </w:tcPr>
          <w:p w:rsidR="008C543D" w:rsidRPr="004D3AF5" w:rsidRDefault="000D2DDF" w:rsidP="008C543D">
            <w:pPr>
              <w:pStyle w:val="Odsekzoznamu"/>
              <w:numPr>
                <w:ilvl w:val="0"/>
                <w:numId w:val="49"/>
              </w:numPr>
              <w:spacing w:after="0" w:line="240" w:lineRule="auto"/>
              <w:rPr>
                <w:rFonts w:asciiTheme="minorHAnsi" w:hAnsiTheme="minorHAnsi"/>
              </w:rPr>
            </w:pPr>
            <w:r w:rsidRPr="004D3AF5">
              <w:rPr>
                <w:rFonts w:asciiTheme="minorHAnsi" w:hAnsiTheme="minorHAnsi"/>
              </w:rPr>
              <w:t>Zapojiť 47% domácností (IBV) do domáceho kompostovania</w:t>
            </w:r>
          </w:p>
        </w:tc>
        <w:tc>
          <w:tcPr>
            <w:tcW w:w="3527" w:type="dxa"/>
            <w:tcBorders>
              <w:top w:val="nil"/>
              <w:left w:val="nil"/>
              <w:bottom w:val="single" w:sz="8" w:space="0" w:color="000000"/>
              <w:right w:val="double" w:sz="6" w:space="0" w:color="auto"/>
            </w:tcBorders>
            <w:tcMar>
              <w:top w:w="0" w:type="dxa"/>
              <w:left w:w="108" w:type="dxa"/>
              <w:bottom w:w="0" w:type="dxa"/>
              <w:right w:w="108" w:type="dxa"/>
            </w:tcMar>
            <w:vAlign w:val="center"/>
            <w:hideMark/>
          </w:tcPr>
          <w:p w:rsidR="008C543D" w:rsidRPr="004D3AF5" w:rsidRDefault="000D2DDF">
            <w:pPr>
              <w:jc w:val="center"/>
              <w:rPr>
                <w:rFonts w:asciiTheme="minorHAnsi" w:eastAsiaTheme="minorHAnsi" w:hAnsiTheme="minorHAnsi"/>
              </w:rPr>
            </w:pPr>
            <w:r w:rsidRPr="004D3AF5">
              <w:rPr>
                <w:rFonts w:asciiTheme="minorHAnsi" w:hAnsiTheme="minorHAnsi"/>
              </w:rPr>
              <w:t>158 860</w:t>
            </w:r>
          </w:p>
        </w:tc>
      </w:tr>
    </w:tbl>
    <w:p w:rsidR="00E01F0B" w:rsidRPr="004D3AF5" w:rsidRDefault="00E01F0B">
      <w:pPr>
        <w:pStyle w:val="Odsekzoznamu"/>
      </w:pPr>
    </w:p>
    <w:p w:rsidR="003D3ABB" w:rsidRPr="004D3AF5" w:rsidRDefault="003D3ABB" w:rsidP="003D3ABB">
      <w:r w:rsidRPr="004D3AF5">
        <w:rPr>
          <w:rFonts w:asciiTheme="minorHAnsi" w:hAnsiTheme="minorHAnsi"/>
        </w:rPr>
        <w:t xml:space="preserve">             Zodpovednosť: </w:t>
      </w:r>
      <w:r w:rsidRPr="004D3AF5">
        <w:t xml:space="preserve">MŽP SR v spolupráci so ZMOS, ÚMS, obcami a mestami. </w:t>
      </w:r>
    </w:p>
    <w:p w:rsidR="00E01F0B" w:rsidRPr="00C054F2" w:rsidRDefault="003D3ABB">
      <w:r w:rsidRPr="00F970D9">
        <w:t xml:space="preserve">             Termín: priebežne</w:t>
      </w:r>
      <w:r w:rsidR="008D2CAF">
        <w:t>.</w:t>
      </w:r>
    </w:p>
    <w:p w:rsidR="007F1BA3" w:rsidRPr="00044FF5" w:rsidRDefault="007F1BA3" w:rsidP="008468C9">
      <w:pPr>
        <w:numPr>
          <w:ilvl w:val="0"/>
          <w:numId w:val="18"/>
        </w:numPr>
        <w:jc w:val="both"/>
        <w:rPr>
          <w:b/>
        </w:rPr>
      </w:pPr>
      <w:r w:rsidRPr="00044FF5">
        <w:rPr>
          <w:b/>
        </w:rPr>
        <w:t xml:space="preserve">Program podpory </w:t>
      </w:r>
      <w:proofErr w:type="spellStart"/>
      <w:r w:rsidRPr="00044FF5">
        <w:rPr>
          <w:b/>
        </w:rPr>
        <w:t>mulčovania</w:t>
      </w:r>
      <w:proofErr w:type="spellEnd"/>
      <w:r w:rsidRPr="00044FF5">
        <w:rPr>
          <w:b/>
        </w:rPr>
        <w:t xml:space="preserve"> trávy</w:t>
      </w:r>
      <w:r>
        <w:rPr>
          <w:b/>
        </w:rPr>
        <w:t>:</w:t>
      </w:r>
    </w:p>
    <w:p w:rsidR="007F1BA3" w:rsidRPr="009E2276" w:rsidRDefault="007F1BA3" w:rsidP="008468C9">
      <w:pPr>
        <w:numPr>
          <w:ilvl w:val="0"/>
          <w:numId w:val="17"/>
        </w:numPr>
        <w:rPr>
          <w:lang w:eastAsia="sk-SK"/>
        </w:rPr>
      </w:pPr>
      <w:r>
        <w:rPr>
          <w:lang w:eastAsia="sk-SK"/>
        </w:rPr>
        <w:t>i</w:t>
      </w:r>
      <w:r w:rsidRPr="009E2276">
        <w:rPr>
          <w:lang w:eastAsia="sk-SK"/>
        </w:rPr>
        <w:t xml:space="preserve">nformovanie obyvateľov o výhodách </w:t>
      </w:r>
      <w:proofErr w:type="spellStart"/>
      <w:r w:rsidRPr="009E2276">
        <w:rPr>
          <w:lang w:eastAsia="sk-SK"/>
        </w:rPr>
        <w:t>mulčovania</w:t>
      </w:r>
      <w:proofErr w:type="spellEnd"/>
      <w:r w:rsidRPr="009E2276">
        <w:rPr>
          <w:lang w:eastAsia="sk-SK"/>
        </w:rPr>
        <w:t xml:space="preserve"> trávy</w:t>
      </w:r>
      <w:r>
        <w:rPr>
          <w:lang w:eastAsia="sk-SK"/>
        </w:rPr>
        <w:t>,</w:t>
      </w:r>
    </w:p>
    <w:p w:rsidR="007F1BA3" w:rsidRPr="009E2276" w:rsidRDefault="007F1BA3" w:rsidP="008468C9">
      <w:pPr>
        <w:numPr>
          <w:ilvl w:val="0"/>
          <w:numId w:val="17"/>
        </w:numPr>
        <w:rPr>
          <w:lang w:eastAsia="sk-SK"/>
        </w:rPr>
      </w:pPr>
      <w:r>
        <w:rPr>
          <w:lang w:eastAsia="sk-SK"/>
        </w:rPr>
        <w:t>z</w:t>
      </w:r>
      <w:r w:rsidRPr="009E2276">
        <w:rPr>
          <w:lang w:eastAsia="sk-SK"/>
        </w:rPr>
        <w:t xml:space="preserve">akúpenie </w:t>
      </w:r>
      <w:proofErr w:type="spellStart"/>
      <w:r w:rsidRPr="009E2276">
        <w:rPr>
          <w:lang w:eastAsia="sk-SK"/>
        </w:rPr>
        <w:t>mulčovacej</w:t>
      </w:r>
      <w:proofErr w:type="spellEnd"/>
      <w:r w:rsidRPr="009E2276">
        <w:rPr>
          <w:lang w:eastAsia="sk-SK"/>
        </w:rPr>
        <w:t xml:space="preserve"> kosačky, ktorá je následne požičiavaná záujemcom</w:t>
      </w:r>
      <w:r>
        <w:rPr>
          <w:lang w:eastAsia="sk-SK"/>
        </w:rPr>
        <w:t>,</w:t>
      </w:r>
    </w:p>
    <w:p w:rsidR="007F1BA3" w:rsidRPr="009E2276" w:rsidRDefault="007F1BA3" w:rsidP="008468C9">
      <w:pPr>
        <w:numPr>
          <w:ilvl w:val="0"/>
          <w:numId w:val="17"/>
        </w:numPr>
        <w:rPr>
          <w:lang w:eastAsia="sk-SK"/>
        </w:rPr>
      </w:pPr>
      <w:r>
        <w:rPr>
          <w:lang w:eastAsia="sk-SK"/>
        </w:rPr>
        <w:t>p</w:t>
      </w:r>
      <w:r w:rsidRPr="009E2276">
        <w:rPr>
          <w:lang w:eastAsia="sk-SK"/>
        </w:rPr>
        <w:t xml:space="preserve">oskytovanie služby kosenia </w:t>
      </w:r>
      <w:proofErr w:type="spellStart"/>
      <w:r w:rsidRPr="009E2276">
        <w:rPr>
          <w:lang w:eastAsia="sk-SK"/>
        </w:rPr>
        <w:t>mulčovacou</w:t>
      </w:r>
      <w:proofErr w:type="spellEnd"/>
      <w:r w:rsidRPr="009E2276">
        <w:rPr>
          <w:lang w:eastAsia="sk-SK"/>
        </w:rPr>
        <w:t xml:space="preserve"> kosačkou</w:t>
      </w:r>
      <w:r>
        <w:rPr>
          <w:lang w:eastAsia="sk-SK"/>
        </w:rPr>
        <w:t>,</w:t>
      </w:r>
    </w:p>
    <w:p w:rsidR="007F1BA3" w:rsidRPr="009E2276" w:rsidRDefault="007F1BA3" w:rsidP="008468C9">
      <w:pPr>
        <w:numPr>
          <w:ilvl w:val="0"/>
          <w:numId w:val="17"/>
        </w:numPr>
        <w:rPr>
          <w:lang w:eastAsia="sk-SK"/>
        </w:rPr>
      </w:pPr>
      <w:r>
        <w:rPr>
          <w:lang w:eastAsia="sk-SK"/>
        </w:rPr>
        <w:t>k</w:t>
      </w:r>
      <w:r w:rsidRPr="009E2276">
        <w:rPr>
          <w:lang w:eastAsia="sk-SK"/>
        </w:rPr>
        <w:t xml:space="preserve">osenie verejných priestranstiev </w:t>
      </w:r>
      <w:proofErr w:type="spellStart"/>
      <w:r w:rsidRPr="009E2276">
        <w:rPr>
          <w:lang w:eastAsia="sk-SK"/>
        </w:rPr>
        <w:t>mulčovacou</w:t>
      </w:r>
      <w:proofErr w:type="spellEnd"/>
      <w:r w:rsidRPr="009E2276">
        <w:rPr>
          <w:lang w:eastAsia="sk-SK"/>
        </w:rPr>
        <w:t xml:space="preserve"> kosačkou</w:t>
      </w:r>
      <w:r>
        <w:rPr>
          <w:lang w:eastAsia="sk-SK"/>
        </w:rPr>
        <w:t>,</w:t>
      </w:r>
    </w:p>
    <w:p w:rsidR="007F1BA3" w:rsidRPr="009E2276" w:rsidRDefault="007F1BA3" w:rsidP="008468C9">
      <w:pPr>
        <w:numPr>
          <w:ilvl w:val="0"/>
          <w:numId w:val="17"/>
        </w:numPr>
        <w:rPr>
          <w:lang w:eastAsia="sk-SK"/>
        </w:rPr>
      </w:pPr>
      <w:r>
        <w:rPr>
          <w:lang w:eastAsia="sk-SK"/>
        </w:rPr>
        <w:t>e</w:t>
      </w:r>
      <w:r w:rsidRPr="009E2276">
        <w:rPr>
          <w:lang w:eastAsia="sk-SK"/>
        </w:rPr>
        <w:t xml:space="preserve">konomická motivácia (úľavy na poplatkoch pre ľudí, ktorí si </w:t>
      </w:r>
      <w:proofErr w:type="spellStart"/>
      <w:r w:rsidRPr="009E2276">
        <w:rPr>
          <w:lang w:eastAsia="sk-SK"/>
        </w:rPr>
        <w:t>mulčujú</w:t>
      </w:r>
      <w:proofErr w:type="spellEnd"/>
      <w:r w:rsidRPr="009E2276">
        <w:rPr>
          <w:lang w:eastAsia="sk-SK"/>
        </w:rPr>
        <w:t xml:space="preserve"> trávu na svojom pozemku)</w:t>
      </w:r>
      <w:r>
        <w:rPr>
          <w:lang w:eastAsia="sk-SK"/>
        </w:rPr>
        <w:t>.</w:t>
      </w:r>
    </w:p>
    <w:p w:rsidR="007F1BA3" w:rsidRDefault="007F1BA3" w:rsidP="000E53D5">
      <w:pPr>
        <w:ind w:left="708"/>
      </w:pPr>
      <w:r>
        <w:t>Zodpovednosť: obce.</w:t>
      </w:r>
    </w:p>
    <w:p w:rsidR="007F1BA3" w:rsidRDefault="007F1BA3" w:rsidP="000E53D5">
      <w:pPr>
        <w:ind w:left="708"/>
      </w:pPr>
      <w:r>
        <w:t>Termín: priebežne.</w:t>
      </w:r>
    </w:p>
    <w:p w:rsidR="007F1BA3" w:rsidRPr="00922DD5" w:rsidRDefault="007F1BA3" w:rsidP="008468C9">
      <w:pPr>
        <w:numPr>
          <w:ilvl w:val="0"/>
          <w:numId w:val="18"/>
        </w:numPr>
        <w:jc w:val="both"/>
        <w:rPr>
          <w:b/>
        </w:rPr>
      </w:pPr>
      <w:r>
        <w:rPr>
          <w:b/>
        </w:rPr>
        <w:lastRenderedPageBreak/>
        <w:t>Vypracovanie</w:t>
      </w:r>
      <w:r w:rsidRPr="00922DD5">
        <w:rPr>
          <w:b/>
        </w:rPr>
        <w:t xml:space="preserve"> a</w:t>
      </w:r>
      <w:r>
        <w:rPr>
          <w:b/>
        </w:rPr>
        <w:t> </w:t>
      </w:r>
      <w:r w:rsidRPr="00922DD5">
        <w:rPr>
          <w:b/>
        </w:rPr>
        <w:t>realiz</w:t>
      </w:r>
      <w:r>
        <w:rPr>
          <w:b/>
        </w:rPr>
        <w:t xml:space="preserve">ácia </w:t>
      </w:r>
      <w:r w:rsidRPr="00922DD5">
        <w:rPr>
          <w:b/>
        </w:rPr>
        <w:t>informačn</w:t>
      </w:r>
      <w:r>
        <w:rPr>
          <w:b/>
        </w:rPr>
        <w:t>ej</w:t>
      </w:r>
      <w:r w:rsidRPr="00922DD5">
        <w:rPr>
          <w:b/>
        </w:rPr>
        <w:t xml:space="preserve"> kampa</w:t>
      </w:r>
      <w:r>
        <w:rPr>
          <w:b/>
        </w:rPr>
        <w:t>ne</w:t>
      </w:r>
      <w:r w:rsidRPr="00922DD5">
        <w:rPr>
          <w:b/>
        </w:rPr>
        <w:t xml:space="preserve"> o správnom skladovaní a využívaní potravín</w:t>
      </w:r>
      <w:r>
        <w:rPr>
          <w:b/>
        </w:rPr>
        <w:t>.</w:t>
      </w:r>
      <w:r w:rsidRPr="00922DD5">
        <w:rPr>
          <w:b/>
        </w:rPr>
        <w:t xml:space="preserve"> </w:t>
      </w:r>
    </w:p>
    <w:p w:rsidR="007F1BA3" w:rsidRDefault="007F1BA3" w:rsidP="000E53D5">
      <w:pPr>
        <w:ind w:left="708"/>
      </w:pPr>
      <w:r>
        <w:t>Zodpovednosť: MŽP SR</w:t>
      </w:r>
      <w:r w:rsidR="00101B26">
        <w:t xml:space="preserve"> v spolupráci s MPRV SR a </w:t>
      </w:r>
      <w:r>
        <w:t>obc</w:t>
      </w:r>
      <w:r w:rsidR="00101B26">
        <w:t>ami</w:t>
      </w:r>
      <w:r>
        <w:t>.</w:t>
      </w:r>
    </w:p>
    <w:p w:rsidR="007F1BA3" w:rsidRDefault="007F1BA3" w:rsidP="000E53D5">
      <w:pPr>
        <w:ind w:left="708"/>
      </w:pPr>
      <w:r>
        <w:t>Termín: december 2014.</w:t>
      </w:r>
    </w:p>
    <w:p w:rsidR="007F1BA3" w:rsidRDefault="007F1BA3" w:rsidP="008468C9">
      <w:pPr>
        <w:numPr>
          <w:ilvl w:val="0"/>
          <w:numId w:val="18"/>
        </w:numPr>
        <w:jc w:val="both"/>
      </w:pPr>
      <w:r>
        <w:t xml:space="preserve">Zameranie </w:t>
      </w:r>
      <w:r w:rsidRPr="00C65479">
        <w:rPr>
          <w:b/>
        </w:rPr>
        <w:t>informačn</w:t>
      </w:r>
      <w:r>
        <w:rPr>
          <w:b/>
        </w:rPr>
        <w:t>ých</w:t>
      </w:r>
      <w:r w:rsidRPr="00C65479">
        <w:rPr>
          <w:b/>
        </w:rPr>
        <w:t xml:space="preserve"> a propagačn</w:t>
      </w:r>
      <w:r>
        <w:rPr>
          <w:b/>
        </w:rPr>
        <w:t>ých</w:t>
      </w:r>
      <w:r w:rsidRPr="00C65479">
        <w:rPr>
          <w:b/>
        </w:rPr>
        <w:t xml:space="preserve"> kampan</w:t>
      </w:r>
      <w:r>
        <w:rPr>
          <w:b/>
        </w:rPr>
        <w:t>í</w:t>
      </w:r>
      <w:r w:rsidRPr="00C65479">
        <w:rPr>
          <w:b/>
        </w:rPr>
        <w:t xml:space="preserve"> na obchodné reťazce, hotely, reštaurácie a stravovacie zariadeni</w:t>
      </w:r>
      <w:r>
        <w:rPr>
          <w:b/>
        </w:rPr>
        <w:t>a</w:t>
      </w:r>
      <w:r w:rsidRPr="00C65479">
        <w:rPr>
          <w:b/>
        </w:rPr>
        <w:t xml:space="preserve">, </w:t>
      </w:r>
      <w:r>
        <w:t xml:space="preserve">kde vzniká veľké množstvo odpadu z potravín. </w:t>
      </w:r>
    </w:p>
    <w:p w:rsidR="007F1BA3" w:rsidRDefault="007F1BA3" w:rsidP="000E53D5">
      <w:pPr>
        <w:ind w:left="708"/>
      </w:pPr>
      <w:r>
        <w:t>Zodpovednosť: MŽP SR</w:t>
      </w:r>
      <w:r w:rsidR="00101B26">
        <w:t xml:space="preserve"> v spolupráci s</w:t>
      </w:r>
      <w:r>
        <w:t xml:space="preserve"> MPRV SR. </w:t>
      </w:r>
    </w:p>
    <w:p w:rsidR="007F1BA3" w:rsidRDefault="007F1BA3" w:rsidP="000E53D5">
      <w:pPr>
        <w:ind w:left="708"/>
      </w:pPr>
      <w:r>
        <w:t>Termín: priebežne.</w:t>
      </w:r>
    </w:p>
    <w:p w:rsidR="007F1BA3" w:rsidRDefault="007F1BA3" w:rsidP="008468C9">
      <w:pPr>
        <w:numPr>
          <w:ilvl w:val="0"/>
          <w:numId w:val="18"/>
        </w:numPr>
        <w:spacing w:after="120"/>
        <w:jc w:val="both"/>
        <w:rPr>
          <w:lang w:eastAsia="sk-SK"/>
        </w:rPr>
      </w:pPr>
      <w:r>
        <w:t>Úprava</w:t>
      </w:r>
      <w:r w:rsidRPr="000C582F">
        <w:t xml:space="preserve"> legislatív</w:t>
      </w:r>
      <w:r>
        <w:t xml:space="preserve">y – jednoznačné definovanie </w:t>
      </w:r>
      <w:r w:rsidRPr="000C582F">
        <w:t xml:space="preserve"> </w:t>
      </w:r>
      <w:r w:rsidRPr="000C582F">
        <w:rPr>
          <w:b/>
        </w:rPr>
        <w:t>zákaz</w:t>
      </w:r>
      <w:r>
        <w:rPr>
          <w:b/>
        </w:rPr>
        <w:t>u</w:t>
      </w:r>
      <w:r w:rsidRPr="000C582F">
        <w:rPr>
          <w:b/>
        </w:rPr>
        <w:t xml:space="preserve"> </w:t>
      </w:r>
      <w:r w:rsidRPr="000C582F">
        <w:rPr>
          <w:b/>
          <w:lang w:eastAsia="sk-SK"/>
        </w:rPr>
        <w:t>používania drvičov odpadu</w:t>
      </w:r>
      <w:r w:rsidRPr="000C582F">
        <w:rPr>
          <w:lang w:eastAsia="sk-SK"/>
        </w:rPr>
        <w:t xml:space="preserve"> napojených na kanalizáciu</w:t>
      </w:r>
      <w:r>
        <w:rPr>
          <w:lang w:eastAsia="sk-SK"/>
        </w:rPr>
        <w:t>.</w:t>
      </w:r>
    </w:p>
    <w:p w:rsidR="00E01F0B" w:rsidRDefault="00613D1C">
      <w:pPr>
        <w:ind w:left="360"/>
      </w:pPr>
      <w:r>
        <w:t xml:space="preserve">       Zodpovednosť: MŽP SR.</w:t>
      </w:r>
    </w:p>
    <w:p w:rsidR="00E01F0B" w:rsidRDefault="00613D1C">
      <w:pPr>
        <w:ind w:left="360"/>
        <w:rPr>
          <w:lang w:eastAsia="sk-SK"/>
        </w:rPr>
      </w:pPr>
      <w:r>
        <w:t xml:space="preserve">       Termín: </w:t>
      </w:r>
      <w:r w:rsidR="004C5350" w:rsidRPr="000E72AB">
        <w:t>K účinnosti pripravovaného zákona o odpadoch.</w:t>
      </w:r>
    </w:p>
    <w:p w:rsidR="00613D1C" w:rsidRPr="000C582F" w:rsidRDefault="00613D1C" w:rsidP="008468C9">
      <w:pPr>
        <w:numPr>
          <w:ilvl w:val="0"/>
          <w:numId w:val="18"/>
        </w:numPr>
        <w:spacing w:after="120"/>
        <w:jc w:val="both"/>
        <w:rPr>
          <w:lang w:eastAsia="sk-SK"/>
        </w:rPr>
      </w:pPr>
      <w:r>
        <w:rPr>
          <w:lang w:eastAsia="sk-SK"/>
        </w:rPr>
        <w:t>Zapracovanie výsledkov štúdie „</w:t>
      </w:r>
      <w:proofErr w:type="spellStart"/>
      <w:r>
        <w:rPr>
          <w:lang w:eastAsia="sk-SK"/>
        </w:rPr>
        <w:t>Preparatory</w:t>
      </w:r>
      <w:proofErr w:type="spellEnd"/>
      <w:r>
        <w:rPr>
          <w:lang w:eastAsia="sk-SK"/>
        </w:rPr>
        <w:t xml:space="preserve"> Study on </w:t>
      </w:r>
      <w:proofErr w:type="spellStart"/>
      <w:r>
        <w:rPr>
          <w:lang w:eastAsia="sk-SK"/>
        </w:rPr>
        <w:t>Food</w:t>
      </w:r>
      <w:proofErr w:type="spellEnd"/>
      <w:r>
        <w:rPr>
          <w:lang w:eastAsia="sk-SK"/>
        </w:rPr>
        <w:t xml:space="preserve"> </w:t>
      </w:r>
      <w:proofErr w:type="spellStart"/>
      <w:r>
        <w:rPr>
          <w:lang w:eastAsia="sk-SK"/>
        </w:rPr>
        <w:t>Waste</w:t>
      </w:r>
      <w:proofErr w:type="spellEnd"/>
      <w:r>
        <w:rPr>
          <w:lang w:eastAsia="sk-SK"/>
        </w:rPr>
        <w:t xml:space="preserve"> </w:t>
      </w:r>
      <w:proofErr w:type="spellStart"/>
      <w:r>
        <w:rPr>
          <w:lang w:eastAsia="sk-SK"/>
        </w:rPr>
        <w:t>across</w:t>
      </w:r>
      <w:proofErr w:type="spellEnd"/>
      <w:r>
        <w:rPr>
          <w:lang w:eastAsia="sk-SK"/>
        </w:rPr>
        <w:t xml:space="preserve"> EU 27 </w:t>
      </w:r>
      <w:r w:rsidR="00BC4CFD">
        <w:rPr>
          <w:lang w:eastAsia="sk-SK"/>
        </w:rPr>
        <w:t>(</w:t>
      </w:r>
      <w:r>
        <w:rPr>
          <w:lang w:eastAsia="sk-SK"/>
        </w:rPr>
        <w:t xml:space="preserve">2010)“ do samotného PPVO v rámci vyhodnocovania plnenia cieľov. </w:t>
      </w:r>
    </w:p>
    <w:p w:rsidR="00E01F0B" w:rsidRDefault="00613D1C">
      <w:pPr>
        <w:pStyle w:val="Odsekzoznamu"/>
      </w:pPr>
      <w:r>
        <w:t>Zodpovednosť: MŽP SR</w:t>
      </w:r>
      <w:r w:rsidR="00ED345F">
        <w:t xml:space="preserve"> v spolupráci s MPVR SR</w:t>
      </w:r>
      <w:r>
        <w:t>.</w:t>
      </w:r>
    </w:p>
    <w:p w:rsidR="00E01F0B" w:rsidRDefault="00613D1C">
      <w:pPr>
        <w:pStyle w:val="Odsekzoznamu"/>
      </w:pPr>
      <w:r>
        <w:t>Termín: december 2017.</w:t>
      </w:r>
    </w:p>
    <w:p w:rsidR="007F1BA3" w:rsidRDefault="007F1BA3" w:rsidP="0088147A">
      <w:pPr>
        <w:jc w:val="both"/>
      </w:pPr>
      <w:r w:rsidRPr="00006633">
        <w:rPr>
          <w:b/>
        </w:rPr>
        <w:t>Navrhované opatrenia sú plne v súlade s odporúčaniami EK</w:t>
      </w:r>
      <w:r>
        <w:t xml:space="preserve">, ktoré vypracovala spoločnosť </w:t>
      </w:r>
      <w:proofErr w:type="spellStart"/>
      <w:r>
        <w:t>BiPRO</w:t>
      </w:r>
      <w:proofErr w:type="spellEnd"/>
      <w:r>
        <w:t xml:space="preserve"> v dokumente „</w:t>
      </w:r>
      <w:proofErr w:type="spellStart"/>
      <w:r>
        <w:t>Roadmap</w:t>
      </w:r>
      <w:proofErr w:type="spellEnd"/>
      <w:r>
        <w:t xml:space="preserve"> </w:t>
      </w:r>
      <w:proofErr w:type="spellStart"/>
      <w:r>
        <w:t>for</w:t>
      </w:r>
      <w:proofErr w:type="spellEnd"/>
      <w:r>
        <w:t xml:space="preserve"> Slovakia“, súčasťou ktorého sú definované hlavné nedostatky nakladania s komunálnymi odpadmi v SR, ako aj akčný plán na ich odstránenie. Finančné zdroje, ktoré sú odporúčané v dokumente, sú Európsky fond regionálneho rozvoja, Kohézny fond  a program LIFE.  </w:t>
      </w:r>
    </w:p>
    <w:p w:rsidR="007F1BA3" w:rsidRDefault="007F1BA3" w:rsidP="0017410A">
      <w:pPr>
        <w:pStyle w:val="Nadpis3"/>
      </w:pPr>
    </w:p>
    <w:p w:rsidR="007F1BA3" w:rsidRDefault="007F1BA3" w:rsidP="0017410A">
      <w:pPr>
        <w:pStyle w:val="Nadpis3"/>
      </w:pPr>
      <w:bookmarkStart w:id="47" w:name="_Toc356292975"/>
      <w:r w:rsidRPr="006B2C8E">
        <w:t>4.</w:t>
      </w:r>
      <w:r>
        <w:t>3.3</w:t>
      </w:r>
      <w:r w:rsidRPr="006B2C8E">
        <w:tab/>
        <w:t>Odpad z</w:t>
      </w:r>
      <w:r>
        <w:t> </w:t>
      </w:r>
      <w:r w:rsidRPr="006B2C8E">
        <w:t>papiera</w:t>
      </w:r>
      <w:bookmarkEnd w:id="47"/>
    </w:p>
    <w:p w:rsidR="007F1BA3" w:rsidRDefault="007F1BA3" w:rsidP="00E555D1">
      <w:pPr>
        <w:jc w:val="both"/>
      </w:pPr>
      <w:r>
        <w:t xml:space="preserve">V SR vzniká podľa údajov RISO a ŠÚ SR približne 70-tisíc </w:t>
      </w:r>
      <w:r w:rsidR="001614F9" w:rsidRPr="00C903AC">
        <w:t>ton</w:t>
      </w:r>
      <w:r>
        <w:t xml:space="preserve"> odpadu z papiera. Podľa údajov Priateľov Zeme – SPZ až 115 135 ton odpadu z papiera je súčasťou zmesového komunálneho odpadu.  Znepokojivý je trend v množstve reklamných materiálov, ktoré sa ako nevyžiadaná pošta dostávajú do poštových schránok obyvateľov a sú vo veľkých množstvách k dispozícii aj v obchodných domoch a supermarketoch. </w:t>
      </w:r>
    </w:p>
    <w:p w:rsidR="007F1BA3" w:rsidRDefault="007F1BA3" w:rsidP="00E555D1">
      <w:pPr>
        <w:jc w:val="both"/>
      </w:pPr>
    </w:p>
    <w:p w:rsidR="00E16C5B" w:rsidRDefault="00E16C5B" w:rsidP="00E555D1">
      <w:pPr>
        <w:jc w:val="both"/>
      </w:pPr>
    </w:p>
    <w:p w:rsidR="00E16C5B" w:rsidRDefault="00E16C5B" w:rsidP="00E555D1">
      <w:pPr>
        <w:jc w:val="both"/>
      </w:pPr>
    </w:p>
    <w:p w:rsidR="0041306F" w:rsidRDefault="0041306F" w:rsidP="00E555D1">
      <w:pPr>
        <w:jc w:val="both"/>
      </w:pPr>
    </w:p>
    <w:p w:rsidR="00E16C5B" w:rsidRDefault="00E16C5B" w:rsidP="00E555D1">
      <w:pPr>
        <w:jc w:val="both"/>
      </w:pPr>
    </w:p>
    <w:p w:rsidR="007F1BA3" w:rsidRPr="00A255E6" w:rsidRDefault="007F1BA3" w:rsidP="00582D9F">
      <w:pPr>
        <w:rPr>
          <w:b/>
        </w:rPr>
      </w:pPr>
      <w:r w:rsidRPr="00A255E6">
        <w:rPr>
          <w:b/>
        </w:rPr>
        <w:lastRenderedPageBreak/>
        <w:t xml:space="preserve">Cieľ:  Znižovať vznik </w:t>
      </w:r>
      <w:r>
        <w:rPr>
          <w:b/>
        </w:rPr>
        <w:t>odpadu z papiera</w:t>
      </w:r>
      <w:r w:rsidRPr="00A255E6">
        <w:rPr>
          <w:b/>
        </w:rPr>
        <w:t xml:space="preserve"> a znižovať podiel </w:t>
      </w:r>
      <w:r>
        <w:rPr>
          <w:b/>
        </w:rPr>
        <w:t>papiera</w:t>
      </w:r>
      <w:r w:rsidRPr="00A255E6">
        <w:rPr>
          <w:b/>
        </w:rPr>
        <w:t xml:space="preserve"> v zmesovom komunálnom odpade</w:t>
      </w:r>
      <w:r>
        <w:rPr>
          <w:b/>
        </w:rPr>
        <w:t>.</w:t>
      </w:r>
      <w:r w:rsidRPr="00A255E6">
        <w:rPr>
          <w:b/>
        </w:rPr>
        <w:t xml:space="preserve"> </w:t>
      </w:r>
    </w:p>
    <w:p w:rsidR="007F1BA3" w:rsidRPr="002B4318" w:rsidRDefault="007F1BA3" w:rsidP="00893894">
      <w:pPr>
        <w:rPr>
          <w:b/>
        </w:rPr>
      </w:pPr>
      <w:r w:rsidRPr="002B4318">
        <w:rPr>
          <w:b/>
        </w:rPr>
        <w:t>Opatrenie:</w:t>
      </w:r>
    </w:p>
    <w:p w:rsidR="007F1BA3" w:rsidRPr="00D259DB" w:rsidRDefault="007F1BA3" w:rsidP="008468C9">
      <w:pPr>
        <w:numPr>
          <w:ilvl w:val="0"/>
          <w:numId w:val="19"/>
        </w:numPr>
        <w:jc w:val="both"/>
      </w:pPr>
      <w:r>
        <w:t xml:space="preserve">Príprava a realizácia </w:t>
      </w:r>
      <w:r w:rsidRPr="00A576CA">
        <w:rPr>
          <w:b/>
        </w:rPr>
        <w:t>kampan</w:t>
      </w:r>
      <w:r>
        <w:rPr>
          <w:b/>
        </w:rPr>
        <w:t>í</w:t>
      </w:r>
      <w:r>
        <w:t xml:space="preserve"> na vysokej profesionálnej úrovni, v rámci ktorých budú obyvatelia informovaní </w:t>
      </w:r>
      <w:r w:rsidRPr="00A576CA">
        <w:rPr>
          <w:b/>
        </w:rPr>
        <w:t>o</w:t>
      </w:r>
      <w:r>
        <w:rPr>
          <w:b/>
        </w:rPr>
        <w:t>:</w:t>
      </w:r>
      <w:r w:rsidRPr="00A576CA">
        <w:rPr>
          <w:b/>
        </w:rPr>
        <w:t> </w:t>
      </w:r>
    </w:p>
    <w:p w:rsidR="007F1BA3" w:rsidRDefault="007F1BA3" w:rsidP="008468C9">
      <w:pPr>
        <w:pStyle w:val="Odsekzoznamu"/>
        <w:numPr>
          <w:ilvl w:val="0"/>
          <w:numId w:val="32"/>
        </w:numPr>
        <w:jc w:val="both"/>
      </w:pPr>
      <w:r w:rsidRPr="00D259DB">
        <w:rPr>
          <w:b/>
        </w:rPr>
        <w:t>množstvách spotrebovaného papiera</w:t>
      </w:r>
      <w:r>
        <w:t xml:space="preserve"> na výrobu reklamných materiálov a rôznych katalógov,</w:t>
      </w:r>
    </w:p>
    <w:p w:rsidR="007F1BA3" w:rsidRDefault="007F1BA3" w:rsidP="008468C9">
      <w:pPr>
        <w:pStyle w:val="Odsekzoznamu"/>
        <w:numPr>
          <w:ilvl w:val="0"/>
          <w:numId w:val="32"/>
        </w:numPr>
        <w:jc w:val="both"/>
      </w:pPr>
      <w:r w:rsidRPr="00D259DB">
        <w:rPr>
          <w:b/>
        </w:rPr>
        <w:t>možnostiach ochrany pred nevyžiadanou poštou</w:t>
      </w:r>
      <w:r>
        <w:t>, napr. ponúkaním nálepky „Nevhadzujte reklamy“, ktorú si môžu obyvatelia nalepiť na svoju schránku.</w:t>
      </w:r>
    </w:p>
    <w:p w:rsidR="007F1BA3" w:rsidRDefault="007F1BA3" w:rsidP="00D259DB">
      <w:pPr>
        <w:ind w:left="708"/>
        <w:jc w:val="both"/>
      </w:pPr>
      <w:r>
        <w:t>Zodpovednosť: MŽP SR.</w:t>
      </w:r>
    </w:p>
    <w:p w:rsidR="007F1BA3" w:rsidRDefault="007F1BA3" w:rsidP="00D259DB">
      <w:pPr>
        <w:ind w:left="708"/>
        <w:jc w:val="both"/>
      </w:pPr>
      <w:r>
        <w:t>Termín: priebežne v r. 2014 – 2015.</w:t>
      </w:r>
    </w:p>
    <w:p w:rsidR="007F1BA3" w:rsidRDefault="007F1BA3" w:rsidP="008468C9">
      <w:pPr>
        <w:pStyle w:val="Odsekzoznamu"/>
        <w:numPr>
          <w:ilvl w:val="0"/>
          <w:numId w:val="19"/>
        </w:numPr>
        <w:jc w:val="both"/>
      </w:pPr>
      <w:r>
        <w:t xml:space="preserve">Znižovanie množstva </w:t>
      </w:r>
      <w:r w:rsidRPr="006831AC">
        <w:rPr>
          <w:b/>
        </w:rPr>
        <w:t>odpadu z reklamných materiálov</w:t>
      </w:r>
      <w:r>
        <w:t xml:space="preserve"> prostredníctvom:</w:t>
      </w:r>
    </w:p>
    <w:p w:rsidR="007F1BA3" w:rsidRDefault="007F1BA3" w:rsidP="008468C9">
      <w:pPr>
        <w:pStyle w:val="Odsekzoznamu"/>
        <w:numPr>
          <w:ilvl w:val="0"/>
          <w:numId w:val="33"/>
        </w:numPr>
        <w:jc w:val="both"/>
      </w:pPr>
      <w:r>
        <w:t>zavedenia z</w:t>
      </w:r>
      <w:r w:rsidRPr="001207D5">
        <w:t>ákaz</w:t>
      </w:r>
      <w:r>
        <w:t>u</w:t>
      </w:r>
      <w:r w:rsidRPr="001207D5">
        <w:t xml:space="preserve"> </w:t>
      </w:r>
      <w:r>
        <w:t>(</w:t>
      </w:r>
      <w:r w:rsidRPr="00D259DB">
        <w:rPr>
          <w:b/>
        </w:rPr>
        <w:t>novela zákona o reklame</w:t>
      </w:r>
      <w:r>
        <w:t xml:space="preserve">) </w:t>
      </w:r>
      <w:r w:rsidRPr="001207D5">
        <w:t>vhadzovania reklamných materiálov do schránok okrem označených schránok</w:t>
      </w:r>
      <w:r>
        <w:t>, kde majitelia prejavia záujem o reklamné materiály,</w:t>
      </w:r>
    </w:p>
    <w:p w:rsidR="007F1BA3" w:rsidRDefault="007F1BA3" w:rsidP="008468C9">
      <w:pPr>
        <w:pStyle w:val="Odsekzoznamu"/>
        <w:numPr>
          <w:ilvl w:val="0"/>
          <w:numId w:val="33"/>
        </w:numPr>
        <w:jc w:val="both"/>
      </w:pPr>
      <w:r>
        <w:t xml:space="preserve">zavedenia </w:t>
      </w:r>
      <w:r w:rsidRPr="00FE0DCD">
        <w:rPr>
          <w:b/>
        </w:rPr>
        <w:t>ekonomickej zodpovednosti</w:t>
      </w:r>
      <w:r>
        <w:t xml:space="preserve"> za zber a nakladanie s reklamnými materiálmi, ktoré sa stanú odpadom.</w:t>
      </w:r>
    </w:p>
    <w:p w:rsidR="007F1BA3" w:rsidRDefault="007F1BA3" w:rsidP="00426356">
      <w:pPr>
        <w:ind w:left="1068"/>
        <w:jc w:val="both"/>
      </w:pPr>
      <w:r>
        <w:t>Zodpovednosť: MŽP SR.</w:t>
      </w:r>
    </w:p>
    <w:p w:rsidR="007F1BA3" w:rsidRDefault="007F1BA3" w:rsidP="00426356">
      <w:pPr>
        <w:ind w:left="1068"/>
        <w:jc w:val="both"/>
      </w:pPr>
      <w:r>
        <w:t>Termín: december 2015.</w:t>
      </w:r>
    </w:p>
    <w:p w:rsidR="00E01F0B" w:rsidRPr="00265443" w:rsidRDefault="00AC3CBA">
      <w:pPr>
        <w:pStyle w:val="Odsekzoznamu"/>
        <w:numPr>
          <w:ilvl w:val="0"/>
          <w:numId w:val="19"/>
        </w:numPr>
      </w:pPr>
      <w:r w:rsidRPr="00265443">
        <w:t xml:space="preserve">Zavedenie rozšírenej zodpovednosti výrobcu. </w:t>
      </w:r>
    </w:p>
    <w:p w:rsidR="00AC3CBA" w:rsidRPr="00265443" w:rsidRDefault="00AC3CBA" w:rsidP="00AC3CBA">
      <w:pPr>
        <w:pStyle w:val="Odsekzoznamu"/>
      </w:pPr>
      <w:r w:rsidRPr="00265443">
        <w:t>Zodpovednosť: MŽP SR</w:t>
      </w:r>
      <w:r w:rsidR="00265443" w:rsidRPr="00265443">
        <w:t>.</w:t>
      </w:r>
      <w:r w:rsidRPr="00265443">
        <w:t xml:space="preserve"> </w:t>
      </w:r>
    </w:p>
    <w:p w:rsidR="00AC3CBA" w:rsidRPr="00265443" w:rsidRDefault="00AC3CBA" w:rsidP="00AC3CBA">
      <w:pPr>
        <w:pStyle w:val="Odsekzoznamu"/>
      </w:pPr>
      <w:r w:rsidRPr="00265443">
        <w:t xml:space="preserve">Termín: K účinnosti </w:t>
      </w:r>
      <w:r w:rsidR="00C43E1E" w:rsidRPr="00265443">
        <w:t xml:space="preserve">pripravovaného </w:t>
      </w:r>
      <w:r w:rsidRPr="00265443">
        <w:t>zákona o</w:t>
      </w:r>
      <w:r w:rsidR="00265443" w:rsidRPr="00265443">
        <w:t> </w:t>
      </w:r>
      <w:r w:rsidRPr="00265443">
        <w:t>odpadoch</w:t>
      </w:r>
      <w:r w:rsidR="00265443" w:rsidRPr="00265443">
        <w:t>.</w:t>
      </w:r>
    </w:p>
    <w:p w:rsidR="009B1D3E" w:rsidRDefault="009B1D3E" w:rsidP="0017410A">
      <w:pPr>
        <w:pStyle w:val="Nadpis3"/>
      </w:pPr>
      <w:bookmarkStart w:id="48" w:name="_Toc356292976"/>
    </w:p>
    <w:p w:rsidR="007F1BA3" w:rsidRDefault="007F1BA3" w:rsidP="0017410A">
      <w:pPr>
        <w:pStyle w:val="Nadpis3"/>
      </w:pPr>
      <w:r w:rsidRPr="00B42282">
        <w:t>4.</w:t>
      </w:r>
      <w:r>
        <w:t>3.4</w:t>
      </w:r>
      <w:r w:rsidRPr="00B42282">
        <w:tab/>
        <w:t>Odpad z</w:t>
      </w:r>
      <w:r>
        <w:t> </w:t>
      </w:r>
      <w:r w:rsidRPr="00B42282">
        <w:t>obalov</w:t>
      </w:r>
      <w:bookmarkEnd w:id="48"/>
    </w:p>
    <w:p w:rsidR="007F1BA3" w:rsidRDefault="007F1BA3" w:rsidP="004F7DB4">
      <w:pPr>
        <w:jc w:val="both"/>
        <w:rPr>
          <w:lang w:eastAsia="sk-SK"/>
        </w:rPr>
      </w:pPr>
      <w:r>
        <w:rPr>
          <w:lang w:eastAsia="sk-SK"/>
        </w:rPr>
        <w:t xml:space="preserve">Podľa údajov RISO množstvo odpadu z obalov kontinuálne narastá. Znepokojivý je trend vzniku odpadu najmä v prípade obalov z papiera a lepenky (15 01 </w:t>
      </w:r>
      <w:proofErr w:type="spellStart"/>
      <w:r>
        <w:rPr>
          <w:lang w:eastAsia="sk-SK"/>
        </w:rPr>
        <w:t>01</w:t>
      </w:r>
      <w:proofErr w:type="spellEnd"/>
      <w:r>
        <w:rPr>
          <w:lang w:eastAsia="sk-SK"/>
        </w:rPr>
        <w:t>) a obalov z plastov (15 01 02), ktorých množstvá sa v roku 2011 zdvojnásobili v porovnaní s rokom 2005.</w:t>
      </w:r>
    </w:p>
    <w:p w:rsidR="007F1BA3" w:rsidRDefault="007F1BA3" w:rsidP="00AE3785">
      <w:pPr>
        <w:jc w:val="both"/>
        <w:rPr>
          <w:b/>
        </w:rPr>
      </w:pPr>
      <w:r w:rsidRPr="00A255E6">
        <w:rPr>
          <w:b/>
        </w:rPr>
        <w:t xml:space="preserve">Cieľ:  Znižovať vznik </w:t>
      </w:r>
      <w:r>
        <w:rPr>
          <w:b/>
        </w:rPr>
        <w:t>odpadu z obalov.</w:t>
      </w:r>
    </w:p>
    <w:p w:rsidR="007F1BA3" w:rsidRDefault="007F1BA3" w:rsidP="00AE3785">
      <w:pPr>
        <w:jc w:val="both"/>
        <w:rPr>
          <w:b/>
        </w:rPr>
      </w:pPr>
      <w:r>
        <w:rPr>
          <w:b/>
        </w:rPr>
        <w:t>Opatrenia:</w:t>
      </w:r>
    </w:p>
    <w:p w:rsidR="007F1BA3" w:rsidRDefault="007F1BA3" w:rsidP="008468C9">
      <w:pPr>
        <w:numPr>
          <w:ilvl w:val="0"/>
          <w:numId w:val="20"/>
        </w:numPr>
        <w:jc w:val="both"/>
      </w:pPr>
      <w:r>
        <w:t>Prí</w:t>
      </w:r>
      <w:r w:rsidRPr="004F7DB4">
        <w:t>prav</w:t>
      </w:r>
      <w:r>
        <w:t>a</w:t>
      </w:r>
      <w:r w:rsidRPr="004F7DB4">
        <w:t xml:space="preserve"> </w:t>
      </w:r>
      <w:r w:rsidRPr="00A576CA">
        <w:rPr>
          <w:b/>
        </w:rPr>
        <w:t>novel</w:t>
      </w:r>
      <w:r>
        <w:rPr>
          <w:b/>
        </w:rPr>
        <w:t>y</w:t>
      </w:r>
      <w:r w:rsidRPr="00A576CA">
        <w:rPr>
          <w:b/>
        </w:rPr>
        <w:t xml:space="preserve"> zákona o obaloch</w:t>
      </w:r>
      <w:r>
        <w:t xml:space="preserve"> a vykonávacích predpisov s cieľom podrobnejšie </w:t>
      </w:r>
      <w:r w:rsidRPr="00A576CA">
        <w:rPr>
          <w:b/>
        </w:rPr>
        <w:t>špecifikovať obsahové náležitosti programu prevencie</w:t>
      </w:r>
      <w:r>
        <w:t xml:space="preserve"> (§ 3 ods. 2 zákona o obaloch)</w:t>
      </w:r>
      <w:r w:rsidR="00B26634">
        <w:t xml:space="preserve">, ako je </w:t>
      </w:r>
      <w:r w:rsidR="00B26634">
        <w:lastRenderedPageBreak/>
        <w:t>dosiahnutie zhody s harmonizovanými technickými normami a inými normami týkajúcimi sa obalov (ako napr. hygiena, ochrana tovaru)</w:t>
      </w:r>
      <w:r>
        <w:t>.</w:t>
      </w:r>
    </w:p>
    <w:p w:rsidR="007F1BA3" w:rsidRDefault="007F1BA3" w:rsidP="00A61292">
      <w:pPr>
        <w:ind w:left="708"/>
        <w:jc w:val="both"/>
      </w:pPr>
      <w:r>
        <w:t>Zodpovednosť: MŽP SR</w:t>
      </w:r>
      <w:r w:rsidR="008B381D">
        <w:t xml:space="preserve"> v spolupráci s</w:t>
      </w:r>
      <w:r>
        <w:t xml:space="preserve"> MH SR</w:t>
      </w:r>
      <w:r w:rsidR="008B381D">
        <w:t xml:space="preserve"> a </w:t>
      </w:r>
      <w:r w:rsidR="00605E07">
        <w:t>ÚNMS</w:t>
      </w:r>
      <w:r>
        <w:t>.</w:t>
      </w:r>
    </w:p>
    <w:p w:rsidR="007F1BA3" w:rsidRDefault="007F1BA3" w:rsidP="00A61292">
      <w:pPr>
        <w:ind w:left="708"/>
        <w:jc w:val="both"/>
      </w:pPr>
      <w:r>
        <w:t>Termín: December 2014.</w:t>
      </w:r>
    </w:p>
    <w:p w:rsidR="007F1BA3" w:rsidRDefault="007F1BA3" w:rsidP="008468C9">
      <w:pPr>
        <w:numPr>
          <w:ilvl w:val="0"/>
          <w:numId w:val="20"/>
        </w:numPr>
        <w:jc w:val="both"/>
      </w:pPr>
      <w:r>
        <w:t xml:space="preserve">Dôsledná </w:t>
      </w:r>
      <w:r w:rsidRPr="00A665FB">
        <w:rPr>
          <w:b/>
        </w:rPr>
        <w:t>kontrola plneni</w:t>
      </w:r>
      <w:r>
        <w:rPr>
          <w:b/>
        </w:rPr>
        <w:t>a</w:t>
      </w:r>
      <w:r w:rsidRPr="00A665FB">
        <w:rPr>
          <w:b/>
        </w:rPr>
        <w:t xml:space="preserve"> cieľov a opatrení</w:t>
      </w:r>
      <w:r>
        <w:t xml:space="preserve"> prijatých v programoch prevencie.</w:t>
      </w:r>
    </w:p>
    <w:p w:rsidR="007F1BA3" w:rsidRDefault="007F1BA3" w:rsidP="0094213B">
      <w:pPr>
        <w:ind w:left="708"/>
        <w:jc w:val="both"/>
      </w:pPr>
      <w:r>
        <w:t xml:space="preserve">Zodpovednosť: SIŽP, SOI. </w:t>
      </w:r>
    </w:p>
    <w:p w:rsidR="007F1BA3" w:rsidRDefault="007F1BA3" w:rsidP="0094213B">
      <w:pPr>
        <w:ind w:left="708"/>
        <w:jc w:val="both"/>
      </w:pPr>
      <w:r>
        <w:t xml:space="preserve">Termín: priebežne. </w:t>
      </w:r>
    </w:p>
    <w:p w:rsidR="007F1BA3" w:rsidRDefault="007F1BA3" w:rsidP="008468C9">
      <w:pPr>
        <w:numPr>
          <w:ilvl w:val="0"/>
          <w:numId w:val="20"/>
        </w:numPr>
        <w:jc w:val="both"/>
      </w:pPr>
      <w:r>
        <w:t xml:space="preserve">Vypracovanie </w:t>
      </w:r>
      <w:r w:rsidRPr="00C85D02">
        <w:rPr>
          <w:b/>
        </w:rPr>
        <w:t>štúdie zameranej na zvýšenie materiálovej efektívnosti obalov a obmedzovanie škodlivosti obalov</w:t>
      </w:r>
      <w:r>
        <w:t>, v rámci ktorej by sa riešili nasledovné otázky:</w:t>
      </w:r>
    </w:p>
    <w:p w:rsidR="007F1BA3" w:rsidRDefault="007F1BA3" w:rsidP="008468C9">
      <w:pPr>
        <w:pStyle w:val="Odsekzoznamu"/>
        <w:numPr>
          <w:ilvl w:val="1"/>
          <w:numId w:val="35"/>
        </w:numPr>
        <w:contextualSpacing/>
        <w:jc w:val="both"/>
      </w:pPr>
      <w:r>
        <w:t>z</w:t>
      </w:r>
      <w:r w:rsidRPr="0094213B">
        <w:t>ačlenenie kritérií materiálovej efektívnosti do produktových štandardov so zreteľom na prírodné zdroje a tvorbu odpadov v priebehu životného cyklu produktu a na tvorbu nebezpečného odpadu</w:t>
      </w:r>
      <w:r>
        <w:t>,</w:t>
      </w:r>
    </w:p>
    <w:p w:rsidR="00E01F0B" w:rsidRDefault="00915A56">
      <w:pPr>
        <w:pStyle w:val="Odsekzoznamu"/>
        <w:numPr>
          <w:ilvl w:val="1"/>
          <w:numId w:val="35"/>
        </w:numPr>
        <w:contextualSpacing/>
        <w:jc w:val="both"/>
      </w:pPr>
      <w:r>
        <w:t xml:space="preserve">podpora </w:t>
      </w:r>
      <w:proofErr w:type="spellStart"/>
      <w:r>
        <w:t>ekodizajnu</w:t>
      </w:r>
      <w:proofErr w:type="spellEnd"/>
      <w:r>
        <w:t xml:space="preserve"> obalu. </w:t>
      </w:r>
    </w:p>
    <w:p w:rsidR="007F1BA3" w:rsidRDefault="007F1BA3" w:rsidP="00C85D02">
      <w:pPr>
        <w:ind w:left="1416"/>
        <w:jc w:val="both"/>
      </w:pPr>
      <w:r>
        <w:t>Zodpovednosť: MŽP SR</w:t>
      </w:r>
      <w:r w:rsidR="005C6FB7">
        <w:t xml:space="preserve"> v súčinnosti s </w:t>
      </w:r>
      <w:r>
        <w:t>MH</w:t>
      </w:r>
      <w:r w:rsidR="00A94B1B">
        <w:t xml:space="preserve"> </w:t>
      </w:r>
      <w:r>
        <w:t>SR</w:t>
      </w:r>
      <w:r w:rsidR="005C6FB7">
        <w:t>, v spolupráci s ÚNMS</w:t>
      </w:r>
      <w:r>
        <w:t>.</w:t>
      </w:r>
    </w:p>
    <w:p w:rsidR="007F1BA3" w:rsidRDefault="007F1BA3" w:rsidP="00C054F2">
      <w:pPr>
        <w:ind w:left="1416"/>
        <w:jc w:val="both"/>
      </w:pPr>
      <w:r>
        <w:t xml:space="preserve">Termín: december </w:t>
      </w:r>
      <w:r w:rsidR="005C6FB7">
        <w:t>2015</w:t>
      </w:r>
      <w:r>
        <w:t>.</w:t>
      </w:r>
    </w:p>
    <w:p w:rsidR="007F1BA3" w:rsidRDefault="007F1BA3" w:rsidP="008468C9">
      <w:pPr>
        <w:pStyle w:val="Odsekzoznamu"/>
        <w:numPr>
          <w:ilvl w:val="0"/>
          <w:numId w:val="20"/>
        </w:numPr>
        <w:jc w:val="both"/>
      </w:pPr>
      <w:r>
        <w:t xml:space="preserve">Zriadenie </w:t>
      </w:r>
      <w:r w:rsidRPr="00C85D02">
        <w:rPr>
          <w:b/>
        </w:rPr>
        <w:t>pracovnej skupiny</w:t>
      </w:r>
      <w:r>
        <w:t>, ktorá objektívne posúdi:</w:t>
      </w:r>
    </w:p>
    <w:p w:rsidR="007F1BA3" w:rsidRDefault="007F1BA3" w:rsidP="008468C9">
      <w:pPr>
        <w:pStyle w:val="Odsekzoznamu"/>
        <w:numPr>
          <w:ilvl w:val="0"/>
          <w:numId w:val="36"/>
        </w:numPr>
        <w:jc w:val="both"/>
      </w:pPr>
      <w:r>
        <w:t xml:space="preserve">zákaz bezplatného </w:t>
      </w:r>
      <w:r w:rsidR="00FA7B18">
        <w:t xml:space="preserve">poskytovania </w:t>
      </w:r>
      <w:r>
        <w:t>jednorazových nákupných tašiek,</w:t>
      </w:r>
    </w:p>
    <w:p w:rsidR="000E72AB" w:rsidRDefault="007F1BA3" w:rsidP="008468C9">
      <w:pPr>
        <w:pStyle w:val="Odsekzoznamu"/>
        <w:numPr>
          <w:ilvl w:val="0"/>
          <w:numId w:val="36"/>
        </w:numPr>
        <w:jc w:val="both"/>
      </w:pPr>
      <w:r>
        <w:t>z</w:t>
      </w:r>
      <w:r w:rsidRPr="00C85D02">
        <w:t>ákaz používania jednorazových riadov a príborov v stálych (trvalých) prevádzkach</w:t>
      </w:r>
      <w:r>
        <w:t>,</w:t>
      </w:r>
      <w:r w:rsidRPr="00C85D02">
        <w:t xml:space="preserve"> </w:t>
      </w:r>
    </w:p>
    <w:p w:rsidR="007F1BA3" w:rsidRPr="00C85D02" w:rsidRDefault="000E72AB" w:rsidP="008468C9">
      <w:pPr>
        <w:pStyle w:val="Odsekzoznamu"/>
        <w:numPr>
          <w:ilvl w:val="0"/>
          <w:numId w:val="36"/>
        </w:numPr>
        <w:jc w:val="both"/>
      </w:pPr>
      <w:r>
        <w:t>možnosti zavedenia zálohovania jednorazových nápojových obalov v Slovenskej republike,</w:t>
      </w:r>
      <w:r w:rsidR="007F1BA3" w:rsidRPr="00C85D02">
        <w:t xml:space="preserve"> </w:t>
      </w:r>
    </w:p>
    <w:p w:rsidR="007F1BA3" w:rsidRPr="00C85D02" w:rsidRDefault="007F1BA3" w:rsidP="008468C9">
      <w:pPr>
        <w:pStyle w:val="Odsekzoznamu"/>
        <w:numPr>
          <w:ilvl w:val="0"/>
          <w:numId w:val="36"/>
        </w:numPr>
        <w:ind w:left="1423" w:hanging="357"/>
        <w:contextualSpacing/>
        <w:jc w:val="both"/>
      </w:pPr>
      <w:r>
        <w:t>d</w:t>
      </w:r>
      <w:r w:rsidRPr="00C85D02">
        <w:t>aňové zvýhodnenie pre ekologickejšie obaly</w:t>
      </w:r>
      <w:r>
        <w:t>.</w:t>
      </w:r>
    </w:p>
    <w:p w:rsidR="007F1BA3" w:rsidRDefault="007F1BA3" w:rsidP="00CB2578">
      <w:pPr>
        <w:ind w:left="1416"/>
        <w:jc w:val="both"/>
      </w:pPr>
      <w:r>
        <w:t>Zodpovednosť: MŽP SR</w:t>
      </w:r>
      <w:r w:rsidR="00101B26">
        <w:t xml:space="preserve"> v spolupráci s </w:t>
      </w:r>
      <w:r>
        <w:t>MF SR, MHSR</w:t>
      </w:r>
      <w:r w:rsidR="00101B26">
        <w:t xml:space="preserve"> a</w:t>
      </w:r>
      <w:r>
        <w:t xml:space="preserve"> predstavite</w:t>
      </w:r>
      <w:r w:rsidR="00101B26">
        <w:t>ľmi</w:t>
      </w:r>
      <w:r>
        <w:t xml:space="preserve"> obchodu.</w:t>
      </w:r>
    </w:p>
    <w:p w:rsidR="007F1BA3" w:rsidRDefault="007F1BA3" w:rsidP="00CB2578">
      <w:pPr>
        <w:ind w:left="1416"/>
        <w:jc w:val="both"/>
      </w:pPr>
      <w:r>
        <w:t>Termín: december 201</w:t>
      </w:r>
      <w:r w:rsidR="00735AE8">
        <w:t>5</w:t>
      </w:r>
      <w:r>
        <w:t>.</w:t>
      </w:r>
    </w:p>
    <w:p w:rsidR="00E01F0B" w:rsidRPr="00EA7CA3" w:rsidRDefault="00AC3CBA">
      <w:pPr>
        <w:pStyle w:val="Odsekzoznamu"/>
        <w:numPr>
          <w:ilvl w:val="0"/>
          <w:numId w:val="20"/>
        </w:numPr>
      </w:pPr>
      <w:r w:rsidRPr="00EA7CA3">
        <w:t xml:space="preserve">Zavedenie </w:t>
      </w:r>
      <w:r w:rsidRPr="00EA7CA3">
        <w:rPr>
          <w:b/>
        </w:rPr>
        <w:t>rozšírenej zodpovednosti výrobcu</w:t>
      </w:r>
      <w:r w:rsidRPr="00EA7CA3">
        <w:t xml:space="preserve">. </w:t>
      </w:r>
    </w:p>
    <w:p w:rsidR="00AC3CBA" w:rsidRPr="00EA7CA3" w:rsidRDefault="00AC3CBA" w:rsidP="00AC3CBA">
      <w:pPr>
        <w:pStyle w:val="Odsekzoznamu"/>
      </w:pPr>
      <w:r w:rsidRPr="00EA7CA3">
        <w:t>Zodpovednosť: MŽP SR</w:t>
      </w:r>
      <w:r w:rsidR="00EA7CA3">
        <w:t>.</w:t>
      </w:r>
      <w:r w:rsidRPr="00EA7CA3">
        <w:t xml:space="preserve"> </w:t>
      </w:r>
    </w:p>
    <w:p w:rsidR="00AC3CBA" w:rsidRPr="00EA7CA3" w:rsidRDefault="00AC3CBA" w:rsidP="00AC3CBA">
      <w:pPr>
        <w:pStyle w:val="Odsekzoznamu"/>
      </w:pPr>
      <w:r w:rsidRPr="00EA7CA3">
        <w:t xml:space="preserve">Termín: K účinnosti </w:t>
      </w:r>
      <w:r w:rsidR="00C43E1E" w:rsidRPr="00EA7CA3">
        <w:t xml:space="preserve">pripravovaného </w:t>
      </w:r>
      <w:r w:rsidRPr="00EA7CA3">
        <w:t>zákona o</w:t>
      </w:r>
      <w:r w:rsidR="00EA7CA3">
        <w:t> </w:t>
      </w:r>
      <w:r w:rsidRPr="00EA7CA3">
        <w:t>odpadoch</w:t>
      </w:r>
      <w:r w:rsidR="00EA7CA3">
        <w:t>.</w:t>
      </w:r>
    </w:p>
    <w:p w:rsidR="00AC3CBA" w:rsidRDefault="00AC3CBA" w:rsidP="00CB2578">
      <w:pPr>
        <w:ind w:left="1416"/>
        <w:jc w:val="both"/>
      </w:pPr>
    </w:p>
    <w:p w:rsidR="007F1BA3" w:rsidRDefault="007F1BA3" w:rsidP="00C85D02">
      <w:pPr>
        <w:ind w:left="708"/>
        <w:jc w:val="both"/>
      </w:pPr>
    </w:p>
    <w:p w:rsidR="007F1BA3" w:rsidRDefault="007F1BA3" w:rsidP="0017410A">
      <w:pPr>
        <w:pStyle w:val="Nadpis3"/>
      </w:pPr>
      <w:bookmarkStart w:id="49" w:name="_Toc356292977"/>
      <w:r>
        <w:lastRenderedPageBreak/>
        <w:t>4.3.5</w:t>
      </w:r>
      <w:r w:rsidRPr="003478CA">
        <w:tab/>
      </w:r>
      <w:r>
        <w:t>Stavebné odpady a odpady z demolácií</w:t>
      </w:r>
      <w:bookmarkEnd w:id="49"/>
    </w:p>
    <w:p w:rsidR="007F1BA3" w:rsidRDefault="007F1BA3" w:rsidP="00CB2578">
      <w:pPr>
        <w:jc w:val="both"/>
        <w:rPr>
          <w:lang w:eastAsia="sk-SK"/>
        </w:rPr>
      </w:pPr>
      <w:r>
        <w:t xml:space="preserve">Stavebníctvo je významným pôvodcom odpadu. </w:t>
      </w:r>
      <w:r>
        <w:rPr>
          <w:lang w:eastAsia="sk-SK"/>
        </w:rPr>
        <w:t xml:space="preserve">Stavebné odpady a odpady z demolácií tvoria približne 25 % z celkového množstva odpadov. Vzhľadom na vlastnosti odpadov kategórie „ostatné“ odpady, teda nie nebezpečné, je tu veľký potenciál a priestor na ich opätovné použitie.    </w:t>
      </w:r>
    </w:p>
    <w:p w:rsidR="007F1BA3" w:rsidRDefault="007F1BA3" w:rsidP="0037593F">
      <w:pPr>
        <w:jc w:val="both"/>
        <w:rPr>
          <w:b/>
        </w:rPr>
      </w:pPr>
      <w:r w:rsidRPr="00A255E6">
        <w:rPr>
          <w:b/>
        </w:rPr>
        <w:t xml:space="preserve">Cieľ:  Znižovať </w:t>
      </w:r>
      <w:r>
        <w:rPr>
          <w:b/>
        </w:rPr>
        <w:t>množstvo zneškodňovaných stavebných odpadov a odpadov z demolácií.</w:t>
      </w:r>
    </w:p>
    <w:p w:rsidR="007F1BA3" w:rsidRDefault="007F1BA3" w:rsidP="0037593F">
      <w:pPr>
        <w:jc w:val="both"/>
        <w:rPr>
          <w:b/>
        </w:rPr>
      </w:pPr>
      <w:r>
        <w:rPr>
          <w:b/>
        </w:rPr>
        <w:t>Opatrenia:</w:t>
      </w:r>
    </w:p>
    <w:p w:rsidR="007F1BA3" w:rsidRDefault="007F1BA3" w:rsidP="008468C9">
      <w:pPr>
        <w:pStyle w:val="Odsekzoznamu"/>
        <w:numPr>
          <w:ilvl w:val="0"/>
          <w:numId w:val="37"/>
        </w:numPr>
      </w:pPr>
      <w:r>
        <w:t xml:space="preserve">Zadefinovanie </w:t>
      </w:r>
      <w:r w:rsidRPr="0037593F">
        <w:rPr>
          <w:b/>
        </w:rPr>
        <w:t>stavu konca odpadu</w:t>
      </w:r>
      <w:r>
        <w:t xml:space="preserve"> pri stavebnom odpade.</w:t>
      </w:r>
    </w:p>
    <w:p w:rsidR="007F1BA3" w:rsidRDefault="007F1BA3" w:rsidP="0037593F">
      <w:pPr>
        <w:ind w:left="360"/>
        <w:jc w:val="both"/>
      </w:pPr>
      <w:r>
        <w:t>Zodpovednosť: MŽP SR</w:t>
      </w:r>
      <w:r w:rsidR="00101B26">
        <w:t xml:space="preserve"> v spolupráci</w:t>
      </w:r>
      <w:r>
        <w:t xml:space="preserve"> </w:t>
      </w:r>
      <w:r w:rsidR="009B1B39">
        <w:t xml:space="preserve">s </w:t>
      </w:r>
      <w:r>
        <w:t>MDVRR SR.</w:t>
      </w:r>
    </w:p>
    <w:p w:rsidR="007F1BA3" w:rsidRDefault="007F1BA3" w:rsidP="0041306F">
      <w:pPr>
        <w:ind w:left="360"/>
        <w:jc w:val="both"/>
      </w:pPr>
      <w:r>
        <w:t>Termín: december 2014.</w:t>
      </w:r>
    </w:p>
    <w:p w:rsidR="007F1BA3" w:rsidRDefault="007F1BA3" w:rsidP="008468C9">
      <w:pPr>
        <w:pStyle w:val="Odsekzoznamu"/>
        <w:numPr>
          <w:ilvl w:val="0"/>
          <w:numId w:val="37"/>
        </w:numPr>
      </w:pPr>
      <w:r>
        <w:t>U</w:t>
      </w:r>
      <w:r w:rsidRPr="005D5CBB">
        <w:t>stanoven</w:t>
      </w:r>
      <w:r>
        <w:t>ie zákonnej</w:t>
      </w:r>
      <w:r w:rsidRPr="005D5CBB">
        <w:t xml:space="preserve"> </w:t>
      </w:r>
      <w:r w:rsidRPr="0037593F">
        <w:rPr>
          <w:b/>
        </w:rPr>
        <w:t>povinnosti vytrieďovať stavebný odpad</w:t>
      </w:r>
      <w:r w:rsidRPr="005D5CBB">
        <w:t xml:space="preserve"> už pri demolácii, rekonštrukcii alebo stavbe na jednotlivé druhy materiálov tak, aby ich bolo možné prednostne opätovne použiť alebo dať na materiálovú recykláciu</w:t>
      </w:r>
      <w:r>
        <w:t>.</w:t>
      </w:r>
    </w:p>
    <w:p w:rsidR="007F1BA3" w:rsidRDefault="007F1BA3" w:rsidP="0037593F">
      <w:pPr>
        <w:ind w:left="360"/>
        <w:jc w:val="both"/>
      </w:pPr>
      <w:r>
        <w:t>Zodpovednosť: MŽP SR</w:t>
      </w:r>
      <w:r w:rsidR="00101B26">
        <w:t xml:space="preserve"> v spolupráci s </w:t>
      </w:r>
      <w:r>
        <w:t>MDVRR SR.</w:t>
      </w:r>
    </w:p>
    <w:p w:rsidR="007F1BA3" w:rsidRDefault="007F1BA3" w:rsidP="0037593F">
      <w:pPr>
        <w:ind w:left="360"/>
      </w:pPr>
      <w:r>
        <w:t>Termín: december 2014.</w:t>
      </w:r>
    </w:p>
    <w:p w:rsidR="00E01F0B" w:rsidRDefault="009B1B39">
      <w:pPr>
        <w:pStyle w:val="Odsekzoznamu"/>
        <w:numPr>
          <w:ilvl w:val="0"/>
          <w:numId w:val="37"/>
        </w:numPr>
      </w:pPr>
      <w:r>
        <w:t xml:space="preserve">Uskutočniť zmeny v legislatíve odpadového hospodárstva smerujúce k zvýšenej podpore recyklácie stavebných odpadov. </w:t>
      </w:r>
    </w:p>
    <w:p w:rsidR="00E01F0B" w:rsidRDefault="009B1B39">
      <w:pPr>
        <w:pStyle w:val="Odsekzoznamu"/>
        <w:ind w:left="360"/>
      </w:pPr>
      <w:r>
        <w:t>Zodpovednosť: MŽP SR v spolupráci s MDVRR SR a ZSPS.</w:t>
      </w:r>
    </w:p>
    <w:p w:rsidR="00E01F0B" w:rsidRDefault="009B1B39">
      <w:pPr>
        <w:pStyle w:val="Odsekzoznamu"/>
        <w:ind w:left="360"/>
      </w:pPr>
      <w:r>
        <w:t xml:space="preserve">Termín: priebežne v nadväznosti na pripravovaný zákon o odpadoch.   </w:t>
      </w:r>
    </w:p>
    <w:p w:rsidR="007F1BA3" w:rsidRDefault="007F1BA3" w:rsidP="008468C9">
      <w:pPr>
        <w:pStyle w:val="Odsekzoznamu"/>
        <w:numPr>
          <w:ilvl w:val="0"/>
          <w:numId w:val="37"/>
        </w:numPr>
      </w:pPr>
      <w:r>
        <w:t>Ustanovenie povinnosti pri verejných stavebných zákazkách prednostne používať upravený alebo recyklovaný stavebný materiál, ak vyhovuje technickým požiadavkám stavby.</w:t>
      </w:r>
    </w:p>
    <w:p w:rsidR="007F1BA3" w:rsidRDefault="007F1BA3" w:rsidP="0037593F">
      <w:pPr>
        <w:ind w:left="360"/>
        <w:jc w:val="both"/>
      </w:pPr>
      <w:r>
        <w:t>Zodpovednosť: MŽP SR</w:t>
      </w:r>
      <w:r w:rsidR="00101B26">
        <w:t xml:space="preserve"> v spolupráci s </w:t>
      </w:r>
      <w:r>
        <w:t>MDVRR SR.</w:t>
      </w:r>
    </w:p>
    <w:p w:rsidR="007F1BA3" w:rsidRDefault="007F1BA3" w:rsidP="0037593F">
      <w:pPr>
        <w:ind w:left="360"/>
      </w:pPr>
      <w:r>
        <w:t>Termín: december 2014.</w:t>
      </w:r>
    </w:p>
    <w:p w:rsidR="007F1BA3" w:rsidRDefault="007F1BA3" w:rsidP="008468C9">
      <w:pPr>
        <w:pStyle w:val="Odsekzoznamu"/>
        <w:numPr>
          <w:ilvl w:val="0"/>
          <w:numId w:val="37"/>
        </w:numPr>
      </w:pPr>
      <w:r>
        <w:t xml:space="preserve">Podpora vytvárania </w:t>
      </w:r>
      <w:r w:rsidRPr="0037593F">
        <w:rPr>
          <w:b/>
        </w:rPr>
        <w:t>bazárov alebo centier opätovného používania</w:t>
      </w:r>
      <w:r>
        <w:t xml:space="preserve">  stavebného materiálu.</w:t>
      </w:r>
    </w:p>
    <w:p w:rsidR="007F1BA3" w:rsidRDefault="007F1BA3" w:rsidP="0037593F">
      <w:pPr>
        <w:ind w:left="360"/>
        <w:jc w:val="both"/>
      </w:pPr>
      <w:r>
        <w:t>Zodpovednosť: MŽP SR</w:t>
      </w:r>
      <w:r w:rsidR="00101B26">
        <w:t xml:space="preserve"> v spolupráci s </w:t>
      </w:r>
      <w:r>
        <w:t>MDVRR SR</w:t>
      </w:r>
      <w:r w:rsidR="00101B26">
        <w:t xml:space="preserve"> a</w:t>
      </w:r>
      <w:r>
        <w:t xml:space="preserve"> obc</w:t>
      </w:r>
      <w:r w:rsidR="00101B26">
        <w:t>ami</w:t>
      </w:r>
      <w:r>
        <w:t>.</w:t>
      </w:r>
    </w:p>
    <w:p w:rsidR="007F1BA3" w:rsidRDefault="007F1BA3" w:rsidP="0037593F">
      <w:pPr>
        <w:pStyle w:val="Odsekzoznamu"/>
        <w:ind w:left="360"/>
      </w:pPr>
      <w:r>
        <w:t>Termín: december 2015.</w:t>
      </w:r>
    </w:p>
    <w:p w:rsidR="007F1BA3" w:rsidRDefault="007F1BA3" w:rsidP="00036D5C">
      <w:pPr>
        <w:ind w:left="360"/>
        <w:jc w:val="both"/>
      </w:pPr>
    </w:p>
    <w:p w:rsidR="007F1BA3" w:rsidRPr="0062641C" w:rsidRDefault="007F1BA3" w:rsidP="0017410A">
      <w:pPr>
        <w:pStyle w:val="Nadpis3"/>
      </w:pPr>
      <w:bookmarkStart w:id="50" w:name="_Toc356292978"/>
      <w:r>
        <w:t>4.3.6</w:t>
      </w:r>
      <w:r w:rsidRPr="0062641C">
        <w:tab/>
        <w:t>Nebezpečný odpad</w:t>
      </w:r>
      <w:bookmarkEnd w:id="50"/>
    </w:p>
    <w:p w:rsidR="007F1BA3" w:rsidRDefault="007F1BA3" w:rsidP="00F906D0">
      <w:pPr>
        <w:jc w:val="both"/>
      </w:pPr>
      <w:r>
        <w:rPr>
          <w:noProof/>
          <w:lang w:eastAsia="zh-TW"/>
        </w:rPr>
        <w:t xml:space="preserve">Vznik nebezpečného odpadu vykazuje priaznivý trend. V rokoch 2005 – </w:t>
      </w:r>
      <w:r w:rsidR="003C0344">
        <w:rPr>
          <w:noProof/>
          <w:lang w:eastAsia="zh-TW"/>
        </w:rPr>
        <w:t xml:space="preserve">2011 </w:t>
      </w:r>
      <w:r>
        <w:rPr>
          <w:noProof/>
          <w:lang w:eastAsia="zh-TW"/>
        </w:rPr>
        <w:t xml:space="preserve">bolo zaznamenaný jeho kontinuálny pokles v absolútnych aj v relatívnych hodnotách. </w:t>
      </w:r>
    </w:p>
    <w:p w:rsidR="007F1BA3" w:rsidRPr="00F906D0" w:rsidRDefault="007F1BA3" w:rsidP="00F906D0">
      <w:pPr>
        <w:jc w:val="both"/>
      </w:pPr>
      <w:r w:rsidRPr="00036D5C">
        <w:rPr>
          <w:b/>
        </w:rPr>
        <w:t>Cieľ: p</w:t>
      </w:r>
      <w:r>
        <w:rPr>
          <w:b/>
        </w:rPr>
        <w:t xml:space="preserve">okračovať v nastúpenom trende znižovania vzniku nebezpečného </w:t>
      </w:r>
      <w:r w:rsidRPr="00036D5C">
        <w:rPr>
          <w:b/>
        </w:rPr>
        <w:t>odpadu</w:t>
      </w:r>
      <w:r>
        <w:rPr>
          <w:b/>
        </w:rPr>
        <w:t>.</w:t>
      </w:r>
    </w:p>
    <w:p w:rsidR="007F1BA3" w:rsidRDefault="007F1BA3" w:rsidP="00F906D0">
      <w:pPr>
        <w:jc w:val="both"/>
      </w:pPr>
      <w:r w:rsidRPr="00036D5C">
        <w:rPr>
          <w:b/>
        </w:rPr>
        <w:lastRenderedPageBreak/>
        <w:t>Opatreni</w:t>
      </w:r>
      <w:r>
        <w:rPr>
          <w:b/>
        </w:rPr>
        <w:t>a:</w:t>
      </w:r>
    </w:p>
    <w:p w:rsidR="007F1BA3" w:rsidRDefault="007F1BA3" w:rsidP="008468C9">
      <w:pPr>
        <w:numPr>
          <w:ilvl w:val="0"/>
          <w:numId w:val="21"/>
        </w:numPr>
        <w:jc w:val="both"/>
      </w:pPr>
      <w:r>
        <w:t xml:space="preserve">podpora rozšírenej zodpovednosti výrobcu </w:t>
      </w:r>
      <w:r w:rsidR="001614F9" w:rsidRPr="00C903AC">
        <w:t>za ď</w:t>
      </w:r>
      <w:r>
        <w:t>alšie výrobky,</w:t>
      </w:r>
    </w:p>
    <w:p w:rsidR="007F1BA3" w:rsidRDefault="007F1BA3" w:rsidP="008468C9">
      <w:pPr>
        <w:numPr>
          <w:ilvl w:val="0"/>
          <w:numId w:val="21"/>
        </w:numPr>
        <w:jc w:val="both"/>
      </w:pPr>
      <w:r>
        <w:t xml:space="preserve">podpora EMAS a EMS podľa </w:t>
      </w:r>
      <w:r w:rsidR="00193BC4">
        <w:t xml:space="preserve">STN EN </w:t>
      </w:r>
      <w:r>
        <w:t>ISO 14001.</w:t>
      </w:r>
    </w:p>
    <w:p w:rsidR="007F1BA3" w:rsidRDefault="007F1BA3" w:rsidP="00F906D0">
      <w:pPr>
        <w:jc w:val="both"/>
      </w:pPr>
      <w:r>
        <w:t xml:space="preserve">Zodpovednosť: </w:t>
      </w:r>
      <w:r w:rsidR="00E34CDE">
        <w:t xml:space="preserve">MŽP SR v spolupráci s </w:t>
      </w:r>
      <w:r>
        <w:t>MH SR</w:t>
      </w:r>
      <w:r w:rsidR="00E34CDE">
        <w:t xml:space="preserve"> a </w:t>
      </w:r>
      <w:r w:rsidRPr="006F4D2A">
        <w:t>priemyseln</w:t>
      </w:r>
      <w:r w:rsidR="00E34CDE">
        <w:t>ými</w:t>
      </w:r>
      <w:r w:rsidRPr="006F4D2A">
        <w:t xml:space="preserve"> zväz</w:t>
      </w:r>
      <w:r w:rsidR="00E34CDE">
        <w:t>mi</w:t>
      </w:r>
      <w:r>
        <w:t>.</w:t>
      </w:r>
    </w:p>
    <w:p w:rsidR="007F1BA3" w:rsidRDefault="007F1BA3" w:rsidP="00DB5E9C">
      <w:pPr>
        <w:jc w:val="both"/>
        <w:rPr>
          <w:rFonts w:ascii="Times New Roman" w:hAnsi="Times New Roman"/>
          <w:b/>
          <w:szCs w:val="24"/>
        </w:rPr>
      </w:pPr>
    </w:p>
    <w:p w:rsidR="007F1BA3" w:rsidRPr="00DB5E9C" w:rsidRDefault="007F1BA3" w:rsidP="00DB5E9C">
      <w:pPr>
        <w:pStyle w:val="Nadpis3"/>
      </w:pPr>
      <w:bookmarkStart w:id="51" w:name="_Toc356292979"/>
      <w:r w:rsidRPr="00DB5E9C">
        <w:t xml:space="preserve">4.3.7 </w:t>
      </w:r>
      <w:r>
        <w:tab/>
      </w:r>
      <w:r w:rsidRPr="00DB5E9C">
        <w:t>Odpad z ťažobného priemyslu</w:t>
      </w:r>
      <w:bookmarkEnd w:id="51"/>
      <w:r w:rsidRPr="00DB5E9C">
        <w:t xml:space="preserve"> </w:t>
      </w:r>
    </w:p>
    <w:p w:rsidR="007F1BA3" w:rsidRPr="00DB5E9C" w:rsidRDefault="007F1BA3" w:rsidP="00DB5E9C">
      <w:pPr>
        <w:jc w:val="both"/>
        <w:rPr>
          <w:noProof/>
          <w:lang w:eastAsia="zh-TW"/>
        </w:rPr>
      </w:pPr>
      <w:r w:rsidRPr="00DB5E9C">
        <w:rPr>
          <w:noProof/>
          <w:lang w:eastAsia="zh-TW"/>
        </w:rPr>
        <w:t>Odpad z ťažobného priemyslu predstavuje menej ako 3 % z celkového množstva vyprodukovaného odpadu (bez KO) v SR. V rokoch 2008 – 2011 bol zaznamenaný stúpajúci trend.</w:t>
      </w:r>
    </w:p>
    <w:p w:rsidR="007F1BA3" w:rsidRPr="00DB5E9C" w:rsidRDefault="007F1BA3" w:rsidP="00DB5E9C">
      <w:pPr>
        <w:jc w:val="both"/>
        <w:rPr>
          <w:b/>
          <w:noProof/>
          <w:lang w:eastAsia="zh-TW"/>
        </w:rPr>
      </w:pPr>
      <w:r w:rsidRPr="00DB5E9C">
        <w:rPr>
          <w:b/>
          <w:noProof/>
          <w:lang w:eastAsia="zh-TW"/>
        </w:rPr>
        <w:t>Cieľ: znižovanie vzniku odpadu z ťažobného priemyslu</w:t>
      </w:r>
      <w:r>
        <w:rPr>
          <w:b/>
          <w:noProof/>
          <w:lang w:eastAsia="zh-TW"/>
        </w:rPr>
        <w:t>.</w:t>
      </w:r>
    </w:p>
    <w:p w:rsidR="007F1BA3" w:rsidRPr="00DB5E9C" w:rsidRDefault="007F1BA3" w:rsidP="00DB5E9C">
      <w:pPr>
        <w:jc w:val="both"/>
        <w:rPr>
          <w:b/>
          <w:noProof/>
          <w:lang w:eastAsia="zh-TW"/>
        </w:rPr>
      </w:pPr>
      <w:r w:rsidRPr="00DB5E9C">
        <w:rPr>
          <w:b/>
          <w:noProof/>
          <w:lang w:eastAsia="zh-TW"/>
        </w:rPr>
        <w:t>Opatrenia</w:t>
      </w:r>
      <w:r>
        <w:rPr>
          <w:b/>
          <w:noProof/>
          <w:lang w:eastAsia="zh-TW"/>
        </w:rPr>
        <w:t>:</w:t>
      </w:r>
    </w:p>
    <w:p w:rsidR="007F1BA3" w:rsidRPr="00DB5E9C" w:rsidRDefault="007F1BA3" w:rsidP="008468C9">
      <w:pPr>
        <w:numPr>
          <w:ilvl w:val="0"/>
          <w:numId w:val="40"/>
        </w:numPr>
        <w:spacing w:after="0" w:line="240" w:lineRule="auto"/>
        <w:jc w:val="both"/>
        <w:rPr>
          <w:noProof/>
          <w:lang w:eastAsia="zh-TW"/>
        </w:rPr>
      </w:pPr>
      <w:r w:rsidRPr="00DB5E9C">
        <w:rPr>
          <w:noProof/>
          <w:lang w:eastAsia="zh-TW"/>
        </w:rPr>
        <w:t>dôslednejšie uplatňovanie a kontrola uplatňovania platnej legislatívy,</w:t>
      </w:r>
    </w:p>
    <w:p w:rsidR="007F1BA3" w:rsidRPr="00DB5E9C" w:rsidRDefault="007F1BA3" w:rsidP="008468C9">
      <w:pPr>
        <w:numPr>
          <w:ilvl w:val="0"/>
          <w:numId w:val="40"/>
        </w:numPr>
        <w:spacing w:after="0" w:line="240" w:lineRule="auto"/>
        <w:jc w:val="both"/>
        <w:rPr>
          <w:noProof/>
          <w:lang w:eastAsia="zh-TW"/>
        </w:rPr>
      </w:pPr>
      <w:r w:rsidRPr="00DB5E9C">
        <w:rPr>
          <w:noProof/>
          <w:lang w:eastAsia="zh-TW"/>
        </w:rPr>
        <w:t>zavádzanie najlepších dostupných techník (Best Available Techniques) do ťažby a spracovania nerastných surovín,</w:t>
      </w:r>
    </w:p>
    <w:p w:rsidR="007F1BA3" w:rsidRPr="00DB5E9C" w:rsidRDefault="007F1BA3" w:rsidP="008468C9">
      <w:pPr>
        <w:numPr>
          <w:ilvl w:val="0"/>
          <w:numId w:val="40"/>
        </w:numPr>
        <w:spacing w:after="0" w:line="240" w:lineRule="auto"/>
        <w:jc w:val="both"/>
        <w:rPr>
          <w:noProof/>
          <w:lang w:eastAsia="zh-TW"/>
        </w:rPr>
      </w:pPr>
      <w:r w:rsidRPr="00DB5E9C">
        <w:rPr>
          <w:noProof/>
          <w:lang w:eastAsia="zh-TW"/>
        </w:rPr>
        <w:t xml:space="preserve">využívanie možnosti ukladania </w:t>
      </w:r>
      <w:r w:rsidR="00077021">
        <w:rPr>
          <w:noProof/>
          <w:lang w:eastAsia="zh-TW"/>
        </w:rPr>
        <w:t xml:space="preserve">odpadu z </w:t>
      </w:r>
      <w:r w:rsidRPr="00DB5E9C">
        <w:rPr>
          <w:noProof/>
          <w:lang w:eastAsia="zh-TW"/>
        </w:rPr>
        <w:t xml:space="preserve">ťažobného </w:t>
      </w:r>
      <w:r w:rsidR="00077021">
        <w:rPr>
          <w:noProof/>
          <w:lang w:eastAsia="zh-TW"/>
        </w:rPr>
        <w:t>priemyslu</w:t>
      </w:r>
      <w:r w:rsidR="00077021" w:rsidRPr="00DB5E9C">
        <w:rPr>
          <w:noProof/>
          <w:lang w:eastAsia="zh-TW"/>
        </w:rPr>
        <w:t xml:space="preserve"> </w:t>
      </w:r>
      <w:r w:rsidRPr="00DB5E9C">
        <w:rPr>
          <w:noProof/>
          <w:lang w:eastAsia="zh-TW"/>
        </w:rPr>
        <w:t>späť do vyťažených priestorov,</w:t>
      </w:r>
    </w:p>
    <w:p w:rsidR="007F1BA3" w:rsidRPr="00DB5E9C" w:rsidRDefault="007F1BA3" w:rsidP="008468C9">
      <w:pPr>
        <w:numPr>
          <w:ilvl w:val="0"/>
          <w:numId w:val="40"/>
        </w:numPr>
        <w:spacing w:after="0" w:line="240" w:lineRule="auto"/>
        <w:jc w:val="both"/>
        <w:rPr>
          <w:noProof/>
          <w:lang w:eastAsia="zh-TW"/>
        </w:rPr>
      </w:pPr>
      <w:r w:rsidRPr="00DB5E9C">
        <w:rPr>
          <w:noProof/>
          <w:lang w:eastAsia="zh-TW"/>
        </w:rPr>
        <w:t xml:space="preserve">recyklácia, resp. znovu použitie </w:t>
      </w:r>
      <w:r w:rsidR="00077021">
        <w:rPr>
          <w:noProof/>
          <w:lang w:eastAsia="zh-TW"/>
        </w:rPr>
        <w:t xml:space="preserve">odpadu z </w:t>
      </w:r>
      <w:r w:rsidRPr="00DB5E9C">
        <w:rPr>
          <w:noProof/>
          <w:lang w:eastAsia="zh-TW"/>
        </w:rPr>
        <w:t xml:space="preserve">ťažobného </w:t>
      </w:r>
      <w:r w:rsidR="00077021">
        <w:rPr>
          <w:noProof/>
          <w:lang w:eastAsia="zh-TW"/>
        </w:rPr>
        <w:t>priemyslu</w:t>
      </w:r>
      <w:r w:rsidR="00077021" w:rsidRPr="00DB5E9C">
        <w:rPr>
          <w:noProof/>
          <w:lang w:eastAsia="zh-TW"/>
        </w:rPr>
        <w:t xml:space="preserve"> </w:t>
      </w:r>
      <w:r w:rsidRPr="00DB5E9C">
        <w:rPr>
          <w:noProof/>
          <w:lang w:eastAsia="zh-TW"/>
        </w:rPr>
        <w:t>ako druhotnej suroviny.</w:t>
      </w:r>
    </w:p>
    <w:p w:rsidR="007F1BA3" w:rsidRPr="00DB5E9C" w:rsidRDefault="007F1BA3" w:rsidP="00DB5E9C">
      <w:pPr>
        <w:jc w:val="both"/>
        <w:rPr>
          <w:noProof/>
          <w:lang w:eastAsia="zh-TW"/>
        </w:rPr>
      </w:pPr>
    </w:p>
    <w:p w:rsidR="007F1BA3" w:rsidRPr="00DB5E9C" w:rsidRDefault="007F1BA3" w:rsidP="00DB5E9C">
      <w:pPr>
        <w:jc w:val="both"/>
        <w:rPr>
          <w:noProof/>
          <w:lang w:eastAsia="zh-TW"/>
        </w:rPr>
      </w:pPr>
      <w:r w:rsidRPr="00DB5E9C">
        <w:rPr>
          <w:noProof/>
          <w:lang w:eastAsia="zh-TW"/>
        </w:rPr>
        <w:t>Zodpovednosť: MŽP SR</w:t>
      </w:r>
      <w:r w:rsidR="00E34CDE">
        <w:rPr>
          <w:noProof/>
          <w:lang w:eastAsia="zh-TW"/>
        </w:rPr>
        <w:t xml:space="preserve"> v spolupráci s </w:t>
      </w:r>
      <w:r w:rsidRPr="00DB5E9C">
        <w:rPr>
          <w:noProof/>
          <w:lang w:eastAsia="zh-TW"/>
        </w:rPr>
        <w:t xml:space="preserve">MH SR, MDVRR SR, SIŽP, HBÚ, OBÚ, </w:t>
      </w:r>
      <w:r w:rsidR="00872AA3">
        <w:rPr>
          <w:noProof/>
          <w:lang w:eastAsia="zh-TW"/>
        </w:rPr>
        <w:t>okresn</w:t>
      </w:r>
      <w:r w:rsidR="00E34CDE">
        <w:rPr>
          <w:noProof/>
          <w:lang w:eastAsia="zh-TW"/>
        </w:rPr>
        <w:t>ými</w:t>
      </w:r>
      <w:r w:rsidR="00872AA3">
        <w:rPr>
          <w:noProof/>
          <w:lang w:eastAsia="zh-TW"/>
        </w:rPr>
        <w:t xml:space="preserve"> úrad</w:t>
      </w:r>
      <w:r w:rsidR="00E34CDE">
        <w:rPr>
          <w:noProof/>
          <w:lang w:eastAsia="zh-TW"/>
        </w:rPr>
        <w:t>mi</w:t>
      </w:r>
      <w:r w:rsidRPr="00DB5E9C">
        <w:rPr>
          <w:noProof/>
          <w:lang w:eastAsia="zh-TW"/>
        </w:rPr>
        <w:t xml:space="preserve">, </w:t>
      </w:r>
      <w:r w:rsidR="00E34CDE" w:rsidRPr="00DB5E9C">
        <w:rPr>
          <w:noProof/>
          <w:lang w:eastAsia="zh-TW"/>
        </w:rPr>
        <w:t>prevádzkovate</w:t>
      </w:r>
      <w:r w:rsidR="00E34CDE">
        <w:rPr>
          <w:noProof/>
          <w:lang w:eastAsia="zh-TW"/>
        </w:rPr>
        <w:t>ľmi</w:t>
      </w:r>
      <w:r w:rsidR="00E34CDE" w:rsidRPr="00DB5E9C">
        <w:rPr>
          <w:noProof/>
          <w:lang w:eastAsia="zh-TW"/>
        </w:rPr>
        <w:t xml:space="preserve"> </w:t>
      </w:r>
      <w:r w:rsidRPr="00DB5E9C">
        <w:rPr>
          <w:noProof/>
          <w:lang w:eastAsia="zh-TW"/>
        </w:rPr>
        <w:t>úložísk ťažobného odpadu</w:t>
      </w:r>
      <w:r>
        <w:rPr>
          <w:noProof/>
          <w:lang w:eastAsia="zh-TW"/>
        </w:rPr>
        <w:t>.</w:t>
      </w:r>
    </w:p>
    <w:p w:rsidR="007F1BA3" w:rsidRPr="00DB5E9C" w:rsidRDefault="007F1BA3" w:rsidP="00DB5E9C">
      <w:pPr>
        <w:jc w:val="both"/>
        <w:rPr>
          <w:noProof/>
          <w:lang w:eastAsia="zh-TW"/>
        </w:rPr>
      </w:pPr>
      <w:r w:rsidRPr="00DB5E9C">
        <w:rPr>
          <w:noProof/>
          <w:lang w:eastAsia="zh-TW"/>
        </w:rPr>
        <w:t>Termín: priebežne</w:t>
      </w:r>
      <w:r>
        <w:rPr>
          <w:noProof/>
          <w:lang w:eastAsia="zh-TW"/>
        </w:rPr>
        <w:t>.</w:t>
      </w:r>
    </w:p>
    <w:p w:rsidR="007F1BA3" w:rsidRDefault="007F1BA3" w:rsidP="00F906D0">
      <w:pPr>
        <w:jc w:val="both"/>
        <w:rPr>
          <w:noProof/>
          <w:lang w:eastAsia="zh-TW"/>
        </w:rPr>
      </w:pPr>
    </w:p>
    <w:p w:rsidR="007F1BA3" w:rsidRDefault="007F1BA3" w:rsidP="0062641C">
      <w:pPr>
        <w:pStyle w:val="Nadpis1"/>
      </w:pPr>
      <w:bookmarkStart w:id="52" w:name="_Toc356292980"/>
      <w:r>
        <w:t>5</w:t>
      </w:r>
      <w:r>
        <w:tab/>
        <w:t>Informačné zabezpečenie</w:t>
      </w:r>
      <w:bookmarkEnd w:id="52"/>
    </w:p>
    <w:p w:rsidR="007F1BA3" w:rsidRDefault="007F1BA3" w:rsidP="003854DB">
      <w:pPr>
        <w:spacing w:before="240" w:after="240"/>
        <w:jc w:val="both"/>
      </w:pPr>
      <w:r w:rsidRPr="003854DB">
        <w:t xml:space="preserve">Dostatočná informovanosť všetkých zúčastnených strán je jedným z trojice základných predpokladov pre úspešné napĺňanie miestnych a národných politík a cieľov v odpadovom hospodárstve (popri vytvorení vhodného a komfortného systému pre pôvodcov odpadu a dôkladnej kontrole dodržiavania legislatívy). </w:t>
      </w:r>
    </w:p>
    <w:p w:rsidR="007F1BA3" w:rsidRPr="003854DB" w:rsidRDefault="004E4F48" w:rsidP="003854DB">
      <w:pPr>
        <w:spacing w:before="240" w:after="240"/>
        <w:jc w:val="both"/>
      </w:pPr>
      <w:r>
        <w:t>P</w:t>
      </w:r>
      <w:r w:rsidRPr="003854DB">
        <w:t xml:space="preserve">redchádzanie vzniku odpadov a opätovné používanie </w:t>
      </w:r>
      <w:r>
        <w:t>je pre slovenskú verejnosť</w:t>
      </w:r>
      <w:r w:rsidRPr="003854DB">
        <w:t xml:space="preserve"> </w:t>
      </w:r>
      <w:r>
        <w:t xml:space="preserve">úplne nová problematika. </w:t>
      </w:r>
      <w:r w:rsidRPr="003854DB">
        <w:t xml:space="preserve"> </w:t>
      </w:r>
      <w:r>
        <w:t xml:space="preserve">Základom na pochopenie </w:t>
      </w:r>
      <w:r w:rsidRPr="00C903AC">
        <w:t xml:space="preserve">nielen </w:t>
      </w:r>
      <w:r>
        <w:t>ich</w:t>
      </w:r>
      <w:r w:rsidRPr="00C903AC">
        <w:t xml:space="preserve"> princípov</w:t>
      </w:r>
      <w:r w:rsidRPr="003854DB">
        <w:t xml:space="preserve">, ale </w:t>
      </w:r>
      <w:r w:rsidR="00FA7B18">
        <w:t xml:space="preserve">aj </w:t>
      </w:r>
      <w:r>
        <w:t>ich</w:t>
      </w:r>
      <w:r w:rsidRPr="003854DB">
        <w:t xml:space="preserve"> nevyhnutnosti a možností je vytvorenie funkčného koordinovaného informačného systému.</w:t>
      </w:r>
      <w:r w:rsidR="007F1BA3" w:rsidRPr="003854DB">
        <w:t xml:space="preserve"> Túto problematiku neovláda nielen laická verejnosť, ale ani väčšina odbornej verejnosti. Doteraz neexistoval žiaden koordinovaný informačný systém – žiadne alebo minimálne povinnosti pre jednotlivých účastníkov reťazca od ťažby surovín, cez výrobcov, spotrebiteľov až po firmy nakladajúce s odpadmi. </w:t>
      </w:r>
      <w:r w:rsidR="007F1BA3">
        <w:t>Preto je</w:t>
      </w:r>
      <w:r w:rsidR="007F1BA3" w:rsidRPr="003854DB">
        <w:t xml:space="preserve"> dôležité, aby sa tento stav zmenil a aby </w:t>
      </w:r>
      <w:r w:rsidR="007F1BA3">
        <w:t>sa</w:t>
      </w:r>
      <w:r w:rsidR="007F1BA3" w:rsidRPr="003854DB">
        <w:t xml:space="preserve"> zabezpeč</w:t>
      </w:r>
      <w:r w:rsidR="007F1BA3">
        <w:t>ila</w:t>
      </w:r>
      <w:r w:rsidR="007F1BA3" w:rsidRPr="003854DB">
        <w:t xml:space="preserve"> účinná informačná podpora realizáci</w:t>
      </w:r>
      <w:r w:rsidR="007F1BA3">
        <w:t>e</w:t>
      </w:r>
      <w:r w:rsidR="007F1BA3" w:rsidRPr="003854DB">
        <w:t xml:space="preserve"> aktivít predchádzania vzniku a škodlivosti odpadov a opätovného používania na všetkých úrovniach – od </w:t>
      </w:r>
      <w:r w:rsidR="007F1BA3">
        <w:t xml:space="preserve">personálnej </w:t>
      </w:r>
      <w:r w:rsidR="007F1BA3" w:rsidRPr="003854DB">
        <w:t>až po národnú.</w:t>
      </w:r>
    </w:p>
    <w:p w:rsidR="007F1BA3" w:rsidRPr="002A5B39" w:rsidRDefault="007F1BA3" w:rsidP="003854DB">
      <w:pPr>
        <w:spacing w:before="240" w:after="240"/>
      </w:pPr>
      <w:r w:rsidRPr="002A5B39">
        <w:lastRenderedPageBreak/>
        <w:t>Navrhované opatrenia:</w:t>
      </w:r>
    </w:p>
    <w:p w:rsidR="007F1BA3" w:rsidRPr="003854DB" w:rsidRDefault="007F1BA3" w:rsidP="008468C9">
      <w:pPr>
        <w:pStyle w:val="Odsekzoznamu"/>
        <w:numPr>
          <w:ilvl w:val="0"/>
          <w:numId w:val="38"/>
        </w:numPr>
        <w:spacing w:before="240" w:after="240"/>
        <w:contextualSpacing/>
        <w:jc w:val="both"/>
      </w:pPr>
      <w:r w:rsidRPr="003854DB">
        <w:t xml:space="preserve">Zriadenie národného </w:t>
      </w:r>
      <w:r w:rsidRPr="003854DB">
        <w:rPr>
          <w:b/>
        </w:rPr>
        <w:t>internetového informačného portálu</w:t>
      </w:r>
      <w:r w:rsidRPr="003854DB">
        <w:t>, kde budú zverejnené a priebežne aktualizované všetky dostupné informácie o možnostiach predchádzania vzniku odpadov a opätovného používania. Tie budú členené podľa jednotlivých cieľových skupín a podľa jednotlivých prúdov odpadov.</w:t>
      </w:r>
    </w:p>
    <w:p w:rsidR="007F1BA3" w:rsidRPr="003854DB" w:rsidRDefault="007F1BA3" w:rsidP="008468C9">
      <w:pPr>
        <w:pStyle w:val="Odsekzoznamu"/>
        <w:numPr>
          <w:ilvl w:val="0"/>
          <w:numId w:val="38"/>
        </w:numPr>
        <w:spacing w:before="240" w:after="240"/>
        <w:contextualSpacing/>
        <w:jc w:val="both"/>
      </w:pPr>
      <w:r w:rsidRPr="003854DB">
        <w:t xml:space="preserve">Zavedenie </w:t>
      </w:r>
      <w:r w:rsidRPr="003854DB">
        <w:rPr>
          <w:b/>
        </w:rPr>
        <w:t>povinnosti pre samosprávy</w:t>
      </w:r>
      <w:r w:rsidRPr="003854DB">
        <w:t xml:space="preserve"> </w:t>
      </w:r>
      <w:r>
        <w:t xml:space="preserve">informovať </w:t>
      </w:r>
      <w:r w:rsidRPr="003854DB">
        <w:t>na svojich internetových stránkach (a iným bežným spôsobom) obyvateľov obce o možnostiach predchádzania vzniku odpadov a opätovného používania na lokálnej úrovni</w:t>
      </w:r>
      <w:r>
        <w:t>.</w:t>
      </w:r>
    </w:p>
    <w:p w:rsidR="007F1BA3" w:rsidRPr="003854DB" w:rsidRDefault="007F1BA3" w:rsidP="008468C9">
      <w:pPr>
        <w:pStyle w:val="Odsekzoznamu"/>
        <w:numPr>
          <w:ilvl w:val="0"/>
          <w:numId w:val="38"/>
        </w:numPr>
        <w:spacing w:before="240" w:after="240"/>
        <w:contextualSpacing/>
        <w:jc w:val="both"/>
      </w:pPr>
      <w:r w:rsidRPr="003854DB">
        <w:t xml:space="preserve">Zavedenie </w:t>
      </w:r>
      <w:r w:rsidRPr="003854DB">
        <w:rPr>
          <w:b/>
        </w:rPr>
        <w:t>povinnosti pre obchody</w:t>
      </w:r>
      <w:r w:rsidRPr="003854DB">
        <w:t xml:space="preserve"> </w:t>
      </w:r>
      <w:r>
        <w:t xml:space="preserve">informovať </w:t>
      </w:r>
      <w:r w:rsidRPr="003854DB">
        <w:t>v predajniach zákazníkov o možnostiach predchádzania vzniku odpadov týkajúcich sa predávaného tovaru.</w:t>
      </w:r>
    </w:p>
    <w:p w:rsidR="007F1BA3" w:rsidRPr="003854DB" w:rsidRDefault="007F1BA3" w:rsidP="008468C9">
      <w:pPr>
        <w:pStyle w:val="Odsekzoznamu"/>
        <w:numPr>
          <w:ilvl w:val="0"/>
          <w:numId w:val="38"/>
        </w:numPr>
        <w:spacing w:before="240" w:after="240"/>
        <w:contextualSpacing/>
        <w:jc w:val="both"/>
      </w:pPr>
      <w:r w:rsidRPr="003854DB">
        <w:t xml:space="preserve">Zavedenie </w:t>
      </w:r>
      <w:r w:rsidRPr="003854DB">
        <w:rPr>
          <w:b/>
        </w:rPr>
        <w:t>povinnosti pre organizátorov verejných akcií a festivalov</w:t>
      </w:r>
      <w:r w:rsidRPr="003854DB">
        <w:t>, pri ktorých dochádza k zvýšenej produkcii odpadov, dostupnými prostriedkami informovať účastníkov/návštevníkov o možnostiach predchádzania vzniku odpadov a opätovného používania týkajúcich sa produkovaných odpadov.</w:t>
      </w:r>
    </w:p>
    <w:p w:rsidR="007F1BA3" w:rsidRPr="003854DB" w:rsidRDefault="007F1BA3" w:rsidP="008468C9">
      <w:pPr>
        <w:pStyle w:val="Odsekzoznamu"/>
        <w:numPr>
          <w:ilvl w:val="0"/>
          <w:numId w:val="38"/>
        </w:numPr>
        <w:spacing w:before="240" w:after="240"/>
        <w:contextualSpacing/>
        <w:jc w:val="both"/>
      </w:pPr>
      <w:r w:rsidRPr="003854DB">
        <w:t xml:space="preserve">Pravidelné organizovanie </w:t>
      </w:r>
      <w:r w:rsidRPr="003854DB">
        <w:rPr>
          <w:b/>
        </w:rPr>
        <w:t>informačných seminárov</w:t>
      </w:r>
      <w:r w:rsidRPr="003854DB">
        <w:t xml:space="preserve"> priamo Ministerstvom životného prostredia SR alebo pod ich gesciou pre samosprávy, firmy, obchod, kde im budú vysvetlené ich povinnosti, možnosti a nové poznatky. </w:t>
      </w:r>
    </w:p>
    <w:p w:rsidR="007F1BA3" w:rsidRPr="003854DB" w:rsidRDefault="007F1BA3" w:rsidP="008468C9">
      <w:pPr>
        <w:pStyle w:val="Odsekzoznamu"/>
        <w:numPr>
          <w:ilvl w:val="0"/>
          <w:numId w:val="38"/>
        </w:numPr>
        <w:spacing w:before="240" w:after="240"/>
        <w:contextualSpacing/>
        <w:jc w:val="both"/>
      </w:pPr>
      <w:r w:rsidRPr="003854DB">
        <w:t>Zabezpečenie tvorby usmernení, návodov, informačných materiálov, príkladov dobrej praxe a ich pravidelná aktualizácia a distribúcia.</w:t>
      </w:r>
    </w:p>
    <w:p w:rsidR="007F1BA3" w:rsidRPr="003854DB" w:rsidRDefault="007F1BA3" w:rsidP="008468C9">
      <w:pPr>
        <w:pStyle w:val="Odsekzoznamu"/>
        <w:numPr>
          <w:ilvl w:val="0"/>
          <w:numId w:val="38"/>
        </w:numPr>
        <w:spacing w:before="240" w:after="240"/>
        <w:contextualSpacing/>
        <w:jc w:val="both"/>
      </w:pPr>
      <w:r w:rsidRPr="003854DB">
        <w:t>Kontrola zavedených povinností.</w:t>
      </w:r>
    </w:p>
    <w:p w:rsidR="007F1BA3" w:rsidRPr="003854DB" w:rsidRDefault="007F1BA3" w:rsidP="003854DB">
      <w:r>
        <w:t>Zodpovednosť: MŽP SR v spolupráci so zainteresovanými stranami.</w:t>
      </w:r>
    </w:p>
    <w:p w:rsidR="007F1BA3" w:rsidRDefault="007F1BA3" w:rsidP="0062641C">
      <w:pPr>
        <w:pStyle w:val="Nadpis1"/>
      </w:pPr>
      <w:bookmarkStart w:id="53" w:name="_Toc356292981"/>
      <w:r>
        <w:t>6</w:t>
      </w:r>
      <w:r>
        <w:tab/>
        <w:t>Finančné zdroje</w:t>
      </w:r>
      <w:bookmarkEnd w:id="53"/>
      <w:r>
        <w:t xml:space="preserve"> </w:t>
      </w:r>
    </w:p>
    <w:p w:rsidR="007F1BA3" w:rsidRDefault="00AA00E4" w:rsidP="000A7F0A">
      <w:pPr>
        <w:jc w:val="both"/>
      </w:pPr>
      <w:r>
        <w:t>Základom financovania PPVO budú zdroje Operačného programu Kvalita životného prostredia a zdroje výrobcov/dovozcov.</w:t>
      </w:r>
      <w:r w:rsidR="007F1BA3" w:rsidRPr="002A5B39">
        <w:t xml:space="preserve"> Len v malej miere vedia obce do 2-tisíc obyvateľov získať na podobné aktivity peniaze z Environmentálneho fondu. Je nevyhnutné si uvedomiť, že ak sa má reálne napĺňať záväzná </w:t>
      </w:r>
      <w:r w:rsidR="007F1BA3">
        <w:t>hierarchia odpadového hospodárstva</w:t>
      </w:r>
      <w:r w:rsidR="007F1BA3" w:rsidRPr="002A5B39">
        <w:t xml:space="preserve">, musia sa nájsť na jednotlivé aktivity aj finančné prostriedky. </w:t>
      </w:r>
    </w:p>
    <w:p w:rsidR="007F1BA3" w:rsidRDefault="007F1BA3" w:rsidP="000A7F0A">
      <w:pPr>
        <w:jc w:val="both"/>
      </w:pPr>
      <w:r w:rsidRPr="002A5B39">
        <w:t>Jednou z možností je zadefinovať priority Environmentálneho fondu práve na projekty týkajúce sa predchádzania vzniku odpadov a prípravy na opätovné používanie v obciach. Ďalším dôležitým zdrojom sú fondy</w:t>
      </w:r>
      <w:r>
        <w:t xml:space="preserve"> </w:t>
      </w:r>
      <w:r w:rsidRPr="002A5B39">
        <w:t xml:space="preserve">EÚ. Práve sa pripravujú pre nové programové obdobie prioritné oblasti financovania </w:t>
      </w:r>
      <w:r>
        <w:t>aktivít zameraných na ochranu životného prostredia</w:t>
      </w:r>
      <w:r w:rsidRPr="002A5B39">
        <w:t xml:space="preserve">, kde by sa nemal len deklarovať ich súlad s touto hierarchiou, ale </w:t>
      </w:r>
      <w:r>
        <w:t xml:space="preserve">mali by sa </w:t>
      </w:r>
      <w:r w:rsidRPr="002A5B39">
        <w:t>vyčleniť aj finančné prostriedky na jej napĺňanie</w:t>
      </w:r>
      <w:r>
        <w:t xml:space="preserve">. </w:t>
      </w:r>
    </w:p>
    <w:p w:rsidR="009F7013" w:rsidRDefault="007F1BA3" w:rsidP="000A7F0A">
      <w:pPr>
        <w:jc w:val="both"/>
      </w:pPr>
      <w:r>
        <w:t>S</w:t>
      </w:r>
      <w:r w:rsidRPr="002A5B39">
        <w:t>účasné zdroje Environmentálneho fondu a  fondov</w:t>
      </w:r>
      <w:r>
        <w:t xml:space="preserve"> </w:t>
      </w:r>
      <w:r w:rsidRPr="002A5B39">
        <w:t xml:space="preserve">EÚ nebudú stačiť na pokrytie potrieb SR. Preto </w:t>
      </w:r>
      <w:r>
        <w:t xml:space="preserve">je potrebné </w:t>
      </w:r>
      <w:r w:rsidRPr="002A5B39">
        <w:t>navrh</w:t>
      </w:r>
      <w:r>
        <w:t>núť</w:t>
      </w:r>
      <w:r w:rsidRPr="002A5B39">
        <w:t xml:space="preserve"> opatrenia, ktoré by mohli zabezpečiť dostatočný prísun finančných prostriedkov z domácich zdrojov. </w:t>
      </w:r>
      <w:r w:rsidR="005102A7">
        <w:t>Preto je potrebné navrhnúť opatrenia, ktoré by mohli zabezpečiť dostatočný prísun finančných prostriedkov z domácich zdrojov, najmä výrazné zvýšenie poplatkov za ukladanie odpadu na skládky.</w:t>
      </w:r>
    </w:p>
    <w:p w:rsidR="007F1BA3" w:rsidRPr="002A5B39" w:rsidRDefault="005102A7" w:rsidP="000A7F0A">
      <w:pPr>
        <w:jc w:val="both"/>
      </w:pPr>
      <w:r>
        <w:t xml:space="preserve"> </w:t>
      </w:r>
    </w:p>
    <w:p w:rsidR="007F1BA3" w:rsidRPr="00F10ED4" w:rsidRDefault="007F1BA3" w:rsidP="000A7F0A">
      <w:pPr>
        <w:spacing w:before="240" w:after="240"/>
        <w:jc w:val="both"/>
        <w:rPr>
          <w:b/>
        </w:rPr>
      </w:pPr>
      <w:r w:rsidRPr="00F10ED4">
        <w:rPr>
          <w:b/>
        </w:rPr>
        <w:lastRenderedPageBreak/>
        <w:t>Navrhované opatrenia:</w:t>
      </w:r>
    </w:p>
    <w:p w:rsidR="007F1BA3" w:rsidRPr="00F10ED4" w:rsidRDefault="007F1BA3" w:rsidP="008468C9">
      <w:pPr>
        <w:pStyle w:val="Odsekzoznamu"/>
        <w:numPr>
          <w:ilvl w:val="0"/>
          <w:numId w:val="39"/>
        </w:numPr>
        <w:spacing w:after="0"/>
        <w:contextualSpacing/>
        <w:jc w:val="both"/>
        <w:rPr>
          <w:rFonts w:cs="Calibri"/>
        </w:rPr>
      </w:pPr>
      <w:r w:rsidRPr="00F10ED4">
        <w:rPr>
          <w:rFonts w:cs="Calibri"/>
        </w:rPr>
        <w:t xml:space="preserve">Stanovenie </w:t>
      </w:r>
      <w:r w:rsidRPr="00F10ED4">
        <w:rPr>
          <w:rFonts w:cs="Calibri"/>
          <w:b/>
        </w:rPr>
        <w:t>priorít pre Environmentálny fond</w:t>
      </w:r>
      <w:r w:rsidRPr="00F10ED4">
        <w:rPr>
          <w:rFonts w:cs="Calibri"/>
        </w:rPr>
        <w:t xml:space="preserve"> na podporu projektov </w:t>
      </w:r>
      <w:r w:rsidRPr="00F10ED4">
        <w:t>predchádzania vzniku odpadov a prípravy na opätovné používanie v obciach.</w:t>
      </w:r>
    </w:p>
    <w:p w:rsidR="007F1BA3" w:rsidRPr="00F10ED4" w:rsidRDefault="007F1BA3" w:rsidP="008468C9">
      <w:pPr>
        <w:pStyle w:val="Odsekzoznamu"/>
        <w:numPr>
          <w:ilvl w:val="0"/>
          <w:numId w:val="39"/>
        </w:numPr>
        <w:spacing w:after="0"/>
        <w:contextualSpacing/>
        <w:jc w:val="both"/>
        <w:rPr>
          <w:rFonts w:cs="Calibri"/>
        </w:rPr>
      </w:pPr>
      <w:r w:rsidRPr="00F10ED4">
        <w:rPr>
          <w:rFonts w:cs="Calibri"/>
        </w:rPr>
        <w:t>Zaradenie do hlavných typov aktivít v novom programovom období fondov</w:t>
      </w:r>
      <w:r>
        <w:rPr>
          <w:rFonts w:cs="Calibri"/>
        </w:rPr>
        <w:t xml:space="preserve"> </w:t>
      </w:r>
      <w:r w:rsidRPr="00F10ED4">
        <w:rPr>
          <w:rFonts w:cs="Calibri"/>
        </w:rPr>
        <w:t xml:space="preserve">EÚ pre </w:t>
      </w:r>
      <w:proofErr w:type="spellStart"/>
      <w:r>
        <w:rPr>
          <w:rFonts w:cs="Calibri"/>
        </w:rPr>
        <w:t>novopripravovaný</w:t>
      </w:r>
      <w:proofErr w:type="spellEnd"/>
      <w:r>
        <w:rPr>
          <w:rFonts w:cs="Calibri"/>
        </w:rPr>
        <w:t xml:space="preserve"> operačný program kvalita životného prostredia</w:t>
      </w:r>
      <w:r w:rsidRPr="00F10ED4">
        <w:rPr>
          <w:rFonts w:cs="Calibri"/>
        </w:rPr>
        <w:t xml:space="preserve"> aj </w:t>
      </w:r>
      <w:r w:rsidRPr="00F10ED4">
        <w:rPr>
          <w:rFonts w:cs="Calibri"/>
          <w:b/>
        </w:rPr>
        <w:t xml:space="preserve">aktivity </w:t>
      </w:r>
      <w:r>
        <w:rPr>
          <w:rFonts w:cs="Calibri"/>
          <w:b/>
        </w:rPr>
        <w:t>zamerané na predchádzanie vzniku odpadov</w:t>
      </w:r>
      <w:r w:rsidRPr="00F10ED4">
        <w:rPr>
          <w:b/>
        </w:rPr>
        <w:t xml:space="preserve"> a príprav</w:t>
      </w:r>
      <w:r>
        <w:rPr>
          <w:b/>
        </w:rPr>
        <w:t>u</w:t>
      </w:r>
      <w:r w:rsidRPr="00F10ED4">
        <w:rPr>
          <w:b/>
        </w:rPr>
        <w:t xml:space="preserve"> na opätovné používanie</w:t>
      </w:r>
      <w:r w:rsidRPr="00F10ED4">
        <w:t>.</w:t>
      </w:r>
    </w:p>
    <w:p w:rsidR="007F1BA3" w:rsidRPr="00F10ED4" w:rsidRDefault="007F1BA3" w:rsidP="008468C9">
      <w:pPr>
        <w:pStyle w:val="Odsekzoznamu"/>
        <w:numPr>
          <w:ilvl w:val="0"/>
          <w:numId w:val="39"/>
        </w:numPr>
        <w:spacing w:after="0"/>
        <w:contextualSpacing/>
        <w:jc w:val="both"/>
        <w:rPr>
          <w:rFonts w:cs="Calibri"/>
        </w:rPr>
      </w:pPr>
      <w:r w:rsidRPr="00F10ED4">
        <w:rPr>
          <w:rFonts w:cs="Calibri"/>
          <w:b/>
          <w:bCs/>
        </w:rPr>
        <w:t>Zvýšenie poplatkov</w:t>
      </w:r>
      <w:r w:rsidRPr="00F10ED4">
        <w:rPr>
          <w:rFonts w:cs="Calibri"/>
          <w:bCs/>
        </w:rPr>
        <w:t xml:space="preserve"> za ukladanie zmesových a objemných komunálnych odpadov</w:t>
      </w:r>
      <w:r w:rsidRPr="00F10ED4">
        <w:rPr>
          <w:rFonts w:cs="Calibri"/>
        </w:rPr>
        <w:t xml:space="preserve"> na skládky odpadov v zmysle zákona č. 17/2004 Z. z. o poplatkoch za uloženie odpadov v znení neskorších predpisov. </w:t>
      </w:r>
      <w:r w:rsidRPr="00F10ED4">
        <w:rPr>
          <w:rFonts w:cs="Calibri"/>
          <w:b/>
        </w:rPr>
        <w:t>Toto opatrenie považuje za nevyhnutné aj EK</w:t>
      </w:r>
      <w:r w:rsidRPr="00F10ED4">
        <w:rPr>
          <w:rFonts w:cs="Calibri"/>
        </w:rPr>
        <w:t xml:space="preserve"> a bolo prezentované v  dokumentoch</w:t>
      </w:r>
      <w:r>
        <w:t xml:space="preserve">, ktoré vypracovala spoločnosť </w:t>
      </w:r>
      <w:proofErr w:type="spellStart"/>
      <w:r>
        <w:t>BiPRO</w:t>
      </w:r>
      <w:proofErr w:type="spellEnd"/>
      <w:r>
        <w:t xml:space="preserve"> („</w:t>
      </w:r>
      <w:proofErr w:type="spellStart"/>
      <w:r>
        <w:t>Roadmap</w:t>
      </w:r>
      <w:proofErr w:type="spellEnd"/>
      <w:r>
        <w:t xml:space="preserve"> </w:t>
      </w:r>
      <w:proofErr w:type="spellStart"/>
      <w:r>
        <w:t>for</w:t>
      </w:r>
      <w:proofErr w:type="spellEnd"/>
      <w:r>
        <w:t xml:space="preserve"> Slovakia“ a akčný plán na odstránenie nedostatkov nakladania s komunálnymi odpadmi).</w:t>
      </w:r>
    </w:p>
    <w:p w:rsidR="00E01F0B" w:rsidRDefault="00E01F0B">
      <w:pPr>
        <w:spacing w:after="0"/>
        <w:contextualSpacing/>
        <w:jc w:val="both"/>
        <w:rPr>
          <w:rFonts w:cs="Calibri"/>
        </w:rPr>
      </w:pPr>
    </w:p>
    <w:p w:rsidR="007F1BA3" w:rsidRDefault="007F1BA3" w:rsidP="00F10ED4">
      <w:pPr>
        <w:ind w:left="644"/>
        <w:jc w:val="both"/>
      </w:pPr>
      <w:r>
        <w:t>Zodpovednosť: MŽP SR.</w:t>
      </w:r>
    </w:p>
    <w:p w:rsidR="00E01F0B" w:rsidRDefault="007F1BA3">
      <w:pPr>
        <w:ind w:left="644"/>
      </w:pPr>
      <w:r>
        <w:t>Termíny: 2014.</w:t>
      </w:r>
    </w:p>
    <w:p w:rsidR="007F1BA3" w:rsidRDefault="007F1BA3" w:rsidP="0062641C">
      <w:pPr>
        <w:pStyle w:val="Nadpis1"/>
      </w:pPr>
      <w:bookmarkStart w:id="54" w:name="_Toc356292982"/>
      <w:r>
        <w:t>7</w:t>
      </w:r>
      <w:r>
        <w:tab/>
        <w:t xml:space="preserve">Vyhodnocovanie plnenia cieľov </w:t>
      </w:r>
      <w:bookmarkEnd w:id="54"/>
      <w:r>
        <w:t>programu</w:t>
      </w:r>
    </w:p>
    <w:p w:rsidR="007F1BA3" w:rsidRDefault="007F1BA3" w:rsidP="00F906D0">
      <w:pPr>
        <w:jc w:val="both"/>
      </w:pPr>
    </w:p>
    <w:p w:rsidR="007F1BA3" w:rsidRDefault="007F1BA3" w:rsidP="00F906D0">
      <w:pPr>
        <w:jc w:val="both"/>
      </w:pPr>
      <w:r>
        <w:t>Na zabezpečenie plnenia cieľov PPVO je potrebné pravidelne vyhodnocovať stav v oblasti predchádzania vzniku odpadov. MŽP SR v spolupráci s ostatnými zainteresovanými ministerstvami a organizáciami pripraví priebežné vyhodnotenie cieľov programu a predloží ho na rokovanie vlády SR spolu s v</w:t>
      </w:r>
      <w:r>
        <w:rPr>
          <w:color w:val="000000"/>
        </w:rPr>
        <w:t>yhodnotením plnenia cieľov</w:t>
      </w:r>
      <w:r>
        <w:rPr>
          <w:rStyle w:val="apple-converted-space"/>
          <w:color w:val="000000"/>
        </w:rPr>
        <w:t> </w:t>
      </w:r>
      <w:r>
        <w:rPr>
          <w:color w:val="000000"/>
        </w:rPr>
        <w:t>programu odpadového hospodárstva</w:t>
      </w:r>
      <w:r>
        <w:t>. V prípade zaznamenania významných problémov v dosahovaní stanovených cieľov sa PPVO prehodnotí a vykoná sa jeho aktualizácia aj v priebehu obdobia, na ktoré je program vypracovaný.</w:t>
      </w:r>
    </w:p>
    <w:p w:rsidR="007F1BA3" w:rsidRDefault="007F1BA3" w:rsidP="00F906D0">
      <w:pPr>
        <w:jc w:val="both"/>
      </w:pPr>
      <w:r>
        <w:t>Zodpovednosť: MŽP SR.</w:t>
      </w:r>
    </w:p>
    <w:p w:rsidR="007F1BA3" w:rsidRDefault="007F1BA3" w:rsidP="00F906D0">
      <w:pPr>
        <w:jc w:val="both"/>
      </w:pPr>
      <w:r>
        <w:t>Termíny: 2017.</w:t>
      </w:r>
    </w:p>
    <w:sectPr w:rsidR="007F1BA3" w:rsidSect="00303763">
      <w:foot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D69" w:rsidRDefault="00AB2D69" w:rsidP="00382811">
      <w:pPr>
        <w:spacing w:after="0" w:line="240" w:lineRule="auto"/>
      </w:pPr>
      <w:r>
        <w:separator/>
      </w:r>
    </w:p>
  </w:endnote>
  <w:endnote w:type="continuationSeparator" w:id="0">
    <w:p w:rsidR="00AB2D69" w:rsidRDefault="00AB2D69" w:rsidP="00382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NimbusSanDEE-Bold">
    <w:altName w:val="MS Mincho"/>
    <w:panose1 w:val="00000000000000000000"/>
    <w:charset w:val="80"/>
    <w:family w:val="auto"/>
    <w:notTrueType/>
    <w:pitch w:val="default"/>
    <w:sig w:usb0="00000001" w:usb1="08070000" w:usb2="00000010" w:usb3="00000000" w:csb0="00020000" w:csb1="00000000"/>
  </w:font>
  <w:font w:name="LiberationSerif-Regular">
    <w:panose1 w:val="00000000000000000000"/>
    <w:charset w:val="EE"/>
    <w:family w:val="auto"/>
    <w:notTrueType/>
    <w:pitch w:val="default"/>
    <w:sig w:usb0="00000005" w:usb1="00000000" w:usb2="00000000" w:usb3="00000000" w:csb0="00000002"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ITCBookmanEE-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0F" w:rsidRDefault="0041340F">
    <w:pPr>
      <w:pStyle w:val="Pta"/>
      <w:jc w:val="right"/>
    </w:pPr>
    <w:fldSimple w:instr=" PAGE   \* MERGEFORMAT ">
      <w:r w:rsidR="001872A2">
        <w:rPr>
          <w:noProof/>
        </w:rPr>
        <w:t>25</w:t>
      </w:r>
    </w:fldSimple>
  </w:p>
  <w:p w:rsidR="0041340F" w:rsidRDefault="0041340F" w:rsidP="0096437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D69" w:rsidRDefault="00AB2D69" w:rsidP="00382811">
      <w:pPr>
        <w:spacing w:after="0" w:line="240" w:lineRule="auto"/>
      </w:pPr>
      <w:r>
        <w:separator/>
      </w:r>
    </w:p>
  </w:footnote>
  <w:footnote w:type="continuationSeparator" w:id="0">
    <w:p w:rsidR="00AB2D69" w:rsidRDefault="00AB2D69" w:rsidP="00382811">
      <w:pPr>
        <w:spacing w:after="0" w:line="240" w:lineRule="auto"/>
      </w:pPr>
      <w:r>
        <w:continuationSeparator/>
      </w:r>
    </w:p>
  </w:footnote>
  <w:footnote w:id="1">
    <w:p w:rsidR="0041340F" w:rsidRDefault="0041340F">
      <w:pPr>
        <w:pStyle w:val="Textpoznmkypodiarou"/>
      </w:pPr>
      <w:r>
        <w:rPr>
          <w:rStyle w:val="Odkaznapoznmkupodiarou"/>
        </w:rPr>
        <w:footnoteRef/>
      </w:r>
      <w:r>
        <w:t xml:space="preserve"> </w:t>
      </w:r>
      <w:proofErr w:type="spellStart"/>
      <w:r>
        <w:t>Preparing</w:t>
      </w:r>
      <w:proofErr w:type="spellEnd"/>
      <w:r>
        <w:t xml:space="preserve"> </w:t>
      </w:r>
      <w:proofErr w:type="spellStart"/>
      <w:r>
        <w:t>Waste</w:t>
      </w:r>
      <w:proofErr w:type="spellEnd"/>
      <w:r>
        <w:t xml:space="preserve"> </w:t>
      </w:r>
      <w:proofErr w:type="spellStart"/>
      <w:r>
        <w:t>Prevention</w:t>
      </w:r>
      <w:proofErr w:type="spellEnd"/>
      <w:r>
        <w:t xml:space="preserve"> </w:t>
      </w:r>
      <w:proofErr w:type="spellStart"/>
      <w:r>
        <w:t>Programme</w:t>
      </w:r>
      <w:proofErr w:type="spellEnd"/>
      <w:r>
        <w:t>, EK, október 2012, str.7</w:t>
      </w:r>
    </w:p>
  </w:footnote>
  <w:footnote w:id="2">
    <w:p w:rsidR="0041340F" w:rsidRDefault="0041340F">
      <w:pPr>
        <w:pStyle w:val="Textpoznmkypodiarou"/>
      </w:pPr>
      <w:r>
        <w:rPr>
          <w:rStyle w:val="Odkaznapoznmkupodiarou"/>
        </w:rPr>
        <w:footnoteRef/>
      </w:r>
      <w:r>
        <w:t xml:space="preserve"> </w:t>
      </w:r>
      <w:r w:rsidRPr="009028B8">
        <w:rPr>
          <w:sz w:val="18"/>
          <w:szCs w:val="18"/>
        </w:rPr>
        <w:t>Správa o stave životného prostredia</w:t>
      </w:r>
      <w:r>
        <w:t xml:space="preserve"> 2011, SAŽP – t</w:t>
      </w:r>
      <w:r w:rsidRPr="009028B8">
        <w:rPr>
          <w:rFonts w:eastAsia="NimbusSanDEE-Bold" w:cs="NimbusSanDEE-Bold"/>
          <w:bCs/>
          <w:sz w:val="18"/>
          <w:szCs w:val="18"/>
        </w:rPr>
        <w:t>abuľka 140</w:t>
      </w:r>
      <w:r>
        <w:rPr>
          <w:rFonts w:eastAsia="NimbusSanDEE-Bold" w:cs="NimbusSanDEE-Bold"/>
          <w:bCs/>
          <w:sz w:val="18"/>
          <w:szCs w:val="18"/>
        </w:rPr>
        <w:t>:</w:t>
      </w:r>
      <w:r w:rsidRPr="009028B8">
        <w:rPr>
          <w:rFonts w:eastAsia="NimbusSanDEE-Bold" w:cs="NimbusSanDEE-Bold"/>
          <w:bCs/>
          <w:sz w:val="18"/>
          <w:szCs w:val="18"/>
        </w:rPr>
        <w:t xml:space="preserve"> Vznik odpadov podľa klasifik</w:t>
      </w:r>
      <w:r>
        <w:rPr>
          <w:rFonts w:eastAsia="NimbusSanDEE-Bold" w:cs="NimbusSanDEE-Bold"/>
          <w:bCs/>
          <w:sz w:val="18"/>
          <w:szCs w:val="18"/>
        </w:rPr>
        <w:t>á</w:t>
      </w:r>
      <w:r w:rsidRPr="009028B8">
        <w:rPr>
          <w:rFonts w:eastAsia="NimbusSanDEE-Bold" w:cs="NimbusSanDEE-Bold"/>
          <w:bCs/>
          <w:sz w:val="18"/>
          <w:szCs w:val="18"/>
        </w:rPr>
        <w:t>cie ekonomick</w:t>
      </w:r>
      <w:r>
        <w:rPr>
          <w:rFonts w:eastAsia="NimbusSanDEE-Bold" w:cs="NimbusSanDEE-Bold"/>
          <w:bCs/>
          <w:sz w:val="18"/>
          <w:szCs w:val="18"/>
        </w:rPr>
        <w:t>ý</w:t>
      </w:r>
      <w:r w:rsidRPr="009028B8">
        <w:rPr>
          <w:rFonts w:eastAsia="NimbusSanDEE-Bold" w:cs="NimbusSanDEE-Bold"/>
          <w:bCs/>
          <w:sz w:val="18"/>
          <w:szCs w:val="18"/>
        </w:rPr>
        <w:t>ch činnost</w:t>
      </w:r>
      <w:r>
        <w:rPr>
          <w:rFonts w:eastAsia="NimbusSanDEE-Bold" w:cs="NimbusSanDEE-Bold"/>
          <w:bCs/>
          <w:sz w:val="18"/>
          <w:szCs w:val="18"/>
        </w:rPr>
        <w:t>í</w:t>
      </w:r>
      <w:r w:rsidRPr="009028B8">
        <w:rPr>
          <w:rFonts w:eastAsia="NimbusSanDEE-Bold" w:cs="NimbusSanDEE-Bold"/>
          <w:bCs/>
          <w:sz w:val="18"/>
          <w:szCs w:val="18"/>
        </w:rPr>
        <w:t xml:space="preserve"> v (t) bez KO</w:t>
      </w:r>
      <w:r>
        <w:rPr>
          <w:rFonts w:ascii="NimbusSanDEE-Bold" w:eastAsia="NimbusSanDEE-Bold" w:cs="NimbusSanDEE-Bold"/>
          <w:bCs/>
          <w:sz w:val="18"/>
          <w:szCs w:val="18"/>
        </w:rPr>
        <w:t xml:space="preserve"> </w:t>
      </w:r>
    </w:p>
  </w:footnote>
  <w:footnote w:id="3">
    <w:p w:rsidR="0041340F" w:rsidRDefault="0041340F" w:rsidP="00CD60B6">
      <w:pPr>
        <w:jc w:val="both"/>
      </w:pPr>
      <w:r>
        <w:rPr>
          <w:rStyle w:val="Odkaznapoznmkupodiarou"/>
        </w:rPr>
        <w:footnoteRef/>
      </w:r>
      <w:r>
        <w:t xml:space="preserve"> </w:t>
      </w:r>
      <w:r w:rsidRPr="009028B8">
        <w:rPr>
          <w:sz w:val="18"/>
          <w:szCs w:val="18"/>
        </w:rPr>
        <w:t xml:space="preserve">Správa o stave životného </w:t>
      </w:r>
      <w:r w:rsidRPr="00523695">
        <w:rPr>
          <w:sz w:val="18"/>
          <w:szCs w:val="18"/>
        </w:rPr>
        <w:t>prostredia 2011, SAŽP</w:t>
      </w:r>
      <w:r>
        <w:rPr>
          <w:sz w:val="18"/>
          <w:szCs w:val="18"/>
        </w:rPr>
        <w:t xml:space="preserve"> –</w:t>
      </w:r>
      <w:r>
        <w:t xml:space="preserve"> </w:t>
      </w:r>
      <w:r>
        <w:rPr>
          <w:rFonts w:eastAsia="NimbusSanDEE-Bold" w:cs="NimbusSanDEE-Bold"/>
          <w:bCs/>
          <w:sz w:val="18"/>
          <w:szCs w:val="18"/>
        </w:rPr>
        <w:t>t</w:t>
      </w:r>
      <w:r w:rsidRPr="009028B8">
        <w:rPr>
          <w:rFonts w:eastAsia="NimbusSanDEE-Bold" w:cs="NimbusSanDEE-Bold"/>
          <w:bCs/>
          <w:sz w:val="18"/>
          <w:szCs w:val="18"/>
        </w:rPr>
        <w:t>abuľka 140</w:t>
      </w:r>
      <w:r>
        <w:rPr>
          <w:rFonts w:eastAsia="NimbusSanDEE-Bold" w:cs="NimbusSanDEE-Bold"/>
          <w:bCs/>
          <w:sz w:val="18"/>
          <w:szCs w:val="18"/>
        </w:rPr>
        <w:t>:</w:t>
      </w:r>
      <w:r w:rsidRPr="009028B8">
        <w:rPr>
          <w:rFonts w:eastAsia="NimbusSanDEE-Bold" w:cs="NimbusSanDEE-Bold"/>
          <w:bCs/>
          <w:sz w:val="18"/>
          <w:szCs w:val="18"/>
        </w:rPr>
        <w:t xml:space="preserve"> Vznik odpadov podľa klasifik</w:t>
      </w:r>
      <w:r>
        <w:rPr>
          <w:rFonts w:eastAsia="NimbusSanDEE-Bold" w:cs="NimbusSanDEE-Bold"/>
          <w:bCs/>
          <w:sz w:val="18"/>
          <w:szCs w:val="18"/>
        </w:rPr>
        <w:t>á</w:t>
      </w:r>
      <w:r w:rsidRPr="009028B8">
        <w:rPr>
          <w:rFonts w:eastAsia="NimbusSanDEE-Bold" w:cs="NimbusSanDEE-Bold"/>
          <w:bCs/>
          <w:sz w:val="18"/>
          <w:szCs w:val="18"/>
        </w:rPr>
        <w:t>cie ekonomick</w:t>
      </w:r>
      <w:r>
        <w:rPr>
          <w:rFonts w:eastAsia="NimbusSanDEE-Bold" w:cs="NimbusSanDEE-Bold"/>
          <w:bCs/>
          <w:sz w:val="18"/>
          <w:szCs w:val="18"/>
        </w:rPr>
        <w:t>ý</w:t>
      </w:r>
      <w:r w:rsidRPr="009028B8">
        <w:rPr>
          <w:rFonts w:eastAsia="NimbusSanDEE-Bold" w:cs="NimbusSanDEE-Bold"/>
          <w:bCs/>
          <w:sz w:val="18"/>
          <w:szCs w:val="18"/>
        </w:rPr>
        <w:t>ch činnost</w:t>
      </w:r>
      <w:r>
        <w:rPr>
          <w:rFonts w:eastAsia="NimbusSanDEE-Bold" w:cs="NimbusSanDEE-Bold"/>
          <w:bCs/>
          <w:sz w:val="18"/>
          <w:szCs w:val="18"/>
        </w:rPr>
        <w:t>í</w:t>
      </w:r>
      <w:r w:rsidRPr="009028B8">
        <w:rPr>
          <w:rFonts w:eastAsia="NimbusSanDEE-Bold" w:cs="NimbusSanDEE-Bold"/>
          <w:bCs/>
          <w:sz w:val="18"/>
          <w:szCs w:val="18"/>
        </w:rPr>
        <w:t xml:space="preserve"> v (t) bez KO</w:t>
      </w:r>
      <w:r>
        <w:rPr>
          <w:rFonts w:eastAsia="NimbusSanDEE-Bold" w:cs="NimbusSanDEE-Bold"/>
          <w:bCs/>
          <w:sz w:val="18"/>
          <w:szCs w:val="18"/>
        </w:rPr>
        <w:t>.</w:t>
      </w:r>
    </w:p>
  </w:footnote>
  <w:footnote w:id="4">
    <w:p w:rsidR="0041340F" w:rsidRDefault="0041340F" w:rsidP="00EC040B">
      <w:pPr>
        <w:pStyle w:val="Textpoznmkypodiarou"/>
      </w:pPr>
      <w:r>
        <w:rPr>
          <w:rStyle w:val="Odkaznapoznmkupodiarou"/>
        </w:rPr>
        <w:footnoteRef/>
      </w:r>
      <w:r>
        <w:t xml:space="preserve"> </w:t>
      </w:r>
      <w:proofErr w:type="spellStart"/>
      <w:r>
        <w:t>Preparing</w:t>
      </w:r>
      <w:proofErr w:type="spellEnd"/>
      <w:r>
        <w:t xml:space="preserve"> a </w:t>
      </w:r>
      <w:proofErr w:type="spellStart"/>
      <w:r>
        <w:t>Waste</w:t>
      </w:r>
      <w:proofErr w:type="spellEnd"/>
      <w:r>
        <w:t xml:space="preserve"> </w:t>
      </w:r>
      <w:proofErr w:type="spellStart"/>
      <w:r>
        <w:t>Prevention</w:t>
      </w:r>
      <w:proofErr w:type="spellEnd"/>
      <w:r>
        <w:t xml:space="preserve"> </w:t>
      </w:r>
      <w:proofErr w:type="spellStart"/>
      <w:r>
        <w:t>Programme</w:t>
      </w:r>
      <w:proofErr w:type="spellEnd"/>
      <w:r>
        <w:t>, EK, október 2012, str. 3</w:t>
      </w:r>
    </w:p>
  </w:footnote>
  <w:footnote w:id="5">
    <w:p w:rsidR="0041340F" w:rsidRPr="00894D7E" w:rsidRDefault="0041340F" w:rsidP="009A0502">
      <w:pPr>
        <w:jc w:val="both"/>
        <w:rPr>
          <w:i/>
        </w:rPr>
      </w:pPr>
      <w:r>
        <w:rPr>
          <w:rStyle w:val="Odkaznapoznmkupodiarou"/>
        </w:rPr>
        <w:footnoteRef/>
      </w:r>
      <w:r>
        <w:t xml:space="preserve"> </w:t>
      </w:r>
      <w:proofErr w:type="spellStart"/>
      <w:r w:rsidRPr="00894D7E">
        <w:rPr>
          <w:i/>
        </w:rPr>
        <w:t>Jeck</w:t>
      </w:r>
      <w:proofErr w:type="spellEnd"/>
      <w:r w:rsidRPr="00894D7E">
        <w:rPr>
          <w:i/>
        </w:rPr>
        <w:t xml:space="preserve">, T, 2012, </w:t>
      </w:r>
      <w:proofErr w:type="spellStart"/>
      <w:r w:rsidRPr="00894D7E">
        <w:rPr>
          <w:i/>
        </w:rPr>
        <w:t>Eco-innovation</w:t>
      </w:r>
      <w:proofErr w:type="spellEnd"/>
      <w:r w:rsidRPr="00894D7E">
        <w:rPr>
          <w:i/>
        </w:rPr>
        <w:t xml:space="preserve"> in Slovakia. EIO Country </w:t>
      </w:r>
      <w:proofErr w:type="spellStart"/>
      <w:r w:rsidRPr="00894D7E">
        <w:rPr>
          <w:i/>
        </w:rPr>
        <w:t>profiles</w:t>
      </w:r>
      <w:proofErr w:type="spellEnd"/>
      <w:r w:rsidRPr="00894D7E">
        <w:rPr>
          <w:i/>
        </w:rPr>
        <w:t xml:space="preserve"> 2011</w:t>
      </w:r>
    </w:p>
    <w:p w:rsidR="0041340F" w:rsidRDefault="0041340F" w:rsidP="009A0502">
      <w:pPr>
        <w:jc w:val="both"/>
      </w:pPr>
    </w:p>
  </w:footnote>
  <w:footnote w:id="6">
    <w:p w:rsidR="0041340F" w:rsidRDefault="0041340F" w:rsidP="00AE45A2">
      <w:pPr>
        <w:pStyle w:val="Textpoznmkypodiarou"/>
      </w:pPr>
      <w:r>
        <w:rPr>
          <w:rStyle w:val="Odkaznapoznmkupodiarou"/>
        </w:rPr>
        <w:footnoteRef/>
      </w:r>
      <w:r>
        <w:t xml:space="preserve"> </w:t>
      </w:r>
      <w:proofErr w:type="spellStart"/>
      <w:r>
        <w:t>Jackson</w:t>
      </w:r>
      <w:proofErr w:type="spellEnd"/>
      <w:r>
        <w:t xml:space="preserve">, T. (2005): </w:t>
      </w:r>
      <w:proofErr w:type="spellStart"/>
      <w:r>
        <w:t>Motivating</w:t>
      </w:r>
      <w:proofErr w:type="spellEnd"/>
      <w:r>
        <w:t xml:space="preserve"> </w:t>
      </w:r>
      <w:proofErr w:type="spellStart"/>
      <w:r>
        <w:t>sustainable</w:t>
      </w:r>
      <w:proofErr w:type="spellEnd"/>
      <w:r>
        <w:t xml:space="preserve"> </w:t>
      </w:r>
      <w:proofErr w:type="spellStart"/>
      <w:r>
        <w:t>consumption</w:t>
      </w:r>
      <w:proofErr w:type="spellEnd"/>
      <w:r>
        <w:t xml:space="preserve">, </w:t>
      </w:r>
      <w:proofErr w:type="spellStart"/>
      <w:r>
        <w:t>Stirling</w:t>
      </w:r>
      <w:proofErr w:type="spellEnd"/>
      <w:r>
        <w:t>, UK</w:t>
      </w:r>
    </w:p>
  </w:footnote>
  <w:footnote w:id="7">
    <w:p w:rsidR="0041340F" w:rsidRDefault="0041340F">
      <w:pPr>
        <w:pStyle w:val="Textpoznmkypodiarou"/>
      </w:pPr>
      <w:r>
        <w:rPr>
          <w:rStyle w:val="Odkaznapoznmkupodiarou"/>
        </w:rPr>
        <w:footnoteRef/>
      </w:r>
      <w:r>
        <w:t xml:space="preserve"> </w:t>
      </w:r>
      <w:proofErr w:type="spellStart"/>
      <w:r>
        <w:t>Preparing</w:t>
      </w:r>
      <w:proofErr w:type="spellEnd"/>
      <w:r>
        <w:t xml:space="preserve"> a </w:t>
      </w:r>
      <w:proofErr w:type="spellStart"/>
      <w:r>
        <w:t>Waste</w:t>
      </w:r>
      <w:proofErr w:type="spellEnd"/>
      <w:r>
        <w:t xml:space="preserve"> </w:t>
      </w:r>
      <w:proofErr w:type="spellStart"/>
      <w:r>
        <w:t>Prevention</w:t>
      </w:r>
      <w:proofErr w:type="spellEnd"/>
      <w:r>
        <w:t xml:space="preserve"> </w:t>
      </w:r>
      <w:proofErr w:type="spellStart"/>
      <w:r>
        <w:t>Programme</w:t>
      </w:r>
      <w:proofErr w:type="spellEnd"/>
      <w:r>
        <w:t>, EK, október 2012, str. 24</w:t>
      </w:r>
    </w:p>
  </w:footnote>
  <w:footnote w:id="8">
    <w:p w:rsidR="0041340F" w:rsidRDefault="0041340F">
      <w:pPr>
        <w:pStyle w:val="Textpoznmkypodiarou"/>
      </w:pPr>
      <w:r>
        <w:rPr>
          <w:rStyle w:val="Odkaznapoznmkupodiarou"/>
        </w:rPr>
        <w:footnoteRef/>
      </w:r>
      <w:r>
        <w:t xml:space="preserve"> BMLFUW – </w:t>
      </w:r>
      <w:proofErr w:type="spellStart"/>
      <w:r>
        <w:t>Bundesministerium</w:t>
      </w:r>
      <w:proofErr w:type="spellEnd"/>
      <w:r>
        <w:t xml:space="preserve"> </w:t>
      </w:r>
      <w:proofErr w:type="spellStart"/>
      <w:r>
        <w:t>fur</w:t>
      </w:r>
      <w:proofErr w:type="spellEnd"/>
      <w:r>
        <w:t xml:space="preserve"> </w:t>
      </w:r>
      <w:proofErr w:type="spellStart"/>
      <w:r>
        <w:t>Land</w:t>
      </w:r>
      <w:proofErr w:type="spellEnd"/>
      <w:r>
        <w:t xml:space="preserve">- </w:t>
      </w:r>
      <w:proofErr w:type="spellStart"/>
      <w:r>
        <w:t>und</w:t>
      </w:r>
      <w:proofErr w:type="spellEnd"/>
      <w:r>
        <w:t xml:space="preserve"> </w:t>
      </w:r>
      <w:proofErr w:type="spellStart"/>
      <w:r>
        <w:t>Forstwirtschaft</w:t>
      </w:r>
      <w:proofErr w:type="spellEnd"/>
      <w:r>
        <w:t xml:space="preserve">, </w:t>
      </w:r>
      <w:proofErr w:type="spellStart"/>
      <w:r>
        <w:t>Umwelt</w:t>
      </w:r>
      <w:proofErr w:type="spellEnd"/>
      <w:r>
        <w:t xml:space="preserve"> </w:t>
      </w:r>
      <w:proofErr w:type="spellStart"/>
      <w:r>
        <w:t>und</w:t>
      </w:r>
      <w:proofErr w:type="spellEnd"/>
      <w:r>
        <w:t xml:space="preserve"> </w:t>
      </w:r>
      <w:proofErr w:type="spellStart"/>
      <w:r>
        <w:t>Wasserwirtschaft</w:t>
      </w:r>
      <w:proofErr w:type="spellEnd"/>
      <w:r>
        <w:t xml:space="preserve">, 2007: MUT </w:t>
      </w:r>
      <w:proofErr w:type="spellStart"/>
      <w:r>
        <w:t>Masterpan</w:t>
      </w:r>
      <w:proofErr w:type="spellEnd"/>
      <w:r>
        <w:t xml:space="preserve">  </w:t>
      </w:r>
    </w:p>
  </w:footnote>
  <w:footnote w:id="9">
    <w:p w:rsidR="0041340F" w:rsidRDefault="0041340F">
      <w:pPr>
        <w:pStyle w:val="Textpoznmkypodiarou"/>
      </w:pPr>
      <w:r>
        <w:rPr>
          <w:rStyle w:val="Odkaznapoznmkupodiarou"/>
        </w:rPr>
        <w:footnoteRef/>
      </w:r>
      <w:r>
        <w:t xml:space="preserve"> </w:t>
      </w:r>
      <w:proofErr w:type="spellStart"/>
      <w:r>
        <w:t>Strategic</w:t>
      </w:r>
      <w:proofErr w:type="spellEnd"/>
      <w:r>
        <w:t xml:space="preserve"> </w:t>
      </w:r>
      <w:proofErr w:type="spellStart"/>
      <w:r>
        <w:t>Waste</w:t>
      </w:r>
      <w:proofErr w:type="spellEnd"/>
      <w:r>
        <w:t xml:space="preserve"> </w:t>
      </w:r>
      <w:proofErr w:type="spellStart"/>
      <w:r>
        <w:t>Prevention</w:t>
      </w:r>
      <w:proofErr w:type="spellEnd"/>
      <w:r>
        <w:t xml:space="preserve">, OECD </w:t>
      </w:r>
      <w:proofErr w:type="spellStart"/>
      <w:r>
        <w:t>Reference</w:t>
      </w:r>
      <w:proofErr w:type="spellEnd"/>
      <w:r>
        <w:t xml:space="preserve"> </w:t>
      </w:r>
      <w:proofErr w:type="spellStart"/>
      <w:r>
        <w:t>Manual</w:t>
      </w:r>
      <w:proofErr w:type="spellEnd"/>
      <w:r>
        <w:t>, August 2000</w:t>
      </w:r>
    </w:p>
  </w:footnote>
  <w:footnote w:id="10">
    <w:p w:rsidR="0041340F" w:rsidRDefault="0041340F" w:rsidP="00CC000A">
      <w:pPr>
        <w:pStyle w:val="Default"/>
      </w:pPr>
      <w:r>
        <w:rPr>
          <w:rStyle w:val="Odkaznapoznmkupodiarou"/>
        </w:rPr>
        <w:footnoteRef/>
      </w:r>
      <w:r>
        <w:t xml:space="preserve"> </w:t>
      </w:r>
      <w:proofErr w:type="spellStart"/>
      <w:r w:rsidRPr="00CC000A">
        <w:rPr>
          <w:rFonts w:cs="Calibri"/>
          <w:b/>
          <w:bCs/>
          <w:sz w:val="18"/>
          <w:szCs w:val="18"/>
        </w:rPr>
        <w:t>European</w:t>
      </w:r>
      <w:proofErr w:type="spellEnd"/>
      <w:r w:rsidRPr="00CC000A">
        <w:rPr>
          <w:rFonts w:cs="Calibri"/>
          <w:b/>
          <w:bCs/>
          <w:sz w:val="18"/>
          <w:szCs w:val="18"/>
        </w:rPr>
        <w:t xml:space="preserve"> </w:t>
      </w:r>
      <w:proofErr w:type="spellStart"/>
      <w:r w:rsidRPr="00CC000A">
        <w:rPr>
          <w:rFonts w:cs="Calibri"/>
          <w:b/>
          <w:bCs/>
          <w:sz w:val="18"/>
          <w:szCs w:val="18"/>
        </w:rPr>
        <w:t>Commission</w:t>
      </w:r>
      <w:proofErr w:type="spellEnd"/>
      <w:r w:rsidRPr="00CC000A">
        <w:rPr>
          <w:rFonts w:cs="Calibri"/>
          <w:b/>
          <w:bCs/>
          <w:sz w:val="18"/>
          <w:szCs w:val="18"/>
        </w:rPr>
        <w:t xml:space="preserve"> </w:t>
      </w:r>
      <w:proofErr w:type="spellStart"/>
      <w:r w:rsidRPr="00CC000A">
        <w:rPr>
          <w:rFonts w:cs="Calibri"/>
          <w:sz w:val="16"/>
          <w:szCs w:val="16"/>
        </w:rPr>
        <w:t>Roadmap</w:t>
      </w:r>
      <w:proofErr w:type="spellEnd"/>
      <w:r w:rsidRPr="00CC000A">
        <w:rPr>
          <w:rFonts w:cs="Calibri"/>
          <w:sz w:val="16"/>
          <w:szCs w:val="16"/>
        </w:rPr>
        <w:t xml:space="preserve"> </w:t>
      </w:r>
      <w:proofErr w:type="spellStart"/>
      <w:r w:rsidRPr="00CC000A">
        <w:rPr>
          <w:rFonts w:cs="Calibri"/>
          <w:sz w:val="16"/>
          <w:szCs w:val="16"/>
        </w:rPr>
        <w:t>for</w:t>
      </w:r>
      <w:proofErr w:type="spellEnd"/>
      <w:r w:rsidRPr="00CC000A">
        <w:rPr>
          <w:rFonts w:cs="Calibri"/>
          <w:sz w:val="16"/>
          <w:szCs w:val="16"/>
        </w:rPr>
        <w:t xml:space="preserve"> Slovakia </w:t>
      </w:r>
      <w:proofErr w:type="spellStart"/>
      <w:r w:rsidRPr="00CC000A">
        <w:rPr>
          <w:rFonts w:cs="Calibri"/>
          <w:sz w:val="16"/>
          <w:szCs w:val="16"/>
        </w:rPr>
        <w:t>Support</w:t>
      </w:r>
      <w:proofErr w:type="spellEnd"/>
      <w:r w:rsidRPr="00CC000A">
        <w:rPr>
          <w:rFonts w:cs="Calibri"/>
          <w:sz w:val="16"/>
          <w:szCs w:val="16"/>
        </w:rPr>
        <w:t xml:space="preserve"> to </w:t>
      </w:r>
      <w:proofErr w:type="spellStart"/>
      <w:r w:rsidRPr="00CC000A">
        <w:rPr>
          <w:rFonts w:cs="Calibri"/>
          <w:sz w:val="16"/>
          <w:szCs w:val="16"/>
        </w:rPr>
        <w:t>Member</w:t>
      </w:r>
      <w:proofErr w:type="spellEnd"/>
      <w:r w:rsidRPr="00CC000A">
        <w:rPr>
          <w:rFonts w:cs="Calibri"/>
          <w:sz w:val="16"/>
          <w:szCs w:val="16"/>
        </w:rPr>
        <w:t xml:space="preserve"> </w:t>
      </w:r>
      <w:proofErr w:type="spellStart"/>
      <w:r w:rsidRPr="00CC000A">
        <w:rPr>
          <w:rFonts w:cs="Calibri"/>
          <w:sz w:val="16"/>
          <w:szCs w:val="16"/>
        </w:rPr>
        <w:t>States</w:t>
      </w:r>
      <w:proofErr w:type="spellEnd"/>
      <w:r w:rsidRPr="00CC000A">
        <w:rPr>
          <w:rFonts w:cs="Calibri"/>
          <w:sz w:val="16"/>
          <w:szCs w:val="16"/>
        </w:rPr>
        <w:t xml:space="preserve"> in </w:t>
      </w:r>
      <w:proofErr w:type="spellStart"/>
      <w:r w:rsidRPr="00CC000A">
        <w:rPr>
          <w:rFonts w:cs="Calibri"/>
          <w:sz w:val="16"/>
          <w:szCs w:val="16"/>
        </w:rPr>
        <w:t>improving</w:t>
      </w:r>
      <w:proofErr w:type="spellEnd"/>
      <w:r w:rsidRPr="00CC000A">
        <w:rPr>
          <w:rFonts w:cs="Calibri"/>
          <w:sz w:val="16"/>
          <w:szCs w:val="16"/>
        </w:rPr>
        <w:t xml:space="preserve"> </w:t>
      </w:r>
      <w:proofErr w:type="spellStart"/>
      <w:r w:rsidRPr="00CC000A">
        <w:rPr>
          <w:rFonts w:cs="Calibri"/>
          <w:sz w:val="16"/>
          <w:szCs w:val="16"/>
        </w:rPr>
        <w:t>waste</w:t>
      </w:r>
      <w:proofErr w:type="spellEnd"/>
      <w:r w:rsidRPr="00CC000A">
        <w:rPr>
          <w:rFonts w:cs="Calibri"/>
          <w:sz w:val="16"/>
          <w:szCs w:val="16"/>
        </w:rPr>
        <w:t xml:space="preserve"> </w:t>
      </w:r>
      <w:proofErr w:type="spellStart"/>
      <w:r w:rsidRPr="00CC000A">
        <w:rPr>
          <w:rFonts w:cs="Calibri"/>
          <w:sz w:val="16"/>
          <w:szCs w:val="16"/>
        </w:rPr>
        <w:t>management</w:t>
      </w:r>
      <w:proofErr w:type="spellEnd"/>
      <w:r w:rsidRPr="00CC000A">
        <w:rPr>
          <w:rFonts w:cs="Calibri"/>
          <w:sz w:val="16"/>
          <w:szCs w:val="16"/>
        </w:rPr>
        <w:t xml:space="preserve"> </w:t>
      </w:r>
      <w:proofErr w:type="spellStart"/>
      <w:r w:rsidRPr="00CC000A">
        <w:rPr>
          <w:rFonts w:cs="Calibri"/>
          <w:sz w:val="16"/>
          <w:szCs w:val="16"/>
        </w:rPr>
        <w:t>based</w:t>
      </w:r>
      <w:proofErr w:type="spellEnd"/>
      <w:r w:rsidRPr="00CC000A">
        <w:rPr>
          <w:rFonts w:cs="Calibri"/>
          <w:sz w:val="16"/>
          <w:szCs w:val="16"/>
        </w:rPr>
        <w:t xml:space="preserve"> on </w:t>
      </w:r>
      <w:proofErr w:type="spellStart"/>
      <w:r w:rsidRPr="00CC000A">
        <w:rPr>
          <w:rFonts w:cs="Calibri"/>
          <w:sz w:val="16"/>
          <w:szCs w:val="16"/>
        </w:rPr>
        <w:t>assessment</w:t>
      </w:r>
      <w:proofErr w:type="spellEnd"/>
      <w:r w:rsidRPr="00CC000A">
        <w:rPr>
          <w:rFonts w:cs="Calibri"/>
          <w:sz w:val="16"/>
          <w:szCs w:val="16"/>
        </w:rPr>
        <w:t xml:space="preserve"> </w:t>
      </w:r>
      <w:proofErr w:type="spellStart"/>
      <w:r w:rsidRPr="00CC000A">
        <w:rPr>
          <w:rFonts w:cs="Calibri"/>
          <w:sz w:val="16"/>
          <w:szCs w:val="16"/>
        </w:rPr>
        <w:t>of</w:t>
      </w:r>
      <w:proofErr w:type="spellEnd"/>
      <w:r w:rsidRPr="00CC000A">
        <w:rPr>
          <w:rFonts w:cs="Calibri"/>
          <w:sz w:val="16"/>
          <w:szCs w:val="16"/>
        </w:rPr>
        <w:t xml:space="preserve"> </w:t>
      </w:r>
      <w:proofErr w:type="spellStart"/>
      <w:r w:rsidRPr="00CC000A">
        <w:rPr>
          <w:rFonts w:cs="Calibri"/>
          <w:sz w:val="16"/>
          <w:szCs w:val="16"/>
        </w:rPr>
        <w:t>Member</w:t>
      </w:r>
      <w:proofErr w:type="spellEnd"/>
      <w:r w:rsidRPr="00CC000A">
        <w:rPr>
          <w:rFonts w:cs="Calibri"/>
          <w:sz w:val="16"/>
          <w:szCs w:val="16"/>
        </w:rPr>
        <w:t xml:space="preserve"> </w:t>
      </w:r>
      <w:proofErr w:type="spellStart"/>
      <w:r w:rsidRPr="00CC000A">
        <w:rPr>
          <w:rFonts w:cs="Calibri"/>
          <w:sz w:val="16"/>
          <w:szCs w:val="16"/>
        </w:rPr>
        <w:t>States</w:t>
      </w:r>
      <w:proofErr w:type="spellEnd"/>
      <w:r w:rsidRPr="00CC000A">
        <w:rPr>
          <w:rFonts w:cs="Calibri"/>
          <w:sz w:val="16"/>
          <w:szCs w:val="16"/>
        </w:rPr>
        <w:t xml:space="preserve">’ </w:t>
      </w:r>
      <w:proofErr w:type="spellStart"/>
      <w:r w:rsidRPr="00CC000A">
        <w:rPr>
          <w:rFonts w:cs="Calibri"/>
          <w:sz w:val="16"/>
          <w:szCs w:val="16"/>
        </w:rPr>
        <w:t>performance</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3FC"/>
    <w:multiLevelType w:val="hybridMultilevel"/>
    <w:tmpl w:val="F742214C"/>
    <w:lvl w:ilvl="0" w:tplc="222C5E1E">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84A2D48"/>
    <w:multiLevelType w:val="hybridMultilevel"/>
    <w:tmpl w:val="6666F628"/>
    <w:lvl w:ilvl="0" w:tplc="CC5C9A3C">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AA33024"/>
    <w:multiLevelType w:val="hybridMultilevel"/>
    <w:tmpl w:val="12C6ABAA"/>
    <w:name w:val="WW8Num2"/>
    <w:lvl w:ilvl="0" w:tplc="D69250CA">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12840834"/>
    <w:multiLevelType w:val="hybridMultilevel"/>
    <w:tmpl w:val="DC44D1D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65E51E9"/>
    <w:multiLevelType w:val="hybridMultilevel"/>
    <w:tmpl w:val="46FC8B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6F7449A"/>
    <w:multiLevelType w:val="hybridMultilevel"/>
    <w:tmpl w:val="1B96BA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A624B29"/>
    <w:multiLevelType w:val="hybridMultilevel"/>
    <w:tmpl w:val="718EF72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C772B93"/>
    <w:multiLevelType w:val="hybridMultilevel"/>
    <w:tmpl w:val="AC34CC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E5B5051"/>
    <w:multiLevelType w:val="hybridMultilevel"/>
    <w:tmpl w:val="072EE9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24C0166"/>
    <w:multiLevelType w:val="hybridMultilevel"/>
    <w:tmpl w:val="C85E7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D44519"/>
    <w:multiLevelType w:val="hybridMultilevel"/>
    <w:tmpl w:val="866C76F6"/>
    <w:lvl w:ilvl="0" w:tplc="0809000F">
      <w:start w:val="1"/>
      <w:numFmt w:val="decimal"/>
      <w:lvlText w:val="%1."/>
      <w:lvlJc w:val="left"/>
      <w:pPr>
        <w:ind w:left="1065" w:hanging="360"/>
      </w:pPr>
      <w:rPr>
        <w:rFonts w:cs="Times New Roman" w:hint="default"/>
      </w:rPr>
    </w:lvl>
    <w:lvl w:ilvl="1" w:tplc="08090019">
      <w:start w:val="1"/>
      <w:numFmt w:val="lowerLetter"/>
      <w:lvlText w:val="%2."/>
      <w:lvlJc w:val="left"/>
      <w:pPr>
        <w:ind w:left="1785" w:hanging="360"/>
      </w:pPr>
      <w:rPr>
        <w:rFonts w:cs="Times New Roman"/>
      </w:rPr>
    </w:lvl>
    <w:lvl w:ilvl="2" w:tplc="0809001B" w:tentative="1">
      <w:start w:val="1"/>
      <w:numFmt w:val="lowerRoman"/>
      <w:lvlText w:val="%3."/>
      <w:lvlJc w:val="right"/>
      <w:pPr>
        <w:ind w:left="2505" w:hanging="180"/>
      </w:pPr>
      <w:rPr>
        <w:rFonts w:cs="Times New Roman"/>
      </w:rPr>
    </w:lvl>
    <w:lvl w:ilvl="3" w:tplc="0809000F" w:tentative="1">
      <w:start w:val="1"/>
      <w:numFmt w:val="decimal"/>
      <w:lvlText w:val="%4."/>
      <w:lvlJc w:val="left"/>
      <w:pPr>
        <w:ind w:left="3225" w:hanging="360"/>
      </w:pPr>
      <w:rPr>
        <w:rFonts w:cs="Times New Roman"/>
      </w:rPr>
    </w:lvl>
    <w:lvl w:ilvl="4" w:tplc="08090019" w:tentative="1">
      <w:start w:val="1"/>
      <w:numFmt w:val="lowerLetter"/>
      <w:lvlText w:val="%5."/>
      <w:lvlJc w:val="left"/>
      <w:pPr>
        <w:ind w:left="3945" w:hanging="360"/>
      </w:pPr>
      <w:rPr>
        <w:rFonts w:cs="Times New Roman"/>
      </w:rPr>
    </w:lvl>
    <w:lvl w:ilvl="5" w:tplc="0809001B" w:tentative="1">
      <w:start w:val="1"/>
      <w:numFmt w:val="lowerRoman"/>
      <w:lvlText w:val="%6."/>
      <w:lvlJc w:val="right"/>
      <w:pPr>
        <w:ind w:left="4665" w:hanging="180"/>
      </w:pPr>
      <w:rPr>
        <w:rFonts w:cs="Times New Roman"/>
      </w:rPr>
    </w:lvl>
    <w:lvl w:ilvl="6" w:tplc="0809000F" w:tentative="1">
      <w:start w:val="1"/>
      <w:numFmt w:val="decimal"/>
      <w:lvlText w:val="%7."/>
      <w:lvlJc w:val="left"/>
      <w:pPr>
        <w:ind w:left="5385" w:hanging="360"/>
      </w:pPr>
      <w:rPr>
        <w:rFonts w:cs="Times New Roman"/>
      </w:rPr>
    </w:lvl>
    <w:lvl w:ilvl="7" w:tplc="08090019" w:tentative="1">
      <w:start w:val="1"/>
      <w:numFmt w:val="lowerLetter"/>
      <w:lvlText w:val="%8."/>
      <w:lvlJc w:val="left"/>
      <w:pPr>
        <w:ind w:left="6105" w:hanging="360"/>
      </w:pPr>
      <w:rPr>
        <w:rFonts w:cs="Times New Roman"/>
      </w:rPr>
    </w:lvl>
    <w:lvl w:ilvl="8" w:tplc="0809001B" w:tentative="1">
      <w:start w:val="1"/>
      <w:numFmt w:val="lowerRoman"/>
      <w:lvlText w:val="%9."/>
      <w:lvlJc w:val="right"/>
      <w:pPr>
        <w:ind w:left="6825" w:hanging="180"/>
      </w:pPr>
      <w:rPr>
        <w:rFonts w:cs="Times New Roman"/>
      </w:rPr>
    </w:lvl>
  </w:abstractNum>
  <w:abstractNum w:abstractNumId="11">
    <w:nsid w:val="23147F4B"/>
    <w:multiLevelType w:val="hybridMultilevel"/>
    <w:tmpl w:val="736690C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568363F"/>
    <w:multiLevelType w:val="hybridMultilevel"/>
    <w:tmpl w:val="699E43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5C4175B"/>
    <w:multiLevelType w:val="hybridMultilevel"/>
    <w:tmpl w:val="77EAB67E"/>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nsid w:val="25D75638"/>
    <w:multiLevelType w:val="hybridMultilevel"/>
    <w:tmpl w:val="D6EA54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736756F"/>
    <w:multiLevelType w:val="hybridMultilevel"/>
    <w:tmpl w:val="EC2C08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84D50DD"/>
    <w:multiLevelType w:val="hybridMultilevel"/>
    <w:tmpl w:val="F7D69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A24647B"/>
    <w:multiLevelType w:val="hybridMultilevel"/>
    <w:tmpl w:val="2A625E8C"/>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8">
    <w:nsid w:val="2A635295"/>
    <w:multiLevelType w:val="hybridMultilevel"/>
    <w:tmpl w:val="78E6B57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B0D54FB"/>
    <w:multiLevelType w:val="multilevel"/>
    <w:tmpl w:val="1F649DE8"/>
    <w:lvl w:ilvl="0">
      <w:start w:val="1"/>
      <w:numFmt w:val="decimal"/>
      <w:lvlText w:val="%1."/>
      <w:lvlJc w:val="left"/>
      <w:pPr>
        <w:ind w:left="720" w:hanging="360"/>
      </w:pPr>
      <w:rPr>
        <w:rFonts w:cs="Times New Roman"/>
      </w:rPr>
    </w:lvl>
    <w:lvl w:ilvl="1">
      <w:start w:val="1"/>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nsid w:val="2BF51508"/>
    <w:multiLevelType w:val="hybridMultilevel"/>
    <w:tmpl w:val="1EFACE8C"/>
    <w:lvl w:ilvl="0" w:tplc="041B000F">
      <w:start w:val="1"/>
      <w:numFmt w:val="decimal"/>
      <w:lvlText w:val="%1."/>
      <w:lvlJc w:val="left"/>
      <w:pPr>
        <w:ind w:left="360" w:hanging="360"/>
      </w:pPr>
      <w:rPr>
        <w:rFonts w:cs="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nsid w:val="2C987BE6"/>
    <w:multiLevelType w:val="hybridMultilevel"/>
    <w:tmpl w:val="41AE41A6"/>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36D12F6C"/>
    <w:multiLevelType w:val="hybridMultilevel"/>
    <w:tmpl w:val="05C2671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3">
    <w:nsid w:val="3735348F"/>
    <w:multiLevelType w:val="hybridMultilevel"/>
    <w:tmpl w:val="D96EEA08"/>
    <w:lvl w:ilvl="0" w:tplc="1FF07C16">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37835AC8"/>
    <w:multiLevelType w:val="hybridMultilevel"/>
    <w:tmpl w:val="C37E4F6A"/>
    <w:lvl w:ilvl="0" w:tplc="299CA97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9896CC2"/>
    <w:multiLevelType w:val="hybridMultilevel"/>
    <w:tmpl w:val="84D8F818"/>
    <w:lvl w:ilvl="0" w:tplc="969A09C8">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1B32974"/>
    <w:multiLevelType w:val="hybridMultilevel"/>
    <w:tmpl w:val="59DCE5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481D40CA"/>
    <w:multiLevelType w:val="hybridMultilevel"/>
    <w:tmpl w:val="91FE5F6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8">
    <w:nsid w:val="4EED2989"/>
    <w:multiLevelType w:val="hybridMultilevel"/>
    <w:tmpl w:val="2A6A85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nsid w:val="50A92E73"/>
    <w:multiLevelType w:val="hybridMultilevel"/>
    <w:tmpl w:val="63A62F4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534E2008"/>
    <w:multiLevelType w:val="hybridMultilevel"/>
    <w:tmpl w:val="DC0C7BAA"/>
    <w:lvl w:ilvl="0" w:tplc="2B4E9F68">
      <w:start w:val="1"/>
      <w:numFmt w:val="decimal"/>
      <w:lvlText w:val="%1."/>
      <w:lvlJc w:val="left"/>
      <w:pPr>
        <w:ind w:left="502" w:hanging="360"/>
      </w:pPr>
      <w:rPr>
        <w:rFonts w:cs="Times New Roman" w:hint="default"/>
        <w:b/>
      </w:rPr>
    </w:lvl>
    <w:lvl w:ilvl="1" w:tplc="041B0019">
      <w:start w:val="1"/>
      <w:numFmt w:val="lowerLetter"/>
      <w:lvlText w:val="%2."/>
      <w:lvlJc w:val="left"/>
      <w:pPr>
        <w:ind w:left="1425" w:hanging="360"/>
      </w:pPr>
      <w:rPr>
        <w:rFonts w:cs="Times New Roman"/>
      </w:rPr>
    </w:lvl>
    <w:lvl w:ilvl="2" w:tplc="041B001B" w:tentative="1">
      <w:start w:val="1"/>
      <w:numFmt w:val="lowerRoman"/>
      <w:lvlText w:val="%3."/>
      <w:lvlJc w:val="right"/>
      <w:pPr>
        <w:ind w:left="2145" w:hanging="180"/>
      </w:pPr>
      <w:rPr>
        <w:rFonts w:cs="Times New Roman"/>
      </w:rPr>
    </w:lvl>
    <w:lvl w:ilvl="3" w:tplc="041B000F" w:tentative="1">
      <w:start w:val="1"/>
      <w:numFmt w:val="decimal"/>
      <w:lvlText w:val="%4."/>
      <w:lvlJc w:val="left"/>
      <w:pPr>
        <w:ind w:left="2865" w:hanging="360"/>
      </w:pPr>
      <w:rPr>
        <w:rFonts w:cs="Times New Roman"/>
      </w:rPr>
    </w:lvl>
    <w:lvl w:ilvl="4" w:tplc="041B0019" w:tentative="1">
      <w:start w:val="1"/>
      <w:numFmt w:val="lowerLetter"/>
      <w:lvlText w:val="%5."/>
      <w:lvlJc w:val="left"/>
      <w:pPr>
        <w:ind w:left="3585" w:hanging="360"/>
      </w:pPr>
      <w:rPr>
        <w:rFonts w:cs="Times New Roman"/>
      </w:rPr>
    </w:lvl>
    <w:lvl w:ilvl="5" w:tplc="041B001B" w:tentative="1">
      <w:start w:val="1"/>
      <w:numFmt w:val="lowerRoman"/>
      <w:lvlText w:val="%6."/>
      <w:lvlJc w:val="right"/>
      <w:pPr>
        <w:ind w:left="4305" w:hanging="180"/>
      </w:pPr>
      <w:rPr>
        <w:rFonts w:cs="Times New Roman"/>
      </w:rPr>
    </w:lvl>
    <w:lvl w:ilvl="6" w:tplc="041B000F" w:tentative="1">
      <w:start w:val="1"/>
      <w:numFmt w:val="decimal"/>
      <w:lvlText w:val="%7."/>
      <w:lvlJc w:val="left"/>
      <w:pPr>
        <w:ind w:left="5025" w:hanging="360"/>
      </w:pPr>
      <w:rPr>
        <w:rFonts w:cs="Times New Roman"/>
      </w:rPr>
    </w:lvl>
    <w:lvl w:ilvl="7" w:tplc="041B0019" w:tentative="1">
      <w:start w:val="1"/>
      <w:numFmt w:val="lowerLetter"/>
      <w:lvlText w:val="%8."/>
      <w:lvlJc w:val="left"/>
      <w:pPr>
        <w:ind w:left="5745" w:hanging="360"/>
      </w:pPr>
      <w:rPr>
        <w:rFonts w:cs="Times New Roman"/>
      </w:rPr>
    </w:lvl>
    <w:lvl w:ilvl="8" w:tplc="041B001B" w:tentative="1">
      <w:start w:val="1"/>
      <w:numFmt w:val="lowerRoman"/>
      <w:lvlText w:val="%9."/>
      <w:lvlJc w:val="right"/>
      <w:pPr>
        <w:ind w:left="6465" w:hanging="180"/>
      </w:pPr>
      <w:rPr>
        <w:rFonts w:cs="Times New Roman"/>
      </w:rPr>
    </w:lvl>
  </w:abstractNum>
  <w:abstractNum w:abstractNumId="31">
    <w:nsid w:val="53B33DF9"/>
    <w:multiLevelType w:val="hybridMultilevel"/>
    <w:tmpl w:val="8CC0451C"/>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2">
    <w:nsid w:val="563741B7"/>
    <w:multiLevelType w:val="hybridMultilevel"/>
    <w:tmpl w:val="8F4AAFC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3">
    <w:nsid w:val="57871F07"/>
    <w:multiLevelType w:val="hybridMultilevel"/>
    <w:tmpl w:val="640E0D0C"/>
    <w:lvl w:ilvl="0" w:tplc="2912F39C">
      <w:start w:val="20"/>
      <w:numFmt w:val="bullet"/>
      <w:lvlText w:val="-"/>
      <w:lvlJc w:val="left"/>
      <w:pPr>
        <w:ind w:left="720" w:hanging="360"/>
      </w:pPr>
      <w:rPr>
        <w:rFonts w:ascii="Calibri" w:eastAsia="Calibri"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4">
    <w:nsid w:val="583B0D25"/>
    <w:multiLevelType w:val="hybridMultilevel"/>
    <w:tmpl w:val="DAE076EC"/>
    <w:lvl w:ilvl="0" w:tplc="041B000F">
      <w:start w:val="1"/>
      <w:numFmt w:val="decimal"/>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B464588"/>
    <w:multiLevelType w:val="hybridMultilevel"/>
    <w:tmpl w:val="608C77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B6F09CF"/>
    <w:multiLevelType w:val="hybridMultilevel"/>
    <w:tmpl w:val="F83CB3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5C782F16"/>
    <w:multiLevelType w:val="hybridMultilevel"/>
    <w:tmpl w:val="929E2030"/>
    <w:lvl w:ilvl="0" w:tplc="849CEE74">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5EE6556E"/>
    <w:multiLevelType w:val="hybridMultilevel"/>
    <w:tmpl w:val="272AEFB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06E36AC"/>
    <w:multiLevelType w:val="hybridMultilevel"/>
    <w:tmpl w:val="CED0A7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0">
    <w:nsid w:val="62C44CC1"/>
    <w:multiLevelType w:val="hybridMultilevel"/>
    <w:tmpl w:val="8488DB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2F81B4C"/>
    <w:multiLevelType w:val="hybridMultilevel"/>
    <w:tmpl w:val="BAC0DE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68F4190B"/>
    <w:multiLevelType w:val="hybridMultilevel"/>
    <w:tmpl w:val="D2A0C926"/>
    <w:lvl w:ilvl="0" w:tplc="041B000F">
      <w:start w:val="1"/>
      <w:numFmt w:val="decimal"/>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43">
    <w:nsid w:val="69F35FA5"/>
    <w:multiLevelType w:val="hybridMultilevel"/>
    <w:tmpl w:val="1F1018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6E480A1B"/>
    <w:multiLevelType w:val="hybridMultilevel"/>
    <w:tmpl w:val="CAF840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6F9E408D"/>
    <w:multiLevelType w:val="hybridMultilevel"/>
    <w:tmpl w:val="87A680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nsid w:val="70757B5B"/>
    <w:multiLevelType w:val="hybridMultilevel"/>
    <w:tmpl w:val="648A8B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97D79F6"/>
    <w:multiLevelType w:val="hybridMultilevel"/>
    <w:tmpl w:val="7066558A"/>
    <w:lvl w:ilvl="0" w:tplc="0809000F">
      <w:start w:val="1"/>
      <w:numFmt w:val="decimal"/>
      <w:lvlText w:val="%1."/>
      <w:lvlJc w:val="left"/>
      <w:pPr>
        <w:ind w:left="1068" w:hanging="360"/>
      </w:pPr>
      <w:rPr>
        <w:rFonts w:cs="Times New Roman" w:hint="default"/>
      </w:rPr>
    </w:lvl>
    <w:lvl w:ilvl="1" w:tplc="4AEA88E8">
      <w:numFmt w:val="bullet"/>
      <w:lvlText w:val="-"/>
      <w:lvlJc w:val="left"/>
      <w:pPr>
        <w:ind w:left="1788" w:hanging="360"/>
      </w:pPr>
      <w:rPr>
        <w:rFonts w:ascii="Times New Roman" w:hAnsi="Times New Roman" w:hint="default"/>
        <w:color w:val="auto"/>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8">
    <w:nsid w:val="7AE8624A"/>
    <w:multiLevelType w:val="hybridMultilevel"/>
    <w:tmpl w:val="179C1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46"/>
  </w:num>
  <w:num w:numId="3">
    <w:abstractNumId w:val="29"/>
  </w:num>
  <w:num w:numId="4">
    <w:abstractNumId w:val="36"/>
  </w:num>
  <w:num w:numId="5">
    <w:abstractNumId w:val="7"/>
  </w:num>
  <w:num w:numId="6">
    <w:abstractNumId w:val="48"/>
  </w:num>
  <w:num w:numId="7">
    <w:abstractNumId w:val="44"/>
  </w:num>
  <w:num w:numId="8">
    <w:abstractNumId w:val="35"/>
  </w:num>
  <w:num w:numId="9">
    <w:abstractNumId w:val="19"/>
  </w:num>
  <w:num w:numId="10">
    <w:abstractNumId w:val="8"/>
  </w:num>
  <w:num w:numId="11">
    <w:abstractNumId w:val="41"/>
  </w:num>
  <w:num w:numId="12">
    <w:abstractNumId w:val="43"/>
  </w:num>
  <w:num w:numId="13">
    <w:abstractNumId w:val="12"/>
  </w:num>
  <w:num w:numId="14">
    <w:abstractNumId w:val="40"/>
  </w:num>
  <w:num w:numId="15">
    <w:abstractNumId w:val="18"/>
  </w:num>
  <w:num w:numId="16">
    <w:abstractNumId w:val="13"/>
  </w:num>
  <w:num w:numId="17">
    <w:abstractNumId w:val="22"/>
  </w:num>
  <w:num w:numId="18">
    <w:abstractNumId w:val="23"/>
  </w:num>
  <w:num w:numId="19">
    <w:abstractNumId w:val="26"/>
  </w:num>
  <w:num w:numId="20">
    <w:abstractNumId w:val="45"/>
  </w:num>
  <w:num w:numId="21">
    <w:abstractNumId w:val="4"/>
  </w:num>
  <w:num w:numId="22">
    <w:abstractNumId w:val="11"/>
  </w:num>
  <w:num w:numId="23">
    <w:abstractNumId w:val="9"/>
  </w:num>
  <w:num w:numId="24">
    <w:abstractNumId w:val="34"/>
  </w:num>
  <w:num w:numId="25">
    <w:abstractNumId w:val="1"/>
  </w:num>
  <w:num w:numId="26">
    <w:abstractNumId w:val="24"/>
  </w:num>
  <w:num w:numId="27">
    <w:abstractNumId w:val="37"/>
  </w:num>
  <w:num w:numId="28">
    <w:abstractNumId w:val="0"/>
  </w:num>
  <w:num w:numId="29">
    <w:abstractNumId w:val="15"/>
  </w:num>
  <w:num w:numId="30">
    <w:abstractNumId w:val="14"/>
  </w:num>
  <w:num w:numId="31">
    <w:abstractNumId w:val="39"/>
  </w:num>
  <w:num w:numId="32">
    <w:abstractNumId w:val="28"/>
  </w:num>
  <w:num w:numId="33">
    <w:abstractNumId w:val="17"/>
  </w:num>
  <w:num w:numId="34">
    <w:abstractNumId w:val="31"/>
  </w:num>
  <w:num w:numId="35">
    <w:abstractNumId w:val="38"/>
  </w:num>
  <w:num w:numId="36">
    <w:abstractNumId w:val="32"/>
  </w:num>
  <w:num w:numId="37">
    <w:abstractNumId w:val="21"/>
  </w:num>
  <w:num w:numId="38">
    <w:abstractNumId w:val="20"/>
  </w:num>
  <w:num w:numId="39">
    <w:abstractNumId w:val="42"/>
  </w:num>
  <w:num w:numId="40">
    <w:abstractNumId w:val="16"/>
  </w:num>
  <w:num w:numId="41">
    <w:abstractNumId w:val="10"/>
  </w:num>
  <w:num w:numId="42">
    <w:abstractNumId w:val="47"/>
  </w:num>
  <w:num w:numId="43">
    <w:abstractNumId w:val="3"/>
  </w:num>
  <w:num w:numId="44">
    <w:abstractNumId w:val="27"/>
  </w:num>
  <w:num w:numId="45">
    <w:abstractNumId w:val="25"/>
  </w:num>
  <w:num w:numId="46">
    <w:abstractNumId w:val="2"/>
  </w:num>
  <w:num w:numId="47">
    <w:abstractNumId w:val="5"/>
  </w:num>
  <w:num w:numId="48">
    <w:abstractNumId w:val="30"/>
  </w:num>
  <w:num w:numId="4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87458C"/>
    <w:rsid w:val="00000664"/>
    <w:rsid w:val="000027A4"/>
    <w:rsid w:val="00003096"/>
    <w:rsid w:val="00003B07"/>
    <w:rsid w:val="00006633"/>
    <w:rsid w:val="00007F0E"/>
    <w:rsid w:val="00010A05"/>
    <w:rsid w:val="00012173"/>
    <w:rsid w:val="00013FEF"/>
    <w:rsid w:val="00014B30"/>
    <w:rsid w:val="000157E8"/>
    <w:rsid w:val="000208C9"/>
    <w:rsid w:val="00020BBC"/>
    <w:rsid w:val="00021033"/>
    <w:rsid w:val="00021088"/>
    <w:rsid w:val="0002110C"/>
    <w:rsid w:val="00021FA6"/>
    <w:rsid w:val="0002488B"/>
    <w:rsid w:val="000250C8"/>
    <w:rsid w:val="0002512E"/>
    <w:rsid w:val="00025911"/>
    <w:rsid w:val="00025B22"/>
    <w:rsid w:val="00027D96"/>
    <w:rsid w:val="00032EC5"/>
    <w:rsid w:val="00033A2E"/>
    <w:rsid w:val="00033F8D"/>
    <w:rsid w:val="00035DAA"/>
    <w:rsid w:val="000363BA"/>
    <w:rsid w:val="00036D5C"/>
    <w:rsid w:val="0003747C"/>
    <w:rsid w:val="0004016B"/>
    <w:rsid w:val="0004114D"/>
    <w:rsid w:val="000420F8"/>
    <w:rsid w:val="000433AC"/>
    <w:rsid w:val="00043831"/>
    <w:rsid w:val="00043E5C"/>
    <w:rsid w:val="00044ABE"/>
    <w:rsid w:val="00044FF5"/>
    <w:rsid w:val="0004583D"/>
    <w:rsid w:val="000462B6"/>
    <w:rsid w:val="000463BF"/>
    <w:rsid w:val="00046C94"/>
    <w:rsid w:val="00046FB8"/>
    <w:rsid w:val="000505C6"/>
    <w:rsid w:val="00051BDE"/>
    <w:rsid w:val="00052BCC"/>
    <w:rsid w:val="00053C82"/>
    <w:rsid w:val="00053CB2"/>
    <w:rsid w:val="000540FA"/>
    <w:rsid w:val="00054CE1"/>
    <w:rsid w:val="00057149"/>
    <w:rsid w:val="0006154A"/>
    <w:rsid w:val="0006342F"/>
    <w:rsid w:val="00064D61"/>
    <w:rsid w:val="00065797"/>
    <w:rsid w:val="00066E23"/>
    <w:rsid w:val="000705C0"/>
    <w:rsid w:val="00070765"/>
    <w:rsid w:val="00070F59"/>
    <w:rsid w:val="00071A2C"/>
    <w:rsid w:val="00071E83"/>
    <w:rsid w:val="000766DF"/>
    <w:rsid w:val="00077021"/>
    <w:rsid w:val="0008166D"/>
    <w:rsid w:val="00082F68"/>
    <w:rsid w:val="000845F8"/>
    <w:rsid w:val="000877B1"/>
    <w:rsid w:val="000908DE"/>
    <w:rsid w:val="00090D0B"/>
    <w:rsid w:val="00090D1B"/>
    <w:rsid w:val="00091CFF"/>
    <w:rsid w:val="00091DDE"/>
    <w:rsid w:val="000932F3"/>
    <w:rsid w:val="00094C63"/>
    <w:rsid w:val="00095F4C"/>
    <w:rsid w:val="00096E11"/>
    <w:rsid w:val="00097ED3"/>
    <w:rsid w:val="000A1083"/>
    <w:rsid w:val="000A112C"/>
    <w:rsid w:val="000A18A5"/>
    <w:rsid w:val="000A45AC"/>
    <w:rsid w:val="000A71BB"/>
    <w:rsid w:val="000A7F0A"/>
    <w:rsid w:val="000B200B"/>
    <w:rsid w:val="000B45FD"/>
    <w:rsid w:val="000B5AC4"/>
    <w:rsid w:val="000C0949"/>
    <w:rsid w:val="000C0C01"/>
    <w:rsid w:val="000C1DE7"/>
    <w:rsid w:val="000C30CF"/>
    <w:rsid w:val="000C36B1"/>
    <w:rsid w:val="000C4605"/>
    <w:rsid w:val="000C582F"/>
    <w:rsid w:val="000C5CB0"/>
    <w:rsid w:val="000C77FB"/>
    <w:rsid w:val="000D0908"/>
    <w:rsid w:val="000D1430"/>
    <w:rsid w:val="000D1D31"/>
    <w:rsid w:val="000D2DDF"/>
    <w:rsid w:val="000D3287"/>
    <w:rsid w:val="000D36D5"/>
    <w:rsid w:val="000D4D2A"/>
    <w:rsid w:val="000D69B5"/>
    <w:rsid w:val="000D6D60"/>
    <w:rsid w:val="000E0BF3"/>
    <w:rsid w:val="000E0E74"/>
    <w:rsid w:val="000E1357"/>
    <w:rsid w:val="000E1ABA"/>
    <w:rsid w:val="000E4512"/>
    <w:rsid w:val="000E49CE"/>
    <w:rsid w:val="000E53D5"/>
    <w:rsid w:val="000E7015"/>
    <w:rsid w:val="000E72AB"/>
    <w:rsid w:val="000E793F"/>
    <w:rsid w:val="000E7AB5"/>
    <w:rsid w:val="000F1CD9"/>
    <w:rsid w:val="000F2CAF"/>
    <w:rsid w:val="000F5396"/>
    <w:rsid w:val="000F6C19"/>
    <w:rsid w:val="00101B26"/>
    <w:rsid w:val="00107963"/>
    <w:rsid w:val="00107F3F"/>
    <w:rsid w:val="001109C5"/>
    <w:rsid w:val="0011133B"/>
    <w:rsid w:val="001113FA"/>
    <w:rsid w:val="00111758"/>
    <w:rsid w:val="00112C69"/>
    <w:rsid w:val="001134D3"/>
    <w:rsid w:val="00114642"/>
    <w:rsid w:val="00114D7A"/>
    <w:rsid w:val="0012017C"/>
    <w:rsid w:val="001207D5"/>
    <w:rsid w:val="00120B8F"/>
    <w:rsid w:val="001213BC"/>
    <w:rsid w:val="00123871"/>
    <w:rsid w:val="00124EAB"/>
    <w:rsid w:val="0012687A"/>
    <w:rsid w:val="00126920"/>
    <w:rsid w:val="00127FA5"/>
    <w:rsid w:val="00130BEA"/>
    <w:rsid w:val="0013167A"/>
    <w:rsid w:val="00132562"/>
    <w:rsid w:val="00133FEB"/>
    <w:rsid w:val="00135CED"/>
    <w:rsid w:val="0013613A"/>
    <w:rsid w:val="001401CB"/>
    <w:rsid w:val="00140F76"/>
    <w:rsid w:val="001416DA"/>
    <w:rsid w:val="0014171E"/>
    <w:rsid w:val="00142E7F"/>
    <w:rsid w:val="00143764"/>
    <w:rsid w:val="00143AA0"/>
    <w:rsid w:val="001440ED"/>
    <w:rsid w:val="001442E6"/>
    <w:rsid w:val="00145218"/>
    <w:rsid w:val="00145540"/>
    <w:rsid w:val="00145BDE"/>
    <w:rsid w:val="00146A3D"/>
    <w:rsid w:val="00147DEE"/>
    <w:rsid w:val="00150C82"/>
    <w:rsid w:val="001527B7"/>
    <w:rsid w:val="0015445B"/>
    <w:rsid w:val="00154E07"/>
    <w:rsid w:val="001550CC"/>
    <w:rsid w:val="00155CE9"/>
    <w:rsid w:val="00161387"/>
    <w:rsid w:val="001614F9"/>
    <w:rsid w:val="001636CE"/>
    <w:rsid w:val="00163EEB"/>
    <w:rsid w:val="001641E4"/>
    <w:rsid w:val="00164A2E"/>
    <w:rsid w:val="00164FC9"/>
    <w:rsid w:val="001659A1"/>
    <w:rsid w:val="00165D5C"/>
    <w:rsid w:val="0016651B"/>
    <w:rsid w:val="00167986"/>
    <w:rsid w:val="00170174"/>
    <w:rsid w:val="001731F8"/>
    <w:rsid w:val="00173437"/>
    <w:rsid w:val="00173847"/>
    <w:rsid w:val="0017410A"/>
    <w:rsid w:val="0017418F"/>
    <w:rsid w:val="00175F0E"/>
    <w:rsid w:val="00180F90"/>
    <w:rsid w:val="00183A7E"/>
    <w:rsid w:val="00183EFF"/>
    <w:rsid w:val="0018515F"/>
    <w:rsid w:val="00185B54"/>
    <w:rsid w:val="001872A2"/>
    <w:rsid w:val="001878CC"/>
    <w:rsid w:val="00192075"/>
    <w:rsid w:val="00193BC4"/>
    <w:rsid w:val="00193EE1"/>
    <w:rsid w:val="00194192"/>
    <w:rsid w:val="00194B94"/>
    <w:rsid w:val="00195343"/>
    <w:rsid w:val="00195742"/>
    <w:rsid w:val="00195A7F"/>
    <w:rsid w:val="0019623B"/>
    <w:rsid w:val="001972E0"/>
    <w:rsid w:val="0019754D"/>
    <w:rsid w:val="00197D2D"/>
    <w:rsid w:val="00197E91"/>
    <w:rsid w:val="001A0C06"/>
    <w:rsid w:val="001A0C86"/>
    <w:rsid w:val="001A232D"/>
    <w:rsid w:val="001A3CF9"/>
    <w:rsid w:val="001B0E90"/>
    <w:rsid w:val="001B1257"/>
    <w:rsid w:val="001B21A2"/>
    <w:rsid w:val="001B2D31"/>
    <w:rsid w:val="001B2E22"/>
    <w:rsid w:val="001B4812"/>
    <w:rsid w:val="001B50BE"/>
    <w:rsid w:val="001B59A4"/>
    <w:rsid w:val="001B6E3A"/>
    <w:rsid w:val="001C044D"/>
    <w:rsid w:val="001C04E1"/>
    <w:rsid w:val="001C223A"/>
    <w:rsid w:val="001C368A"/>
    <w:rsid w:val="001C3798"/>
    <w:rsid w:val="001C3D91"/>
    <w:rsid w:val="001C5602"/>
    <w:rsid w:val="001C6FE9"/>
    <w:rsid w:val="001C7073"/>
    <w:rsid w:val="001D0CC7"/>
    <w:rsid w:val="001D1654"/>
    <w:rsid w:val="001D1F39"/>
    <w:rsid w:val="001D4063"/>
    <w:rsid w:val="001D4C63"/>
    <w:rsid w:val="001D5AE7"/>
    <w:rsid w:val="001E2DF3"/>
    <w:rsid w:val="001E3485"/>
    <w:rsid w:val="001E5134"/>
    <w:rsid w:val="001E6163"/>
    <w:rsid w:val="001E6344"/>
    <w:rsid w:val="001E66D4"/>
    <w:rsid w:val="001F0659"/>
    <w:rsid w:val="001F1020"/>
    <w:rsid w:val="001F2ADF"/>
    <w:rsid w:val="001F69C1"/>
    <w:rsid w:val="00200096"/>
    <w:rsid w:val="002014CC"/>
    <w:rsid w:val="002015F9"/>
    <w:rsid w:val="00202F99"/>
    <w:rsid w:val="002030BB"/>
    <w:rsid w:val="0020319A"/>
    <w:rsid w:val="0020348B"/>
    <w:rsid w:val="00203B5E"/>
    <w:rsid w:val="00204273"/>
    <w:rsid w:val="002047FB"/>
    <w:rsid w:val="00204902"/>
    <w:rsid w:val="00205DB2"/>
    <w:rsid w:val="00210F50"/>
    <w:rsid w:val="00211F75"/>
    <w:rsid w:val="0021204B"/>
    <w:rsid w:val="00212B40"/>
    <w:rsid w:val="002136A6"/>
    <w:rsid w:val="00214629"/>
    <w:rsid w:val="002148CD"/>
    <w:rsid w:val="00214A5B"/>
    <w:rsid w:val="0021549F"/>
    <w:rsid w:val="002209B7"/>
    <w:rsid w:val="00220EEF"/>
    <w:rsid w:val="002210B9"/>
    <w:rsid w:val="00222273"/>
    <w:rsid w:val="002242EE"/>
    <w:rsid w:val="0022471B"/>
    <w:rsid w:val="002252FE"/>
    <w:rsid w:val="00225321"/>
    <w:rsid w:val="00226D9B"/>
    <w:rsid w:val="0022776E"/>
    <w:rsid w:val="002310B0"/>
    <w:rsid w:val="00231490"/>
    <w:rsid w:val="002328BF"/>
    <w:rsid w:val="0023324B"/>
    <w:rsid w:val="002357F2"/>
    <w:rsid w:val="00235AC2"/>
    <w:rsid w:val="00235D75"/>
    <w:rsid w:val="002367E7"/>
    <w:rsid w:val="00243472"/>
    <w:rsid w:val="0024473D"/>
    <w:rsid w:val="00244777"/>
    <w:rsid w:val="002455F4"/>
    <w:rsid w:val="0024560C"/>
    <w:rsid w:val="00245A3E"/>
    <w:rsid w:val="0024668A"/>
    <w:rsid w:val="00247244"/>
    <w:rsid w:val="002516E4"/>
    <w:rsid w:val="00252220"/>
    <w:rsid w:val="002523ED"/>
    <w:rsid w:val="00253AF3"/>
    <w:rsid w:val="00254E93"/>
    <w:rsid w:val="00255564"/>
    <w:rsid w:val="002555DD"/>
    <w:rsid w:val="00255791"/>
    <w:rsid w:val="00256281"/>
    <w:rsid w:val="002564D8"/>
    <w:rsid w:val="00257B6A"/>
    <w:rsid w:val="00257C46"/>
    <w:rsid w:val="00257EF5"/>
    <w:rsid w:val="00261D5B"/>
    <w:rsid w:val="0026417C"/>
    <w:rsid w:val="0026523C"/>
    <w:rsid w:val="00265443"/>
    <w:rsid w:val="00267E22"/>
    <w:rsid w:val="00270E5A"/>
    <w:rsid w:val="00273046"/>
    <w:rsid w:val="002737BF"/>
    <w:rsid w:val="002754B4"/>
    <w:rsid w:val="002759BC"/>
    <w:rsid w:val="00276C1F"/>
    <w:rsid w:val="00276EC8"/>
    <w:rsid w:val="00277501"/>
    <w:rsid w:val="002817DF"/>
    <w:rsid w:val="002818F2"/>
    <w:rsid w:val="00283294"/>
    <w:rsid w:val="00283784"/>
    <w:rsid w:val="00283AA0"/>
    <w:rsid w:val="00283F5B"/>
    <w:rsid w:val="00284459"/>
    <w:rsid w:val="002901BF"/>
    <w:rsid w:val="00291187"/>
    <w:rsid w:val="00292C65"/>
    <w:rsid w:val="0029371C"/>
    <w:rsid w:val="00295B5D"/>
    <w:rsid w:val="00295FE8"/>
    <w:rsid w:val="00296EDD"/>
    <w:rsid w:val="002977F1"/>
    <w:rsid w:val="00297934"/>
    <w:rsid w:val="002A0A7F"/>
    <w:rsid w:val="002A1E73"/>
    <w:rsid w:val="002A296F"/>
    <w:rsid w:val="002A39C4"/>
    <w:rsid w:val="002A3D5C"/>
    <w:rsid w:val="002A48B1"/>
    <w:rsid w:val="002A4D60"/>
    <w:rsid w:val="002A5B39"/>
    <w:rsid w:val="002A60F3"/>
    <w:rsid w:val="002A6F88"/>
    <w:rsid w:val="002A715A"/>
    <w:rsid w:val="002A71DF"/>
    <w:rsid w:val="002A78C3"/>
    <w:rsid w:val="002A7D44"/>
    <w:rsid w:val="002B006F"/>
    <w:rsid w:val="002B03AE"/>
    <w:rsid w:val="002B08C3"/>
    <w:rsid w:val="002B18C5"/>
    <w:rsid w:val="002B1B80"/>
    <w:rsid w:val="002B2C60"/>
    <w:rsid w:val="002B4318"/>
    <w:rsid w:val="002C0F4B"/>
    <w:rsid w:val="002C2893"/>
    <w:rsid w:val="002C3CFE"/>
    <w:rsid w:val="002C41FA"/>
    <w:rsid w:val="002C4FFC"/>
    <w:rsid w:val="002C54C2"/>
    <w:rsid w:val="002C5D29"/>
    <w:rsid w:val="002D0CE1"/>
    <w:rsid w:val="002D2630"/>
    <w:rsid w:val="002D3AF1"/>
    <w:rsid w:val="002D5537"/>
    <w:rsid w:val="002D79E1"/>
    <w:rsid w:val="002E08FD"/>
    <w:rsid w:val="002E29D9"/>
    <w:rsid w:val="002E3A37"/>
    <w:rsid w:val="002E4D15"/>
    <w:rsid w:val="002E5175"/>
    <w:rsid w:val="002E55C4"/>
    <w:rsid w:val="002E58EE"/>
    <w:rsid w:val="002E5940"/>
    <w:rsid w:val="002E5B63"/>
    <w:rsid w:val="002E6D18"/>
    <w:rsid w:val="002F0DF4"/>
    <w:rsid w:val="002F2577"/>
    <w:rsid w:val="002F3B54"/>
    <w:rsid w:val="002F3CFD"/>
    <w:rsid w:val="002F56A3"/>
    <w:rsid w:val="002F65B1"/>
    <w:rsid w:val="0030161B"/>
    <w:rsid w:val="00302262"/>
    <w:rsid w:val="00302F32"/>
    <w:rsid w:val="00303763"/>
    <w:rsid w:val="003038F7"/>
    <w:rsid w:val="0030433B"/>
    <w:rsid w:val="003044CD"/>
    <w:rsid w:val="00304766"/>
    <w:rsid w:val="00305980"/>
    <w:rsid w:val="0030707A"/>
    <w:rsid w:val="003077B2"/>
    <w:rsid w:val="00313241"/>
    <w:rsid w:val="00314240"/>
    <w:rsid w:val="00315CE3"/>
    <w:rsid w:val="00316F3C"/>
    <w:rsid w:val="003204BB"/>
    <w:rsid w:val="00320FC3"/>
    <w:rsid w:val="0032380F"/>
    <w:rsid w:val="00324799"/>
    <w:rsid w:val="00324C5B"/>
    <w:rsid w:val="0032577E"/>
    <w:rsid w:val="00325E73"/>
    <w:rsid w:val="00325F87"/>
    <w:rsid w:val="00327124"/>
    <w:rsid w:val="00327B3B"/>
    <w:rsid w:val="00330165"/>
    <w:rsid w:val="00330AEC"/>
    <w:rsid w:val="00332D40"/>
    <w:rsid w:val="00333254"/>
    <w:rsid w:val="00333F71"/>
    <w:rsid w:val="00336881"/>
    <w:rsid w:val="003373CA"/>
    <w:rsid w:val="00340536"/>
    <w:rsid w:val="003406FA"/>
    <w:rsid w:val="00340AEF"/>
    <w:rsid w:val="003445C7"/>
    <w:rsid w:val="003451D7"/>
    <w:rsid w:val="003453BE"/>
    <w:rsid w:val="0034599C"/>
    <w:rsid w:val="003478CA"/>
    <w:rsid w:val="003503F3"/>
    <w:rsid w:val="00350C10"/>
    <w:rsid w:val="00350EDE"/>
    <w:rsid w:val="003524BB"/>
    <w:rsid w:val="00353EBE"/>
    <w:rsid w:val="00356600"/>
    <w:rsid w:val="00356B68"/>
    <w:rsid w:val="003575E1"/>
    <w:rsid w:val="00360B88"/>
    <w:rsid w:val="0036160A"/>
    <w:rsid w:val="00361E1A"/>
    <w:rsid w:val="00362F5E"/>
    <w:rsid w:val="00363085"/>
    <w:rsid w:val="0036427E"/>
    <w:rsid w:val="003643A1"/>
    <w:rsid w:val="0036751F"/>
    <w:rsid w:val="00367CEB"/>
    <w:rsid w:val="0037050D"/>
    <w:rsid w:val="003712D0"/>
    <w:rsid w:val="00371A25"/>
    <w:rsid w:val="0037200F"/>
    <w:rsid w:val="0037336F"/>
    <w:rsid w:val="0037490D"/>
    <w:rsid w:val="003752F3"/>
    <w:rsid w:val="003756A5"/>
    <w:rsid w:val="00375889"/>
    <w:rsid w:val="0037593F"/>
    <w:rsid w:val="00375B2B"/>
    <w:rsid w:val="00380ECE"/>
    <w:rsid w:val="003810B1"/>
    <w:rsid w:val="00381D07"/>
    <w:rsid w:val="00382811"/>
    <w:rsid w:val="003854DB"/>
    <w:rsid w:val="00385865"/>
    <w:rsid w:val="00385897"/>
    <w:rsid w:val="00386967"/>
    <w:rsid w:val="003869C1"/>
    <w:rsid w:val="00386BD2"/>
    <w:rsid w:val="00386DDC"/>
    <w:rsid w:val="003878CE"/>
    <w:rsid w:val="003920EC"/>
    <w:rsid w:val="00392536"/>
    <w:rsid w:val="003945EA"/>
    <w:rsid w:val="00396996"/>
    <w:rsid w:val="0039790B"/>
    <w:rsid w:val="00397F21"/>
    <w:rsid w:val="003A202E"/>
    <w:rsid w:val="003A28BD"/>
    <w:rsid w:val="003A43B9"/>
    <w:rsid w:val="003A4418"/>
    <w:rsid w:val="003A4D9A"/>
    <w:rsid w:val="003A5C5D"/>
    <w:rsid w:val="003A5E96"/>
    <w:rsid w:val="003A610B"/>
    <w:rsid w:val="003A65CC"/>
    <w:rsid w:val="003A65F5"/>
    <w:rsid w:val="003A6F37"/>
    <w:rsid w:val="003A710D"/>
    <w:rsid w:val="003A7A3D"/>
    <w:rsid w:val="003A7E6F"/>
    <w:rsid w:val="003B0A4E"/>
    <w:rsid w:val="003B0BE9"/>
    <w:rsid w:val="003B1122"/>
    <w:rsid w:val="003B1866"/>
    <w:rsid w:val="003B3A9B"/>
    <w:rsid w:val="003B44AD"/>
    <w:rsid w:val="003B44B6"/>
    <w:rsid w:val="003B587F"/>
    <w:rsid w:val="003B7321"/>
    <w:rsid w:val="003B7391"/>
    <w:rsid w:val="003B7763"/>
    <w:rsid w:val="003B7DCA"/>
    <w:rsid w:val="003C0344"/>
    <w:rsid w:val="003C105E"/>
    <w:rsid w:val="003C2C9A"/>
    <w:rsid w:val="003C50AF"/>
    <w:rsid w:val="003C5681"/>
    <w:rsid w:val="003C6A41"/>
    <w:rsid w:val="003C6DB8"/>
    <w:rsid w:val="003C732C"/>
    <w:rsid w:val="003C7E02"/>
    <w:rsid w:val="003D137B"/>
    <w:rsid w:val="003D1963"/>
    <w:rsid w:val="003D2B40"/>
    <w:rsid w:val="003D3689"/>
    <w:rsid w:val="003D3ABB"/>
    <w:rsid w:val="003D3DC0"/>
    <w:rsid w:val="003D4A7A"/>
    <w:rsid w:val="003D71CA"/>
    <w:rsid w:val="003D7C4B"/>
    <w:rsid w:val="003D7E47"/>
    <w:rsid w:val="003D7E57"/>
    <w:rsid w:val="003D7EF1"/>
    <w:rsid w:val="003E056A"/>
    <w:rsid w:val="003E1058"/>
    <w:rsid w:val="003E164C"/>
    <w:rsid w:val="003E22F6"/>
    <w:rsid w:val="003E52E6"/>
    <w:rsid w:val="003F0E84"/>
    <w:rsid w:val="003F1AD8"/>
    <w:rsid w:val="003F1CE1"/>
    <w:rsid w:val="003F347E"/>
    <w:rsid w:val="003F6718"/>
    <w:rsid w:val="003F680B"/>
    <w:rsid w:val="00400117"/>
    <w:rsid w:val="00400F25"/>
    <w:rsid w:val="00401132"/>
    <w:rsid w:val="00402862"/>
    <w:rsid w:val="00403387"/>
    <w:rsid w:val="0040533F"/>
    <w:rsid w:val="00405615"/>
    <w:rsid w:val="00405E87"/>
    <w:rsid w:val="00406254"/>
    <w:rsid w:val="00407320"/>
    <w:rsid w:val="004115DE"/>
    <w:rsid w:val="00411B84"/>
    <w:rsid w:val="00412485"/>
    <w:rsid w:val="004125CE"/>
    <w:rsid w:val="0041306F"/>
    <w:rsid w:val="00413281"/>
    <w:rsid w:val="0041340F"/>
    <w:rsid w:val="00413769"/>
    <w:rsid w:val="00413D20"/>
    <w:rsid w:val="00415210"/>
    <w:rsid w:val="00416A4F"/>
    <w:rsid w:val="004171DC"/>
    <w:rsid w:val="00417E47"/>
    <w:rsid w:val="00420E4E"/>
    <w:rsid w:val="00421002"/>
    <w:rsid w:val="004219F8"/>
    <w:rsid w:val="0042237F"/>
    <w:rsid w:val="00425FB0"/>
    <w:rsid w:val="00426356"/>
    <w:rsid w:val="00426798"/>
    <w:rsid w:val="004272C2"/>
    <w:rsid w:val="00430D5F"/>
    <w:rsid w:val="00431CB7"/>
    <w:rsid w:val="004337AA"/>
    <w:rsid w:val="004338CD"/>
    <w:rsid w:val="00433B3D"/>
    <w:rsid w:val="00434F54"/>
    <w:rsid w:val="00434F77"/>
    <w:rsid w:val="00435215"/>
    <w:rsid w:val="00435660"/>
    <w:rsid w:val="00435BEB"/>
    <w:rsid w:val="00437191"/>
    <w:rsid w:val="00437387"/>
    <w:rsid w:val="00437C29"/>
    <w:rsid w:val="00440504"/>
    <w:rsid w:val="0044082E"/>
    <w:rsid w:val="0044301B"/>
    <w:rsid w:val="00443235"/>
    <w:rsid w:val="00445749"/>
    <w:rsid w:val="0045018E"/>
    <w:rsid w:val="00450D01"/>
    <w:rsid w:val="004511A9"/>
    <w:rsid w:val="0045167B"/>
    <w:rsid w:val="00451B53"/>
    <w:rsid w:val="0045218C"/>
    <w:rsid w:val="004529BB"/>
    <w:rsid w:val="00453A6D"/>
    <w:rsid w:val="00456C36"/>
    <w:rsid w:val="00456D8F"/>
    <w:rsid w:val="0046092C"/>
    <w:rsid w:val="0046174B"/>
    <w:rsid w:val="0046487A"/>
    <w:rsid w:val="004648D9"/>
    <w:rsid w:val="00465F7E"/>
    <w:rsid w:val="0046692F"/>
    <w:rsid w:val="0047014E"/>
    <w:rsid w:val="004701AC"/>
    <w:rsid w:val="00471744"/>
    <w:rsid w:val="00471F0A"/>
    <w:rsid w:val="00472367"/>
    <w:rsid w:val="00472AAE"/>
    <w:rsid w:val="00472AEF"/>
    <w:rsid w:val="00474EDD"/>
    <w:rsid w:val="004766B5"/>
    <w:rsid w:val="00476D33"/>
    <w:rsid w:val="004772C0"/>
    <w:rsid w:val="00477440"/>
    <w:rsid w:val="00477D34"/>
    <w:rsid w:val="00477E5F"/>
    <w:rsid w:val="00480491"/>
    <w:rsid w:val="00481728"/>
    <w:rsid w:val="0048187C"/>
    <w:rsid w:val="004818BE"/>
    <w:rsid w:val="00482455"/>
    <w:rsid w:val="0048259B"/>
    <w:rsid w:val="004831F7"/>
    <w:rsid w:val="00483266"/>
    <w:rsid w:val="0048333D"/>
    <w:rsid w:val="0048348C"/>
    <w:rsid w:val="0048365D"/>
    <w:rsid w:val="00484241"/>
    <w:rsid w:val="00486020"/>
    <w:rsid w:val="00486207"/>
    <w:rsid w:val="00487949"/>
    <w:rsid w:val="0049125B"/>
    <w:rsid w:val="00493E46"/>
    <w:rsid w:val="00494A46"/>
    <w:rsid w:val="0049514D"/>
    <w:rsid w:val="004967BE"/>
    <w:rsid w:val="004A223B"/>
    <w:rsid w:val="004A2A77"/>
    <w:rsid w:val="004A3097"/>
    <w:rsid w:val="004A36A9"/>
    <w:rsid w:val="004A38BF"/>
    <w:rsid w:val="004A6998"/>
    <w:rsid w:val="004A705A"/>
    <w:rsid w:val="004B0C86"/>
    <w:rsid w:val="004B16F2"/>
    <w:rsid w:val="004B2599"/>
    <w:rsid w:val="004B2829"/>
    <w:rsid w:val="004B2AC6"/>
    <w:rsid w:val="004B568A"/>
    <w:rsid w:val="004B58CD"/>
    <w:rsid w:val="004B6212"/>
    <w:rsid w:val="004B6B0E"/>
    <w:rsid w:val="004B76D5"/>
    <w:rsid w:val="004C11D3"/>
    <w:rsid w:val="004C13F7"/>
    <w:rsid w:val="004C29C6"/>
    <w:rsid w:val="004C3EFB"/>
    <w:rsid w:val="004C5350"/>
    <w:rsid w:val="004D0CFC"/>
    <w:rsid w:val="004D17C7"/>
    <w:rsid w:val="004D1BA6"/>
    <w:rsid w:val="004D1F01"/>
    <w:rsid w:val="004D21C7"/>
    <w:rsid w:val="004D3AF5"/>
    <w:rsid w:val="004D4F2E"/>
    <w:rsid w:val="004D7793"/>
    <w:rsid w:val="004E029D"/>
    <w:rsid w:val="004E1F71"/>
    <w:rsid w:val="004E2816"/>
    <w:rsid w:val="004E2F53"/>
    <w:rsid w:val="004E49B2"/>
    <w:rsid w:val="004E4F48"/>
    <w:rsid w:val="004E6608"/>
    <w:rsid w:val="004E67BA"/>
    <w:rsid w:val="004E6B81"/>
    <w:rsid w:val="004E78DA"/>
    <w:rsid w:val="004E7A60"/>
    <w:rsid w:val="004F0446"/>
    <w:rsid w:val="004F0F56"/>
    <w:rsid w:val="004F10F5"/>
    <w:rsid w:val="004F11EB"/>
    <w:rsid w:val="004F1D1D"/>
    <w:rsid w:val="004F1D79"/>
    <w:rsid w:val="004F296B"/>
    <w:rsid w:val="004F3B2B"/>
    <w:rsid w:val="004F4179"/>
    <w:rsid w:val="004F5C4A"/>
    <w:rsid w:val="004F6D86"/>
    <w:rsid w:val="004F7DB4"/>
    <w:rsid w:val="004F7E56"/>
    <w:rsid w:val="00500815"/>
    <w:rsid w:val="00500EB1"/>
    <w:rsid w:val="00500F63"/>
    <w:rsid w:val="00503858"/>
    <w:rsid w:val="00503A19"/>
    <w:rsid w:val="00503DA2"/>
    <w:rsid w:val="005057E3"/>
    <w:rsid w:val="005061D5"/>
    <w:rsid w:val="00506434"/>
    <w:rsid w:val="00507BA0"/>
    <w:rsid w:val="0051003C"/>
    <w:rsid w:val="005102A7"/>
    <w:rsid w:val="00510800"/>
    <w:rsid w:val="00510CC8"/>
    <w:rsid w:val="00510F88"/>
    <w:rsid w:val="00511430"/>
    <w:rsid w:val="00511CB1"/>
    <w:rsid w:val="00511EC5"/>
    <w:rsid w:val="0051226F"/>
    <w:rsid w:val="00513D82"/>
    <w:rsid w:val="00514C42"/>
    <w:rsid w:val="00515381"/>
    <w:rsid w:val="00515AAD"/>
    <w:rsid w:val="00516A92"/>
    <w:rsid w:val="00517278"/>
    <w:rsid w:val="00521A1E"/>
    <w:rsid w:val="005228FE"/>
    <w:rsid w:val="00523695"/>
    <w:rsid w:val="00523BED"/>
    <w:rsid w:val="0052430F"/>
    <w:rsid w:val="00527D52"/>
    <w:rsid w:val="00530995"/>
    <w:rsid w:val="0053194D"/>
    <w:rsid w:val="00531BC8"/>
    <w:rsid w:val="0053435C"/>
    <w:rsid w:val="005350F0"/>
    <w:rsid w:val="00536A59"/>
    <w:rsid w:val="00537968"/>
    <w:rsid w:val="005403AF"/>
    <w:rsid w:val="00540577"/>
    <w:rsid w:val="00540809"/>
    <w:rsid w:val="00540CD9"/>
    <w:rsid w:val="005424B1"/>
    <w:rsid w:val="005448CF"/>
    <w:rsid w:val="0054712E"/>
    <w:rsid w:val="0054780C"/>
    <w:rsid w:val="005501BE"/>
    <w:rsid w:val="00551581"/>
    <w:rsid w:val="00552AEF"/>
    <w:rsid w:val="00553F18"/>
    <w:rsid w:val="00554491"/>
    <w:rsid w:val="00554527"/>
    <w:rsid w:val="005556CE"/>
    <w:rsid w:val="00556BBA"/>
    <w:rsid w:val="00557438"/>
    <w:rsid w:val="00561D48"/>
    <w:rsid w:val="005627AA"/>
    <w:rsid w:val="00562C66"/>
    <w:rsid w:val="00562E54"/>
    <w:rsid w:val="005631BC"/>
    <w:rsid w:val="00566D60"/>
    <w:rsid w:val="0056761E"/>
    <w:rsid w:val="00567E12"/>
    <w:rsid w:val="0057027A"/>
    <w:rsid w:val="005716AA"/>
    <w:rsid w:val="005726DE"/>
    <w:rsid w:val="0057385C"/>
    <w:rsid w:val="00576C78"/>
    <w:rsid w:val="005822E1"/>
    <w:rsid w:val="00582D9F"/>
    <w:rsid w:val="00583DE5"/>
    <w:rsid w:val="00584A8F"/>
    <w:rsid w:val="00587046"/>
    <w:rsid w:val="0058706F"/>
    <w:rsid w:val="005872E3"/>
    <w:rsid w:val="00590A56"/>
    <w:rsid w:val="005915CF"/>
    <w:rsid w:val="0059217C"/>
    <w:rsid w:val="00593597"/>
    <w:rsid w:val="0059422D"/>
    <w:rsid w:val="005947DA"/>
    <w:rsid w:val="005977B3"/>
    <w:rsid w:val="005978A7"/>
    <w:rsid w:val="00597EEC"/>
    <w:rsid w:val="005A2674"/>
    <w:rsid w:val="005A2A3C"/>
    <w:rsid w:val="005A3B22"/>
    <w:rsid w:val="005A492E"/>
    <w:rsid w:val="005A504D"/>
    <w:rsid w:val="005A56F7"/>
    <w:rsid w:val="005A5F68"/>
    <w:rsid w:val="005A6C4C"/>
    <w:rsid w:val="005A78AA"/>
    <w:rsid w:val="005B0105"/>
    <w:rsid w:val="005B0A26"/>
    <w:rsid w:val="005B0C30"/>
    <w:rsid w:val="005B0D8C"/>
    <w:rsid w:val="005B2831"/>
    <w:rsid w:val="005B31FB"/>
    <w:rsid w:val="005B3EBB"/>
    <w:rsid w:val="005B3F20"/>
    <w:rsid w:val="005B4177"/>
    <w:rsid w:val="005B4B0D"/>
    <w:rsid w:val="005B4D26"/>
    <w:rsid w:val="005B4DF1"/>
    <w:rsid w:val="005B53C0"/>
    <w:rsid w:val="005B5721"/>
    <w:rsid w:val="005B5E7E"/>
    <w:rsid w:val="005B659C"/>
    <w:rsid w:val="005B6D31"/>
    <w:rsid w:val="005B6E9F"/>
    <w:rsid w:val="005B7C22"/>
    <w:rsid w:val="005B7EF4"/>
    <w:rsid w:val="005C0D95"/>
    <w:rsid w:val="005C43B4"/>
    <w:rsid w:val="005C6FB7"/>
    <w:rsid w:val="005D0024"/>
    <w:rsid w:val="005D0763"/>
    <w:rsid w:val="005D1640"/>
    <w:rsid w:val="005D1661"/>
    <w:rsid w:val="005D185B"/>
    <w:rsid w:val="005D200A"/>
    <w:rsid w:val="005D2A6C"/>
    <w:rsid w:val="005D3F21"/>
    <w:rsid w:val="005D4E5A"/>
    <w:rsid w:val="005D5CBB"/>
    <w:rsid w:val="005D6019"/>
    <w:rsid w:val="005D64AB"/>
    <w:rsid w:val="005E001A"/>
    <w:rsid w:val="005E1040"/>
    <w:rsid w:val="005E1947"/>
    <w:rsid w:val="005E47D1"/>
    <w:rsid w:val="005E592E"/>
    <w:rsid w:val="005E5983"/>
    <w:rsid w:val="005E5A7F"/>
    <w:rsid w:val="005E7445"/>
    <w:rsid w:val="005E7C63"/>
    <w:rsid w:val="005E7DA1"/>
    <w:rsid w:val="005F0C06"/>
    <w:rsid w:val="005F24DE"/>
    <w:rsid w:val="005F655B"/>
    <w:rsid w:val="005F6994"/>
    <w:rsid w:val="005F726B"/>
    <w:rsid w:val="005F73EB"/>
    <w:rsid w:val="005F7694"/>
    <w:rsid w:val="005F7D74"/>
    <w:rsid w:val="0060070D"/>
    <w:rsid w:val="0060128A"/>
    <w:rsid w:val="00602F26"/>
    <w:rsid w:val="006040CC"/>
    <w:rsid w:val="006041E1"/>
    <w:rsid w:val="00605E07"/>
    <w:rsid w:val="00605E15"/>
    <w:rsid w:val="006066FB"/>
    <w:rsid w:val="00607413"/>
    <w:rsid w:val="006123A5"/>
    <w:rsid w:val="00613AC9"/>
    <w:rsid w:val="00613D1C"/>
    <w:rsid w:val="00614229"/>
    <w:rsid w:val="0062013D"/>
    <w:rsid w:val="0062137A"/>
    <w:rsid w:val="0062219A"/>
    <w:rsid w:val="00623595"/>
    <w:rsid w:val="00623F65"/>
    <w:rsid w:val="0062435F"/>
    <w:rsid w:val="006243AC"/>
    <w:rsid w:val="00625C64"/>
    <w:rsid w:val="0062641C"/>
    <w:rsid w:val="00627FEB"/>
    <w:rsid w:val="00630272"/>
    <w:rsid w:val="00630E89"/>
    <w:rsid w:val="00632B1A"/>
    <w:rsid w:val="00632F72"/>
    <w:rsid w:val="00633DF5"/>
    <w:rsid w:val="00634123"/>
    <w:rsid w:val="0063459A"/>
    <w:rsid w:val="006365EA"/>
    <w:rsid w:val="0063738D"/>
    <w:rsid w:val="00637EF9"/>
    <w:rsid w:val="00643751"/>
    <w:rsid w:val="00643ED4"/>
    <w:rsid w:val="00645AE8"/>
    <w:rsid w:val="0064747D"/>
    <w:rsid w:val="006515FD"/>
    <w:rsid w:val="006517F8"/>
    <w:rsid w:val="00651AB1"/>
    <w:rsid w:val="00655A80"/>
    <w:rsid w:val="00655AA8"/>
    <w:rsid w:val="00660B6D"/>
    <w:rsid w:val="00662529"/>
    <w:rsid w:val="00663FE7"/>
    <w:rsid w:val="00665B3D"/>
    <w:rsid w:val="006678C9"/>
    <w:rsid w:val="00670638"/>
    <w:rsid w:val="00672AC5"/>
    <w:rsid w:val="006739EE"/>
    <w:rsid w:val="00676709"/>
    <w:rsid w:val="00677060"/>
    <w:rsid w:val="00677DBF"/>
    <w:rsid w:val="00680BAF"/>
    <w:rsid w:val="0068137D"/>
    <w:rsid w:val="00681DD6"/>
    <w:rsid w:val="00681EC1"/>
    <w:rsid w:val="00681EF0"/>
    <w:rsid w:val="006831AC"/>
    <w:rsid w:val="00683B0D"/>
    <w:rsid w:val="0068407B"/>
    <w:rsid w:val="006840E0"/>
    <w:rsid w:val="0068416C"/>
    <w:rsid w:val="006842F7"/>
    <w:rsid w:val="0068448B"/>
    <w:rsid w:val="00685D2F"/>
    <w:rsid w:val="0068739B"/>
    <w:rsid w:val="0069061C"/>
    <w:rsid w:val="00690DB3"/>
    <w:rsid w:val="006930C2"/>
    <w:rsid w:val="00693C8B"/>
    <w:rsid w:val="006941A5"/>
    <w:rsid w:val="00695406"/>
    <w:rsid w:val="00695A76"/>
    <w:rsid w:val="00696EDD"/>
    <w:rsid w:val="006979DB"/>
    <w:rsid w:val="006A05B2"/>
    <w:rsid w:val="006A19A8"/>
    <w:rsid w:val="006A1D17"/>
    <w:rsid w:val="006A3FE8"/>
    <w:rsid w:val="006A7963"/>
    <w:rsid w:val="006B0C84"/>
    <w:rsid w:val="006B0E02"/>
    <w:rsid w:val="006B1309"/>
    <w:rsid w:val="006B1640"/>
    <w:rsid w:val="006B2046"/>
    <w:rsid w:val="006B25D9"/>
    <w:rsid w:val="006B2A27"/>
    <w:rsid w:val="006B2C8E"/>
    <w:rsid w:val="006B396E"/>
    <w:rsid w:val="006B4E5C"/>
    <w:rsid w:val="006B5B51"/>
    <w:rsid w:val="006B7404"/>
    <w:rsid w:val="006C3010"/>
    <w:rsid w:val="006C365D"/>
    <w:rsid w:val="006C4524"/>
    <w:rsid w:val="006C50CE"/>
    <w:rsid w:val="006C5541"/>
    <w:rsid w:val="006C6A5F"/>
    <w:rsid w:val="006C79BA"/>
    <w:rsid w:val="006D1DF1"/>
    <w:rsid w:val="006D22B3"/>
    <w:rsid w:val="006D25AA"/>
    <w:rsid w:val="006D2BD4"/>
    <w:rsid w:val="006D3BF8"/>
    <w:rsid w:val="006D450C"/>
    <w:rsid w:val="006D5BE2"/>
    <w:rsid w:val="006D6C63"/>
    <w:rsid w:val="006E0EA5"/>
    <w:rsid w:val="006E19F1"/>
    <w:rsid w:val="006E2527"/>
    <w:rsid w:val="006E2624"/>
    <w:rsid w:val="006E2A74"/>
    <w:rsid w:val="006E36D0"/>
    <w:rsid w:val="006E3FA7"/>
    <w:rsid w:val="006E48A3"/>
    <w:rsid w:val="006E4A4E"/>
    <w:rsid w:val="006E528A"/>
    <w:rsid w:val="006E5CD2"/>
    <w:rsid w:val="006E5FFC"/>
    <w:rsid w:val="006E6409"/>
    <w:rsid w:val="006E6E6E"/>
    <w:rsid w:val="006E7BBC"/>
    <w:rsid w:val="006F036F"/>
    <w:rsid w:val="006F25E9"/>
    <w:rsid w:val="006F44B2"/>
    <w:rsid w:val="006F4D2A"/>
    <w:rsid w:val="006F4F5B"/>
    <w:rsid w:val="006F601D"/>
    <w:rsid w:val="006F7395"/>
    <w:rsid w:val="00700486"/>
    <w:rsid w:val="00700624"/>
    <w:rsid w:val="00701649"/>
    <w:rsid w:val="00701BB1"/>
    <w:rsid w:val="00703D1B"/>
    <w:rsid w:val="00703F7D"/>
    <w:rsid w:val="007059E2"/>
    <w:rsid w:val="007069E7"/>
    <w:rsid w:val="00706C2A"/>
    <w:rsid w:val="00707FDD"/>
    <w:rsid w:val="00710205"/>
    <w:rsid w:val="00710BE2"/>
    <w:rsid w:val="007116D4"/>
    <w:rsid w:val="00712E96"/>
    <w:rsid w:val="00713B26"/>
    <w:rsid w:val="00720224"/>
    <w:rsid w:val="00720E72"/>
    <w:rsid w:val="00720EC6"/>
    <w:rsid w:val="007212E1"/>
    <w:rsid w:val="00721D77"/>
    <w:rsid w:val="00722DEE"/>
    <w:rsid w:val="00723115"/>
    <w:rsid w:val="00723444"/>
    <w:rsid w:val="00724034"/>
    <w:rsid w:val="00724E81"/>
    <w:rsid w:val="007250E9"/>
    <w:rsid w:val="007253C9"/>
    <w:rsid w:val="00726BE6"/>
    <w:rsid w:val="00726E0A"/>
    <w:rsid w:val="007306B6"/>
    <w:rsid w:val="0073233A"/>
    <w:rsid w:val="0073357F"/>
    <w:rsid w:val="007340FB"/>
    <w:rsid w:val="00734EBA"/>
    <w:rsid w:val="00735A27"/>
    <w:rsid w:val="00735AE8"/>
    <w:rsid w:val="00737EB6"/>
    <w:rsid w:val="00740394"/>
    <w:rsid w:val="00740445"/>
    <w:rsid w:val="00740725"/>
    <w:rsid w:val="00741536"/>
    <w:rsid w:val="00741F7B"/>
    <w:rsid w:val="0074285C"/>
    <w:rsid w:val="00744221"/>
    <w:rsid w:val="007458CC"/>
    <w:rsid w:val="00746035"/>
    <w:rsid w:val="00747DB7"/>
    <w:rsid w:val="0075238E"/>
    <w:rsid w:val="00755A74"/>
    <w:rsid w:val="0075652C"/>
    <w:rsid w:val="0075743F"/>
    <w:rsid w:val="007576C7"/>
    <w:rsid w:val="00757DA6"/>
    <w:rsid w:val="00757F9B"/>
    <w:rsid w:val="00762D16"/>
    <w:rsid w:val="00763DF7"/>
    <w:rsid w:val="00765D73"/>
    <w:rsid w:val="007662D1"/>
    <w:rsid w:val="00767740"/>
    <w:rsid w:val="00770065"/>
    <w:rsid w:val="0077086A"/>
    <w:rsid w:val="00770A8F"/>
    <w:rsid w:val="00770E4D"/>
    <w:rsid w:val="00770E74"/>
    <w:rsid w:val="00771520"/>
    <w:rsid w:val="007718F7"/>
    <w:rsid w:val="00772353"/>
    <w:rsid w:val="00772C4F"/>
    <w:rsid w:val="00773E42"/>
    <w:rsid w:val="00774BD8"/>
    <w:rsid w:val="00776D23"/>
    <w:rsid w:val="00777261"/>
    <w:rsid w:val="00777D8B"/>
    <w:rsid w:val="0078094F"/>
    <w:rsid w:val="00780D1E"/>
    <w:rsid w:val="00781140"/>
    <w:rsid w:val="00781A1F"/>
    <w:rsid w:val="00784012"/>
    <w:rsid w:val="0078410F"/>
    <w:rsid w:val="007866B7"/>
    <w:rsid w:val="00786785"/>
    <w:rsid w:val="00790E86"/>
    <w:rsid w:val="00791A2A"/>
    <w:rsid w:val="007923AA"/>
    <w:rsid w:val="00792476"/>
    <w:rsid w:val="00792EDF"/>
    <w:rsid w:val="00793E00"/>
    <w:rsid w:val="0079582C"/>
    <w:rsid w:val="007963A1"/>
    <w:rsid w:val="00796F95"/>
    <w:rsid w:val="00797EC3"/>
    <w:rsid w:val="007A197C"/>
    <w:rsid w:val="007A1A4E"/>
    <w:rsid w:val="007A1EAC"/>
    <w:rsid w:val="007A39DD"/>
    <w:rsid w:val="007A4E4B"/>
    <w:rsid w:val="007A5382"/>
    <w:rsid w:val="007A5897"/>
    <w:rsid w:val="007A79C1"/>
    <w:rsid w:val="007A7FF2"/>
    <w:rsid w:val="007B1A5F"/>
    <w:rsid w:val="007B1B43"/>
    <w:rsid w:val="007B1C1C"/>
    <w:rsid w:val="007B23C3"/>
    <w:rsid w:val="007B45C5"/>
    <w:rsid w:val="007B66C5"/>
    <w:rsid w:val="007B7A03"/>
    <w:rsid w:val="007C18A9"/>
    <w:rsid w:val="007C2F3F"/>
    <w:rsid w:val="007C31CF"/>
    <w:rsid w:val="007C3D87"/>
    <w:rsid w:val="007C4179"/>
    <w:rsid w:val="007C4573"/>
    <w:rsid w:val="007C51C1"/>
    <w:rsid w:val="007C53F3"/>
    <w:rsid w:val="007C6B09"/>
    <w:rsid w:val="007C7366"/>
    <w:rsid w:val="007D0586"/>
    <w:rsid w:val="007D112A"/>
    <w:rsid w:val="007D19D0"/>
    <w:rsid w:val="007D1A93"/>
    <w:rsid w:val="007D1F3E"/>
    <w:rsid w:val="007D2F5E"/>
    <w:rsid w:val="007D42B6"/>
    <w:rsid w:val="007D4FA7"/>
    <w:rsid w:val="007E202F"/>
    <w:rsid w:val="007E2058"/>
    <w:rsid w:val="007E3E40"/>
    <w:rsid w:val="007E4AA8"/>
    <w:rsid w:val="007E6064"/>
    <w:rsid w:val="007E699E"/>
    <w:rsid w:val="007F04FA"/>
    <w:rsid w:val="007F11B7"/>
    <w:rsid w:val="007F1BA3"/>
    <w:rsid w:val="007F4B79"/>
    <w:rsid w:val="007F54A3"/>
    <w:rsid w:val="007F5900"/>
    <w:rsid w:val="007F709F"/>
    <w:rsid w:val="00800666"/>
    <w:rsid w:val="0080170E"/>
    <w:rsid w:val="0080226A"/>
    <w:rsid w:val="008033BD"/>
    <w:rsid w:val="00805DE8"/>
    <w:rsid w:val="0081052E"/>
    <w:rsid w:val="008106CF"/>
    <w:rsid w:val="00813FD3"/>
    <w:rsid w:val="00814440"/>
    <w:rsid w:val="0081567D"/>
    <w:rsid w:val="00815E8E"/>
    <w:rsid w:val="00816C1F"/>
    <w:rsid w:val="00816C28"/>
    <w:rsid w:val="0081747E"/>
    <w:rsid w:val="008201E1"/>
    <w:rsid w:val="0082132E"/>
    <w:rsid w:val="008213D0"/>
    <w:rsid w:val="00821951"/>
    <w:rsid w:val="0082409F"/>
    <w:rsid w:val="00824E01"/>
    <w:rsid w:val="008252D9"/>
    <w:rsid w:val="008253A2"/>
    <w:rsid w:val="00825F07"/>
    <w:rsid w:val="00826573"/>
    <w:rsid w:val="0083194F"/>
    <w:rsid w:val="008327FE"/>
    <w:rsid w:val="00834549"/>
    <w:rsid w:val="00834EC5"/>
    <w:rsid w:val="00841319"/>
    <w:rsid w:val="00841D71"/>
    <w:rsid w:val="008426FC"/>
    <w:rsid w:val="008435D6"/>
    <w:rsid w:val="00843C96"/>
    <w:rsid w:val="0084411B"/>
    <w:rsid w:val="008468C9"/>
    <w:rsid w:val="008470BA"/>
    <w:rsid w:val="00847CD6"/>
    <w:rsid w:val="008501EE"/>
    <w:rsid w:val="00852011"/>
    <w:rsid w:val="00852A33"/>
    <w:rsid w:val="00853281"/>
    <w:rsid w:val="00855946"/>
    <w:rsid w:val="008566AC"/>
    <w:rsid w:val="00856D5A"/>
    <w:rsid w:val="00861636"/>
    <w:rsid w:val="00861957"/>
    <w:rsid w:val="008630EA"/>
    <w:rsid w:val="00865EBB"/>
    <w:rsid w:val="00870848"/>
    <w:rsid w:val="008723C7"/>
    <w:rsid w:val="00872AA3"/>
    <w:rsid w:val="00872BFB"/>
    <w:rsid w:val="008732C8"/>
    <w:rsid w:val="0087383F"/>
    <w:rsid w:val="00873D37"/>
    <w:rsid w:val="008741A3"/>
    <w:rsid w:val="0087458C"/>
    <w:rsid w:val="00875085"/>
    <w:rsid w:val="00875D86"/>
    <w:rsid w:val="00875F79"/>
    <w:rsid w:val="00876F56"/>
    <w:rsid w:val="0087781C"/>
    <w:rsid w:val="00880A48"/>
    <w:rsid w:val="00880E49"/>
    <w:rsid w:val="0088147A"/>
    <w:rsid w:val="00881E1E"/>
    <w:rsid w:val="008821CC"/>
    <w:rsid w:val="008825B0"/>
    <w:rsid w:val="00882CD4"/>
    <w:rsid w:val="008852CE"/>
    <w:rsid w:val="008871A4"/>
    <w:rsid w:val="0089242B"/>
    <w:rsid w:val="00892D19"/>
    <w:rsid w:val="00892E23"/>
    <w:rsid w:val="0089315A"/>
    <w:rsid w:val="00893894"/>
    <w:rsid w:val="008941C8"/>
    <w:rsid w:val="00894D7E"/>
    <w:rsid w:val="00896332"/>
    <w:rsid w:val="00896ECC"/>
    <w:rsid w:val="008A0A56"/>
    <w:rsid w:val="008A0EA2"/>
    <w:rsid w:val="008A1991"/>
    <w:rsid w:val="008A2781"/>
    <w:rsid w:val="008A2E32"/>
    <w:rsid w:val="008A31AD"/>
    <w:rsid w:val="008A429E"/>
    <w:rsid w:val="008A46E3"/>
    <w:rsid w:val="008A5630"/>
    <w:rsid w:val="008A7DA6"/>
    <w:rsid w:val="008B0E9A"/>
    <w:rsid w:val="008B381D"/>
    <w:rsid w:val="008B4C8F"/>
    <w:rsid w:val="008B6313"/>
    <w:rsid w:val="008B70FD"/>
    <w:rsid w:val="008C120C"/>
    <w:rsid w:val="008C1AE6"/>
    <w:rsid w:val="008C543D"/>
    <w:rsid w:val="008C588B"/>
    <w:rsid w:val="008C59E4"/>
    <w:rsid w:val="008C697E"/>
    <w:rsid w:val="008C74D8"/>
    <w:rsid w:val="008D0884"/>
    <w:rsid w:val="008D2CAF"/>
    <w:rsid w:val="008D42A6"/>
    <w:rsid w:val="008D5C81"/>
    <w:rsid w:val="008D5F9B"/>
    <w:rsid w:val="008D6309"/>
    <w:rsid w:val="008D6862"/>
    <w:rsid w:val="008D6E2B"/>
    <w:rsid w:val="008D73E7"/>
    <w:rsid w:val="008D7547"/>
    <w:rsid w:val="008D7820"/>
    <w:rsid w:val="008E2C1E"/>
    <w:rsid w:val="008E2E5E"/>
    <w:rsid w:val="008E420E"/>
    <w:rsid w:val="008E43D4"/>
    <w:rsid w:val="008E5088"/>
    <w:rsid w:val="008E6299"/>
    <w:rsid w:val="008E6E47"/>
    <w:rsid w:val="008F1BCA"/>
    <w:rsid w:val="008F2897"/>
    <w:rsid w:val="008F2DE8"/>
    <w:rsid w:val="008F2E11"/>
    <w:rsid w:val="008F440A"/>
    <w:rsid w:val="008F51E1"/>
    <w:rsid w:val="008F5940"/>
    <w:rsid w:val="008F59DB"/>
    <w:rsid w:val="008F59F1"/>
    <w:rsid w:val="008F6025"/>
    <w:rsid w:val="008F6BA4"/>
    <w:rsid w:val="008F7556"/>
    <w:rsid w:val="00900D08"/>
    <w:rsid w:val="00901442"/>
    <w:rsid w:val="00901AEF"/>
    <w:rsid w:val="009028B8"/>
    <w:rsid w:val="0090743C"/>
    <w:rsid w:val="009075F0"/>
    <w:rsid w:val="0090787C"/>
    <w:rsid w:val="00910D0C"/>
    <w:rsid w:val="00910F51"/>
    <w:rsid w:val="0091102F"/>
    <w:rsid w:val="0091147F"/>
    <w:rsid w:val="00913A9A"/>
    <w:rsid w:val="00914A97"/>
    <w:rsid w:val="00915A56"/>
    <w:rsid w:val="00917F08"/>
    <w:rsid w:val="00917F39"/>
    <w:rsid w:val="00920B5E"/>
    <w:rsid w:val="00920FB7"/>
    <w:rsid w:val="00922018"/>
    <w:rsid w:val="0092280F"/>
    <w:rsid w:val="00922DD5"/>
    <w:rsid w:val="0092388A"/>
    <w:rsid w:val="00924B65"/>
    <w:rsid w:val="00925C5F"/>
    <w:rsid w:val="00925FB4"/>
    <w:rsid w:val="00926E2A"/>
    <w:rsid w:val="0092731C"/>
    <w:rsid w:val="00932C07"/>
    <w:rsid w:val="00934F06"/>
    <w:rsid w:val="009352DF"/>
    <w:rsid w:val="00935477"/>
    <w:rsid w:val="0093593B"/>
    <w:rsid w:val="00940974"/>
    <w:rsid w:val="00940D31"/>
    <w:rsid w:val="00941CEF"/>
    <w:rsid w:val="0094213B"/>
    <w:rsid w:val="00945B14"/>
    <w:rsid w:val="00946749"/>
    <w:rsid w:val="009509A0"/>
    <w:rsid w:val="00952783"/>
    <w:rsid w:val="009528A4"/>
    <w:rsid w:val="00952B0B"/>
    <w:rsid w:val="00954083"/>
    <w:rsid w:val="009540D2"/>
    <w:rsid w:val="00954391"/>
    <w:rsid w:val="00954AF1"/>
    <w:rsid w:val="00957BCB"/>
    <w:rsid w:val="00963538"/>
    <w:rsid w:val="00963814"/>
    <w:rsid w:val="0096437F"/>
    <w:rsid w:val="00966830"/>
    <w:rsid w:val="009679B0"/>
    <w:rsid w:val="00972682"/>
    <w:rsid w:val="009730F6"/>
    <w:rsid w:val="0097486F"/>
    <w:rsid w:val="00974B80"/>
    <w:rsid w:val="00974ED7"/>
    <w:rsid w:val="009757F9"/>
    <w:rsid w:val="009760CE"/>
    <w:rsid w:val="00976685"/>
    <w:rsid w:val="009804FC"/>
    <w:rsid w:val="009805E0"/>
    <w:rsid w:val="00982304"/>
    <w:rsid w:val="00982AEF"/>
    <w:rsid w:val="0098383A"/>
    <w:rsid w:val="00984636"/>
    <w:rsid w:val="009857F1"/>
    <w:rsid w:val="0098624B"/>
    <w:rsid w:val="00986907"/>
    <w:rsid w:val="009900ED"/>
    <w:rsid w:val="009923B9"/>
    <w:rsid w:val="00992EE5"/>
    <w:rsid w:val="00992FC5"/>
    <w:rsid w:val="00993567"/>
    <w:rsid w:val="00993A26"/>
    <w:rsid w:val="009949AF"/>
    <w:rsid w:val="00995D7C"/>
    <w:rsid w:val="0099698B"/>
    <w:rsid w:val="00996ADB"/>
    <w:rsid w:val="00996C00"/>
    <w:rsid w:val="009971CF"/>
    <w:rsid w:val="009A0502"/>
    <w:rsid w:val="009A0E94"/>
    <w:rsid w:val="009A2516"/>
    <w:rsid w:val="009A2948"/>
    <w:rsid w:val="009A2C86"/>
    <w:rsid w:val="009A34FF"/>
    <w:rsid w:val="009A4157"/>
    <w:rsid w:val="009A491B"/>
    <w:rsid w:val="009A5E4C"/>
    <w:rsid w:val="009A6197"/>
    <w:rsid w:val="009A6199"/>
    <w:rsid w:val="009A6B6A"/>
    <w:rsid w:val="009A7CB5"/>
    <w:rsid w:val="009B1B39"/>
    <w:rsid w:val="009B1D3E"/>
    <w:rsid w:val="009B2EB4"/>
    <w:rsid w:val="009B3B17"/>
    <w:rsid w:val="009B457B"/>
    <w:rsid w:val="009B4B55"/>
    <w:rsid w:val="009B5842"/>
    <w:rsid w:val="009B5BE4"/>
    <w:rsid w:val="009B5F00"/>
    <w:rsid w:val="009B6A6F"/>
    <w:rsid w:val="009C1D25"/>
    <w:rsid w:val="009C215C"/>
    <w:rsid w:val="009C215D"/>
    <w:rsid w:val="009C2C88"/>
    <w:rsid w:val="009C32EB"/>
    <w:rsid w:val="009C39E3"/>
    <w:rsid w:val="009C3CDF"/>
    <w:rsid w:val="009C5EAF"/>
    <w:rsid w:val="009C7303"/>
    <w:rsid w:val="009C76EC"/>
    <w:rsid w:val="009D0228"/>
    <w:rsid w:val="009D035E"/>
    <w:rsid w:val="009D1631"/>
    <w:rsid w:val="009D3EB0"/>
    <w:rsid w:val="009D4E72"/>
    <w:rsid w:val="009D55B3"/>
    <w:rsid w:val="009D5D2B"/>
    <w:rsid w:val="009D5FA4"/>
    <w:rsid w:val="009D625F"/>
    <w:rsid w:val="009D698D"/>
    <w:rsid w:val="009D780C"/>
    <w:rsid w:val="009E133B"/>
    <w:rsid w:val="009E2088"/>
    <w:rsid w:val="009E2276"/>
    <w:rsid w:val="009E2BB1"/>
    <w:rsid w:val="009E36C3"/>
    <w:rsid w:val="009E4211"/>
    <w:rsid w:val="009E4630"/>
    <w:rsid w:val="009E5528"/>
    <w:rsid w:val="009E5A79"/>
    <w:rsid w:val="009E69AA"/>
    <w:rsid w:val="009F0167"/>
    <w:rsid w:val="009F01F2"/>
    <w:rsid w:val="009F0FCF"/>
    <w:rsid w:val="009F3516"/>
    <w:rsid w:val="009F359A"/>
    <w:rsid w:val="009F3BDD"/>
    <w:rsid w:val="009F4CAE"/>
    <w:rsid w:val="009F554E"/>
    <w:rsid w:val="009F5EB5"/>
    <w:rsid w:val="009F63CA"/>
    <w:rsid w:val="009F65A2"/>
    <w:rsid w:val="009F7013"/>
    <w:rsid w:val="009F705C"/>
    <w:rsid w:val="009F7C13"/>
    <w:rsid w:val="00A00E6B"/>
    <w:rsid w:val="00A015FA"/>
    <w:rsid w:val="00A018A0"/>
    <w:rsid w:val="00A03095"/>
    <w:rsid w:val="00A03D17"/>
    <w:rsid w:val="00A04064"/>
    <w:rsid w:val="00A05422"/>
    <w:rsid w:val="00A05CFC"/>
    <w:rsid w:val="00A07225"/>
    <w:rsid w:val="00A073D9"/>
    <w:rsid w:val="00A10259"/>
    <w:rsid w:val="00A12D7F"/>
    <w:rsid w:val="00A136CB"/>
    <w:rsid w:val="00A144CC"/>
    <w:rsid w:val="00A15119"/>
    <w:rsid w:val="00A15A62"/>
    <w:rsid w:val="00A16DE3"/>
    <w:rsid w:val="00A17A67"/>
    <w:rsid w:val="00A20EA8"/>
    <w:rsid w:val="00A22343"/>
    <w:rsid w:val="00A22AD7"/>
    <w:rsid w:val="00A239E3"/>
    <w:rsid w:val="00A23BE8"/>
    <w:rsid w:val="00A23F7B"/>
    <w:rsid w:val="00A24A80"/>
    <w:rsid w:val="00A253B6"/>
    <w:rsid w:val="00A255E6"/>
    <w:rsid w:val="00A26A3F"/>
    <w:rsid w:val="00A27166"/>
    <w:rsid w:val="00A27690"/>
    <w:rsid w:val="00A27A7E"/>
    <w:rsid w:val="00A30B1A"/>
    <w:rsid w:val="00A30C6D"/>
    <w:rsid w:val="00A3144E"/>
    <w:rsid w:val="00A32ACB"/>
    <w:rsid w:val="00A34982"/>
    <w:rsid w:val="00A349A9"/>
    <w:rsid w:val="00A35353"/>
    <w:rsid w:val="00A35A01"/>
    <w:rsid w:val="00A36977"/>
    <w:rsid w:val="00A42FFD"/>
    <w:rsid w:val="00A43899"/>
    <w:rsid w:val="00A440EC"/>
    <w:rsid w:val="00A440F8"/>
    <w:rsid w:val="00A445B1"/>
    <w:rsid w:val="00A44C69"/>
    <w:rsid w:val="00A45C3D"/>
    <w:rsid w:val="00A462F5"/>
    <w:rsid w:val="00A47312"/>
    <w:rsid w:val="00A4739A"/>
    <w:rsid w:val="00A500B4"/>
    <w:rsid w:val="00A50156"/>
    <w:rsid w:val="00A51094"/>
    <w:rsid w:val="00A51CD4"/>
    <w:rsid w:val="00A51DC9"/>
    <w:rsid w:val="00A52D92"/>
    <w:rsid w:val="00A53B51"/>
    <w:rsid w:val="00A53CF5"/>
    <w:rsid w:val="00A5438C"/>
    <w:rsid w:val="00A5617B"/>
    <w:rsid w:val="00A5743F"/>
    <w:rsid w:val="00A576CA"/>
    <w:rsid w:val="00A60ABE"/>
    <w:rsid w:val="00A61292"/>
    <w:rsid w:val="00A62103"/>
    <w:rsid w:val="00A628E9"/>
    <w:rsid w:val="00A62EE1"/>
    <w:rsid w:val="00A6428E"/>
    <w:rsid w:val="00A665FB"/>
    <w:rsid w:val="00A70330"/>
    <w:rsid w:val="00A70A78"/>
    <w:rsid w:val="00A71B95"/>
    <w:rsid w:val="00A72045"/>
    <w:rsid w:val="00A72201"/>
    <w:rsid w:val="00A724AF"/>
    <w:rsid w:val="00A74840"/>
    <w:rsid w:val="00A75A96"/>
    <w:rsid w:val="00A75BE5"/>
    <w:rsid w:val="00A75CD0"/>
    <w:rsid w:val="00A76FED"/>
    <w:rsid w:val="00A7712D"/>
    <w:rsid w:val="00A779D3"/>
    <w:rsid w:val="00A8098E"/>
    <w:rsid w:val="00A82354"/>
    <w:rsid w:val="00A82AB8"/>
    <w:rsid w:val="00A83225"/>
    <w:rsid w:val="00A83D4B"/>
    <w:rsid w:val="00A85181"/>
    <w:rsid w:val="00A85826"/>
    <w:rsid w:val="00A8639A"/>
    <w:rsid w:val="00A86A4A"/>
    <w:rsid w:val="00A86D63"/>
    <w:rsid w:val="00A90A3C"/>
    <w:rsid w:val="00A90BB3"/>
    <w:rsid w:val="00A91136"/>
    <w:rsid w:val="00A9142F"/>
    <w:rsid w:val="00A93A5A"/>
    <w:rsid w:val="00A94B1B"/>
    <w:rsid w:val="00A94F2E"/>
    <w:rsid w:val="00A9556B"/>
    <w:rsid w:val="00A95BE4"/>
    <w:rsid w:val="00A95E26"/>
    <w:rsid w:val="00A95FA2"/>
    <w:rsid w:val="00A960CC"/>
    <w:rsid w:val="00A96CD9"/>
    <w:rsid w:val="00A97464"/>
    <w:rsid w:val="00AA00E4"/>
    <w:rsid w:val="00AA0815"/>
    <w:rsid w:val="00AA0D04"/>
    <w:rsid w:val="00AA0E92"/>
    <w:rsid w:val="00AA2104"/>
    <w:rsid w:val="00AA2342"/>
    <w:rsid w:val="00AA28FF"/>
    <w:rsid w:val="00AA3EE3"/>
    <w:rsid w:val="00AA4B3C"/>
    <w:rsid w:val="00AA75C6"/>
    <w:rsid w:val="00AA7B67"/>
    <w:rsid w:val="00AB16F4"/>
    <w:rsid w:val="00AB2714"/>
    <w:rsid w:val="00AB2D69"/>
    <w:rsid w:val="00AB3061"/>
    <w:rsid w:val="00AB4218"/>
    <w:rsid w:val="00AB51CE"/>
    <w:rsid w:val="00AB568A"/>
    <w:rsid w:val="00AB5C2E"/>
    <w:rsid w:val="00AB5D8C"/>
    <w:rsid w:val="00AB5DEA"/>
    <w:rsid w:val="00AB7972"/>
    <w:rsid w:val="00AC0287"/>
    <w:rsid w:val="00AC0EFE"/>
    <w:rsid w:val="00AC1515"/>
    <w:rsid w:val="00AC28B7"/>
    <w:rsid w:val="00AC3CBA"/>
    <w:rsid w:val="00AC3D3F"/>
    <w:rsid w:val="00AC71CA"/>
    <w:rsid w:val="00AC7355"/>
    <w:rsid w:val="00AD2762"/>
    <w:rsid w:val="00AD51D5"/>
    <w:rsid w:val="00AD52FD"/>
    <w:rsid w:val="00AD5F23"/>
    <w:rsid w:val="00AD637E"/>
    <w:rsid w:val="00AE0A19"/>
    <w:rsid w:val="00AE1397"/>
    <w:rsid w:val="00AE1E14"/>
    <w:rsid w:val="00AE2729"/>
    <w:rsid w:val="00AE2ED7"/>
    <w:rsid w:val="00AE3057"/>
    <w:rsid w:val="00AE3080"/>
    <w:rsid w:val="00AE3785"/>
    <w:rsid w:val="00AE45A2"/>
    <w:rsid w:val="00AE46BB"/>
    <w:rsid w:val="00AE4F5A"/>
    <w:rsid w:val="00AE5085"/>
    <w:rsid w:val="00AE58F4"/>
    <w:rsid w:val="00AE5CD8"/>
    <w:rsid w:val="00AE729D"/>
    <w:rsid w:val="00AE770D"/>
    <w:rsid w:val="00AF0162"/>
    <w:rsid w:val="00AF1BFF"/>
    <w:rsid w:val="00AF2A58"/>
    <w:rsid w:val="00AF2E6E"/>
    <w:rsid w:val="00AF47C2"/>
    <w:rsid w:val="00AF7657"/>
    <w:rsid w:val="00B001A8"/>
    <w:rsid w:val="00B00784"/>
    <w:rsid w:val="00B02799"/>
    <w:rsid w:val="00B0321A"/>
    <w:rsid w:val="00B0326D"/>
    <w:rsid w:val="00B049A9"/>
    <w:rsid w:val="00B10247"/>
    <w:rsid w:val="00B113B7"/>
    <w:rsid w:val="00B11EBE"/>
    <w:rsid w:val="00B123C4"/>
    <w:rsid w:val="00B1288F"/>
    <w:rsid w:val="00B12E4D"/>
    <w:rsid w:val="00B13F90"/>
    <w:rsid w:val="00B14215"/>
    <w:rsid w:val="00B148DB"/>
    <w:rsid w:val="00B15FE4"/>
    <w:rsid w:val="00B16E65"/>
    <w:rsid w:val="00B17426"/>
    <w:rsid w:val="00B178E3"/>
    <w:rsid w:val="00B17BF7"/>
    <w:rsid w:val="00B20ECB"/>
    <w:rsid w:val="00B2102E"/>
    <w:rsid w:val="00B21C59"/>
    <w:rsid w:val="00B23348"/>
    <w:rsid w:val="00B23857"/>
    <w:rsid w:val="00B24B63"/>
    <w:rsid w:val="00B250EA"/>
    <w:rsid w:val="00B251EE"/>
    <w:rsid w:val="00B2550A"/>
    <w:rsid w:val="00B26634"/>
    <w:rsid w:val="00B26A7D"/>
    <w:rsid w:val="00B27C44"/>
    <w:rsid w:val="00B305C2"/>
    <w:rsid w:val="00B32816"/>
    <w:rsid w:val="00B32C6D"/>
    <w:rsid w:val="00B33056"/>
    <w:rsid w:val="00B33BB3"/>
    <w:rsid w:val="00B3420B"/>
    <w:rsid w:val="00B34D32"/>
    <w:rsid w:val="00B34FBE"/>
    <w:rsid w:val="00B35019"/>
    <w:rsid w:val="00B366B4"/>
    <w:rsid w:val="00B374DD"/>
    <w:rsid w:val="00B37BB4"/>
    <w:rsid w:val="00B41437"/>
    <w:rsid w:val="00B41AAE"/>
    <w:rsid w:val="00B41E5F"/>
    <w:rsid w:val="00B42282"/>
    <w:rsid w:val="00B431D0"/>
    <w:rsid w:val="00B43D8C"/>
    <w:rsid w:val="00B45D66"/>
    <w:rsid w:val="00B5363E"/>
    <w:rsid w:val="00B53A44"/>
    <w:rsid w:val="00B54FD2"/>
    <w:rsid w:val="00B55C68"/>
    <w:rsid w:val="00B5646C"/>
    <w:rsid w:val="00B56A8B"/>
    <w:rsid w:val="00B56E2A"/>
    <w:rsid w:val="00B579AB"/>
    <w:rsid w:val="00B61F87"/>
    <w:rsid w:val="00B6320D"/>
    <w:rsid w:val="00B64396"/>
    <w:rsid w:val="00B6444F"/>
    <w:rsid w:val="00B652CB"/>
    <w:rsid w:val="00B66799"/>
    <w:rsid w:val="00B71BBF"/>
    <w:rsid w:val="00B72264"/>
    <w:rsid w:val="00B724A8"/>
    <w:rsid w:val="00B7417C"/>
    <w:rsid w:val="00B75AD1"/>
    <w:rsid w:val="00B76A2E"/>
    <w:rsid w:val="00B80C44"/>
    <w:rsid w:val="00B80D39"/>
    <w:rsid w:val="00B80FA9"/>
    <w:rsid w:val="00B8255E"/>
    <w:rsid w:val="00B86960"/>
    <w:rsid w:val="00B878EA"/>
    <w:rsid w:val="00B87D95"/>
    <w:rsid w:val="00B920BD"/>
    <w:rsid w:val="00B9249F"/>
    <w:rsid w:val="00B932CA"/>
    <w:rsid w:val="00B93624"/>
    <w:rsid w:val="00B93E8C"/>
    <w:rsid w:val="00B94741"/>
    <w:rsid w:val="00B959C5"/>
    <w:rsid w:val="00B95F5C"/>
    <w:rsid w:val="00B9644E"/>
    <w:rsid w:val="00B96459"/>
    <w:rsid w:val="00B968DB"/>
    <w:rsid w:val="00B9714E"/>
    <w:rsid w:val="00B97FA4"/>
    <w:rsid w:val="00BA0FB9"/>
    <w:rsid w:val="00BA176F"/>
    <w:rsid w:val="00BA21AD"/>
    <w:rsid w:val="00BA2A6A"/>
    <w:rsid w:val="00BA30F3"/>
    <w:rsid w:val="00BA4C8E"/>
    <w:rsid w:val="00BA7251"/>
    <w:rsid w:val="00BA7F73"/>
    <w:rsid w:val="00BB0184"/>
    <w:rsid w:val="00BB02E2"/>
    <w:rsid w:val="00BB107A"/>
    <w:rsid w:val="00BB1A49"/>
    <w:rsid w:val="00BB1DAA"/>
    <w:rsid w:val="00BB21E9"/>
    <w:rsid w:val="00BB26EF"/>
    <w:rsid w:val="00BB316E"/>
    <w:rsid w:val="00BB3264"/>
    <w:rsid w:val="00BB35E8"/>
    <w:rsid w:val="00BB4A31"/>
    <w:rsid w:val="00BB5F7A"/>
    <w:rsid w:val="00BC14C5"/>
    <w:rsid w:val="00BC1D41"/>
    <w:rsid w:val="00BC23CF"/>
    <w:rsid w:val="00BC32B9"/>
    <w:rsid w:val="00BC426E"/>
    <w:rsid w:val="00BC4387"/>
    <w:rsid w:val="00BC4CFD"/>
    <w:rsid w:val="00BC4F58"/>
    <w:rsid w:val="00BC58AD"/>
    <w:rsid w:val="00BC666D"/>
    <w:rsid w:val="00BC77AC"/>
    <w:rsid w:val="00BC7AF9"/>
    <w:rsid w:val="00BD034D"/>
    <w:rsid w:val="00BD04E4"/>
    <w:rsid w:val="00BD076D"/>
    <w:rsid w:val="00BD0C5F"/>
    <w:rsid w:val="00BD11C4"/>
    <w:rsid w:val="00BD1727"/>
    <w:rsid w:val="00BD29E1"/>
    <w:rsid w:val="00BD3257"/>
    <w:rsid w:val="00BD4369"/>
    <w:rsid w:val="00BD59C9"/>
    <w:rsid w:val="00BD5A3D"/>
    <w:rsid w:val="00BD5FF1"/>
    <w:rsid w:val="00BD7492"/>
    <w:rsid w:val="00BE000A"/>
    <w:rsid w:val="00BE13FF"/>
    <w:rsid w:val="00BE14EC"/>
    <w:rsid w:val="00BE1FC1"/>
    <w:rsid w:val="00BE2582"/>
    <w:rsid w:val="00BE2B13"/>
    <w:rsid w:val="00BE34A8"/>
    <w:rsid w:val="00BE3BD0"/>
    <w:rsid w:val="00BE40BC"/>
    <w:rsid w:val="00BE4BE4"/>
    <w:rsid w:val="00BE5054"/>
    <w:rsid w:val="00BE7C5A"/>
    <w:rsid w:val="00BF1132"/>
    <w:rsid w:val="00BF277B"/>
    <w:rsid w:val="00BF378F"/>
    <w:rsid w:val="00BF3E9A"/>
    <w:rsid w:val="00BF4036"/>
    <w:rsid w:val="00BF5271"/>
    <w:rsid w:val="00BF569A"/>
    <w:rsid w:val="00BF6EDC"/>
    <w:rsid w:val="00C00503"/>
    <w:rsid w:val="00C00946"/>
    <w:rsid w:val="00C00AAF"/>
    <w:rsid w:val="00C01478"/>
    <w:rsid w:val="00C02354"/>
    <w:rsid w:val="00C054F2"/>
    <w:rsid w:val="00C05B47"/>
    <w:rsid w:val="00C06D55"/>
    <w:rsid w:val="00C07A64"/>
    <w:rsid w:val="00C07A8A"/>
    <w:rsid w:val="00C117BE"/>
    <w:rsid w:val="00C12A6A"/>
    <w:rsid w:val="00C14584"/>
    <w:rsid w:val="00C148E1"/>
    <w:rsid w:val="00C168EB"/>
    <w:rsid w:val="00C1773E"/>
    <w:rsid w:val="00C2014A"/>
    <w:rsid w:val="00C202C4"/>
    <w:rsid w:val="00C22DEF"/>
    <w:rsid w:val="00C22F3F"/>
    <w:rsid w:val="00C23194"/>
    <w:rsid w:val="00C23B99"/>
    <w:rsid w:val="00C24EC7"/>
    <w:rsid w:val="00C26CC6"/>
    <w:rsid w:val="00C308E8"/>
    <w:rsid w:val="00C313EE"/>
    <w:rsid w:val="00C31426"/>
    <w:rsid w:val="00C31AE1"/>
    <w:rsid w:val="00C31C5D"/>
    <w:rsid w:val="00C327B6"/>
    <w:rsid w:val="00C32F22"/>
    <w:rsid w:val="00C33F8D"/>
    <w:rsid w:val="00C34303"/>
    <w:rsid w:val="00C3508E"/>
    <w:rsid w:val="00C377EA"/>
    <w:rsid w:val="00C40D58"/>
    <w:rsid w:val="00C4270F"/>
    <w:rsid w:val="00C434A0"/>
    <w:rsid w:val="00C43E1E"/>
    <w:rsid w:val="00C441E2"/>
    <w:rsid w:val="00C44B95"/>
    <w:rsid w:val="00C463F5"/>
    <w:rsid w:val="00C474EB"/>
    <w:rsid w:val="00C50F9F"/>
    <w:rsid w:val="00C51316"/>
    <w:rsid w:val="00C5302A"/>
    <w:rsid w:val="00C533CD"/>
    <w:rsid w:val="00C53BCC"/>
    <w:rsid w:val="00C53EFD"/>
    <w:rsid w:val="00C54D0A"/>
    <w:rsid w:val="00C55467"/>
    <w:rsid w:val="00C56044"/>
    <w:rsid w:val="00C56827"/>
    <w:rsid w:val="00C60CA9"/>
    <w:rsid w:val="00C6194A"/>
    <w:rsid w:val="00C61983"/>
    <w:rsid w:val="00C61A9F"/>
    <w:rsid w:val="00C63119"/>
    <w:rsid w:val="00C63942"/>
    <w:rsid w:val="00C65479"/>
    <w:rsid w:val="00C6589F"/>
    <w:rsid w:val="00C6598A"/>
    <w:rsid w:val="00C66EFC"/>
    <w:rsid w:val="00C671E4"/>
    <w:rsid w:val="00C67AE6"/>
    <w:rsid w:val="00C7075E"/>
    <w:rsid w:val="00C70CA9"/>
    <w:rsid w:val="00C716BD"/>
    <w:rsid w:val="00C71E2B"/>
    <w:rsid w:val="00C71E7D"/>
    <w:rsid w:val="00C727B1"/>
    <w:rsid w:val="00C7341B"/>
    <w:rsid w:val="00C7386B"/>
    <w:rsid w:val="00C738AF"/>
    <w:rsid w:val="00C74F67"/>
    <w:rsid w:val="00C7777A"/>
    <w:rsid w:val="00C8015F"/>
    <w:rsid w:val="00C80AC6"/>
    <w:rsid w:val="00C80B77"/>
    <w:rsid w:val="00C8171E"/>
    <w:rsid w:val="00C8290B"/>
    <w:rsid w:val="00C82A61"/>
    <w:rsid w:val="00C82C80"/>
    <w:rsid w:val="00C84933"/>
    <w:rsid w:val="00C852A7"/>
    <w:rsid w:val="00C85389"/>
    <w:rsid w:val="00C858E1"/>
    <w:rsid w:val="00C85D02"/>
    <w:rsid w:val="00C85D58"/>
    <w:rsid w:val="00C86EB0"/>
    <w:rsid w:val="00C86FEF"/>
    <w:rsid w:val="00C903AC"/>
    <w:rsid w:val="00C91DB0"/>
    <w:rsid w:val="00C92750"/>
    <w:rsid w:val="00C93D05"/>
    <w:rsid w:val="00C94066"/>
    <w:rsid w:val="00C958A8"/>
    <w:rsid w:val="00C96A82"/>
    <w:rsid w:val="00C97375"/>
    <w:rsid w:val="00C97B01"/>
    <w:rsid w:val="00C97F4F"/>
    <w:rsid w:val="00CA047A"/>
    <w:rsid w:val="00CA0C8A"/>
    <w:rsid w:val="00CA1973"/>
    <w:rsid w:val="00CA2963"/>
    <w:rsid w:val="00CA2B8A"/>
    <w:rsid w:val="00CA3CA0"/>
    <w:rsid w:val="00CA5C83"/>
    <w:rsid w:val="00CA67D6"/>
    <w:rsid w:val="00CA7D59"/>
    <w:rsid w:val="00CB015C"/>
    <w:rsid w:val="00CB0C77"/>
    <w:rsid w:val="00CB148D"/>
    <w:rsid w:val="00CB19E4"/>
    <w:rsid w:val="00CB1F28"/>
    <w:rsid w:val="00CB2578"/>
    <w:rsid w:val="00CB3311"/>
    <w:rsid w:val="00CB3DED"/>
    <w:rsid w:val="00CB462A"/>
    <w:rsid w:val="00CB5EF5"/>
    <w:rsid w:val="00CB5F5C"/>
    <w:rsid w:val="00CB6125"/>
    <w:rsid w:val="00CB64EE"/>
    <w:rsid w:val="00CB72AA"/>
    <w:rsid w:val="00CC000A"/>
    <w:rsid w:val="00CC01C2"/>
    <w:rsid w:val="00CC1440"/>
    <w:rsid w:val="00CC2888"/>
    <w:rsid w:val="00CC4A01"/>
    <w:rsid w:val="00CC4FCC"/>
    <w:rsid w:val="00CC5A9C"/>
    <w:rsid w:val="00CC5D78"/>
    <w:rsid w:val="00CC77FD"/>
    <w:rsid w:val="00CD2936"/>
    <w:rsid w:val="00CD2AC4"/>
    <w:rsid w:val="00CD381C"/>
    <w:rsid w:val="00CD4B60"/>
    <w:rsid w:val="00CD587A"/>
    <w:rsid w:val="00CD60B6"/>
    <w:rsid w:val="00CD721C"/>
    <w:rsid w:val="00CE02C2"/>
    <w:rsid w:val="00CE193A"/>
    <w:rsid w:val="00CE2A5C"/>
    <w:rsid w:val="00CE2F47"/>
    <w:rsid w:val="00CE3287"/>
    <w:rsid w:val="00CE449E"/>
    <w:rsid w:val="00CE44EF"/>
    <w:rsid w:val="00CE5A86"/>
    <w:rsid w:val="00CE6602"/>
    <w:rsid w:val="00CE66C4"/>
    <w:rsid w:val="00CE6AAC"/>
    <w:rsid w:val="00CE702D"/>
    <w:rsid w:val="00CE7047"/>
    <w:rsid w:val="00CE70AC"/>
    <w:rsid w:val="00CE7F15"/>
    <w:rsid w:val="00CF06EF"/>
    <w:rsid w:val="00CF1791"/>
    <w:rsid w:val="00CF32B9"/>
    <w:rsid w:val="00CF4451"/>
    <w:rsid w:val="00CF4813"/>
    <w:rsid w:val="00CF582F"/>
    <w:rsid w:val="00CF5844"/>
    <w:rsid w:val="00CF584C"/>
    <w:rsid w:val="00CF6061"/>
    <w:rsid w:val="00D003F6"/>
    <w:rsid w:val="00D00588"/>
    <w:rsid w:val="00D01129"/>
    <w:rsid w:val="00D01762"/>
    <w:rsid w:val="00D02EE4"/>
    <w:rsid w:val="00D030B2"/>
    <w:rsid w:val="00D03183"/>
    <w:rsid w:val="00D03A20"/>
    <w:rsid w:val="00D03FB1"/>
    <w:rsid w:val="00D05C07"/>
    <w:rsid w:val="00D05E26"/>
    <w:rsid w:val="00D05F80"/>
    <w:rsid w:val="00D065A8"/>
    <w:rsid w:val="00D07A81"/>
    <w:rsid w:val="00D07CAC"/>
    <w:rsid w:val="00D07CCA"/>
    <w:rsid w:val="00D11BE5"/>
    <w:rsid w:val="00D11D05"/>
    <w:rsid w:val="00D11E0F"/>
    <w:rsid w:val="00D11E1A"/>
    <w:rsid w:val="00D11FD5"/>
    <w:rsid w:val="00D13210"/>
    <w:rsid w:val="00D13E5A"/>
    <w:rsid w:val="00D13F1D"/>
    <w:rsid w:val="00D1453F"/>
    <w:rsid w:val="00D147B4"/>
    <w:rsid w:val="00D14D03"/>
    <w:rsid w:val="00D14EB7"/>
    <w:rsid w:val="00D16680"/>
    <w:rsid w:val="00D16FCA"/>
    <w:rsid w:val="00D179E2"/>
    <w:rsid w:val="00D207C7"/>
    <w:rsid w:val="00D214BA"/>
    <w:rsid w:val="00D2222B"/>
    <w:rsid w:val="00D22564"/>
    <w:rsid w:val="00D236DD"/>
    <w:rsid w:val="00D23899"/>
    <w:rsid w:val="00D23EE4"/>
    <w:rsid w:val="00D24EBD"/>
    <w:rsid w:val="00D259DB"/>
    <w:rsid w:val="00D26243"/>
    <w:rsid w:val="00D2718C"/>
    <w:rsid w:val="00D27B69"/>
    <w:rsid w:val="00D27EEC"/>
    <w:rsid w:val="00D30264"/>
    <w:rsid w:val="00D30DFD"/>
    <w:rsid w:val="00D3162D"/>
    <w:rsid w:val="00D31EF4"/>
    <w:rsid w:val="00D329E0"/>
    <w:rsid w:val="00D339BD"/>
    <w:rsid w:val="00D34E9B"/>
    <w:rsid w:val="00D37110"/>
    <w:rsid w:val="00D37EC3"/>
    <w:rsid w:val="00D4009F"/>
    <w:rsid w:val="00D417EA"/>
    <w:rsid w:val="00D42C8C"/>
    <w:rsid w:val="00D42E56"/>
    <w:rsid w:val="00D444CE"/>
    <w:rsid w:val="00D44826"/>
    <w:rsid w:val="00D44A66"/>
    <w:rsid w:val="00D4558C"/>
    <w:rsid w:val="00D458E1"/>
    <w:rsid w:val="00D46740"/>
    <w:rsid w:val="00D479E4"/>
    <w:rsid w:val="00D50633"/>
    <w:rsid w:val="00D5137F"/>
    <w:rsid w:val="00D515AC"/>
    <w:rsid w:val="00D51E16"/>
    <w:rsid w:val="00D520F3"/>
    <w:rsid w:val="00D529BE"/>
    <w:rsid w:val="00D534F8"/>
    <w:rsid w:val="00D5396D"/>
    <w:rsid w:val="00D545F2"/>
    <w:rsid w:val="00D55684"/>
    <w:rsid w:val="00D56102"/>
    <w:rsid w:val="00D565C7"/>
    <w:rsid w:val="00D62A41"/>
    <w:rsid w:val="00D63BE7"/>
    <w:rsid w:val="00D63CC8"/>
    <w:rsid w:val="00D66DB5"/>
    <w:rsid w:val="00D67960"/>
    <w:rsid w:val="00D67EA3"/>
    <w:rsid w:val="00D70696"/>
    <w:rsid w:val="00D70A2C"/>
    <w:rsid w:val="00D72427"/>
    <w:rsid w:val="00D74828"/>
    <w:rsid w:val="00D75E9B"/>
    <w:rsid w:val="00D76966"/>
    <w:rsid w:val="00D76988"/>
    <w:rsid w:val="00D775BF"/>
    <w:rsid w:val="00D813CA"/>
    <w:rsid w:val="00D81A0F"/>
    <w:rsid w:val="00D82CD2"/>
    <w:rsid w:val="00D8324E"/>
    <w:rsid w:val="00D836C6"/>
    <w:rsid w:val="00D86256"/>
    <w:rsid w:val="00D90497"/>
    <w:rsid w:val="00D9208F"/>
    <w:rsid w:val="00D92246"/>
    <w:rsid w:val="00D934BF"/>
    <w:rsid w:val="00D935C2"/>
    <w:rsid w:val="00D9398A"/>
    <w:rsid w:val="00D94007"/>
    <w:rsid w:val="00D95509"/>
    <w:rsid w:val="00D959E6"/>
    <w:rsid w:val="00D96D88"/>
    <w:rsid w:val="00D96E8C"/>
    <w:rsid w:val="00D97C91"/>
    <w:rsid w:val="00DA11D5"/>
    <w:rsid w:val="00DA22E9"/>
    <w:rsid w:val="00DA3B38"/>
    <w:rsid w:val="00DA521B"/>
    <w:rsid w:val="00DA5F5E"/>
    <w:rsid w:val="00DA612E"/>
    <w:rsid w:val="00DA65C4"/>
    <w:rsid w:val="00DA6906"/>
    <w:rsid w:val="00DA7049"/>
    <w:rsid w:val="00DA71CB"/>
    <w:rsid w:val="00DA775B"/>
    <w:rsid w:val="00DB0617"/>
    <w:rsid w:val="00DB08EC"/>
    <w:rsid w:val="00DB3110"/>
    <w:rsid w:val="00DB3C4E"/>
    <w:rsid w:val="00DB3FF2"/>
    <w:rsid w:val="00DB49B4"/>
    <w:rsid w:val="00DB5E9C"/>
    <w:rsid w:val="00DB6052"/>
    <w:rsid w:val="00DB72DE"/>
    <w:rsid w:val="00DC0944"/>
    <w:rsid w:val="00DC182F"/>
    <w:rsid w:val="00DC1B91"/>
    <w:rsid w:val="00DC3B96"/>
    <w:rsid w:val="00DC3BFF"/>
    <w:rsid w:val="00DC4079"/>
    <w:rsid w:val="00DC4C0D"/>
    <w:rsid w:val="00DC5987"/>
    <w:rsid w:val="00DC6BC8"/>
    <w:rsid w:val="00DD0964"/>
    <w:rsid w:val="00DD12B4"/>
    <w:rsid w:val="00DD3589"/>
    <w:rsid w:val="00DD3CE8"/>
    <w:rsid w:val="00DD4B49"/>
    <w:rsid w:val="00DD6D44"/>
    <w:rsid w:val="00DD6FDB"/>
    <w:rsid w:val="00DE03FE"/>
    <w:rsid w:val="00DE04E9"/>
    <w:rsid w:val="00DE0FC2"/>
    <w:rsid w:val="00DE1CE2"/>
    <w:rsid w:val="00DE21BF"/>
    <w:rsid w:val="00DE21EA"/>
    <w:rsid w:val="00DE3F95"/>
    <w:rsid w:val="00DE4344"/>
    <w:rsid w:val="00DE54B7"/>
    <w:rsid w:val="00DE692B"/>
    <w:rsid w:val="00DE7FF4"/>
    <w:rsid w:val="00DF3352"/>
    <w:rsid w:val="00DF3AF7"/>
    <w:rsid w:val="00DF47B9"/>
    <w:rsid w:val="00DF56AF"/>
    <w:rsid w:val="00DF7149"/>
    <w:rsid w:val="00DF7EC6"/>
    <w:rsid w:val="00E01F0B"/>
    <w:rsid w:val="00E03C13"/>
    <w:rsid w:val="00E04A33"/>
    <w:rsid w:val="00E0657F"/>
    <w:rsid w:val="00E066DC"/>
    <w:rsid w:val="00E06F31"/>
    <w:rsid w:val="00E0714F"/>
    <w:rsid w:val="00E075A9"/>
    <w:rsid w:val="00E10DCA"/>
    <w:rsid w:val="00E110D3"/>
    <w:rsid w:val="00E1130D"/>
    <w:rsid w:val="00E11F49"/>
    <w:rsid w:val="00E14878"/>
    <w:rsid w:val="00E16C5B"/>
    <w:rsid w:val="00E201B7"/>
    <w:rsid w:val="00E20C5B"/>
    <w:rsid w:val="00E22BA6"/>
    <w:rsid w:val="00E22D94"/>
    <w:rsid w:val="00E24D16"/>
    <w:rsid w:val="00E26339"/>
    <w:rsid w:val="00E26BEC"/>
    <w:rsid w:val="00E275B5"/>
    <w:rsid w:val="00E317EB"/>
    <w:rsid w:val="00E34A95"/>
    <w:rsid w:val="00E34BD2"/>
    <w:rsid w:val="00E34CDE"/>
    <w:rsid w:val="00E34EC4"/>
    <w:rsid w:val="00E351ED"/>
    <w:rsid w:val="00E35ED3"/>
    <w:rsid w:val="00E35F4C"/>
    <w:rsid w:val="00E36EE6"/>
    <w:rsid w:val="00E37E80"/>
    <w:rsid w:val="00E402D1"/>
    <w:rsid w:val="00E41332"/>
    <w:rsid w:val="00E416F8"/>
    <w:rsid w:val="00E41A30"/>
    <w:rsid w:val="00E45B68"/>
    <w:rsid w:val="00E45E0A"/>
    <w:rsid w:val="00E4709B"/>
    <w:rsid w:val="00E5469F"/>
    <w:rsid w:val="00E5501D"/>
    <w:rsid w:val="00E555D1"/>
    <w:rsid w:val="00E56FEF"/>
    <w:rsid w:val="00E60C6F"/>
    <w:rsid w:val="00E6136F"/>
    <w:rsid w:val="00E614B4"/>
    <w:rsid w:val="00E615C4"/>
    <w:rsid w:val="00E6199F"/>
    <w:rsid w:val="00E62BE1"/>
    <w:rsid w:val="00E6352C"/>
    <w:rsid w:val="00E63AF8"/>
    <w:rsid w:val="00E63C0A"/>
    <w:rsid w:val="00E66A34"/>
    <w:rsid w:val="00E71D27"/>
    <w:rsid w:val="00E72363"/>
    <w:rsid w:val="00E7240C"/>
    <w:rsid w:val="00E7454E"/>
    <w:rsid w:val="00E74C1E"/>
    <w:rsid w:val="00E77022"/>
    <w:rsid w:val="00E7715D"/>
    <w:rsid w:val="00E775AC"/>
    <w:rsid w:val="00E8056F"/>
    <w:rsid w:val="00E808C6"/>
    <w:rsid w:val="00E80D2B"/>
    <w:rsid w:val="00E815AC"/>
    <w:rsid w:val="00E81AB5"/>
    <w:rsid w:val="00E82C98"/>
    <w:rsid w:val="00E838C4"/>
    <w:rsid w:val="00E83F68"/>
    <w:rsid w:val="00E86368"/>
    <w:rsid w:val="00E87924"/>
    <w:rsid w:val="00E9047B"/>
    <w:rsid w:val="00E90E1B"/>
    <w:rsid w:val="00E91C0F"/>
    <w:rsid w:val="00E93A53"/>
    <w:rsid w:val="00E93E62"/>
    <w:rsid w:val="00E94121"/>
    <w:rsid w:val="00E945F5"/>
    <w:rsid w:val="00E96A2A"/>
    <w:rsid w:val="00E96A3E"/>
    <w:rsid w:val="00E96AAE"/>
    <w:rsid w:val="00EA0881"/>
    <w:rsid w:val="00EA0B56"/>
    <w:rsid w:val="00EA0E09"/>
    <w:rsid w:val="00EA32F9"/>
    <w:rsid w:val="00EA33D5"/>
    <w:rsid w:val="00EA7CA3"/>
    <w:rsid w:val="00EB027B"/>
    <w:rsid w:val="00EB0572"/>
    <w:rsid w:val="00EB202C"/>
    <w:rsid w:val="00EB28CC"/>
    <w:rsid w:val="00EB30F2"/>
    <w:rsid w:val="00EB41C8"/>
    <w:rsid w:val="00EB482D"/>
    <w:rsid w:val="00EB5143"/>
    <w:rsid w:val="00EB61C8"/>
    <w:rsid w:val="00EB6C32"/>
    <w:rsid w:val="00EB6D4D"/>
    <w:rsid w:val="00EB788F"/>
    <w:rsid w:val="00EC040B"/>
    <w:rsid w:val="00EC15DA"/>
    <w:rsid w:val="00EC2F77"/>
    <w:rsid w:val="00EC31D0"/>
    <w:rsid w:val="00EC3AEB"/>
    <w:rsid w:val="00EC40FD"/>
    <w:rsid w:val="00EC5733"/>
    <w:rsid w:val="00EC580B"/>
    <w:rsid w:val="00EC592B"/>
    <w:rsid w:val="00EC7196"/>
    <w:rsid w:val="00EC7690"/>
    <w:rsid w:val="00EC7B84"/>
    <w:rsid w:val="00ED18EA"/>
    <w:rsid w:val="00ED1FC9"/>
    <w:rsid w:val="00ED20DD"/>
    <w:rsid w:val="00ED237A"/>
    <w:rsid w:val="00ED2979"/>
    <w:rsid w:val="00ED3024"/>
    <w:rsid w:val="00ED345F"/>
    <w:rsid w:val="00ED5040"/>
    <w:rsid w:val="00ED7B3C"/>
    <w:rsid w:val="00ED7B88"/>
    <w:rsid w:val="00EE12A4"/>
    <w:rsid w:val="00EE143C"/>
    <w:rsid w:val="00EE1711"/>
    <w:rsid w:val="00EE28F9"/>
    <w:rsid w:val="00EE4A27"/>
    <w:rsid w:val="00EE4E6F"/>
    <w:rsid w:val="00EE6460"/>
    <w:rsid w:val="00EE655E"/>
    <w:rsid w:val="00EF0D44"/>
    <w:rsid w:val="00EF2244"/>
    <w:rsid w:val="00EF5052"/>
    <w:rsid w:val="00EF6485"/>
    <w:rsid w:val="00EF66C1"/>
    <w:rsid w:val="00EF6DBA"/>
    <w:rsid w:val="00EF707E"/>
    <w:rsid w:val="00EF7947"/>
    <w:rsid w:val="00EF7A79"/>
    <w:rsid w:val="00F002BB"/>
    <w:rsid w:val="00F00C0B"/>
    <w:rsid w:val="00F0165C"/>
    <w:rsid w:val="00F027FC"/>
    <w:rsid w:val="00F03C79"/>
    <w:rsid w:val="00F046A3"/>
    <w:rsid w:val="00F05C28"/>
    <w:rsid w:val="00F06204"/>
    <w:rsid w:val="00F07383"/>
    <w:rsid w:val="00F10ED4"/>
    <w:rsid w:val="00F10F0F"/>
    <w:rsid w:val="00F11124"/>
    <w:rsid w:val="00F11165"/>
    <w:rsid w:val="00F11752"/>
    <w:rsid w:val="00F11F02"/>
    <w:rsid w:val="00F14CF6"/>
    <w:rsid w:val="00F151CB"/>
    <w:rsid w:val="00F217A8"/>
    <w:rsid w:val="00F22D73"/>
    <w:rsid w:val="00F242B1"/>
    <w:rsid w:val="00F25117"/>
    <w:rsid w:val="00F25AA5"/>
    <w:rsid w:val="00F26420"/>
    <w:rsid w:val="00F274B3"/>
    <w:rsid w:val="00F27D03"/>
    <w:rsid w:val="00F27F7C"/>
    <w:rsid w:val="00F31E6A"/>
    <w:rsid w:val="00F34115"/>
    <w:rsid w:val="00F34747"/>
    <w:rsid w:val="00F347C9"/>
    <w:rsid w:val="00F34E0A"/>
    <w:rsid w:val="00F353D5"/>
    <w:rsid w:val="00F359EA"/>
    <w:rsid w:val="00F36845"/>
    <w:rsid w:val="00F36977"/>
    <w:rsid w:val="00F36A65"/>
    <w:rsid w:val="00F373E2"/>
    <w:rsid w:val="00F43D60"/>
    <w:rsid w:val="00F45740"/>
    <w:rsid w:val="00F45939"/>
    <w:rsid w:val="00F47B97"/>
    <w:rsid w:val="00F508E0"/>
    <w:rsid w:val="00F50F9A"/>
    <w:rsid w:val="00F516CC"/>
    <w:rsid w:val="00F51C33"/>
    <w:rsid w:val="00F5229C"/>
    <w:rsid w:val="00F522D5"/>
    <w:rsid w:val="00F53687"/>
    <w:rsid w:val="00F54AAD"/>
    <w:rsid w:val="00F5542D"/>
    <w:rsid w:val="00F557FA"/>
    <w:rsid w:val="00F560FF"/>
    <w:rsid w:val="00F56F57"/>
    <w:rsid w:val="00F610F8"/>
    <w:rsid w:val="00F6280A"/>
    <w:rsid w:val="00F64354"/>
    <w:rsid w:val="00F6545B"/>
    <w:rsid w:val="00F67227"/>
    <w:rsid w:val="00F678A5"/>
    <w:rsid w:val="00F67D17"/>
    <w:rsid w:val="00F7015E"/>
    <w:rsid w:val="00F71F4B"/>
    <w:rsid w:val="00F72392"/>
    <w:rsid w:val="00F72A4A"/>
    <w:rsid w:val="00F72A65"/>
    <w:rsid w:val="00F732EB"/>
    <w:rsid w:val="00F73A8B"/>
    <w:rsid w:val="00F74357"/>
    <w:rsid w:val="00F747C4"/>
    <w:rsid w:val="00F74C58"/>
    <w:rsid w:val="00F74F8F"/>
    <w:rsid w:val="00F75E18"/>
    <w:rsid w:val="00F76049"/>
    <w:rsid w:val="00F8055D"/>
    <w:rsid w:val="00F81E90"/>
    <w:rsid w:val="00F83E7C"/>
    <w:rsid w:val="00F842FF"/>
    <w:rsid w:val="00F853CB"/>
    <w:rsid w:val="00F860FE"/>
    <w:rsid w:val="00F86903"/>
    <w:rsid w:val="00F86DB8"/>
    <w:rsid w:val="00F906D0"/>
    <w:rsid w:val="00F90772"/>
    <w:rsid w:val="00F912DB"/>
    <w:rsid w:val="00F91B8B"/>
    <w:rsid w:val="00F9224A"/>
    <w:rsid w:val="00F92740"/>
    <w:rsid w:val="00F93212"/>
    <w:rsid w:val="00F933E5"/>
    <w:rsid w:val="00F94325"/>
    <w:rsid w:val="00F9481A"/>
    <w:rsid w:val="00F9552C"/>
    <w:rsid w:val="00F957D2"/>
    <w:rsid w:val="00F95829"/>
    <w:rsid w:val="00F96E70"/>
    <w:rsid w:val="00F970D9"/>
    <w:rsid w:val="00FA0144"/>
    <w:rsid w:val="00FA16C1"/>
    <w:rsid w:val="00FA4C7E"/>
    <w:rsid w:val="00FA4F8A"/>
    <w:rsid w:val="00FA67CA"/>
    <w:rsid w:val="00FA6F98"/>
    <w:rsid w:val="00FA798D"/>
    <w:rsid w:val="00FA7B18"/>
    <w:rsid w:val="00FB03AD"/>
    <w:rsid w:val="00FB0981"/>
    <w:rsid w:val="00FB1426"/>
    <w:rsid w:val="00FB2C14"/>
    <w:rsid w:val="00FB31DD"/>
    <w:rsid w:val="00FB37F6"/>
    <w:rsid w:val="00FB4AEE"/>
    <w:rsid w:val="00FB4C70"/>
    <w:rsid w:val="00FB57DE"/>
    <w:rsid w:val="00FB5D4A"/>
    <w:rsid w:val="00FB6191"/>
    <w:rsid w:val="00FB7D85"/>
    <w:rsid w:val="00FC0401"/>
    <w:rsid w:val="00FC0D9A"/>
    <w:rsid w:val="00FC1DE9"/>
    <w:rsid w:val="00FC313A"/>
    <w:rsid w:val="00FC3424"/>
    <w:rsid w:val="00FC37CB"/>
    <w:rsid w:val="00FC3E13"/>
    <w:rsid w:val="00FC56D5"/>
    <w:rsid w:val="00FC576A"/>
    <w:rsid w:val="00FC646D"/>
    <w:rsid w:val="00FC6CF4"/>
    <w:rsid w:val="00FC762E"/>
    <w:rsid w:val="00FC7C61"/>
    <w:rsid w:val="00FD1962"/>
    <w:rsid w:val="00FD20D9"/>
    <w:rsid w:val="00FD2D17"/>
    <w:rsid w:val="00FD2EB6"/>
    <w:rsid w:val="00FD4425"/>
    <w:rsid w:val="00FD4744"/>
    <w:rsid w:val="00FD5ACF"/>
    <w:rsid w:val="00FD5D3A"/>
    <w:rsid w:val="00FE0DCD"/>
    <w:rsid w:val="00FE28B8"/>
    <w:rsid w:val="00FE440A"/>
    <w:rsid w:val="00FE4AAE"/>
    <w:rsid w:val="00FE6581"/>
    <w:rsid w:val="00FE6849"/>
    <w:rsid w:val="00FE738D"/>
    <w:rsid w:val="00FE7FDA"/>
    <w:rsid w:val="00FF4592"/>
    <w:rsid w:val="00FF5DFE"/>
    <w:rsid w:val="00FF5E1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rules v:ext="edit">
        <o:r id="V:Rule7" type="connector" idref="#Rovná spojovacia šípka 314"/>
        <o:r id="V:Rule8" type="connector" idref="#Zaoblená spojnica 317"/>
        <o:r id="V:Rule9" type="connector" idref="#Zaoblená spojnica 316"/>
        <o:r id="V:Rule10" type="connector" idref="#Zaoblená spojnica 320"/>
        <o:r id="V:Rule11" type="connector" idref="#Zaoblená spojnica 318"/>
        <o:r id="V:Rule12" type="connector" idref="#Zaoblená spojnica 3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sid w:val="00996ADB"/>
    <w:pPr>
      <w:spacing w:after="200" w:line="276" w:lineRule="auto"/>
    </w:pPr>
    <w:rPr>
      <w:rFonts w:eastAsia="Times New Roman"/>
      <w:lang w:eastAsia="en-US"/>
    </w:rPr>
  </w:style>
  <w:style w:type="paragraph" w:styleId="Nadpis1">
    <w:name w:val="heading 1"/>
    <w:basedOn w:val="Normlny"/>
    <w:next w:val="Normlny"/>
    <w:link w:val="Nadpis1Char"/>
    <w:uiPriority w:val="99"/>
    <w:qFormat/>
    <w:rsid w:val="008C1AE6"/>
    <w:pPr>
      <w:keepNext/>
      <w:keepLines/>
      <w:spacing w:before="480"/>
      <w:outlineLvl w:val="0"/>
    </w:pPr>
    <w:rPr>
      <w:rFonts w:ascii="Cambria" w:eastAsia="Calibri" w:hAnsi="Cambria"/>
      <w:b/>
      <w:color w:val="005C00"/>
      <w:sz w:val="28"/>
      <w:szCs w:val="20"/>
    </w:rPr>
  </w:style>
  <w:style w:type="paragraph" w:styleId="Nadpis2">
    <w:name w:val="heading 2"/>
    <w:basedOn w:val="Normlny"/>
    <w:next w:val="Normlny"/>
    <w:link w:val="Nadpis2Char"/>
    <w:uiPriority w:val="99"/>
    <w:qFormat/>
    <w:rsid w:val="008C1AE6"/>
    <w:pPr>
      <w:keepNext/>
      <w:keepLines/>
      <w:outlineLvl w:val="1"/>
    </w:pPr>
    <w:rPr>
      <w:rFonts w:ascii="Cambria" w:eastAsia="Calibri" w:hAnsi="Cambria"/>
      <w:b/>
      <w:color w:val="005C00"/>
      <w:sz w:val="26"/>
      <w:szCs w:val="20"/>
    </w:rPr>
  </w:style>
  <w:style w:type="paragraph" w:styleId="Nadpis3">
    <w:name w:val="heading 3"/>
    <w:basedOn w:val="Normlny"/>
    <w:next w:val="Normlny"/>
    <w:link w:val="Nadpis3Char"/>
    <w:uiPriority w:val="99"/>
    <w:qFormat/>
    <w:rsid w:val="008C1AE6"/>
    <w:pPr>
      <w:keepNext/>
      <w:keepLines/>
      <w:spacing w:before="120" w:after="100" w:afterAutospacing="1"/>
      <w:outlineLvl w:val="2"/>
    </w:pPr>
    <w:rPr>
      <w:rFonts w:ascii="Cambria" w:eastAsia="Calibri" w:hAnsi="Cambria"/>
      <w:b/>
      <w:color w:val="005C00"/>
      <w:szCs w:val="20"/>
    </w:rPr>
  </w:style>
  <w:style w:type="paragraph" w:styleId="Nadpis4">
    <w:name w:val="heading 4"/>
    <w:basedOn w:val="Normlny"/>
    <w:next w:val="Normlny"/>
    <w:link w:val="Nadpis4Char"/>
    <w:uiPriority w:val="99"/>
    <w:qFormat/>
    <w:rsid w:val="00F74C58"/>
    <w:pPr>
      <w:keepNext/>
      <w:tabs>
        <w:tab w:val="num" w:pos="864"/>
      </w:tabs>
      <w:spacing w:before="240" w:after="60" w:line="240" w:lineRule="auto"/>
      <w:ind w:left="864" w:hanging="864"/>
      <w:outlineLvl w:val="3"/>
    </w:pPr>
    <w:rPr>
      <w:rFonts w:ascii="Times New Roman" w:eastAsia="Calibri" w:hAnsi="Times New Roman"/>
      <w:b/>
      <w:sz w:val="28"/>
      <w:szCs w:val="20"/>
      <w:lang w:eastAsia="sk-SK"/>
    </w:rPr>
  </w:style>
  <w:style w:type="paragraph" w:styleId="Nadpis5">
    <w:name w:val="heading 5"/>
    <w:basedOn w:val="Normlny"/>
    <w:next w:val="Normlny"/>
    <w:link w:val="Nadpis5Char"/>
    <w:uiPriority w:val="99"/>
    <w:qFormat/>
    <w:rsid w:val="006E528A"/>
    <w:pPr>
      <w:keepNext/>
      <w:keepLines/>
      <w:spacing w:before="200" w:after="0"/>
      <w:outlineLvl w:val="4"/>
    </w:pPr>
    <w:rPr>
      <w:rFonts w:ascii="Cambria" w:eastAsia="Calibri" w:hAnsi="Cambria"/>
      <w:color w:val="243F60"/>
      <w:sz w:val="20"/>
      <w:szCs w:val="20"/>
      <w:lang w:eastAsia="sk-SK"/>
    </w:rPr>
  </w:style>
  <w:style w:type="paragraph" w:styleId="Nadpis6">
    <w:name w:val="heading 6"/>
    <w:basedOn w:val="Normlny"/>
    <w:next w:val="Normlny"/>
    <w:link w:val="Nadpis6Char"/>
    <w:uiPriority w:val="99"/>
    <w:qFormat/>
    <w:rsid w:val="00F74C58"/>
    <w:pPr>
      <w:tabs>
        <w:tab w:val="num" w:pos="1152"/>
      </w:tabs>
      <w:spacing w:before="240" w:after="60" w:line="240" w:lineRule="auto"/>
      <w:ind w:left="1152" w:hanging="1152"/>
      <w:outlineLvl w:val="5"/>
    </w:pPr>
    <w:rPr>
      <w:rFonts w:ascii="Times New Roman" w:eastAsia="Calibri" w:hAnsi="Times New Roman"/>
      <w:b/>
      <w:sz w:val="20"/>
      <w:szCs w:val="20"/>
      <w:lang w:eastAsia="sk-SK"/>
    </w:rPr>
  </w:style>
  <w:style w:type="paragraph" w:styleId="Nadpis7">
    <w:name w:val="heading 7"/>
    <w:basedOn w:val="Normlny"/>
    <w:next w:val="Normlny"/>
    <w:link w:val="Nadpis7Char"/>
    <w:uiPriority w:val="99"/>
    <w:qFormat/>
    <w:rsid w:val="00F74C58"/>
    <w:pPr>
      <w:tabs>
        <w:tab w:val="num" w:pos="1296"/>
      </w:tabs>
      <w:spacing w:before="240" w:after="60" w:line="240" w:lineRule="auto"/>
      <w:ind w:left="1296" w:hanging="1296"/>
      <w:outlineLvl w:val="6"/>
    </w:pPr>
    <w:rPr>
      <w:rFonts w:ascii="Times New Roman" w:eastAsia="Calibri" w:hAnsi="Times New Roman"/>
      <w:sz w:val="24"/>
      <w:szCs w:val="20"/>
      <w:lang w:eastAsia="sk-SK"/>
    </w:rPr>
  </w:style>
  <w:style w:type="paragraph" w:styleId="Nadpis8">
    <w:name w:val="heading 8"/>
    <w:basedOn w:val="Normlny"/>
    <w:next w:val="Normlny"/>
    <w:link w:val="Nadpis8Char"/>
    <w:uiPriority w:val="99"/>
    <w:qFormat/>
    <w:rsid w:val="00F74C58"/>
    <w:pPr>
      <w:tabs>
        <w:tab w:val="num" w:pos="1440"/>
      </w:tabs>
      <w:spacing w:before="240" w:after="60" w:line="240" w:lineRule="auto"/>
      <w:ind w:left="1440" w:hanging="1440"/>
      <w:outlineLvl w:val="7"/>
    </w:pPr>
    <w:rPr>
      <w:rFonts w:ascii="Times New Roman" w:eastAsia="Calibri" w:hAnsi="Times New Roman"/>
      <w:i/>
      <w:sz w:val="24"/>
      <w:szCs w:val="20"/>
      <w:lang w:eastAsia="sk-SK"/>
    </w:rPr>
  </w:style>
  <w:style w:type="paragraph" w:styleId="Nadpis9">
    <w:name w:val="heading 9"/>
    <w:basedOn w:val="Normlny"/>
    <w:next w:val="Normlny"/>
    <w:link w:val="Nadpis9Char"/>
    <w:uiPriority w:val="99"/>
    <w:qFormat/>
    <w:rsid w:val="00F74C58"/>
    <w:pPr>
      <w:tabs>
        <w:tab w:val="num" w:pos="1584"/>
      </w:tabs>
      <w:spacing w:before="240" w:after="60" w:line="240" w:lineRule="auto"/>
      <w:ind w:left="1584" w:hanging="1584"/>
      <w:outlineLvl w:val="8"/>
    </w:pPr>
    <w:rPr>
      <w:rFonts w:ascii="Arial" w:eastAsia="Calibri" w:hAnsi="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8C1AE6"/>
    <w:rPr>
      <w:rFonts w:ascii="Cambria" w:hAnsi="Cambria" w:cs="Times New Roman"/>
      <w:b/>
      <w:color w:val="005C00"/>
      <w:sz w:val="28"/>
      <w:lang w:val="sk-SK" w:eastAsia="en-US"/>
    </w:rPr>
  </w:style>
  <w:style w:type="character" w:customStyle="1" w:styleId="Nadpis2Char">
    <w:name w:val="Nadpis 2 Char"/>
    <w:basedOn w:val="Predvolenpsmoodseku"/>
    <w:link w:val="Nadpis2"/>
    <w:uiPriority w:val="99"/>
    <w:locked/>
    <w:rsid w:val="008C1AE6"/>
    <w:rPr>
      <w:rFonts w:ascii="Cambria" w:hAnsi="Cambria" w:cs="Times New Roman"/>
      <w:b/>
      <w:color w:val="005C00"/>
      <w:sz w:val="26"/>
      <w:lang w:val="sk-SK" w:eastAsia="en-US"/>
    </w:rPr>
  </w:style>
  <w:style w:type="character" w:customStyle="1" w:styleId="Nadpis3Char">
    <w:name w:val="Nadpis 3 Char"/>
    <w:basedOn w:val="Predvolenpsmoodseku"/>
    <w:link w:val="Nadpis3"/>
    <w:uiPriority w:val="99"/>
    <w:locked/>
    <w:rsid w:val="008C1AE6"/>
    <w:rPr>
      <w:rFonts w:ascii="Cambria" w:hAnsi="Cambria" w:cs="Times New Roman"/>
      <w:b/>
      <w:color w:val="005C00"/>
      <w:sz w:val="22"/>
      <w:lang w:val="sk-SK" w:eastAsia="en-US"/>
    </w:rPr>
  </w:style>
  <w:style w:type="character" w:customStyle="1" w:styleId="Nadpis4Char">
    <w:name w:val="Nadpis 4 Char"/>
    <w:basedOn w:val="Predvolenpsmoodseku"/>
    <w:link w:val="Nadpis4"/>
    <w:uiPriority w:val="99"/>
    <w:locked/>
    <w:rsid w:val="00F74C58"/>
    <w:rPr>
      <w:rFonts w:ascii="Times New Roman" w:hAnsi="Times New Roman" w:cs="Times New Roman"/>
      <w:b/>
      <w:sz w:val="28"/>
      <w:lang w:eastAsia="sk-SK"/>
    </w:rPr>
  </w:style>
  <w:style w:type="character" w:customStyle="1" w:styleId="Nadpis5Char">
    <w:name w:val="Nadpis 5 Char"/>
    <w:basedOn w:val="Predvolenpsmoodseku"/>
    <w:link w:val="Nadpis5"/>
    <w:uiPriority w:val="99"/>
    <w:semiHidden/>
    <w:locked/>
    <w:rsid w:val="006E528A"/>
    <w:rPr>
      <w:rFonts w:ascii="Cambria" w:hAnsi="Cambria" w:cs="Times New Roman"/>
      <w:color w:val="243F60"/>
    </w:rPr>
  </w:style>
  <w:style w:type="character" w:customStyle="1" w:styleId="Nadpis6Char">
    <w:name w:val="Nadpis 6 Char"/>
    <w:basedOn w:val="Predvolenpsmoodseku"/>
    <w:link w:val="Nadpis6"/>
    <w:uiPriority w:val="99"/>
    <w:locked/>
    <w:rsid w:val="00F74C58"/>
    <w:rPr>
      <w:rFonts w:ascii="Times New Roman" w:hAnsi="Times New Roman" w:cs="Times New Roman"/>
      <w:b/>
      <w:lang w:eastAsia="sk-SK"/>
    </w:rPr>
  </w:style>
  <w:style w:type="character" w:customStyle="1" w:styleId="Nadpis7Char">
    <w:name w:val="Nadpis 7 Char"/>
    <w:basedOn w:val="Predvolenpsmoodseku"/>
    <w:link w:val="Nadpis7"/>
    <w:uiPriority w:val="99"/>
    <w:locked/>
    <w:rsid w:val="00F74C58"/>
    <w:rPr>
      <w:rFonts w:ascii="Times New Roman" w:hAnsi="Times New Roman" w:cs="Times New Roman"/>
      <w:sz w:val="24"/>
      <w:lang w:eastAsia="sk-SK"/>
    </w:rPr>
  </w:style>
  <w:style w:type="character" w:customStyle="1" w:styleId="Nadpis8Char">
    <w:name w:val="Nadpis 8 Char"/>
    <w:basedOn w:val="Predvolenpsmoodseku"/>
    <w:link w:val="Nadpis8"/>
    <w:uiPriority w:val="99"/>
    <w:locked/>
    <w:rsid w:val="00F74C58"/>
    <w:rPr>
      <w:rFonts w:ascii="Times New Roman" w:hAnsi="Times New Roman" w:cs="Times New Roman"/>
      <w:i/>
      <w:sz w:val="24"/>
      <w:lang w:eastAsia="sk-SK"/>
    </w:rPr>
  </w:style>
  <w:style w:type="character" w:customStyle="1" w:styleId="Nadpis9Char">
    <w:name w:val="Nadpis 9 Char"/>
    <w:basedOn w:val="Predvolenpsmoodseku"/>
    <w:link w:val="Nadpis9"/>
    <w:uiPriority w:val="99"/>
    <w:locked/>
    <w:rsid w:val="00F74C58"/>
    <w:rPr>
      <w:rFonts w:ascii="Arial" w:hAnsi="Arial" w:cs="Times New Roman"/>
      <w:lang w:eastAsia="sk-SK"/>
    </w:rPr>
  </w:style>
  <w:style w:type="paragraph" w:styleId="Textbubliny">
    <w:name w:val="Balloon Text"/>
    <w:basedOn w:val="Normlny"/>
    <w:link w:val="TextbublinyChar"/>
    <w:uiPriority w:val="99"/>
    <w:semiHidden/>
    <w:rsid w:val="0087458C"/>
    <w:pPr>
      <w:spacing w:after="0" w:line="240" w:lineRule="auto"/>
    </w:pPr>
    <w:rPr>
      <w:rFonts w:ascii="Tahoma" w:eastAsia="Calibri" w:hAnsi="Tahoma"/>
      <w:sz w:val="16"/>
      <w:szCs w:val="20"/>
      <w:lang w:eastAsia="sk-SK"/>
    </w:rPr>
  </w:style>
  <w:style w:type="character" w:customStyle="1" w:styleId="TextbublinyChar">
    <w:name w:val="Text bubliny Char"/>
    <w:basedOn w:val="Predvolenpsmoodseku"/>
    <w:link w:val="Textbubliny"/>
    <w:uiPriority w:val="99"/>
    <w:semiHidden/>
    <w:locked/>
    <w:rsid w:val="0087458C"/>
    <w:rPr>
      <w:rFonts w:ascii="Tahoma" w:hAnsi="Tahoma" w:cs="Times New Roman"/>
      <w:sz w:val="16"/>
    </w:rPr>
  </w:style>
  <w:style w:type="paragraph" w:styleId="Odsekzoznamu">
    <w:name w:val="List Paragraph"/>
    <w:basedOn w:val="Normlny"/>
    <w:uiPriority w:val="34"/>
    <w:qFormat/>
    <w:rsid w:val="00A462F5"/>
    <w:pPr>
      <w:ind w:left="720"/>
    </w:pPr>
  </w:style>
  <w:style w:type="table" w:styleId="Mriekatabuky">
    <w:name w:val="Table Grid"/>
    <w:basedOn w:val="Normlnatabuka"/>
    <w:uiPriority w:val="99"/>
    <w:rsid w:val="00A462F5"/>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lavikaobsahu">
    <w:name w:val="TOC Heading"/>
    <w:basedOn w:val="Nadpis1"/>
    <w:next w:val="Normlny"/>
    <w:uiPriority w:val="99"/>
    <w:qFormat/>
    <w:rsid w:val="0046092C"/>
    <w:pPr>
      <w:outlineLvl w:val="9"/>
    </w:pPr>
    <w:rPr>
      <w:lang w:val="en-US"/>
    </w:rPr>
  </w:style>
  <w:style w:type="paragraph" w:styleId="Obsah1">
    <w:name w:val="toc 1"/>
    <w:basedOn w:val="Normlny"/>
    <w:next w:val="Normlny"/>
    <w:autoRedefine/>
    <w:uiPriority w:val="99"/>
    <w:rsid w:val="00B75AD1"/>
    <w:pPr>
      <w:tabs>
        <w:tab w:val="left" w:pos="284"/>
        <w:tab w:val="right" w:leader="dot" w:pos="9062"/>
      </w:tabs>
      <w:spacing w:after="0"/>
    </w:pPr>
    <w:rPr>
      <w:noProof/>
      <w:lang w:eastAsia="sk-SK"/>
    </w:rPr>
  </w:style>
  <w:style w:type="paragraph" w:styleId="Obsah2">
    <w:name w:val="toc 2"/>
    <w:basedOn w:val="Normlny"/>
    <w:next w:val="Normlny"/>
    <w:autoRedefine/>
    <w:uiPriority w:val="99"/>
    <w:rsid w:val="00CD587A"/>
    <w:pPr>
      <w:tabs>
        <w:tab w:val="left" w:pos="851"/>
        <w:tab w:val="right" w:leader="dot" w:pos="9062"/>
      </w:tabs>
      <w:spacing w:after="0"/>
      <w:ind w:left="220"/>
    </w:pPr>
  </w:style>
  <w:style w:type="character" w:styleId="Hypertextovprepojenie">
    <w:name w:val="Hyperlink"/>
    <w:basedOn w:val="Predvolenpsmoodseku"/>
    <w:uiPriority w:val="99"/>
    <w:rsid w:val="0046092C"/>
    <w:rPr>
      <w:rFonts w:cs="Times New Roman"/>
      <w:color w:val="0000FF"/>
      <w:u w:val="single"/>
    </w:rPr>
  </w:style>
  <w:style w:type="paragraph" w:styleId="Textpoznmkypodiarou">
    <w:name w:val="footnote text"/>
    <w:basedOn w:val="Normlny"/>
    <w:link w:val="TextpoznmkypodiarouChar"/>
    <w:uiPriority w:val="99"/>
    <w:rsid w:val="00382811"/>
    <w:pPr>
      <w:spacing w:after="0" w:line="240" w:lineRule="auto"/>
    </w:pPr>
    <w:rPr>
      <w:rFonts w:eastAsia="Calibri"/>
      <w:sz w:val="20"/>
      <w:szCs w:val="20"/>
      <w:lang w:eastAsia="sk-SK"/>
    </w:rPr>
  </w:style>
  <w:style w:type="character" w:customStyle="1" w:styleId="TextpoznmkypodiarouChar">
    <w:name w:val="Text poznámky pod čiarou Char"/>
    <w:basedOn w:val="Predvolenpsmoodseku"/>
    <w:link w:val="Textpoznmkypodiarou"/>
    <w:uiPriority w:val="99"/>
    <w:locked/>
    <w:rsid w:val="00382811"/>
    <w:rPr>
      <w:rFonts w:cs="Times New Roman"/>
      <w:sz w:val="20"/>
    </w:rPr>
  </w:style>
  <w:style w:type="character" w:styleId="Odkaznapoznmkupodiarou">
    <w:name w:val="footnote reference"/>
    <w:basedOn w:val="Predvolenpsmoodseku"/>
    <w:uiPriority w:val="99"/>
    <w:rsid w:val="00382811"/>
    <w:rPr>
      <w:rFonts w:cs="Times New Roman"/>
      <w:vertAlign w:val="superscript"/>
    </w:rPr>
  </w:style>
  <w:style w:type="paragraph" w:customStyle="1" w:styleId="CharChar">
    <w:name w:val="Char Char"/>
    <w:basedOn w:val="Normlny"/>
    <w:uiPriority w:val="99"/>
    <w:rsid w:val="006E528A"/>
    <w:pPr>
      <w:spacing w:after="160" w:line="240" w:lineRule="exact"/>
    </w:pPr>
    <w:rPr>
      <w:rFonts w:ascii="Verdana" w:eastAsia="Calibri" w:hAnsi="Verdana" w:cs="Verdana"/>
      <w:sz w:val="20"/>
      <w:szCs w:val="20"/>
      <w:lang w:val="en-US"/>
    </w:rPr>
  </w:style>
  <w:style w:type="paragraph" w:styleId="Normlnywebov">
    <w:name w:val="Normal (Web)"/>
    <w:basedOn w:val="Normlny"/>
    <w:uiPriority w:val="99"/>
    <w:rsid w:val="005F655B"/>
    <w:pPr>
      <w:spacing w:before="100" w:beforeAutospacing="1" w:after="100" w:afterAutospacing="1" w:line="240" w:lineRule="auto"/>
    </w:pPr>
    <w:rPr>
      <w:rFonts w:ascii="Times New Roman" w:eastAsia="Calibri" w:hAnsi="Times New Roman"/>
      <w:sz w:val="24"/>
      <w:szCs w:val="24"/>
      <w:lang w:eastAsia="sk-SK"/>
    </w:rPr>
  </w:style>
  <w:style w:type="character" w:styleId="Zvraznenie">
    <w:name w:val="Emphasis"/>
    <w:basedOn w:val="Predvolenpsmoodseku"/>
    <w:uiPriority w:val="99"/>
    <w:qFormat/>
    <w:rsid w:val="005F655B"/>
    <w:rPr>
      <w:rFonts w:cs="Times New Roman"/>
      <w:i/>
    </w:rPr>
  </w:style>
  <w:style w:type="character" w:styleId="Siln">
    <w:name w:val="Strong"/>
    <w:basedOn w:val="Predvolenpsmoodseku"/>
    <w:uiPriority w:val="99"/>
    <w:qFormat/>
    <w:rsid w:val="005F655B"/>
    <w:rPr>
      <w:rFonts w:cs="Times New Roman"/>
      <w:b/>
    </w:rPr>
  </w:style>
  <w:style w:type="paragraph" w:customStyle="1" w:styleId="Default">
    <w:name w:val="Default"/>
    <w:uiPriority w:val="99"/>
    <w:rsid w:val="00F74C58"/>
    <w:pPr>
      <w:widowControl w:val="0"/>
      <w:autoSpaceDE w:val="0"/>
      <w:autoSpaceDN w:val="0"/>
      <w:adjustRightInd w:val="0"/>
    </w:pPr>
    <w:rPr>
      <w:rFonts w:ascii="EU Albertina" w:hAnsi="EU Albertina" w:cs="EU Albertina"/>
      <w:color w:val="000000"/>
      <w:sz w:val="24"/>
      <w:szCs w:val="24"/>
    </w:rPr>
  </w:style>
  <w:style w:type="paragraph" w:styleId="Hlavika">
    <w:name w:val="header"/>
    <w:basedOn w:val="Normlny"/>
    <w:link w:val="HlavikaChar"/>
    <w:uiPriority w:val="99"/>
    <w:rsid w:val="00F74C58"/>
    <w:pPr>
      <w:tabs>
        <w:tab w:val="center" w:pos="4536"/>
        <w:tab w:val="right" w:pos="9072"/>
      </w:tabs>
      <w:spacing w:after="0" w:line="240" w:lineRule="auto"/>
    </w:pPr>
    <w:rPr>
      <w:rFonts w:ascii="Times New Roman" w:eastAsia="Calibri" w:hAnsi="Times New Roman"/>
      <w:sz w:val="20"/>
      <w:szCs w:val="20"/>
      <w:lang w:val="cs-CZ" w:eastAsia="cs-CZ"/>
    </w:rPr>
  </w:style>
  <w:style w:type="character" w:customStyle="1" w:styleId="HlavikaChar">
    <w:name w:val="Hlavička Char"/>
    <w:basedOn w:val="Predvolenpsmoodseku"/>
    <w:link w:val="Hlavika"/>
    <w:uiPriority w:val="99"/>
    <w:locked/>
    <w:rsid w:val="00F74C58"/>
    <w:rPr>
      <w:rFonts w:ascii="Times New Roman" w:hAnsi="Times New Roman" w:cs="Times New Roman"/>
      <w:sz w:val="20"/>
      <w:lang w:val="cs-CZ" w:eastAsia="cs-CZ"/>
    </w:rPr>
  </w:style>
  <w:style w:type="paragraph" w:styleId="Obsah3">
    <w:name w:val="toc 3"/>
    <w:basedOn w:val="Normlny"/>
    <w:next w:val="Normlny"/>
    <w:autoRedefine/>
    <w:uiPriority w:val="99"/>
    <w:rsid w:val="000505C6"/>
    <w:pPr>
      <w:tabs>
        <w:tab w:val="left" w:pos="1320"/>
        <w:tab w:val="right" w:leader="dot" w:pos="9062"/>
      </w:tabs>
      <w:spacing w:after="0" w:line="240" w:lineRule="auto"/>
      <w:ind w:left="1276" w:hanging="836"/>
    </w:pPr>
  </w:style>
  <w:style w:type="character" w:styleId="PouitHypertextovPrepojenie">
    <w:name w:val="FollowedHyperlink"/>
    <w:basedOn w:val="Predvolenpsmoodseku"/>
    <w:uiPriority w:val="99"/>
    <w:semiHidden/>
    <w:rsid w:val="00834549"/>
    <w:rPr>
      <w:rFonts w:cs="Times New Roman"/>
      <w:color w:val="800080"/>
      <w:u w:val="single"/>
    </w:rPr>
  </w:style>
  <w:style w:type="paragraph" w:styleId="Pta">
    <w:name w:val="footer"/>
    <w:basedOn w:val="Normlny"/>
    <w:link w:val="PtaChar"/>
    <w:uiPriority w:val="99"/>
    <w:rsid w:val="00A8639A"/>
    <w:pPr>
      <w:tabs>
        <w:tab w:val="center" w:pos="4536"/>
        <w:tab w:val="right" w:pos="9072"/>
      </w:tabs>
      <w:spacing w:after="0" w:line="240" w:lineRule="auto"/>
    </w:pPr>
    <w:rPr>
      <w:rFonts w:eastAsia="Calibri"/>
      <w:sz w:val="20"/>
      <w:szCs w:val="20"/>
      <w:lang w:eastAsia="sk-SK"/>
    </w:rPr>
  </w:style>
  <w:style w:type="character" w:customStyle="1" w:styleId="PtaChar">
    <w:name w:val="Päta Char"/>
    <w:basedOn w:val="Predvolenpsmoodseku"/>
    <w:link w:val="Pta"/>
    <w:uiPriority w:val="99"/>
    <w:locked/>
    <w:rsid w:val="00A8639A"/>
    <w:rPr>
      <w:rFonts w:cs="Times New Roman"/>
    </w:rPr>
  </w:style>
  <w:style w:type="character" w:customStyle="1" w:styleId="bbtext">
    <w:name w:val="bbtext"/>
    <w:uiPriority w:val="99"/>
    <w:rsid w:val="006243AC"/>
  </w:style>
  <w:style w:type="paragraph" w:customStyle="1" w:styleId="bodytext">
    <w:name w:val="bodytext"/>
    <w:basedOn w:val="Normlny"/>
    <w:uiPriority w:val="99"/>
    <w:rsid w:val="00E87924"/>
    <w:pPr>
      <w:spacing w:before="100" w:beforeAutospacing="1" w:after="100" w:afterAutospacing="1" w:line="240" w:lineRule="auto"/>
    </w:pPr>
    <w:rPr>
      <w:rFonts w:ascii="Times New Roman" w:hAnsi="Times New Roman"/>
      <w:sz w:val="24"/>
      <w:szCs w:val="24"/>
      <w:lang w:eastAsia="sk-SK"/>
    </w:rPr>
  </w:style>
  <w:style w:type="character" w:customStyle="1" w:styleId="pop">
    <w:name w:val="pop"/>
    <w:uiPriority w:val="99"/>
    <w:rsid w:val="00E87924"/>
  </w:style>
  <w:style w:type="character" w:customStyle="1" w:styleId="hps">
    <w:name w:val="hps"/>
    <w:uiPriority w:val="99"/>
    <w:rsid w:val="002136A6"/>
  </w:style>
  <w:style w:type="character" w:customStyle="1" w:styleId="longtext">
    <w:name w:val="long_text"/>
    <w:uiPriority w:val="99"/>
    <w:rsid w:val="002136A6"/>
  </w:style>
  <w:style w:type="character" w:customStyle="1" w:styleId="hpsatn">
    <w:name w:val="hps atn"/>
    <w:uiPriority w:val="99"/>
    <w:rsid w:val="003B44AD"/>
  </w:style>
  <w:style w:type="character" w:customStyle="1" w:styleId="st">
    <w:name w:val="st"/>
    <w:uiPriority w:val="99"/>
    <w:rsid w:val="009857F1"/>
  </w:style>
  <w:style w:type="character" w:customStyle="1" w:styleId="gt-icon-text1">
    <w:name w:val="gt-icon-text1"/>
    <w:uiPriority w:val="99"/>
    <w:rsid w:val="00BE7C5A"/>
  </w:style>
  <w:style w:type="character" w:customStyle="1" w:styleId="atn">
    <w:name w:val="atn"/>
    <w:uiPriority w:val="99"/>
    <w:rsid w:val="00BE7C5A"/>
  </w:style>
  <w:style w:type="character" w:styleId="Odkaznakomentr">
    <w:name w:val="annotation reference"/>
    <w:basedOn w:val="Predvolenpsmoodseku"/>
    <w:uiPriority w:val="99"/>
    <w:rsid w:val="00BC1D41"/>
    <w:rPr>
      <w:rFonts w:cs="Times New Roman"/>
      <w:sz w:val="16"/>
    </w:rPr>
  </w:style>
  <w:style w:type="paragraph" w:styleId="Textkomentra">
    <w:name w:val="annotation text"/>
    <w:basedOn w:val="Normlny"/>
    <w:link w:val="TextkomentraChar"/>
    <w:uiPriority w:val="99"/>
    <w:rsid w:val="00BC1D41"/>
    <w:rPr>
      <w:sz w:val="20"/>
      <w:szCs w:val="20"/>
    </w:rPr>
  </w:style>
  <w:style w:type="character" w:customStyle="1" w:styleId="TextkomentraChar">
    <w:name w:val="Text komentára Char"/>
    <w:basedOn w:val="Predvolenpsmoodseku"/>
    <w:link w:val="Textkomentra"/>
    <w:uiPriority w:val="99"/>
    <w:locked/>
    <w:rsid w:val="0019623B"/>
    <w:rPr>
      <w:rFonts w:eastAsia="Times New Roman" w:cs="Times New Roman"/>
      <w:lang w:eastAsia="en-US"/>
    </w:rPr>
  </w:style>
  <w:style w:type="paragraph" w:styleId="Predmetkomentra">
    <w:name w:val="annotation subject"/>
    <w:basedOn w:val="Textkomentra"/>
    <w:next w:val="Textkomentra"/>
    <w:link w:val="PredmetkomentraChar"/>
    <w:uiPriority w:val="99"/>
    <w:semiHidden/>
    <w:rsid w:val="00BC1D41"/>
    <w:rPr>
      <w:b/>
      <w:bCs/>
    </w:rPr>
  </w:style>
  <w:style w:type="character" w:customStyle="1" w:styleId="PredmetkomentraChar">
    <w:name w:val="Predmet komentára Char"/>
    <w:basedOn w:val="TextkomentraChar"/>
    <w:link w:val="Predmetkomentra"/>
    <w:uiPriority w:val="99"/>
    <w:semiHidden/>
    <w:locked/>
    <w:rsid w:val="00696EDD"/>
    <w:rPr>
      <w:b/>
      <w:sz w:val="20"/>
    </w:rPr>
  </w:style>
  <w:style w:type="paragraph" w:styleId="Popis">
    <w:name w:val="caption"/>
    <w:basedOn w:val="Normlny"/>
    <w:next w:val="Normlny"/>
    <w:uiPriority w:val="99"/>
    <w:qFormat/>
    <w:locked/>
    <w:rsid w:val="005E7445"/>
    <w:pPr>
      <w:spacing w:line="240" w:lineRule="auto"/>
      <w:jc w:val="both"/>
    </w:pPr>
    <w:rPr>
      <w:rFonts w:ascii="Times New Roman" w:hAnsi="Times New Roman"/>
      <w:b/>
      <w:bCs/>
      <w:color w:val="4F81BD"/>
      <w:sz w:val="18"/>
      <w:szCs w:val="18"/>
      <w:lang w:eastAsia="cs-CZ"/>
    </w:rPr>
  </w:style>
  <w:style w:type="paragraph" w:styleId="Zkladntext">
    <w:name w:val="Body Text"/>
    <w:basedOn w:val="Normlny"/>
    <w:link w:val="ZkladntextChar"/>
    <w:uiPriority w:val="99"/>
    <w:rsid w:val="00360B88"/>
    <w:pPr>
      <w:widowControl w:val="0"/>
      <w:spacing w:after="0" w:line="240" w:lineRule="auto"/>
      <w:jc w:val="center"/>
    </w:pPr>
    <w:rPr>
      <w:rFonts w:ascii="Times New Roman" w:eastAsia="Calibri" w:hAnsi="Times New Roman"/>
      <w:b/>
      <w:sz w:val="28"/>
      <w:szCs w:val="20"/>
      <w:lang w:eastAsia="sk-SK"/>
    </w:rPr>
  </w:style>
  <w:style w:type="character" w:customStyle="1" w:styleId="ZkladntextChar">
    <w:name w:val="Základný text Char"/>
    <w:basedOn w:val="Predvolenpsmoodseku"/>
    <w:link w:val="Zkladntext"/>
    <w:uiPriority w:val="99"/>
    <w:locked/>
    <w:rsid w:val="00360B88"/>
    <w:rPr>
      <w:rFonts w:ascii="Times New Roman" w:hAnsi="Times New Roman" w:cs="Times New Roman"/>
      <w:b/>
      <w:sz w:val="28"/>
      <w:lang w:eastAsia="sk-SK"/>
    </w:rPr>
  </w:style>
  <w:style w:type="paragraph" w:styleId="Obyajntext">
    <w:name w:val="Plain Text"/>
    <w:basedOn w:val="Normlny"/>
    <w:link w:val="ObyajntextChar"/>
    <w:uiPriority w:val="99"/>
    <w:rsid w:val="00500F63"/>
    <w:pPr>
      <w:spacing w:after="0" w:line="240" w:lineRule="auto"/>
    </w:pPr>
    <w:rPr>
      <w:rFonts w:ascii="Courier New" w:eastAsia="Calibri" w:hAnsi="Courier New"/>
      <w:sz w:val="20"/>
      <w:szCs w:val="20"/>
      <w:lang w:val="en-US" w:eastAsia="sk-SK"/>
    </w:rPr>
  </w:style>
  <w:style w:type="character" w:customStyle="1" w:styleId="ObyajntextChar">
    <w:name w:val="Obyčajný text Char"/>
    <w:basedOn w:val="Predvolenpsmoodseku"/>
    <w:link w:val="Obyajntext"/>
    <w:uiPriority w:val="99"/>
    <w:locked/>
    <w:rsid w:val="00500F63"/>
    <w:rPr>
      <w:rFonts w:ascii="Courier New" w:hAnsi="Courier New" w:cs="Times New Roman"/>
      <w:lang w:val="en-US" w:eastAsia="sk-SK"/>
    </w:rPr>
  </w:style>
  <w:style w:type="paragraph" w:customStyle="1" w:styleId="Zkladntext31">
    <w:name w:val="Základný text 31"/>
    <w:basedOn w:val="Normlny"/>
    <w:uiPriority w:val="99"/>
    <w:rsid w:val="00500F63"/>
    <w:pPr>
      <w:widowControl w:val="0"/>
      <w:spacing w:after="0" w:line="240" w:lineRule="auto"/>
      <w:jc w:val="both"/>
    </w:pPr>
    <w:rPr>
      <w:rFonts w:ascii="Times New Roman" w:hAnsi="Times New Roman"/>
      <w:sz w:val="18"/>
      <w:szCs w:val="20"/>
      <w:lang w:eastAsia="sk-SK"/>
    </w:rPr>
  </w:style>
  <w:style w:type="character" w:customStyle="1" w:styleId="line-height-150">
    <w:name w:val="line-height-150"/>
    <w:uiPriority w:val="99"/>
    <w:rsid w:val="007458CC"/>
  </w:style>
  <w:style w:type="paragraph" w:customStyle="1" w:styleId="Style1">
    <w:name w:val="Style1"/>
    <w:basedOn w:val="Nadpis2"/>
    <w:link w:val="Style1Char"/>
    <w:uiPriority w:val="99"/>
    <w:rsid w:val="00B17426"/>
  </w:style>
  <w:style w:type="character" w:customStyle="1" w:styleId="Style1Char">
    <w:name w:val="Style1 Char"/>
    <w:link w:val="Style1"/>
    <w:uiPriority w:val="99"/>
    <w:locked/>
    <w:rsid w:val="00B17426"/>
    <w:rPr>
      <w:rFonts w:ascii="Cambria" w:hAnsi="Cambria"/>
      <w:b/>
      <w:color w:val="005C00"/>
      <w:sz w:val="26"/>
      <w:lang w:val="sk-SK" w:eastAsia="en-US"/>
    </w:rPr>
  </w:style>
  <w:style w:type="paragraph" w:styleId="PredformtovanHTML">
    <w:name w:val="HTML Preformatted"/>
    <w:basedOn w:val="Normlny"/>
    <w:link w:val="PredformtovanHTMLChar"/>
    <w:uiPriority w:val="99"/>
    <w:rsid w:val="00C97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sk-SK"/>
    </w:rPr>
  </w:style>
  <w:style w:type="character" w:customStyle="1" w:styleId="PredformtovanHTMLChar">
    <w:name w:val="Predformátované HTML Char"/>
    <w:basedOn w:val="Predvolenpsmoodseku"/>
    <w:link w:val="PredformtovanHTML"/>
    <w:uiPriority w:val="99"/>
    <w:locked/>
    <w:rsid w:val="00C97F4F"/>
    <w:rPr>
      <w:rFonts w:ascii="Courier New" w:hAnsi="Courier New" w:cs="Times New Roman"/>
    </w:rPr>
  </w:style>
  <w:style w:type="paragraph" w:customStyle="1" w:styleId="a1">
    <w:name w:val="a1"/>
    <w:basedOn w:val="Normlny"/>
    <w:uiPriority w:val="99"/>
    <w:rsid w:val="00C958A8"/>
    <w:pPr>
      <w:tabs>
        <w:tab w:val="left" w:pos="2268"/>
      </w:tabs>
      <w:spacing w:after="0" w:line="264" w:lineRule="auto"/>
      <w:ind w:left="2268" w:hanging="2268"/>
    </w:pPr>
    <w:rPr>
      <w:rFonts w:ascii="Times New Roman" w:hAnsi="Times New Roman"/>
      <w:szCs w:val="20"/>
      <w:lang w:eastAsia="sk-SK"/>
    </w:rPr>
  </w:style>
  <w:style w:type="paragraph" w:customStyle="1" w:styleId="Odsekzoznamu1">
    <w:name w:val="Odsek zoznamu1"/>
    <w:basedOn w:val="Normlny"/>
    <w:uiPriority w:val="99"/>
    <w:rsid w:val="000E0E74"/>
    <w:pPr>
      <w:spacing w:after="0" w:line="240" w:lineRule="auto"/>
      <w:ind w:left="720"/>
      <w:contextualSpacing/>
    </w:pPr>
    <w:rPr>
      <w:rFonts w:ascii="Times New Roman" w:hAnsi="Times New Roman"/>
      <w:sz w:val="24"/>
      <w:szCs w:val="24"/>
      <w:lang w:eastAsia="sk-SK"/>
    </w:rPr>
  </w:style>
  <w:style w:type="paragraph" w:styleId="Textkoncovejpoznmky">
    <w:name w:val="endnote text"/>
    <w:basedOn w:val="Normlny"/>
    <w:link w:val="TextkoncovejpoznmkyChar"/>
    <w:uiPriority w:val="99"/>
    <w:rsid w:val="005D6019"/>
    <w:rPr>
      <w:sz w:val="20"/>
      <w:szCs w:val="20"/>
    </w:rPr>
  </w:style>
  <w:style w:type="character" w:customStyle="1" w:styleId="TextkoncovejpoznmkyChar">
    <w:name w:val="Text koncovej poznámky Char"/>
    <w:basedOn w:val="Predvolenpsmoodseku"/>
    <w:link w:val="Textkoncovejpoznmky"/>
    <w:uiPriority w:val="99"/>
    <w:locked/>
    <w:rsid w:val="005D6019"/>
    <w:rPr>
      <w:rFonts w:eastAsia="Times New Roman" w:cs="Times New Roman"/>
      <w:lang w:eastAsia="en-US"/>
    </w:rPr>
  </w:style>
  <w:style w:type="character" w:styleId="Odkaznakoncovpoznmku">
    <w:name w:val="endnote reference"/>
    <w:basedOn w:val="Predvolenpsmoodseku"/>
    <w:uiPriority w:val="99"/>
    <w:rsid w:val="005D6019"/>
    <w:rPr>
      <w:rFonts w:cs="Times New Roman"/>
      <w:vertAlign w:val="superscript"/>
    </w:rPr>
  </w:style>
  <w:style w:type="character" w:customStyle="1" w:styleId="st1">
    <w:name w:val="st1"/>
    <w:uiPriority w:val="99"/>
    <w:rsid w:val="000E1357"/>
  </w:style>
  <w:style w:type="character" w:customStyle="1" w:styleId="shorttext">
    <w:name w:val="short_text"/>
    <w:uiPriority w:val="99"/>
    <w:rsid w:val="008F59DB"/>
  </w:style>
  <w:style w:type="character" w:styleId="Textzstupnhosymbolu">
    <w:name w:val="Placeholder Text"/>
    <w:basedOn w:val="Predvolenpsmoodseku"/>
    <w:uiPriority w:val="99"/>
    <w:semiHidden/>
    <w:rsid w:val="002B03AE"/>
    <w:rPr>
      <w:rFonts w:cs="Times New Roman"/>
      <w:color w:val="808080"/>
    </w:rPr>
  </w:style>
  <w:style w:type="character" w:customStyle="1" w:styleId="apple-converted-space">
    <w:name w:val="apple-converted-space"/>
    <w:basedOn w:val="Predvolenpsmoodseku"/>
    <w:uiPriority w:val="99"/>
    <w:rsid w:val="00E94121"/>
    <w:rPr>
      <w:rFonts w:cs="Times New Roman"/>
    </w:rPr>
  </w:style>
</w:styles>
</file>

<file path=word/webSettings.xml><?xml version="1.0" encoding="utf-8"?>
<w:webSettings xmlns:r="http://schemas.openxmlformats.org/officeDocument/2006/relationships" xmlns:w="http://schemas.openxmlformats.org/wordprocessingml/2006/main">
  <w:divs>
    <w:div w:id="21328525">
      <w:bodyDiv w:val="1"/>
      <w:marLeft w:val="0"/>
      <w:marRight w:val="0"/>
      <w:marTop w:val="0"/>
      <w:marBottom w:val="0"/>
      <w:divBdr>
        <w:top w:val="none" w:sz="0" w:space="0" w:color="auto"/>
        <w:left w:val="none" w:sz="0" w:space="0" w:color="auto"/>
        <w:bottom w:val="none" w:sz="0" w:space="0" w:color="auto"/>
        <w:right w:val="none" w:sz="0" w:space="0" w:color="auto"/>
      </w:divBdr>
    </w:div>
    <w:div w:id="1501122970">
      <w:marLeft w:val="0"/>
      <w:marRight w:val="0"/>
      <w:marTop w:val="0"/>
      <w:marBottom w:val="0"/>
      <w:divBdr>
        <w:top w:val="none" w:sz="0" w:space="0" w:color="auto"/>
        <w:left w:val="none" w:sz="0" w:space="0" w:color="auto"/>
        <w:bottom w:val="none" w:sz="0" w:space="0" w:color="auto"/>
        <w:right w:val="none" w:sz="0" w:space="0" w:color="auto"/>
      </w:divBdr>
    </w:div>
    <w:div w:id="1501122971">
      <w:marLeft w:val="0"/>
      <w:marRight w:val="0"/>
      <w:marTop w:val="0"/>
      <w:marBottom w:val="0"/>
      <w:divBdr>
        <w:top w:val="none" w:sz="0" w:space="0" w:color="auto"/>
        <w:left w:val="none" w:sz="0" w:space="0" w:color="auto"/>
        <w:bottom w:val="none" w:sz="0" w:space="0" w:color="auto"/>
        <w:right w:val="none" w:sz="0" w:space="0" w:color="auto"/>
      </w:divBdr>
      <w:divsChild>
        <w:div w:id="1501122969">
          <w:marLeft w:val="0"/>
          <w:marRight w:val="0"/>
          <w:marTop w:val="100"/>
          <w:marBottom w:val="100"/>
          <w:divBdr>
            <w:top w:val="none" w:sz="0" w:space="0" w:color="auto"/>
            <w:left w:val="none" w:sz="0" w:space="0" w:color="auto"/>
            <w:bottom w:val="none" w:sz="0" w:space="0" w:color="auto"/>
            <w:right w:val="none" w:sz="0" w:space="0" w:color="auto"/>
          </w:divBdr>
          <w:divsChild>
            <w:div w:id="1501123017">
              <w:marLeft w:val="0"/>
              <w:marRight w:val="0"/>
              <w:marTop w:val="0"/>
              <w:marBottom w:val="0"/>
              <w:divBdr>
                <w:top w:val="none" w:sz="0" w:space="0" w:color="auto"/>
                <w:left w:val="none" w:sz="0" w:space="0" w:color="auto"/>
                <w:bottom w:val="none" w:sz="0" w:space="0" w:color="auto"/>
                <w:right w:val="none" w:sz="0" w:space="0" w:color="auto"/>
              </w:divBdr>
              <w:divsChild>
                <w:div w:id="1501122976">
                  <w:marLeft w:val="2174"/>
                  <w:marRight w:val="3668"/>
                  <w:marTop w:val="0"/>
                  <w:marBottom w:val="0"/>
                  <w:divBdr>
                    <w:top w:val="none" w:sz="0" w:space="0" w:color="auto"/>
                    <w:left w:val="none" w:sz="0" w:space="0" w:color="auto"/>
                    <w:bottom w:val="none" w:sz="0" w:space="0" w:color="auto"/>
                    <w:right w:val="none" w:sz="0" w:space="0" w:color="auto"/>
                  </w:divBdr>
                  <w:divsChild>
                    <w:div w:id="1501122982">
                      <w:marLeft w:val="0"/>
                      <w:marRight w:val="0"/>
                      <w:marTop w:val="0"/>
                      <w:marBottom w:val="0"/>
                      <w:divBdr>
                        <w:top w:val="none" w:sz="0" w:space="0" w:color="auto"/>
                        <w:left w:val="none" w:sz="0" w:space="0" w:color="auto"/>
                        <w:bottom w:val="none" w:sz="0" w:space="0" w:color="auto"/>
                        <w:right w:val="none" w:sz="0" w:space="0" w:color="auto"/>
                      </w:divBdr>
                      <w:divsChild>
                        <w:div w:id="1501122995">
                          <w:marLeft w:val="0"/>
                          <w:marRight w:val="0"/>
                          <w:marTop w:val="0"/>
                          <w:marBottom w:val="0"/>
                          <w:divBdr>
                            <w:top w:val="none" w:sz="0" w:space="0" w:color="auto"/>
                            <w:left w:val="none" w:sz="0" w:space="0" w:color="auto"/>
                            <w:bottom w:val="none" w:sz="0" w:space="0" w:color="auto"/>
                            <w:right w:val="none" w:sz="0" w:space="0" w:color="auto"/>
                          </w:divBdr>
                          <w:divsChild>
                            <w:div w:id="15011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22972">
      <w:marLeft w:val="0"/>
      <w:marRight w:val="0"/>
      <w:marTop w:val="0"/>
      <w:marBottom w:val="0"/>
      <w:divBdr>
        <w:top w:val="none" w:sz="0" w:space="0" w:color="auto"/>
        <w:left w:val="none" w:sz="0" w:space="0" w:color="auto"/>
        <w:bottom w:val="none" w:sz="0" w:space="0" w:color="auto"/>
        <w:right w:val="none" w:sz="0" w:space="0" w:color="auto"/>
      </w:divBdr>
      <w:divsChild>
        <w:div w:id="1501122990">
          <w:marLeft w:val="0"/>
          <w:marRight w:val="0"/>
          <w:marTop w:val="100"/>
          <w:marBottom w:val="100"/>
          <w:divBdr>
            <w:top w:val="none" w:sz="0" w:space="0" w:color="auto"/>
            <w:left w:val="none" w:sz="0" w:space="0" w:color="auto"/>
            <w:bottom w:val="none" w:sz="0" w:space="0" w:color="auto"/>
            <w:right w:val="none" w:sz="0" w:space="0" w:color="auto"/>
          </w:divBdr>
          <w:divsChild>
            <w:div w:id="1501123024">
              <w:marLeft w:val="0"/>
              <w:marRight w:val="0"/>
              <w:marTop w:val="0"/>
              <w:marBottom w:val="0"/>
              <w:divBdr>
                <w:top w:val="none" w:sz="0" w:space="0" w:color="auto"/>
                <w:left w:val="none" w:sz="0" w:space="0" w:color="auto"/>
                <w:bottom w:val="none" w:sz="0" w:space="0" w:color="auto"/>
                <w:right w:val="none" w:sz="0" w:space="0" w:color="auto"/>
              </w:divBdr>
              <w:divsChild>
                <w:div w:id="1501122975">
                  <w:marLeft w:val="2174"/>
                  <w:marRight w:val="3668"/>
                  <w:marTop w:val="0"/>
                  <w:marBottom w:val="0"/>
                  <w:divBdr>
                    <w:top w:val="none" w:sz="0" w:space="0" w:color="auto"/>
                    <w:left w:val="none" w:sz="0" w:space="0" w:color="auto"/>
                    <w:bottom w:val="none" w:sz="0" w:space="0" w:color="auto"/>
                    <w:right w:val="none" w:sz="0" w:space="0" w:color="auto"/>
                  </w:divBdr>
                  <w:divsChild>
                    <w:div w:id="1501122991">
                      <w:marLeft w:val="0"/>
                      <w:marRight w:val="0"/>
                      <w:marTop w:val="0"/>
                      <w:marBottom w:val="0"/>
                      <w:divBdr>
                        <w:top w:val="none" w:sz="0" w:space="0" w:color="auto"/>
                        <w:left w:val="none" w:sz="0" w:space="0" w:color="auto"/>
                        <w:bottom w:val="none" w:sz="0" w:space="0" w:color="auto"/>
                        <w:right w:val="none" w:sz="0" w:space="0" w:color="auto"/>
                      </w:divBdr>
                      <w:divsChild>
                        <w:div w:id="1501122980">
                          <w:marLeft w:val="0"/>
                          <w:marRight w:val="0"/>
                          <w:marTop w:val="0"/>
                          <w:marBottom w:val="0"/>
                          <w:divBdr>
                            <w:top w:val="none" w:sz="0" w:space="0" w:color="auto"/>
                            <w:left w:val="none" w:sz="0" w:space="0" w:color="auto"/>
                            <w:bottom w:val="none" w:sz="0" w:space="0" w:color="auto"/>
                            <w:right w:val="none" w:sz="0" w:space="0" w:color="auto"/>
                          </w:divBdr>
                          <w:divsChild>
                            <w:div w:id="15011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22973">
      <w:marLeft w:val="0"/>
      <w:marRight w:val="0"/>
      <w:marTop w:val="0"/>
      <w:marBottom w:val="0"/>
      <w:divBdr>
        <w:top w:val="none" w:sz="0" w:space="0" w:color="auto"/>
        <w:left w:val="none" w:sz="0" w:space="0" w:color="auto"/>
        <w:bottom w:val="none" w:sz="0" w:space="0" w:color="auto"/>
        <w:right w:val="none" w:sz="0" w:space="0" w:color="auto"/>
      </w:divBdr>
    </w:div>
    <w:div w:id="1501122974">
      <w:marLeft w:val="0"/>
      <w:marRight w:val="0"/>
      <w:marTop w:val="0"/>
      <w:marBottom w:val="0"/>
      <w:divBdr>
        <w:top w:val="none" w:sz="0" w:space="0" w:color="auto"/>
        <w:left w:val="none" w:sz="0" w:space="0" w:color="auto"/>
        <w:bottom w:val="none" w:sz="0" w:space="0" w:color="auto"/>
        <w:right w:val="none" w:sz="0" w:space="0" w:color="auto"/>
      </w:divBdr>
    </w:div>
    <w:div w:id="1501122977">
      <w:marLeft w:val="0"/>
      <w:marRight w:val="0"/>
      <w:marTop w:val="0"/>
      <w:marBottom w:val="0"/>
      <w:divBdr>
        <w:top w:val="none" w:sz="0" w:space="0" w:color="auto"/>
        <w:left w:val="none" w:sz="0" w:space="0" w:color="auto"/>
        <w:bottom w:val="none" w:sz="0" w:space="0" w:color="auto"/>
        <w:right w:val="none" w:sz="0" w:space="0" w:color="auto"/>
      </w:divBdr>
    </w:div>
    <w:div w:id="1501122984">
      <w:marLeft w:val="0"/>
      <w:marRight w:val="0"/>
      <w:marTop w:val="0"/>
      <w:marBottom w:val="0"/>
      <w:divBdr>
        <w:top w:val="none" w:sz="0" w:space="0" w:color="auto"/>
        <w:left w:val="none" w:sz="0" w:space="0" w:color="auto"/>
        <w:bottom w:val="none" w:sz="0" w:space="0" w:color="auto"/>
        <w:right w:val="none" w:sz="0" w:space="0" w:color="auto"/>
      </w:divBdr>
      <w:divsChild>
        <w:div w:id="1501123007">
          <w:marLeft w:val="0"/>
          <w:marRight w:val="0"/>
          <w:marTop w:val="0"/>
          <w:marBottom w:val="0"/>
          <w:divBdr>
            <w:top w:val="none" w:sz="0" w:space="0" w:color="auto"/>
            <w:left w:val="none" w:sz="0" w:space="0" w:color="auto"/>
            <w:bottom w:val="none" w:sz="0" w:space="0" w:color="auto"/>
            <w:right w:val="none" w:sz="0" w:space="0" w:color="auto"/>
          </w:divBdr>
          <w:divsChild>
            <w:div w:id="1501123020">
              <w:marLeft w:val="0"/>
              <w:marRight w:val="0"/>
              <w:marTop w:val="0"/>
              <w:marBottom w:val="0"/>
              <w:divBdr>
                <w:top w:val="none" w:sz="0" w:space="0" w:color="auto"/>
                <w:left w:val="none" w:sz="0" w:space="0" w:color="auto"/>
                <w:bottom w:val="none" w:sz="0" w:space="0" w:color="auto"/>
                <w:right w:val="none" w:sz="0" w:space="0" w:color="auto"/>
              </w:divBdr>
              <w:divsChild>
                <w:div w:id="1501122994">
                  <w:marLeft w:val="0"/>
                  <w:marRight w:val="0"/>
                  <w:marTop w:val="0"/>
                  <w:marBottom w:val="0"/>
                  <w:divBdr>
                    <w:top w:val="none" w:sz="0" w:space="0" w:color="auto"/>
                    <w:left w:val="none" w:sz="0" w:space="0" w:color="auto"/>
                    <w:bottom w:val="none" w:sz="0" w:space="0" w:color="auto"/>
                    <w:right w:val="none" w:sz="0" w:space="0" w:color="auto"/>
                  </w:divBdr>
                  <w:divsChild>
                    <w:div w:id="15011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22986">
      <w:marLeft w:val="0"/>
      <w:marRight w:val="0"/>
      <w:marTop w:val="0"/>
      <w:marBottom w:val="0"/>
      <w:divBdr>
        <w:top w:val="none" w:sz="0" w:space="0" w:color="auto"/>
        <w:left w:val="none" w:sz="0" w:space="0" w:color="auto"/>
        <w:bottom w:val="none" w:sz="0" w:space="0" w:color="auto"/>
        <w:right w:val="none" w:sz="0" w:space="0" w:color="auto"/>
      </w:divBdr>
    </w:div>
    <w:div w:id="1501122988">
      <w:marLeft w:val="0"/>
      <w:marRight w:val="0"/>
      <w:marTop w:val="0"/>
      <w:marBottom w:val="0"/>
      <w:divBdr>
        <w:top w:val="none" w:sz="0" w:space="0" w:color="auto"/>
        <w:left w:val="none" w:sz="0" w:space="0" w:color="auto"/>
        <w:bottom w:val="none" w:sz="0" w:space="0" w:color="auto"/>
        <w:right w:val="none" w:sz="0" w:space="0" w:color="auto"/>
      </w:divBdr>
    </w:div>
    <w:div w:id="1501122989">
      <w:marLeft w:val="0"/>
      <w:marRight w:val="0"/>
      <w:marTop w:val="0"/>
      <w:marBottom w:val="0"/>
      <w:divBdr>
        <w:top w:val="none" w:sz="0" w:space="0" w:color="auto"/>
        <w:left w:val="none" w:sz="0" w:space="0" w:color="auto"/>
        <w:bottom w:val="none" w:sz="0" w:space="0" w:color="auto"/>
        <w:right w:val="none" w:sz="0" w:space="0" w:color="auto"/>
      </w:divBdr>
    </w:div>
    <w:div w:id="1501122992">
      <w:marLeft w:val="0"/>
      <w:marRight w:val="0"/>
      <w:marTop w:val="0"/>
      <w:marBottom w:val="0"/>
      <w:divBdr>
        <w:top w:val="none" w:sz="0" w:space="0" w:color="auto"/>
        <w:left w:val="none" w:sz="0" w:space="0" w:color="auto"/>
        <w:bottom w:val="none" w:sz="0" w:space="0" w:color="auto"/>
        <w:right w:val="none" w:sz="0" w:space="0" w:color="auto"/>
      </w:divBdr>
    </w:div>
    <w:div w:id="1501122998">
      <w:marLeft w:val="0"/>
      <w:marRight w:val="0"/>
      <w:marTop w:val="0"/>
      <w:marBottom w:val="0"/>
      <w:divBdr>
        <w:top w:val="none" w:sz="0" w:space="0" w:color="auto"/>
        <w:left w:val="none" w:sz="0" w:space="0" w:color="auto"/>
        <w:bottom w:val="none" w:sz="0" w:space="0" w:color="auto"/>
        <w:right w:val="none" w:sz="0" w:space="0" w:color="auto"/>
      </w:divBdr>
      <w:divsChild>
        <w:div w:id="1501123025">
          <w:marLeft w:val="547"/>
          <w:marRight w:val="0"/>
          <w:marTop w:val="0"/>
          <w:marBottom w:val="0"/>
          <w:divBdr>
            <w:top w:val="none" w:sz="0" w:space="0" w:color="auto"/>
            <w:left w:val="none" w:sz="0" w:space="0" w:color="auto"/>
            <w:bottom w:val="none" w:sz="0" w:space="0" w:color="auto"/>
            <w:right w:val="none" w:sz="0" w:space="0" w:color="auto"/>
          </w:divBdr>
        </w:div>
      </w:divsChild>
    </w:div>
    <w:div w:id="1501122999">
      <w:marLeft w:val="0"/>
      <w:marRight w:val="0"/>
      <w:marTop w:val="0"/>
      <w:marBottom w:val="0"/>
      <w:divBdr>
        <w:top w:val="none" w:sz="0" w:space="0" w:color="auto"/>
        <w:left w:val="none" w:sz="0" w:space="0" w:color="auto"/>
        <w:bottom w:val="none" w:sz="0" w:space="0" w:color="auto"/>
        <w:right w:val="none" w:sz="0" w:space="0" w:color="auto"/>
      </w:divBdr>
      <w:divsChild>
        <w:div w:id="1501122966">
          <w:marLeft w:val="0"/>
          <w:marRight w:val="0"/>
          <w:marTop w:val="0"/>
          <w:marBottom w:val="0"/>
          <w:divBdr>
            <w:top w:val="none" w:sz="0" w:space="0" w:color="auto"/>
            <w:left w:val="none" w:sz="0" w:space="0" w:color="auto"/>
            <w:bottom w:val="none" w:sz="0" w:space="0" w:color="auto"/>
            <w:right w:val="none" w:sz="0" w:space="0" w:color="auto"/>
          </w:divBdr>
          <w:divsChild>
            <w:div w:id="1501123002">
              <w:marLeft w:val="0"/>
              <w:marRight w:val="0"/>
              <w:marTop w:val="0"/>
              <w:marBottom w:val="0"/>
              <w:divBdr>
                <w:top w:val="none" w:sz="0" w:space="0" w:color="auto"/>
                <w:left w:val="none" w:sz="0" w:space="0" w:color="auto"/>
                <w:bottom w:val="none" w:sz="0" w:space="0" w:color="auto"/>
                <w:right w:val="none" w:sz="0" w:space="0" w:color="auto"/>
              </w:divBdr>
              <w:divsChild>
                <w:div w:id="1501123015">
                  <w:marLeft w:val="0"/>
                  <w:marRight w:val="0"/>
                  <w:marTop w:val="0"/>
                  <w:marBottom w:val="0"/>
                  <w:divBdr>
                    <w:top w:val="none" w:sz="0" w:space="0" w:color="auto"/>
                    <w:left w:val="none" w:sz="0" w:space="0" w:color="auto"/>
                    <w:bottom w:val="none" w:sz="0" w:space="0" w:color="auto"/>
                    <w:right w:val="none" w:sz="0" w:space="0" w:color="auto"/>
                  </w:divBdr>
                  <w:divsChild>
                    <w:div w:id="1501122997">
                      <w:marLeft w:val="0"/>
                      <w:marRight w:val="0"/>
                      <w:marTop w:val="0"/>
                      <w:marBottom w:val="0"/>
                      <w:divBdr>
                        <w:top w:val="none" w:sz="0" w:space="0" w:color="auto"/>
                        <w:left w:val="none" w:sz="0" w:space="0" w:color="auto"/>
                        <w:bottom w:val="none" w:sz="0" w:space="0" w:color="auto"/>
                        <w:right w:val="none" w:sz="0" w:space="0" w:color="auto"/>
                      </w:divBdr>
                      <w:divsChild>
                        <w:div w:id="15011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23000">
      <w:marLeft w:val="0"/>
      <w:marRight w:val="0"/>
      <w:marTop w:val="0"/>
      <w:marBottom w:val="0"/>
      <w:divBdr>
        <w:top w:val="none" w:sz="0" w:space="0" w:color="auto"/>
        <w:left w:val="none" w:sz="0" w:space="0" w:color="auto"/>
        <w:bottom w:val="none" w:sz="0" w:space="0" w:color="auto"/>
        <w:right w:val="none" w:sz="0" w:space="0" w:color="auto"/>
      </w:divBdr>
    </w:div>
    <w:div w:id="1501123003">
      <w:marLeft w:val="0"/>
      <w:marRight w:val="0"/>
      <w:marTop w:val="0"/>
      <w:marBottom w:val="0"/>
      <w:divBdr>
        <w:top w:val="none" w:sz="0" w:space="0" w:color="auto"/>
        <w:left w:val="none" w:sz="0" w:space="0" w:color="auto"/>
        <w:bottom w:val="none" w:sz="0" w:space="0" w:color="auto"/>
        <w:right w:val="none" w:sz="0" w:space="0" w:color="auto"/>
      </w:divBdr>
    </w:div>
    <w:div w:id="1501123006">
      <w:marLeft w:val="0"/>
      <w:marRight w:val="0"/>
      <w:marTop w:val="0"/>
      <w:marBottom w:val="0"/>
      <w:divBdr>
        <w:top w:val="none" w:sz="0" w:space="0" w:color="auto"/>
        <w:left w:val="none" w:sz="0" w:space="0" w:color="auto"/>
        <w:bottom w:val="none" w:sz="0" w:space="0" w:color="auto"/>
        <w:right w:val="none" w:sz="0" w:space="0" w:color="auto"/>
      </w:divBdr>
    </w:div>
    <w:div w:id="1501123008">
      <w:marLeft w:val="0"/>
      <w:marRight w:val="0"/>
      <w:marTop w:val="0"/>
      <w:marBottom w:val="0"/>
      <w:divBdr>
        <w:top w:val="none" w:sz="0" w:space="0" w:color="auto"/>
        <w:left w:val="none" w:sz="0" w:space="0" w:color="auto"/>
        <w:bottom w:val="none" w:sz="0" w:space="0" w:color="auto"/>
        <w:right w:val="none" w:sz="0" w:space="0" w:color="auto"/>
      </w:divBdr>
    </w:div>
    <w:div w:id="1501123009">
      <w:marLeft w:val="0"/>
      <w:marRight w:val="0"/>
      <w:marTop w:val="0"/>
      <w:marBottom w:val="0"/>
      <w:divBdr>
        <w:top w:val="none" w:sz="0" w:space="0" w:color="auto"/>
        <w:left w:val="none" w:sz="0" w:space="0" w:color="auto"/>
        <w:bottom w:val="none" w:sz="0" w:space="0" w:color="auto"/>
        <w:right w:val="none" w:sz="0" w:space="0" w:color="auto"/>
      </w:divBdr>
      <w:divsChild>
        <w:div w:id="1501123021">
          <w:marLeft w:val="0"/>
          <w:marRight w:val="0"/>
          <w:marTop w:val="0"/>
          <w:marBottom w:val="0"/>
          <w:divBdr>
            <w:top w:val="none" w:sz="0" w:space="0" w:color="auto"/>
            <w:left w:val="none" w:sz="0" w:space="0" w:color="auto"/>
            <w:bottom w:val="none" w:sz="0" w:space="0" w:color="auto"/>
            <w:right w:val="none" w:sz="0" w:space="0" w:color="auto"/>
          </w:divBdr>
          <w:divsChild>
            <w:div w:id="1501122978">
              <w:marLeft w:val="0"/>
              <w:marRight w:val="0"/>
              <w:marTop w:val="0"/>
              <w:marBottom w:val="0"/>
              <w:divBdr>
                <w:top w:val="none" w:sz="0" w:space="0" w:color="auto"/>
                <w:left w:val="none" w:sz="0" w:space="0" w:color="auto"/>
                <w:bottom w:val="none" w:sz="0" w:space="0" w:color="auto"/>
                <w:right w:val="none" w:sz="0" w:space="0" w:color="auto"/>
              </w:divBdr>
              <w:divsChild>
                <w:div w:id="1501123011">
                  <w:marLeft w:val="0"/>
                  <w:marRight w:val="0"/>
                  <w:marTop w:val="0"/>
                  <w:marBottom w:val="0"/>
                  <w:divBdr>
                    <w:top w:val="none" w:sz="0" w:space="0" w:color="auto"/>
                    <w:left w:val="none" w:sz="0" w:space="0" w:color="auto"/>
                    <w:bottom w:val="none" w:sz="0" w:space="0" w:color="auto"/>
                    <w:right w:val="none" w:sz="0" w:space="0" w:color="auto"/>
                  </w:divBdr>
                  <w:divsChild>
                    <w:div w:id="1501123014">
                      <w:marLeft w:val="0"/>
                      <w:marRight w:val="0"/>
                      <w:marTop w:val="0"/>
                      <w:marBottom w:val="0"/>
                      <w:divBdr>
                        <w:top w:val="none" w:sz="0" w:space="0" w:color="auto"/>
                        <w:left w:val="none" w:sz="0" w:space="0" w:color="auto"/>
                        <w:bottom w:val="none" w:sz="0" w:space="0" w:color="auto"/>
                        <w:right w:val="none" w:sz="0" w:space="0" w:color="auto"/>
                      </w:divBdr>
                      <w:divsChild>
                        <w:div w:id="15011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23012">
      <w:marLeft w:val="0"/>
      <w:marRight w:val="0"/>
      <w:marTop w:val="0"/>
      <w:marBottom w:val="0"/>
      <w:divBdr>
        <w:top w:val="none" w:sz="0" w:space="0" w:color="auto"/>
        <w:left w:val="none" w:sz="0" w:space="0" w:color="auto"/>
        <w:bottom w:val="none" w:sz="0" w:space="0" w:color="auto"/>
        <w:right w:val="none" w:sz="0" w:space="0" w:color="auto"/>
      </w:divBdr>
      <w:divsChild>
        <w:div w:id="1501122967">
          <w:marLeft w:val="0"/>
          <w:marRight w:val="0"/>
          <w:marTop w:val="100"/>
          <w:marBottom w:val="100"/>
          <w:divBdr>
            <w:top w:val="none" w:sz="0" w:space="0" w:color="auto"/>
            <w:left w:val="none" w:sz="0" w:space="0" w:color="auto"/>
            <w:bottom w:val="none" w:sz="0" w:space="0" w:color="auto"/>
            <w:right w:val="none" w:sz="0" w:space="0" w:color="auto"/>
          </w:divBdr>
          <w:divsChild>
            <w:div w:id="1501122985">
              <w:marLeft w:val="0"/>
              <w:marRight w:val="0"/>
              <w:marTop w:val="0"/>
              <w:marBottom w:val="0"/>
              <w:divBdr>
                <w:top w:val="none" w:sz="0" w:space="0" w:color="auto"/>
                <w:left w:val="none" w:sz="0" w:space="0" w:color="auto"/>
                <w:bottom w:val="none" w:sz="0" w:space="0" w:color="auto"/>
                <w:right w:val="none" w:sz="0" w:space="0" w:color="auto"/>
              </w:divBdr>
              <w:divsChild>
                <w:div w:id="1501122968">
                  <w:marLeft w:val="2174"/>
                  <w:marRight w:val="3668"/>
                  <w:marTop w:val="0"/>
                  <w:marBottom w:val="0"/>
                  <w:divBdr>
                    <w:top w:val="none" w:sz="0" w:space="0" w:color="auto"/>
                    <w:left w:val="none" w:sz="0" w:space="0" w:color="auto"/>
                    <w:bottom w:val="none" w:sz="0" w:space="0" w:color="auto"/>
                    <w:right w:val="none" w:sz="0" w:space="0" w:color="auto"/>
                  </w:divBdr>
                  <w:divsChild>
                    <w:div w:id="1501123016">
                      <w:marLeft w:val="0"/>
                      <w:marRight w:val="0"/>
                      <w:marTop w:val="0"/>
                      <w:marBottom w:val="0"/>
                      <w:divBdr>
                        <w:top w:val="none" w:sz="0" w:space="0" w:color="auto"/>
                        <w:left w:val="none" w:sz="0" w:space="0" w:color="auto"/>
                        <w:bottom w:val="none" w:sz="0" w:space="0" w:color="auto"/>
                        <w:right w:val="none" w:sz="0" w:space="0" w:color="auto"/>
                      </w:divBdr>
                      <w:divsChild>
                        <w:div w:id="1501122981">
                          <w:marLeft w:val="0"/>
                          <w:marRight w:val="0"/>
                          <w:marTop w:val="0"/>
                          <w:marBottom w:val="0"/>
                          <w:divBdr>
                            <w:top w:val="none" w:sz="0" w:space="0" w:color="auto"/>
                            <w:left w:val="none" w:sz="0" w:space="0" w:color="auto"/>
                            <w:bottom w:val="none" w:sz="0" w:space="0" w:color="auto"/>
                            <w:right w:val="none" w:sz="0" w:space="0" w:color="auto"/>
                          </w:divBdr>
                          <w:divsChild>
                            <w:div w:id="15011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23013">
      <w:marLeft w:val="0"/>
      <w:marRight w:val="0"/>
      <w:marTop w:val="0"/>
      <w:marBottom w:val="0"/>
      <w:divBdr>
        <w:top w:val="none" w:sz="0" w:space="0" w:color="auto"/>
        <w:left w:val="none" w:sz="0" w:space="0" w:color="auto"/>
        <w:bottom w:val="none" w:sz="0" w:space="0" w:color="auto"/>
        <w:right w:val="none" w:sz="0" w:space="0" w:color="auto"/>
      </w:divBdr>
      <w:divsChild>
        <w:div w:id="1501122979">
          <w:marLeft w:val="0"/>
          <w:marRight w:val="0"/>
          <w:marTop w:val="100"/>
          <w:marBottom w:val="100"/>
          <w:divBdr>
            <w:top w:val="none" w:sz="0" w:space="0" w:color="auto"/>
            <w:left w:val="none" w:sz="0" w:space="0" w:color="auto"/>
            <w:bottom w:val="none" w:sz="0" w:space="0" w:color="auto"/>
            <w:right w:val="none" w:sz="0" w:space="0" w:color="auto"/>
          </w:divBdr>
          <w:divsChild>
            <w:div w:id="1501123023">
              <w:marLeft w:val="0"/>
              <w:marRight w:val="0"/>
              <w:marTop w:val="0"/>
              <w:marBottom w:val="0"/>
              <w:divBdr>
                <w:top w:val="none" w:sz="0" w:space="0" w:color="auto"/>
                <w:left w:val="none" w:sz="0" w:space="0" w:color="auto"/>
                <w:bottom w:val="none" w:sz="0" w:space="0" w:color="auto"/>
                <w:right w:val="none" w:sz="0" w:space="0" w:color="auto"/>
              </w:divBdr>
              <w:divsChild>
                <w:div w:id="1501122993">
                  <w:marLeft w:val="2174"/>
                  <w:marRight w:val="3668"/>
                  <w:marTop w:val="0"/>
                  <w:marBottom w:val="0"/>
                  <w:divBdr>
                    <w:top w:val="none" w:sz="0" w:space="0" w:color="auto"/>
                    <w:left w:val="none" w:sz="0" w:space="0" w:color="auto"/>
                    <w:bottom w:val="none" w:sz="0" w:space="0" w:color="auto"/>
                    <w:right w:val="none" w:sz="0" w:space="0" w:color="auto"/>
                  </w:divBdr>
                  <w:divsChild>
                    <w:div w:id="1501123005">
                      <w:marLeft w:val="0"/>
                      <w:marRight w:val="0"/>
                      <w:marTop w:val="0"/>
                      <w:marBottom w:val="0"/>
                      <w:divBdr>
                        <w:top w:val="none" w:sz="0" w:space="0" w:color="auto"/>
                        <w:left w:val="none" w:sz="0" w:space="0" w:color="auto"/>
                        <w:bottom w:val="none" w:sz="0" w:space="0" w:color="auto"/>
                        <w:right w:val="none" w:sz="0" w:space="0" w:color="auto"/>
                      </w:divBdr>
                      <w:divsChild>
                        <w:div w:id="1501123018">
                          <w:marLeft w:val="0"/>
                          <w:marRight w:val="0"/>
                          <w:marTop w:val="0"/>
                          <w:marBottom w:val="0"/>
                          <w:divBdr>
                            <w:top w:val="none" w:sz="0" w:space="0" w:color="auto"/>
                            <w:left w:val="none" w:sz="0" w:space="0" w:color="auto"/>
                            <w:bottom w:val="none" w:sz="0" w:space="0" w:color="auto"/>
                            <w:right w:val="none" w:sz="0" w:space="0" w:color="auto"/>
                          </w:divBdr>
                          <w:divsChild>
                            <w:div w:id="15011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23022">
      <w:marLeft w:val="0"/>
      <w:marRight w:val="0"/>
      <w:marTop w:val="0"/>
      <w:marBottom w:val="0"/>
      <w:divBdr>
        <w:top w:val="none" w:sz="0" w:space="0" w:color="auto"/>
        <w:left w:val="none" w:sz="0" w:space="0" w:color="auto"/>
        <w:bottom w:val="none" w:sz="0" w:space="0" w:color="auto"/>
        <w:right w:val="none" w:sz="0" w:space="0" w:color="auto"/>
      </w:divBdr>
    </w:div>
    <w:div w:id="1615748284">
      <w:bodyDiv w:val="1"/>
      <w:marLeft w:val="0"/>
      <w:marRight w:val="0"/>
      <w:marTop w:val="0"/>
      <w:marBottom w:val="0"/>
      <w:divBdr>
        <w:top w:val="none" w:sz="0" w:space="0" w:color="auto"/>
        <w:left w:val="none" w:sz="0" w:space="0" w:color="auto"/>
        <w:bottom w:val="none" w:sz="0" w:space="0" w:color="auto"/>
        <w:right w:val="none" w:sz="0" w:space="0" w:color="auto"/>
      </w:divBdr>
    </w:div>
    <w:div w:id="1759133744">
      <w:bodyDiv w:val="1"/>
      <w:marLeft w:val="0"/>
      <w:marRight w:val="0"/>
      <w:marTop w:val="0"/>
      <w:marBottom w:val="0"/>
      <w:divBdr>
        <w:top w:val="none" w:sz="0" w:space="0" w:color="auto"/>
        <w:left w:val="none" w:sz="0" w:space="0" w:color="auto"/>
        <w:bottom w:val="none" w:sz="0" w:space="0" w:color="auto"/>
        <w:right w:val="none" w:sz="0" w:space="0" w:color="auto"/>
      </w:divBdr>
    </w:div>
    <w:div w:id="176877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enviroportal.sk/uploads/2011/03/page/environmentalne-temy/star_12/Aktualizacia_uznesenie192008.pdf" TargetMode="External"/><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hyperlink" Target="http://enviroportal.sk/uploads/2011/03/page/environmentalne-temy/star_12/Akcny_plan_uznesenie10462005.pdf"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www.sazp.sk/public/index/open_file.php?file=COHEM/OEM/Ekolabel/legislativa/Nariadenie_EPaR_66_2010.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hyperlink" Target="http://www.rokovania.sk/File.aspx/ViewDocumentHtml/Mater-Dokum-29052?prefixFile=m_"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artin.kohut\Desktop\Program%20predch&#225;dzania%20vzniku%20odpadu%20-%20PPVO\nove\ProgramPredchadzania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exander.jancarik\Documents\SAZP\Simkovicova\2013\ProgramPredchadzania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exander.jancarik\Documents\SAZP\SuborIndikatorov\SuborIndikatorov_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chart>
    <c:view3D>
      <c:rAngAx val="1"/>
    </c:view3D>
    <c:plotArea>
      <c:layout/>
      <c:bar3DChart>
        <c:barDir val="col"/>
        <c:grouping val="stacked"/>
        <c:ser>
          <c:idx val="0"/>
          <c:order val="0"/>
          <c:tx>
            <c:strRef>
              <c:f>'01_Produkcia'!$A$2</c:f>
              <c:strCache>
                <c:ptCount val="1"/>
                <c:pt idx="0">
                  <c:v>Nebezpečné odpady</c:v>
                </c:pt>
              </c:strCache>
            </c:strRef>
          </c:tx>
          <c:cat>
            <c:strRef>
              <c:f>'01_Produkcia'!$B$1:$H$1</c:f>
              <c:strCache>
                <c:ptCount val="7"/>
                <c:pt idx="0">
                  <c:v>2005</c:v>
                </c:pt>
                <c:pt idx="1">
                  <c:v>2006</c:v>
                </c:pt>
                <c:pt idx="2">
                  <c:v>2007</c:v>
                </c:pt>
                <c:pt idx="3">
                  <c:v>2008</c:v>
                </c:pt>
                <c:pt idx="4">
                  <c:v>2009</c:v>
                </c:pt>
                <c:pt idx="5">
                  <c:v>2010</c:v>
                </c:pt>
                <c:pt idx="6">
                  <c:v>2011</c:v>
                </c:pt>
              </c:strCache>
            </c:strRef>
          </c:cat>
          <c:val>
            <c:numRef>
              <c:f>'01_Produkcia'!$B$2:$H$2</c:f>
              <c:numCache>
                <c:formatCode>#,##0.00</c:formatCode>
                <c:ptCount val="7"/>
                <c:pt idx="0">
                  <c:v>559105.61712810688</c:v>
                </c:pt>
                <c:pt idx="1">
                  <c:v>531908.33509704506</c:v>
                </c:pt>
                <c:pt idx="2">
                  <c:v>525134.36025303684</c:v>
                </c:pt>
                <c:pt idx="3">
                  <c:v>523910.95680001401</c:v>
                </c:pt>
                <c:pt idx="4">
                  <c:v>462100.91449999722</c:v>
                </c:pt>
                <c:pt idx="5">
                  <c:v>466421.51409999601</c:v>
                </c:pt>
                <c:pt idx="6">
                  <c:v>379628.73200001422</c:v>
                </c:pt>
              </c:numCache>
            </c:numRef>
          </c:val>
        </c:ser>
        <c:ser>
          <c:idx val="1"/>
          <c:order val="1"/>
          <c:tx>
            <c:strRef>
              <c:f>'01_Produkcia'!$A$3</c:f>
              <c:strCache>
                <c:ptCount val="1"/>
                <c:pt idx="0">
                  <c:v>Ostatné odpady</c:v>
                </c:pt>
              </c:strCache>
            </c:strRef>
          </c:tx>
          <c:cat>
            <c:strRef>
              <c:f>'01_Produkcia'!$B$1:$H$1</c:f>
              <c:strCache>
                <c:ptCount val="7"/>
                <c:pt idx="0">
                  <c:v>2005</c:v>
                </c:pt>
                <c:pt idx="1">
                  <c:v>2006</c:v>
                </c:pt>
                <c:pt idx="2">
                  <c:v>2007</c:v>
                </c:pt>
                <c:pt idx="3">
                  <c:v>2008</c:v>
                </c:pt>
                <c:pt idx="4">
                  <c:v>2009</c:v>
                </c:pt>
                <c:pt idx="5">
                  <c:v>2010</c:v>
                </c:pt>
                <c:pt idx="6">
                  <c:v>2011</c:v>
                </c:pt>
              </c:strCache>
            </c:strRef>
          </c:cat>
          <c:val>
            <c:numRef>
              <c:f>'01_Produkcia'!$B$3:$H$3</c:f>
              <c:numCache>
                <c:formatCode>#,##0.00</c:formatCode>
                <c:ptCount val="7"/>
                <c:pt idx="0">
                  <c:v>8812069.31451465</c:v>
                </c:pt>
                <c:pt idx="1">
                  <c:v>10073243.877606999</c:v>
                </c:pt>
                <c:pt idx="2">
                  <c:v>8738804.9921939392</c:v>
                </c:pt>
                <c:pt idx="3">
                  <c:v>9175670.9444997851</c:v>
                </c:pt>
                <c:pt idx="4">
                  <c:v>6293035.0287999297</c:v>
                </c:pt>
                <c:pt idx="5">
                  <c:v>8480611.6648999806</c:v>
                </c:pt>
                <c:pt idx="6">
                  <c:v>8689165.4797999803</c:v>
                </c:pt>
              </c:numCache>
            </c:numRef>
          </c:val>
        </c:ser>
        <c:ser>
          <c:idx val="2"/>
          <c:order val="2"/>
          <c:tx>
            <c:strRef>
              <c:f>'01_Produkcia'!$A$4</c:f>
              <c:strCache>
                <c:ptCount val="1"/>
                <c:pt idx="0">
                  <c:v>Komunálne odpady</c:v>
                </c:pt>
              </c:strCache>
            </c:strRef>
          </c:tx>
          <c:cat>
            <c:strRef>
              <c:f>'01_Produkcia'!$B$1:$H$1</c:f>
              <c:strCache>
                <c:ptCount val="7"/>
                <c:pt idx="0">
                  <c:v>2005</c:v>
                </c:pt>
                <c:pt idx="1">
                  <c:v>2006</c:v>
                </c:pt>
                <c:pt idx="2">
                  <c:v>2007</c:v>
                </c:pt>
                <c:pt idx="3">
                  <c:v>2008</c:v>
                </c:pt>
                <c:pt idx="4">
                  <c:v>2009</c:v>
                </c:pt>
                <c:pt idx="5">
                  <c:v>2010</c:v>
                </c:pt>
                <c:pt idx="6">
                  <c:v>2011</c:v>
                </c:pt>
              </c:strCache>
            </c:strRef>
          </c:cat>
          <c:val>
            <c:numRef>
              <c:f>'01_Produkcia'!$B$4:$H$4</c:f>
              <c:numCache>
                <c:formatCode>#,##0.00</c:formatCode>
                <c:ptCount val="7"/>
                <c:pt idx="0">
                  <c:v>1558262.9400000102</c:v>
                </c:pt>
                <c:pt idx="1">
                  <c:v>1623306.48000002</c:v>
                </c:pt>
                <c:pt idx="2">
                  <c:v>1668648.31</c:v>
                </c:pt>
                <c:pt idx="3">
                  <c:v>1772425.6200000201</c:v>
                </c:pt>
                <c:pt idx="4">
                  <c:v>1745494.0600000101</c:v>
                </c:pt>
                <c:pt idx="5">
                  <c:v>1808506.0500000101</c:v>
                </c:pt>
                <c:pt idx="6">
                  <c:v>1766990.48000003</c:v>
                </c:pt>
              </c:numCache>
            </c:numRef>
          </c:val>
        </c:ser>
        <c:shape val="box"/>
        <c:axId val="77447936"/>
        <c:axId val="79459456"/>
        <c:axId val="0"/>
      </c:bar3DChart>
      <c:catAx>
        <c:axId val="77447936"/>
        <c:scaling>
          <c:orientation val="minMax"/>
        </c:scaling>
        <c:axPos val="b"/>
        <c:tickLblPos val="nextTo"/>
        <c:crossAx val="79459456"/>
        <c:crosses val="autoZero"/>
        <c:auto val="1"/>
        <c:lblAlgn val="ctr"/>
        <c:lblOffset val="100"/>
      </c:catAx>
      <c:valAx>
        <c:axId val="79459456"/>
        <c:scaling>
          <c:orientation val="minMax"/>
        </c:scaling>
        <c:axPos val="l"/>
        <c:majorGridlines/>
        <c:numFmt formatCode="#,##0.00" sourceLinked="1"/>
        <c:tickLblPos val="nextTo"/>
        <c:crossAx val="7744793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k-SK"/>
  <c:chart>
    <c:autoTitleDeleted val="1"/>
    <c:plotArea>
      <c:layout/>
      <c:lineChart>
        <c:grouping val="standard"/>
        <c:ser>
          <c:idx val="0"/>
          <c:order val="0"/>
          <c:marker>
            <c:symbol val="none"/>
          </c:marker>
          <c:cat>
            <c:strRef>
              <c:f>'02_NaHlavu'!$B$1:$F$1</c:f>
              <c:strCache>
                <c:ptCount val="5"/>
                <c:pt idx="0">
                  <c:v>2007</c:v>
                </c:pt>
                <c:pt idx="1">
                  <c:v>2008</c:v>
                </c:pt>
                <c:pt idx="2">
                  <c:v>2009</c:v>
                </c:pt>
                <c:pt idx="3">
                  <c:v>2010</c:v>
                </c:pt>
                <c:pt idx="4">
                  <c:v>2011</c:v>
                </c:pt>
              </c:strCache>
            </c:strRef>
          </c:cat>
          <c:val>
            <c:numRef>
              <c:f>'02_NaHlavu'!$B$4:$F$4</c:f>
              <c:numCache>
                <c:formatCode>#,##0.00</c:formatCode>
                <c:ptCount val="5"/>
                <c:pt idx="0">
                  <c:v>2.0253911826572675</c:v>
                </c:pt>
                <c:pt idx="1">
                  <c:v>2.1217064784688939</c:v>
                </c:pt>
                <c:pt idx="2">
                  <c:v>1.5688525752006115</c:v>
                </c:pt>
                <c:pt idx="3">
                  <c:v>1.9803888233600511</c:v>
                </c:pt>
                <c:pt idx="4">
                  <c:v>2.0076488367504171</c:v>
                </c:pt>
              </c:numCache>
            </c:numRef>
          </c:val>
        </c:ser>
        <c:marker val="1"/>
        <c:axId val="81508224"/>
        <c:axId val="96157696"/>
      </c:lineChart>
      <c:catAx>
        <c:axId val="81508224"/>
        <c:scaling>
          <c:orientation val="minMax"/>
        </c:scaling>
        <c:axPos val="b"/>
        <c:majorTickMark val="none"/>
        <c:tickLblPos val="nextTo"/>
        <c:crossAx val="96157696"/>
        <c:crosses val="autoZero"/>
        <c:auto val="1"/>
        <c:lblAlgn val="ctr"/>
        <c:lblOffset val="100"/>
      </c:catAx>
      <c:valAx>
        <c:axId val="96157696"/>
        <c:scaling>
          <c:orientation val="minMax"/>
        </c:scaling>
        <c:axPos val="l"/>
        <c:majorGridlines/>
        <c:numFmt formatCode="#,##0.00" sourceLinked="1"/>
        <c:majorTickMark val="none"/>
        <c:tickLblPos val="nextTo"/>
        <c:crossAx val="8150822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k-SK"/>
  <c:chart>
    <c:plotArea>
      <c:layout/>
      <c:lineChart>
        <c:grouping val="standard"/>
        <c:ser>
          <c:idx val="0"/>
          <c:order val="0"/>
          <c:marker>
            <c:symbol val="none"/>
          </c:marker>
          <c:cat>
            <c:numRef>
              <c:f>A_04!$B$5:$H$5</c:f>
              <c:numCache>
                <c:formatCode>General</c:formatCode>
                <c:ptCount val="7"/>
                <c:pt idx="0">
                  <c:v>2005</c:v>
                </c:pt>
                <c:pt idx="1">
                  <c:v>2006</c:v>
                </c:pt>
                <c:pt idx="2">
                  <c:v>2007</c:v>
                </c:pt>
                <c:pt idx="3">
                  <c:v>2008</c:v>
                </c:pt>
                <c:pt idx="4">
                  <c:v>2009</c:v>
                </c:pt>
                <c:pt idx="5">
                  <c:v>2010</c:v>
                </c:pt>
                <c:pt idx="6">
                  <c:v>2011</c:v>
                </c:pt>
              </c:numCache>
            </c:numRef>
          </c:cat>
          <c:val>
            <c:numRef>
              <c:f>A_04!$B$7:$H$7</c:f>
              <c:numCache>
                <c:formatCode>#,##0.000</c:formatCode>
                <c:ptCount val="7"/>
                <c:pt idx="0">
                  <c:v>0.22162861552337268</c:v>
                </c:pt>
                <c:pt idx="1">
                  <c:v>0.26365601532871485</c:v>
                </c:pt>
                <c:pt idx="2">
                  <c:v>0.1779111641301297</c:v>
                </c:pt>
                <c:pt idx="3">
                  <c:v>0.17139718075279581</c:v>
                </c:pt>
                <c:pt idx="4">
                  <c:v>0.13515482034962337</c:v>
                </c:pt>
                <c:pt idx="5">
                  <c:v>0.16324121499709981</c:v>
                </c:pt>
                <c:pt idx="6">
                  <c:v>0.15690800935733076</c:v>
                </c:pt>
              </c:numCache>
            </c:numRef>
          </c:val>
        </c:ser>
        <c:marker val="1"/>
        <c:axId val="98443264"/>
        <c:axId val="98445184"/>
      </c:lineChart>
      <c:catAx>
        <c:axId val="98443264"/>
        <c:scaling>
          <c:orientation val="minMax"/>
        </c:scaling>
        <c:axPos val="b"/>
        <c:numFmt formatCode="General" sourceLinked="1"/>
        <c:tickLblPos val="nextTo"/>
        <c:crossAx val="98445184"/>
        <c:crosses val="autoZero"/>
        <c:auto val="1"/>
        <c:lblAlgn val="ctr"/>
        <c:lblOffset val="100"/>
      </c:catAx>
      <c:valAx>
        <c:axId val="98445184"/>
        <c:scaling>
          <c:orientation val="minMax"/>
        </c:scaling>
        <c:axPos val="l"/>
        <c:majorGridlines/>
        <c:numFmt formatCode="#,##0.000" sourceLinked="1"/>
        <c:tickLblPos val="nextTo"/>
        <c:crossAx val="9844326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209FA-B692-4099-9D00-2373CBFC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49</Pages>
  <Words>12620</Words>
  <Characters>71934</Characters>
  <Application>Microsoft Office Word</Application>
  <DocSecurity>0</DocSecurity>
  <Lines>599</Lines>
  <Paragraphs>168</Paragraphs>
  <ScaleCrop>false</ScaleCrop>
  <HeadingPairs>
    <vt:vector size="2" baseType="variant">
      <vt:variant>
        <vt:lpstr>Názov</vt:lpstr>
      </vt:variant>
      <vt:variant>
        <vt:i4>1</vt:i4>
      </vt:variant>
    </vt:vector>
  </HeadingPairs>
  <TitlesOfParts>
    <vt:vector size="1" baseType="lpstr">
      <vt:lpstr>Ministerstvo životného prostredia Slovenskej republiky</vt:lpstr>
    </vt:vector>
  </TitlesOfParts>
  <Company>SAZ/</Company>
  <LinksUpToDate>false</LinksUpToDate>
  <CharactersWithSpaces>84386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životného prostredia Slovenskej republiky</dc:title>
  <dc:creator>Bodíková Elena, Ing.</dc:creator>
  <cp:lastModifiedBy>olga.trckova</cp:lastModifiedBy>
  <cp:revision>122</cp:revision>
  <cp:lastPrinted>2013-12-05T14:25:00Z</cp:lastPrinted>
  <dcterms:created xsi:type="dcterms:W3CDTF">2013-11-26T08:41:00Z</dcterms:created>
  <dcterms:modified xsi:type="dcterms:W3CDTF">2013-12-05T14:30:00Z</dcterms:modified>
</cp:coreProperties>
</file>