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10" w:rsidRDefault="00D75010" w:rsidP="000777E8">
      <w:pPr>
        <w:spacing w:after="240"/>
        <w:jc w:val="center"/>
        <w:rPr>
          <w:b/>
          <w:bCs/>
        </w:rPr>
      </w:pPr>
      <w:r>
        <w:rPr>
          <w:b/>
          <w:bCs/>
        </w:rPr>
        <w:t>Dôvodová správa</w:t>
      </w:r>
    </w:p>
    <w:p w:rsidR="00D75010" w:rsidRDefault="00D75010" w:rsidP="000777E8">
      <w:pPr>
        <w:spacing w:after="240"/>
        <w:rPr>
          <w:rFonts w:ascii="TimesNewRomanPS-BoldMT" w:hAnsi="TimesNewRomanPS-BoldMT"/>
          <w:b/>
        </w:rPr>
      </w:pPr>
    </w:p>
    <w:p w:rsidR="00D75010" w:rsidRDefault="00D75010" w:rsidP="000777E8">
      <w:pPr>
        <w:spacing w:after="240"/>
        <w:rPr>
          <w:b/>
        </w:rPr>
      </w:pPr>
    </w:p>
    <w:p w:rsidR="00D75010" w:rsidRDefault="00D75010" w:rsidP="000777E8">
      <w:pPr>
        <w:spacing w:after="240"/>
        <w:rPr>
          <w:b/>
        </w:rPr>
      </w:pPr>
      <w:r>
        <w:rPr>
          <w:b/>
        </w:rPr>
        <w:t>A. Všeobecná časť</w:t>
      </w:r>
    </w:p>
    <w:p w:rsidR="00D75010" w:rsidRDefault="00D75010" w:rsidP="000777E8">
      <w:pPr>
        <w:spacing w:after="240"/>
        <w:jc w:val="both"/>
      </w:pPr>
    </w:p>
    <w:p w:rsidR="00D75010" w:rsidRDefault="00D75010" w:rsidP="000777E8">
      <w:pPr>
        <w:pStyle w:val="Normlnywebov"/>
        <w:spacing w:before="60" w:after="240"/>
        <w:ind w:firstLine="708"/>
        <w:jc w:val="both"/>
      </w:pPr>
      <w:r>
        <w:t xml:space="preserve">Ministerstvo hospodárstva Slovenskej republiky predkladá návrh zákona </w:t>
      </w:r>
      <w:bookmarkStart w:id="0" w:name="OLE_LINK2"/>
      <w:r>
        <w:t>o pôsobnosti orgánov štátnej správy vo veciach prekurzorov výbušnín a o zmene a doplnení niektorých zákonov</w:t>
      </w:r>
      <w:r>
        <w:rPr>
          <w:szCs w:val="22"/>
        </w:rPr>
        <w:t xml:space="preserve"> (ďalej len „návrh zákona“)</w:t>
      </w:r>
      <w:bookmarkEnd w:id="0"/>
      <w:r>
        <w:rPr>
          <w:szCs w:val="22"/>
        </w:rPr>
        <w:t>,</w:t>
      </w:r>
      <w:r>
        <w:t xml:space="preserve"> na základe Plánu legislatívnych úloh vlády Slovenskej republiky na rok 2014.</w:t>
      </w:r>
    </w:p>
    <w:p w:rsidR="00D75010" w:rsidRDefault="00D75010" w:rsidP="000777E8">
      <w:pPr>
        <w:spacing w:after="240"/>
        <w:ind w:firstLine="708"/>
        <w:jc w:val="both"/>
        <w:rPr>
          <w:szCs w:val="22"/>
        </w:rPr>
      </w:pPr>
      <w:r>
        <w:rPr>
          <w:szCs w:val="22"/>
        </w:rPr>
        <w:t>Predloženým návrhom zákona o orgánoch štátnej správy vo veciach obmedzených prekurzorov výbušnín a o zmene a doplnení niektorých zákonov (ďalej len „návrh zákona“) si Slovenská republika plní povinnosti vyplývajúce z nariadenia Európskeho parlamentu a Rady (EÚ) č. 98/2013 z 15. januára 2013 o uvádzaní prekurzorov výbušnín na trh a ich používaní (ďalej len „nariadenie (EÚ) č. 98/2013“).</w:t>
      </w:r>
    </w:p>
    <w:p w:rsidR="00D75010" w:rsidRDefault="00D75010" w:rsidP="000777E8">
      <w:pPr>
        <w:spacing w:after="240"/>
        <w:ind w:firstLine="708"/>
        <w:jc w:val="both"/>
        <w:rPr>
          <w:szCs w:val="22"/>
        </w:rPr>
      </w:pPr>
      <w:r>
        <w:rPr>
          <w:szCs w:val="22"/>
        </w:rPr>
        <w:t>Cieľom návrhu zákona je upraviť výkon štátnej správy vo veciach uvádzania obmedzených prekurzorov výbušnín na trh a súčasne stanoviť pravidlá súvisiace s látkami a zmesami uvedenými v prílohách nariadenia (EÚ) č. 98/2013, ktoré by sa mohli zneužiť na nedovolenú výrobu výbušnín.</w:t>
      </w:r>
    </w:p>
    <w:p w:rsidR="00D75010" w:rsidRDefault="00D75010" w:rsidP="000777E8">
      <w:pPr>
        <w:spacing w:after="240"/>
        <w:ind w:firstLine="708"/>
        <w:jc w:val="both"/>
      </w:pPr>
      <w:r>
        <w:t>Návrh zákona ustanovuje v podmienkach Slovenskej republiky za príslušné orgány štátnej správy a kontroly vo veciach obmedzených prekurzorov výbušnín</w:t>
      </w:r>
      <w:r>
        <w:rPr>
          <w:szCs w:val="22"/>
        </w:rPr>
        <w:t xml:space="preserve">, </w:t>
      </w:r>
      <w:r>
        <w:t>Ministerstvo hospodárstva Slovenskej republiky, Ministerstvo vnútra Slovenskej republiky, colné úrady a Slovenskú obchodnú inšpekciu.</w:t>
      </w:r>
    </w:p>
    <w:p w:rsidR="00D75010" w:rsidRDefault="00D75010" w:rsidP="000777E8">
      <w:pPr>
        <w:spacing w:after="240"/>
        <w:jc w:val="both"/>
      </w:pPr>
      <w:r>
        <w:rPr>
          <w:szCs w:val="22"/>
        </w:rPr>
        <w:tab/>
        <w:t xml:space="preserve">Ministerstvo hospodárstva SR, ktoré </w:t>
      </w:r>
      <w:r>
        <w:t>riadi výkon štátnej správy vo veciach sprístupňovania obmedzených prekurzorov výbušnín pre  fyzické osoby konajúce na účely, ktoré nie sú spojené s ich obchodovaním, podnikaním alebo výkonom povolania</w:t>
      </w:r>
      <w:r>
        <w:rPr>
          <w:szCs w:val="22"/>
        </w:rPr>
        <w:t xml:space="preserve">, na základe návrhu zákona </w:t>
      </w:r>
      <w:r>
        <w:t xml:space="preserve">má predovšetkým povinnosť, zverejňovať na svojom webovom sídle usmernenia pre  hospodárske subjekty o tom, ako rozpoznať a nahlásiť každú transakciu týkajúcu sa látok uvedených v prílohách nariadenia </w:t>
      </w:r>
      <w:r>
        <w:rPr>
          <w:szCs w:val="22"/>
        </w:rPr>
        <w:t xml:space="preserve">(EÚ) č. 98/2013 </w:t>
      </w:r>
      <w:r>
        <w:t>alebo zmesí či látok obsahujúcich tieto látky vrátane transakcií v prospech profesionálnych používateľov, ak existuje dôvodné podozrenie, že látka alebo zmes je určená na nedovolenú výrobu výbušnín, straty a krádeže týchto látok a ďalšie relevantné informácie.</w:t>
      </w:r>
    </w:p>
    <w:p w:rsidR="00D75010" w:rsidRDefault="00D75010" w:rsidP="000777E8">
      <w:pPr>
        <w:spacing w:after="240"/>
        <w:ind w:firstLine="708"/>
        <w:jc w:val="both"/>
      </w:pPr>
      <w:r>
        <w:t>Ministerstvo vnútra SR, ktoré plní funkciu kontaktného miesta, kde</w:t>
      </w:r>
      <w:r>
        <w:rPr>
          <w:szCs w:val="22"/>
        </w:rPr>
        <w:t xml:space="preserve"> zhromažďuje a vyhodnocuje informácie, ktoré mu poskytli hospodárske subjekty o </w:t>
      </w:r>
      <w:r>
        <w:rPr>
          <w:rFonts w:eastAsia="EUAlbertina" w:cs="EUAlbertina"/>
          <w:color w:val="000000"/>
        </w:rPr>
        <w:t xml:space="preserve">každej transakcii, týkajúcej sa látok uvedených v prílohách nariadenia (EÚ) č. 98/2013 alebo zmesí či látok obsahujúcich tieto látky vrátane transakcií v prospech profesionálnych používateľov, ak existuje dôvodné podozrenie, že látka alebo zmes je určená na nedovolenú výrobu výbušnín, </w:t>
      </w:r>
      <w:r>
        <w:t>na základe návrhu zákona má povinnosť zriadiť uvedené kontaktné miesto.</w:t>
      </w:r>
    </w:p>
    <w:p w:rsidR="00D75010" w:rsidRDefault="00D75010" w:rsidP="000777E8">
      <w:pPr>
        <w:spacing w:after="240"/>
        <w:ind w:firstLine="708"/>
        <w:jc w:val="both"/>
        <w:rPr>
          <w:szCs w:val="22"/>
        </w:rPr>
      </w:pPr>
      <w:r>
        <w:rPr>
          <w:szCs w:val="22"/>
        </w:rPr>
        <w:t>Návrhom zákona je potrebné zabezpečiť účinné vymáhanie presadzovania nariadenia (EÚ) č. 98/2013 vhodným systémom kontrol a sankčných opatrení.</w:t>
      </w:r>
    </w:p>
    <w:p w:rsidR="00D75010" w:rsidRDefault="00D75010" w:rsidP="000777E8">
      <w:pPr>
        <w:spacing w:after="240"/>
        <w:ind w:firstLine="708"/>
        <w:jc w:val="both"/>
      </w:pPr>
      <w:r>
        <w:lastRenderedPageBreak/>
        <w:t>Zákon poveruje výkonom kontrol dva kontrolné orgány, a to Slovenskú obchodnú inšpekciu a colné úrady. Pre Slovenskú obchodnú inšpekciu pribudnú nové povinnosti kontrolou dodržiavania podmienok pri sprístupňovaní obmedzených prekurzorov výbušnín nad rámec doterajších kontrolných aktivít. V dôsledku toho, je navrhované personálne posilnenie Slovenskej obchodnej inšpekcie, uvedené v doložke vplyvov na rozpočet verejnej správy.</w:t>
      </w:r>
    </w:p>
    <w:p w:rsidR="00D75010" w:rsidRDefault="00D75010" w:rsidP="000777E8">
      <w:pPr>
        <w:spacing w:before="60" w:after="240"/>
        <w:ind w:firstLine="708"/>
        <w:jc w:val="both"/>
      </w:pPr>
      <w:r>
        <w:t>Článkom II sa navrhuje doplniť zákon o správnych poplatkoch.</w:t>
      </w:r>
    </w:p>
    <w:p w:rsidR="00D75010" w:rsidRDefault="00D75010" w:rsidP="000777E8">
      <w:pPr>
        <w:spacing w:before="60" w:after="240"/>
        <w:ind w:firstLine="708"/>
        <w:jc w:val="both"/>
      </w:pPr>
      <w:r>
        <w:t>Článkom III návrhu zákona sa mení zákon č. 67/2010 Z. z. o podmienkach uvedenia chemických látok a chemických zmesí na trh a o doplnení niektorých zákonov (chemický zákon) v znení zákona č. 339/2012 Z. z. a zákona č. 319/2013 Z. z., ktorý upravuje dolnú hranicu výšky pokút.</w:t>
      </w:r>
    </w:p>
    <w:p w:rsidR="00D75010" w:rsidRDefault="00D75010" w:rsidP="000777E8">
      <w:pPr>
        <w:spacing w:after="240"/>
        <w:ind w:firstLine="708"/>
        <w:jc w:val="both"/>
      </w:pPr>
      <w:r>
        <w:t>Návrh zákona je v súlade s Ústavou Slovenskej republiky, ústavnými zákonmi a ostatnými všeobecne záväznými právnymi predpismi, medzinárodnými zmluvami a inými medzinárodnými dokumentmi, ktorými je Slovenská republika viazaná, a s právom Európskej únie.</w:t>
      </w:r>
    </w:p>
    <w:p w:rsidR="00D75010" w:rsidRDefault="00D75010" w:rsidP="000777E8">
      <w:pPr>
        <w:widowControl w:val="0"/>
        <w:spacing w:after="240"/>
        <w:ind w:firstLine="708"/>
        <w:jc w:val="both"/>
        <w:rPr>
          <w:b/>
          <w:bCs/>
        </w:rPr>
      </w:pPr>
      <w:r>
        <w:rPr>
          <w:rFonts w:cs="Mangal"/>
        </w:rPr>
        <w:t xml:space="preserve">Predložený návrh zákona nebude mať vplyvy na životné prostredie, podnikateľské prostredie, nebude mať ani sociálne vplyvy a bude mať pozitívny vplyv na informatizáciu spoločnosti. Vplyvy pozitívne aj negatívne na rozpočet verejnej správy sú popísané v doložke vybraných vplyvov. </w:t>
      </w:r>
      <w:r>
        <w:rPr>
          <w:b/>
          <w:bCs/>
        </w:rPr>
        <w:tab/>
      </w:r>
    </w:p>
    <w:p w:rsidR="00D75010" w:rsidRDefault="00D75010" w:rsidP="000777E8">
      <w:pPr>
        <w:suppressAutoHyphens w:val="0"/>
        <w:spacing w:after="240"/>
        <w:rPr>
          <w:b/>
          <w:bCs/>
        </w:rPr>
        <w:sectPr w:rsidR="00D75010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</w:sectPr>
      </w:pPr>
    </w:p>
    <w:p w:rsidR="00D75010" w:rsidRDefault="00D75010" w:rsidP="000777E8">
      <w:pPr>
        <w:spacing w:after="240"/>
        <w:jc w:val="both"/>
        <w:rPr>
          <w:b/>
        </w:rPr>
      </w:pPr>
      <w:r>
        <w:rPr>
          <w:b/>
        </w:rPr>
        <w:lastRenderedPageBreak/>
        <w:t>B. Osobitná časť</w:t>
      </w:r>
    </w:p>
    <w:p w:rsidR="00D75010" w:rsidRDefault="00D75010" w:rsidP="000777E8">
      <w:pPr>
        <w:spacing w:after="240"/>
        <w:jc w:val="both"/>
      </w:pPr>
    </w:p>
    <w:p w:rsidR="00D75010" w:rsidRDefault="00D75010" w:rsidP="000777E8">
      <w:pPr>
        <w:keepNext/>
        <w:spacing w:before="120"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 § 1</w:t>
      </w:r>
    </w:p>
    <w:p w:rsidR="00D75010" w:rsidRDefault="00D75010" w:rsidP="000777E8">
      <w:pPr>
        <w:keepNext/>
        <w:spacing w:before="60" w:after="240"/>
        <w:jc w:val="both"/>
        <w:rPr>
          <w:color w:val="000000"/>
        </w:rPr>
      </w:pPr>
      <w:r>
        <w:rPr>
          <w:color w:val="000000"/>
        </w:rPr>
        <w:t>V súlade s požiadavkami nariadenia Európskeho parlamentu a Rady (EÚ) č. 98/2013, ktoré je potrebné upraviť na úrovni členských štátov sa špecifik</w:t>
      </w:r>
      <w:bookmarkStart w:id="1" w:name="_GoBack"/>
      <w:bookmarkEnd w:id="1"/>
      <w:r>
        <w:rPr>
          <w:color w:val="000000"/>
        </w:rPr>
        <w:t>uje predmet úpravy.</w:t>
      </w:r>
    </w:p>
    <w:p w:rsidR="00D75010" w:rsidRDefault="00D75010" w:rsidP="000777E8">
      <w:pPr>
        <w:keepNext/>
        <w:spacing w:before="120"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 § 2</w:t>
      </w:r>
    </w:p>
    <w:p w:rsidR="00D75010" w:rsidRDefault="00D75010" w:rsidP="000777E8">
      <w:pPr>
        <w:autoSpaceDE w:val="0"/>
        <w:spacing w:after="240"/>
        <w:jc w:val="both"/>
        <w:rPr>
          <w:rFonts w:ascii="EUAlbertina" w:eastAsia="Calibri" w:hAnsi="EUAlbertina" w:cs="EUAlbertina"/>
          <w:color w:val="000000"/>
        </w:rPr>
      </w:pPr>
      <w:r>
        <w:rPr>
          <w:rFonts w:ascii="EUAlbertina" w:eastAsia="Calibri" w:hAnsi="EUAlbertina" w:cs="EUAlbertina"/>
          <w:color w:val="000000"/>
        </w:rPr>
        <w:t>Orgánmi štátnej správy na účely zákona a osobitného predpisu, ktorým je nariadenie Európskeho parlamentu a Rady (EÚ) č. 98/2013 z 15. januára 2013 o </w:t>
      </w:r>
      <w:r>
        <w:rPr>
          <w:rFonts w:eastAsia="Calibri"/>
          <w:bCs/>
          <w:color w:val="000000"/>
        </w:rPr>
        <w:t>uvádzaní prekurzorov výbušnín na trh a ich používaní</w:t>
      </w:r>
      <w:r>
        <w:rPr>
          <w:rFonts w:ascii="EUAlbertina" w:eastAsia="Calibri" w:hAnsi="EUAlbertina" w:cs="EUAlbertina"/>
          <w:b/>
          <w:bCs/>
          <w:color w:val="000000"/>
          <w:sz w:val="19"/>
          <w:szCs w:val="19"/>
        </w:rPr>
        <w:t xml:space="preserve"> </w:t>
      </w:r>
      <w:r>
        <w:rPr>
          <w:rFonts w:ascii="EUAlbertina" w:eastAsia="Calibri" w:hAnsi="EUAlbertina" w:cs="EUAlbertina"/>
          <w:color w:val="000000"/>
        </w:rPr>
        <w:t xml:space="preserve"> sú Ministerstvo hospodárstva Slovenskej republiky, Ministerstvo vnútra Slovenskej republiky, Slovenská obchodná inšpekcia a colné úrady.</w:t>
      </w:r>
    </w:p>
    <w:p w:rsidR="00D75010" w:rsidRDefault="00D75010" w:rsidP="000777E8">
      <w:pPr>
        <w:keepNext/>
        <w:spacing w:before="120"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 § </w:t>
      </w:r>
      <w:r w:rsidR="000777E8">
        <w:rPr>
          <w:b/>
          <w:bCs/>
          <w:color w:val="000000"/>
        </w:rPr>
        <w:t>3</w:t>
      </w:r>
    </w:p>
    <w:p w:rsidR="000777E8" w:rsidRDefault="00D75010" w:rsidP="000777E8">
      <w:pPr>
        <w:keepNext/>
        <w:spacing w:before="60" w:after="240"/>
        <w:jc w:val="both"/>
        <w:rPr>
          <w:color w:val="000000"/>
        </w:rPr>
      </w:pPr>
      <w:r>
        <w:rPr>
          <w:color w:val="000000"/>
        </w:rPr>
        <w:t>V súlade s požiadavkami čl. 4 ods. 4 a 6 nariadenia (EÚ) č. 98/2013 sa ustanovuje pôsobnosť ministerstva  hospodárstva vo vzťahu k Európskej komisii a v oblasti vydávania jednorazových povolení na dovoz obmedzených prekurzorov uvedených v čl. 4 ods. 3 nariadenia. Ďalej sa upravuje pôsobnosť v oblasti sankcií voči členovi širokej verejnosti a možnosť riešenia ďalších obmedzení pri sprístupňovaní látok, ktoré možno zneužiť na nelegálnu výrobu výbušnín v súlade s ochranou doložkou podľa článku 13 nariadenia (EÚ) č. 98/2013.</w:t>
      </w:r>
    </w:p>
    <w:p w:rsidR="00D75010" w:rsidRDefault="00D75010" w:rsidP="000777E8">
      <w:pPr>
        <w:keepNext/>
        <w:spacing w:before="60"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 § </w:t>
      </w:r>
      <w:r w:rsidR="000777E8">
        <w:rPr>
          <w:b/>
          <w:bCs/>
          <w:color w:val="000000"/>
        </w:rPr>
        <w:t>4</w:t>
      </w:r>
    </w:p>
    <w:p w:rsidR="00D75010" w:rsidRDefault="00D75010" w:rsidP="000777E8">
      <w:pPr>
        <w:keepNext/>
        <w:spacing w:before="60" w:after="240"/>
        <w:jc w:val="both"/>
        <w:rPr>
          <w:color w:val="000000"/>
        </w:rPr>
      </w:pPr>
      <w:r>
        <w:rPr>
          <w:bCs/>
          <w:color w:val="000000"/>
        </w:rPr>
        <w:t>Upravuje sa pôsobnosť ministerstva vnútra voči hospodárskym subjektom pri zbere údajov podľa čl. 9 nariadenia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(EÚ) č. 98/2013 s tým, že vytvorí za účelom zberu potrebných údajov kontaktné miesto.</w:t>
      </w:r>
    </w:p>
    <w:p w:rsidR="00D75010" w:rsidRDefault="00D75010" w:rsidP="000777E8">
      <w:pPr>
        <w:keepNext/>
        <w:spacing w:before="60"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 § </w:t>
      </w:r>
      <w:r w:rsidR="000777E8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</w:t>
      </w:r>
    </w:p>
    <w:p w:rsidR="00D75010" w:rsidRDefault="00D75010" w:rsidP="000777E8">
      <w:pPr>
        <w:widowControl w:val="0"/>
        <w:autoSpaceDE w:val="0"/>
        <w:spacing w:before="60" w:after="240"/>
        <w:jc w:val="both"/>
        <w:rPr>
          <w:color w:val="000000"/>
        </w:rPr>
      </w:pPr>
      <w:r>
        <w:rPr>
          <w:color w:val="000000"/>
        </w:rPr>
        <w:t>Upravuje sa kontrolná činnosť Slovenskej obchodnej inšpekcie za oblasť dodržiavania podmienok sprístupňovania obmedzených prekurzorov výbušnín hospodárskymi subjektmi členom širokej verejnosti vo vzťahu k článkom 4 ods. 7, 5 a 8.</w:t>
      </w:r>
    </w:p>
    <w:p w:rsidR="00D75010" w:rsidRDefault="00D75010" w:rsidP="000777E8">
      <w:pPr>
        <w:widowControl w:val="0"/>
        <w:autoSpaceDE w:val="0"/>
        <w:spacing w:before="60" w:after="240"/>
        <w:jc w:val="both"/>
        <w:rPr>
          <w:color w:val="000000"/>
        </w:rPr>
      </w:pPr>
      <w:r>
        <w:rPr>
          <w:b/>
          <w:bCs/>
          <w:color w:val="000000"/>
        </w:rPr>
        <w:t xml:space="preserve">K § </w:t>
      </w:r>
      <w:r w:rsidR="000777E8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</w:t>
      </w:r>
    </w:p>
    <w:p w:rsidR="000777E8" w:rsidRPr="000777E8" w:rsidRDefault="00D75010" w:rsidP="000777E8">
      <w:pPr>
        <w:widowControl w:val="0"/>
        <w:autoSpaceDE w:val="0"/>
        <w:spacing w:before="60" w:after="240"/>
        <w:jc w:val="both"/>
        <w:rPr>
          <w:rFonts w:ascii="EUAlbertina" w:eastAsia="Calibri" w:hAnsi="EUAlbertina" w:cs="EUAlbertina"/>
          <w:color w:val="000000"/>
        </w:rPr>
      </w:pPr>
      <w:r>
        <w:rPr>
          <w:bCs/>
          <w:color w:val="000000"/>
        </w:rPr>
        <w:t>V súlade s colným zákonom a čl. 4 ods. 6  nariadenia</w:t>
      </w:r>
      <w:r>
        <w:rPr>
          <w:b/>
          <w:bCs/>
          <w:color w:val="000000"/>
        </w:rPr>
        <w:t xml:space="preserve"> </w:t>
      </w:r>
      <w:r>
        <w:rPr>
          <w:rFonts w:ascii="EUAlbertina" w:eastAsia="Calibri" w:hAnsi="EUAlbertina" w:cs="EUAlbertina"/>
          <w:color w:val="000000"/>
        </w:rPr>
        <w:t>č. 98/2013 je upravená pôsobnosť colného úradu pri dovoze obmedzeného prekurzora výbušnín členom širokej verejnosti.</w:t>
      </w:r>
    </w:p>
    <w:p w:rsidR="000777E8" w:rsidRPr="000777E8" w:rsidRDefault="000777E8" w:rsidP="000777E8">
      <w:pPr>
        <w:keepNext/>
        <w:spacing w:before="120" w:after="240"/>
        <w:jc w:val="both"/>
        <w:rPr>
          <w:b/>
          <w:bCs/>
          <w:color w:val="000000"/>
        </w:rPr>
      </w:pPr>
      <w:r w:rsidRPr="000777E8">
        <w:rPr>
          <w:b/>
          <w:bCs/>
          <w:color w:val="000000"/>
        </w:rPr>
        <w:lastRenderedPageBreak/>
        <w:t>K § 7</w:t>
      </w:r>
    </w:p>
    <w:p w:rsidR="00D75010" w:rsidRPr="000777E8" w:rsidRDefault="000777E8" w:rsidP="000777E8">
      <w:pPr>
        <w:keepNext/>
        <w:spacing w:before="120"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V súlade s článkom 4 nariadenia </w:t>
      </w:r>
      <w:r>
        <w:rPr>
          <w:color w:val="000000"/>
        </w:rPr>
        <w:t>(EÚ) č. 98/2013, ktoré dáva členským štátom možnosti alternatív sprístupňovania obmedzených prekurzorov výbušnín členom širokej verejnosti sa určuje, že v SR je ich sprístupňovanie v koncentráciách vyšších ako sú uvedené v prílohe I nariadenia zakázané s výnimkou tých, ktoré sú uvedené v článku 4 ods. 3 tohto nariadenia. Ďalej sa u</w:t>
      </w:r>
      <w:r>
        <w:rPr>
          <w:bCs/>
          <w:color w:val="000000"/>
        </w:rPr>
        <w:t>stanovujú povinnosti hospodárskych subjektov a členov širokej verejnosti vo vzťahu k orgánom štátnej správy.</w:t>
      </w:r>
    </w:p>
    <w:p w:rsidR="00D75010" w:rsidRDefault="00D75010" w:rsidP="000777E8">
      <w:pPr>
        <w:widowControl w:val="0"/>
        <w:autoSpaceDE w:val="0"/>
        <w:spacing w:before="60" w:after="240"/>
        <w:jc w:val="both"/>
        <w:rPr>
          <w:color w:val="000000"/>
        </w:rPr>
      </w:pPr>
      <w:r>
        <w:rPr>
          <w:b/>
          <w:bCs/>
          <w:color w:val="000000"/>
        </w:rPr>
        <w:t>K § 8</w:t>
      </w:r>
    </w:p>
    <w:p w:rsidR="000777E8" w:rsidRDefault="00D75010" w:rsidP="000777E8">
      <w:pPr>
        <w:widowControl w:val="0"/>
        <w:autoSpaceDE w:val="0"/>
        <w:spacing w:before="60" w:after="240"/>
        <w:jc w:val="both"/>
        <w:rPr>
          <w:color w:val="000000"/>
        </w:rPr>
      </w:pPr>
      <w:r>
        <w:rPr>
          <w:bCs/>
          <w:color w:val="000000"/>
        </w:rPr>
        <w:t>V súlade s čl. 11 nariadenia</w:t>
      </w:r>
      <w:r>
        <w:rPr>
          <w:b/>
          <w:bCs/>
          <w:color w:val="000000"/>
        </w:rPr>
        <w:t xml:space="preserve"> </w:t>
      </w:r>
      <w:r>
        <w:rPr>
          <w:rFonts w:ascii="EUAlbertina" w:eastAsia="Calibri" w:hAnsi="EUAlbertina" w:cs="EUAlbertina"/>
          <w:color w:val="000000"/>
        </w:rPr>
        <w:t xml:space="preserve">č. 98/2013 sa upravujú sankcie za správne delikty a priestupky, o ktorých sa rozhoduje podľa správneho poriadku a zákona o priestupkoch. </w:t>
      </w:r>
      <w:r>
        <w:rPr>
          <w:color w:val="000000"/>
        </w:rPr>
        <w:t xml:space="preserve"> </w:t>
      </w:r>
    </w:p>
    <w:p w:rsidR="00D75010" w:rsidRPr="000777E8" w:rsidRDefault="00D75010" w:rsidP="000777E8">
      <w:pPr>
        <w:widowControl w:val="0"/>
        <w:autoSpaceDE w:val="0"/>
        <w:spacing w:before="60" w:after="240"/>
        <w:jc w:val="both"/>
        <w:rPr>
          <w:color w:val="000000"/>
        </w:rPr>
      </w:pPr>
      <w:r>
        <w:rPr>
          <w:b/>
          <w:bCs/>
          <w:color w:val="000000"/>
        </w:rPr>
        <w:t xml:space="preserve">K § 9 </w:t>
      </w:r>
    </w:p>
    <w:p w:rsidR="00D75010" w:rsidRPr="000777E8" w:rsidRDefault="00D75010" w:rsidP="000777E8">
      <w:pPr>
        <w:keepNext/>
        <w:spacing w:before="120" w:after="240"/>
        <w:jc w:val="both"/>
        <w:rPr>
          <w:bCs/>
          <w:color w:val="000000"/>
        </w:rPr>
      </w:pPr>
      <w:r>
        <w:rPr>
          <w:bCs/>
          <w:color w:val="000000"/>
        </w:rPr>
        <w:t>S cieľom komplexne zabezpečiť informácie o možnom zneužívaní obmedzených prekurzorov výbušnín a ďalších možností predchádzania nelegálnej výroby výbušnín sa ustanovuje spolupráca orgánov štátnej správy.</w:t>
      </w:r>
    </w:p>
    <w:p w:rsidR="00D75010" w:rsidRDefault="00D75010" w:rsidP="000777E8">
      <w:pPr>
        <w:keepNext/>
        <w:spacing w:before="120"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 § 10</w:t>
      </w:r>
    </w:p>
    <w:p w:rsidR="00D75010" w:rsidRDefault="00D75010" w:rsidP="000777E8">
      <w:pPr>
        <w:keepNext/>
        <w:spacing w:before="120" w:after="240"/>
        <w:jc w:val="both"/>
        <w:rPr>
          <w:bCs/>
          <w:color w:val="000000"/>
        </w:rPr>
      </w:pPr>
      <w:r>
        <w:rPr>
          <w:bCs/>
          <w:color w:val="000000"/>
        </w:rPr>
        <w:t>V súlade s čl. 10 nariadenia</w:t>
      </w:r>
      <w:r>
        <w:rPr>
          <w:b/>
          <w:bCs/>
          <w:color w:val="000000"/>
        </w:rPr>
        <w:t xml:space="preserve"> </w:t>
      </w:r>
      <w:r>
        <w:rPr>
          <w:rFonts w:ascii="EUAlbertina" w:eastAsia="Calibri" w:hAnsi="EUAlbertina" w:cs="EUAlbertina"/>
          <w:color w:val="000000"/>
        </w:rPr>
        <w:t>č. 98/2013 a zákonom o ochrane osobných údajov sa ustanovujú povinnosti hospodárskych subjektov a orgánov štátnej správy pri ochrane osobných údajov.</w:t>
      </w:r>
    </w:p>
    <w:p w:rsidR="00D75010" w:rsidRDefault="00D75010" w:rsidP="000777E8">
      <w:pPr>
        <w:keepNext/>
        <w:spacing w:before="120"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K § 11 </w:t>
      </w:r>
    </w:p>
    <w:p w:rsidR="00D75010" w:rsidRDefault="00D75010" w:rsidP="000777E8">
      <w:pPr>
        <w:keepNext/>
        <w:spacing w:before="120" w:after="240"/>
        <w:jc w:val="both"/>
        <w:rPr>
          <w:color w:val="000000"/>
        </w:rPr>
      </w:pPr>
      <w:r>
        <w:t xml:space="preserve">V súlade s čl. 16 </w:t>
      </w:r>
      <w:r>
        <w:rPr>
          <w:bCs/>
          <w:color w:val="000000"/>
        </w:rPr>
        <w:t>nariadenia</w:t>
      </w:r>
      <w:r>
        <w:rPr>
          <w:b/>
          <w:bCs/>
          <w:color w:val="000000"/>
        </w:rPr>
        <w:t xml:space="preserve"> </w:t>
      </w:r>
      <w:r>
        <w:rPr>
          <w:rFonts w:ascii="EUAlbertina" w:eastAsia="Calibri" w:hAnsi="EUAlbertina" w:cs="EUAlbertina"/>
          <w:color w:val="000000"/>
        </w:rPr>
        <w:t>č. 98/2013 sú u</w:t>
      </w:r>
      <w:r>
        <w:t>pravené podmienky, ako má člen širokej verejnosti do 2. marca 2016 naložiť s obmedzenými prekurzormi výbušnín, ktoré nadobudol pred účinnosťou zákona a drží</w:t>
      </w:r>
      <w:r>
        <w:rPr>
          <w:color w:val="000000"/>
        </w:rPr>
        <w:t>.</w:t>
      </w:r>
    </w:p>
    <w:p w:rsidR="00D75010" w:rsidRDefault="00D75010" w:rsidP="000777E8">
      <w:pPr>
        <w:keepNext/>
        <w:spacing w:before="120" w:after="240"/>
        <w:jc w:val="both"/>
        <w:rPr>
          <w:bCs/>
          <w:color w:val="000000"/>
        </w:rPr>
      </w:pPr>
      <w:r>
        <w:rPr>
          <w:b/>
          <w:bCs/>
          <w:color w:val="000000"/>
        </w:rPr>
        <w:t>K Čl. II</w:t>
      </w:r>
    </w:p>
    <w:p w:rsidR="00D75010" w:rsidRDefault="00D75010" w:rsidP="000777E8">
      <w:pPr>
        <w:keepNext/>
        <w:spacing w:before="120" w:after="240"/>
        <w:jc w:val="both"/>
        <w:rPr>
          <w:bCs/>
          <w:color w:val="000000"/>
        </w:rPr>
      </w:pPr>
      <w:r>
        <w:rPr>
          <w:bCs/>
          <w:color w:val="000000"/>
        </w:rPr>
        <w:t>V zákone o správnych poplatkoch sa dopĺňa sadzba poplatku za vydanie jednorazového povolenia na dovoz obmedzeného prekurzora výbušnín.</w:t>
      </w:r>
    </w:p>
    <w:p w:rsidR="00D75010" w:rsidRDefault="00D75010" w:rsidP="000777E8">
      <w:pPr>
        <w:keepNext/>
        <w:spacing w:before="120" w:after="240"/>
        <w:jc w:val="both"/>
        <w:rPr>
          <w:b/>
          <w:color w:val="000000"/>
        </w:rPr>
      </w:pPr>
      <w:r>
        <w:rPr>
          <w:b/>
          <w:color w:val="000000"/>
        </w:rPr>
        <w:t>K Čl. III</w:t>
      </w:r>
    </w:p>
    <w:p w:rsidR="00D75010" w:rsidRDefault="00D75010" w:rsidP="000777E8">
      <w:pPr>
        <w:keepNext/>
        <w:spacing w:before="120" w:after="240"/>
        <w:jc w:val="both"/>
      </w:pPr>
      <w:r>
        <w:t xml:space="preserve">Zákon č. 67/2010 Z. z. o podmienkach uvedenia chemických látok a chemických zmesí na trh a o doplnení niektorých zákonov (chemický zákon) v znení zákona č. 339/2012 Z. z. a zákona č. 319/2013 Z. z. sa mení a dopĺňa tak, že sa upravuje spodná hranica pokút z  dôvodu, že najnižšie pokuty za správne delikty v chemickom zákone sú príliš vysoké a likvidačné pre väčšinu kontrolovaných podnikateľov, a  nekorešpondujú so stupňom závažnosti jednotlivých nedostatkov. </w:t>
      </w:r>
    </w:p>
    <w:p w:rsidR="00D75010" w:rsidRDefault="00D75010" w:rsidP="000777E8">
      <w:pPr>
        <w:keepNext/>
        <w:spacing w:before="120" w:after="240"/>
        <w:jc w:val="both"/>
        <w:rPr>
          <w:b/>
          <w:color w:val="000000"/>
        </w:rPr>
      </w:pPr>
      <w:r>
        <w:rPr>
          <w:b/>
          <w:color w:val="000000"/>
        </w:rPr>
        <w:t>K Čl. IV</w:t>
      </w:r>
    </w:p>
    <w:p w:rsidR="00D75010" w:rsidRDefault="00D75010" w:rsidP="000777E8">
      <w:pPr>
        <w:spacing w:after="240"/>
        <w:jc w:val="both"/>
        <w:rPr>
          <w:color w:val="000000"/>
        </w:rPr>
      </w:pPr>
      <w:r>
        <w:rPr>
          <w:color w:val="000000"/>
        </w:rPr>
        <w:t>Ustanovuje sa účinnosť zákona od 1. novembra 2014</w:t>
      </w:r>
    </w:p>
    <w:sectPr w:rsidR="00D7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357" w:rsidRDefault="00934357" w:rsidP="00D75010">
      <w:r>
        <w:separator/>
      </w:r>
    </w:p>
  </w:endnote>
  <w:endnote w:type="continuationSeparator" w:id="0">
    <w:p w:rsidR="00934357" w:rsidRDefault="00934357" w:rsidP="00D7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EUAlbertina">
    <w:altName w:val="Times New Roman"/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243034"/>
      <w:docPartObj>
        <w:docPartGallery w:val="Page Numbers (Bottom of Page)"/>
        <w:docPartUnique/>
      </w:docPartObj>
    </w:sdtPr>
    <w:sdtEndPr/>
    <w:sdtContent>
      <w:p w:rsidR="00D75010" w:rsidRDefault="00D7501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7E8">
          <w:rPr>
            <w:noProof/>
          </w:rPr>
          <w:t>4</w:t>
        </w:r>
        <w:r>
          <w:fldChar w:fldCharType="end"/>
        </w:r>
      </w:p>
    </w:sdtContent>
  </w:sdt>
  <w:p w:rsidR="00D75010" w:rsidRDefault="00D750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357" w:rsidRDefault="00934357" w:rsidP="00D75010">
      <w:r>
        <w:separator/>
      </w:r>
    </w:p>
  </w:footnote>
  <w:footnote w:type="continuationSeparator" w:id="0">
    <w:p w:rsidR="00934357" w:rsidRDefault="00934357" w:rsidP="00D75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10"/>
    <w:rsid w:val="000777E8"/>
    <w:rsid w:val="002E01B0"/>
    <w:rsid w:val="00926466"/>
    <w:rsid w:val="00934357"/>
    <w:rsid w:val="00D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D75010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D750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750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0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5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D75010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D750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750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0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5A9B-E089-4CD9-A070-2FAE75E0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Borovska Michala</cp:lastModifiedBy>
  <cp:revision>2</cp:revision>
  <dcterms:created xsi:type="dcterms:W3CDTF">2014-05-09T06:16:00Z</dcterms:created>
  <dcterms:modified xsi:type="dcterms:W3CDTF">2014-05-09T06:59:00Z</dcterms:modified>
</cp:coreProperties>
</file>