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F58" w:rsidRPr="004A7F58" w:rsidRDefault="004A7F58" w:rsidP="004A7F58">
      <w:pPr>
        <w:pStyle w:val="Nadpis1"/>
        <w:spacing w:line="276" w:lineRule="auto"/>
        <w:rPr>
          <w:rFonts w:ascii="Times New Roman" w:hAnsi="Times New Roman" w:cs="Times New Roman"/>
          <w:sz w:val="24"/>
          <w:szCs w:val="24"/>
        </w:rPr>
      </w:pPr>
      <w:bookmarkStart w:id="0" w:name="_Toc388525478"/>
      <w:r w:rsidRPr="004A7F58">
        <w:rPr>
          <w:rFonts w:ascii="Times New Roman" w:hAnsi="Times New Roman" w:cs="Times New Roman"/>
          <w:sz w:val="24"/>
          <w:szCs w:val="24"/>
        </w:rPr>
        <w:t>Úvod</w:t>
      </w:r>
      <w:bookmarkEnd w:id="0"/>
    </w:p>
    <w:p w:rsidR="004A7F58" w:rsidRPr="004A7F58" w:rsidRDefault="004A7F58" w:rsidP="004A7F58"/>
    <w:p w:rsidR="004A7F58" w:rsidRPr="004A7F58" w:rsidRDefault="004A7F58" w:rsidP="004A7F58">
      <w:pPr>
        <w:spacing w:line="276" w:lineRule="auto"/>
        <w:jc w:val="both"/>
      </w:pPr>
      <w:r w:rsidRPr="004A7F58">
        <w:t>Zelené verejné obstarávanie (</w:t>
      </w:r>
      <w:proofErr w:type="spellStart"/>
      <w:r w:rsidRPr="004A7F58">
        <w:t>Green</w:t>
      </w:r>
      <w:proofErr w:type="spellEnd"/>
      <w:r w:rsidRPr="004A7F58">
        <w:t xml:space="preserve"> </w:t>
      </w:r>
      <w:proofErr w:type="spellStart"/>
      <w:r w:rsidRPr="004A7F58">
        <w:t>Public</w:t>
      </w:r>
      <w:proofErr w:type="spellEnd"/>
      <w:r w:rsidRPr="004A7F58">
        <w:t xml:space="preserve"> </w:t>
      </w:r>
      <w:proofErr w:type="spellStart"/>
      <w:r w:rsidRPr="004A7F58">
        <w:t>Procurement</w:t>
      </w:r>
      <w:proofErr w:type="spellEnd"/>
      <w:r>
        <w:t xml:space="preserve"> /ďalej </w:t>
      </w:r>
      <w:r w:rsidRPr="004A7F58">
        <w:t>GPP</w:t>
      </w:r>
      <w:r>
        <w:t>/</w:t>
      </w:r>
      <w:r w:rsidRPr="004A7F58">
        <w:t xml:space="preserve">) je jedným z dobrovoľných nástrojov environmentálnej politiky. Je definované v Oznámení Komisie Európskemu parlamentu, Rade, Európskemu a sociálnemu výboru a Výboru regiónov KOM(2008)400 s názvom Verejné obstarávanie pre lepšie životné prostredie ako „proces, v ktorom sa verejné orgány snažia obstarať tovary, služby a stavebné práce so zníženým negatívnym dopadom na životné prostredie počas celého ich životného cyklu, v porovnaní s tovarmi, službami a stavebnými prácami s rovnakou primárnou funkciou, ktoré by boli inak obstarané”. Zelené verejné obstarávanie je postup, pri ktorom sa zohľadňujú environmentálne aspekty v rámci verejného obstarávania, a to zadávaním environmentálnych charakteristík do súťažných podkladov, teda predstavuje spôsob, ktorým možno prispieť k ochrane životného prostredia v rámci postupov verejného obstarávania. </w:t>
      </w:r>
    </w:p>
    <w:p w:rsidR="004A7F58" w:rsidRPr="004A7F58" w:rsidRDefault="004A7F58" w:rsidP="004A7F58">
      <w:pPr>
        <w:spacing w:line="276" w:lineRule="auto"/>
        <w:jc w:val="both"/>
      </w:pPr>
    </w:p>
    <w:p w:rsidR="004A7F58" w:rsidRPr="004A7F58" w:rsidRDefault="004A7F58" w:rsidP="004A7F58">
      <w:pPr>
        <w:spacing w:line="276" w:lineRule="auto"/>
        <w:jc w:val="both"/>
      </w:pPr>
      <w:r w:rsidRPr="004A7F58">
        <w:t>Európska únia aktívne podporuje a presadzuje politiku zeleného verejného obstarávania v kontexte politiky udržateľnej výroby a spotreby. Stratégia Európa 2020 identifikuje verejné obstarávanie ako jeden z kľúčových nástrojov na dosahovanie inteligentného, udržateľného a </w:t>
      </w:r>
      <w:proofErr w:type="spellStart"/>
      <w:r w:rsidRPr="004A7F58">
        <w:t>inkluzívneho</w:t>
      </w:r>
      <w:proofErr w:type="spellEnd"/>
      <w:r w:rsidRPr="004A7F58">
        <w:t xml:space="preserve"> rastu. Využitie potenciálu kúpnej sily verejných inštitúcií, ktorá podľa prieskumov Európskej komisie z roku 201</w:t>
      </w:r>
      <w:r>
        <w:t xml:space="preserve">1 predstavuje približne 19 % hrubého domáceho produktu </w:t>
      </w:r>
      <w:r w:rsidRPr="004A7F58">
        <w:t xml:space="preserve"> E</w:t>
      </w:r>
      <w:r>
        <w:t>urópskej únie (ďalej EÚ)</w:t>
      </w:r>
      <w:r w:rsidRPr="004A7F58">
        <w:t>, na obstarávanie výrobkov a</w:t>
      </w:r>
      <w:r>
        <w:t> </w:t>
      </w:r>
      <w:r w:rsidRPr="004A7F58">
        <w:t>služieb</w:t>
      </w:r>
      <w:r>
        <w:t>,</w:t>
      </w:r>
      <w:r w:rsidRPr="004A7F58">
        <w:t xml:space="preserve"> ohľaduplných k životnému prostrediu, môže výrazne prispieť k napĺňaniu konkrétnych environmentálnych cieľov.</w:t>
      </w:r>
    </w:p>
    <w:p w:rsidR="004A7F58" w:rsidRPr="004A7F58" w:rsidRDefault="004A7F58" w:rsidP="004A7F58">
      <w:pPr>
        <w:spacing w:line="276" w:lineRule="auto"/>
        <w:jc w:val="both"/>
      </w:pPr>
    </w:p>
    <w:p w:rsidR="004A7F58" w:rsidRPr="004A7F58" w:rsidRDefault="004A7F58" w:rsidP="004A7F58">
      <w:pPr>
        <w:pStyle w:val="Nadpis1"/>
        <w:spacing w:line="276" w:lineRule="auto"/>
        <w:rPr>
          <w:rFonts w:ascii="Times New Roman" w:hAnsi="Times New Roman" w:cs="Times New Roman"/>
          <w:sz w:val="24"/>
          <w:szCs w:val="24"/>
        </w:rPr>
      </w:pPr>
      <w:bookmarkStart w:id="1" w:name="_Toc326050097"/>
      <w:bookmarkStart w:id="2" w:name="_Toc355000152"/>
      <w:bookmarkStart w:id="3" w:name="_Toc388525479"/>
      <w:r w:rsidRPr="004A7F58">
        <w:rPr>
          <w:rFonts w:ascii="Times New Roman" w:hAnsi="Times New Roman" w:cs="Times New Roman"/>
          <w:sz w:val="24"/>
          <w:szCs w:val="24"/>
        </w:rPr>
        <w:t>Národný akčný plán pre zelené verejné obstarávanie v Slovenskej republike na roky 2011 – 2015</w:t>
      </w:r>
      <w:bookmarkEnd w:id="1"/>
      <w:bookmarkEnd w:id="2"/>
      <w:bookmarkEnd w:id="3"/>
    </w:p>
    <w:p w:rsidR="004A7F58" w:rsidRPr="004A7F58" w:rsidRDefault="004A7F58" w:rsidP="004A7F58">
      <w:pPr>
        <w:spacing w:line="276" w:lineRule="auto"/>
        <w:jc w:val="both"/>
      </w:pPr>
    </w:p>
    <w:p w:rsidR="004A7F58" w:rsidRPr="004A7F58" w:rsidRDefault="004A7F58" w:rsidP="004A7F58">
      <w:pPr>
        <w:spacing w:line="276" w:lineRule="auto"/>
        <w:jc w:val="both"/>
      </w:pPr>
      <w:r w:rsidRPr="004A7F58">
        <w:t>Podpora uplatňovania politiky zeleného verejného obstarávania v Slovenskej republike</w:t>
      </w:r>
      <w:r>
        <w:t xml:space="preserve"> (ďalej SR)</w:t>
      </w:r>
      <w:r w:rsidRPr="004A7F58">
        <w:t xml:space="preserve"> je zabezpečená prostredníctvom vládou schváleného </w:t>
      </w:r>
      <w:r w:rsidRPr="004A7F58">
        <w:rPr>
          <w:iCs/>
        </w:rPr>
        <w:t xml:space="preserve">Národného akčného plánu pre zelené verejné obstarávanie v SR na roky 2011 – 2015. </w:t>
      </w:r>
      <w:r w:rsidRPr="004A7F58">
        <w:t xml:space="preserve">Jeho gestorom je Ministerstvo životného prostredia SR. Uznesenie vlády </w:t>
      </w:r>
      <w:r w:rsidR="00F41D87" w:rsidRPr="001869FC">
        <w:t>SR</w:t>
      </w:r>
      <w:r w:rsidR="00F41D87">
        <w:rPr>
          <w:color w:val="FF0000"/>
        </w:rPr>
        <w:t xml:space="preserve"> </w:t>
      </w:r>
      <w:r w:rsidRPr="004A7F58">
        <w:t xml:space="preserve">č. 22/2012 </w:t>
      </w:r>
      <w:r w:rsidR="00F41D87" w:rsidRPr="001869FC">
        <w:t xml:space="preserve">z 18. januára 2012 </w:t>
      </w:r>
      <w:r w:rsidRPr="004A7F58">
        <w:t>ukladá ministrom a predsedom ostatných ústredných orgánov štátnej správy S</w:t>
      </w:r>
      <w:r>
        <w:t xml:space="preserve">R </w:t>
      </w:r>
      <w:r w:rsidRPr="004A7F58">
        <w:t xml:space="preserve">uplatňovať princípy </w:t>
      </w:r>
      <w:r>
        <w:t>GPP</w:t>
      </w:r>
      <w:r w:rsidRPr="004A7F58">
        <w:t xml:space="preserve"> v rámci svojej pôsobnosti každoročne do roku 2015, predsedom samosprávnych krajov a predsedovi Združenia miest a obcí Slovenska je uplatňovanie </w:t>
      </w:r>
      <w:r>
        <w:t>GPP</w:t>
      </w:r>
      <w:r w:rsidRPr="004A7F58">
        <w:t xml:space="preserve"> v rámci </w:t>
      </w:r>
      <w:r>
        <w:t xml:space="preserve"> ich </w:t>
      </w:r>
      <w:r w:rsidRPr="004A7F58">
        <w:t xml:space="preserve">pôsobnosti odporúčané. </w:t>
      </w:r>
    </w:p>
    <w:p w:rsidR="004A7F58" w:rsidRPr="004A7F58" w:rsidRDefault="004A7F58" w:rsidP="004A7F58">
      <w:pPr>
        <w:spacing w:line="276" w:lineRule="auto"/>
        <w:jc w:val="both"/>
      </w:pPr>
      <w:r w:rsidRPr="004A7F58">
        <w:t xml:space="preserve"> </w:t>
      </w:r>
    </w:p>
    <w:p w:rsidR="004A7F58" w:rsidRDefault="004A7F58" w:rsidP="004A7F58">
      <w:pPr>
        <w:spacing w:line="276" w:lineRule="auto"/>
        <w:jc w:val="both"/>
      </w:pPr>
      <w:r w:rsidRPr="004A7F58">
        <w:t xml:space="preserve">Strategickým cieľom akčného plánu je zvýšiť podiel uplatňovania </w:t>
      </w:r>
      <w:r>
        <w:t>GPP</w:t>
      </w:r>
      <w:r w:rsidRPr="004A7F58">
        <w:t xml:space="preserve"> v S</w:t>
      </w:r>
      <w:r>
        <w:t>R</w:t>
      </w:r>
      <w:r w:rsidRPr="004A7F58">
        <w:t xml:space="preserve"> na úrovni ústredných orgánov štátnej správy na 65 % a na úrovni samosprávnych krajov a miest na 50 % do roku 2015. </w:t>
      </w:r>
      <w:r>
        <w:t>Ú</w:t>
      </w:r>
      <w:r w:rsidRPr="004A7F58">
        <w:t xml:space="preserve">roveň uplatňovania </w:t>
      </w:r>
      <w:r>
        <w:t>GPP</w:t>
      </w:r>
      <w:r w:rsidRPr="004A7F58">
        <w:t xml:space="preserve"> sa hodnotí na základe dvoch kvantitatívnych indikátorov, a</w:t>
      </w:r>
      <w:r>
        <w:t> </w:t>
      </w:r>
      <w:r w:rsidRPr="004A7F58">
        <w:t>to</w:t>
      </w:r>
      <w:r>
        <w:t>:</w:t>
      </w:r>
    </w:p>
    <w:p w:rsidR="004A7F58" w:rsidRDefault="004A7F58" w:rsidP="004A7F58">
      <w:pPr>
        <w:spacing w:line="276" w:lineRule="auto"/>
        <w:jc w:val="both"/>
      </w:pPr>
      <w:r w:rsidRPr="004A7F58">
        <w:t xml:space="preserve"> </w:t>
      </w:r>
      <w:r w:rsidRPr="004A7F58">
        <w:rPr>
          <w:i/>
        </w:rPr>
        <w:t xml:space="preserve">Indikátor 1: percentuálny podiel zeleného obstarávania z celkového verejného obstarávania vo väzbe na </w:t>
      </w:r>
      <w:r w:rsidRPr="004A7F58">
        <w:rPr>
          <w:bCs/>
          <w:i/>
        </w:rPr>
        <w:t>počet zákaziek</w:t>
      </w:r>
      <w:r w:rsidRPr="004A7F58">
        <w:rPr>
          <w:i/>
        </w:rPr>
        <w:t xml:space="preserve"> (uzatvorených zmlúv a objednávok),</w:t>
      </w:r>
      <w:r w:rsidRPr="004A7F58">
        <w:t xml:space="preserve"> </w:t>
      </w:r>
    </w:p>
    <w:p w:rsidR="004A7F58" w:rsidRPr="004A7F58" w:rsidRDefault="004A7F58" w:rsidP="004A7F58">
      <w:pPr>
        <w:spacing w:line="276" w:lineRule="auto"/>
        <w:jc w:val="both"/>
        <w:rPr>
          <w:i/>
        </w:rPr>
      </w:pPr>
      <w:r w:rsidRPr="004A7F58">
        <w:rPr>
          <w:i/>
        </w:rPr>
        <w:t xml:space="preserve">Indikátor 2: percentuálny podiel zeleného obstarávania z celkového verejného obstarávania vo väzbe na </w:t>
      </w:r>
      <w:r w:rsidRPr="004A7F58">
        <w:rPr>
          <w:bCs/>
          <w:i/>
        </w:rPr>
        <w:t>hodnotu uskutočnených zákaziek</w:t>
      </w:r>
      <w:r w:rsidRPr="004A7F58">
        <w:rPr>
          <w:i/>
        </w:rPr>
        <w:t xml:space="preserve"> (uzatvorených zmlúv a objednávok) za kalendárny rok. </w:t>
      </w:r>
    </w:p>
    <w:p w:rsidR="004A7F58" w:rsidRPr="004A7F58" w:rsidRDefault="004A7F58" w:rsidP="004A7F58">
      <w:pPr>
        <w:spacing w:line="276" w:lineRule="auto"/>
        <w:jc w:val="both"/>
      </w:pPr>
    </w:p>
    <w:p w:rsidR="004A7F58" w:rsidRPr="004A7F58" w:rsidRDefault="004A7F58" w:rsidP="004A7F58">
      <w:pPr>
        <w:spacing w:line="276" w:lineRule="auto"/>
        <w:jc w:val="both"/>
      </w:pPr>
    </w:p>
    <w:p w:rsidR="004A7F58" w:rsidRPr="004A7F58" w:rsidRDefault="004A7F58" w:rsidP="004A7F58">
      <w:pPr>
        <w:spacing w:line="276" w:lineRule="auto"/>
        <w:jc w:val="both"/>
      </w:pPr>
      <w:r w:rsidRPr="004A7F58">
        <w:t>Na dosiahnutie strategického cieľa boli v rámci akčného plánu stanovené tri parciálne ciele, a to:</w:t>
      </w:r>
    </w:p>
    <w:p w:rsidR="004A7F58" w:rsidRPr="004A7F58" w:rsidRDefault="004A7F58" w:rsidP="007873E3">
      <w:pPr>
        <w:spacing w:line="276" w:lineRule="auto"/>
        <w:ind w:left="284" w:hanging="284"/>
        <w:jc w:val="both"/>
      </w:pPr>
      <w:r w:rsidRPr="004A7F58">
        <w:t xml:space="preserve">1. budovať povedomie verejných obstarávateľov a obstarávateľov o problematike zeleného verejného obstarávania v podmienkach Slovenskej republiky, </w:t>
      </w:r>
    </w:p>
    <w:p w:rsidR="004A7F58" w:rsidRPr="004A7F58" w:rsidRDefault="004A7F58" w:rsidP="004A7F58">
      <w:pPr>
        <w:spacing w:line="276" w:lineRule="auto"/>
        <w:jc w:val="both"/>
      </w:pPr>
      <w:r w:rsidRPr="004A7F58">
        <w:t xml:space="preserve">2. posilniť uplatňovanie environmentálnych charakteristík vo verejných zákazkách, </w:t>
      </w:r>
    </w:p>
    <w:p w:rsidR="004A7F58" w:rsidRPr="004A7F58" w:rsidRDefault="004A7F58" w:rsidP="007873E3">
      <w:pPr>
        <w:spacing w:line="276" w:lineRule="auto"/>
        <w:ind w:left="284" w:hanging="284"/>
        <w:jc w:val="both"/>
      </w:pPr>
      <w:r w:rsidRPr="004A7F58">
        <w:t xml:space="preserve">3. hodnotiť úroveň uplatňovania zeleného verejného obstarávania v Slovenskej republike vo väzbe na požiadavky Európskej komisie. </w:t>
      </w:r>
    </w:p>
    <w:p w:rsidR="004A7F58" w:rsidRPr="004A7F58" w:rsidRDefault="004A7F58" w:rsidP="004A7F58">
      <w:pPr>
        <w:spacing w:line="276" w:lineRule="auto"/>
        <w:jc w:val="both"/>
      </w:pPr>
    </w:p>
    <w:p w:rsidR="004A7F58" w:rsidRPr="004A7F58" w:rsidRDefault="004A7F58" w:rsidP="004A7F58">
      <w:pPr>
        <w:spacing w:line="276" w:lineRule="auto"/>
        <w:jc w:val="both"/>
      </w:pPr>
      <w:r w:rsidRPr="004A7F58">
        <w:t>Uznesenie vlády, ktorým bol Národný akčný plán schválený</w:t>
      </w:r>
      <w:r w:rsidR="007873E3">
        <w:t>,</w:t>
      </w:r>
      <w:r w:rsidRPr="004A7F58">
        <w:t xml:space="preserve"> ukladá ministrovi životného prostredia SR, v spolupráci s ostatnými ministrami a predsedami ústredných orgánov štátnej správy, predkladať na rokovanie vlády pravidelné informácie o jeho implementácii za príslušný kalendárny rok. Monitorovanie </w:t>
      </w:r>
      <w:r w:rsidR="007873E3">
        <w:t xml:space="preserve">GPP v </w:t>
      </w:r>
      <w:r w:rsidRPr="004A7F58">
        <w:t>S</w:t>
      </w:r>
      <w:r w:rsidR="007873E3">
        <w:t xml:space="preserve">R </w:t>
      </w:r>
      <w:r w:rsidRPr="004A7F58">
        <w:t xml:space="preserve"> realiz</w:t>
      </w:r>
      <w:r w:rsidR="007873E3">
        <w:t>ujeme prostredníctvom elektronického dotazníkového</w:t>
      </w:r>
      <w:r w:rsidRPr="004A7F58">
        <w:t xml:space="preserve"> prieskum</w:t>
      </w:r>
      <w:r w:rsidR="007873E3">
        <w:t>u</w:t>
      </w:r>
      <w:r w:rsidRPr="004A7F58">
        <w:t xml:space="preserve">, </w:t>
      </w:r>
      <w:r w:rsidR="007873E3">
        <w:t xml:space="preserve">v rámci ktorého MŽP SR </w:t>
      </w:r>
      <w:r w:rsidRPr="004A7F58">
        <w:t>oslov</w:t>
      </w:r>
      <w:r w:rsidR="007873E3">
        <w:t>ilo</w:t>
      </w:r>
      <w:r w:rsidRPr="004A7F58">
        <w:t xml:space="preserve"> ústredn</w:t>
      </w:r>
      <w:r w:rsidR="007873E3">
        <w:t>é</w:t>
      </w:r>
      <w:r w:rsidRPr="004A7F58">
        <w:t xml:space="preserve"> orgán</w:t>
      </w:r>
      <w:r w:rsidR="007873E3">
        <w:t xml:space="preserve">y štátnej správy </w:t>
      </w:r>
      <w:r w:rsidRPr="004A7F58">
        <w:t xml:space="preserve"> a</w:t>
      </w:r>
      <w:r w:rsidR="007873E3">
        <w:t xml:space="preserve"> im </w:t>
      </w:r>
      <w:r w:rsidRPr="004A7F58">
        <w:t>podriaden</w:t>
      </w:r>
      <w:r w:rsidR="007873E3">
        <w:t>é</w:t>
      </w:r>
      <w:r w:rsidRPr="004A7F58">
        <w:t xml:space="preserve"> organizáci</w:t>
      </w:r>
      <w:r w:rsidR="007873E3">
        <w:t>e</w:t>
      </w:r>
      <w:r w:rsidRPr="004A7F58">
        <w:t>, samosprávn</w:t>
      </w:r>
      <w:r w:rsidR="007873E3">
        <w:t>e</w:t>
      </w:r>
      <w:r w:rsidRPr="004A7F58">
        <w:t xml:space="preserve"> kraj</w:t>
      </w:r>
      <w:r w:rsidR="007873E3">
        <w:t>e u samosprávnych krajov – Bratislavský, Trnavský, Žilinský a Prešovský – sme oslovili aj ich podriadené organizácie)</w:t>
      </w:r>
      <w:r w:rsidRPr="004A7F58">
        <w:t xml:space="preserve"> a mestských úradov. </w:t>
      </w:r>
    </w:p>
    <w:p w:rsidR="004A7F58" w:rsidRPr="004A7F58" w:rsidRDefault="004A7F58" w:rsidP="004A7F58">
      <w:pPr>
        <w:spacing w:line="276" w:lineRule="auto"/>
        <w:jc w:val="both"/>
      </w:pPr>
    </w:p>
    <w:p w:rsidR="004A7F58" w:rsidRDefault="004A7F58" w:rsidP="004A7F58">
      <w:pPr>
        <w:spacing w:line="276" w:lineRule="auto"/>
        <w:jc w:val="both"/>
        <w:rPr>
          <w:bCs/>
        </w:rPr>
      </w:pPr>
      <w:r w:rsidRPr="004A7F58">
        <w:t xml:space="preserve">V rámci monitorovania zeleného verejného obstarávania boli za rok 2013 sledované nasledujúce indikátory: </w:t>
      </w:r>
      <w:r w:rsidR="007873E3">
        <w:t>počet oslovených subjektov;</w:t>
      </w:r>
      <w:r w:rsidRPr="004A7F58">
        <w:t xml:space="preserve"> počet zapojených subjektov do priesk</w:t>
      </w:r>
      <w:r w:rsidR="007873E3">
        <w:t>umu;</w:t>
      </w:r>
      <w:r w:rsidRPr="004A7F58">
        <w:t xml:space="preserve"> percentuálny podiel za</w:t>
      </w:r>
      <w:r w:rsidR="007873E3">
        <w:t>pojených subjektov do prieskumu;</w:t>
      </w:r>
      <w:r w:rsidRPr="004A7F58">
        <w:t xml:space="preserve"> celkový počet realizovaných zákaziek, uzatvorených zmlúv a objednávok za rok 2013 inštitúciami</w:t>
      </w:r>
      <w:r w:rsidR="007873E3">
        <w:t>,</w:t>
      </w:r>
      <w:r w:rsidRPr="004A7F58">
        <w:t xml:space="preserve"> zapojenými do dotazníkového prieskumu a ich hodnota v</w:t>
      </w:r>
      <w:r w:rsidR="007873E3">
        <w:t> </w:t>
      </w:r>
      <w:r w:rsidRPr="004A7F58">
        <w:t>EUR</w:t>
      </w:r>
      <w:r w:rsidR="007873E3">
        <w:t>;</w:t>
      </w:r>
      <w:r w:rsidRPr="004A7F58">
        <w:t xml:space="preserve"> celkový počet realizovaných zelených zákaziek, uzatvorených zmlúv a objednávok za rok 2013 inštitúciami</w:t>
      </w:r>
      <w:r w:rsidR="007873E3">
        <w:t>,</w:t>
      </w:r>
      <w:r w:rsidRPr="004A7F58">
        <w:t xml:space="preserve"> zapojenými do dotazníkového prieskumu a ich hodnota </w:t>
      </w:r>
      <w:r w:rsidR="007873E3">
        <w:t>v EUR;</w:t>
      </w:r>
      <w:r w:rsidRPr="004A7F58">
        <w:t xml:space="preserve"> priemerná úroveň uplatňovania </w:t>
      </w:r>
      <w:r w:rsidR="007873E3">
        <w:t>GPP</w:t>
      </w:r>
      <w:r w:rsidRPr="004A7F58">
        <w:t xml:space="preserve"> v SR za rok 2013</w:t>
      </w:r>
      <w:r w:rsidR="007873E3">
        <w:t>,</w:t>
      </w:r>
      <w:r w:rsidRPr="004A7F58">
        <w:t xml:space="preserve"> stanovená na základe  indikátora 1 a indikátora 2</w:t>
      </w:r>
      <w:r w:rsidR="007873E3">
        <w:t>;</w:t>
      </w:r>
      <w:r w:rsidRPr="004A7F58">
        <w:t xml:space="preserve"> uplatnené environmentálne charakteristiky vo verejnom obstarávaní vo väzbe na počet a hodnotu v EUR </w:t>
      </w:r>
      <w:r w:rsidR="007873E3">
        <w:t>realizovaných zelených zákaziek;</w:t>
      </w:r>
      <w:r w:rsidRPr="004A7F58">
        <w:t xml:space="preserve"> využitie kritérií schém environmentálneho označovania typu I (Environmentálna značka EÚ, Environmentálne vhodný produkt, iné národné značky) vo väzbe na počet a hodnotu nákupov</w:t>
      </w:r>
      <w:r w:rsidR="007873E3">
        <w:t>;</w:t>
      </w:r>
      <w:r w:rsidRPr="004A7F58">
        <w:t xml:space="preserve"> využívanie energetického štítkovania vo väzbe na počet a hodnotu nákupov</w:t>
      </w:r>
      <w:r w:rsidR="007873E3">
        <w:t>;</w:t>
      </w:r>
      <w:r w:rsidRPr="004A7F58">
        <w:t xml:space="preserve"> požiadavky na environmentálne manažérstvo vo vä</w:t>
      </w:r>
      <w:r w:rsidR="007873E3">
        <w:t>zbe na počet a hodnotu zákaziek;</w:t>
      </w:r>
      <w:r w:rsidRPr="004A7F58">
        <w:t xml:space="preserve"> počet a hodnota realizovaných zelených zákaziek na </w:t>
      </w:r>
      <w:r w:rsidR="007873E3">
        <w:t>tovary, služby a stavebné práce;</w:t>
      </w:r>
      <w:r w:rsidRPr="004A7F58">
        <w:t xml:space="preserve"> počet a hodnota v EUR zákaziek/nákupov</w:t>
      </w:r>
      <w:r w:rsidR="007873E3">
        <w:t>,</w:t>
      </w:r>
      <w:r w:rsidRPr="004A7F58">
        <w:t xml:space="preserve"> </w:t>
      </w:r>
      <w:r w:rsidRPr="004A7F58">
        <w:rPr>
          <w:bCs/>
        </w:rPr>
        <w:t>uskutočnených pre 10 prioritných skupín produktov</w:t>
      </w:r>
      <w:r w:rsidR="007873E3">
        <w:rPr>
          <w:bCs/>
        </w:rPr>
        <w:t>,</w:t>
      </w:r>
      <w:r w:rsidRPr="004A7F58">
        <w:rPr>
          <w:bCs/>
        </w:rPr>
        <w:t xml:space="preserve"> vytýčených Európskou komisiou.</w:t>
      </w:r>
    </w:p>
    <w:p w:rsidR="00EA1B79" w:rsidRDefault="00EA1B79" w:rsidP="004A7F58">
      <w:pPr>
        <w:spacing w:line="276" w:lineRule="auto"/>
        <w:jc w:val="both"/>
        <w:rPr>
          <w:bCs/>
        </w:rPr>
      </w:pPr>
    </w:p>
    <w:p w:rsidR="004A7F58" w:rsidRPr="004A7F58" w:rsidRDefault="004A7F58" w:rsidP="004A7F58">
      <w:pPr>
        <w:pStyle w:val="Nadpis1"/>
        <w:spacing w:line="276" w:lineRule="auto"/>
        <w:rPr>
          <w:rFonts w:ascii="Times New Roman" w:hAnsi="Times New Roman" w:cs="Times New Roman"/>
          <w:sz w:val="24"/>
          <w:szCs w:val="24"/>
        </w:rPr>
      </w:pPr>
      <w:bookmarkStart w:id="4" w:name="_Toc326050098"/>
      <w:bookmarkStart w:id="5" w:name="_Toc355000153"/>
      <w:bookmarkStart w:id="6" w:name="_Toc388525480"/>
      <w:r w:rsidRPr="004A7F58">
        <w:rPr>
          <w:rFonts w:ascii="Times New Roman" w:hAnsi="Times New Roman" w:cs="Times New Roman"/>
          <w:sz w:val="24"/>
          <w:szCs w:val="24"/>
        </w:rPr>
        <w:t>Priemerná úroveň uplatňovania zeleného verejného obstarávania v SR</w:t>
      </w:r>
      <w:bookmarkEnd w:id="4"/>
      <w:bookmarkEnd w:id="5"/>
      <w:r w:rsidRPr="004A7F58">
        <w:rPr>
          <w:rFonts w:ascii="Times New Roman" w:hAnsi="Times New Roman" w:cs="Times New Roman"/>
          <w:sz w:val="24"/>
          <w:szCs w:val="24"/>
        </w:rPr>
        <w:t xml:space="preserve"> za rok 2013</w:t>
      </w:r>
      <w:bookmarkEnd w:id="6"/>
    </w:p>
    <w:p w:rsidR="004A7F58" w:rsidRPr="004A7F58" w:rsidRDefault="004A7F58" w:rsidP="004A7F58">
      <w:pPr>
        <w:spacing w:line="276" w:lineRule="auto"/>
      </w:pPr>
    </w:p>
    <w:p w:rsidR="004A7F58" w:rsidRPr="004A7F58" w:rsidRDefault="004A7F58" w:rsidP="004A7F58">
      <w:pPr>
        <w:spacing w:line="276" w:lineRule="auto"/>
        <w:jc w:val="both"/>
      </w:pPr>
      <w:r w:rsidRPr="004A7F58">
        <w:t xml:space="preserve">V rámci monitorovania priemernej úrovne </w:t>
      </w:r>
      <w:r w:rsidR="007873E3">
        <w:t>GPP</w:t>
      </w:r>
      <w:r w:rsidRPr="004A7F58">
        <w:t xml:space="preserve"> v SR </w:t>
      </w:r>
      <w:r w:rsidRPr="004A7F58">
        <w:rPr>
          <w:bCs/>
        </w:rPr>
        <w:t>za rok 2013</w:t>
      </w:r>
      <w:r w:rsidRPr="004A7F58">
        <w:t xml:space="preserve"> bolo elektronickou formou oslovených 992 inštitúcií SR (459 ústredných orgánov a im podriadených organizácií a 533 samosprávnych krajov a nimi zriadených organizácií, miest a mestských častí). Zoznam oslovených in</w:t>
      </w:r>
      <w:r w:rsidR="007873E3">
        <w:t xml:space="preserve">štitúcií je uvedený v prílohe </w:t>
      </w:r>
      <w:r w:rsidRPr="004A7F58">
        <w:t xml:space="preserve"> 3. Do dotazníkov</w:t>
      </w:r>
      <w:r w:rsidR="007873E3">
        <w:t>ého prieskumu sa zapojilo sp</w:t>
      </w:r>
      <w:r w:rsidRPr="004A7F58">
        <w:t>o</w:t>
      </w:r>
      <w:r w:rsidR="007873E3">
        <w:t>lu</w:t>
      </w:r>
      <w:r w:rsidR="00D145EA">
        <w:t xml:space="preserve"> 576 subjektov, z čoho bolo 303</w:t>
      </w:r>
      <w:r w:rsidRPr="004A7F58">
        <w:t xml:space="preserve"> ústredných orgánov a podriadených organizácií vrátane obstarávateľov a 273 samosprávnych krajov, </w:t>
      </w:r>
      <w:r w:rsidR="007873E3">
        <w:t xml:space="preserve">nimi </w:t>
      </w:r>
      <w:r w:rsidRPr="004A7F58">
        <w:t xml:space="preserve">zriadených organizácií a miestnych úradov. </w:t>
      </w:r>
      <w:r w:rsidRPr="004A7F58">
        <w:lastRenderedPageBreak/>
        <w:t xml:space="preserve">Celková návratnosť dotazníkov za rok 2013 tak predstavuje 58,61%.  </w:t>
      </w:r>
      <w:r w:rsidR="007873E3">
        <w:t xml:space="preserve">Tabuľka </w:t>
      </w:r>
      <w:r w:rsidRPr="004A7F58">
        <w:t xml:space="preserve"> 1 zobrazuje počet inštitúcií, ktoré boli oslovené v rámci dotazníkového prieskumu (992), a počet aktívne zapojených (576), t.j. odpovedali zaslaním vyplneného dotazníka. Tabuľka tiež zobrazuje počet organizácií v členení na ústredné orgány a podriadené organizácie (255) a samosprávne kraje, nimi zriadené organizácie a mestá (200), ktoré uplatnili environmentálne charakteristiky pri vy</w:t>
      </w:r>
      <w:r w:rsidR="007873E3">
        <w:t>naložení verejných prostriedkov;</w:t>
      </w:r>
      <w:r w:rsidRPr="004A7F58">
        <w:t xml:space="preserve"> počet organizácií v členení na ústredné orgány a podriadené organizácie (35) a samosprávne kraje, nimi zriadené organizácie a mestá (53), ktoré neuplatnili environmentálne charakteristiky vo ve</w:t>
      </w:r>
      <w:r w:rsidR="007873E3">
        <w:t xml:space="preserve">rejnom obstarávaní v roku 2013; </w:t>
      </w:r>
      <w:r w:rsidRPr="004A7F58">
        <w:t>počet organizácií, ktoré v roku 2013 nerealizova</w:t>
      </w:r>
      <w:r w:rsidR="007873E3">
        <w:t>li verejné obstarávanie (spolu</w:t>
      </w:r>
      <w:r w:rsidRPr="004A7F58">
        <w:t xml:space="preserve"> 9) a počet organizácií, ktoré nedodali údaje</w:t>
      </w:r>
      <w:r w:rsidR="007873E3">
        <w:t xml:space="preserve">, </w:t>
      </w:r>
      <w:r w:rsidR="007873E3" w:rsidRPr="004A7F58">
        <w:t>potrebné</w:t>
      </w:r>
      <w:r w:rsidR="007873E3">
        <w:t xml:space="preserve"> k vyhodnoteniu (spolu </w:t>
      </w:r>
      <w:r w:rsidRPr="004A7F58">
        <w:t>24).</w:t>
      </w:r>
    </w:p>
    <w:p w:rsidR="004A7F58" w:rsidRDefault="004A7F58" w:rsidP="004A7F58">
      <w:pPr>
        <w:spacing w:line="276" w:lineRule="auto"/>
        <w:rPr>
          <w:rFonts w:ascii="Calibri" w:hAnsi="Calibri"/>
          <w:sz w:val="18"/>
          <w:szCs w:val="18"/>
        </w:rPr>
      </w:pPr>
    </w:p>
    <w:p w:rsidR="004A7F58" w:rsidRPr="007873E3" w:rsidRDefault="007873E3" w:rsidP="004A7F58">
      <w:pPr>
        <w:spacing w:line="276" w:lineRule="auto"/>
        <w:rPr>
          <w:b/>
        </w:rPr>
      </w:pPr>
      <w:r>
        <w:rPr>
          <w:b/>
        </w:rPr>
        <w:t>Tabuľka</w:t>
      </w:r>
      <w:r w:rsidR="004A7F58" w:rsidRPr="007873E3">
        <w:rPr>
          <w:b/>
        </w:rPr>
        <w:t xml:space="preserve"> 1</w:t>
      </w:r>
      <w:r>
        <w:rPr>
          <w:b/>
        </w:rPr>
        <w:t xml:space="preserve">: </w:t>
      </w:r>
      <w:r w:rsidR="004A7F58" w:rsidRPr="007873E3">
        <w:rPr>
          <w:b/>
        </w:rPr>
        <w:t xml:space="preserve"> Prehľad počtu oslovených inštitúcií v rámci monitorovania za rok 2013</w:t>
      </w:r>
    </w:p>
    <w:tbl>
      <w:tblPr>
        <w:tblW w:w="9736" w:type="dxa"/>
        <w:jc w:val="center"/>
        <w:tblInd w:w="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6185"/>
        <w:gridCol w:w="1596"/>
        <w:gridCol w:w="1296"/>
        <w:gridCol w:w="659"/>
      </w:tblGrid>
      <w:tr w:rsidR="004A7F58" w:rsidRPr="009E09FB" w:rsidTr="00E008A9">
        <w:trPr>
          <w:trHeight w:val="255"/>
          <w:jc w:val="center"/>
        </w:trPr>
        <w:tc>
          <w:tcPr>
            <w:tcW w:w="6213" w:type="dxa"/>
            <w:tcBorders>
              <w:top w:val="double" w:sz="4" w:space="0" w:color="auto"/>
            </w:tcBorders>
            <w:shd w:val="clear" w:color="000000" w:fill="auto"/>
            <w:vAlign w:val="center"/>
            <w:hideMark/>
          </w:tcPr>
          <w:p w:rsidR="004A7F58" w:rsidRPr="0066791A" w:rsidRDefault="004A7F58" w:rsidP="00E008A9">
            <w:pPr>
              <w:spacing w:line="276" w:lineRule="auto"/>
              <w:rPr>
                <w:rFonts w:ascii="Calibri" w:hAnsi="Calibri" w:cs="Arial"/>
                <w:sz w:val="22"/>
                <w:szCs w:val="22"/>
              </w:rPr>
            </w:pPr>
          </w:p>
        </w:tc>
        <w:tc>
          <w:tcPr>
            <w:tcW w:w="1600" w:type="dxa"/>
            <w:tcBorders>
              <w:top w:val="double" w:sz="4" w:space="0" w:color="auto"/>
            </w:tcBorders>
            <w:shd w:val="clear" w:color="000000" w:fill="auto"/>
            <w:vAlign w:val="center"/>
          </w:tcPr>
          <w:p w:rsidR="004A7F58" w:rsidRPr="00286641" w:rsidRDefault="004A7F58" w:rsidP="00E008A9">
            <w:pPr>
              <w:spacing w:line="276" w:lineRule="auto"/>
              <w:jc w:val="center"/>
              <w:rPr>
                <w:b/>
                <w:sz w:val="20"/>
                <w:szCs w:val="20"/>
              </w:rPr>
            </w:pPr>
            <w:r w:rsidRPr="00286641">
              <w:rPr>
                <w:b/>
                <w:sz w:val="20"/>
                <w:szCs w:val="20"/>
              </w:rPr>
              <w:t>Ústredné orgány</w:t>
            </w:r>
          </w:p>
        </w:tc>
        <w:tc>
          <w:tcPr>
            <w:tcW w:w="1264" w:type="dxa"/>
            <w:tcBorders>
              <w:top w:val="double" w:sz="4" w:space="0" w:color="auto"/>
            </w:tcBorders>
            <w:shd w:val="clear" w:color="000000" w:fill="auto"/>
            <w:vAlign w:val="center"/>
          </w:tcPr>
          <w:p w:rsidR="004A7F58" w:rsidRPr="00286641" w:rsidRDefault="004A7F58" w:rsidP="00E008A9">
            <w:pPr>
              <w:spacing w:line="276" w:lineRule="auto"/>
              <w:jc w:val="center"/>
              <w:rPr>
                <w:b/>
                <w:sz w:val="20"/>
                <w:szCs w:val="20"/>
              </w:rPr>
            </w:pPr>
            <w:r w:rsidRPr="00286641">
              <w:rPr>
                <w:b/>
                <w:sz w:val="20"/>
                <w:szCs w:val="20"/>
              </w:rPr>
              <w:t>Samosprávne kraje a mestá</w:t>
            </w:r>
          </w:p>
        </w:tc>
        <w:tc>
          <w:tcPr>
            <w:tcW w:w="659" w:type="dxa"/>
            <w:tcBorders>
              <w:top w:val="double" w:sz="4" w:space="0" w:color="auto"/>
            </w:tcBorders>
            <w:shd w:val="clear" w:color="000000" w:fill="auto"/>
            <w:vAlign w:val="center"/>
          </w:tcPr>
          <w:p w:rsidR="004A7F58" w:rsidRPr="00286641" w:rsidRDefault="004A7F58" w:rsidP="00E008A9">
            <w:pPr>
              <w:spacing w:line="276" w:lineRule="auto"/>
              <w:jc w:val="center"/>
              <w:rPr>
                <w:b/>
                <w:sz w:val="20"/>
                <w:szCs w:val="20"/>
              </w:rPr>
            </w:pPr>
            <w:r w:rsidRPr="00286641">
              <w:rPr>
                <w:b/>
                <w:sz w:val="20"/>
                <w:szCs w:val="20"/>
              </w:rPr>
              <w:t>Spolu</w:t>
            </w:r>
          </w:p>
        </w:tc>
      </w:tr>
      <w:tr w:rsidR="004A7F58" w:rsidRPr="009E09FB" w:rsidTr="00E008A9">
        <w:trPr>
          <w:trHeight w:val="255"/>
          <w:jc w:val="center"/>
        </w:trPr>
        <w:tc>
          <w:tcPr>
            <w:tcW w:w="6213" w:type="dxa"/>
            <w:shd w:val="clear" w:color="000000" w:fill="auto"/>
            <w:vAlign w:val="center"/>
            <w:hideMark/>
          </w:tcPr>
          <w:p w:rsidR="004A7F58" w:rsidRPr="00286641" w:rsidRDefault="004A7F58" w:rsidP="00E008A9">
            <w:pPr>
              <w:spacing w:line="276" w:lineRule="auto"/>
            </w:pPr>
            <w:r w:rsidRPr="00286641">
              <w:t>Počet oslovených subjektov</w:t>
            </w:r>
          </w:p>
        </w:tc>
        <w:tc>
          <w:tcPr>
            <w:tcW w:w="1600" w:type="dxa"/>
            <w:shd w:val="clear" w:color="000000" w:fill="auto"/>
          </w:tcPr>
          <w:p w:rsidR="004A7F58" w:rsidRPr="00286641" w:rsidRDefault="004A7F58" w:rsidP="00E008A9">
            <w:pPr>
              <w:spacing w:line="276" w:lineRule="auto"/>
              <w:jc w:val="right"/>
            </w:pPr>
            <w:r w:rsidRPr="00286641">
              <w:t>459</w:t>
            </w:r>
          </w:p>
        </w:tc>
        <w:tc>
          <w:tcPr>
            <w:tcW w:w="1264" w:type="dxa"/>
            <w:shd w:val="clear" w:color="000000" w:fill="auto"/>
          </w:tcPr>
          <w:p w:rsidR="004A7F58" w:rsidRPr="00286641" w:rsidRDefault="004A7F58" w:rsidP="00E008A9">
            <w:pPr>
              <w:spacing w:line="276" w:lineRule="auto"/>
              <w:jc w:val="right"/>
            </w:pPr>
            <w:r w:rsidRPr="00286641">
              <w:t>533</w:t>
            </w:r>
          </w:p>
        </w:tc>
        <w:tc>
          <w:tcPr>
            <w:tcW w:w="659" w:type="dxa"/>
            <w:shd w:val="clear" w:color="000000" w:fill="auto"/>
          </w:tcPr>
          <w:p w:rsidR="004A7F58" w:rsidRPr="00286641" w:rsidRDefault="004A7F58" w:rsidP="00E008A9">
            <w:pPr>
              <w:spacing w:line="276" w:lineRule="auto"/>
              <w:jc w:val="right"/>
            </w:pPr>
            <w:r w:rsidRPr="00286641">
              <w:t>992</w:t>
            </w:r>
          </w:p>
        </w:tc>
      </w:tr>
      <w:tr w:rsidR="004A7F58" w:rsidRPr="009E09FB" w:rsidTr="00E008A9">
        <w:trPr>
          <w:trHeight w:val="255"/>
          <w:jc w:val="center"/>
        </w:trPr>
        <w:tc>
          <w:tcPr>
            <w:tcW w:w="6213" w:type="dxa"/>
            <w:shd w:val="clear" w:color="000000" w:fill="auto"/>
            <w:vAlign w:val="center"/>
            <w:hideMark/>
          </w:tcPr>
          <w:p w:rsidR="004A7F58" w:rsidRPr="00286641" w:rsidRDefault="004A7F58" w:rsidP="00E008A9">
            <w:pPr>
              <w:spacing w:line="276" w:lineRule="auto"/>
            </w:pPr>
            <w:r w:rsidRPr="00286641">
              <w:t>Počet subjektov zapojených do prieskumu</w:t>
            </w:r>
          </w:p>
        </w:tc>
        <w:tc>
          <w:tcPr>
            <w:tcW w:w="1600" w:type="dxa"/>
            <w:shd w:val="clear" w:color="000000" w:fill="auto"/>
          </w:tcPr>
          <w:p w:rsidR="004A7F58" w:rsidRPr="00286641" w:rsidRDefault="004A7F58" w:rsidP="00E008A9">
            <w:pPr>
              <w:spacing w:line="276" w:lineRule="auto"/>
              <w:jc w:val="right"/>
            </w:pPr>
            <w:r w:rsidRPr="00286641">
              <w:t>303</w:t>
            </w:r>
          </w:p>
        </w:tc>
        <w:tc>
          <w:tcPr>
            <w:tcW w:w="1264" w:type="dxa"/>
            <w:shd w:val="clear" w:color="000000" w:fill="auto"/>
          </w:tcPr>
          <w:p w:rsidR="004A7F58" w:rsidRPr="00286641" w:rsidRDefault="004A7F58" w:rsidP="00E008A9">
            <w:pPr>
              <w:spacing w:line="276" w:lineRule="auto"/>
              <w:jc w:val="right"/>
            </w:pPr>
            <w:r w:rsidRPr="00286641">
              <w:t>273</w:t>
            </w:r>
          </w:p>
        </w:tc>
        <w:tc>
          <w:tcPr>
            <w:tcW w:w="659" w:type="dxa"/>
            <w:shd w:val="clear" w:color="000000" w:fill="auto"/>
          </w:tcPr>
          <w:p w:rsidR="004A7F58" w:rsidRPr="00286641" w:rsidRDefault="004A7F58" w:rsidP="00E008A9">
            <w:pPr>
              <w:spacing w:line="276" w:lineRule="auto"/>
              <w:jc w:val="right"/>
            </w:pPr>
            <w:r w:rsidRPr="00286641">
              <w:t>576</w:t>
            </w:r>
          </w:p>
        </w:tc>
      </w:tr>
      <w:tr w:rsidR="004A7F58" w:rsidRPr="009E09FB" w:rsidTr="00E008A9">
        <w:trPr>
          <w:trHeight w:val="255"/>
          <w:jc w:val="center"/>
        </w:trPr>
        <w:tc>
          <w:tcPr>
            <w:tcW w:w="6213" w:type="dxa"/>
            <w:shd w:val="clear" w:color="000000" w:fill="C2D69A"/>
            <w:vAlign w:val="center"/>
            <w:hideMark/>
          </w:tcPr>
          <w:p w:rsidR="004A7F58" w:rsidRPr="00286641" w:rsidRDefault="004A7F58" w:rsidP="00E008A9">
            <w:pPr>
              <w:spacing w:line="276" w:lineRule="auto"/>
              <w:ind w:left="573"/>
            </w:pPr>
            <w:r w:rsidRPr="00286641">
              <w:t>Organizácia, ktorá uplatnila zelené obstarávanie</w:t>
            </w:r>
          </w:p>
        </w:tc>
        <w:tc>
          <w:tcPr>
            <w:tcW w:w="1600" w:type="dxa"/>
            <w:shd w:val="clear" w:color="000000" w:fill="C2D69A"/>
          </w:tcPr>
          <w:p w:rsidR="004A7F58" w:rsidRPr="00286641" w:rsidRDefault="004A7F58" w:rsidP="00E008A9">
            <w:pPr>
              <w:spacing w:line="276" w:lineRule="auto"/>
              <w:jc w:val="right"/>
            </w:pPr>
            <w:r w:rsidRPr="00286641">
              <w:t>255</w:t>
            </w:r>
          </w:p>
        </w:tc>
        <w:tc>
          <w:tcPr>
            <w:tcW w:w="1264" w:type="dxa"/>
            <w:shd w:val="clear" w:color="000000" w:fill="C2D69A"/>
          </w:tcPr>
          <w:p w:rsidR="004A7F58" w:rsidRPr="00286641" w:rsidRDefault="004A7F58" w:rsidP="00E008A9">
            <w:pPr>
              <w:spacing w:line="276" w:lineRule="auto"/>
              <w:jc w:val="right"/>
            </w:pPr>
            <w:r w:rsidRPr="00286641">
              <w:t>200</w:t>
            </w:r>
          </w:p>
        </w:tc>
        <w:tc>
          <w:tcPr>
            <w:tcW w:w="659" w:type="dxa"/>
            <w:shd w:val="clear" w:color="000000" w:fill="C2D69A"/>
          </w:tcPr>
          <w:p w:rsidR="004A7F58" w:rsidRPr="00286641" w:rsidRDefault="004A7F58" w:rsidP="00E008A9">
            <w:pPr>
              <w:spacing w:line="276" w:lineRule="auto"/>
              <w:jc w:val="right"/>
            </w:pPr>
            <w:r w:rsidRPr="00286641">
              <w:t>455</w:t>
            </w:r>
          </w:p>
        </w:tc>
      </w:tr>
      <w:tr w:rsidR="004A7F58" w:rsidRPr="009E09FB" w:rsidTr="00E008A9">
        <w:trPr>
          <w:trHeight w:val="255"/>
          <w:jc w:val="center"/>
        </w:trPr>
        <w:tc>
          <w:tcPr>
            <w:tcW w:w="6213" w:type="dxa"/>
            <w:shd w:val="clear" w:color="000000" w:fill="D99795"/>
            <w:vAlign w:val="center"/>
            <w:hideMark/>
          </w:tcPr>
          <w:p w:rsidR="004A7F58" w:rsidRPr="00286641" w:rsidRDefault="004A7F58" w:rsidP="00E008A9">
            <w:pPr>
              <w:spacing w:line="276" w:lineRule="auto"/>
              <w:ind w:left="573"/>
            </w:pPr>
            <w:r w:rsidRPr="00286641">
              <w:t>Organizácia, ktorá neuplatnila zelené obstarávanie</w:t>
            </w:r>
          </w:p>
        </w:tc>
        <w:tc>
          <w:tcPr>
            <w:tcW w:w="1600" w:type="dxa"/>
            <w:shd w:val="clear" w:color="000000" w:fill="D99795"/>
          </w:tcPr>
          <w:p w:rsidR="004A7F58" w:rsidRPr="00286641" w:rsidRDefault="004A7F58" w:rsidP="00E008A9">
            <w:pPr>
              <w:spacing w:line="276" w:lineRule="auto"/>
              <w:jc w:val="right"/>
            </w:pPr>
            <w:r w:rsidRPr="00286641">
              <w:t>35</w:t>
            </w:r>
          </w:p>
        </w:tc>
        <w:tc>
          <w:tcPr>
            <w:tcW w:w="1264" w:type="dxa"/>
            <w:shd w:val="clear" w:color="000000" w:fill="D99795"/>
          </w:tcPr>
          <w:p w:rsidR="004A7F58" w:rsidRPr="00286641" w:rsidRDefault="004A7F58" w:rsidP="00E008A9">
            <w:pPr>
              <w:spacing w:line="276" w:lineRule="auto"/>
              <w:jc w:val="right"/>
            </w:pPr>
            <w:r w:rsidRPr="00286641">
              <w:t>53</w:t>
            </w:r>
          </w:p>
        </w:tc>
        <w:tc>
          <w:tcPr>
            <w:tcW w:w="659" w:type="dxa"/>
            <w:shd w:val="clear" w:color="000000" w:fill="D99795"/>
          </w:tcPr>
          <w:p w:rsidR="004A7F58" w:rsidRPr="00286641" w:rsidRDefault="004A7F58" w:rsidP="00E008A9">
            <w:pPr>
              <w:spacing w:line="276" w:lineRule="auto"/>
              <w:jc w:val="right"/>
            </w:pPr>
            <w:r w:rsidRPr="00286641">
              <w:t>88</w:t>
            </w:r>
          </w:p>
        </w:tc>
      </w:tr>
      <w:tr w:rsidR="004A7F58" w:rsidRPr="009E09FB" w:rsidTr="00E008A9">
        <w:trPr>
          <w:trHeight w:val="255"/>
          <w:jc w:val="center"/>
        </w:trPr>
        <w:tc>
          <w:tcPr>
            <w:tcW w:w="6213" w:type="dxa"/>
            <w:shd w:val="clear" w:color="000000" w:fill="93CDDD"/>
            <w:vAlign w:val="center"/>
            <w:hideMark/>
          </w:tcPr>
          <w:p w:rsidR="004A7F58" w:rsidRPr="00286641" w:rsidRDefault="004A7F58" w:rsidP="00E008A9">
            <w:pPr>
              <w:spacing w:line="276" w:lineRule="auto"/>
              <w:ind w:left="573"/>
            </w:pPr>
            <w:r w:rsidRPr="00286641">
              <w:t>Organizácia, ktorá nerealizovala verejné obstarávanie</w:t>
            </w:r>
          </w:p>
        </w:tc>
        <w:tc>
          <w:tcPr>
            <w:tcW w:w="1600" w:type="dxa"/>
            <w:shd w:val="clear" w:color="000000" w:fill="93CDDD"/>
          </w:tcPr>
          <w:p w:rsidR="004A7F58" w:rsidRPr="00286641" w:rsidRDefault="00D145EA" w:rsidP="00E008A9">
            <w:pPr>
              <w:spacing w:line="276" w:lineRule="auto"/>
              <w:jc w:val="right"/>
            </w:pPr>
            <w:r>
              <w:t>6</w:t>
            </w:r>
          </w:p>
        </w:tc>
        <w:tc>
          <w:tcPr>
            <w:tcW w:w="1264" w:type="dxa"/>
            <w:shd w:val="clear" w:color="000000" w:fill="93CDDD"/>
          </w:tcPr>
          <w:p w:rsidR="004A7F58" w:rsidRPr="00286641" w:rsidRDefault="00D145EA" w:rsidP="00E008A9">
            <w:pPr>
              <w:spacing w:line="276" w:lineRule="auto"/>
              <w:jc w:val="right"/>
            </w:pPr>
            <w:r>
              <w:t>3</w:t>
            </w:r>
          </w:p>
        </w:tc>
        <w:tc>
          <w:tcPr>
            <w:tcW w:w="659" w:type="dxa"/>
            <w:shd w:val="clear" w:color="000000" w:fill="93CDDD"/>
          </w:tcPr>
          <w:p w:rsidR="004A7F58" w:rsidRPr="00286641" w:rsidRDefault="004A7F58" w:rsidP="00E008A9">
            <w:pPr>
              <w:spacing w:line="276" w:lineRule="auto"/>
              <w:jc w:val="right"/>
            </w:pPr>
            <w:r w:rsidRPr="00286641">
              <w:t>9</w:t>
            </w:r>
          </w:p>
        </w:tc>
      </w:tr>
      <w:tr w:rsidR="004A7F58" w:rsidRPr="009E09FB" w:rsidTr="00E008A9">
        <w:trPr>
          <w:trHeight w:val="255"/>
          <w:jc w:val="center"/>
        </w:trPr>
        <w:tc>
          <w:tcPr>
            <w:tcW w:w="6213" w:type="dxa"/>
            <w:shd w:val="clear" w:color="000000" w:fill="FFFF99"/>
            <w:vAlign w:val="center"/>
            <w:hideMark/>
          </w:tcPr>
          <w:p w:rsidR="004A7F58" w:rsidRPr="00286641" w:rsidRDefault="004A7F58" w:rsidP="00E008A9">
            <w:pPr>
              <w:spacing w:line="276" w:lineRule="auto"/>
              <w:ind w:left="573"/>
            </w:pPr>
            <w:r w:rsidRPr="00286641">
              <w:t>Organizácia, ktorá nedodala údaje potrebné na vyhodnotenie</w:t>
            </w:r>
          </w:p>
        </w:tc>
        <w:tc>
          <w:tcPr>
            <w:tcW w:w="1600" w:type="dxa"/>
            <w:shd w:val="clear" w:color="000000" w:fill="FFFF99"/>
          </w:tcPr>
          <w:p w:rsidR="004A7F58" w:rsidRPr="00286641" w:rsidRDefault="004A7F58" w:rsidP="00E008A9">
            <w:pPr>
              <w:spacing w:line="276" w:lineRule="auto"/>
              <w:jc w:val="right"/>
            </w:pPr>
            <w:r w:rsidRPr="00286641">
              <w:t>7</w:t>
            </w:r>
          </w:p>
        </w:tc>
        <w:tc>
          <w:tcPr>
            <w:tcW w:w="1264" w:type="dxa"/>
            <w:shd w:val="clear" w:color="000000" w:fill="FFFF99"/>
          </w:tcPr>
          <w:p w:rsidR="004A7F58" w:rsidRPr="00286641" w:rsidRDefault="004A7F58" w:rsidP="00E008A9">
            <w:pPr>
              <w:spacing w:line="276" w:lineRule="auto"/>
              <w:jc w:val="right"/>
            </w:pPr>
            <w:r w:rsidRPr="00286641">
              <w:t>17</w:t>
            </w:r>
          </w:p>
        </w:tc>
        <w:tc>
          <w:tcPr>
            <w:tcW w:w="659" w:type="dxa"/>
            <w:shd w:val="clear" w:color="000000" w:fill="FFFF99"/>
          </w:tcPr>
          <w:p w:rsidR="004A7F58" w:rsidRPr="00286641" w:rsidRDefault="004A7F58" w:rsidP="00E008A9">
            <w:pPr>
              <w:spacing w:line="276" w:lineRule="auto"/>
              <w:jc w:val="right"/>
            </w:pPr>
            <w:r w:rsidRPr="00286641">
              <w:t>24</w:t>
            </w:r>
          </w:p>
        </w:tc>
      </w:tr>
      <w:tr w:rsidR="004A7F58" w:rsidRPr="009E09FB" w:rsidTr="00E008A9">
        <w:trPr>
          <w:trHeight w:val="255"/>
          <w:jc w:val="center"/>
        </w:trPr>
        <w:tc>
          <w:tcPr>
            <w:tcW w:w="6213" w:type="dxa"/>
            <w:tcBorders>
              <w:bottom w:val="double" w:sz="4" w:space="0" w:color="auto"/>
            </w:tcBorders>
            <w:vAlign w:val="center"/>
            <w:hideMark/>
          </w:tcPr>
          <w:p w:rsidR="004A7F58" w:rsidRPr="00286641" w:rsidRDefault="004A7F58" w:rsidP="00E008A9">
            <w:pPr>
              <w:spacing w:line="276" w:lineRule="auto"/>
              <w:ind w:left="5"/>
            </w:pPr>
            <w:r w:rsidRPr="00286641">
              <w:t>Organizácia, ktorá sa nezapojila do prieskumu</w:t>
            </w:r>
          </w:p>
        </w:tc>
        <w:tc>
          <w:tcPr>
            <w:tcW w:w="1600" w:type="dxa"/>
            <w:tcBorders>
              <w:bottom w:val="double" w:sz="4" w:space="0" w:color="auto"/>
            </w:tcBorders>
          </w:tcPr>
          <w:p w:rsidR="004A7F58" w:rsidRPr="00286641" w:rsidRDefault="004A7F58" w:rsidP="00E008A9">
            <w:pPr>
              <w:spacing w:line="276" w:lineRule="auto"/>
              <w:jc w:val="right"/>
            </w:pPr>
            <w:r w:rsidRPr="00286641">
              <w:t>156</w:t>
            </w:r>
          </w:p>
        </w:tc>
        <w:tc>
          <w:tcPr>
            <w:tcW w:w="1264" w:type="dxa"/>
            <w:tcBorders>
              <w:bottom w:val="double" w:sz="4" w:space="0" w:color="auto"/>
            </w:tcBorders>
          </w:tcPr>
          <w:p w:rsidR="004A7F58" w:rsidRPr="00286641" w:rsidRDefault="00D145EA" w:rsidP="00E008A9">
            <w:pPr>
              <w:spacing w:line="276" w:lineRule="auto"/>
              <w:jc w:val="right"/>
            </w:pPr>
            <w:r>
              <w:t>260</w:t>
            </w:r>
          </w:p>
        </w:tc>
        <w:tc>
          <w:tcPr>
            <w:tcW w:w="659" w:type="dxa"/>
            <w:tcBorders>
              <w:bottom w:val="double" w:sz="4" w:space="0" w:color="auto"/>
            </w:tcBorders>
          </w:tcPr>
          <w:p w:rsidR="004A7F58" w:rsidRPr="00286641" w:rsidRDefault="00D145EA" w:rsidP="00E008A9">
            <w:pPr>
              <w:spacing w:line="276" w:lineRule="auto"/>
              <w:jc w:val="right"/>
            </w:pPr>
            <w:r>
              <w:t>416</w:t>
            </w:r>
          </w:p>
        </w:tc>
      </w:tr>
    </w:tbl>
    <w:p w:rsidR="004A7F58" w:rsidRDefault="004A7F58" w:rsidP="004A7F58">
      <w:pPr>
        <w:spacing w:line="276" w:lineRule="auto"/>
        <w:rPr>
          <w:rFonts w:ascii="Calibri" w:hAnsi="Calibri"/>
          <w:sz w:val="22"/>
          <w:szCs w:val="22"/>
        </w:rPr>
      </w:pPr>
    </w:p>
    <w:p w:rsidR="004A7F58" w:rsidRPr="00286641" w:rsidRDefault="004A7F58" w:rsidP="004A7F58">
      <w:pPr>
        <w:spacing w:line="276" w:lineRule="auto"/>
        <w:jc w:val="both"/>
      </w:pPr>
      <w:r w:rsidRPr="00286641">
        <w:t>V roku 2013 uskutočnilo 552 subjektov (počet organizácií, ktoré sa do prieskumu zapojili (576) okrem 24 organizácií, ktoré nedodali údaje</w:t>
      </w:r>
      <w:r w:rsidR="00286641" w:rsidRPr="00286641">
        <w:t>,</w:t>
      </w:r>
      <w:r w:rsidRPr="00286641">
        <w:t xml:space="preserve"> potrebné k vyhodnoteniu) celko</w:t>
      </w:r>
      <w:r w:rsidR="00286641" w:rsidRPr="00286641">
        <w:t>m</w:t>
      </w:r>
      <w:r w:rsidRPr="00286641">
        <w:t xml:space="preserve"> 213 925 zákaziek, z čoho bolo 143 783 zákaziek na dodanie tovaru, 63 619 zákaziek na poskytnutie služby a 6 523 zákaziek </w:t>
      </w:r>
      <w:r w:rsidR="00286641">
        <w:t>na uskutočnenie stavebných prác. C</w:t>
      </w:r>
      <w:r w:rsidRPr="00286641">
        <w:t>elkov</w:t>
      </w:r>
      <w:r w:rsidR="00286641">
        <w:t>á</w:t>
      </w:r>
      <w:r w:rsidRPr="00286641">
        <w:t xml:space="preserve"> hodnot</w:t>
      </w:r>
      <w:r w:rsidR="00286641">
        <w:t xml:space="preserve">a realizovaných zákaziek bola </w:t>
      </w:r>
      <w:r w:rsidRPr="00286641">
        <w:t xml:space="preserve"> 3 201 867 588,27 EUR, z čoho bolo 832 646 577,95 EUR vynaložených na tovary, 891 963 056,10 EUR na služby a 1 477 257 954,22 EUR na stavebné práce</w:t>
      </w:r>
      <w:r w:rsidR="00286641">
        <w:t xml:space="preserve">, ako dokumentuje tabuľka </w:t>
      </w:r>
      <w:r w:rsidRPr="00286641">
        <w:t xml:space="preserve"> 2 </w:t>
      </w:r>
      <w:r w:rsidR="00286641">
        <w:t>/</w:t>
      </w:r>
      <w:r w:rsidRPr="00286641">
        <w:t>a z</w:t>
      </w:r>
      <w:r w:rsidR="00286641">
        <w:t xml:space="preserve">ároveň je to podložené údajmi v prílohe </w:t>
      </w:r>
      <w:r w:rsidRPr="00286641">
        <w:t xml:space="preserve"> 3 tohto dokumentu</w:t>
      </w:r>
      <w:r w:rsidR="00286641">
        <w:t>/</w:t>
      </w:r>
      <w:r w:rsidRPr="00286641">
        <w:t>.</w:t>
      </w:r>
    </w:p>
    <w:p w:rsidR="004A7F58" w:rsidRPr="00286641" w:rsidRDefault="004A7F58" w:rsidP="004A7F58">
      <w:pPr>
        <w:spacing w:line="276" w:lineRule="auto"/>
        <w:rPr>
          <w:b/>
        </w:rPr>
      </w:pPr>
    </w:p>
    <w:p w:rsidR="004A7F58" w:rsidRPr="00286641" w:rsidRDefault="00286641" w:rsidP="004A7F58">
      <w:pPr>
        <w:spacing w:line="276" w:lineRule="auto"/>
        <w:rPr>
          <w:b/>
        </w:rPr>
      </w:pPr>
      <w:r w:rsidRPr="00286641">
        <w:rPr>
          <w:b/>
        </w:rPr>
        <w:t>Tabuľka</w:t>
      </w:r>
      <w:r w:rsidR="004A7F58" w:rsidRPr="00286641">
        <w:rPr>
          <w:b/>
        </w:rPr>
        <w:t xml:space="preserve"> 2</w:t>
      </w:r>
      <w:r w:rsidRPr="00286641">
        <w:rPr>
          <w:b/>
        </w:rPr>
        <w:t>:</w:t>
      </w:r>
      <w:r w:rsidR="004A7F58" w:rsidRPr="00286641">
        <w:rPr>
          <w:b/>
        </w:rPr>
        <w:t xml:space="preserve"> Počet a hodnota zákaziek realizovaných v roku 2013</w:t>
      </w:r>
    </w:p>
    <w:tbl>
      <w:tblPr>
        <w:tblW w:w="10653" w:type="dxa"/>
        <w:tblInd w:w="-6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296"/>
        <w:gridCol w:w="862"/>
        <w:gridCol w:w="719"/>
        <w:gridCol w:w="918"/>
        <w:gridCol w:w="929"/>
        <w:gridCol w:w="1420"/>
        <w:gridCol w:w="1420"/>
        <w:gridCol w:w="1560"/>
        <w:gridCol w:w="1560"/>
      </w:tblGrid>
      <w:tr w:rsidR="004A7F58" w:rsidRPr="00286641" w:rsidTr="00E008A9">
        <w:trPr>
          <w:trHeight w:val="300"/>
        </w:trPr>
        <w:tc>
          <w:tcPr>
            <w:tcW w:w="1280" w:type="dxa"/>
            <w:vMerge w:val="restart"/>
            <w:tcBorders>
              <w:top w:val="double" w:sz="4" w:space="0" w:color="auto"/>
            </w:tcBorders>
            <w:shd w:val="clear" w:color="auto" w:fill="BFBFBF" w:themeFill="background1" w:themeFillShade="BF"/>
            <w:noWrap/>
            <w:vAlign w:val="bottom"/>
            <w:hideMark/>
          </w:tcPr>
          <w:p w:rsidR="004A7F58" w:rsidRPr="00286641" w:rsidRDefault="004A7F58" w:rsidP="00E008A9">
            <w:pPr>
              <w:spacing w:line="276" w:lineRule="auto"/>
              <w:rPr>
                <w:color w:val="000000"/>
                <w:sz w:val="22"/>
                <w:szCs w:val="22"/>
              </w:rPr>
            </w:pPr>
          </w:p>
        </w:tc>
        <w:tc>
          <w:tcPr>
            <w:tcW w:w="3413" w:type="dxa"/>
            <w:gridSpan w:val="4"/>
            <w:tcBorders>
              <w:top w:val="double" w:sz="4" w:space="0" w:color="auto"/>
              <w:right w:val="double" w:sz="4" w:space="0" w:color="auto"/>
            </w:tcBorders>
            <w:shd w:val="clear" w:color="auto" w:fill="BFBFBF" w:themeFill="background1" w:themeFillShade="BF"/>
            <w:noWrap/>
            <w:vAlign w:val="bottom"/>
            <w:hideMark/>
          </w:tcPr>
          <w:p w:rsidR="004A7F58" w:rsidRPr="00286641" w:rsidRDefault="004A7F58" w:rsidP="00E008A9">
            <w:pPr>
              <w:spacing w:line="276" w:lineRule="auto"/>
              <w:jc w:val="center"/>
              <w:rPr>
                <w:b/>
                <w:bCs/>
                <w:color w:val="000000"/>
                <w:sz w:val="20"/>
                <w:szCs w:val="20"/>
              </w:rPr>
            </w:pPr>
            <w:r w:rsidRPr="00286641">
              <w:rPr>
                <w:b/>
                <w:bCs/>
                <w:color w:val="000000"/>
                <w:sz w:val="20"/>
                <w:szCs w:val="20"/>
              </w:rPr>
              <w:t>Celkový počet zákaziek</w:t>
            </w:r>
          </w:p>
        </w:tc>
        <w:tc>
          <w:tcPr>
            <w:tcW w:w="5960" w:type="dxa"/>
            <w:gridSpan w:val="4"/>
            <w:tcBorders>
              <w:top w:val="double" w:sz="4" w:space="0" w:color="auto"/>
              <w:left w:val="double" w:sz="4" w:space="0" w:color="auto"/>
            </w:tcBorders>
            <w:shd w:val="clear" w:color="auto" w:fill="BFBFBF" w:themeFill="background1" w:themeFillShade="BF"/>
            <w:noWrap/>
            <w:vAlign w:val="bottom"/>
            <w:hideMark/>
          </w:tcPr>
          <w:p w:rsidR="004A7F58" w:rsidRPr="00286641" w:rsidRDefault="004A7F58" w:rsidP="00E008A9">
            <w:pPr>
              <w:spacing w:line="276" w:lineRule="auto"/>
              <w:jc w:val="center"/>
              <w:rPr>
                <w:b/>
                <w:bCs/>
                <w:color w:val="000000"/>
                <w:sz w:val="20"/>
                <w:szCs w:val="20"/>
              </w:rPr>
            </w:pPr>
            <w:r w:rsidRPr="00286641">
              <w:rPr>
                <w:b/>
                <w:bCs/>
                <w:color w:val="000000"/>
                <w:sz w:val="20"/>
                <w:szCs w:val="20"/>
              </w:rPr>
              <w:t>Celková hodnota zákaziek [EUR]</w:t>
            </w:r>
          </w:p>
        </w:tc>
      </w:tr>
      <w:tr w:rsidR="004A7F58" w:rsidRPr="00286641" w:rsidTr="00E008A9">
        <w:trPr>
          <w:trHeight w:val="300"/>
        </w:trPr>
        <w:tc>
          <w:tcPr>
            <w:tcW w:w="1280" w:type="dxa"/>
            <w:vMerge/>
            <w:shd w:val="clear" w:color="auto" w:fill="BFBFBF" w:themeFill="background1" w:themeFillShade="BF"/>
            <w:noWrap/>
            <w:vAlign w:val="bottom"/>
            <w:hideMark/>
          </w:tcPr>
          <w:p w:rsidR="004A7F58" w:rsidRPr="00286641" w:rsidRDefault="004A7F58" w:rsidP="00E008A9">
            <w:pPr>
              <w:spacing w:line="276" w:lineRule="auto"/>
              <w:rPr>
                <w:color w:val="000000"/>
                <w:sz w:val="22"/>
                <w:szCs w:val="22"/>
              </w:rPr>
            </w:pPr>
          </w:p>
        </w:tc>
        <w:tc>
          <w:tcPr>
            <w:tcW w:w="862" w:type="dxa"/>
            <w:shd w:val="clear" w:color="auto" w:fill="BFBFBF" w:themeFill="background1" w:themeFillShade="BF"/>
            <w:noWrap/>
            <w:vAlign w:val="bottom"/>
            <w:hideMark/>
          </w:tcPr>
          <w:p w:rsidR="004A7F58" w:rsidRPr="00286641" w:rsidRDefault="004A7F58" w:rsidP="00E008A9">
            <w:pPr>
              <w:spacing w:line="276" w:lineRule="auto"/>
              <w:jc w:val="center"/>
              <w:rPr>
                <w:b/>
                <w:bCs/>
                <w:color w:val="000000"/>
                <w:sz w:val="20"/>
                <w:szCs w:val="20"/>
              </w:rPr>
            </w:pPr>
            <w:r w:rsidRPr="00286641">
              <w:rPr>
                <w:b/>
                <w:bCs/>
                <w:color w:val="000000"/>
                <w:sz w:val="20"/>
                <w:szCs w:val="20"/>
              </w:rPr>
              <w:t>Tovary</w:t>
            </w:r>
          </w:p>
        </w:tc>
        <w:tc>
          <w:tcPr>
            <w:tcW w:w="708" w:type="dxa"/>
            <w:shd w:val="clear" w:color="auto" w:fill="BFBFBF" w:themeFill="background1" w:themeFillShade="BF"/>
            <w:noWrap/>
            <w:vAlign w:val="bottom"/>
            <w:hideMark/>
          </w:tcPr>
          <w:p w:rsidR="004A7F58" w:rsidRPr="00286641" w:rsidRDefault="004A7F58" w:rsidP="00E008A9">
            <w:pPr>
              <w:spacing w:line="276" w:lineRule="auto"/>
              <w:jc w:val="center"/>
              <w:rPr>
                <w:b/>
                <w:bCs/>
                <w:color w:val="000000"/>
                <w:sz w:val="20"/>
                <w:szCs w:val="20"/>
              </w:rPr>
            </w:pPr>
            <w:r w:rsidRPr="00286641">
              <w:rPr>
                <w:b/>
                <w:bCs/>
                <w:color w:val="000000"/>
                <w:sz w:val="20"/>
                <w:szCs w:val="20"/>
              </w:rPr>
              <w:t>Služby</w:t>
            </w:r>
          </w:p>
        </w:tc>
        <w:tc>
          <w:tcPr>
            <w:tcW w:w="914" w:type="dxa"/>
            <w:shd w:val="clear" w:color="auto" w:fill="BFBFBF" w:themeFill="background1" w:themeFillShade="BF"/>
            <w:noWrap/>
            <w:vAlign w:val="bottom"/>
            <w:hideMark/>
          </w:tcPr>
          <w:p w:rsidR="004A7F58" w:rsidRPr="00286641" w:rsidRDefault="004A7F58" w:rsidP="00E008A9">
            <w:pPr>
              <w:spacing w:line="276" w:lineRule="auto"/>
              <w:jc w:val="center"/>
              <w:rPr>
                <w:b/>
                <w:bCs/>
                <w:color w:val="000000"/>
                <w:sz w:val="20"/>
                <w:szCs w:val="20"/>
              </w:rPr>
            </w:pPr>
            <w:r w:rsidRPr="00286641">
              <w:rPr>
                <w:b/>
                <w:bCs/>
                <w:color w:val="000000"/>
                <w:sz w:val="20"/>
                <w:szCs w:val="20"/>
              </w:rPr>
              <w:t>Stavebné práce</w:t>
            </w:r>
          </w:p>
        </w:tc>
        <w:tc>
          <w:tcPr>
            <w:tcW w:w="929" w:type="dxa"/>
            <w:tcBorders>
              <w:right w:val="double" w:sz="4" w:space="0" w:color="auto"/>
            </w:tcBorders>
            <w:shd w:val="clear" w:color="auto" w:fill="BFBFBF" w:themeFill="background1" w:themeFillShade="BF"/>
            <w:noWrap/>
            <w:vAlign w:val="bottom"/>
            <w:hideMark/>
          </w:tcPr>
          <w:p w:rsidR="004A7F58" w:rsidRPr="00286641" w:rsidRDefault="004A7F58" w:rsidP="00E008A9">
            <w:pPr>
              <w:spacing w:line="276" w:lineRule="auto"/>
              <w:jc w:val="center"/>
              <w:rPr>
                <w:b/>
                <w:bCs/>
                <w:color w:val="000000"/>
                <w:sz w:val="20"/>
                <w:szCs w:val="20"/>
              </w:rPr>
            </w:pPr>
            <w:r w:rsidRPr="00286641">
              <w:rPr>
                <w:b/>
                <w:bCs/>
                <w:color w:val="000000"/>
                <w:sz w:val="20"/>
                <w:szCs w:val="20"/>
              </w:rPr>
              <w:t>Spolu</w:t>
            </w:r>
          </w:p>
        </w:tc>
        <w:tc>
          <w:tcPr>
            <w:tcW w:w="1420" w:type="dxa"/>
            <w:tcBorders>
              <w:left w:val="double" w:sz="4" w:space="0" w:color="auto"/>
            </w:tcBorders>
            <w:shd w:val="clear" w:color="auto" w:fill="BFBFBF" w:themeFill="background1" w:themeFillShade="BF"/>
            <w:noWrap/>
            <w:vAlign w:val="bottom"/>
            <w:hideMark/>
          </w:tcPr>
          <w:p w:rsidR="004A7F58" w:rsidRPr="00286641" w:rsidRDefault="004A7F58" w:rsidP="00E008A9">
            <w:pPr>
              <w:spacing w:line="276" w:lineRule="auto"/>
              <w:jc w:val="center"/>
              <w:rPr>
                <w:b/>
                <w:bCs/>
                <w:color w:val="000000"/>
                <w:sz w:val="20"/>
                <w:szCs w:val="20"/>
              </w:rPr>
            </w:pPr>
            <w:r w:rsidRPr="00286641">
              <w:rPr>
                <w:b/>
                <w:bCs/>
                <w:color w:val="000000"/>
                <w:sz w:val="20"/>
                <w:szCs w:val="20"/>
              </w:rPr>
              <w:t>Tovary</w:t>
            </w:r>
          </w:p>
        </w:tc>
        <w:tc>
          <w:tcPr>
            <w:tcW w:w="1420" w:type="dxa"/>
            <w:shd w:val="clear" w:color="auto" w:fill="BFBFBF" w:themeFill="background1" w:themeFillShade="BF"/>
            <w:noWrap/>
            <w:vAlign w:val="bottom"/>
            <w:hideMark/>
          </w:tcPr>
          <w:p w:rsidR="004A7F58" w:rsidRPr="00286641" w:rsidRDefault="004A7F58" w:rsidP="00E008A9">
            <w:pPr>
              <w:spacing w:line="276" w:lineRule="auto"/>
              <w:jc w:val="center"/>
              <w:rPr>
                <w:b/>
                <w:bCs/>
                <w:color w:val="000000"/>
                <w:sz w:val="20"/>
                <w:szCs w:val="20"/>
              </w:rPr>
            </w:pPr>
            <w:r w:rsidRPr="00286641">
              <w:rPr>
                <w:b/>
                <w:bCs/>
                <w:color w:val="000000"/>
                <w:sz w:val="20"/>
                <w:szCs w:val="20"/>
              </w:rPr>
              <w:t>Služby</w:t>
            </w:r>
          </w:p>
        </w:tc>
        <w:tc>
          <w:tcPr>
            <w:tcW w:w="1560" w:type="dxa"/>
            <w:shd w:val="clear" w:color="auto" w:fill="BFBFBF" w:themeFill="background1" w:themeFillShade="BF"/>
            <w:noWrap/>
            <w:vAlign w:val="bottom"/>
            <w:hideMark/>
          </w:tcPr>
          <w:p w:rsidR="004A7F58" w:rsidRPr="00286641" w:rsidRDefault="004A7F58" w:rsidP="00E008A9">
            <w:pPr>
              <w:spacing w:line="276" w:lineRule="auto"/>
              <w:jc w:val="center"/>
              <w:rPr>
                <w:b/>
                <w:bCs/>
                <w:color w:val="000000"/>
                <w:sz w:val="20"/>
                <w:szCs w:val="20"/>
              </w:rPr>
            </w:pPr>
            <w:r w:rsidRPr="00286641">
              <w:rPr>
                <w:b/>
                <w:bCs/>
                <w:color w:val="000000"/>
                <w:sz w:val="20"/>
                <w:szCs w:val="20"/>
              </w:rPr>
              <w:t>Stavebné práce</w:t>
            </w:r>
          </w:p>
        </w:tc>
        <w:tc>
          <w:tcPr>
            <w:tcW w:w="1560" w:type="dxa"/>
            <w:shd w:val="clear" w:color="auto" w:fill="BFBFBF" w:themeFill="background1" w:themeFillShade="BF"/>
            <w:noWrap/>
            <w:vAlign w:val="bottom"/>
            <w:hideMark/>
          </w:tcPr>
          <w:p w:rsidR="004A7F58" w:rsidRPr="00286641" w:rsidRDefault="004A7F58" w:rsidP="00E008A9">
            <w:pPr>
              <w:spacing w:line="276" w:lineRule="auto"/>
              <w:jc w:val="center"/>
              <w:rPr>
                <w:b/>
                <w:bCs/>
                <w:color w:val="000000"/>
                <w:sz w:val="20"/>
                <w:szCs w:val="20"/>
              </w:rPr>
            </w:pPr>
            <w:r w:rsidRPr="00286641">
              <w:rPr>
                <w:b/>
                <w:bCs/>
                <w:color w:val="000000"/>
                <w:sz w:val="20"/>
                <w:szCs w:val="20"/>
              </w:rPr>
              <w:t>Spolu</w:t>
            </w:r>
          </w:p>
        </w:tc>
      </w:tr>
      <w:tr w:rsidR="004A7F58" w:rsidRPr="00286641" w:rsidTr="00E008A9">
        <w:trPr>
          <w:trHeight w:val="1275"/>
        </w:trPr>
        <w:tc>
          <w:tcPr>
            <w:tcW w:w="1280" w:type="dxa"/>
            <w:vAlign w:val="center"/>
            <w:hideMark/>
          </w:tcPr>
          <w:p w:rsidR="004A7F58" w:rsidRPr="00286641" w:rsidRDefault="004A7F58" w:rsidP="00E008A9">
            <w:pPr>
              <w:spacing w:line="276" w:lineRule="auto"/>
              <w:rPr>
                <w:b/>
                <w:bCs/>
                <w:sz w:val="20"/>
                <w:szCs w:val="20"/>
              </w:rPr>
            </w:pPr>
            <w:r w:rsidRPr="00286641">
              <w:rPr>
                <w:b/>
                <w:bCs/>
                <w:sz w:val="20"/>
                <w:szCs w:val="20"/>
              </w:rPr>
              <w:t>Ústredné orgány štátnej správy</w:t>
            </w:r>
          </w:p>
        </w:tc>
        <w:tc>
          <w:tcPr>
            <w:tcW w:w="862" w:type="dxa"/>
            <w:vAlign w:val="center"/>
            <w:hideMark/>
          </w:tcPr>
          <w:p w:rsidR="004A7F58" w:rsidRPr="00286641" w:rsidRDefault="004A7F58" w:rsidP="00E008A9">
            <w:pPr>
              <w:spacing w:line="276" w:lineRule="auto"/>
              <w:jc w:val="right"/>
              <w:rPr>
                <w:sz w:val="20"/>
                <w:szCs w:val="20"/>
              </w:rPr>
            </w:pPr>
            <w:r w:rsidRPr="00286641">
              <w:rPr>
                <w:sz w:val="20"/>
                <w:szCs w:val="20"/>
              </w:rPr>
              <w:t>99 580</w:t>
            </w:r>
          </w:p>
        </w:tc>
        <w:tc>
          <w:tcPr>
            <w:tcW w:w="708" w:type="dxa"/>
            <w:vAlign w:val="center"/>
            <w:hideMark/>
          </w:tcPr>
          <w:p w:rsidR="004A7F58" w:rsidRPr="00286641" w:rsidRDefault="004A7F58" w:rsidP="00E008A9">
            <w:pPr>
              <w:spacing w:line="276" w:lineRule="auto"/>
              <w:jc w:val="right"/>
              <w:rPr>
                <w:sz w:val="20"/>
                <w:szCs w:val="20"/>
              </w:rPr>
            </w:pPr>
            <w:r w:rsidRPr="00286641">
              <w:rPr>
                <w:sz w:val="20"/>
                <w:szCs w:val="20"/>
              </w:rPr>
              <w:t>39 393</w:t>
            </w:r>
          </w:p>
        </w:tc>
        <w:tc>
          <w:tcPr>
            <w:tcW w:w="914" w:type="dxa"/>
            <w:vAlign w:val="center"/>
            <w:hideMark/>
          </w:tcPr>
          <w:p w:rsidR="004A7F58" w:rsidRPr="00286641" w:rsidRDefault="004A7F58" w:rsidP="00E008A9">
            <w:pPr>
              <w:spacing w:line="276" w:lineRule="auto"/>
              <w:jc w:val="right"/>
              <w:rPr>
                <w:sz w:val="20"/>
                <w:szCs w:val="20"/>
              </w:rPr>
            </w:pPr>
            <w:r w:rsidRPr="00286641">
              <w:rPr>
                <w:sz w:val="20"/>
                <w:szCs w:val="20"/>
              </w:rPr>
              <w:t>5 205</w:t>
            </w:r>
          </w:p>
        </w:tc>
        <w:tc>
          <w:tcPr>
            <w:tcW w:w="929" w:type="dxa"/>
            <w:tcBorders>
              <w:right w:val="double" w:sz="4" w:space="0" w:color="auto"/>
            </w:tcBorders>
            <w:vAlign w:val="center"/>
            <w:hideMark/>
          </w:tcPr>
          <w:p w:rsidR="004A7F58" w:rsidRPr="00286641" w:rsidRDefault="004A7F58" w:rsidP="00E008A9">
            <w:pPr>
              <w:spacing w:line="276" w:lineRule="auto"/>
              <w:jc w:val="right"/>
              <w:rPr>
                <w:sz w:val="20"/>
                <w:szCs w:val="20"/>
              </w:rPr>
            </w:pPr>
            <w:r w:rsidRPr="00286641">
              <w:rPr>
                <w:sz w:val="20"/>
                <w:szCs w:val="20"/>
              </w:rPr>
              <w:t>144 178</w:t>
            </w:r>
          </w:p>
        </w:tc>
        <w:tc>
          <w:tcPr>
            <w:tcW w:w="1420" w:type="dxa"/>
            <w:tcBorders>
              <w:left w:val="double" w:sz="4" w:space="0" w:color="auto"/>
            </w:tcBorders>
            <w:vAlign w:val="center"/>
            <w:hideMark/>
          </w:tcPr>
          <w:p w:rsidR="004A7F58" w:rsidRPr="00286641" w:rsidRDefault="004A7F58" w:rsidP="00E008A9">
            <w:pPr>
              <w:spacing w:line="276" w:lineRule="auto"/>
              <w:jc w:val="right"/>
              <w:rPr>
                <w:sz w:val="20"/>
                <w:szCs w:val="20"/>
              </w:rPr>
            </w:pPr>
            <w:r w:rsidRPr="00286641">
              <w:rPr>
                <w:sz w:val="20"/>
                <w:szCs w:val="20"/>
              </w:rPr>
              <w:t>800 115 937,15</w:t>
            </w:r>
          </w:p>
        </w:tc>
        <w:tc>
          <w:tcPr>
            <w:tcW w:w="1420" w:type="dxa"/>
            <w:vAlign w:val="center"/>
            <w:hideMark/>
          </w:tcPr>
          <w:p w:rsidR="004A7F58" w:rsidRPr="00286641" w:rsidRDefault="004A7F58" w:rsidP="00E008A9">
            <w:pPr>
              <w:spacing w:line="276" w:lineRule="auto"/>
              <w:jc w:val="right"/>
              <w:rPr>
                <w:sz w:val="20"/>
                <w:szCs w:val="20"/>
              </w:rPr>
            </w:pPr>
            <w:r w:rsidRPr="00286641">
              <w:rPr>
                <w:sz w:val="20"/>
                <w:szCs w:val="20"/>
              </w:rPr>
              <w:t>857 453 543,83</w:t>
            </w:r>
          </w:p>
        </w:tc>
        <w:tc>
          <w:tcPr>
            <w:tcW w:w="1560" w:type="dxa"/>
            <w:vAlign w:val="center"/>
            <w:hideMark/>
          </w:tcPr>
          <w:p w:rsidR="004A7F58" w:rsidRPr="00286641" w:rsidRDefault="004A7F58" w:rsidP="00E008A9">
            <w:pPr>
              <w:spacing w:line="276" w:lineRule="auto"/>
              <w:jc w:val="right"/>
              <w:rPr>
                <w:sz w:val="20"/>
                <w:szCs w:val="20"/>
              </w:rPr>
            </w:pPr>
            <w:r w:rsidRPr="00286641">
              <w:rPr>
                <w:sz w:val="20"/>
                <w:szCs w:val="20"/>
              </w:rPr>
              <w:t>1 425 351 724,27</w:t>
            </w:r>
          </w:p>
        </w:tc>
        <w:tc>
          <w:tcPr>
            <w:tcW w:w="1560" w:type="dxa"/>
            <w:vAlign w:val="center"/>
            <w:hideMark/>
          </w:tcPr>
          <w:p w:rsidR="004A7F58" w:rsidRPr="00286641" w:rsidRDefault="004A7F58" w:rsidP="00E008A9">
            <w:pPr>
              <w:spacing w:line="276" w:lineRule="auto"/>
              <w:jc w:val="right"/>
              <w:rPr>
                <w:sz w:val="20"/>
                <w:szCs w:val="20"/>
              </w:rPr>
            </w:pPr>
            <w:r w:rsidRPr="00286641">
              <w:rPr>
                <w:sz w:val="20"/>
                <w:szCs w:val="20"/>
              </w:rPr>
              <w:t>3 082 921 205,25</w:t>
            </w:r>
          </w:p>
        </w:tc>
      </w:tr>
      <w:tr w:rsidR="004A7F58" w:rsidRPr="00286641" w:rsidTr="00E008A9">
        <w:trPr>
          <w:trHeight w:val="765"/>
        </w:trPr>
        <w:tc>
          <w:tcPr>
            <w:tcW w:w="1280" w:type="dxa"/>
            <w:vAlign w:val="center"/>
            <w:hideMark/>
          </w:tcPr>
          <w:p w:rsidR="004A7F58" w:rsidRPr="00286641" w:rsidRDefault="004A7F58" w:rsidP="00E008A9">
            <w:pPr>
              <w:spacing w:line="276" w:lineRule="auto"/>
              <w:rPr>
                <w:b/>
                <w:bCs/>
                <w:sz w:val="20"/>
                <w:szCs w:val="20"/>
              </w:rPr>
            </w:pPr>
            <w:r w:rsidRPr="00286641">
              <w:rPr>
                <w:b/>
                <w:bCs/>
                <w:sz w:val="20"/>
                <w:szCs w:val="20"/>
              </w:rPr>
              <w:t>Samosprávne kraje a mestá</w:t>
            </w:r>
          </w:p>
        </w:tc>
        <w:tc>
          <w:tcPr>
            <w:tcW w:w="862" w:type="dxa"/>
            <w:vAlign w:val="center"/>
            <w:hideMark/>
          </w:tcPr>
          <w:p w:rsidR="004A7F58" w:rsidRPr="00286641" w:rsidRDefault="004A7F58" w:rsidP="00E008A9">
            <w:pPr>
              <w:spacing w:line="276" w:lineRule="auto"/>
              <w:jc w:val="right"/>
              <w:rPr>
                <w:sz w:val="20"/>
                <w:szCs w:val="20"/>
              </w:rPr>
            </w:pPr>
            <w:r w:rsidRPr="00286641">
              <w:rPr>
                <w:sz w:val="20"/>
                <w:szCs w:val="20"/>
              </w:rPr>
              <w:t>44 203</w:t>
            </w:r>
          </w:p>
        </w:tc>
        <w:tc>
          <w:tcPr>
            <w:tcW w:w="708" w:type="dxa"/>
            <w:vAlign w:val="center"/>
            <w:hideMark/>
          </w:tcPr>
          <w:p w:rsidR="004A7F58" w:rsidRPr="00286641" w:rsidRDefault="004A7F58" w:rsidP="00E008A9">
            <w:pPr>
              <w:spacing w:line="276" w:lineRule="auto"/>
              <w:jc w:val="right"/>
              <w:rPr>
                <w:sz w:val="20"/>
                <w:szCs w:val="20"/>
              </w:rPr>
            </w:pPr>
            <w:r w:rsidRPr="00286641">
              <w:rPr>
                <w:sz w:val="20"/>
                <w:szCs w:val="20"/>
              </w:rPr>
              <w:t>24 226</w:t>
            </w:r>
          </w:p>
        </w:tc>
        <w:tc>
          <w:tcPr>
            <w:tcW w:w="914" w:type="dxa"/>
            <w:vAlign w:val="center"/>
            <w:hideMark/>
          </w:tcPr>
          <w:p w:rsidR="004A7F58" w:rsidRPr="00286641" w:rsidRDefault="004A7F58" w:rsidP="00E008A9">
            <w:pPr>
              <w:spacing w:line="276" w:lineRule="auto"/>
              <w:jc w:val="right"/>
              <w:rPr>
                <w:sz w:val="20"/>
                <w:szCs w:val="20"/>
              </w:rPr>
            </w:pPr>
            <w:r w:rsidRPr="00286641">
              <w:rPr>
                <w:sz w:val="20"/>
                <w:szCs w:val="20"/>
              </w:rPr>
              <w:t>1 318</w:t>
            </w:r>
          </w:p>
        </w:tc>
        <w:tc>
          <w:tcPr>
            <w:tcW w:w="929" w:type="dxa"/>
            <w:tcBorders>
              <w:right w:val="double" w:sz="4" w:space="0" w:color="auto"/>
            </w:tcBorders>
            <w:vAlign w:val="center"/>
            <w:hideMark/>
          </w:tcPr>
          <w:p w:rsidR="004A7F58" w:rsidRPr="00286641" w:rsidRDefault="004A7F58" w:rsidP="00E008A9">
            <w:pPr>
              <w:spacing w:line="276" w:lineRule="auto"/>
              <w:jc w:val="right"/>
              <w:rPr>
                <w:sz w:val="20"/>
                <w:szCs w:val="20"/>
              </w:rPr>
            </w:pPr>
            <w:r w:rsidRPr="00286641">
              <w:rPr>
                <w:sz w:val="20"/>
                <w:szCs w:val="20"/>
              </w:rPr>
              <w:t>69 747</w:t>
            </w:r>
          </w:p>
        </w:tc>
        <w:tc>
          <w:tcPr>
            <w:tcW w:w="1420" w:type="dxa"/>
            <w:tcBorders>
              <w:left w:val="double" w:sz="4" w:space="0" w:color="auto"/>
            </w:tcBorders>
            <w:vAlign w:val="center"/>
            <w:hideMark/>
          </w:tcPr>
          <w:p w:rsidR="004A7F58" w:rsidRPr="00286641" w:rsidRDefault="004A7F58" w:rsidP="00E008A9">
            <w:pPr>
              <w:spacing w:line="276" w:lineRule="auto"/>
              <w:jc w:val="right"/>
              <w:rPr>
                <w:sz w:val="20"/>
                <w:szCs w:val="20"/>
              </w:rPr>
            </w:pPr>
            <w:r w:rsidRPr="00286641">
              <w:rPr>
                <w:sz w:val="20"/>
                <w:szCs w:val="20"/>
              </w:rPr>
              <w:t>32 530 640,80</w:t>
            </w:r>
          </w:p>
        </w:tc>
        <w:tc>
          <w:tcPr>
            <w:tcW w:w="1420" w:type="dxa"/>
            <w:vAlign w:val="center"/>
            <w:hideMark/>
          </w:tcPr>
          <w:p w:rsidR="004A7F58" w:rsidRPr="00286641" w:rsidRDefault="004A7F58" w:rsidP="00E008A9">
            <w:pPr>
              <w:spacing w:line="276" w:lineRule="auto"/>
              <w:jc w:val="right"/>
              <w:rPr>
                <w:sz w:val="20"/>
                <w:szCs w:val="20"/>
              </w:rPr>
            </w:pPr>
            <w:r w:rsidRPr="00286641">
              <w:rPr>
                <w:sz w:val="20"/>
                <w:szCs w:val="20"/>
              </w:rPr>
              <w:t>34 509 512,27</w:t>
            </w:r>
          </w:p>
        </w:tc>
        <w:tc>
          <w:tcPr>
            <w:tcW w:w="1560" w:type="dxa"/>
            <w:vAlign w:val="center"/>
            <w:hideMark/>
          </w:tcPr>
          <w:p w:rsidR="004A7F58" w:rsidRPr="00286641" w:rsidRDefault="004A7F58" w:rsidP="00E008A9">
            <w:pPr>
              <w:spacing w:line="276" w:lineRule="auto"/>
              <w:jc w:val="right"/>
              <w:rPr>
                <w:sz w:val="20"/>
                <w:szCs w:val="20"/>
              </w:rPr>
            </w:pPr>
            <w:r w:rsidRPr="00286641">
              <w:rPr>
                <w:sz w:val="20"/>
                <w:szCs w:val="20"/>
              </w:rPr>
              <w:t>51 906 229,95</w:t>
            </w:r>
          </w:p>
        </w:tc>
        <w:tc>
          <w:tcPr>
            <w:tcW w:w="1560" w:type="dxa"/>
            <w:vAlign w:val="center"/>
            <w:hideMark/>
          </w:tcPr>
          <w:p w:rsidR="004A7F58" w:rsidRPr="00286641" w:rsidRDefault="004A7F58" w:rsidP="00E008A9">
            <w:pPr>
              <w:spacing w:line="276" w:lineRule="auto"/>
              <w:jc w:val="right"/>
              <w:rPr>
                <w:sz w:val="20"/>
                <w:szCs w:val="20"/>
              </w:rPr>
            </w:pPr>
            <w:r w:rsidRPr="00286641">
              <w:rPr>
                <w:sz w:val="20"/>
                <w:szCs w:val="20"/>
              </w:rPr>
              <w:t>118 946 383,02</w:t>
            </w:r>
          </w:p>
        </w:tc>
      </w:tr>
      <w:tr w:rsidR="004A7F58" w:rsidRPr="00286641" w:rsidTr="00E008A9">
        <w:trPr>
          <w:trHeight w:val="765"/>
        </w:trPr>
        <w:tc>
          <w:tcPr>
            <w:tcW w:w="1280" w:type="dxa"/>
            <w:tcBorders>
              <w:bottom w:val="double" w:sz="4" w:space="0" w:color="auto"/>
            </w:tcBorders>
            <w:shd w:val="clear" w:color="auto" w:fill="BFBFBF" w:themeFill="background1" w:themeFillShade="BF"/>
            <w:vAlign w:val="center"/>
            <w:hideMark/>
          </w:tcPr>
          <w:p w:rsidR="004A7F58" w:rsidRPr="00286641" w:rsidRDefault="004A7F58" w:rsidP="00E008A9">
            <w:pPr>
              <w:spacing w:line="276" w:lineRule="auto"/>
              <w:rPr>
                <w:b/>
                <w:bCs/>
                <w:sz w:val="20"/>
                <w:szCs w:val="20"/>
              </w:rPr>
            </w:pPr>
            <w:r w:rsidRPr="00286641">
              <w:rPr>
                <w:b/>
                <w:bCs/>
                <w:sz w:val="20"/>
                <w:szCs w:val="20"/>
              </w:rPr>
              <w:t>Spolu</w:t>
            </w:r>
          </w:p>
        </w:tc>
        <w:tc>
          <w:tcPr>
            <w:tcW w:w="862" w:type="dxa"/>
            <w:tcBorders>
              <w:bottom w:val="double" w:sz="4" w:space="0" w:color="auto"/>
            </w:tcBorders>
            <w:shd w:val="clear" w:color="auto" w:fill="BFBFBF" w:themeFill="background1" w:themeFillShade="BF"/>
            <w:vAlign w:val="center"/>
            <w:hideMark/>
          </w:tcPr>
          <w:p w:rsidR="004A7F58" w:rsidRPr="00286641" w:rsidRDefault="004A7F58" w:rsidP="00E008A9">
            <w:pPr>
              <w:spacing w:line="276" w:lineRule="auto"/>
              <w:jc w:val="center"/>
              <w:rPr>
                <w:b/>
                <w:bCs/>
                <w:sz w:val="20"/>
                <w:szCs w:val="20"/>
              </w:rPr>
            </w:pPr>
            <w:r w:rsidRPr="00286641">
              <w:rPr>
                <w:b/>
                <w:bCs/>
                <w:sz w:val="20"/>
                <w:szCs w:val="20"/>
              </w:rPr>
              <w:t>143 783</w:t>
            </w:r>
          </w:p>
        </w:tc>
        <w:tc>
          <w:tcPr>
            <w:tcW w:w="708" w:type="dxa"/>
            <w:tcBorders>
              <w:bottom w:val="double" w:sz="4" w:space="0" w:color="auto"/>
            </w:tcBorders>
            <w:shd w:val="clear" w:color="auto" w:fill="BFBFBF" w:themeFill="background1" w:themeFillShade="BF"/>
            <w:vAlign w:val="center"/>
            <w:hideMark/>
          </w:tcPr>
          <w:p w:rsidR="004A7F58" w:rsidRPr="00286641" w:rsidRDefault="004A7F58" w:rsidP="00E008A9">
            <w:pPr>
              <w:spacing w:line="276" w:lineRule="auto"/>
              <w:jc w:val="center"/>
              <w:rPr>
                <w:b/>
                <w:bCs/>
                <w:sz w:val="20"/>
                <w:szCs w:val="20"/>
              </w:rPr>
            </w:pPr>
            <w:r w:rsidRPr="00286641">
              <w:rPr>
                <w:b/>
                <w:bCs/>
                <w:sz w:val="20"/>
                <w:szCs w:val="20"/>
              </w:rPr>
              <w:t>63 619</w:t>
            </w:r>
          </w:p>
        </w:tc>
        <w:tc>
          <w:tcPr>
            <w:tcW w:w="914" w:type="dxa"/>
            <w:tcBorders>
              <w:bottom w:val="double" w:sz="4" w:space="0" w:color="auto"/>
            </w:tcBorders>
            <w:shd w:val="clear" w:color="auto" w:fill="BFBFBF" w:themeFill="background1" w:themeFillShade="BF"/>
            <w:vAlign w:val="center"/>
            <w:hideMark/>
          </w:tcPr>
          <w:p w:rsidR="004A7F58" w:rsidRPr="00286641" w:rsidRDefault="004A7F58" w:rsidP="00E008A9">
            <w:pPr>
              <w:spacing w:line="276" w:lineRule="auto"/>
              <w:jc w:val="center"/>
              <w:rPr>
                <w:b/>
                <w:bCs/>
                <w:sz w:val="20"/>
                <w:szCs w:val="20"/>
              </w:rPr>
            </w:pPr>
            <w:r w:rsidRPr="00286641">
              <w:rPr>
                <w:b/>
                <w:bCs/>
                <w:sz w:val="20"/>
                <w:szCs w:val="20"/>
              </w:rPr>
              <w:t>6 523</w:t>
            </w:r>
          </w:p>
        </w:tc>
        <w:tc>
          <w:tcPr>
            <w:tcW w:w="929" w:type="dxa"/>
            <w:tcBorders>
              <w:bottom w:val="double" w:sz="4" w:space="0" w:color="auto"/>
              <w:right w:val="double" w:sz="4" w:space="0" w:color="auto"/>
            </w:tcBorders>
            <w:shd w:val="clear" w:color="auto" w:fill="BFBFBF" w:themeFill="background1" w:themeFillShade="BF"/>
            <w:vAlign w:val="center"/>
            <w:hideMark/>
          </w:tcPr>
          <w:p w:rsidR="004A7F58" w:rsidRPr="00286641" w:rsidRDefault="004A7F58" w:rsidP="00E008A9">
            <w:pPr>
              <w:spacing w:line="276" w:lineRule="auto"/>
              <w:jc w:val="center"/>
              <w:rPr>
                <w:b/>
                <w:bCs/>
                <w:sz w:val="20"/>
                <w:szCs w:val="20"/>
              </w:rPr>
            </w:pPr>
            <w:r w:rsidRPr="00286641">
              <w:rPr>
                <w:b/>
                <w:bCs/>
                <w:sz w:val="20"/>
                <w:szCs w:val="20"/>
              </w:rPr>
              <w:t>213 925</w:t>
            </w:r>
          </w:p>
        </w:tc>
        <w:tc>
          <w:tcPr>
            <w:tcW w:w="1420" w:type="dxa"/>
            <w:tcBorders>
              <w:left w:val="double" w:sz="4" w:space="0" w:color="auto"/>
              <w:bottom w:val="double" w:sz="4" w:space="0" w:color="auto"/>
            </w:tcBorders>
            <w:shd w:val="clear" w:color="auto" w:fill="BFBFBF" w:themeFill="background1" w:themeFillShade="BF"/>
            <w:vAlign w:val="center"/>
            <w:hideMark/>
          </w:tcPr>
          <w:p w:rsidR="004A7F58" w:rsidRPr="00286641" w:rsidRDefault="004A7F58" w:rsidP="00E008A9">
            <w:pPr>
              <w:spacing w:line="276" w:lineRule="auto"/>
              <w:jc w:val="center"/>
              <w:rPr>
                <w:b/>
                <w:bCs/>
                <w:sz w:val="20"/>
                <w:szCs w:val="20"/>
              </w:rPr>
            </w:pPr>
            <w:r w:rsidRPr="00286641">
              <w:rPr>
                <w:b/>
                <w:bCs/>
                <w:sz w:val="20"/>
                <w:szCs w:val="20"/>
              </w:rPr>
              <w:t>832 646 577,95</w:t>
            </w:r>
          </w:p>
        </w:tc>
        <w:tc>
          <w:tcPr>
            <w:tcW w:w="1420" w:type="dxa"/>
            <w:tcBorders>
              <w:bottom w:val="double" w:sz="4" w:space="0" w:color="auto"/>
            </w:tcBorders>
            <w:shd w:val="clear" w:color="auto" w:fill="BFBFBF" w:themeFill="background1" w:themeFillShade="BF"/>
            <w:vAlign w:val="center"/>
            <w:hideMark/>
          </w:tcPr>
          <w:p w:rsidR="004A7F58" w:rsidRPr="00286641" w:rsidRDefault="004A7F58" w:rsidP="00E008A9">
            <w:pPr>
              <w:spacing w:line="276" w:lineRule="auto"/>
              <w:jc w:val="center"/>
              <w:rPr>
                <w:b/>
                <w:bCs/>
                <w:sz w:val="20"/>
                <w:szCs w:val="20"/>
              </w:rPr>
            </w:pPr>
            <w:r w:rsidRPr="00286641">
              <w:rPr>
                <w:b/>
                <w:bCs/>
                <w:sz w:val="20"/>
                <w:szCs w:val="20"/>
              </w:rPr>
              <w:t>891 963 056,10</w:t>
            </w:r>
          </w:p>
        </w:tc>
        <w:tc>
          <w:tcPr>
            <w:tcW w:w="1560" w:type="dxa"/>
            <w:tcBorders>
              <w:bottom w:val="double" w:sz="4" w:space="0" w:color="auto"/>
            </w:tcBorders>
            <w:shd w:val="clear" w:color="auto" w:fill="BFBFBF" w:themeFill="background1" w:themeFillShade="BF"/>
            <w:vAlign w:val="center"/>
            <w:hideMark/>
          </w:tcPr>
          <w:p w:rsidR="004A7F58" w:rsidRPr="00286641" w:rsidRDefault="004A7F58" w:rsidP="00E008A9">
            <w:pPr>
              <w:spacing w:line="276" w:lineRule="auto"/>
              <w:jc w:val="center"/>
              <w:rPr>
                <w:b/>
                <w:bCs/>
                <w:sz w:val="20"/>
                <w:szCs w:val="20"/>
              </w:rPr>
            </w:pPr>
            <w:r w:rsidRPr="00286641">
              <w:rPr>
                <w:b/>
                <w:bCs/>
                <w:sz w:val="20"/>
                <w:szCs w:val="20"/>
              </w:rPr>
              <w:t>1 477 257 954,22</w:t>
            </w:r>
          </w:p>
        </w:tc>
        <w:tc>
          <w:tcPr>
            <w:tcW w:w="1560" w:type="dxa"/>
            <w:tcBorders>
              <w:bottom w:val="double" w:sz="4" w:space="0" w:color="auto"/>
            </w:tcBorders>
            <w:shd w:val="clear" w:color="auto" w:fill="BFBFBF" w:themeFill="background1" w:themeFillShade="BF"/>
            <w:vAlign w:val="center"/>
            <w:hideMark/>
          </w:tcPr>
          <w:p w:rsidR="004A7F58" w:rsidRPr="00286641" w:rsidRDefault="004A7F58" w:rsidP="00E008A9">
            <w:pPr>
              <w:spacing w:line="276" w:lineRule="auto"/>
              <w:jc w:val="center"/>
              <w:rPr>
                <w:b/>
                <w:bCs/>
                <w:sz w:val="20"/>
                <w:szCs w:val="20"/>
              </w:rPr>
            </w:pPr>
            <w:r w:rsidRPr="00286641">
              <w:rPr>
                <w:b/>
                <w:bCs/>
                <w:sz w:val="20"/>
                <w:szCs w:val="20"/>
              </w:rPr>
              <w:t>3 201 867 588,27</w:t>
            </w:r>
          </w:p>
        </w:tc>
      </w:tr>
    </w:tbl>
    <w:p w:rsidR="004A7F58" w:rsidRPr="00286641" w:rsidRDefault="004A7F58" w:rsidP="004A7F58">
      <w:pPr>
        <w:spacing w:line="276" w:lineRule="auto"/>
        <w:rPr>
          <w:sz w:val="22"/>
          <w:szCs w:val="22"/>
        </w:rPr>
      </w:pPr>
    </w:p>
    <w:p w:rsidR="004A7F58" w:rsidRPr="00286641" w:rsidRDefault="004A7F58" w:rsidP="004A7F58">
      <w:pPr>
        <w:spacing w:line="276" w:lineRule="auto"/>
        <w:jc w:val="both"/>
        <w:rPr>
          <w:sz w:val="22"/>
          <w:szCs w:val="22"/>
        </w:rPr>
      </w:pPr>
      <w:r w:rsidRPr="00286641">
        <w:rPr>
          <w:sz w:val="22"/>
          <w:szCs w:val="22"/>
        </w:rPr>
        <w:t>543 organizáci</w:t>
      </w:r>
      <w:r w:rsidR="00286641">
        <w:rPr>
          <w:sz w:val="22"/>
          <w:szCs w:val="22"/>
        </w:rPr>
        <w:t>í, ktoré v roku 2013 realizovali</w:t>
      </w:r>
      <w:r w:rsidRPr="00286641">
        <w:rPr>
          <w:sz w:val="22"/>
          <w:szCs w:val="22"/>
        </w:rPr>
        <w:t xml:space="preserve"> verejné obstarávanie, uskutočnilo celko</w:t>
      </w:r>
      <w:r w:rsidR="00286641">
        <w:rPr>
          <w:sz w:val="22"/>
          <w:szCs w:val="22"/>
        </w:rPr>
        <w:t>m</w:t>
      </w:r>
      <w:r w:rsidRPr="00286641">
        <w:rPr>
          <w:sz w:val="22"/>
          <w:szCs w:val="22"/>
        </w:rPr>
        <w:t xml:space="preserve"> 12 046 zákaziek, zmlúv a objednávok s uplatnením environmentálnych charakteristík, z čoho bolo 9 576 zákaziek na dodanie tovaru, 649 zákaziek na poskytnutie služieb a 1 821 zákaziek </w:t>
      </w:r>
      <w:r w:rsidR="00286641">
        <w:rPr>
          <w:sz w:val="22"/>
          <w:szCs w:val="22"/>
        </w:rPr>
        <w:t>na uskutočnenie stavebných prác. C</w:t>
      </w:r>
      <w:r w:rsidRPr="00286641">
        <w:rPr>
          <w:sz w:val="22"/>
          <w:szCs w:val="22"/>
        </w:rPr>
        <w:t>elkov</w:t>
      </w:r>
      <w:r w:rsidR="00286641">
        <w:rPr>
          <w:sz w:val="22"/>
          <w:szCs w:val="22"/>
        </w:rPr>
        <w:t>á</w:t>
      </w:r>
      <w:r w:rsidRPr="00286641">
        <w:rPr>
          <w:sz w:val="22"/>
          <w:szCs w:val="22"/>
        </w:rPr>
        <w:t xml:space="preserve"> hodnot</w:t>
      </w:r>
      <w:r w:rsidR="00286641">
        <w:rPr>
          <w:sz w:val="22"/>
          <w:szCs w:val="22"/>
        </w:rPr>
        <w:t>a</w:t>
      </w:r>
      <w:r w:rsidRPr="00286641">
        <w:rPr>
          <w:sz w:val="22"/>
          <w:szCs w:val="22"/>
        </w:rPr>
        <w:t xml:space="preserve"> </w:t>
      </w:r>
      <w:r w:rsidR="00286641">
        <w:rPr>
          <w:sz w:val="22"/>
          <w:szCs w:val="22"/>
        </w:rPr>
        <w:t xml:space="preserve">zelených zákaziek bola </w:t>
      </w:r>
      <w:r w:rsidRPr="00286641">
        <w:rPr>
          <w:sz w:val="22"/>
          <w:szCs w:val="22"/>
        </w:rPr>
        <w:t>1 723 095 820,52 EUR, z čoho bolo 378 447 924,55 EUR vynaložených na dodanie „zelených“ tovarov, 22 404 245,56 EUR na poskytnutie „zelených“ služieb a 1 322 243 650,41 EUR na uskutočnenie „zelených“ stavebných prác</w:t>
      </w:r>
      <w:r w:rsidR="00286641">
        <w:rPr>
          <w:sz w:val="22"/>
          <w:szCs w:val="22"/>
        </w:rPr>
        <w:t>,</w:t>
      </w:r>
      <w:r w:rsidRPr="00286641">
        <w:rPr>
          <w:sz w:val="22"/>
          <w:szCs w:val="22"/>
        </w:rPr>
        <w:t xml:space="preserve"> ako </w:t>
      </w:r>
      <w:r w:rsidR="00286641">
        <w:rPr>
          <w:sz w:val="22"/>
          <w:szCs w:val="22"/>
        </w:rPr>
        <w:t xml:space="preserve">dokumentuje tabuľka </w:t>
      </w:r>
      <w:r w:rsidRPr="00286641">
        <w:rPr>
          <w:sz w:val="22"/>
          <w:szCs w:val="22"/>
        </w:rPr>
        <w:t xml:space="preserve"> 3.</w:t>
      </w:r>
    </w:p>
    <w:p w:rsidR="004A7F58" w:rsidRPr="00286641" w:rsidRDefault="004A7F58" w:rsidP="004A7F58">
      <w:pPr>
        <w:spacing w:line="276" w:lineRule="auto"/>
        <w:rPr>
          <w:b/>
        </w:rPr>
      </w:pPr>
    </w:p>
    <w:p w:rsidR="004A7F58" w:rsidRPr="00286641" w:rsidRDefault="004A7F58" w:rsidP="004A7F58">
      <w:pPr>
        <w:spacing w:line="276" w:lineRule="auto"/>
        <w:rPr>
          <w:b/>
        </w:rPr>
      </w:pPr>
      <w:r w:rsidRPr="00286641">
        <w:rPr>
          <w:b/>
        </w:rPr>
        <w:t>Tab. 3 Počet a hodnota zelených zákaziek</w:t>
      </w:r>
      <w:r w:rsidR="00286641" w:rsidRPr="00286641">
        <w:rPr>
          <w:b/>
        </w:rPr>
        <w:t>,</w:t>
      </w:r>
      <w:r w:rsidRPr="00286641">
        <w:rPr>
          <w:b/>
        </w:rPr>
        <w:t xml:space="preserve"> </w:t>
      </w:r>
      <w:r w:rsidR="00286641" w:rsidRPr="00286641">
        <w:rPr>
          <w:b/>
        </w:rPr>
        <w:t>z</w:t>
      </w:r>
      <w:r w:rsidRPr="00286641">
        <w:rPr>
          <w:b/>
        </w:rPr>
        <w:t>realizovaných v roku 2013</w:t>
      </w:r>
    </w:p>
    <w:tbl>
      <w:tblPr>
        <w:tblW w:w="10653" w:type="dxa"/>
        <w:tblInd w:w="-6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296"/>
        <w:gridCol w:w="862"/>
        <w:gridCol w:w="719"/>
        <w:gridCol w:w="918"/>
        <w:gridCol w:w="929"/>
        <w:gridCol w:w="1420"/>
        <w:gridCol w:w="1420"/>
        <w:gridCol w:w="1560"/>
        <w:gridCol w:w="1560"/>
      </w:tblGrid>
      <w:tr w:rsidR="004A7F58" w:rsidRPr="003047F8" w:rsidTr="00E008A9">
        <w:trPr>
          <w:trHeight w:val="300"/>
        </w:trPr>
        <w:tc>
          <w:tcPr>
            <w:tcW w:w="1280" w:type="dxa"/>
            <w:vMerge w:val="restart"/>
            <w:tcBorders>
              <w:top w:val="double" w:sz="4" w:space="0" w:color="auto"/>
            </w:tcBorders>
            <w:shd w:val="clear" w:color="auto" w:fill="BFBFBF" w:themeFill="background1" w:themeFillShade="BF"/>
            <w:noWrap/>
            <w:vAlign w:val="bottom"/>
            <w:hideMark/>
          </w:tcPr>
          <w:p w:rsidR="004A7F58" w:rsidRPr="00286641" w:rsidRDefault="004A7F58" w:rsidP="00E008A9">
            <w:pPr>
              <w:spacing w:line="276" w:lineRule="auto"/>
              <w:rPr>
                <w:color w:val="000000"/>
                <w:sz w:val="22"/>
                <w:szCs w:val="22"/>
              </w:rPr>
            </w:pPr>
          </w:p>
        </w:tc>
        <w:tc>
          <w:tcPr>
            <w:tcW w:w="3413" w:type="dxa"/>
            <w:gridSpan w:val="4"/>
            <w:tcBorders>
              <w:top w:val="double" w:sz="4" w:space="0" w:color="auto"/>
              <w:right w:val="double" w:sz="4" w:space="0" w:color="auto"/>
            </w:tcBorders>
            <w:shd w:val="clear" w:color="auto" w:fill="BFBFBF" w:themeFill="background1" w:themeFillShade="BF"/>
            <w:noWrap/>
            <w:vAlign w:val="bottom"/>
            <w:hideMark/>
          </w:tcPr>
          <w:p w:rsidR="004A7F58" w:rsidRPr="00286641" w:rsidRDefault="004A7F58" w:rsidP="00E008A9">
            <w:pPr>
              <w:spacing w:line="276" w:lineRule="auto"/>
              <w:jc w:val="center"/>
              <w:rPr>
                <w:b/>
                <w:bCs/>
                <w:color w:val="000000"/>
                <w:sz w:val="20"/>
                <w:szCs w:val="20"/>
              </w:rPr>
            </w:pPr>
            <w:r w:rsidRPr="00286641">
              <w:rPr>
                <w:b/>
                <w:bCs/>
                <w:color w:val="000000"/>
                <w:sz w:val="20"/>
                <w:szCs w:val="20"/>
              </w:rPr>
              <w:t>Celkový počet zelených zákaziek</w:t>
            </w:r>
          </w:p>
        </w:tc>
        <w:tc>
          <w:tcPr>
            <w:tcW w:w="5960" w:type="dxa"/>
            <w:gridSpan w:val="4"/>
            <w:tcBorders>
              <w:top w:val="double" w:sz="4" w:space="0" w:color="auto"/>
              <w:left w:val="double" w:sz="4" w:space="0" w:color="auto"/>
            </w:tcBorders>
            <w:shd w:val="clear" w:color="auto" w:fill="BFBFBF" w:themeFill="background1" w:themeFillShade="BF"/>
            <w:noWrap/>
            <w:vAlign w:val="bottom"/>
            <w:hideMark/>
          </w:tcPr>
          <w:p w:rsidR="004A7F58" w:rsidRPr="00286641" w:rsidRDefault="004A7F58" w:rsidP="00E008A9">
            <w:pPr>
              <w:spacing w:line="276" w:lineRule="auto"/>
              <w:jc w:val="center"/>
              <w:rPr>
                <w:b/>
                <w:bCs/>
                <w:color w:val="000000"/>
                <w:sz w:val="20"/>
                <w:szCs w:val="20"/>
              </w:rPr>
            </w:pPr>
            <w:r w:rsidRPr="00286641">
              <w:rPr>
                <w:b/>
                <w:bCs/>
                <w:color w:val="000000"/>
                <w:sz w:val="20"/>
                <w:szCs w:val="20"/>
              </w:rPr>
              <w:t>Celková hodnota zelených zákaziek [EUR]</w:t>
            </w:r>
          </w:p>
        </w:tc>
      </w:tr>
      <w:tr w:rsidR="004A7F58" w:rsidRPr="003047F8" w:rsidTr="00E008A9">
        <w:trPr>
          <w:trHeight w:val="300"/>
        </w:trPr>
        <w:tc>
          <w:tcPr>
            <w:tcW w:w="1280" w:type="dxa"/>
            <w:vMerge/>
            <w:shd w:val="clear" w:color="auto" w:fill="BFBFBF" w:themeFill="background1" w:themeFillShade="BF"/>
            <w:noWrap/>
            <w:vAlign w:val="bottom"/>
            <w:hideMark/>
          </w:tcPr>
          <w:p w:rsidR="004A7F58" w:rsidRPr="00286641" w:rsidRDefault="004A7F58" w:rsidP="00E008A9">
            <w:pPr>
              <w:spacing w:line="276" w:lineRule="auto"/>
              <w:rPr>
                <w:color w:val="000000"/>
                <w:sz w:val="22"/>
                <w:szCs w:val="22"/>
              </w:rPr>
            </w:pPr>
          </w:p>
        </w:tc>
        <w:tc>
          <w:tcPr>
            <w:tcW w:w="862" w:type="dxa"/>
            <w:shd w:val="clear" w:color="auto" w:fill="BFBFBF" w:themeFill="background1" w:themeFillShade="BF"/>
            <w:noWrap/>
            <w:vAlign w:val="bottom"/>
            <w:hideMark/>
          </w:tcPr>
          <w:p w:rsidR="004A7F58" w:rsidRPr="00286641" w:rsidRDefault="004A7F58" w:rsidP="00E008A9">
            <w:pPr>
              <w:spacing w:line="276" w:lineRule="auto"/>
              <w:jc w:val="center"/>
              <w:rPr>
                <w:b/>
                <w:bCs/>
                <w:color w:val="000000"/>
                <w:sz w:val="20"/>
                <w:szCs w:val="20"/>
              </w:rPr>
            </w:pPr>
            <w:r w:rsidRPr="00286641">
              <w:rPr>
                <w:b/>
                <w:bCs/>
                <w:color w:val="000000"/>
                <w:sz w:val="20"/>
                <w:szCs w:val="20"/>
              </w:rPr>
              <w:t>Tovary</w:t>
            </w:r>
          </w:p>
        </w:tc>
        <w:tc>
          <w:tcPr>
            <w:tcW w:w="708" w:type="dxa"/>
            <w:shd w:val="clear" w:color="auto" w:fill="BFBFBF" w:themeFill="background1" w:themeFillShade="BF"/>
            <w:noWrap/>
            <w:vAlign w:val="bottom"/>
            <w:hideMark/>
          </w:tcPr>
          <w:p w:rsidR="004A7F58" w:rsidRPr="00286641" w:rsidRDefault="004A7F58" w:rsidP="00E008A9">
            <w:pPr>
              <w:spacing w:line="276" w:lineRule="auto"/>
              <w:jc w:val="center"/>
              <w:rPr>
                <w:b/>
                <w:bCs/>
                <w:color w:val="000000"/>
                <w:sz w:val="20"/>
                <w:szCs w:val="20"/>
              </w:rPr>
            </w:pPr>
            <w:r w:rsidRPr="00286641">
              <w:rPr>
                <w:b/>
                <w:bCs/>
                <w:color w:val="000000"/>
                <w:sz w:val="20"/>
                <w:szCs w:val="20"/>
              </w:rPr>
              <w:t>Služby</w:t>
            </w:r>
          </w:p>
        </w:tc>
        <w:tc>
          <w:tcPr>
            <w:tcW w:w="914" w:type="dxa"/>
            <w:shd w:val="clear" w:color="auto" w:fill="BFBFBF" w:themeFill="background1" w:themeFillShade="BF"/>
            <w:noWrap/>
            <w:vAlign w:val="bottom"/>
            <w:hideMark/>
          </w:tcPr>
          <w:p w:rsidR="004A7F58" w:rsidRPr="00286641" w:rsidRDefault="004A7F58" w:rsidP="00E008A9">
            <w:pPr>
              <w:spacing w:line="276" w:lineRule="auto"/>
              <w:jc w:val="center"/>
              <w:rPr>
                <w:b/>
                <w:bCs/>
                <w:color w:val="000000"/>
                <w:sz w:val="20"/>
                <w:szCs w:val="20"/>
              </w:rPr>
            </w:pPr>
            <w:r w:rsidRPr="00286641">
              <w:rPr>
                <w:b/>
                <w:bCs/>
                <w:color w:val="000000"/>
                <w:sz w:val="20"/>
                <w:szCs w:val="20"/>
              </w:rPr>
              <w:t>Stavebné práce</w:t>
            </w:r>
          </w:p>
        </w:tc>
        <w:tc>
          <w:tcPr>
            <w:tcW w:w="929" w:type="dxa"/>
            <w:tcBorders>
              <w:right w:val="double" w:sz="4" w:space="0" w:color="auto"/>
            </w:tcBorders>
            <w:shd w:val="clear" w:color="auto" w:fill="BFBFBF" w:themeFill="background1" w:themeFillShade="BF"/>
            <w:noWrap/>
            <w:vAlign w:val="bottom"/>
            <w:hideMark/>
          </w:tcPr>
          <w:p w:rsidR="004A7F58" w:rsidRPr="00286641" w:rsidRDefault="004A7F58" w:rsidP="00E008A9">
            <w:pPr>
              <w:spacing w:line="276" w:lineRule="auto"/>
              <w:jc w:val="center"/>
              <w:rPr>
                <w:b/>
                <w:bCs/>
                <w:color w:val="000000"/>
                <w:sz w:val="20"/>
                <w:szCs w:val="20"/>
              </w:rPr>
            </w:pPr>
            <w:r w:rsidRPr="00286641">
              <w:rPr>
                <w:b/>
                <w:bCs/>
                <w:color w:val="000000"/>
                <w:sz w:val="20"/>
                <w:szCs w:val="20"/>
              </w:rPr>
              <w:t>Spolu</w:t>
            </w:r>
          </w:p>
        </w:tc>
        <w:tc>
          <w:tcPr>
            <w:tcW w:w="1420" w:type="dxa"/>
            <w:tcBorders>
              <w:left w:val="double" w:sz="4" w:space="0" w:color="auto"/>
            </w:tcBorders>
            <w:shd w:val="clear" w:color="auto" w:fill="BFBFBF" w:themeFill="background1" w:themeFillShade="BF"/>
            <w:noWrap/>
            <w:vAlign w:val="bottom"/>
            <w:hideMark/>
          </w:tcPr>
          <w:p w:rsidR="004A7F58" w:rsidRPr="00286641" w:rsidRDefault="004A7F58" w:rsidP="00E008A9">
            <w:pPr>
              <w:spacing w:line="276" w:lineRule="auto"/>
              <w:jc w:val="center"/>
              <w:rPr>
                <w:b/>
                <w:bCs/>
                <w:color w:val="000000"/>
                <w:sz w:val="20"/>
                <w:szCs w:val="20"/>
              </w:rPr>
            </w:pPr>
            <w:r w:rsidRPr="00286641">
              <w:rPr>
                <w:b/>
                <w:bCs/>
                <w:color w:val="000000"/>
                <w:sz w:val="20"/>
                <w:szCs w:val="20"/>
              </w:rPr>
              <w:t>Tovary</w:t>
            </w:r>
          </w:p>
        </w:tc>
        <w:tc>
          <w:tcPr>
            <w:tcW w:w="1420" w:type="dxa"/>
            <w:shd w:val="clear" w:color="auto" w:fill="BFBFBF" w:themeFill="background1" w:themeFillShade="BF"/>
            <w:noWrap/>
            <w:vAlign w:val="bottom"/>
            <w:hideMark/>
          </w:tcPr>
          <w:p w:rsidR="004A7F58" w:rsidRPr="00286641" w:rsidRDefault="004A7F58" w:rsidP="00E008A9">
            <w:pPr>
              <w:spacing w:line="276" w:lineRule="auto"/>
              <w:jc w:val="center"/>
              <w:rPr>
                <w:b/>
                <w:bCs/>
                <w:color w:val="000000"/>
                <w:sz w:val="20"/>
                <w:szCs w:val="20"/>
              </w:rPr>
            </w:pPr>
            <w:r w:rsidRPr="00286641">
              <w:rPr>
                <w:b/>
                <w:bCs/>
                <w:color w:val="000000"/>
                <w:sz w:val="20"/>
                <w:szCs w:val="20"/>
              </w:rPr>
              <w:t>Služby</w:t>
            </w:r>
          </w:p>
        </w:tc>
        <w:tc>
          <w:tcPr>
            <w:tcW w:w="1560" w:type="dxa"/>
            <w:shd w:val="clear" w:color="auto" w:fill="BFBFBF" w:themeFill="background1" w:themeFillShade="BF"/>
            <w:noWrap/>
            <w:vAlign w:val="bottom"/>
            <w:hideMark/>
          </w:tcPr>
          <w:p w:rsidR="004A7F58" w:rsidRPr="00286641" w:rsidRDefault="004A7F58" w:rsidP="00E008A9">
            <w:pPr>
              <w:spacing w:line="276" w:lineRule="auto"/>
              <w:jc w:val="center"/>
              <w:rPr>
                <w:b/>
                <w:bCs/>
                <w:color w:val="000000"/>
                <w:sz w:val="20"/>
                <w:szCs w:val="20"/>
              </w:rPr>
            </w:pPr>
            <w:r w:rsidRPr="00286641">
              <w:rPr>
                <w:b/>
                <w:bCs/>
                <w:color w:val="000000"/>
                <w:sz w:val="20"/>
                <w:szCs w:val="20"/>
              </w:rPr>
              <w:t>Stavebné práce</w:t>
            </w:r>
          </w:p>
        </w:tc>
        <w:tc>
          <w:tcPr>
            <w:tcW w:w="1560" w:type="dxa"/>
            <w:shd w:val="clear" w:color="auto" w:fill="BFBFBF" w:themeFill="background1" w:themeFillShade="BF"/>
            <w:noWrap/>
            <w:vAlign w:val="bottom"/>
            <w:hideMark/>
          </w:tcPr>
          <w:p w:rsidR="004A7F58" w:rsidRPr="00286641" w:rsidRDefault="004A7F58" w:rsidP="00E008A9">
            <w:pPr>
              <w:spacing w:line="276" w:lineRule="auto"/>
              <w:jc w:val="center"/>
              <w:rPr>
                <w:b/>
                <w:bCs/>
                <w:color w:val="000000"/>
                <w:sz w:val="20"/>
                <w:szCs w:val="20"/>
              </w:rPr>
            </w:pPr>
            <w:r w:rsidRPr="00286641">
              <w:rPr>
                <w:b/>
                <w:bCs/>
                <w:color w:val="000000"/>
                <w:sz w:val="20"/>
                <w:szCs w:val="20"/>
              </w:rPr>
              <w:t>Spolu</w:t>
            </w:r>
          </w:p>
        </w:tc>
      </w:tr>
      <w:tr w:rsidR="004A7F58" w:rsidRPr="003047F8" w:rsidTr="00E008A9">
        <w:trPr>
          <w:trHeight w:val="1275"/>
        </w:trPr>
        <w:tc>
          <w:tcPr>
            <w:tcW w:w="1280" w:type="dxa"/>
            <w:vAlign w:val="center"/>
            <w:hideMark/>
          </w:tcPr>
          <w:p w:rsidR="004A7F58" w:rsidRPr="00286641" w:rsidRDefault="004A7F58" w:rsidP="00E008A9">
            <w:pPr>
              <w:spacing w:line="276" w:lineRule="auto"/>
              <w:rPr>
                <w:b/>
                <w:bCs/>
                <w:sz w:val="20"/>
                <w:szCs w:val="20"/>
              </w:rPr>
            </w:pPr>
            <w:r w:rsidRPr="00286641">
              <w:rPr>
                <w:b/>
                <w:bCs/>
                <w:sz w:val="20"/>
                <w:szCs w:val="20"/>
              </w:rPr>
              <w:t>Ústredné orgány štátnej správy</w:t>
            </w:r>
          </w:p>
        </w:tc>
        <w:tc>
          <w:tcPr>
            <w:tcW w:w="862" w:type="dxa"/>
            <w:vAlign w:val="center"/>
            <w:hideMark/>
          </w:tcPr>
          <w:p w:rsidR="004A7F58" w:rsidRPr="00286641" w:rsidRDefault="004A7F58" w:rsidP="00E008A9">
            <w:pPr>
              <w:spacing w:line="276" w:lineRule="auto"/>
              <w:jc w:val="right"/>
              <w:rPr>
                <w:bCs/>
                <w:sz w:val="20"/>
                <w:szCs w:val="20"/>
              </w:rPr>
            </w:pPr>
            <w:r w:rsidRPr="00286641">
              <w:rPr>
                <w:bCs/>
                <w:sz w:val="20"/>
                <w:szCs w:val="20"/>
              </w:rPr>
              <w:t>6 796</w:t>
            </w:r>
          </w:p>
        </w:tc>
        <w:tc>
          <w:tcPr>
            <w:tcW w:w="708" w:type="dxa"/>
            <w:vAlign w:val="center"/>
            <w:hideMark/>
          </w:tcPr>
          <w:p w:rsidR="004A7F58" w:rsidRPr="00286641" w:rsidRDefault="004A7F58" w:rsidP="00E008A9">
            <w:pPr>
              <w:spacing w:line="276" w:lineRule="auto"/>
              <w:jc w:val="right"/>
              <w:rPr>
                <w:bCs/>
                <w:sz w:val="20"/>
                <w:szCs w:val="20"/>
              </w:rPr>
            </w:pPr>
            <w:r w:rsidRPr="00286641">
              <w:rPr>
                <w:bCs/>
                <w:sz w:val="20"/>
                <w:szCs w:val="20"/>
              </w:rPr>
              <w:t>496</w:t>
            </w:r>
          </w:p>
        </w:tc>
        <w:tc>
          <w:tcPr>
            <w:tcW w:w="914" w:type="dxa"/>
            <w:vAlign w:val="center"/>
            <w:hideMark/>
          </w:tcPr>
          <w:p w:rsidR="004A7F58" w:rsidRPr="00286641" w:rsidRDefault="004A7F58" w:rsidP="00E008A9">
            <w:pPr>
              <w:spacing w:line="276" w:lineRule="auto"/>
              <w:jc w:val="right"/>
              <w:rPr>
                <w:bCs/>
                <w:sz w:val="20"/>
                <w:szCs w:val="20"/>
              </w:rPr>
            </w:pPr>
            <w:r w:rsidRPr="00286641">
              <w:rPr>
                <w:bCs/>
                <w:sz w:val="20"/>
                <w:szCs w:val="20"/>
              </w:rPr>
              <w:t>1 573</w:t>
            </w:r>
          </w:p>
        </w:tc>
        <w:tc>
          <w:tcPr>
            <w:tcW w:w="929" w:type="dxa"/>
            <w:tcBorders>
              <w:right w:val="double" w:sz="4" w:space="0" w:color="auto"/>
            </w:tcBorders>
            <w:vAlign w:val="center"/>
            <w:hideMark/>
          </w:tcPr>
          <w:p w:rsidR="004A7F58" w:rsidRPr="00286641" w:rsidRDefault="004A7F58" w:rsidP="00E008A9">
            <w:pPr>
              <w:spacing w:line="276" w:lineRule="auto"/>
              <w:jc w:val="right"/>
              <w:rPr>
                <w:bCs/>
                <w:sz w:val="20"/>
                <w:szCs w:val="20"/>
              </w:rPr>
            </w:pPr>
            <w:r w:rsidRPr="00286641">
              <w:rPr>
                <w:bCs/>
                <w:sz w:val="20"/>
                <w:szCs w:val="20"/>
              </w:rPr>
              <w:t>8 865</w:t>
            </w:r>
          </w:p>
        </w:tc>
        <w:tc>
          <w:tcPr>
            <w:tcW w:w="1420" w:type="dxa"/>
            <w:tcBorders>
              <w:left w:val="double" w:sz="4" w:space="0" w:color="auto"/>
            </w:tcBorders>
            <w:vAlign w:val="center"/>
            <w:hideMark/>
          </w:tcPr>
          <w:p w:rsidR="004A7F58" w:rsidRPr="00286641" w:rsidRDefault="004A7F58" w:rsidP="00E008A9">
            <w:pPr>
              <w:spacing w:line="276" w:lineRule="auto"/>
              <w:jc w:val="right"/>
              <w:rPr>
                <w:bCs/>
                <w:sz w:val="20"/>
                <w:szCs w:val="20"/>
              </w:rPr>
            </w:pPr>
            <w:r w:rsidRPr="00286641">
              <w:rPr>
                <w:bCs/>
                <w:sz w:val="20"/>
                <w:szCs w:val="20"/>
              </w:rPr>
              <w:t>375 700 236,58</w:t>
            </w:r>
          </w:p>
        </w:tc>
        <w:tc>
          <w:tcPr>
            <w:tcW w:w="1420" w:type="dxa"/>
            <w:vAlign w:val="center"/>
            <w:hideMark/>
          </w:tcPr>
          <w:p w:rsidR="004A7F58" w:rsidRPr="00286641" w:rsidRDefault="004A7F58" w:rsidP="00E008A9">
            <w:pPr>
              <w:spacing w:line="276" w:lineRule="auto"/>
              <w:jc w:val="right"/>
              <w:rPr>
                <w:bCs/>
                <w:sz w:val="20"/>
                <w:szCs w:val="20"/>
              </w:rPr>
            </w:pPr>
            <w:r w:rsidRPr="00286641">
              <w:rPr>
                <w:bCs/>
                <w:sz w:val="20"/>
                <w:szCs w:val="20"/>
              </w:rPr>
              <w:t>19 821 761,87</w:t>
            </w:r>
          </w:p>
        </w:tc>
        <w:tc>
          <w:tcPr>
            <w:tcW w:w="1560" w:type="dxa"/>
            <w:vAlign w:val="center"/>
            <w:hideMark/>
          </w:tcPr>
          <w:p w:rsidR="004A7F58" w:rsidRPr="00286641" w:rsidRDefault="004A7F58" w:rsidP="00E008A9">
            <w:pPr>
              <w:spacing w:line="276" w:lineRule="auto"/>
              <w:jc w:val="right"/>
              <w:rPr>
                <w:bCs/>
                <w:sz w:val="20"/>
                <w:szCs w:val="20"/>
              </w:rPr>
            </w:pPr>
            <w:r w:rsidRPr="00286641">
              <w:rPr>
                <w:bCs/>
                <w:sz w:val="20"/>
                <w:szCs w:val="20"/>
              </w:rPr>
              <w:t>1 311 055 537,44</w:t>
            </w:r>
          </w:p>
        </w:tc>
        <w:tc>
          <w:tcPr>
            <w:tcW w:w="1560" w:type="dxa"/>
            <w:vAlign w:val="center"/>
            <w:hideMark/>
          </w:tcPr>
          <w:p w:rsidR="004A7F58" w:rsidRPr="00286641" w:rsidRDefault="004A7F58" w:rsidP="00E008A9">
            <w:pPr>
              <w:spacing w:line="276" w:lineRule="auto"/>
              <w:jc w:val="right"/>
              <w:rPr>
                <w:bCs/>
                <w:sz w:val="20"/>
                <w:szCs w:val="20"/>
              </w:rPr>
            </w:pPr>
            <w:r w:rsidRPr="00286641">
              <w:rPr>
                <w:bCs/>
                <w:sz w:val="20"/>
                <w:szCs w:val="20"/>
              </w:rPr>
              <w:t>1 706 095 820,52</w:t>
            </w:r>
          </w:p>
        </w:tc>
      </w:tr>
      <w:tr w:rsidR="004A7F58" w:rsidRPr="003047F8" w:rsidTr="00E008A9">
        <w:trPr>
          <w:trHeight w:val="765"/>
        </w:trPr>
        <w:tc>
          <w:tcPr>
            <w:tcW w:w="1280" w:type="dxa"/>
            <w:vAlign w:val="center"/>
            <w:hideMark/>
          </w:tcPr>
          <w:p w:rsidR="004A7F58" w:rsidRPr="00286641" w:rsidRDefault="004A7F58" w:rsidP="00E008A9">
            <w:pPr>
              <w:spacing w:line="276" w:lineRule="auto"/>
              <w:rPr>
                <w:b/>
                <w:bCs/>
                <w:sz w:val="20"/>
                <w:szCs w:val="20"/>
              </w:rPr>
            </w:pPr>
            <w:r w:rsidRPr="00286641">
              <w:rPr>
                <w:b/>
                <w:bCs/>
                <w:sz w:val="20"/>
                <w:szCs w:val="20"/>
              </w:rPr>
              <w:t>Samosprávne kraje a mestá</w:t>
            </w:r>
          </w:p>
        </w:tc>
        <w:tc>
          <w:tcPr>
            <w:tcW w:w="862" w:type="dxa"/>
            <w:vAlign w:val="center"/>
            <w:hideMark/>
          </w:tcPr>
          <w:p w:rsidR="004A7F58" w:rsidRPr="00286641" w:rsidRDefault="004A7F58" w:rsidP="00E008A9">
            <w:pPr>
              <w:spacing w:line="276" w:lineRule="auto"/>
              <w:jc w:val="right"/>
              <w:rPr>
                <w:bCs/>
                <w:sz w:val="20"/>
                <w:szCs w:val="20"/>
              </w:rPr>
            </w:pPr>
            <w:r w:rsidRPr="00286641">
              <w:rPr>
                <w:bCs/>
                <w:sz w:val="20"/>
                <w:szCs w:val="20"/>
              </w:rPr>
              <w:t>2 780</w:t>
            </w:r>
          </w:p>
        </w:tc>
        <w:tc>
          <w:tcPr>
            <w:tcW w:w="708" w:type="dxa"/>
            <w:vAlign w:val="center"/>
            <w:hideMark/>
          </w:tcPr>
          <w:p w:rsidR="004A7F58" w:rsidRPr="00286641" w:rsidRDefault="004A7F58" w:rsidP="00E008A9">
            <w:pPr>
              <w:spacing w:line="276" w:lineRule="auto"/>
              <w:jc w:val="right"/>
              <w:rPr>
                <w:bCs/>
                <w:sz w:val="20"/>
                <w:szCs w:val="20"/>
              </w:rPr>
            </w:pPr>
            <w:r w:rsidRPr="00286641">
              <w:rPr>
                <w:bCs/>
                <w:sz w:val="20"/>
                <w:szCs w:val="20"/>
              </w:rPr>
              <w:t>153</w:t>
            </w:r>
          </w:p>
        </w:tc>
        <w:tc>
          <w:tcPr>
            <w:tcW w:w="914" w:type="dxa"/>
            <w:vAlign w:val="center"/>
            <w:hideMark/>
          </w:tcPr>
          <w:p w:rsidR="004A7F58" w:rsidRPr="00286641" w:rsidRDefault="004A7F58" w:rsidP="00E008A9">
            <w:pPr>
              <w:spacing w:line="276" w:lineRule="auto"/>
              <w:jc w:val="right"/>
              <w:rPr>
                <w:bCs/>
                <w:sz w:val="20"/>
                <w:szCs w:val="20"/>
              </w:rPr>
            </w:pPr>
            <w:r w:rsidRPr="00286641">
              <w:rPr>
                <w:bCs/>
                <w:sz w:val="20"/>
                <w:szCs w:val="20"/>
              </w:rPr>
              <w:t>248</w:t>
            </w:r>
          </w:p>
        </w:tc>
        <w:tc>
          <w:tcPr>
            <w:tcW w:w="929" w:type="dxa"/>
            <w:tcBorders>
              <w:right w:val="double" w:sz="4" w:space="0" w:color="auto"/>
            </w:tcBorders>
            <w:vAlign w:val="center"/>
            <w:hideMark/>
          </w:tcPr>
          <w:p w:rsidR="004A7F58" w:rsidRPr="00286641" w:rsidRDefault="004A7F58" w:rsidP="00E008A9">
            <w:pPr>
              <w:spacing w:line="276" w:lineRule="auto"/>
              <w:jc w:val="right"/>
              <w:rPr>
                <w:bCs/>
                <w:sz w:val="20"/>
                <w:szCs w:val="20"/>
              </w:rPr>
            </w:pPr>
            <w:r w:rsidRPr="00286641">
              <w:rPr>
                <w:bCs/>
                <w:sz w:val="20"/>
                <w:szCs w:val="20"/>
              </w:rPr>
              <w:t>3 181</w:t>
            </w:r>
          </w:p>
        </w:tc>
        <w:tc>
          <w:tcPr>
            <w:tcW w:w="1420" w:type="dxa"/>
            <w:tcBorders>
              <w:left w:val="double" w:sz="4" w:space="0" w:color="auto"/>
            </w:tcBorders>
            <w:vAlign w:val="center"/>
            <w:hideMark/>
          </w:tcPr>
          <w:p w:rsidR="004A7F58" w:rsidRPr="00286641" w:rsidRDefault="004A7F58" w:rsidP="00E008A9">
            <w:pPr>
              <w:spacing w:line="276" w:lineRule="auto"/>
              <w:jc w:val="right"/>
              <w:rPr>
                <w:bCs/>
                <w:sz w:val="20"/>
                <w:szCs w:val="20"/>
              </w:rPr>
            </w:pPr>
            <w:r w:rsidRPr="00286641">
              <w:rPr>
                <w:bCs/>
                <w:sz w:val="20"/>
                <w:szCs w:val="20"/>
              </w:rPr>
              <w:t>2 747 687,97</w:t>
            </w:r>
          </w:p>
        </w:tc>
        <w:tc>
          <w:tcPr>
            <w:tcW w:w="1420" w:type="dxa"/>
            <w:vAlign w:val="center"/>
            <w:hideMark/>
          </w:tcPr>
          <w:p w:rsidR="004A7F58" w:rsidRPr="00286641" w:rsidRDefault="004A7F58" w:rsidP="00E008A9">
            <w:pPr>
              <w:spacing w:line="276" w:lineRule="auto"/>
              <w:jc w:val="right"/>
              <w:rPr>
                <w:bCs/>
                <w:sz w:val="20"/>
                <w:szCs w:val="20"/>
              </w:rPr>
            </w:pPr>
            <w:r w:rsidRPr="00286641">
              <w:rPr>
                <w:bCs/>
                <w:sz w:val="20"/>
                <w:szCs w:val="20"/>
              </w:rPr>
              <w:t>2 582 483,69</w:t>
            </w:r>
          </w:p>
        </w:tc>
        <w:tc>
          <w:tcPr>
            <w:tcW w:w="1560" w:type="dxa"/>
            <w:vAlign w:val="center"/>
            <w:hideMark/>
          </w:tcPr>
          <w:p w:rsidR="004A7F58" w:rsidRPr="00286641" w:rsidRDefault="004A7F58" w:rsidP="00E008A9">
            <w:pPr>
              <w:spacing w:line="276" w:lineRule="auto"/>
              <w:jc w:val="right"/>
              <w:rPr>
                <w:bCs/>
                <w:sz w:val="20"/>
                <w:szCs w:val="20"/>
              </w:rPr>
            </w:pPr>
            <w:r w:rsidRPr="00286641">
              <w:rPr>
                <w:bCs/>
                <w:sz w:val="20"/>
                <w:szCs w:val="20"/>
              </w:rPr>
              <w:t>11 188 112,97</w:t>
            </w:r>
          </w:p>
        </w:tc>
        <w:tc>
          <w:tcPr>
            <w:tcW w:w="1560" w:type="dxa"/>
            <w:vAlign w:val="center"/>
            <w:hideMark/>
          </w:tcPr>
          <w:p w:rsidR="004A7F58" w:rsidRPr="00286641" w:rsidRDefault="004A7F58" w:rsidP="00E008A9">
            <w:pPr>
              <w:spacing w:line="276" w:lineRule="auto"/>
              <w:jc w:val="right"/>
              <w:rPr>
                <w:bCs/>
                <w:sz w:val="20"/>
                <w:szCs w:val="20"/>
              </w:rPr>
            </w:pPr>
            <w:r w:rsidRPr="00286641">
              <w:rPr>
                <w:bCs/>
                <w:sz w:val="20"/>
                <w:szCs w:val="20"/>
              </w:rPr>
              <w:t>16 518 284,63</w:t>
            </w:r>
          </w:p>
        </w:tc>
      </w:tr>
      <w:tr w:rsidR="004A7F58" w:rsidRPr="003047F8" w:rsidTr="00E008A9">
        <w:trPr>
          <w:trHeight w:val="765"/>
        </w:trPr>
        <w:tc>
          <w:tcPr>
            <w:tcW w:w="1280" w:type="dxa"/>
            <w:tcBorders>
              <w:bottom w:val="double" w:sz="4" w:space="0" w:color="auto"/>
            </w:tcBorders>
            <w:shd w:val="clear" w:color="auto" w:fill="BFBFBF" w:themeFill="background1" w:themeFillShade="BF"/>
            <w:vAlign w:val="center"/>
            <w:hideMark/>
          </w:tcPr>
          <w:p w:rsidR="004A7F58" w:rsidRPr="00286641" w:rsidRDefault="004A7F58" w:rsidP="00E008A9">
            <w:pPr>
              <w:spacing w:line="276" w:lineRule="auto"/>
              <w:rPr>
                <w:b/>
                <w:bCs/>
                <w:sz w:val="20"/>
                <w:szCs w:val="20"/>
              </w:rPr>
            </w:pPr>
            <w:r w:rsidRPr="00286641">
              <w:rPr>
                <w:b/>
                <w:bCs/>
                <w:sz w:val="20"/>
                <w:szCs w:val="20"/>
              </w:rPr>
              <w:t>Spolu</w:t>
            </w:r>
          </w:p>
        </w:tc>
        <w:tc>
          <w:tcPr>
            <w:tcW w:w="862" w:type="dxa"/>
            <w:tcBorders>
              <w:bottom w:val="double" w:sz="4" w:space="0" w:color="auto"/>
            </w:tcBorders>
            <w:shd w:val="clear" w:color="auto" w:fill="BFBFBF" w:themeFill="background1" w:themeFillShade="BF"/>
            <w:vAlign w:val="center"/>
            <w:hideMark/>
          </w:tcPr>
          <w:p w:rsidR="004A7F58" w:rsidRPr="00286641" w:rsidRDefault="004A7F58" w:rsidP="00E008A9">
            <w:pPr>
              <w:spacing w:line="276" w:lineRule="auto"/>
              <w:jc w:val="right"/>
              <w:rPr>
                <w:b/>
                <w:bCs/>
                <w:sz w:val="20"/>
                <w:szCs w:val="20"/>
              </w:rPr>
            </w:pPr>
            <w:r w:rsidRPr="00286641">
              <w:rPr>
                <w:b/>
                <w:bCs/>
                <w:sz w:val="20"/>
                <w:szCs w:val="20"/>
              </w:rPr>
              <w:t>9 576</w:t>
            </w:r>
          </w:p>
        </w:tc>
        <w:tc>
          <w:tcPr>
            <w:tcW w:w="708" w:type="dxa"/>
            <w:tcBorders>
              <w:bottom w:val="double" w:sz="4" w:space="0" w:color="auto"/>
            </w:tcBorders>
            <w:shd w:val="clear" w:color="auto" w:fill="BFBFBF" w:themeFill="background1" w:themeFillShade="BF"/>
            <w:vAlign w:val="center"/>
            <w:hideMark/>
          </w:tcPr>
          <w:p w:rsidR="004A7F58" w:rsidRPr="00286641" w:rsidRDefault="004A7F58" w:rsidP="00E008A9">
            <w:pPr>
              <w:spacing w:line="276" w:lineRule="auto"/>
              <w:jc w:val="right"/>
              <w:rPr>
                <w:b/>
                <w:bCs/>
                <w:sz w:val="20"/>
                <w:szCs w:val="20"/>
              </w:rPr>
            </w:pPr>
            <w:r w:rsidRPr="00286641">
              <w:rPr>
                <w:b/>
                <w:bCs/>
                <w:sz w:val="20"/>
                <w:szCs w:val="20"/>
              </w:rPr>
              <w:t>649</w:t>
            </w:r>
          </w:p>
        </w:tc>
        <w:tc>
          <w:tcPr>
            <w:tcW w:w="914" w:type="dxa"/>
            <w:tcBorders>
              <w:bottom w:val="double" w:sz="4" w:space="0" w:color="auto"/>
            </w:tcBorders>
            <w:shd w:val="clear" w:color="auto" w:fill="BFBFBF" w:themeFill="background1" w:themeFillShade="BF"/>
            <w:vAlign w:val="center"/>
            <w:hideMark/>
          </w:tcPr>
          <w:p w:rsidR="004A7F58" w:rsidRPr="00286641" w:rsidRDefault="004A7F58" w:rsidP="00E008A9">
            <w:pPr>
              <w:spacing w:line="276" w:lineRule="auto"/>
              <w:jc w:val="right"/>
              <w:rPr>
                <w:b/>
                <w:bCs/>
                <w:sz w:val="20"/>
                <w:szCs w:val="20"/>
              </w:rPr>
            </w:pPr>
            <w:r w:rsidRPr="00286641">
              <w:rPr>
                <w:b/>
                <w:bCs/>
                <w:sz w:val="20"/>
                <w:szCs w:val="20"/>
              </w:rPr>
              <w:t>1 821</w:t>
            </w:r>
          </w:p>
        </w:tc>
        <w:tc>
          <w:tcPr>
            <w:tcW w:w="929" w:type="dxa"/>
            <w:tcBorders>
              <w:bottom w:val="double" w:sz="4" w:space="0" w:color="auto"/>
              <w:right w:val="double" w:sz="4" w:space="0" w:color="auto"/>
            </w:tcBorders>
            <w:shd w:val="clear" w:color="auto" w:fill="BFBFBF" w:themeFill="background1" w:themeFillShade="BF"/>
            <w:vAlign w:val="center"/>
            <w:hideMark/>
          </w:tcPr>
          <w:p w:rsidR="004A7F58" w:rsidRPr="00286641" w:rsidRDefault="004A7F58" w:rsidP="00E008A9">
            <w:pPr>
              <w:spacing w:line="276" w:lineRule="auto"/>
              <w:jc w:val="right"/>
              <w:rPr>
                <w:b/>
                <w:bCs/>
                <w:sz w:val="20"/>
                <w:szCs w:val="20"/>
              </w:rPr>
            </w:pPr>
            <w:r w:rsidRPr="00286641">
              <w:rPr>
                <w:b/>
                <w:bCs/>
                <w:sz w:val="20"/>
                <w:szCs w:val="20"/>
              </w:rPr>
              <w:t>12 046</w:t>
            </w:r>
          </w:p>
        </w:tc>
        <w:tc>
          <w:tcPr>
            <w:tcW w:w="1420" w:type="dxa"/>
            <w:tcBorders>
              <w:left w:val="double" w:sz="4" w:space="0" w:color="auto"/>
              <w:bottom w:val="double" w:sz="4" w:space="0" w:color="auto"/>
            </w:tcBorders>
            <w:shd w:val="clear" w:color="auto" w:fill="BFBFBF" w:themeFill="background1" w:themeFillShade="BF"/>
            <w:vAlign w:val="center"/>
            <w:hideMark/>
          </w:tcPr>
          <w:p w:rsidR="004A7F58" w:rsidRPr="00286641" w:rsidRDefault="004A7F58" w:rsidP="00E008A9">
            <w:pPr>
              <w:spacing w:line="276" w:lineRule="auto"/>
              <w:jc w:val="center"/>
              <w:rPr>
                <w:b/>
                <w:bCs/>
                <w:sz w:val="20"/>
                <w:szCs w:val="20"/>
              </w:rPr>
            </w:pPr>
            <w:r w:rsidRPr="00286641">
              <w:rPr>
                <w:b/>
                <w:bCs/>
                <w:sz w:val="20"/>
                <w:szCs w:val="20"/>
              </w:rPr>
              <w:t>378 447 924,55</w:t>
            </w:r>
          </w:p>
        </w:tc>
        <w:tc>
          <w:tcPr>
            <w:tcW w:w="1420" w:type="dxa"/>
            <w:tcBorders>
              <w:bottom w:val="double" w:sz="4" w:space="0" w:color="auto"/>
            </w:tcBorders>
            <w:shd w:val="clear" w:color="auto" w:fill="BFBFBF" w:themeFill="background1" w:themeFillShade="BF"/>
            <w:vAlign w:val="center"/>
            <w:hideMark/>
          </w:tcPr>
          <w:p w:rsidR="004A7F58" w:rsidRPr="00286641" w:rsidRDefault="004A7F58" w:rsidP="00E008A9">
            <w:pPr>
              <w:spacing w:line="276" w:lineRule="auto"/>
              <w:jc w:val="center"/>
              <w:rPr>
                <w:b/>
                <w:bCs/>
                <w:sz w:val="20"/>
                <w:szCs w:val="20"/>
              </w:rPr>
            </w:pPr>
            <w:r w:rsidRPr="00286641">
              <w:rPr>
                <w:b/>
                <w:bCs/>
                <w:sz w:val="20"/>
                <w:szCs w:val="20"/>
              </w:rPr>
              <w:t>22 404 245,56</w:t>
            </w:r>
          </w:p>
        </w:tc>
        <w:tc>
          <w:tcPr>
            <w:tcW w:w="1560" w:type="dxa"/>
            <w:tcBorders>
              <w:bottom w:val="double" w:sz="4" w:space="0" w:color="auto"/>
            </w:tcBorders>
            <w:shd w:val="clear" w:color="auto" w:fill="BFBFBF" w:themeFill="background1" w:themeFillShade="BF"/>
            <w:vAlign w:val="center"/>
            <w:hideMark/>
          </w:tcPr>
          <w:p w:rsidR="004A7F58" w:rsidRPr="00286641" w:rsidRDefault="004A7F58" w:rsidP="00E008A9">
            <w:pPr>
              <w:spacing w:line="276" w:lineRule="auto"/>
              <w:jc w:val="center"/>
              <w:rPr>
                <w:b/>
                <w:bCs/>
                <w:sz w:val="20"/>
                <w:szCs w:val="20"/>
              </w:rPr>
            </w:pPr>
            <w:r w:rsidRPr="00286641">
              <w:rPr>
                <w:b/>
                <w:bCs/>
                <w:sz w:val="20"/>
                <w:szCs w:val="20"/>
              </w:rPr>
              <w:t>1 322 243 650,41</w:t>
            </w:r>
          </w:p>
        </w:tc>
        <w:tc>
          <w:tcPr>
            <w:tcW w:w="1560" w:type="dxa"/>
            <w:tcBorders>
              <w:bottom w:val="double" w:sz="4" w:space="0" w:color="auto"/>
            </w:tcBorders>
            <w:shd w:val="clear" w:color="auto" w:fill="BFBFBF" w:themeFill="background1" w:themeFillShade="BF"/>
            <w:vAlign w:val="center"/>
            <w:hideMark/>
          </w:tcPr>
          <w:p w:rsidR="004A7F58" w:rsidRPr="00286641" w:rsidRDefault="004A7F58" w:rsidP="00E008A9">
            <w:pPr>
              <w:spacing w:line="276" w:lineRule="auto"/>
              <w:jc w:val="center"/>
              <w:rPr>
                <w:b/>
                <w:bCs/>
                <w:sz w:val="20"/>
                <w:szCs w:val="20"/>
              </w:rPr>
            </w:pPr>
            <w:r w:rsidRPr="00286641">
              <w:rPr>
                <w:b/>
                <w:bCs/>
                <w:sz w:val="20"/>
                <w:szCs w:val="20"/>
              </w:rPr>
              <w:t>1 723 095 820,52</w:t>
            </w:r>
          </w:p>
        </w:tc>
      </w:tr>
    </w:tbl>
    <w:p w:rsidR="004A7F58" w:rsidRPr="00FC55D9" w:rsidRDefault="004A7F58" w:rsidP="004A7F58">
      <w:pPr>
        <w:spacing w:line="276" w:lineRule="auto"/>
        <w:rPr>
          <w:rFonts w:ascii="Calibri" w:hAnsi="Calibri"/>
          <w:sz w:val="22"/>
          <w:szCs w:val="22"/>
        </w:rPr>
      </w:pPr>
    </w:p>
    <w:p w:rsidR="004A7F58" w:rsidRPr="00286641" w:rsidRDefault="004A7F58" w:rsidP="004A7F58">
      <w:pPr>
        <w:spacing w:line="276" w:lineRule="auto"/>
        <w:jc w:val="both"/>
      </w:pPr>
      <w:r w:rsidRPr="00286641">
        <w:t xml:space="preserve">Do vyhodnotenia priemernej úrovne uplatňovania </w:t>
      </w:r>
      <w:r w:rsidR="00286641">
        <w:t xml:space="preserve">GPP v </w:t>
      </w:r>
      <w:r w:rsidRPr="00286641">
        <w:t xml:space="preserve"> SR boli zaradené len subjekty, ktoré uviedli aspoň základné údaje</w:t>
      </w:r>
      <w:r w:rsidR="00286641">
        <w:t>,</w:t>
      </w:r>
      <w:r w:rsidRPr="00286641">
        <w:t xml:space="preserve"> potrebné pre vyhodnotenie, t.j. celkový počet a celkovú hodnotu zrealizovaných zákaziek, uzatvorených zmlúv a objednávok v sledovanom roku. V rámci monitorovania rok 2013 bol</w:t>
      </w:r>
      <w:r w:rsidR="00D145EA">
        <w:t>o do vyhodnotenia zaradených 543</w:t>
      </w:r>
      <w:r w:rsidRPr="00286641">
        <w:t xml:space="preserve"> respondentov, 24 respondentov nedodalo potrebné údaje a 9 subjektov nerealizovali v roku 2013 verejné obstarávanie, t.j. celkovo 33 subjektov, ktoré sa do prieskumu zapojil</w:t>
      </w:r>
      <w:r w:rsidR="00F219BF">
        <w:t>i, neboli</w:t>
      </w:r>
      <w:r w:rsidRPr="00286641">
        <w:t xml:space="preserve"> zaraden</w:t>
      </w:r>
      <w:r w:rsidR="00F219BF">
        <w:t>é</w:t>
      </w:r>
      <w:r w:rsidRPr="00286641">
        <w:t xml:space="preserve"> do celkového vyhodnotenia.</w:t>
      </w:r>
    </w:p>
    <w:p w:rsidR="004A7F58" w:rsidRPr="00286641" w:rsidRDefault="004A7F58" w:rsidP="004A7F58">
      <w:pPr>
        <w:spacing w:line="276" w:lineRule="auto"/>
        <w:jc w:val="both"/>
      </w:pPr>
    </w:p>
    <w:p w:rsidR="004A7F58" w:rsidRDefault="004A7F58" w:rsidP="004A7F58">
      <w:pPr>
        <w:spacing w:line="276" w:lineRule="auto"/>
        <w:jc w:val="both"/>
        <w:rPr>
          <w:rFonts w:ascii="Calibri" w:hAnsi="Calibri"/>
          <w:sz w:val="22"/>
          <w:szCs w:val="22"/>
        </w:rPr>
      </w:pPr>
      <w:r w:rsidRPr="00286641">
        <w:t xml:space="preserve">Za zelenú zákazku je v rámci </w:t>
      </w:r>
      <w:r w:rsidR="00F219BF">
        <w:t>uskutočnen</w:t>
      </w:r>
      <w:r w:rsidRPr="00286641">
        <w:t>ého monitorovania považovaná zákazka, uzatvorená zmluva alebo objednávka, pri ktorej bola uplatnená aspoň jedna environmentálna charakteristika. Pričom pod pojmom environmentálna charakteristika možno rozumieť technickú špecifikáciu, príp. vlastnosť výrobku, služby alebo stavebnej prác</w:t>
      </w:r>
      <w:r w:rsidR="00F219BF">
        <w:t>e, ktorá znižuje negatívny vplyv</w:t>
      </w:r>
      <w:r w:rsidRPr="00286641">
        <w:t xml:space="preserve"> tohto výrobku, služby alebo stavebnej práce na životné prostredie v porovnaní s produktom rovnakej fu</w:t>
      </w:r>
      <w:r w:rsidR="00F219BF">
        <w:t xml:space="preserve">nkčnosti, </w:t>
      </w:r>
      <w:r w:rsidRPr="00286641">
        <w:t xml:space="preserve"> ktorý by bol inak obstaraný. V roku 2013 uplatnilo environmentálne charakteristiky vo verejnom obstarávaní/nakupovaní 455 subjektov (255 ústredných orgánov a im podriadených organizácií a 200 samosprávnych krajov, nimi zriadených organizácií, miest a mestských častí), čo predstavuje 83,8 % vyhodnocovaných inštitúcií a organizácií. 88 vyhodnocovaných subjektov (16,2 %) neuplatnilo zelené verejné obstarávanie, ako </w:t>
      </w:r>
      <w:r w:rsidR="00F219BF">
        <w:t xml:space="preserve">dokumentuje graf </w:t>
      </w:r>
      <w:r w:rsidRPr="00286641">
        <w:t>1.</w:t>
      </w:r>
    </w:p>
    <w:p w:rsidR="004A7F58" w:rsidRDefault="004A7F58" w:rsidP="004A7F58">
      <w:pPr>
        <w:spacing w:line="276" w:lineRule="auto"/>
        <w:jc w:val="both"/>
        <w:rPr>
          <w:rFonts w:ascii="Calibri" w:hAnsi="Calibri"/>
          <w:sz w:val="22"/>
          <w:szCs w:val="22"/>
        </w:rPr>
      </w:pPr>
    </w:p>
    <w:p w:rsidR="004A7F58" w:rsidRDefault="004A7F58" w:rsidP="004A7F58">
      <w:pPr>
        <w:spacing w:line="276" w:lineRule="auto"/>
        <w:jc w:val="center"/>
        <w:rPr>
          <w:rFonts w:ascii="Calibri" w:hAnsi="Calibri"/>
          <w:sz w:val="22"/>
          <w:szCs w:val="22"/>
        </w:rPr>
      </w:pPr>
      <w:r>
        <w:rPr>
          <w:noProof/>
          <w:szCs w:val="22"/>
        </w:rPr>
        <w:lastRenderedPageBreak/>
        <w:drawing>
          <wp:inline distT="0" distB="0" distL="0" distR="0">
            <wp:extent cx="3743325" cy="23717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3325" cy="2371725"/>
                    </a:xfrm>
                    <a:prstGeom prst="rect">
                      <a:avLst/>
                    </a:prstGeom>
                    <a:noFill/>
                    <a:ln>
                      <a:noFill/>
                    </a:ln>
                  </pic:spPr>
                </pic:pic>
              </a:graphicData>
            </a:graphic>
          </wp:inline>
        </w:drawing>
      </w:r>
    </w:p>
    <w:p w:rsidR="004A7F58" w:rsidRPr="00F219BF" w:rsidRDefault="004A7F58" w:rsidP="004A7F58">
      <w:pPr>
        <w:spacing w:line="276" w:lineRule="auto"/>
        <w:jc w:val="center"/>
        <w:rPr>
          <w:b/>
          <w:noProof/>
          <w:sz w:val="20"/>
          <w:szCs w:val="20"/>
        </w:rPr>
      </w:pPr>
      <w:r w:rsidRPr="00F219BF">
        <w:rPr>
          <w:b/>
          <w:noProof/>
          <w:sz w:val="20"/>
          <w:szCs w:val="20"/>
        </w:rPr>
        <w:t>Graf 1 Percentuálny podiel uplatnenia environmentálnych charakteristík vo verejnom obstarávaní</w:t>
      </w:r>
    </w:p>
    <w:p w:rsidR="004A7F58" w:rsidRDefault="004A7F58" w:rsidP="004A7F58">
      <w:pPr>
        <w:spacing w:line="276" w:lineRule="auto"/>
        <w:jc w:val="both"/>
      </w:pPr>
    </w:p>
    <w:p w:rsidR="004A7F58" w:rsidRPr="00F219BF" w:rsidRDefault="004A7F58" w:rsidP="004A7F58">
      <w:pPr>
        <w:pStyle w:val="Nadpis2"/>
        <w:spacing w:line="276" w:lineRule="auto"/>
        <w:rPr>
          <w:rFonts w:ascii="Times New Roman" w:hAnsi="Times New Roman"/>
          <w:sz w:val="24"/>
          <w:szCs w:val="24"/>
        </w:rPr>
      </w:pPr>
      <w:bookmarkStart w:id="7" w:name="_Toc388525481"/>
      <w:r w:rsidRPr="00F219BF">
        <w:rPr>
          <w:rFonts w:ascii="Times New Roman" w:hAnsi="Times New Roman"/>
          <w:sz w:val="24"/>
          <w:szCs w:val="24"/>
        </w:rPr>
        <w:t xml:space="preserve">Priemerná úroveň uplatňovania </w:t>
      </w:r>
      <w:r w:rsidR="00F219BF" w:rsidRPr="00F219BF">
        <w:rPr>
          <w:rFonts w:ascii="Times New Roman" w:hAnsi="Times New Roman"/>
          <w:sz w:val="24"/>
          <w:szCs w:val="24"/>
        </w:rPr>
        <w:t xml:space="preserve">GPP </w:t>
      </w:r>
      <w:r w:rsidRPr="00F219BF">
        <w:rPr>
          <w:rFonts w:ascii="Times New Roman" w:hAnsi="Times New Roman"/>
          <w:sz w:val="24"/>
          <w:szCs w:val="24"/>
        </w:rPr>
        <w:t xml:space="preserve"> v SR za rok 2013 vo väzbe na indikátor 1</w:t>
      </w:r>
      <w:bookmarkEnd w:id="7"/>
    </w:p>
    <w:p w:rsidR="004A7F58" w:rsidRPr="00F219BF" w:rsidRDefault="004A7F58" w:rsidP="004A7F58">
      <w:pPr>
        <w:spacing w:line="276" w:lineRule="auto"/>
        <w:jc w:val="both"/>
      </w:pPr>
    </w:p>
    <w:p w:rsidR="004A7F58" w:rsidRPr="00F219BF" w:rsidRDefault="004A7F58" w:rsidP="004A7F58">
      <w:pPr>
        <w:spacing w:line="276" w:lineRule="auto"/>
        <w:jc w:val="both"/>
      </w:pPr>
      <w:r w:rsidRPr="00F219BF">
        <w:t>Prehľad o </w:t>
      </w:r>
      <w:r w:rsidRPr="00F219BF">
        <w:rPr>
          <w:b/>
        </w:rPr>
        <w:t>celkovom počte</w:t>
      </w:r>
      <w:r w:rsidRPr="00F219BF">
        <w:t xml:space="preserve"> realizovaných zákaziek v členení na zákazky na dodanie tovaru, zákazky na poskytnutie služby a zákazky na uskutočnenie stavebných prác v pomere k počtu zelených zákaziek na tovary, služby a stavebné práce</w:t>
      </w:r>
      <w:r w:rsidR="00F219BF">
        <w:t xml:space="preserve">, poskytuje graf </w:t>
      </w:r>
      <w:r w:rsidRPr="00F219BF">
        <w:t xml:space="preserve"> 2. Celko</w:t>
      </w:r>
      <w:r w:rsidR="00F219BF">
        <w:t xml:space="preserve">m sa v roku 2013 realizovalo </w:t>
      </w:r>
      <w:r w:rsidRPr="00F219BF">
        <w:t>143 783 zákaziek/nákupov na dodanie tovaru, z čoho bolo 9 576 zákaziek s využitím environmentálnych charakteri</w:t>
      </w:r>
      <w:r w:rsidR="00F219BF">
        <w:t>stík. Na poskytnutie služby sa</w:t>
      </w:r>
      <w:r w:rsidRPr="00F219BF">
        <w:t xml:space="preserve"> za rok 2013 zrealizova</w:t>
      </w:r>
      <w:r w:rsidR="00F219BF">
        <w:t>lo</w:t>
      </w:r>
      <w:r w:rsidRPr="00F219BF">
        <w:t xml:space="preserve"> 63 619 zákaziek, z čoh</w:t>
      </w:r>
      <w:r w:rsidR="00F219BF">
        <w:t>o bolo 649 zelených zákaziek.  N</w:t>
      </w:r>
      <w:r w:rsidRPr="00F219BF">
        <w:t>a uskutočnenie sta</w:t>
      </w:r>
      <w:r w:rsidR="00F219BF">
        <w:t>vebných prác sa</w:t>
      </w:r>
      <w:r w:rsidRPr="00F219BF">
        <w:t xml:space="preserve"> zrealizova</w:t>
      </w:r>
      <w:r w:rsidR="00F219BF">
        <w:t>lo</w:t>
      </w:r>
      <w:r w:rsidRPr="00F219BF">
        <w:t xml:space="preserve"> 6 523 zákaziek, </w:t>
      </w:r>
      <w:r w:rsidR="00F219BF">
        <w:t>z čoho</w:t>
      </w:r>
      <w:r w:rsidRPr="00F219BF">
        <w:t xml:space="preserve"> pri 1 821 z nich boli uplatnené environmentálne charakteristiky.</w:t>
      </w:r>
    </w:p>
    <w:p w:rsidR="004A7F58" w:rsidRDefault="004A7F58" w:rsidP="004A7F58">
      <w:pPr>
        <w:spacing w:line="276" w:lineRule="auto"/>
        <w:jc w:val="both"/>
        <w:rPr>
          <w:rFonts w:ascii="Calibri" w:hAnsi="Calibri"/>
          <w:sz w:val="22"/>
          <w:szCs w:val="22"/>
        </w:rPr>
      </w:pPr>
    </w:p>
    <w:p w:rsidR="004A7F58" w:rsidRPr="00E55465" w:rsidRDefault="004A7F58" w:rsidP="004A7F58">
      <w:pPr>
        <w:spacing w:line="276" w:lineRule="auto"/>
        <w:jc w:val="center"/>
        <w:rPr>
          <w:rFonts w:ascii="Calibri" w:hAnsi="Calibri"/>
          <w:sz w:val="22"/>
          <w:szCs w:val="22"/>
        </w:rPr>
      </w:pPr>
      <w:r>
        <w:rPr>
          <w:noProof/>
          <w:szCs w:val="22"/>
        </w:rPr>
        <w:drawing>
          <wp:inline distT="0" distB="0" distL="0" distR="0">
            <wp:extent cx="5686425" cy="2495550"/>
            <wp:effectExtent l="0" t="0" r="9525" b="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6425" cy="2495550"/>
                    </a:xfrm>
                    <a:prstGeom prst="rect">
                      <a:avLst/>
                    </a:prstGeom>
                    <a:noFill/>
                    <a:ln>
                      <a:noFill/>
                    </a:ln>
                  </pic:spPr>
                </pic:pic>
              </a:graphicData>
            </a:graphic>
          </wp:inline>
        </w:drawing>
      </w:r>
    </w:p>
    <w:p w:rsidR="004A7F58" w:rsidRPr="00F219BF" w:rsidRDefault="004A7F58" w:rsidP="004A7F58">
      <w:pPr>
        <w:spacing w:line="276" w:lineRule="auto"/>
        <w:rPr>
          <w:b/>
          <w:sz w:val="20"/>
          <w:szCs w:val="20"/>
        </w:rPr>
      </w:pPr>
      <w:r w:rsidRPr="00F219BF">
        <w:rPr>
          <w:b/>
          <w:sz w:val="20"/>
          <w:szCs w:val="20"/>
        </w:rPr>
        <w:t>Graf 2 Celkový počet zákaziek a počet zelených zákaziek</w:t>
      </w:r>
    </w:p>
    <w:p w:rsidR="004A7F58" w:rsidRDefault="004A7F58" w:rsidP="004A7F58">
      <w:pPr>
        <w:spacing w:line="276" w:lineRule="auto"/>
        <w:jc w:val="both"/>
        <w:rPr>
          <w:rFonts w:ascii="Calibri" w:hAnsi="Calibri"/>
          <w:color w:val="FF0000"/>
          <w:sz w:val="22"/>
          <w:szCs w:val="22"/>
        </w:rPr>
      </w:pPr>
    </w:p>
    <w:p w:rsidR="004A7F58" w:rsidRPr="00F219BF" w:rsidRDefault="004A7F58" w:rsidP="004A7F58">
      <w:pPr>
        <w:spacing w:line="276" w:lineRule="auto"/>
        <w:jc w:val="both"/>
        <w:rPr>
          <w:b/>
          <w:i/>
        </w:rPr>
      </w:pPr>
      <w:r w:rsidRPr="00F219BF">
        <w:t xml:space="preserve">Na základe </w:t>
      </w:r>
      <w:r w:rsidR="00F219BF">
        <w:t xml:space="preserve">údajov, </w:t>
      </w:r>
      <w:r w:rsidRPr="00F219BF">
        <w:t>získaných od verejných obstarávateľov a</w:t>
      </w:r>
      <w:r w:rsidR="00F219BF">
        <w:t> </w:t>
      </w:r>
      <w:r w:rsidRPr="00F219BF">
        <w:t>obstarávateľov</w:t>
      </w:r>
      <w:r w:rsidR="00F219BF">
        <w:t>, sme</w:t>
      </w:r>
      <w:r w:rsidRPr="00F219BF">
        <w:t xml:space="preserve"> stanov</w:t>
      </w:r>
      <w:r w:rsidR="00F219BF">
        <w:t>ili</w:t>
      </w:r>
      <w:r w:rsidRPr="00F219BF">
        <w:t xml:space="preserve"> priemerná úroveň uplatňovania </w:t>
      </w:r>
      <w:r w:rsidR="00F219BF">
        <w:t>GPP</w:t>
      </w:r>
      <w:r w:rsidRPr="00F219BF">
        <w:t xml:space="preserve"> v SR za rok 2013 vo väzbe na </w:t>
      </w:r>
      <w:r w:rsidRPr="00F219BF">
        <w:rPr>
          <w:b/>
          <w:i/>
        </w:rPr>
        <w:t>indikátor 1</w:t>
      </w:r>
      <w:r w:rsidRPr="00F219BF">
        <w:t xml:space="preserve"> (percentuálny podiel zeleného verejného obstarávania vzhľadom k celkovému verejnému obstarávaniu vo väzbe na počet zákaziek, uzatvorených zmlúv a objednávok): </w:t>
      </w:r>
      <w:r w:rsidRPr="00F219BF">
        <w:rPr>
          <w:b/>
          <w:i/>
        </w:rPr>
        <w:t>5,6 %.</w:t>
      </w:r>
    </w:p>
    <w:p w:rsidR="004A7F58" w:rsidRPr="00575487" w:rsidRDefault="004A7F58" w:rsidP="004A7F58">
      <w:pPr>
        <w:spacing w:line="276" w:lineRule="auto"/>
        <w:jc w:val="both"/>
        <w:rPr>
          <w:rFonts w:ascii="Calibri" w:hAnsi="Calibri"/>
          <w:color w:val="FF0000"/>
          <w:sz w:val="22"/>
          <w:szCs w:val="22"/>
        </w:rPr>
      </w:pPr>
    </w:p>
    <w:p w:rsidR="004A7F58" w:rsidRPr="00F219BF" w:rsidRDefault="001869FC" w:rsidP="004A7F58">
      <w:pPr>
        <w:spacing w:line="276" w:lineRule="auto"/>
        <w:jc w:val="both"/>
      </w:pPr>
      <w:r>
        <w:lastRenderedPageBreak/>
        <w:t xml:space="preserve">Graf </w:t>
      </w:r>
      <w:r w:rsidR="004A7F58" w:rsidRPr="00F219BF">
        <w:t>3 porovnáva celkový počet všetkých zákaziek s počtom realizovaných zelených zákaziek/nákupov</w:t>
      </w:r>
      <w:r w:rsidR="00F219BF">
        <w:t>, uskutočnených v</w:t>
      </w:r>
      <w:r w:rsidR="004A7F58" w:rsidRPr="00F219BF">
        <w:t xml:space="preserve"> roku 2013 </w:t>
      </w:r>
      <w:r w:rsidR="004A7F58" w:rsidRPr="00F219BF">
        <w:rPr>
          <w:b/>
        </w:rPr>
        <w:t>ústrednými orgánmi a podriadenými organizáciami</w:t>
      </w:r>
      <w:r w:rsidR="004A7F58" w:rsidRPr="00F219BF">
        <w:t>, ktoré boli zapojené do monitorovania. Celko</w:t>
      </w:r>
      <w:r w:rsidR="00F219BF">
        <w:t>m sa v roku 2013</w:t>
      </w:r>
      <w:r w:rsidR="004A7F58" w:rsidRPr="00F219BF">
        <w:t xml:space="preserve"> uskutočn</w:t>
      </w:r>
      <w:r w:rsidR="00F219BF">
        <w:t xml:space="preserve">ilo </w:t>
      </w:r>
      <w:r w:rsidR="004A7F58" w:rsidRPr="00F219BF">
        <w:t xml:space="preserve"> 99 580 zákaziek/nákupov na dodanie tovaru, z čoho bolo 6 796 zákaziek s využitím environmentálnych charakteristík. Na poskytnutie služby </w:t>
      </w:r>
      <w:r w:rsidR="00FF337B">
        <w:t>sa</w:t>
      </w:r>
      <w:r w:rsidR="004A7F58" w:rsidRPr="00F219BF">
        <w:t xml:space="preserve"> za rok 2013 zrealizova</w:t>
      </w:r>
      <w:r w:rsidR="00FF337B">
        <w:t>lo</w:t>
      </w:r>
      <w:r w:rsidR="004A7F58" w:rsidRPr="00F219BF">
        <w:t xml:space="preserve"> 39 393 zákaziek, z čoho</w:t>
      </w:r>
      <w:r w:rsidR="00FF337B">
        <w:t xml:space="preserve"> bolo 496 zelených zákaziek. N</w:t>
      </w:r>
      <w:r w:rsidR="004A7F58" w:rsidRPr="00F219BF">
        <w:t xml:space="preserve">a uskutočnenie stavebných prác </w:t>
      </w:r>
      <w:r w:rsidR="00FF337B">
        <w:t>sa</w:t>
      </w:r>
      <w:r w:rsidR="004A7F58" w:rsidRPr="00F219BF">
        <w:t xml:space="preserve"> zrealizova</w:t>
      </w:r>
      <w:r w:rsidR="00FF337B">
        <w:t>lo 5 205 zákaziek, z toho</w:t>
      </w:r>
      <w:r w:rsidR="004A7F58" w:rsidRPr="00F219BF">
        <w:t xml:space="preserve"> pri 1 573 z nich boli uplatnené environmentálne charakteristiky.</w:t>
      </w:r>
    </w:p>
    <w:p w:rsidR="004A7F58" w:rsidRPr="00F219BF" w:rsidRDefault="004A7F58" w:rsidP="004A7F58">
      <w:pPr>
        <w:spacing w:line="276" w:lineRule="auto"/>
        <w:jc w:val="both"/>
      </w:pPr>
    </w:p>
    <w:p w:rsidR="004A7F58" w:rsidRDefault="004A7F58" w:rsidP="004A7F58">
      <w:pPr>
        <w:spacing w:line="276" w:lineRule="auto"/>
        <w:rPr>
          <w:rFonts w:ascii="Calibri" w:hAnsi="Calibri" w:cs="Arial"/>
          <w:sz w:val="18"/>
          <w:szCs w:val="18"/>
        </w:rPr>
      </w:pPr>
    </w:p>
    <w:p w:rsidR="004A7F58" w:rsidRPr="00FF337B" w:rsidRDefault="004A7F58" w:rsidP="004A7F58">
      <w:pPr>
        <w:spacing w:line="276" w:lineRule="auto"/>
        <w:rPr>
          <w:sz w:val="18"/>
          <w:szCs w:val="18"/>
        </w:rPr>
      </w:pPr>
      <w:r w:rsidRPr="00FF337B">
        <w:rPr>
          <w:sz w:val="18"/>
          <w:szCs w:val="18"/>
        </w:rPr>
        <w:t>Graf 3</w:t>
      </w:r>
      <w:r w:rsidR="00FF337B">
        <w:rPr>
          <w:sz w:val="18"/>
          <w:szCs w:val="18"/>
        </w:rPr>
        <w:t xml:space="preserve">: </w:t>
      </w:r>
      <w:r w:rsidRPr="00FF337B">
        <w:rPr>
          <w:sz w:val="18"/>
          <w:szCs w:val="18"/>
        </w:rPr>
        <w:t xml:space="preserve"> Celkový počet zákaziek a počet zelených zákaziek zrealizovaný ústrednými orgánmi a podriadenými organizáciami</w:t>
      </w:r>
    </w:p>
    <w:p w:rsidR="00FF337B" w:rsidRDefault="00FF337B" w:rsidP="004A7F58">
      <w:pPr>
        <w:jc w:val="both"/>
      </w:pPr>
    </w:p>
    <w:p w:rsidR="00E008A9" w:rsidRDefault="00FF337B" w:rsidP="004A7F58">
      <w:pPr>
        <w:jc w:val="both"/>
        <w:rPr>
          <w:i/>
        </w:rPr>
      </w:pPr>
      <w:r>
        <w:rPr>
          <w:noProof/>
          <w:szCs w:val="18"/>
        </w:rPr>
        <w:drawing>
          <wp:inline distT="0" distB="0" distL="0" distR="0" wp14:anchorId="4D15BC08" wp14:editId="55DB6422">
            <wp:extent cx="5686425" cy="2495550"/>
            <wp:effectExtent l="0" t="0" r="9525" b="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6425" cy="2495550"/>
                    </a:xfrm>
                    <a:prstGeom prst="rect">
                      <a:avLst/>
                    </a:prstGeom>
                    <a:noFill/>
                    <a:ln>
                      <a:noFill/>
                    </a:ln>
                  </pic:spPr>
                </pic:pic>
              </a:graphicData>
            </a:graphic>
          </wp:inline>
        </w:drawing>
      </w:r>
    </w:p>
    <w:p w:rsidR="00E008A9" w:rsidRDefault="00E008A9" w:rsidP="004A7F58">
      <w:pPr>
        <w:jc w:val="both"/>
        <w:rPr>
          <w:i/>
        </w:rPr>
      </w:pPr>
    </w:p>
    <w:p w:rsidR="004A7F58" w:rsidRPr="00FF337B" w:rsidRDefault="00814AA4" w:rsidP="00814AA4">
      <w:pPr>
        <w:spacing w:line="276" w:lineRule="auto"/>
        <w:jc w:val="both"/>
      </w:pPr>
      <w:r w:rsidRPr="00FF337B">
        <w:t xml:space="preserve">Priemerná úroveň </w:t>
      </w:r>
      <w:r>
        <w:t>GPP</w:t>
      </w:r>
      <w:r w:rsidRPr="00FF337B">
        <w:t xml:space="preserve"> za rok 2013, ktorú dosiahli </w:t>
      </w:r>
      <w:r w:rsidRPr="00FF337B">
        <w:rPr>
          <w:i/>
        </w:rPr>
        <w:t>ústredné orgány a podria</w:t>
      </w:r>
      <w:r w:rsidR="004A7F58" w:rsidRPr="00FF337B">
        <w:rPr>
          <w:i/>
        </w:rPr>
        <w:t>dené organizácie,</w:t>
      </w:r>
      <w:r w:rsidR="001869FC">
        <w:t xml:space="preserve"> ako je podložené v prílohe </w:t>
      </w:r>
      <w:r w:rsidR="004A7F58" w:rsidRPr="00FF337B">
        <w:t xml:space="preserve"> 3 tohto dokumentu, vo väzbe na </w:t>
      </w:r>
      <w:r w:rsidR="004A7F58" w:rsidRPr="00FF337B">
        <w:rPr>
          <w:i/>
        </w:rPr>
        <w:t xml:space="preserve">indikátor 1 </w:t>
      </w:r>
      <w:r w:rsidR="004A7F58" w:rsidRPr="00FF337B">
        <w:t>je</w:t>
      </w:r>
      <w:r w:rsidR="004A7F58" w:rsidRPr="00FF337B">
        <w:rPr>
          <w:i/>
        </w:rPr>
        <w:t xml:space="preserve"> 6,1 %.</w:t>
      </w:r>
    </w:p>
    <w:p w:rsidR="004A7F58" w:rsidRPr="00FF337B" w:rsidRDefault="004A7F58" w:rsidP="00814AA4">
      <w:pPr>
        <w:spacing w:line="276" w:lineRule="auto"/>
        <w:jc w:val="both"/>
        <w:rPr>
          <w:color w:val="FF0000"/>
        </w:rPr>
      </w:pPr>
    </w:p>
    <w:p w:rsidR="004A7F58" w:rsidRPr="00FF337B" w:rsidRDefault="00FF337B" w:rsidP="004A7F58">
      <w:pPr>
        <w:spacing w:line="276" w:lineRule="auto"/>
        <w:jc w:val="both"/>
      </w:pPr>
      <w:r>
        <w:t xml:space="preserve">Graf </w:t>
      </w:r>
      <w:r w:rsidR="004A7F58" w:rsidRPr="00FF337B">
        <w:t xml:space="preserve"> 4 zobrazuje celkový počet všetkých zákaziek a počet zrealizovaných zelených zákaziek/nákupov</w:t>
      </w:r>
      <w:r>
        <w:t>, uskutočnených v </w:t>
      </w:r>
      <w:r w:rsidR="004A7F58" w:rsidRPr="00FF337B">
        <w:t xml:space="preserve"> roku 2013 </w:t>
      </w:r>
      <w:r w:rsidR="004A7F58" w:rsidRPr="00FF337B">
        <w:rPr>
          <w:b/>
        </w:rPr>
        <w:t>samosprávnymi krajmi a mestskými úradmi</w:t>
      </w:r>
      <w:r w:rsidR="004A7F58" w:rsidRPr="00FF337B">
        <w:t>, ktoré boli zapojené do monitorovania. Celko</w:t>
      </w:r>
      <w:r>
        <w:t>m sa</w:t>
      </w:r>
      <w:r w:rsidR="004A7F58" w:rsidRPr="00FF337B">
        <w:t xml:space="preserve"> uskutočn</w:t>
      </w:r>
      <w:r>
        <w:t>ilo</w:t>
      </w:r>
      <w:r w:rsidR="004A7F58" w:rsidRPr="00FF337B">
        <w:t xml:space="preserve"> 44 203 zákaziek/nákupov na dodanie tovaru, z čoho bolo 2 780 zákaziek s využitím environmentálnych charakteri</w:t>
      </w:r>
      <w:r>
        <w:t>stík. Na poskytnutie služby sa</w:t>
      </w:r>
      <w:r w:rsidR="004A7F58" w:rsidRPr="00FF337B">
        <w:t xml:space="preserve"> za rok 2013 zrealizova</w:t>
      </w:r>
      <w:r>
        <w:t>lo</w:t>
      </w:r>
      <w:r w:rsidR="004A7F58" w:rsidRPr="00FF337B">
        <w:t xml:space="preserve"> 24 226 zákaziek, z čoho bolo 153 zelených zákaziek.  A na uskutočnenie stavebných prác </w:t>
      </w:r>
      <w:r>
        <w:t>sa</w:t>
      </w:r>
      <w:r w:rsidR="004A7F58" w:rsidRPr="00FF337B">
        <w:t xml:space="preserve"> zrealizova</w:t>
      </w:r>
      <w:r>
        <w:t>lo</w:t>
      </w:r>
      <w:r w:rsidR="004A7F58" w:rsidRPr="00FF337B">
        <w:t xml:space="preserve"> 1 318 zákaziek, pričom pri 248 z nich </w:t>
      </w:r>
      <w:r>
        <w:t>sa</w:t>
      </w:r>
      <w:r w:rsidR="004A7F58" w:rsidRPr="00FF337B">
        <w:t xml:space="preserve"> uplatn</w:t>
      </w:r>
      <w:r>
        <w:t>ili</w:t>
      </w:r>
      <w:r w:rsidR="004A7F58" w:rsidRPr="00FF337B">
        <w:t xml:space="preserve"> environmentálne charakteristiky.</w:t>
      </w:r>
    </w:p>
    <w:p w:rsidR="004A7F58" w:rsidRDefault="004A7F58" w:rsidP="004A7F58">
      <w:pPr>
        <w:spacing w:line="276" w:lineRule="auto"/>
        <w:rPr>
          <w:rFonts w:ascii="Calibri" w:hAnsi="Calibri"/>
          <w:sz w:val="18"/>
          <w:szCs w:val="18"/>
        </w:rPr>
      </w:pPr>
    </w:p>
    <w:p w:rsidR="004A7F58" w:rsidRDefault="004A7F58" w:rsidP="004A7F58">
      <w:pPr>
        <w:spacing w:line="276" w:lineRule="auto"/>
        <w:rPr>
          <w:rFonts w:ascii="Calibri" w:hAnsi="Calibri" w:cs="Arial"/>
          <w:sz w:val="18"/>
          <w:szCs w:val="18"/>
        </w:rPr>
      </w:pPr>
      <w:r>
        <w:rPr>
          <w:noProof/>
          <w:szCs w:val="18"/>
        </w:rPr>
        <w:lastRenderedPageBreak/>
        <w:drawing>
          <wp:inline distT="0" distB="0" distL="0" distR="0">
            <wp:extent cx="5686425" cy="2495550"/>
            <wp:effectExtent l="0" t="0" r="9525"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6425" cy="2495550"/>
                    </a:xfrm>
                    <a:prstGeom prst="rect">
                      <a:avLst/>
                    </a:prstGeom>
                    <a:noFill/>
                    <a:ln>
                      <a:noFill/>
                    </a:ln>
                  </pic:spPr>
                </pic:pic>
              </a:graphicData>
            </a:graphic>
          </wp:inline>
        </w:drawing>
      </w:r>
    </w:p>
    <w:p w:rsidR="004A7F58" w:rsidRPr="00FF337B" w:rsidRDefault="004A7F58" w:rsidP="004A7F58">
      <w:pPr>
        <w:spacing w:line="276" w:lineRule="auto"/>
        <w:rPr>
          <w:sz w:val="20"/>
          <w:szCs w:val="20"/>
        </w:rPr>
      </w:pPr>
      <w:r w:rsidRPr="00FF337B">
        <w:rPr>
          <w:sz w:val="20"/>
          <w:szCs w:val="20"/>
        </w:rPr>
        <w:t>Graf 4</w:t>
      </w:r>
      <w:r w:rsidR="00FF337B" w:rsidRPr="00FF337B">
        <w:rPr>
          <w:sz w:val="20"/>
          <w:szCs w:val="20"/>
        </w:rPr>
        <w:t>:</w:t>
      </w:r>
      <w:r w:rsidRPr="00FF337B">
        <w:rPr>
          <w:sz w:val="20"/>
          <w:szCs w:val="20"/>
        </w:rPr>
        <w:t xml:space="preserve"> Celkový počet zákaziek a počet zelených zákaziek</w:t>
      </w:r>
      <w:r w:rsidR="00FF337B">
        <w:rPr>
          <w:sz w:val="20"/>
          <w:szCs w:val="20"/>
        </w:rPr>
        <w:t>,</w:t>
      </w:r>
      <w:r w:rsidRPr="00FF337B">
        <w:rPr>
          <w:sz w:val="20"/>
          <w:szCs w:val="20"/>
        </w:rPr>
        <w:t xml:space="preserve"> zrealizovaný</w:t>
      </w:r>
      <w:r w:rsidR="00FF337B">
        <w:rPr>
          <w:sz w:val="20"/>
          <w:szCs w:val="20"/>
        </w:rPr>
        <w:t xml:space="preserve">ch </w:t>
      </w:r>
      <w:r w:rsidRPr="00FF337B">
        <w:rPr>
          <w:sz w:val="20"/>
          <w:szCs w:val="20"/>
        </w:rPr>
        <w:t xml:space="preserve"> samosprávnymi krajmi a mestami</w:t>
      </w:r>
    </w:p>
    <w:p w:rsidR="004A7F58" w:rsidRDefault="004A7F58" w:rsidP="004A7F58">
      <w:pPr>
        <w:jc w:val="both"/>
        <w:rPr>
          <w:rFonts w:ascii="Calibri" w:hAnsi="Calibri"/>
          <w:sz w:val="22"/>
          <w:szCs w:val="22"/>
        </w:rPr>
      </w:pPr>
    </w:p>
    <w:p w:rsidR="004A7F58" w:rsidRPr="00FF337B" w:rsidRDefault="004A7F58" w:rsidP="004A7F58">
      <w:pPr>
        <w:jc w:val="both"/>
        <w:rPr>
          <w:i/>
        </w:rPr>
      </w:pPr>
      <w:r w:rsidRPr="00FF337B">
        <w:rPr>
          <w:i/>
        </w:rPr>
        <w:t>Priemerná úroveň</w:t>
      </w:r>
      <w:r w:rsidRPr="00FF337B">
        <w:t xml:space="preserve"> </w:t>
      </w:r>
      <w:r w:rsidR="00FF337B">
        <w:t>GPP</w:t>
      </w:r>
      <w:r w:rsidRPr="00FF337B">
        <w:t xml:space="preserve"> za rok 2013, ktorú dosiahli </w:t>
      </w:r>
      <w:r w:rsidRPr="00FF337B">
        <w:rPr>
          <w:i/>
        </w:rPr>
        <w:t>samosprávne kraje a mestské úrady</w:t>
      </w:r>
      <w:r w:rsidRPr="00FF337B">
        <w:t xml:space="preserve">, ako je podložené </w:t>
      </w:r>
      <w:r w:rsidR="00FF337B">
        <w:t xml:space="preserve">v prílohe </w:t>
      </w:r>
      <w:r w:rsidRPr="00FF337B">
        <w:t xml:space="preserve"> 3 tohto dokumentu, vo väzbe na </w:t>
      </w:r>
      <w:r w:rsidRPr="00FF337B">
        <w:rPr>
          <w:i/>
        </w:rPr>
        <w:t>indikátor 1</w:t>
      </w:r>
      <w:r w:rsidRPr="00FF337B">
        <w:t xml:space="preserve"> je </w:t>
      </w:r>
      <w:r w:rsidRPr="00FF337B">
        <w:rPr>
          <w:i/>
        </w:rPr>
        <w:t>4,6 %.</w:t>
      </w:r>
    </w:p>
    <w:p w:rsidR="004A7F58" w:rsidRPr="00FF337B" w:rsidRDefault="004A7F58" w:rsidP="004A7F58">
      <w:pPr>
        <w:spacing w:line="276" w:lineRule="auto"/>
        <w:jc w:val="both"/>
      </w:pPr>
    </w:p>
    <w:p w:rsidR="004A7F58" w:rsidRPr="00FF337B" w:rsidRDefault="004A7F58" w:rsidP="004A7F58">
      <w:pPr>
        <w:pStyle w:val="Nadpis2"/>
        <w:spacing w:line="276" w:lineRule="auto"/>
        <w:rPr>
          <w:rFonts w:ascii="Times New Roman" w:hAnsi="Times New Roman"/>
          <w:sz w:val="24"/>
          <w:szCs w:val="24"/>
        </w:rPr>
      </w:pPr>
      <w:bookmarkStart w:id="8" w:name="_Toc388525482"/>
      <w:r w:rsidRPr="00FF337B">
        <w:rPr>
          <w:rFonts w:ascii="Times New Roman" w:hAnsi="Times New Roman"/>
          <w:sz w:val="24"/>
          <w:szCs w:val="24"/>
        </w:rPr>
        <w:t>Priemerná úroveň uplatňovania zeleného verejného obstarávania v SR za rok 2013 vo väzbe na indikátor 2</w:t>
      </w:r>
      <w:bookmarkEnd w:id="8"/>
    </w:p>
    <w:p w:rsidR="004A7F58" w:rsidRPr="00FF337B" w:rsidRDefault="004A7F58" w:rsidP="004A7F58">
      <w:pPr>
        <w:spacing w:line="276" w:lineRule="auto"/>
        <w:jc w:val="both"/>
      </w:pPr>
    </w:p>
    <w:p w:rsidR="004A7F58" w:rsidRPr="00FF337B" w:rsidRDefault="00FF337B" w:rsidP="004A7F58">
      <w:pPr>
        <w:spacing w:line="276" w:lineRule="auto"/>
        <w:jc w:val="both"/>
      </w:pPr>
      <w:r>
        <w:t xml:space="preserve">V grafe </w:t>
      </w:r>
      <w:r w:rsidR="004A7F58" w:rsidRPr="00FF337B">
        <w:t xml:space="preserve"> 5 je zobrazené porovnanie </w:t>
      </w:r>
      <w:r w:rsidR="004A7F58" w:rsidRPr="00FF337B">
        <w:rPr>
          <w:b/>
        </w:rPr>
        <w:t>celkovej hodnoty</w:t>
      </w:r>
      <w:r w:rsidR="004A7F58" w:rsidRPr="00FF337B">
        <w:t xml:space="preserve"> všetkých zákaziek v EUR s hodnotou zákaziek/nákupov s uplatnením environmentálnych charakteristík</w:t>
      </w:r>
      <w:r>
        <w:t>, uskutočnených v </w:t>
      </w:r>
      <w:r w:rsidR="004A7F58" w:rsidRPr="00FF337B">
        <w:t xml:space="preserve"> roku 2013. Celko</w:t>
      </w:r>
      <w:r>
        <w:t xml:space="preserve">m sa vynaložilo </w:t>
      </w:r>
      <w:r w:rsidR="004A7F58" w:rsidRPr="00FF337B">
        <w:t xml:space="preserve">832 646 577,95 EUR na </w:t>
      </w:r>
      <w:r>
        <w:t xml:space="preserve">zákazky na </w:t>
      </w:r>
      <w:r w:rsidR="004A7F58" w:rsidRPr="00FF337B">
        <w:t>dodanie tovaru, z čoho bolo 378 447 924,55 EUR vy</w:t>
      </w:r>
      <w:r>
        <w:t>užitý</w:t>
      </w:r>
      <w:r w:rsidR="004A7F58" w:rsidRPr="00FF337B">
        <w:t>ch na nákup tovarov s </w:t>
      </w:r>
      <w:r>
        <w:t>uplatnením</w:t>
      </w:r>
      <w:r w:rsidR="004A7F58" w:rsidRPr="00FF337B">
        <w:t xml:space="preserve"> environmentálnych charakteristík. Na poskytnutie služby bolo za rok 2013 celkovo vy</w:t>
      </w:r>
      <w:r>
        <w:t>nalože</w:t>
      </w:r>
      <w:r w:rsidR="004A7F58" w:rsidRPr="00FF337B">
        <w:t xml:space="preserve">ných 891 963 056,10 EUR, z čoho 22 404 245,56 EUR bolo </w:t>
      </w:r>
      <w:r>
        <w:t>využitých na nákup zelených služieb.  N</w:t>
      </w:r>
      <w:r w:rsidR="004A7F58" w:rsidRPr="00FF337B">
        <w:t>a uskutočnenie stavebných prác bolo použitých 1 477 257 954,22 EUR, pričom 1 322 243 650,41 EUR predstavuje hodnotu zákaziek na environmentálne stavebné práce.</w:t>
      </w:r>
    </w:p>
    <w:p w:rsidR="004A7F58" w:rsidRPr="00575487" w:rsidRDefault="004A7F58" w:rsidP="004A7F58">
      <w:pPr>
        <w:spacing w:line="276" w:lineRule="auto"/>
        <w:jc w:val="both"/>
        <w:rPr>
          <w:rFonts w:ascii="Calibri" w:hAnsi="Calibri"/>
          <w:color w:val="FF0000"/>
          <w:sz w:val="22"/>
          <w:szCs w:val="22"/>
        </w:rPr>
      </w:pPr>
    </w:p>
    <w:p w:rsidR="004A7F58" w:rsidRDefault="004A7F58" w:rsidP="004A7F58">
      <w:pPr>
        <w:spacing w:line="276" w:lineRule="auto"/>
        <w:ind w:firstLine="284"/>
        <w:jc w:val="both"/>
        <w:rPr>
          <w:rFonts w:ascii="Calibri" w:hAnsi="Calibri"/>
          <w:noProof/>
          <w:sz w:val="18"/>
          <w:szCs w:val="18"/>
        </w:rPr>
      </w:pPr>
      <w:r>
        <w:rPr>
          <w:noProof/>
          <w:szCs w:val="18"/>
        </w:rPr>
        <w:drawing>
          <wp:inline distT="0" distB="0" distL="0" distR="0">
            <wp:extent cx="5724525" cy="2476500"/>
            <wp:effectExtent l="0" t="0" r="9525"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2476500"/>
                    </a:xfrm>
                    <a:prstGeom prst="rect">
                      <a:avLst/>
                    </a:prstGeom>
                    <a:noFill/>
                    <a:ln>
                      <a:noFill/>
                    </a:ln>
                  </pic:spPr>
                </pic:pic>
              </a:graphicData>
            </a:graphic>
          </wp:inline>
        </w:drawing>
      </w:r>
    </w:p>
    <w:p w:rsidR="004A7F58" w:rsidRPr="00765B84" w:rsidRDefault="004A7F58" w:rsidP="004A7F58">
      <w:pPr>
        <w:spacing w:line="276" w:lineRule="auto"/>
        <w:ind w:firstLine="284"/>
        <w:jc w:val="both"/>
        <w:rPr>
          <w:b/>
          <w:noProof/>
          <w:sz w:val="20"/>
          <w:szCs w:val="20"/>
        </w:rPr>
      </w:pPr>
      <w:r w:rsidRPr="00765B84">
        <w:rPr>
          <w:b/>
          <w:noProof/>
          <w:sz w:val="20"/>
          <w:szCs w:val="20"/>
        </w:rPr>
        <w:t>Graf 5</w:t>
      </w:r>
      <w:r w:rsidR="00765B84" w:rsidRPr="00765B84">
        <w:rPr>
          <w:b/>
          <w:noProof/>
          <w:sz w:val="20"/>
          <w:szCs w:val="20"/>
        </w:rPr>
        <w:t xml:space="preserve">: </w:t>
      </w:r>
      <w:r w:rsidRPr="00765B84">
        <w:rPr>
          <w:b/>
          <w:noProof/>
          <w:sz w:val="20"/>
          <w:szCs w:val="20"/>
        </w:rPr>
        <w:t xml:space="preserve"> Celková hodnota zákaziek a hodnota zelených zákaziek </w:t>
      </w:r>
    </w:p>
    <w:p w:rsidR="004A7F58" w:rsidRDefault="004A7F58" w:rsidP="004A7F58">
      <w:pPr>
        <w:spacing w:line="276" w:lineRule="auto"/>
        <w:jc w:val="both"/>
        <w:rPr>
          <w:rFonts w:ascii="Calibri" w:hAnsi="Calibri"/>
          <w:sz w:val="22"/>
          <w:szCs w:val="22"/>
        </w:rPr>
      </w:pPr>
    </w:p>
    <w:p w:rsidR="004A7F58" w:rsidRPr="00765B84" w:rsidRDefault="004A7F58" w:rsidP="004A7F58">
      <w:pPr>
        <w:spacing w:line="276" w:lineRule="auto"/>
        <w:jc w:val="both"/>
      </w:pPr>
      <w:r w:rsidRPr="00765B84">
        <w:lastRenderedPageBreak/>
        <w:t xml:space="preserve">Na základe </w:t>
      </w:r>
      <w:r w:rsidR="00765B84" w:rsidRPr="00765B84">
        <w:t>údajov</w:t>
      </w:r>
      <w:r w:rsidR="00765B84">
        <w:t>,</w:t>
      </w:r>
      <w:r w:rsidR="00765B84" w:rsidRPr="00765B84">
        <w:t xml:space="preserve"> </w:t>
      </w:r>
      <w:r w:rsidRPr="00765B84">
        <w:t>získaných od verejných obstarávateľov a</w:t>
      </w:r>
      <w:r w:rsidR="00765B84">
        <w:t> </w:t>
      </w:r>
      <w:r w:rsidRPr="00765B84">
        <w:t>obstarávateľov</w:t>
      </w:r>
      <w:r w:rsidR="00765B84">
        <w:t>,</w:t>
      </w:r>
      <w:r w:rsidRPr="00765B84">
        <w:t xml:space="preserve"> bola stanovená </w:t>
      </w:r>
      <w:r w:rsidRPr="00765B84">
        <w:rPr>
          <w:i/>
        </w:rPr>
        <w:t>priemerná úroveň uplatňovania</w:t>
      </w:r>
      <w:r w:rsidR="00765B84">
        <w:rPr>
          <w:i/>
        </w:rPr>
        <w:t xml:space="preserve"> GPP</w:t>
      </w:r>
      <w:r w:rsidRPr="00765B84">
        <w:rPr>
          <w:i/>
        </w:rPr>
        <w:t xml:space="preserve"> v SR za rok 2013 vo väzbe na indikátor 2 </w:t>
      </w:r>
      <w:r w:rsidRPr="00765B84">
        <w:t xml:space="preserve">(percentuálny podiel zeleného verejného obstarávania vzhľadom k celkovému verejnému obstarávaniu vo väzbe na finančnú hodnotu): </w:t>
      </w:r>
      <w:r w:rsidRPr="00765B84">
        <w:rPr>
          <w:b/>
          <w:i/>
        </w:rPr>
        <w:t>53,8 %.</w:t>
      </w:r>
    </w:p>
    <w:p w:rsidR="004A7F58" w:rsidRPr="00765B84" w:rsidRDefault="004A7F58" w:rsidP="004A7F58">
      <w:pPr>
        <w:spacing w:line="276" w:lineRule="auto"/>
        <w:rPr>
          <w:color w:val="FF0000"/>
        </w:rPr>
      </w:pPr>
    </w:p>
    <w:p w:rsidR="004A7F58" w:rsidRPr="00765B84" w:rsidRDefault="004A7F58" w:rsidP="004A7F58">
      <w:pPr>
        <w:spacing w:line="276" w:lineRule="auto"/>
        <w:jc w:val="both"/>
      </w:pPr>
      <w:r w:rsidRPr="00765B84">
        <w:t xml:space="preserve">Na grafe č. 6 je zobrazené porovnanie celkovej hodnoty všetkých zákaziek </w:t>
      </w:r>
      <w:r w:rsidR="00765B84">
        <w:t>/</w:t>
      </w:r>
      <w:r w:rsidRPr="00765B84">
        <w:t>v EUR</w:t>
      </w:r>
      <w:r w:rsidR="00765B84">
        <w:t>/</w:t>
      </w:r>
      <w:r w:rsidRPr="00765B84">
        <w:t xml:space="preserve"> s hodnotou zákaziek/nákupov s uplatnením environmentálnych charakteristík</w:t>
      </w:r>
      <w:r w:rsidR="00765B84">
        <w:t>, uskutočnených v </w:t>
      </w:r>
      <w:r w:rsidRPr="00765B84">
        <w:t xml:space="preserve"> roku 2013 </w:t>
      </w:r>
      <w:r w:rsidRPr="00765B84">
        <w:rPr>
          <w:b/>
        </w:rPr>
        <w:t>ústrednými orgánmi a im podriadenými organizáciami</w:t>
      </w:r>
      <w:r w:rsidRPr="00765B84">
        <w:t>, ktoré sa zapojili do monitorovania. Celko</w:t>
      </w:r>
      <w:r w:rsidR="00765B84">
        <w:t xml:space="preserve">m sa zrealizovali nákupy v hodnote </w:t>
      </w:r>
      <w:r w:rsidRPr="00765B84">
        <w:t xml:space="preserve"> 800 115 9</w:t>
      </w:r>
      <w:r w:rsidR="00765B84">
        <w:t>37,15 EUR na dodanie tovaru, z toho sa</w:t>
      </w:r>
      <w:r w:rsidRPr="00765B84">
        <w:t xml:space="preserve"> 375 700 236,58 EUR vyčerpa</w:t>
      </w:r>
      <w:r w:rsidR="00765B84">
        <w:t>lo</w:t>
      </w:r>
      <w:r w:rsidRPr="00765B84">
        <w:t xml:space="preserve"> na nákup tovarov s využitím environmentálnych charakteristík. Na poskytnutie sl</w:t>
      </w:r>
      <w:r w:rsidR="00765B84">
        <w:t>užby sa</w:t>
      </w:r>
      <w:r w:rsidRPr="00765B84">
        <w:t xml:space="preserve"> za rok 2013 celko</w:t>
      </w:r>
      <w:r w:rsidR="00765B84">
        <w:t>m</w:t>
      </w:r>
      <w:r w:rsidRPr="00765B84">
        <w:t xml:space="preserve"> vyčerpa</w:t>
      </w:r>
      <w:r w:rsidR="00765B84">
        <w:t>lo 857 453 543,83 EUR, z toho 19 821 761,87 EUR  na nákup zelených služieb. Na realizáciu stavebných prác sa vynaložilo</w:t>
      </w:r>
      <w:r w:rsidRPr="00765B84">
        <w:t xml:space="preserve"> 1 425 351 724,27 EUR, pričom 1 311 055 537,44 EUR predstavuje hodnotu zákaziek na environmentálne stavebné práce.</w:t>
      </w:r>
    </w:p>
    <w:p w:rsidR="004A7F58" w:rsidRDefault="004A7F58" w:rsidP="004A7F58">
      <w:pPr>
        <w:spacing w:line="276" w:lineRule="auto"/>
        <w:jc w:val="both"/>
        <w:rPr>
          <w:rFonts w:ascii="Calibri" w:hAnsi="Calibri"/>
          <w:sz w:val="22"/>
          <w:szCs w:val="22"/>
        </w:rPr>
      </w:pPr>
    </w:p>
    <w:p w:rsidR="004A7F58" w:rsidRDefault="004A7F58" w:rsidP="004A7F58">
      <w:pPr>
        <w:spacing w:line="276" w:lineRule="auto"/>
        <w:jc w:val="center"/>
        <w:rPr>
          <w:rFonts w:ascii="Calibri" w:hAnsi="Calibri"/>
          <w:sz w:val="22"/>
          <w:szCs w:val="22"/>
        </w:rPr>
      </w:pPr>
      <w:r>
        <w:rPr>
          <w:noProof/>
          <w:szCs w:val="22"/>
        </w:rPr>
        <w:drawing>
          <wp:inline distT="0" distB="0" distL="0" distR="0">
            <wp:extent cx="5724525" cy="2476500"/>
            <wp:effectExtent l="0" t="0" r="9525"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2476500"/>
                    </a:xfrm>
                    <a:prstGeom prst="rect">
                      <a:avLst/>
                    </a:prstGeom>
                    <a:noFill/>
                    <a:ln>
                      <a:noFill/>
                    </a:ln>
                  </pic:spPr>
                </pic:pic>
              </a:graphicData>
            </a:graphic>
          </wp:inline>
        </w:drawing>
      </w:r>
    </w:p>
    <w:p w:rsidR="004A7F58" w:rsidRPr="00765B84" w:rsidRDefault="004A7F58" w:rsidP="004A7F58">
      <w:pPr>
        <w:spacing w:line="276" w:lineRule="auto"/>
        <w:jc w:val="both"/>
        <w:rPr>
          <w:b/>
          <w:sz w:val="20"/>
          <w:szCs w:val="20"/>
        </w:rPr>
      </w:pPr>
      <w:r w:rsidRPr="00765B84">
        <w:rPr>
          <w:b/>
          <w:noProof/>
          <w:sz w:val="20"/>
          <w:szCs w:val="20"/>
        </w:rPr>
        <w:t>Graf 6</w:t>
      </w:r>
      <w:r w:rsidR="00765B84" w:rsidRPr="00765B84">
        <w:rPr>
          <w:b/>
          <w:noProof/>
          <w:sz w:val="20"/>
          <w:szCs w:val="20"/>
        </w:rPr>
        <w:t>:</w:t>
      </w:r>
      <w:r w:rsidRPr="00765B84">
        <w:rPr>
          <w:b/>
          <w:noProof/>
          <w:sz w:val="20"/>
          <w:szCs w:val="20"/>
        </w:rPr>
        <w:t xml:space="preserve"> Celková hodnota zákaziek a hodnota zelených zákaziek </w:t>
      </w:r>
      <w:r w:rsidRPr="00765B84">
        <w:rPr>
          <w:b/>
          <w:sz w:val="20"/>
          <w:szCs w:val="20"/>
        </w:rPr>
        <w:t>zrealizovaných ústrednými orgánmi a</w:t>
      </w:r>
      <w:r w:rsidR="00765B84" w:rsidRPr="00765B84">
        <w:rPr>
          <w:b/>
          <w:sz w:val="20"/>
          <w:szCs w:val="20"/>
        </w:rPr>
        <w:t xml:space="preserve"> ich </w:t>
      </w:r>
      <w:r w:rsidRPr="00765B84">
        <w:rPr>
          <w:b/>
          <w:sz w:val="20"/>
          <w:szCs w:val="20"/>
        </w:rPr>
        <w:t xml:space="preserve">podriadenými </w:t>
      </w:r>
      <w:r w:rsidR="00765B84" w:rsidRPr="00765B84">
        <w:rPr>
          <w:b/>
          <w:sz w:val="20"/>
          <w:szCs w:val="20"/>
        </w:rPr>
        <w:t>organizáciami</w:t>
      </w:r>
    </w:p>
    <w:p w:rsidR="004A7F58" w:rsidRDefault="004A7F58" w:rsidP="004A7F58">
      <w:pPr>
        <w:spacing w:line="276" w:lineRule="auto"/>
        <w:jc w:val="both"/>
        <w:rPr>
          <w:rFonts w:ascii="Calibri" w:hAnsi="Calibri"/>
          <w:sz w:val="22"/>
          <w:szCs w:val="22"/>
        </w:rPr>
      </w:pPr>
    </w:p>
    <w:p w:rsidR="004A7F58" w:rsidRPr="00765B84" w:rsidRDefault="004A7F58" w:rsidP="004A7F58">
      <w:pPr>
        <w:spacing w:line="276" w:lineRule="auto"/>
        <w:jc w:val="both"/>
      </w:pPr>
      <w:r w:rsidRPr="00765B84">
        <w:rPr>
          <w:i/>
        </w:rPr>
        <w:t>Priemerná úroveň</w:t>
      </w:r>
      <w:r w:rsidRPr="00765B84">
        <w:t xml:space="preserve"> </w:t>
      </w:r>
      <w:r w:rsidR="00765B84">
        <w:t xml:space="preserve">GPP </w:t>
      </w:r>
      <w:r w:rsidRPr="00765B84">
        <w:t xml:space="preserve"> za rok 2013, ktorú dosiahli </w:t>
      </w:r>
      <w:r w:rsidRPr="00765B84">
        <w:rPr>
          <w:i/>
        </w:rPr>
        <w:t>ústredné orgány</w:t>
      </w:r>
      <w:r w:rsidR="00765B84">
        <w:rPr>
          <w:i/>
        </w:rPr>
        <w:t xml:space="preserve"> štátnej správy </w:t>
      </w:r>
      <w:r w:rsidRPr="00765B84">
        <w:rPr>
          <w:i/>
        </w:rPr>
        <w:t xml:space="preserve"> a</w:t>
      </w:r>
      <w:r w:rsidR="00765B84">
        <w:rPr>
          <w:i/>
        </w:rPr>
        <w:t xml:space="preserve"> im </w:t>
      </w:r>
      <w:r w:rsidRPr="00765B84">
        <w:rPr>
          <w:i/>
        </w:rPr>
        <w:t>podriadené organizácie</w:t>
      </w:r>
      <w:r w:rsidR="00765B84">
        <w:t xml:space="preserve">, ako je podložené v prílohe </w:t>
      </w:r>
      <w:r w:rsidRPr="00765B84">
        <w:t xml:space="preserve"> 3 tohto dokumentu, vo väzbe na </w:t>
      </w:r>
      <w:r w:rsidRPr="00765B84">
        <w:rPr>
          <w:i/>
        </w:rPr>
        <w:t>indikátor 2</w:t>
      </w:r>
      <w:r w:rsidRPr="00765B84">
        <w:t xml:space="preserve"> je </w:t>
      </w:r>
      <w:r w:rsidRPr="00765B84">
        <w:rPr>
          <w:i/>
        </w:rPr>
        <w:t>55,4 %.</w:t>
      </w:r>
    </w:p>
    <w:p w:rsidR="004A7F58" w:rsidRPr="00765B84" w:rsidRDefault="004A7F58" w:rsidP="004A7F58">
      <w:pPr>
        <w:spacing w:line="276" w:lineRule="auto"/>
        <w:jc w:val="both"/>
        <w:rPr>
          <w:color w:val="FF0000"/>
        </w:rPr>
      </w:pPr>
    </w:p>
    <w:p w:rsidR="004A7F58" w:rsidRPr="00765B84" w:rsidRDefault="00765B84" w:rsidP="004A7F58">
      <w:pPr>
        <w:spacing w:line="276" w:lineRule="auto"/>
        <w:jc w:val="both"/>
      </w:pPr>
      <w:r>
        <w:t xml:space="preserve">Na grafe </w:t>
      </w:r>
      <w:r w:rsidR="004A7F58" w:rsidRPr="00765B84">
        <w:t xml:space="preserve"> 7 je zobrazené porovnanie celkovej hodnoty všetkých zákaziek v EUR s hodnotou zákaziek/nákupov s uplatnením environmentálnych charakteristík</w:t>
      </w:r>
      <w:r>
        <w:t>,</w:t>
      </w:r>
      <w:r w:rsidR="004A7F58" w:rsidRPr="00765B84">
        <w:t xml:space="preserve"> uskutočn</w:t>
      </w:r>
      <w:r>
        <w:t>ených v </w:t>
      </w:r>
      <w:r w:rsidR="004A7F58" w:rsidRPr="00765B84">
        <w:t xml:space="preserve"> roku 2013 </w:t>
      </w:r>
      <w:r w:rsidR="004A7F58" w:rsidRPr="00765B84">
        <w:rPr>
          <w:b/>
        </w:rPr>
        <w:t>samosprávnymi krajmi a mestskými úradmi</w:t>
      </w:r>
      <w:r w:rsidR="004A7F58" w:rsidRPr="00765B84">
        <w:t>, ktoré sa za</w:t>
      </w:r>
      <w:r>
        <w:t xml:space="preserve">pojili do monitorovania. Celkom sa zrealizovali zákazky v hodnote </w:t>
      </w:r>
      <w:r w:rsidR="004A7F58" w:rsidRPr="00765B84">
        <w:t xml:space="preserve"> 32 530 640,80 EU</w:t>
      </w:r>
      <w:r>
        <w:t>R na dodanie tovaru, z toho sa</w:t>
      </w:r>
      <w:r w:rsidR="004A7F58" w:rsidRPr="00765B84">
        <w:t xml:space="preserve"> 2 747 687,97 EUR vy</w:t>
      </w:r>
      <w:r w:rsidR="00CA1310">
        <w:t>naloži</w:t>
      </w:r>
      <w:r>
        <w:t>lo</w:t>
      </w:r>
      <w:r w:rsidR="004A7F58" w:rsidRPr="00765B84">
        <w:t xml:space="preserve"> na nákup tovarov s využitím environmentálnych charakteristík. Na poskytnutie služby bolo za rok 2013 celko</w:t>
      </w:r>
      <w:r>
        <w:t>m</w:t>
      </w:r>
      <w:r w:rsidR="004A7F58" w:rsidRPr="00765B84">
        <w:t xml:space="preserve"> vyn</w:t>
      </w:r>
      <w:r>
        <w:t>aložilo  34 509 512,27 EUR, z t</w:t>
      </w:r>
      <w:r w:rsidR="00CA1310">
        <w:t>oho 2 582 483,69 EUR  na nákup zelených služieb.  N</w:t>
      </w:r>
      <w:r w:rsidR="004A7F58" w:rsidRPr="00765B84">
        <w:t xml:space="preserve">a uskutočnenie stavebných prác </w:t>
      </w:r>
      <w:r w:rsidR="00CA1310">
        <w:t>sa  vynaložilo</w:t>
      </w:r>
      <w:r w:rsidR="004A7F58" w:rsidRPr="00765B84">
        <w:t xml:space="preserve"> 51 906 229,95 EUR, </w:t>
      </w:r>
      <w:r w:rsidR="00CA1310">
        <w:t>z toho</w:t>
      </w:r>
      <w:r w:rsidR="004A7F58" w:rsidRPr="00765B84">
        <w:t>11 188 112,97 EUR predstavuje hodnotu zákaziek na environmentálne stavebné práce.</w:t>
      </w:r>
    </w:p>
    <w:p w:rsidR="004A7F58" w:rsidRDefault="004A7F58" w:rsidP="004A7F58">
      <w:pPr>
        <w:spacing w:line="276" w:lineRule="auto"/>
        <w:jc w:val="both"/>
        <w:rPr>
          <w:rFonts w:ascii="Calibri" w:hAnsi="Calibri"/>
          <w:sz w:val="22"/>
          <w:szCs w:val="22"/>
        </w:rPr>
      </w:pPr>
    </w:p>
    <w:p w:rsidR="004A7F58" w:rsidRDefault="004A7F58" w:rsidP="004A7F58">
      <w:pPr>
        <w:spacing w:line="276" w:lineRule="auto"/>
        <w:jc w:val="center"/>
        <w:rPr>
          <w:rFonts w:ascii="Calibri" w:hAnsi="Calibri"/>
          <w:sz w:val="22"/>
          <w:szCs w:val="22"/>
        </w:rPr>
      </w:pPr>
      <w:r>
        <w:rPr>
          <w:noProof/>
          <w:szCs w:val="22"/>
        </w:rPr>
        <w:lastRenderedPageBreak/>
        <w:drawing>
          <wp:inline distT="0" distB="0" distL="0" distR="0">
            <wp:extent cx="5724525" cy="2476500"/>
            <wp:effectExtent l="0" t="0" r="9525"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2476500"/>
                    </a:xfrm>
                    <a:prstGeom prst="rect">
                      <a:avLst/>
                    </a:prstGeom>
                    <a:noFill/>
                    <a:ln>
                      <a:noFill/>
                    </a:ln>
                  </pic:spPr>
                </pic:pic>
              </a:graphicData>
            </a:graphic>
          </wp:inline>
        </w:drawing>
      </w:r>
    </w:p>
    <w:p w:rsidR="004A7F58" w:rsidRPr="00CA1310" w:rsidRDefault="004A7F58" w:rsidP="004A7F58">
      <w:pPr>
        <w:spacing w:line="276" w:lineRule="auto"/>
        <w:jc w:val="both"/>
        <w:rPr>
          <w:b/>
          <w:sz w:val="20"/>
          <w:szCs w:val="20"/>
        </w:rPr>
      </w:pPr>
      <w:r w:rsidRPr="00CA1310">
        <w:rPr>
          <w:b/>
          <w:noProof/>
          <w:sz w:val="20"/>
          <w:szCs w:val="20"/>
        </w:rPr>
        <w:t>Graf 7 Celková hodnota zákaziek a hodnota zelených zákaziek</w:t>
      </w:r>
      <w:r w:rsidR="00CA1310" w:rsidRPr="00CA1310">
        <w:rPr>
          <w:b/>
          <w:noProof/>
          <w:sz w:val="20"/>
          <w:szCs w:val="20"/>
        </w:rPr>
        <w:t xml:space="preserve">, </w:t>
      </w:r>
      <w:r w:rsidRPr="00CA1310">
        <w:rPr>
          <w:b/>
          <w:noProof/>
          <w:sz w:val="20"/>
          <w:szCs w:val="20"/>
        </w:rPr>
        <w:t xml:space="preserve"> </w:t>
      </w:r>
      <w:r w:rsidRPr="00CA1310">
        <w:rPr>
          <w:b/>
          <w:sz w:val="20"/>
          <w:szCs w:val="20"/>
        </w:rPr>
        <w:t>zrealizovaných samosprávnymi krajmi a</w:t>
      </w:r>
      <w:r w:rsidR="00CA1310" w:rsidRPr="00CA1310">
        <w:rPr>
          <w:b/>
          <w:sz w:val="20"/>
          <w:szCs w:val="20"/>
        </w:rPr>
        <w:t> </w:t>
      </w:r>
      <w:r w:rsidRPr="00CA1310">
        <w:rPr>
          <w:b/>
          <w:sz w:val="20"/>
          <w:szCs w:val="20"/>
        </w:rPr>
        <w:t>mestami</w:t>
      </w:r>
    </w:p>
    <w:p w:rsidR="00CA1310" w:rsidRPr="00CA1310" w:rsidRDefault="00CA1310" w:rsidP="004A7F58">
      <w:pPr>
        <w:spacing w:line="276" w:lineRule="auto"/>
        <w:jc w:val="both"/>
        <w:rPr>
          <w:sz w:val="20"/>
          <w:szCs w:val="20"/>
        </w:rPr>
      </w:pPr>
    </w:p>
    <w:p w:rsidR="004A7F58" w:rsidRDefault="004A7F58" w:rsidP="004A7F58">
      <w:pPr>
        <w:jc w:val="both"/>
        <w:rPr>
          <w:i/>
        </w:rPr>
      </w:pPr>
      <w:r w:rsidRPr="00CA1310">
        <w:rPr>
          <w:i/>
        </w:rPr>
        <w:t>Priemerná úroveň</w:t>
      </w:r>
      <w:r w:rsidRPr="00CA1310">
        <w:t xml:space="preserve"> </w:t>
      </w:r>
      <w:r w:rsidR="00CA1310">
        <w:t xml:space="preserve">GPP </w:t>
      </w:r>
      <w:r w:rsidRPr="00CA1310">
        <w:t xml:space="preserve">za rok 2013, ktorú dosiahli </w:t>
      </w:r>
      <w:r w:rsidRPr="00CA1310">
        <w:rPr>
          <w:i/>
        </w:rPr>
        <w:t>samosprávne kraje a mestské úrady</w:t>
      </w:r>
      <w:r w:rsidR="00CA1310">
        <w:t>, ako je podložené v prílohe  3</w:t>
      </w:r>
      <w:r w:rsidRPr="00CA1310">
        <w:t xml:space="preserve">, vo väzbe na </w:t>
      </w:r>
      <w:r w:rsidRPr="00CA1310">
        <w:rPr>
          <w:i/>
        </w:rPr>
        <w:t>indikátor 2</w:t>
      </w:r>
      <w:r w:rsidRPr="00CA1310">
        <w:t xml:space="preserve"> je </w:t>
      </w:r>
      <w:r w:rsidRPr="00CA1310">
        <w:rPr>
          <w:i/>
        </w:rPr>
        <w:t>13,9 %.</w:t>
      </w:r>
    </w:p>
    <w:p w:rsidR="00E51D5F" w:rsidRDefault="00E51D5F" w:rsidP="004A7F58">
      <w:pPr>
        <w:jc w:val="both"/>
        <w:rPr>
          <w:i/>
        </w:rPr>
      </w:pPr>
    </w:p>
    <w:p w:rsidR="00E51D5F" w:rsidRPr="001869FC" w:rsidRDefault="00E51D5F" w:rsidP="004A7F58">
      <w:pPr>
        <w:jc w:val="both"/>
      </w:pPr>
      <w:r w:rsidRPr="001869FC">
        <w:t xml:space="preserve">V rámci monitorovania a hodnotenia úrovne GPP za samosprávne kraje sme v oku 2013 zapojili do monitorovania 4 samosprávne kraje (Bratislavský, Trnavský, Žilinský a Prešovský samosprávny kraj), ktoré nám sprístupnili adresy svojich priamo riadených organizácií alebo ich oslovili sami s tým, že vyplnené dotazníky majú posielať priamo na spracovanie na MŽP SR a SAŽP. Tým sa rozšíril okruh respondentov, ktorí túto agendu vykonávali po prvýkrát a nemajú s ňou skúsenosť, čo mohlo spôsobiť aj medziročný pokles oboch indikátorov </w:t>
      </w:r>
      <w:r w:rsidR="001869FC" w:rsidRPr="001869FC">
        <w:t>v tejto skupine</w:t>
      </w:r>
      <w:r w:rsidRPr="001869FC">
        <w:t xml:space="preserve"> organizácií.</w:t>
      </w:r>
    </w:p>
    <w:p w:rsidR="004A7F58" w:rsidRPr="00CA1310" w:rsidRDefault="004A7F58" w:rsidP="004A7F58">
      <w:pPr>
        <w:rPr>
          <w:color w:val="FF0000"/>
        </w:rPr>
      </w:pPr>
    </w:p>
    <w:p w:rsidR="004A7F58" w:rsidRDefault="00CA1310" w:rsidP="004A7F58">
      <w:pPr>
        <w:jc w:val="both"/>
      </w:pPr>
      <w:r>
        <w:t xml:space="preserve">Graf </w:t>
      </w:r>
      <w:r w:rsidR="004A7F58" w:rsidRPr="00CA1310">
        <w:t xml:space="preserve"> 8 zobrazuje priemernú úroveň uplatňovania </w:t>
      </w:r>
      <w:r>
        <w:t>GPP</w:t>
      </w:r>
      <w:r w:rsidR="004A7F58" w:rsidRPr="00CA1310">
        <w:t xml:space="preserve"> v SR za rok 2013, vyhodnotenú na základe získaných údajov od ústredných orgánov a podriadených organizácií a samosprávnych krajov a miest. </w:t>
      </w:r>
    </w:p>
    <w:p w:rsidR="006F6E68" w:rsidRDefault="006F6E68" w:rsidP="004A7F58">
      <w:pPr>
        <w:jc w:val="both"/>
      </w:pPr>
    </w:p>
    <w:p w:rsidR="004A7F58" w:rsidRDefault="004A7F58" w:rsidP="004A7F58">
      <w:pPr>
        <w:jc w:val="both"/>
        <w:rPr>
          <w:rFonts w:ascii="Calibri" w:hAnsi="Calibri"/>
          <w:sz w:val="22"/>
          <w:szCs w:val="22"/>
        </w:rPr>
      </w:pPr>
    </w:p>
    <w:p w:rsidR="004A7F58" w:rsidRDefault="004A7F58" w:rsidP="004A7F58">
      <w:pPr>
        <w:rPr>
          <w:rFonts w:ascii="Calibri" w:hAnsi="Calibri"/>
          <w:sz w:val="22"/>
          <w:szCs w:val="22"/>
        </w:rPr>
      </w:pPr>
      <w:r>
        <w:rPr>
          <w:noProof/>
          <w:szCs w:val="22"/>
        </w:rPr>
        <w:drawing>
          <wp:inline distT="0" distB="0" distL="0" distR="0">
            <wp:extent cx="5600700" cy="2562225"/>
            <wp:effectExtent l="0" t="0" r="0" b="952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0700" cy="2562225"/>
                    </a:xfrm>
                    <a:prstGeom prst="rect">
                      <a:avLst/>
                    </a:prstGeom>
                    <a:noFill/>
                    <a:ln>
                      <a:noFill/>
                    </a:ln>
                  </pic:spPr>
                </pic:pic>
              </a:graphicData>
            </a:graphic>
          </wp:inline>
        </w:drawing>
      </w:r>
    </w:p>
    <w:p w:rsidR="004A7F58" w:rsidRPr="00CA1310" w:rsidRDefault="004A7F58" w:rsidP="004A7F58">
      <w:pPr>
        <w:rPr>
          <w:b/>
          <w:sz w:val="20"/>
          <w:szCs w:val="20"/>
        </w:rPr>
      </w:pPr>
      <w:bookmarkStart w:id="9" w:name="_Toc326050100"/>
      <w:bookmarkStart w:id="10" w:name="_Toc355000155"/>
      <w:r w:rsidRPr="00CA1310">
        <w:rPr>
          <w:b/>
          <w:sz w:val="20"/>
          <w:szCs w:val="20"/>
        </w:rPr>
        <w:t>Graf 8 Priemerná úroveň uplatňovania zeleného verejného obstarávania v SR za rok 2013</w:t>
      </w:r>
    </w:p>
    <w:p w:rsidR="004A7F58" w:rsidRDefault="004A7F58" w:rsidP="004A7F58"/>
    <w:p w:rsidR="004A7F58" w:rsidRPr="00CA1310" w:rsidRDefault="00CA1310" w:rsidP="004A7F58">
      <w:r w:rsidRPr="00CA1310">
        <w:lastRenderedPageBreak/>
        <w:t xml:space="preserve">Graf </w:t>
      </w:r>
      <w:r w:rsidR="004A7F58" w:rsidRPr="00CA1310">
        <w:t xml:space="preserve"> 9 z</w:t>
      </w:r>
      <w:r>
        <w:t>názorň</w:t>
      </w:r>
      <w:r w:rsidR="004A7F58" w:rsidRPr="00CA1310">
        <w:t>uje medziročné porovnanie percentuálnej úrovne indikátora 1 a indikátora 2 v zmysle strategického cieľa</w:t>
      </w:r>
      <w:r>
        <w:t>,</w:t>
      </w:r>
      <w:r w:rsidR="004A7F58" w:rsidRPr="00CA1310">
        <w:t xml:space="preserve"> stanoveného v Národnom akčnom pláne pre </w:t>
      </w:r>
      <w:r>
        <w:t>GPP</w:t>
      </w:r>
      <w:r w:rsidR="004A7F58" w:rsidRPr="00CA1310">
        <w:t xml:space="preserve"> v SR na roky 2011 – 2015</w:t>
      </w:r>
      <w:r>
        <w:t>, a to za roky 2011 - 2013</w:t>
      </w:r>
      <w:r w:rsidR="004A7F58" w:rsidRPr="00CA1310">
        <w:t>.</w:t>
      </w:r>
    </w:p>
    <w:p w:rsidR="004A7F58" w:rsidRPr="00CA1310" w:rsidRDefault="004A7F58" w:rsidP="004A7F58"/>
    <w:p w:rsidR="004A7F58" w:rsidRDefault="004A7F58" w:rsidP="004A7F58">
      <w:pPr>
        <w:pStyle w:val="Nadpis1"/>
        <w:jc w:val="center"/>
        <w:rPr>
          <w:rFonts w:ascii="Calibri" w:hAnsi="Calibri" w:cs="Times New Roman"/>
          <w:szCs w:val="22"/>
        </w:rPr>
      </w:pPr>
      <w:r>
        <w:rPr>
          <w:noProof/>
          <w:szCs w:val="22"/>
        </w:rPr>
        <w:drawing>
          <wp:inline distT="0" distB="0" distL="0" distR="0" wp14:anchorId="3710E46C" wp14:editId="1E17C22D">
            <wp:extent cx="4972050" cy="320040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72050" cy="3200400"/>
                    </a:xfrm>
                    <a:prstGeom prst="rect">
                      <a:avLst/>
                    </a:prstGeom>
                    <a:noFill/>
                    <a:ln>
                      <a:noFill/>
                    </a:ln>
                  </pic:spPr>
                </pic:pic>
              </a:graphicData>
            </a:graphic>
          </wp:inline>
        </w:drawing>
      </w:r>
    </w:p>
    <w:p w:rsidR="004A7F58" w:rsidRDefault="004A7F58" w:rsidP="004A7F58">
      <w:pPr>
        <w:rPr>
          <w:b/>
          <w:sz w:val="20"/>
          <w:szCs w:val="20"/>
        </w:rPr>
      </w:pPr>
      <w:r w:rsidRPr="006F6E68">
        <w:rPr>
          <w:b/>
          <w:sz w:val="20"/>
          <w:szCs w:val="20"/>
        </w:rPr>
        <w:t>Graf 9</w:t>
      </w:r>
      <w:r w:rsidR="006F6E68">
        <w:rPr>
          <w:b/>
          <w:sz w:val="20"/>
          <w:szCs w:val="20"/>
        </w:rPr>
        <w:t>:</w:t>
      </w:r>
      <w:r w:rsidRPr="006F6E68">
        <w:rPr>
          <w:b/>
          <w:sz w:val="20"/>
          <w:szCs w:val="20"/>
        </w:rPr>
        <w:t xml:space="preserve"> Priemerná úroveň uplatňovania zeleného verejného obstarávania v SR v jednotlivých rokoch plnenia NAP GPP II</w:t>
      </w:r>
    </w:p>
    <w:p w:rsidR="006F6E68" w:rsidRDefault="006F6E68" w:rsidP="004A7F58">
      <w:pPr>
        <w:rPr>
          <w:b/>
          <w:sz w:val="20"/>
          <w:szCs w:val="20"/>
        </w:rPr>
      </w:pPr>
    </w:p>
    <w:p w:rsidR="004A7F58" w:rsidRPr="006F6E68" w:rsidRDefault="004A7F58" w:rsidP="004A7F58">
      <w:pPr>
        <w:pStyle w:val="Nadpis2"/>
        <w:rPr>
          <w:rFonts w:ascii="Times New Roman" w:hAnsi="Times New Roman"/>
          <w:sz w:val="24"/>
          <w:szCs w:val="24"/>
        </w:rPr>
      </w:pPr>
      <w:bookmarkStart w:id="11" w:name="_Toc388525483"/>
      <w:r w:rsidRPr="006F6E68">
        <w:rPr>
          <w:rFonts w:ascii="Times New Roman" w:hAnsi="Times New Roman"/>
          <w:sz w:val="24"/>
          <w:szCs w:val="24"/>
        </w:rPr>
        <w:t>Zadávanie environmentálnych charakteristík</w:t>
      </w:r>
      <w:bookmarkEnd w:id="9"/>
      <w:bookmarkEnd w:id="10"/>
      <w:bookmarkEnd w:id="11"/>
    </w:p>
    <w:p w:rsidR="004A7F58" w:rsidRPr="006F6E68" w:rsidRDefault="004A7F58" w:rsidP="004A7F58"/>
    <w:p w:rsidR="004A7F58" w:rsidRPr="006F6E68" w:rsidRDefault="006F6E68" w:rsidP="004A7F58">
      <w:pPr>
        <w:jc w:val="both"/>
      </w:pPr>
      <w:r>
        <w:t>M</w:t>
      </w:r>
      <w:r w:rsidR="004A7F58" w:rsidRPr="006F6E68">
        <w:t>onitorovanie environmentálnych charakteristík, ktoré verejní obstarávatelia a obstarávatelia využili v p</w:t>
      </w:r>
      <w:r>
        <w:t xml:space="preserve">ostupoch verejného obstarávania, sme </w:t>
      </w:r>
      <w:r w:rsidR="004A7F58" w:rsidRPr="006F6E68">
        <w:t xml:space="preserve"> vyhodnot</w:t>
      </w:r>
      <w:r>
        <w:t>ili</w:t>
      </w:r>
      <w:r w:rsidR="004A7F58" w:rsidRPr="006F6E68">
        <w:t xml:space="preserve"> zvlášť pre</w:t>
      </w:r>
      <w:r>
        <w:t xml:space="preserve"> každý</w:t>
      </w:r>
      <w:r w:rsidR="004A7F58" w:rsidRPr="006F6E68">
        <w:t xml:space="preserve"> indikátor </w:t>
      </w:r>
      <w:r>
        <w:t xml:space="preserve"> </w:t>
      </w:r>
      <w:r w:rsidR="004A7F58" w:rsidRPr="006F6E68">
        <w:t>zvlášť</w:t>
      </w:r>
      <w:r>
        <w:t xml:space="preserve">. Graf </w:t>
      </w:r>
      <w:r w:rsidR="004A7F58" w:rsidRPr="006F6E68">
        <w:t xml:space="preserve"> 10</w:t>
      </w:r>
      <w:r>
        <w:t>, ktorý</w:t>
      </w:r>
      <w:r w:rsidR="004A7F58" w:rsidRPr="006F6E68">
        <w:t xml:space="preserve"> poskytuje prehľad využitých environmentálnych charakt</w:t>
      </w:r>
      <w:r>
        <w:t>eristík vo väzbe na indikátor 1, znázorňuje</w:t>
      </w:r>
      <w:r w:rsidR="004A7F58" w:rsidRPr="006F6E68">
        <w:t>, že  najčastejšie využit</w:t>
      </w:r>
      <w:r>
        <w:t>ými</w:t>
      </w:r>
      <w:r w:rsidR="004A7F58" w:rsidRPr="006F6E68">
        <w:t xml:space="preserve"> environmentáln</w:t>
      </w:r>
      <w:r>
        <w:t>ymi charakteristi</w:t>
      </w:r>
      <w:r w:rsidR="004A7F58" w:rsidRPr="006F6E68">
        <w:t>k</w:t>
      </w:r>
      <w:r>
        <w:t>ami</w:t>
      </w:r>
      <w:r w:rsidR="004A7F58" w:rsidRPr="006F6E68">
        <w:t xml:space="preserve"> boli </w:t>
      </w:r>
      <w:r w:rsidR="004A7F58" w:rsidRPr="006F6E68">
        <w:rPr>
          <w:i/>
        </w:rPr>
        <w:t>recyklované materiály</w:t>
      </w:r>
      <w:r w:rsidR="004A7F58" w:rsidRPr="006F6E68">
        <w:t xml:space="preserve"> (4 440 zákaziek/nákupov), </w:t>
      </w:r>
      <w:r w:rsidR="004A7F58" w:rsidRPr="006F6E68">
        <w:rPr>
          <w:i/>
        </w:rPr>
        <w:t>znížený obsah znečisťujúcich látok v nakupovaných produktoch</w:t>
      </w:r>
      <w:r w:rsidR="004A7F58" w:rsidRPr="006F6E68">
        <w:t xml:space="preserve"> (1 480 zákaziek/nákupov) a </w:t>
      </w:r>
      <w:r w:rsidR="004A7F58" w:rsidRPr="006F6E68">
        <w:rPr>
          <w:i/>
        </w:rPr>
        <w:t>šetrenie elektriny</w:t>
      </w:r>
      <w:r w:rsidR="004A7F58" w:rsidRPr="006F6E68">
        <w:t xml:space="preserve"> (1 366 zákaziek/nákupov).  Najmenej zákaziek </w:t>
      </w:r>
      <w:r>
        <w:t>sa</w:t>
      </w:r>
      <w:r w:rsidR="004A7F58" w:rsidRPr="006F6E68">
        <w:t xml:space="preserve"> zrealizova</w:t>
      </w:r>
      <w:r>
        <w:t>lo</w:t>
      </w:r>
      <w:r w:rsidR="004A7F58" w:rsidRPr="006F6E68">
        <w:t xml:space="preserve"> v kategórii šetrenie vody (172). Jednotlivé predmety zákaziek pre jednotlivé kategórie environmentálnych charakteristík sú podrobne </w:t>
      </w:r>
      <w:r>
        <w:t xml:space="preserve">uvedené v prílohe </w:t>
      </w:r>
      <w:r w:rsidR="004A7F58" w:rsidRPr="006F6E68">
        <w:t xml:space="preserve"> 4 tohto dokumentu.</w:t>
      </w:r>
    </w:p>
    <w:p w:rsidR="004A7F58" w:rsidRPr="006F6E68" w:rsidRDefault="004A7F58" w:rsidP="004A7F58">
      <w:pPr>
        <w:jc w:val="both"/>
      </w:pPr>
    </w:p>
    <w:p w:rsidR="004A7F58" w:rsidRPr="002F0734" w:rsidRDefault="004A7F58" w:rsidP="004A7F58">
      <w:pPr>
        <w:jc w:val="both"/>
        <w:rPr>
          <w:rFonts w:ascii="Calibri" w:hAnsi="Calibri"/>
          <w:sz w:val="22"/>
          <w:szCs w:val="22"/>
        </w:rPr>
      </w:pPr>
      <w:r>
        <w:rPr>
          <w:noProof/>
          <w:szCs w:val="22"/>
        </w:rPr>
        <w:lastRenderedPageBreak/>
        <w:drawing>
          <wp:inline distT="0" distB="0" distL="0" distR="0" wp14:anchorId="2E6E8A6C" wp14:editId="61C11F75">
            <wp:extent cx="5695950" cy="292417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95950" cy="2924175"/>
                    </a:xfrm>
                    <a:prstGeom prst="rect">
                      <a:avLst/>
                    </a:prstGeom>
                    <a:noFill/>
                    <a:ln>
                      <a:noFill/>
                    </a:ln>
                  </pic:spPr>
                </pic:pic>
              </a:graphicData>
            </a:graphic>
          </wp:inline>
        </w:drawing>
      </w:r>
    </w:p>
    <w:p w:rsidR="004A7F58" w:rsidRPr="006F6E68" w:rsidRDefault="004A7F58" w:rsidP="004A7F58">
      <w:pPr>
        <w:ind w:firstLine="567"/>
        <w:rPr>
          <w:b/>
          <w:bCs/>
          <w:sz w:val="20"/>
          <w:szCs w:val="20"/>
        </w:rPr>
      </w:pPr>
      <w:r w:rsidRPr="006F6E68">
        <w:rPr>
          <w:b/>
          <w:bCs/>
          <w:sz w:val="20"/>
          <w:szCs w:val="20"/>
        </w:rPr>
        <w:t>Graf 10</w:t>
      </w:r>
      <w:r w:rsidR="006F6E68">
        <w:rPr>
          <w:b/>
          <w:bCs/>
          <w:sz w:val="20"/>
          <w:szCs w:val="20"/>
        </w:rPr>
        <w:t xml:space="preserve">: </w:t>
      </w:r>
      <w:r w:rsidRPr="006F6E68">
        <w:rPr>
          <w:b/>
          <w:bCs/>
          <w:sz w:val="20"/>
          <w:szCs w:val="20"/>
        </w:rPr>
        <w:t xml:space="preserve"> Prehľad využitých environmentálnych charakteristík vo väzbe na indikátor 1</w:t>
      </w:r>
    </w:p>
    <w:p w:rsidR="004A7F58" w:rsidRDefault="004A7F58" w:rsidP="004A7F58">
      <w:pPr>
        <w:jc w:val="both"/>
        <w:rPr>
          <w:rFonts w:ascii="Calibri" w:hAnsi="Calibri"/>
          <w:sz w:val="22"/>
          <w:szCs w:val="22"/>
        </w:rPr>
      </w:pPr>
    </w:p>
    <w:p w:rsidR="004A7F58" w:rsidRPr="006F6E68" w:rsidRDefault="006F6E68" w:rsidP="004A7F58">
      <w:pPr>
        <w:jc w:val="both"/>
      </w:pPr>
      <w:r>
        <w:t xml:space="preserve">Graf </w:t>
      </w:r>
      <w:r w:rsidR="004A7F58" w:rsidRPr="006F6E68">
        <w:t>11 poskytuje prehľad využitých environmentálnych charakteristík vo väzbe na   indikátor 2. V zelených zákazkách s celkovo najvyššou peňažnou hodnotou boli uplatnené environmentálne charakteristiky</w:t>
      </w:r>
      <w:r>
        <w:t xml:space="preserve">: </w:t>
      </w:r>
      <w:r w:rsidR="004A7F58" w:rsidRPr="006F6E68">
        <w:rPr>
          <w:i/>
        </w:rPr>
        <w:t>environmentálne nakladanie s odpadmi</w:t>
      </w:r>
      <w:r w:rsidR="004A7F58" w:rsidRPr="006F6E68">
        <w:t xml:space="preserve"> (1 367 238 866,60 EUR), </w:t>
      </w:r>
      <w:r w:rsidR="004A7F58" w:rsidRPr="006F6E68">
        <w:rPr>
          <w:i/>
        </w:rPr>
        <w:t>šetrenie elektriny</w:t>
      </w:r>
      <w:r w:rsidR="004A7F58" w:rsidRPr="006F6E68">
        <w:t xml:space="preserve"> (297 055 625,94 EUR) a </w:t>
      </w:r>
      <w:r w:rsidR="004A7F58" w:rsidRPr="006F6E68">
        <w:rPr>
          <w:i/>
        </w:rPr>
        <w:t>znížený obsah znečisťujúcich látok v nakupovaných produktoch</w:t>
      </w:r>
      <w:r w:rsidR="004A7F58" w:rsidRPr="006F6E68">
        <w:t xml:space="preserve"> (33 615 858,37 EUR). Najmenej finančných prostriedkov bolo vynaložených na </w:t>
      </w:r>
      <w:r w:rsidR="004A7F58" w:rsidRPr="006F6E68">
        <w:rPr>
          <w:i/>
        </w:rPr>
        <w:t>šetrenie vody</w:t>
      </w:r>
      <w:r w:rsidR="004A7F58" w:rsidRPr="006F6E68">
        <w:t xml:space="preserve"> (674 679,75 EUR).</w:t>
      </w:r>
    </w:p>
    <w:p w:rsidR="004A7F58" w:rsidRDefault="004A7F58" w:rsidP="004A7F58">
      <w:pPr>
        <w:jc w:val="both"/>
        <w:rPr>
          <w:rFonts w:ascii="Calibri" w:hAnsi="Calibri"/>
          <w:sz w:val="22"/>
          <w:szCs w:val="22"/>
        </w:rPr>
      </w:pPr>
    </w:p>
    <w:p w:rsidR="004A7F58" w:rsidRDefault="004A7F58" w:rsidP="004A7F58">
      <w:pPr>
        <w:jc w:val="both"/>
        <w:rPr>
          <w:rFonts w:ascii="Calibri" w:hAnsi="Calibri"/>
          <w:sz w:val="22"/>
          <w:szCs w:val="22"/>
        </w:rPr>
      </w:pPr>
      <w:r>
        <w:rPr>
          <w:noProof/>
          <w:szCs w:val="22"/>
        </w:rPr>
        <w:drawing>
          <wp:inline distT="0" distB="0" distL="0" distR="0" wp14:anchorId="48E0BD9F" wp14:editId="70D748BD">
            <wp:extent cx="5695950" cy="292417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95950" cy="2924175"/>
                    </a:xfrm>
                    <a:prstGeom prst="rect">
                      <a:avLst/>
                    </a:prstGeom>
                    <a:noFill/>
                    <a:ln>
                      <a:noFill/>
                    </a:ln>
                  </pic:spPr>
                </pic:pic>
              </a:graphicData>
            </a:graphic>
          </wp:inline>
        </w:drawing>
      </w:r>
    </w:p>
    <w:p w:rsidR="004A7F58" w:rsidRPr="00D66DB5" w:rsidRDefault="004A7F58" w:rsidP="004A7F58">
      <w:pPr>
        <w:ind w:firstLine="567"/>
        <w:rPr>
          <w:b/>
          <w:bCs/>
          <w:sz w:val="20"/>
          <w:szCs w:val="20"/>
        </w:rPr>
      </w:pPr>
      <w:r w:rsidRPr="00D66DB5">
        <w:rPr>
          <w:b/>
          <w:bCs/>
          <w:sz w:val="20"/>
          <w:szCs w:val="20"/>
        </w:rPr>
        <w:t>Graf 11</w:t>
      </w:r>
      <w:r w:rsidR="00D66DB5" w:rsidRPr="00D66DB5">
        <w:rPr>
          <w:b/>
          <w:bCs/>
          <w:sz w:val="20"/>
          <w:szCs w:val="20"/>
        </w:rPr>
        <w:t xml:space="preserve">: </w:t>
      </w:r>
      <w:r w:rsidRPr="00D66DB5">
        <w:rPr>
          <w:b/>
          <w:bCs/>
          <w:sz w:val="20"/>
          <w:szCs w:val="20"/>
        </w:rPr>
        <w:t xml:space="preserve"> Prehľad využitých environmentálnych charakteristík vo väzbe na indikátor 2</w:t>
      </w:r>
    </w:p>
    <w:p w:rsidR="004A7F58" w:rsidRDefault="004A7F58" w:rsidP="004A7F58">
      <w:pPr>
        <w:pStyle w:val="Nadpis2"/>
      </w:pPr>
      <w:bookmarkStart w:id="12" w:name="_Toc355000156"/>
    </w:p>
    <w:p w:rsidR="00D66DB5" w:rsidRDefault="00D66DB5" w:rsidP="004A7F58">
      <w:pPr>
        <w:pStyle w:val="Nadpis2"/>
      </w:pPr>
      <w:bookmarkStart w:id="13" w:name="_Toc388525484"/>
    </w:p>
    <w:p w:rsidR="004A7F58" w:rsidRPr="00D66DB5" w:rsidRDefault="004A7F58" w:rsidP="004A7F58">
      <w:pPr>
        <w:pStyle w:val="Nadpis2"/>
        <w:rPr>
          <w:rFonts w:ascii="Times New Roman" w:hAnsi="Times New Roman"/>
          <w:sz w:val="24"/>
          <w:szCs w:val="24"/>
        </w:rPr>
      </w:pPr>
      <w:r w:rsidRPr="00D66DB5">
        <w:rPr>
          <w:rFonts w:ascii="Times New Roman" w:hAnsi="Times New Roman"/>
          <w:sz w:val="24"/>
          <w:szCs w:val="24"/>
        </w:rPr>
        <w:t>Využívanie environmentálnych kritérií na udelenie environmentálneho označenia</w:t>
      </w:r>
      <w:bookmarkEnd w:id="12"/>
      <w:bookmarkEnd w:id="13"/>
    </w:p>
    <w:p w:rsidR="004A7F58" w:rsidRPr="00D66DB5" w:rsidRDefault="004A7F58" w:rsidP="004A7F58">
      <w:pPr>
        <w:pStyle w:val="Nadpis1"/>
        <w:rPr>
          <w:rFonts w:ascii="Times New Roman" w:hAnsi="Times New Roman" w:cs="Times New Roman"/>
          <w:sz w:val="24"/>
          <w:szCs w:val="24"/>
        </w:rPr>
      </w:pPr>
    </w:p>
    <w:p w:rsidR="004A7F58" w:rsidRPr="00D66DB5" w:rsidRDefault="004A7F58" w:rsidP="004A7F58">
      <w:pPr>
        <w:jc w:val="both"/>
        <w:rPr>
          <w:bCs/>
        </w:rPr>
      </w:pPr>
      <w:r w:rsidRPr="00D66DB5">
        <w:rPr>
          <w:bCs/>
        </w:rPr>
        <w:t>V zmysle § 34 ods. 2 písm. b) zákona č.25/2006 Z. z. o verejnom obstarávaní a o zmene a doplnení niektorých zákonov v znení neskorších predpisov (</w:t>
      </w:r>
      <w:r w:rsidR="00D66DB5">
        <w:rPr>
          <w:bCs/>
        </w:rPr>
        <w:t xml:space="preserve"> ďalej „</w:t>
      </w:r>
      <w:r w:rsidRPr="00D66DB5">
        <w:rPr>
          <w:bCs/>
        </w:rPr>
        <w:t>zákon o verejnom obstarávaní</w:t>
      </w:r>
      <w:r w:rsidR="00D66DB5">
        <w:rPr>
          <w:bCs/>
        </w:rPr>
        <w:t>“</w:t>
      </w:r>
      <w:r w:rsidRPr="00D66DB5">
        <w:rPr>
          <w:bCs/>
        </w:rPr>
        <w:t xml:space="preserve">) môže verejný obstarávateľ a obstarávateľ </w:t>
      </w:r>
      <w:r w:rsidRPr="00D66DB5">
        <w:t xml:space="preserve">v súťažných podkladoch vypracovať </w:t>
      </w:r>
      <w:r w:rsidRPr="00D66DB5">
        <w:lastRenderedPageBreak/>
        <w:t>opis predmetu zákazky na základe výkonnostných a funkčných požiadaviek, ktoré môžu zahŕňať environmentálne charakteristiky. Tieto charakteristiky môžu vychádzať zo špecifikácií</w:t>
      </w:r>
      <w:r w:rsidR="00D66DB5">
        <w:t>,</w:t>
      </w:r>
      <w:r w:rsidRPr="00D66DB5">
        <w:t xml:space="preserve"> definovaných v európskej, viacnárodnej, národnej alebo inej environmentálnej značke (§ 34 ods. 7). </w:t>
      </w:r>
      <w:r w:rsidRPr="00D66DB5">
        <w:rPr>
          <w:bCs/>
        </w:rPr>
        <w:t>V zmysle § 34 ods. 8 môže verejný obstarávateľ a obstarávateľ v súťažných podkladoch uviesť, že produkty</w:t>
      </w:r>
      <w:r w:rsidR="00D66DB5">
        <w:rPr>
          <w:bCs/>
        </w:rPr>
        <w:t>,</w:t>
      </w:r>
      <w:r w:rsidRPr="00D66DB5">
        <w:rPr>
          <w:bCs/>
        </w:rPr>
        <w:t xml:space="preserve"> označené environmentálnou značkou</w:t>
      </w:r>
      <w:r w:rsidR="00D66DB5">
        <w:rPr>
          <w:bCs/>
        </w:rPr>
        <w:t>,</w:t>
      </w:r>
      <w:r w:rsidRPr="00D66DB5">
        <w:rPr>
          <w:bCs/>
        </w:rPr>
        <w:t xml:space="preserve"> sa považujú za produkty, ktoré spĺňajú technické požiadavky</w:t>
      </w:r>
      <w:r w:rsidR="00D66DB5">
        <w:rPr>
          <w:bCs/>
        </w:rPr>
        <w:t>,</w:t>
      </w:r>
      <w:r w:rsidRPr="00D66DB5">
        <w:rPr>
          <w:bCs/>
        </w:rPr>
        <w:t xml:space="preserve"> určené v súťažných podkladoch. Verejný obstarávateľ a obstarávateľ musí akceptovať aj iný vhodný dôkaz. V zmysle § 35 ods. 3 môže verejný obstarávateľ a obstarávateľ za jedno z kritérií na vyhodnotenie ponúk určiť kritérium</w:t>
      </w:r>
      <w:r w:rsidR="00D66DB5">
        <w:rPr>
          <w:bCs/>
        </w:rPr>
        <w:t>,</w:t>
      </w:r>
      <w:r w:rsidRPr="00D66DB5">
        <w:rPr>
          <w:bCs/>
        </w:rPr>
        <w:t xml:space="preserve"> zamerané na hodnotenie environmentálnych charakteristík predmetu zákazky.</w:t>
      </w:r>
    </w:p>
    <w:p w:rsidR="004A7F58" w:rsidRPr="00D66DB5" w:rsidRDefault="004A7F58" w:rsidP="004A7F58">
      <w:pPr>
        <w:ind w:firstLine="540"/>
        <w:jc w:val="both"/>
      </w:pPr>
    </w:p>
    <w:p w:rsidR="004A7F58" w:rsidRPr="00D66DB5" w:rsidRDefault="004A7F58" w:rsidP="004A7F58">
      <w:pPr>
        <w:jc w:val="both"/>
      </w:pPr>
      <w:r w:rsidRPr="00D66DB5">
        <w:t xml:space="preserve">V rámci monitorovania </w:t>
      </w:r>
      <w:r w:rsidR="00D66DB5">
        <w:t>GPP</w:t>
      </w:r>
      <w:r w:rsidRPr="00D66DB5">
        <w:t xml:space="preserve"> v SR sa sleduje využívanie environmentálnych kritérií  pre európsku schému environmentálneho označovania (Environmentálna značka EÚ), osobitných podmienok na udelenie národnej </w:t>
      </w:r>
      <w:r w:rsidR="00D66DB5">
        <w:t xml:space="preserve">značky podľa </w:t>
      </w:r>
      <w:r w:rsidRPr="00D66DB5">
        <w:t xml:space="preserve">schémy environmentálneho označovania (Environmentálne vhodný produkt), prípadne využívanie environmentálnych kritérií z ďalších národných systémov environmentálneho označovania (napr. Severská labuť, Modrý Anjel, Ekologicky šetrný </w:t>
      </w:r>
      <w:proofErr w:type="spellStart"/>
      <w:r w:rsidRPr="00D66DB5">
        <w:t>výrobek</w:t>
      </w:r>
      <w:proofErr w:type="spellEnd"/>
      <w:r w:rsidR="00D66DB5">
        <w:t xml:space="preserve">, </w:t>
      </w:r>
      <w:proofErr w:type="spellStart"/>
      <w:r w:rsidR="00D66DB5">
        <w:t>Umweltzeichen</w:t>
      </w:r>
      <w:proofErr w:type="spellEnd"/>
      <w:r w:rsidR="00D66DB5">
        <w:t xml:space="preserve"> </w:t>
      </w:r>
      <w:r w:rsidRPr="00D66DB5">
        <w:t xml:space="preserve"> a pod.).</w:t>
      </w:r>
    </w:p>
    <w:p w:rsidR="004A7F58" w:rsidRPr="00D66DB5" w:rsidRDefault="004A7F58" w:rsidP="004A7F58">
      <w:pPr>
        <w:jc w:val="both"/>
      </w:pPr>
    </w:p>
    <w:p w:rsidR="004A7F58" w:rsidRPr="00D66DB5" w:rsidRDefault="004A7F58" w:rsidP="004A7F58">
      <w:pPr>
        <w:jc w:val="both"/>
      </w:pPr>
      <w:r w:rsidRPr="00D66DB5">
        <w:t xml:space="preserve">Kritériá v rámci európskej schémy environmentálneho označovania (Environmentálna značka EÚ) </w:t>
      </w:r>
      <w:r w:rsidR="00D66DB5">
        <w:t xml:space="preserve">verejní obstarávatelia a obstarávatelia </w:t>
      </w:r>
      <w:r w:rsidRPr="00D66DB5">
        <w:t xml:space="preserve"> v roku 2013 uplatn</w:t>
      </w:r>
      <w:r w:rsidR="00D66DB5">
        <w:t>ili</w:t>
      </w:r>
      <w:r w:rsidRPr="00D66DB5">
        <w:t xml:space="preserve"> celko</w:t>
      </w:r>
      <w:r w:rsidR="00D66DB5">
        <w:t>m</w:t>
      </w:r>
      <w:r w:rsidRPr="00D66DB5">
        <w:t xml:space="preserve"> v </w:t>
      </w:r>
      <w:r w:rsidR="00D66DB5">
        <w:t xml:space="preserve"> </w:t>
      </w:r>
      <w:r w:rsidRPr="00D66DB5">
        <w:t xml:space="preserve">438 zákazkách/nákupoch v celkovej hodnote 1 935 608,92 EUR. Jednotlivé predmety zákaziek/nákupov sú podrobne </w:t>
      </w:r>
      <w:r w:rsidR="00D66DB5">
        <w:t xml:space="preserve">uvedené v prílohe </w:t>
      </w:r>
      <w:r w:rsidRPr="00D66DB5">
        <w:t xml:space="preserve"> 5 tohto dokumentu. Osobitné podmienky na udelenie národnej značky (Environmentálne vhodný produkt) </w:t>
      </w:r>
      <w:r w:rsidR="00D66DB5">
        <w:t xml:space="preserve">obstarávatelia a verejní obstarávatelia </w:t>
      </w:r>
      <w:r w:rsidRPr="00D66DB5">
        <w:t xml:space="preserve"> požadova</w:t>
      </w:r>
      <w:r w:rsidR="00D66DB5">
        <w:t>li</w:t>
      </w:r>
      <w:r w:rsidRPr="00D66DB5">
        <w:t xml:space="preserve"> </w:t>
      </w:r>
      <w:r w:rsidR="00D66DB5">
        <w:t>pri</w:t>
      </w:r>
      <w:r w:rsidRPr="00D66DB5">
        <w:t> 50 zákazkách v celkovej hodnote 43 052,86 EUR. V rámci zele</w:t>
      </w:r>
      <w:r w:rsidR="00D66DB5">
        <w:t>ného verejného obstarávania sa</w:t>
      </w:r>
      <w:r w:rsidRPr="00D66DB5">
        <w:t xml:space="preserve"> využi</w:t>
      </w:r>
      <w:r w:rsidR="00D66DB5">
        <w:t>li</w:t>
      </w:r>
      <w:r w:rsidRPr="00D66DB5">
        <w:t xml:space="preserve"> aj iné národné systémy pre environmentálne označovanie, a </w:t>
      </w:r>
      <w:r w:rsidR="00D66DB5">
        <w:t>to Modrý anjel</w:t>
      </w:r>
      <w:r w:rsidRPr="00D66DB5">
        <w:t xml:space="preserve">, Škandinávska labuť, Ekologicky šetrný </w:t>
      </w:r>
      <w:proofErr w:type="spellStart"/>
      <w:r w:rsidRPr="00D66DB5">
        <w:t>výrobek</w:t>
      </w:r>
      <w:proofErr w:type="spellEnd"/>
      <w:r w:rsidRPr="00D66DB5">
        <w:t>, Životné prostredie Rakúska. Predmety zákaziek/nákupov, počty a hodnoty v EUR pre jednotlivé subjekty, ktoré tieto environmentálne označenia využili pri verejnom obstarávaní/nakupovaní</w:t>
      </w:r>
      <w:r w:rsidR="00D66DB5">
        <w:t>,</w:t>
      </w:r>
      <w:r w:rsidRPr="00D66DB5">
        <w:t xml:space="preserve"> sú bližšie </w:t>
      </w:r>
      <w:r w:rsidR="00D66DB5">
        <w:t xml:space="preserve">uvedené v prílohe </w:t>
      </w:r>
      <w:r w:rsidRPr="00D66DB5">
        <w:t>5 tohto dokumentu.</w:t>
      </w:r>
    </w:p>
    <w:p w:rsidR="004A7F58" w:rsidRPr="00D66DB5" w:rsidRDefault="004A7F58" w:rsidP="004A7F58">
      <w:pPr>
        <w:pStyle w:val="Nadpis1"/>
        <w:rPr>
          <w:rFonts w:ascii="Times New Roman" w:hAnsi="Times New Roman" w:cs="Times New Roman"/>
          <w:sz w:val="24"/>
          <w:szCs w:val="24"/>
        </w:rPr>
      </w:pPr>
    </w:p>
    <w:p w:rsidR="004A7F58" w:rsidRPr="00D66DB5" w:rsidRDefault="004A7F58" w:rsidP="004A7F58">
      <w:pPr>
        <w:pStyle w:val="Nadpis2"/>
        <w:rPr>
          <w:rFonts w:ascii="Times New Roman" w:hAnsi="Times New Roman"/>
          <w:sz w:val="24"/>
          <w:szCs w:val="24"/>
        </w:rPr>
      </w:pPr>
      <w:bookmarkStart w:id="14" w:name="_Toc326050103"/>
      <w:bookmarkStart w:id="15" w:name="_Toc355000158"/>
      <w:bookmarkStart w:id="16" w:name="_Toc388525485"/>
      <w:r w:rsidRPr="00D66DB5">
        <w:rPr>
          <w:rFonts w:ascii="Times New Roman" w:hAnsi="Times New Roman"/>
          <w:sz w:val="24"/>
          <w:szCs w:val="24"/>
        </w:rPr>
        <w:t>Využívanie energetického štítkovania a systému environmentálneho manažérstva</w:t>
      </w:r>
      <w:bookmarkEnd w:id="14"/>
      <w:bookmarkEnd w:id="15"/>
      <w:bookmarkEnd w:id="16"/>
    </w:p>
    <w:p w:rsidR="004A7F58" w:rsidRPr="00D66DB5" w:rsidRDefault="004A7F58" w:rsidP="004A7F58"/>
    <w:p w:rsidR="004A7F58" w:rsidRPr="00D66DB5" w:rsidRDefault="004A7F58" w:rsidP="004A7F58">
      <w:pPr>
        <w:jc w:val="both"/>
      </w:pPr>
      <w:r w:rsidRPr="00D66DB5">
        <w:t>Podľa zákona o verejnom obstarávaní je verejný obstarávateľ povinný pri obstarávaní energeticky významného výrobku, ak predpokladaná hodnota zákazky je nadlimitná, určiť v opise predmetu zákazky požiadavky len na taký energeticky významný výrobok, ktorý spĺňa kritériá najvyššej výkonnosti a patrí do najvyššej triedy energetickej účinnosti podľa osobitného predpisu. V rámci monitorovania GPP sa sleduje počet a ho</w:t>
      </w:r>
      <w:r w:rsidR="00D66DB5">
        <w:t>dnota zákaziek, pri ktorých sa</w:t>
      </w:r>
      <w:r w:rsidRPr="00D66DB5">
        <w:t xml:space="preserve"> uplatn</w:t>
      </w:r>
      <w:r w:rsidR="00D66DB5">
        <w:t>ilo</w:t>
      </w:r>
      <w:r w:rsidRPr="00D66DB5">
        <w:t xml:space="preserve"> energetické štítkovanie a tiež predmet zákazky, ktorý </w:t>
      </w:r>
      <w:r w:rsidR="00D66DB5">
        <w:t>sa</w:t>
      </w:r>
      <w:r w:rsidRPr="00D66DB5">
        <w:t xml:space="preserve"> obstaráva</w:t>
      </w:r>
      <w:r w:rsidR="00D66DB5">
        <w:t>l</w:t>
      </w:r>
      <w:r w:rsidRPr="00D66DB5">
        <w:t xml:space="preserve"> s takýmto štítkom, požadovaná trieda energetickej hospodárnosti a finančný limit zákazky, v ktorej </w:t>
      </w:r>
      <w:r w:rsidR="00D66DB5">
        <w:t>sa</w:t>
      </w:r>
      <w:r w:rsidRPr="00D66DB5">
        <w:t xml:space="preserve"> štítkovanie požadova</w:t>
      </w:r>
      <w:r w:rsidR="00D66DB5">
        <w:t>lo</w:t>
      </w:r>
      <w:r w:rsidRPr="00D66DB5">
        <w:t xml:space="preserve">. </w:t>
      </w:r>
    </w:p>
    <w:p w:rsidR="004A7F58" w:rsidRPr="00D66DB5" w:rsidRDefault="004A7F58" w:rsidP="004A7F58">
      <w:pPr>
        <w:jc w:val="both"/>
      </w:pPr>
    </w:p>
    <w:p w:rsidR="004A7F58" w:rsidRPr="00D66DB5" w:rsidRDefault="004A7F58" w:rsidP="004A7F58">
      <w:pPr>
        <w:jc w:val="both"/>
      </w:pPr>
      <w:r w:rsidRPr="00D66DB5">
        <w:t xml:space="preserve">Podľa zákona o verejnom obstarávaní môže uchádzač alebo záujemca preukázať technickú alebo odbornú spôsobilosť uvedením opatrení environmentálneho manažérstva, ktoré použije pri plnení zmluvy. Verejný obstarávateľ/obstarávateľ môže vyžadovať od uchádzačov alebo záujemcov predloženie certifikátu kvality, vydaného nezávislou inštitúciou, ktorým sa potvrdzuje splnenie určitých opatrení environmentálneho riadenia. V rámci </w:t>
      </w:r>
      <w:r w:rsidR="00D66DB5">
        <w:t xml:space="preserve">GPP sa sleduje </w:t>
      </w:r>
      <w:r w:rsidRPr="00D66DB5">
        <w:t xml:space="preserve"> dôkaz </w:t>
      </w:r>
      <w:r w:rsidR="00D66DB5">
        <w:t xml:space="preserve">o </w:t>
      </w:r>
      <w:r w:rsidRPr="00D66DB5">
        <w:t>splnen</w:t>
      </w:r>
      <w:r w:rsidR="00D66DB5">
        <w:t>í</w:t>
      </w:r>
      <w:r w:rsidRPr="00D66DB5">
        <w:t xml:space="preserve"> opatrení envir</w:t>
      </w:r>
      <w:r w:rsidR="00D66DB5">
        <w:t>onmentálneho riadenia, ktorý sa</w:t>
      </w:r>
      <w:r w:rsidRPr="00D66DB5">
        <w:t xml:space="preserve"> od uchádzačov/záujemcov vyžadova</w:t>
      </w:r>
      <w:r w:rsidR="00D66DB5">
        <w:t>l</w:t>
      </w:r>
      <w:r w:rsidRPr="00D66DB5">
        <w:t xml:space="preserve">, predmet zákazky, pri ktorej mal byť tento dôkaz predložený a tiež počet a hodnota zelených zákaziek s uplatnením uvedenej environmentálnej charakteristiky. </w:t>
      </w:r>
    </w:p>
    <w:p w:rsidR="004A7F58" w:rsidRPr="00D66DB5" w:rsidRDefault="004A7F58" w:rsidP="004A7F58">
      <w:pPr>
        <w:jc w:val="both"/>
      </w:pPr>
    </w:p>
    <w:p w:rsidR="004A7F58" w:rsidRPr="00D66DB5" w:rsidRDefault="00FB7029" w:rsidP="004A7F58">
      <w:pPr>
        <w:jc w:val="both"/>
      </w:pPr>
      <w:r>
        <w:lastRenderedPageBreak/>
        <w:t>Energetické štítkovanie  sa</w:t>
      </w:r>
      <w:r w:rsidR="004A7F58" w:rsidRPr="00D66DB5">
        <w:t xml:space="preserve"> uplatn</w:t>
      </w:r>
      <w:r>
        <w:t>ilo</w:t>
      </w:r>
      <w:r w:rsidR="004A7F58" w:rsidRPr="00D66DB5">
        <w:t xml:space="preserve"> celko</w:t>
      </w:r>
      <w:r>
        <w:t>m</w:t>
      </w:r>
      <w:r w:rsidR="004A7F58" w:rsidRPr="00D66DB5">
        <w:t xml:space="preserve"> pri 599 zákazkách/nákupoch verejných obstarávateľov a obstarávateľov v celkovej hodnote 41 682 532,46 EUR. Systém environmentálneho manažérstva podľa normy ISO 14001 </w:t>
      </w:r>
      <w:r>
        <w:t>sa</w:t>
      </w:r>
      <w:r w:rsidR="004A7F58" w:rsidRPr="00D66DB5">
        <w:t xml:space="preserve"> uplatn</w:t>
      </w:r>
      <w:r>
        <w:t>il</w:t>
      </w:r>
      <w:r w:rsidR="004A7F58" w:rsidRPr="00D66DB5">
        <w:t xml:space="preserve"> v 1 602 zákazkách v celkovej hodnote 117 076 947,87 EUR. Bližšie in</w:t>
      </w:r>
      <w:r>
        <w:t xml:space="preserve">formácie sú uvedené v prílohe </w:t>
      </w:r>
      <w:r w:rsidR="004A7F58" w:rsidRPr="00D66DB5">
        <w:t xml:space="preserve"> 5 tohto dokumentu.</w:t>
      </w:r>
    </w:p>
    <w:p w:rsidR="004A7F58" w:rsidRPr="00D66DB5" w:rsidRDefault="004A7F58" w:rsidP="004A7F58">
      <w:pPr>
        <w:jc w:val="both"/>
      </w:pPr>
    </w:p>
    <w:p w:rsidR="004A7F58" w:rsidRPr="00D66DB5" w:rsidRDefault="004A7F58" w:rsidP="004A7F58">
      <w:pPr>
        <w:pStyle w:val="Nadpis2"/>
        <w:rPr>
          <w:rFonts w:ascii="Times New Roman" w:hAnsi="Times New Roman"/>
          <w:sz w:val="24"/>
          <w:szCs w:val="24"/>
        </w:rPr>
      </w:pPr>
      <w:bookmarkStart w:id="17" w:name="_Toc326050102"/>
      <w:bookmarkStart w:id="18" w:name="_Toc355000157"/>
      <w:bookmarkStart w:id="19" w:name="_Toc388525486"/>
      <w:r w:rsidRPr="00D66DB5">
        <w:rPr>
          <w:rFonts w:ascii="Times New Roman" w:hAnsi="Times New Roman"/>
          <w:sz w:val="24"/>
          <w:szCs w:val="24"/>
        </w:rPr>
        <w:t>Využívanie environmentálnych charakteristík pre 10 prioritných skupín produktov</w:t>
      </w:r>
      <w:bookmarkEnd w:id="17"/>
      <w:bookmarkEnd w:id="18"/>
      <w:bookmarkEnd w:id="19"/>
    </w:p>
    <w:p w:rsidR="004A7F58" w:rsidRPr="00D66DB5" w:rsidRDefault="004A7F58" w:rsidP="004A7F58"/>
    <w:p w:rsidR="004A7F58" w:rsidRDefault="004A7F58" w:rsidP="00A17770">
      <w:pPr>
        <w:jc w:val="both"/>
      </w:pPr>
      <w:r w:rsidRPr="00D66DB5">
        <w:t>Európska komisia</w:t>
      </w:r>
      <w:r w:rsidR="00FB7029">
        <w:t xml:space="preserve"> (ďalej EK)</w:t>
      </w:r>
      <w:r w:rsidRPr="00D66DB5">
        <w:t xml:space="preserve"> postupne aktualizuje a vytvára nové GPP charakteristiky, ktoré sú navrhnuté tak, aby sa dali priamo vložiť do súťažných podkladov. Tieto environmentálne charakteristiky sú založené na údajovej základni, ktorá využíva dostupné vedecké informácie a </w:t>
      </w:r>
      <w:r w:rsidR="00FB7029">
        <w:t>údaje</w:t>
      </w:r>
      <w:r w:rsidRPr="00D66DB5">
        <w:t>, prístup LCA (posudzovanie životného cyklu), existujúc</w:t>
      </w:r>
      <w:r w:rsidR="00FB7029">
        <w:t xml:space="preserve">e kritériá </w:t>
      </w:r>
      <w:r w:rsidRPr="00D66DB5">
        <w:t>environmentálneho označovania a informáciách od zainteresovaných strán z priemyslu, spoločnost</w:t>
      </w:r>
      <w:r w:rsidR="00FB7029">
        <w:t>í</w:t>
      </w:r>
      <w:r w:rsidRPr="00D66DB5">
        <w:t xml:space="preserve"> a členských štátov. Environmentálne charakteristiky pre </w:t>
      </w:r>
      <w:r w:rsidR="00FB7029">
        <w:t>GPP</w:t>
      </w:r>
      <w:r w:rsidRPr="00D66DB5">
        <w:t xml:space="preserve"> boli vytvorené za účelom jednotnej a transparentnej realizácie GPP v celej EÚ a jednotného monitorovania dosiahnutej úrovne </w:t>
      </w:r>
      <w:r w:rsidR="00FB7029">
        <w:t>GPP</w:t>
      </w:r>
      <w:r w:rsidRPr="00D66DB5">
        <w:t xml:space="preserve"> v členských krajinách.</w:t>
      </w:r>
    </w:p>
    <w:p w:rsidR="00A17770" w:rsidRPr="00D66DB5" w:rsidRDefault="00A17770" w:rsidP="00A17770">
      <w:pPr>
        <w:jc w:val="both"/>
      </w:pPr>
    </w:p>
    <w:p w:rsidR="004A7F58" w:rsidRPr="00D66DB5" w:rsidRDefault="004A7F58" w:rsidP="004A7F58">
      <w:pPr>
        <w:jc w:val="both"/>
      </w:pPr>
      <w:r w:rsidRPr="00D66DB5">
        <w:t xml:space="preserve">Prioritné skupiny produktov pre realizáciu </w:t>
      </w:r>
      <w:r w:rsidR="00FB7029">
        <w:t>GPP EK</w:t>
      </w:r>
      <w:r w:rsidRPr="00D66DB5">
        <w:t xml:space="preserve"> vybra</w:t>
      </w:r>
      <w:r w:rsidR="00FB7029">
        <w:t>la</w:t>
      </w:r>
      <w:r w:rsidRPr="00D66DB5">
        <w:t xml:space="preserve"> na základe </w:t>
      </w:r>
      <w:proofErr w:type="spellStart"/>
      <w:r w:rsidRPr="00D66DB5">
        <w:t>multikriteriálnej</w:t>
      </w:r>
      <w:proofErr w:type="spellEnd"/>
      <w:r w:rsidRPr="00D66DB5">
        <w:t xml:space="preserve"> analýzy, ktorá zahŕňa najmä priestor pre zlepšenie životného prostredia, verejné výdavky, potenciálny vplyv na dodávateľov, možnosti nastavenia príkladu pre súkromných spotrebiteľov či podniky, politickú citlivosť, existenciu relevantných a ľahko použiteľných kritérií, dostupnosť na trhu a ekonomickú efekt</w:t>
      </w:r>
      <w:r w:rsidR="00FB7029">
        <w:t>ívnosť</w:t>
      </w:r>
      <w:r w:rsidRPr="00D66DB5">
        <w:t xml:space="preserve">. </w:t>
      </w:r>
    </w:p>
    <w:p w:rsidR="004A7F58" w:rsidRPr="00D66DB5" w:rsidRDefault="004A7F58" w:rsidP="004A7F58">
      <w:pPr>
        <w:jc w:val="both"/>
      </w:pPr>
    </w:p>
    <w:p w:rsidR="004A7F58" w:rsidRPr="00D66DB5" w:rsidRDefault="00FB7029" w:rsidP="00E51D5F">
      <w:pPr>
        <w:jc w:val="both"/>
      </w:pPr>
      <w:r>
        <w:t xml:space="preserve">Tabuľka </w:t>
      </w:r>
      <w:r w:rsidR="004A7F58" w:rsidRPr="00D66DB5">
        <w:t>4 porovnáva počet a hodnotu zákaziek</w:t>
      </w:r>
      <w:r>
        <w:t xml:space="preserve">, </w:t>
      </w:r>
      <w:r w:rsidRPr="00D66DB5">
        <w:t>realizovaných</w:t>
      </w:r>
      <w:r w:rsidR="004A7F58" w:rsidRPr="00D66DB5">
        <w:t xml:space="preserve"> bez vyžitia environmentálnych charakteristík</w:t>
      </w:r>
      <w:r>
        <w:t>,</w:t>
      </w:r>
      <w:r w:rsidR="004A7F58" w:rsidRPr="00D66DB5">
        <w:t xml:space="preserve"> s počtom a hodnotou zelených zákaziek, pre prioritné skupiny produktov</w:t>
      </w:r>
      <w:r>
        <w:t>,</w:t>
      </w:r>
      <w:r w:rsidR="004A7F58" w:rsidRPr="00D66DB5">
        <w:t xml:space="preserve"> vytýčené E</w:t>
      </w:r>
      <w:r>
        <w:t>K</w:t>
      </w:r>
      <w:r w:rsidR="004A7F58" w:rsidRPr="00D66DB5">
        <w:t>. Najväčší počet zákaziek (47 329) bol obstaraný v skupine produktov Stravovacie služby a zásobovanie potravinami. Avšak v najv</w:t>
      </w:r>
      <w:r>
        <w:t>yš</w:t>
      </w:r>
      <w:r w:rsidR="004A7F58" w:rsidRPr="00D66DB5">
        <w:t>šej hodnote (1 458 597 151,64 EUR) bola obstaraná skupina produktov Stavebníctvo.</w:t>
      </w:r>
    </w:p>
    <w:p w:rsidR="004A7F58" w:rsidRPr="00FB7029" w:rsidRDefault="004A7F58" w:rsidP="004A7F58">
      <w:pPr>
        <w:ind w:firstLine="142"/>
        <w:jc w:val="both"/>
        <w:rPr>
          <w:rFonts w:ascii="Calibri" w:hAnsi="Calibri"/>
          <w:b/>
          <w:sz w:val="18"/>
          <w:szCs w:val="18"/>
        </w:rPr>
      </w:pPr>
    </w:p>
    <w:p w:rsidR="004A7F58" w:rsidRPr="00FB7029" w:rsidRDefault="00FB7029" w:rsidP="004A7F58">
      <w:pPr>
        <w:ind w:firstLine="567"/>
        <w:jc w:val="both"/>
        <w:rPr>
          <w:b/>
        </w:rPr>
      </w:pPr>
      <w:r w:rsidRPr="00FB7029">
        <w:rPr>
          <w:b/>
        </w:rPr>
        <w:t>Tabuľka</w:t>
      </w:r>
      <w:r w:rsidR="004A7F58" w:rsidRPr="00FB7029">
        <w:rPr>
          <w:b/>
        </w:rPr>
        <w:t xml:space="preserve"> 4</w:t>
      </w:r>
      <w:r w:rsidRPr="00FB7029">
        <w:rPr>
          <w:b/>
        </w:rPr>
        <w:t>:</w:t>
      </w:r>
      <w:r w:rsidR="004A7F58" w:rsidRPr="00FB7029">
        <w:rPr>
          <w:b/>
        </w:rPr>
        <w:t xml:space="preserve"> Porovnanie počtu a hodnoty zákaziek prioritných skupín produktov</w:t>
      </w:r>
    </w:p>
    <w:p w:rsidR="00FB7029" w:rsidRPr="00FB7029" w:rsidRDefault="00FB7029" w:rsidP="004A7F58">
      <w:pPr>
        <w:ind w:firstLine="567"/>
        <w:jc w:val="both"/>
      </w:pPr>
    </w:p>
    <w:tbl>
      <w:tblPr>
        <w:tblW w:w="10628" w:type="dxa"/>
        <w:jc w:val="center"/>
        <w:tblInd w:w="-3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699"/>
        <w:gridCol w:w="945"/>
        <w:gridCol w:w="1535"/>
        <w:gridCol w:w="955"/>
        <w:gridCol w:w="1697"/>
        <w:gridCol w:w="966"/>
        <w:gridCol w:w="1831"/>
      </w:tblGrid>
      <w:tr w:rsidR="004A7F58" w:rsidRPr="00B51FDF" w:rsidTr="00E008A9">
        <w:trPr>
          <w:trHeight w:val="855"/>
          <w:jc w:val="center"/>
        </w:trPr>
        <w:tc>
          <w:tcPr>
            <w:tcW w:w="2699" w:type="dxa"/>
            <w:vMerge w:val="restart"/>
            <w:tcBorders>
              <w:top w:val="double" w:sz="4" w:space="0" w:color="auto"/>
            </w:tcBorders>
            <w:shd w:val="clear" w:color="auto" w:fill="BFBFBF" w:themeFill="background1" w:themeFillShade="BF"/>
            <w:vAlign w:val="center"/>
            <w:hideMark/>
          </w:tcPr>
          <w:p w:rsidR="004A7F58" w:rsidRPr="00FB7029" w:rsidRDefault="004A7F58" w:rsidP="00E008A9">
            <w:pPr>
              <w:jc w:val="center"/>
              <w:rPr>
                <w:b/>
                <w:bCs/>
                <w:color w:val="000000"/>
                <w:sz w:val="20"/>
                <w:szCs w:val="20"/>
              </w:rPr>
            </w:pPr>
            <w:r w:rsidRPr="00FB7029">
              <w:rPr>
                <w:b/>
                <w:bCs/>
                <w:color w:val="000000"/>
                <w:sz w:val="20"/>
                <w:szCs w:val="20"/>
              </w:rPr>
              <w:t>Skupina produktov</w:t>
            </w:r>
          </w:p>
        </w:tc>
        <w:tc>
          <w:tcPr>
            <w:tcW w:w="2480" w:type="dxa"/>
            <w:gridSpan w:val="2"/>
            <w:tcBorders>
              <w:top w:val="double" w:sz="4" w:space="0" w:color="auto"/>
            </w:tcBorders>
            <w:shd w:val="clear" w:color="auto" w:fill="E5B8B7" w:themeFill="accent2" w:themeFillTint="66"/>
            <w:vAlign w:val="center"/>
            <w:hideMark/>
          </w:tcPr>
          <w:p w:rsidR="004A7F58" w:rsidRPr="00FB7029" w:rsidRDefault="004A7F58" w:rsidP="00E008A9">
            <w:pPr>
              <w:jc w:val="center"/>
              <w:rPr>
                <w:b/>
                <w:bCs/>
                <w:color w:val="000000"/>
                <w:sz w:val="20"/>
                <w:szCs w:val="20"/>
              </w:rPr>
            </w:pPr>
            <w:r w:rsidRPr="00FB7029">
              <w:rPr>
                <w:b/>
                <w:bCs/>
                <w:color w:val="000000"/>
                <w:sz w:val="20"/>
                <w:szCs w:val="20"/>
              </w:rPr>
              <w:t>Bez využitia environmentálnych kritérií</w:t>
            </w:r>
          </w:p>
        </w:tc>
        <w:tc>
          <w:tcPr>
            <w:tcW w:w="2652" w:type="dxa"/>
            <w:gridSpan w:val="2"/>
            <w:tcBorders>
              <w:top w:val="double" w:sz="4" w:space="0" w:color="auto"/>
            </w:tcBorders>
            <w:shd w:val="clear" w:color="auto" w:fill="C2D69B" w:themeFill="accent3" w:themeFillTint="99"/>
            <w:vAlign w:val="center"/>
            <w:hideMark/>
          </w:tcPr>
          <w:p w:rsidR="004A7F58" w:rsidRPr="00FB7029" w:rsidRDefault="004A7F58" w:rsidP="00E008A9">
            <w:pPr>
              <w:jc w:val="center"/>
              <w:rPr>
                <w:b/>
                <w:bCs/>
                <w:color w:val="000000"/>
                <w:sz w:val="20"/>
                <w:szCs w:val="20"/>
              </w:rPr>
            </w:pPr>
            <w:r w:rsidRPr="00FB7029">
              <w:rPr>
                <w:b/>
                <w:bCs/>
                <w:color w:val="000000"/>
                <w:sz w:val="20"/>
                <w:szCs w:val="20"/>
              </w:rPr>
              <w:t>S využitím environmentálnych kritérií</w:t>
            </w:r>
          </w:p>
        </w:tc>
        <w:tc>
          <w:tcPr>
            <w:tcW w:w="2797" w:type="dxa"/>
            <w:gridSpan w:val="2"/>
            <w:tcBorders>
              <w:top w:val="double" w:sz="4" w:space="0" w:color="auto"/>
            </w:tcBorders>
            <w:shd w:val="clear" w:color="auto" w:fill="BFBFBF" w:themeFill="background1" w:themeFillShade="BF"/>
            <w:vAlign w:val="center"/>
          </w:tcPr>
          <w:p w:rsidR="004A7F58" w:rsidRPr="00FB7029" w:rsidRDefault="004A7F58" w:rsidP="00E008A9">
            <w:pPr>
              <w:jc w:val="center"/>
              <w:rPr>
                <w:b/>
                <w:bCs/>
                <w:color w:val="000000"/>
                <w:sz w:val="20"/>
                <w:szCs w:val="20"/>
              </w:rPr>
            </w:pPr>
            <w:r w:rsidRPr="00FB7029">
              <w:rPr>
                <w:b/>
                <w:bCs/>
                <w:color w:val="000000"/>
                <w:sz w:val="20"/>
                <w:szCs w:val="20"/>
              </w:rPr>
              <w:t>Spolu</w:t>
            </w:r>
          </w:p>
        </w:tc>
      </w:tr>
      <w:tr w:rsidR="004A7F58" w:rsidRPr="00B51FDF" w:rsidTr="00E008A9">
        <w:trPr>
          <w:trHeight w:val="900"/>
          <w:jc w:val="center"/>
        </w:trPr>
        <w:tc>
          <w:tcPr>
            <w:tcW w:w="2699" w:type="dxa"/>
            <w:vMerge/>
            <w:shd w:val="clear" w:color="auto" w:fill="BFBFBF" w:themeFill="background1" w:themeFillShade="BF"/>
            <w:vAlign w:val="center"/>
            <w:hideMark/>
          </w:tcPr>
          <w:p w:rsidR="004A7F58" w:rsidRPr="00FB7029" w:rsidRDefault="004A7F58" w:rsidP="00E008A9">
            <w:pPr>
              <w:rPr>
                <w:b/>
                <w:bCs/>
                <w:color w:val="000000"/>
                <w:sz w:val="20"/>
                <w:szCs w:val="20"/>
              </w:rPr>
            </w:pPr>
          </w:p>
        </w:tc>
        <w:tc>
          <w:tcPr>
            <w:tcW w:w="945" w:type="dxa"/>
            <w:shd w:val="clear" w:color="auto" w:fill="E5B8B7" w:themeFill="accent2" w:themeFillTint="66"/>
            <w:vAlign w:val="center"/>
            <w:hideMark/>
          </w:tcPr>
          <w:p w:rsidR="004A7F58" w:rsidRPr="00FB7029" w:rsidRDefault="004A7F58" w:rsidP="00E008A9">
            <w:pPr>
              <w:jc w:val="center"/>
              <w:rPr>
                <w:b/>
                <w:bCs/>
                <w:color w:val="000000"/>
                <w:sz w:val="20"/>
                <w:szCs w:val="20"/>
              </w:rPr>
            </w:pPr>
            <w:r w:rsidRPr="00FB7029">
              <w:rPr>
                <w:b/>
                <w:bCs/>
                <w:color w:val="000000"/>
                <w:sz w:val="20"/>
                <w:szCs w:val="20"/>
              </w:rPr>
              <w:t>Počet zákaziek</w:t>
            </w:r>
          </w:p>
        </w:tc>
        <w:tc>
          <w:tcPr>
            <w:tcW w:w="1535" w:type="dxa"/>
            <w:shd w:val="clear" w:color="auto" w:fill="E5B8B7" w:themeFill="accent2" w:themeFillTint="66"/>
            <w:vAlign w:val="center"/>
            <w:hideMark/>
          </w:tcPr>
          <w:p w:rsidR="004A7F58" w:rsidRPr="00FB7029" w:rsidRDefault="004A7F58" w:rsidP="00E008A9">
            <w:pPr>
              <w:jc w:val="center"/>
              <w:rPr>
                <w:b/>
                <w:bCs/>
                <w:color w:val="000000"/>
                <w:sz w:val="20"/>
                <w:szCs w:val="20"/>
              </w:rPr>
            </w:pPr>
            <w:r w:rsidRPr="00FB7029">
              <w:rPr>
                <w:b/>
                <w:bCs/>
                <w:color w:val="000000"/>
                <w:sz w:val="20"/>
                <w:szCs w:val="20"/>
              </w:rPr>
              <w:t>Hodnota zákaziek v EUR</w:t>
            </w:r>
          </w:p>
        </w:tc>
        <w:tc>
          <w:tcPr>
            <w:tcW w:w="955" w:type="dxa"/>
            <w:shd w:val="clear" w:color="auto" w:fill="C2D69B" w:themeFill="accent3" w:themeFillTint="99"/>
            <w:vAlign w:val="center"/>
            <w:hideMark/>
          </w:tcPr>
          <w:p w:rsidR="004A7F58" w:rsidRPr="00FB7029" w:rsidRDefault="004A7F58" w:rsidP="00E008A9">
            <w:pPr>
              <w:jc w:val="center"/>
              <w:rPr>
                <w:b/>
                <w:bCs/>
                <w:color w:val="000000"/>
                <w:sz w:val="20"/>
                <w:szCs w:val="20"/>
              </w:rPr>
            </w:pPr>
            <w:r w:rsidRPr="00FB7029">
              <w:rPr>
                <w:b/>
                <w:bCs/>
                <w:color w:val="000000"/>
                <w:sz w:val="20"/>
                <w:szCs w:val="20"/>
              </w:rPr>
              <w:t>Počet zákaziek</w:t>
            </w:r>
          </w:p>
        </w:tc>
        <w:tc>
          <w:tcPr>
            <w:tcW w:w="1697" w:type="dxa"/>
            <w:shd w:val="clear" w:color="auto" w:fill="C2D69B" w:themeFill="accent3" w:themeFillTint="99"/>
            <w:vAlign w:val="center"/>
            <w:hideMark/>
          </w:tcPr>
          <w:p w:rsidR="004A7F58" w:rsidRPr="00FB7029" w:rsidRDefault="004A7F58" w:rsidP="00E008A9">
            <w:pPr>
              <w:jc w:val="center"/>
              <w:rPr>
                <w:b/>
                <w:bCs/>
                <w:color w:val="000000"/>
                <w:sz w:val="20"/>
                <w:szCs w:val="20"/>
              </w:rPr>
            </w:pPr>
            <w:r w:rsidRPr="00FB7029">
              <w:rPr>
                <w:b/>
                <w:bCs/>
                <w:color w:val="000000"/>
                <w:sz w:val="20"/>
                <w:szCs w:val="20"/>
              </w:rPr>
              <w:t>Hodnota zákaziek v EUR</w:t>
            </w:r>
          </w:p>
        </w:tc>
        <w:tc>
          <w:tcPr>
            <w:tcW w:w="966" w:type="dxa"/>
            <w:shd w:val="clear" w:color="auto" w:fill="BFBFBF" w:themeFill="background1" w:themeFillShade="BF"/>
            <w:vAlign w:val="center"/>
          </w:tcPr>
          <w:p w:rsidR="004A7F58" w:rsidRPr="00FB7029" w:rsidRDefault="004A7F58" w:rsidP="00E008A9">
            <w:pPr>
              <w:jc w:val="center"/>
              <w:rPr>
                <w:b/>
                <w:bCs/>
                <w:color w:val="000000"/>
                <w:sz w:val="20"/>
                <w:szCs w:val="20"/>
              </w:rPr>
            </w:pPr>
            <w:r w:rsidRPr="00FB7029">
              <w:rPr>
                <w:b/>
                <w:bCs/>
                <w:color w:val="000000"/>
                <w:sz w:val="20"/>
                <w:szCs w:val="20"/>
              </w:rPr>
              <w:t>Počet zákaziek</w:t>
            </w:r>
          </w:p>
        </w:tc>
        <w:tc>
          <w:tcPr>
            <w:tcW w:w="1831" w:type="dxa"/>
            <w:shd w:val="clear" w:color="auto" w:fill="BFBFBF" w:themeFill="background1" w:themeFillShade="BF"/>
            <w:vAlign w:val="center"/>
          </w:tcPr>
          <w:p w:rsidR="004A7F58" w:rsidRPr="00FB7029" w:rsidRDefault="004A7F58" w:rsidP="00E008A9">
            <w:pPr>
              <w:jc w:val="center"/>
              <w:rPr>
                <w:b/>
                <w:bCs/>
                <w:color w:val="000000"/>
                <w:sz w:val="20"/>
                <w:szCs w:val="20"/>
              </w:rPr>
            </w:pPr>
            <w:r w:rsidRPr="00FB7029">
              <w:rPr>
                <w:b/>
                <w:bCs/>
                <w:color w:val="000000"/>
                <w:sz w:val="20"/>
                <w:szCs w:val="20"/>
              </w:rPr>
              <w:t>Hodnota zákaziek v EUR</w:t>
            </w:r>
          </w:p>
        </w:tc>
      </w:tr>
      <w:tr w:rsidR="004A7F58" w:rsidRPr="00B51FDF" w:rsidTr="00E008A9">
        <w:trPr>
          <w:trHeight w:val="300"/>
          <w:jc w:val="center"/>
        </w:trPr>
        <w:tc>
          <w:tcPr>
            <w:tcW w:w="2699" w:type="dxa"/>
            <w:hideMark/>
          </w:tcPr>
          <w:p w:rsidR="004A7F58" w:rsidRPr="00FB7029" w:rsidRDefault="004A7F58" w:rsidP="00E008A9">
            <w:pPr>
              <w:rPr>
                <w:color w:val="000000"/>
                <w:sz w:val="20"/>
                <w:szCs w:val="20"/>
              </w:rPr>
            </w:pPr>
            <w:r w:rsidRPr="00FB7029">
              <w:rPr>
                <w:color w:val="000000"/>
                <w:sz w:val="20"/>
                <w:szCs w:val="20"/>
              </w:rPr>
              <w:t>Kopírovací a grafický papier</w:t>
            </w:r>
          </w:p>
        </w:tc>
        <w:tc>
          <w:tcPr>
            <w:tcW w:w="945" w:type="dxa"/>
            <w:shd w:val="clear" w:color="auto" w:fill="F2DBDB" w:themeFill="accent2" w:themeFillTint="33"/>
            <w:vAlign w:val="bottom"/>
            <w:hideMark/>
          </w:tcPr>
          <w:p w:rsidR="004A7F58" w:rsidRPr="00FB7029" w:rsidRDefault="004A7F58" w:rsidP="00E008A9">
            <w:pPr>
              <w:jc w:val="right"/>
              <w:rPr>
                <w:color w:val="000000"/>
                <w:sz w:val="20"/>
                <w:szCs w:val="20"/>
              </w:rPr>
            </w:pPr>
            <w:r w:rsidRPr="00FB7029">
              <w:rPr>
                <w:color w:val="000000"/>
                <w:sz w:val="20"/>
                <w:szCs w:val="20"/>
              </w:rPr>
              <w:t>2 054</w:t>
            </w:r>
          </w:p>
        </w:tc>
        <w:tc>
          <w:tcPr>
            <w:tcW w:w="1535" w:type="dxa"/>
            <w:shd w:val="clear" w:color="auto" w:fill="F2DBDB" w:themeFill="accent2" w:themeFillTint="33"/>
            <w:vAlign w:val="bottom"/>
            <w:hideMark/>
          </w:tcPr>
          <w:p w:rsidR="004A7F58" w:rsidRPr="00FB7029" w:rsidRDefault="004A7F58" w:rsidP="00E008A9">
            <w:pPr>
              <w:jc w:val="right"/>
              <w:rPr>
                <w:color w:val="000000"/>
                <w:sz w:val="20"/>
                <w:szCs w:val="20"/>
              </w:rPr>
            </w:pPr>
            <w:r w:rsidRPr="00FB7029">
              <w:rPr>
                <w:color w:val="000000"/>
                <w:sz w:val="20"/>
                <w:szCs w:val="20"/>
              </w:rPr>
              <w:t>1 367 818,83</w:t>
            </w:r>
          </w:p>
        </w:tc>
        <w:tc>
          <w:tcPr>
            <w:tcW w:w="955" w:type="dxa"/>
            <w:shd w:val="clear" w:color="auto" w:fill="EAF1DD" w:themeFill="accent3" w:themeFillTint="33"/>
            <w:vAlign w:val="bottom"/>
            <w:hideMark/>
          </w:tcPr>
          <w:p w:rsidR="004A7F58" w:rsidRPr="00FB7029" w:rsidRDefault="004A7F58" w:rsidP="00E008A9">
            <w:pPr>
              <w:jc w:val="right"/>
              <w:rPr>
                <w:color w:val="000000"/>
                <w:sz w:val="20"/>
                <w:szCs w:val="20"/>
              </w:rPr>
            </w:pPr>
            <w:r w:rsidRPr="00FB7029">
              <w:rPr>
                <w:color w:val="000000"/>
                <w:sz w:val="20"/>
                <w:szCs w:val="20"/>
              </w:rPr>
              <w:t>688</w:t>
            </w:r>
          </w:p>
        </w:tc>
        <w:tc>
          <w:tcPr>
            <w:tcW w:w="1697" w:type="dxa"/>
            <w:shd w:val="clear" w:color="auto" w:fill="EAF1DD" w:themeFill="accent3" w:themeFillTint="33"/>
            <w:vAlign w:val="bottom"/>
            <w:hideMark/>
          </w:tcPr>
          <w:p w:rsidR="004A7F58" w:rsidRPr="00FB7029" w:rsidRDefault="004A7F58" w:rsidP="00E008A9">
            <w:pPr>
              <w:jc w:val="right"/>
              <w:rPr>
                <w:color w:val="000000"/>
                <w:sz w:val="20"/>
                <w:szCs w:val="20"/>
              </w:rPr>
            </w:pPr>
            <w:r w:rsidRPr="00FB7029">
              <w:rPr>
                <w:color w:val="000000"/>
                <w:sz w:val="20"/>
                <w:szCs w:val="20"/>
              </w:rPr>
              <w:t>2 705 089,74</w:t>
            </w:r>
          </w:p>
        </w:tc>
        <w:tc>
          <w:tcPr>
            <w:tcW w:w="966" w:type="dxa"/>
            <w:shd w:val="clear" w:color="auto" w:fill="EAF1DD" w:themeFill="accent3" w:themeFillTint="33"/>
            <w:vAlign w:val="bottom"/>
          </w:tcPr>
          <w:p w:rsidR="004A7F58" w:rsidRPr="00FB7029" w:rsidRDefault="004A7F58" w:rsidP="00E008A9">
            <w:pPr>
              <w:jc w:val="right"/>
              <w:rPr>
                <w:color w:val="000000"/>
                <w:sz w:val="20"/>
                <w:szCs w:val="20"/>
              </w:rPr>
            </w:pPr>
            <w:r w:rsidRPr="00FB7029">
              <w:rPr>
                <w:color w:val="000000"/>
                <w:sz w:val="20"/>
                <w:szCs w:val="20"/>
              </w:rPr>
              <w:t>2 742</w:t>
            </w:r>
          </w:p>
        </w:tc>
        <w:tc>
          <w:tcPr>
            <w:tcW w:w="1831" w:type="dxa"/>
            <w:shd w:val="clear" w:color="auto" w:fill="EAF1DD" w:themeFill="accent3" w:themeFillTint="33"/>
            <w:vAlign w:val="bottom"/>
          </w:tcPr>
          <w:p w:rsidR="004A7F58" w:rsidRPr="00FB7029" w:rsidRDefault="004A7F58" w:rsidP="00E008A9">
            <w:pPr>
              <w:jc w:val="right"/>
              <w:rPr>
                <w:color w:val="000000"/>
                <w:sz w:val="20"/>
                <w:szCs w:val="20"/>
              </w:rPr>
            </w:pPr>
            <w:r w:rsidRPr="00FB7029">
              <w:rPr>
                <w:color w:val="000000"/>
                <w:sz w:val="20"/>
                <w:szCs w:val="20"/>
              </w:rPr>
              <w:t>4 072 908,57</w:t>
            </w:r>
          </w:p>
        </w:tc>
      </w:tr>
      <w:tr w:rsidR="004A7F58" w:rsidRPr="00B51FDF" w:rsidTr="00E008A9">
        <w:trPr>
          <w:trHeight w:val="300"/>
          <w:jc w:val="center"/>
        </w:trPr>
        <w:tc>
          <w:tcPr>
            <w:tcW w:w="2699" w:type="dxa"/>
            <w:hideMark/>
          </w:tcPr>
          <w:p w:rsidR="004A7F58" w:rsidRPr="00FB7029" w:rsidRDefault="004A7F58" w:rsidP="00E008A9">
            <w:pPr>
              <w:rPr>
                <w:color w:val="000000"/>
                <w:sz w:val="20"/>
                <w:szCs w:val="20"/>
              </w:rPr>
            </w:pPr>
            <w:r w:rsidRPr="00FB7029">
              <w:rPr>
                <w:color w:val="000000"/>
                <w:sz w:val="20"/>
                <w:szCs w:val="20"/>
              </w:rPr>
              <w:t>Čistiace prostriedky a služby</w:t>
            </w:r>
          </w:p>
        </w:tc>
        <w:tc>
          <w:tcPr>
            <w:tcW w:w="945" w:type="dxa"/>
            <w:shd w:val="clear" w:color="auto" w:fill="F2DBDB" w:themeFill="accent2" w:themeFillTint="33"/>
            <w:vAlign w:val="bottom"/>
            <w:hideMark/>
          </w:tcPr>
          <w:p w:rsidR="004A7F58" w:rsidRPr="00FB7029" w:rsidRDefault="004A7F58" w:rsidP="00E008A9">
            <w:pPr>
              <w:jc w:val="right"/>
              <w:rPr>
                <w:color w:val="000000"/>
                <w:sz w:val="20"/>
                <w:szCs w:val="20"/>
              </w:rPr>
            </w:pPr>
            <w:r w:rsidRPr="00FB7029">
              <w:rPr>
                <w:color w:val="000000"/>
                <w:sz w:val="20"/>
                <w:szCs w:val="20"/>
              </w:rPr>
              <w:t>7 348</w:t>
            </w:r>
          </w:p>
        </w:tc>
        <w:tc>
          <w:tcPr>
            <w:tcW w:w="1535" w:type="dxa"/>
            <w:shd w:val="clear" w:color="auto" w:fill="F2DBDB" w:themeFill="accent2" w:themeFillTint="33"/>
            <w:vAlign w:val="bottom"/>
            <w:hideMark/>
          </w:tcPr>
          <w:p w:rsidR="004A7F58" w:rsidRPr="00FB7029" w:rsidRDefault="004A7F58" w:rsidP="00E008A9">
            <w:pPr>
              <w:jc w:val="right"/>
              <w:rPr>
                <w:color w:val="000000"/>
                <w:sz w:val="20"/>
                <w:szCs w:val="20"/>
              </w:rPr>
            </w:pPr>
            <w:r w:rsidRPr="00FB7029">
              <w:rPr>
                <w:color w:val="000000"/>
                <w:sz w:val="20"/>
                <w:szCs w:val="20"/>
              </w:rPr>
              <w:t>5 354 891,87</w:t>
            </w:r>
          </w:p>
        </w:tc>
        <w:tc>
          <w:tcPr>
            <w:tcW w:w="955" w:type="dxa"/>
            <w:shd w:val="clear" w:color="auto" w:fill="EAF1DD" w:themeFill="accent3" w:themeFillTint="33"/>
            <w:vAlign w:val="bottom"/>
            <w:hideMark/>
          </w:tcPr>
          <w:p w:rsidR="004A7F58" w:rsidRPr="00FB7029" w:rsidRDefault="004A7F58" w:rsidP="00E008A9">
            <w:pPr>
              <w:jc w:val="right"/>
              <w:rPr>
                <w:color w:val="000000"/>
                <w:sz w:val="20"/>
                <w:szCs w:val="20"/>
              </w:rPr>
            </w:pPr>
            <w:r w:rsidRPr="00FB7029">
              <w:rPr>
                <w:color w:val="000000"/>
                <w:sz w:val="20"/>
                <w:szCs w:val="20"/>
              </w:rPr>
              <w:t>1 312</w:t>
            </w:r>
          </w:p>
        </w:tc>
        <w:tc>
          <w:tcPr>
            <w:tcW w:w="1697" w:type="dxa"/>
            <w:shd w:val="clear" w:color="auto" w:fill="EAF1DD" w:themeFill="accent3" w:themeFillTint="33"/>
            <w:vAlign w:val="bottom"/>
            <w:hideMark/>
          </w:tcPr>
          <w:p w:rsidR="004A7F58" w:rsidRPr="00FB7029" w:rsidRDefault="004A7F58" w:rsidP="00E008A9">
            <w:pPr>
              <w:jc w:val="right"/>
              <w:rPr>
                <w:color w:val="000000"/>
                <w:sz w:val="20"/>
                <w:szCs w:val="20"/>
              </w:rPr>
            </w:pPr>
            <w:r w:rsidRPr="00FB7029">
              <w:rPr>
                <w:color w:val="000000"/>
                <w:sz w:val="20"/>
                <w:szCs w:val="20"/>
              </w:rPr>
              <w:t>1 850 712,02</w:t>
            </w:r>
          </w:p>
        </w:tc>
        <w:tc>
          <w:tcPr>
            <w:tcW w:w="966" w:type="dxa"/>
            <w:shd w:val="clear" w:color="auto" w:fill="EAF1DD" w:themeFill="accent3" w:themeFillTint="33"/>
            <w:vAlign w:val="bottom"/>
          </w:tcPr>
          <w:p w:rsidR="004A7F58" w:rsidRPr="00FB7029" w:rsidRDefault="004A7F58" w:rsidP="00E008A9">
            <w:pPr>
              <w:jc w:val="right"/>
              <w:rPr>
                <w:color w:val="000000"/>
                <w:sz w:val="20"/>
                <w:szCs w:val="20"/>
              </w:rPr>
            </w:pPr>
            <w:r w:rsidRPr="00FB7029">
              <w:rPr>
                <w:color w:val="000000"/>
                <w:sz w:val="20"/>
                <w:szCs w:val="20"/>
              </w:rPr>
              <w:t>8 660</w:t>
            </w:r>
          </w:p>
        </w:tc>
        <w:tc>
          <w:tcPr>
            <w:tcW w:w="1831" w:type="dxa"/>
            <w:shd w:val="clear" w:color="auto" w:fill="EAF1DD" w:themeFill="accent3" w:themeFillTint="33"/>
            <w:vAlign w:val="bottom"/>
          </w:tcPr>
          <w:p w:rsidR="004A7F58" w:rsidRPr="00FB7029" w:rsidRDefault="004A7F58" w:rsidP="00E008A9">
            <w:pPr>
              <w:jc w:val="right"/>
              <w:rPr>
                <w:color w:val="000000"/>
                <w:sz w:val="20"/>
                <w:szCs w:val="20"/>
              </w:rPr>
            </w:pPr>
            <w:r w:rsidRPr="00FB7029">
              <w:rPr>
                <w:color w:val="000000"/>
                <w:sz w:val="20"/>
                <w:szCs w:val="20"/>
              </w:rPr>
              <w:t>7 205 603,89</w:t>
            </w:r>
          </w:p>
        </w:tc>
      </w:tr>
      <w:tr w:rsidR="004A7F58" w:rsidRPr="00B51FDF" w:rsidTr="00E008A9">
        <w:trPr>
          <w:trHeight w:val="300"/>
          <w:jc w:val="center"/>
        </w:trPr>
        <w:tc>
          <w:tcPr>
            <w:tcW w:w="2699" w:type="dxa"/>
            <w:hideMark/>
          </w:tcPr>
          <w:p w:rsidR="004A7F58" w:rsidRPr="00FB7029" w:rsidRDefault="004A7F58" w:rsidP="00E008A9">
            <w:pPr>
              <w:rPr>
                <w:color w:val="000000"/>
                <w:sz w:val="20"/>
                <w:szCs w:val="20"/>
              </w:rPr>
            </w:pPr>
            <w:r w:rsidRPr="00FB7029">
              <w:rPr>
                <w:color w:val="000000"/>
                <w:sz w:val="20"/>
                <w:szCs w:val="20"/>
              </w:rPr>
              <w:t>Kancelárske IT zariadenia</w:t>
            </w:r>
          </w:p>
        </w:tc>
        <w:tc>
          <w:tcPr>
            <w:tcW w:w="945" w:type="dxa"/>
            <w:shd w:val="clear" w:color="auto" w:fill="F2DBDB" w:themeFill="accent2" w:themeFillTint="33"/>
            <w:vAlign w:val="bottom"/>
            <w:hideMark/>
          </w:tcPr>
          <w:p w:rsidR="004A7F58" w:rsidRPr="00FB7029" w:rsidRDefault="004A7F58" w:rsidP="00E008A9">
            <w:pPr>
              <w:jc w:val="right"/>
              <w:rPr>
                <w:color w:val="000000"/>
                <w:sz w:val="20"/>
                <w:szCs w:val="20"/>
              </w:rPr>
            </w:pPr>
            <w:r w:rsidRPr="00FB7029">
              <w:rPr>
                <w:color w:val="000000"/>
                <w:sz w:val="20"/>
                <w:szCs w:val="20"/>
              </w:rPr>
              <w:t>868</w:t>
            </w:r>
          </w:p>
        </w:tc>
        <w:tc>
          <w:tcPr>
            <w:tcW w:w="1535" w:type="dxa"/>
            <w:shd w:val="clear" w:color="auto" w:fill="F2DBDB" w:themeFill="accent2" w:themeFillTint="33"/>
            <w:vAlign w:val="bottom"/>
            <w:hideMark/>
          </w:tcPr>
          <w:p w:rsidR="004A7F58" w:rsidRPr="00FB7029" w:rsidRDefault="004A7F58" w:rsidP="00E008A9">
            <w:pPr>
              <w:jc w:val="right"/>
              <w:rPr>
                <w:color w:val="000000"/>
                <w:sz w:val="20"/>
                <w:szCs w:val="20"/>
              </w:rPr>
            </w:pPr>
            <w:r w:rsidRPr="00FB7029">
              <w:rPr>
                <w:color w:val="000000"/>
                <w:sz w:val="20"/>
                <w:szCs w:val="20"/>
              </w:rPr>
              <w:t>4 106 522,94</w:t>
            </w:r>
          </w:p>
        </w:tc>
        <w:tc>
          <w:tcPr>
            <w:tcW w:w="955" w:type="dxa"/>
            <w:shd w:val="clear" w:color="auto" w:fill="EAF1DD" w:themeFill="accent3" w:themeFillTint="33"/>
            <w:vAlign w:val="bottom"/>
            <w:hideMark/>
          </w:tcPr>
          <w:p w:rsidR="004A7F58" w:rsidRPr="00FB7029" w:rsidRDefault="004A7F58" w:rsidP="00E008A9">
            <w:pPr>
              <w:jc w:val="right"/>
              <w:rPr>
                <w:color w:val="000000"/>
                <w:sz w:val="20"/>
                <w:szCs w:val="20"/>
              </w:rPr>
            </w:pPr>
            <w:r w:rsidRPr="00FB7029">
              <w:rPr>
                <w:color w:val="000000"/>
                <w:sz w:val="20"/>
                <w:szCs w:val="20"/>
              </w:rPr>
              <w:t>296</w:t>
            </w:r>
          </w:p>
        </w:tc>
        <w:tc>
          <w:tcPr>
            <w:tcW w:w="1697" w:type="dxa"/>
            <w:shd w:val="clear" w:color="auto" w:fill="EAF1DD" w:themeFill="accent3" w:themeFillTint="33"/>
            <w:vAlign w:val="bottom"/>
            <w:hideMark/>
          </w:tcPr>
          <w:p w:rsidR="004A7F58" w:rsidRPr="00FB7029" w:rsidRDefault="004A7F58" w:rsidP="00E008A9">
            <w:pPr>
              <w:jc w:val="right"/>
              <w:rPr>
                <w:color w:val="000000"/>
                <w:sz w:val="20"/>
                <w:szCs w:val="20"/>
              </w:rPr>
            </w:pPr>
            <w:r w:rsidRPr="00FB7029">
              <w:rPr>
                <w:color w:val="000000"/>
                <w:sz w:val="20"/>
                <w:szCs w:val="20"/>
              </w:rPr>
              <w:t>338 956 927,92</w:t>
            </w:r>
          </w:p>
        </w:tc>
        <w:tc>
          <w:tcPr>
            <w:tcW w:w="966" w:type="dxa"/>
            <w:shd w:val="clear" w:color="auto" w:fill="EAF1DD" w:themeFill="accent3" w:themeFillTint="33"/>
            <w:vAlign w:val="bottom"/>
          </w:tcPr>
          <w:p w:rsidR="004A7F58" w:rsidRPr="00FB7029" w:rsidRDefault="004A7F58" w:rsidP="00E008A9">
            <w:pPr>
              <w:jc w:val="right"/>
              <w:rPr>
                <w:color w:val="000000"/>
                <w:sz w:val="20"/>
                <w:szCs w:val="20"/>
              </w:rPr>
            </w:pPr>
            <w:r w:rsidRPr="00FB7029">
              <w:rPr>
                <w:color w:val="000000"/>
                <w:sz w:val="20"/>
                <w:szCs w:val="20"/>
              </w:rPr>
              <w:t>1 164</w:t>
            </w:r>
          </w:p>
        </w:tc>
        <w:tc>
          <w:tcPr>
            <w:tcW w:w="1831" w:type="dxa"/>
            <w:shd w:val="clear" w:color="auto" w:fill="EAF1DD" w:themeFill="accent3" w:themeFillTint="33"/>
            <w:vAlign w:val="bottom"/>
          </w:tcPr>
          <w:p w:rsidR="004A7F58" w:rsidRPr="00FB7029" w:rsidRDefault="004A7F58" w:rsidP="00E008A9">
            <w:pPr>
              <w:jc w:val="right"/>
              <w:rPr>
                <w:color w:val="000000"/>
                <w:sz w:val="20"/>
                <w:szCs w:val="20"/>
              </w:rPr>
            </w:pPr>
            <w:r w:rsidRPr="00FB7029">
              <w:rPr>
                <w:color w:val="000000"/>
                <w:sz w:val="20"/>
                <w:szCs w:val="20"/>
              </w:rPr>
              <w:t>343 063 450,86</w:t>
            </w:r>
          </w:p>
        </w:tc>
      </w:tr>
      <w:tr w:rsidR="004A7F58" w:rsidRPr="00B51FDF" w:rsidTr="00E008A9">
        <w:trPr>
          <w:trHeight w:val="300"/>
          <w:jc w:val="center"/>
        </w:trPr>
        <w:tc>
          <w:tcPr>
            <w:tcW w:w="2699" w:type="dxa"/>
            <w:hideMark/>
          </w:tcPr>
          <w:p w:rsidR="004A7F58" w:rsidRPr="00FB7029" w:rsidRDefault="004A7F58" w:rsidP="00E008A9">
            <w:pPr>
              <w:rPr>
                <w:color w:val="000000"/>
                <w:sz w:val="20"/>
                <w:szCs w:val="20"/>
              </w:rPr>
            </w:pPr>
            <w:r w:rsidRPr="00FB7029">
              <w:rPr>
                <w:color w:val="000000"/>
                <w:sz w:val="20"/>
                <w:szCs w:val="20"/>
              </w:rPr>
              <w:t>Stavebníctvo</w:t>
            </w:r>
          </w:p>
        </w:tc>
        <w:tc>
          <w:tcPr>
            <w:tcW w:w="945" w:type="dxa"/>
            <w:shd w:val="clear" w:color="auto" w:fill="F2DBDB" w:themeFill="accent2" w:themeFillTint="33"/>
            <w:vAlign w:val="bottom"/>
            <w:hideMark/>
          </w:tcPr>
          <w:p w:rsidR="004A7F58" w:rsidRPr="00FB7029" w:rsidRDefault="004A7F58" w:rsidP="00E008A9">
            <w:pPr>
              <w:jc w:val="right"/>
              <w:rPr>
                <w:color w:val="000000"/>
                <w:sz w:val="20"/>
                <w:szCs w:val="20"/>
              </w:rPr>
            </w:pPr>
            <w:r w:rsidRPr="00FB7029">
              <w:rPr>
                <w:color w:val="000000"/>
                <w:sz w:val="20"/>
                <w:szCs w:val="20"/>
              </w:rPr>
              <w:t>2 421</w:t>
            </w:r>
          </w:p>
        </w:tc>
        <w:tc>
          <w:tcPr>
            <w:tcW w:w="1535" w:type="dxa"/>
            <w:shd w:val="clear" w:color="auto" w:fill="F2DBDB" w:themeFill="accent2" w:themeFillTint="33"/>
            <w:vAlign w:val="bottom"/>
            <w:hideMark/>
          </w:tcPr>
          <w:p w:rsidR="004A7F58" w:rsidRPr="00FB7029" w:rsidRDefault="004A7F58" w:rsidP="00E008A9">
            <w:pPr>
              <w:jc w:val="right"/>
              <w:rPr>
                <w:color w:val="000000"/>
                <w:sz w:val="20"/>
                <w:szCs w:val="20"/>
              </w:rPr>
            </w:pPr>
            <w:r w:rsidRPr="00FB7029">
              <w:rPr>
                <w:color w:val="000000"/>
                <w:sz w:val="20"/>
                <w:szCs w:val="20"/>
              </w:rPr>
              <w:t>135 213 420,79</w:t>
            </w:r>
          </w:p>
        </w:tc>
        <w:tc>
          <w:tcPr>
            <w:tcW w:w="955" w:type="dxa"/>
            <w:shd w:val="clear" w:color="auto" w:fill="EAF1DD" w:themeFill="accent3" w:themeFillTint="33"/>
            <w:vAlign w:val="bottom"/>
            <w:hideMark/>
          </w:tcPr>
          <w:p w:rsidR="004A7F58" w:rsidRPr="00FB7029" w:rsidRDefault="004A7F58" w:rsidP="00E008A9">
            <w:pPr>
              <w:jc w:val="right"/>
              <w:rPr>
                <w:color w:val="000000"/>
                <w:sz w:val="20"/>
                <w:szCs w:val="20"/>
              </w:rPr>
            </w:pPr>
            <w:r w:rsidRPr="00FB7029">
              <w:rPr>
                <w:color w:val="000000"/>
                <w:sz w:val="20"/>
                <w:szCs w:val="20"/>
              </w:rPr>
              <w:t>35 968</w:t>
            </w:r>
          </w:p>
        </w:tc>
        <w:tc>
          <w:tcPr>
            <w:tcW w:w="1697" w:type="dxa"/>
            <w:shd w:val="clear" w:color="auto" w:fill="EAF1DD" w:themeFill="accent3" w:themeFillTint="33"/>
            <w:vAlign w:val="bottom"/>
            <w:hideMark/>
          </w:tcPr>
          <w:p w:rsidR="004A7F58" w:rsidRPr="00FB7029" w:rsidRDefault="004A7F58" w:rsidP="00E008A9">
            <w:pPr>
              <w:jc w:val="right"/>
              <w:rPr>
                <w:color w:val="000000"/>
                <w:sz w:val="20"/>
                <w:szCs w:val="20"/>
              </w:rPr>
            </w:pPr>
            <w:r w:rsidRPr="00FB7029">
              <w:rPr>
                <w:color w:val="000000"/>
                <w:sz w:val="20"/>
                <w:szCs w:val="20"/>
              </w:rPr>
              <w:t>1 323 383 730,85</w:t>
            </w:r>
          </w:p>
        </w:tc>
        <w:tc>
          <w:tcPr>
            <w:tcW w:w="966" w:type="dxa"/>
            <w:shd w:val="clear" w:color="auto" w:fill="EAF1DD" w:themeFill="accent3" w:themeFillTint="33"/>
            <w:vAlign w:val="bottom"/>
          </w:tcPr>
          <w:p w:rsidR="004A7F58" w:rsidRPr="00FB7029" w:rsidRDefault="004A7F58" w:rsidP="00E008A9">
            <w:pPr>
              <w:jc w:val="right"/>
              <w:rPr>
                <w:color w:val="000000"/>
                <w:sz w:val="20"/>
                <w:szCs w:val="20"/>
              </w:rPr>
            </w:pPr>
            <w:r w:rsidRPr="00FB7029">
              <w:rPr>
                <w:color w:val="000000"/>
                <w:sz w:val="20"/>
                <w:szCs w:val="20"/>
              </w:rPr>
              <w:t>38 389</w:t>
            </w:r>
          </w:p>
        </w:tc>
        <w:tc>
          <w:tcPr>
            <w:tcW w:w="1831" w:type="dxa"/>
            <w:shd w:val="clear" w:color="auto" w:fill="EAF1DD" w:themeFill="accent3" w:themeFillTint="33"/>
            <w:vAlign w:val="bottom"/>
          </w:tcPr>
          <w:p w:rsidR="004A7F58" w:rsidRPr="00FB7029" w:rsidRDefault="004A7F58" w:rsidP="00E008A9">
            <w:pPr>
              <w:jc w:val="right"/>
              <w:rPr>
                <w:color w:val="000000"/>
                <w:sz w:val="20"/>
                <w:szCs w:val="20"/>
              </w:rPr>
            </w:pPr>
            <w:r w:rsidRPr="00FB7029">
              <w:rPr>
                <w:color w:val="000000"/>
                <w:sz w:val="20"/>
                <w:szCs w:val="20"/>
              </w:rPr>
              <w:t>1 458 597 151,64</w:t>
            </w:r>
          </w:p>
        </w:tc>
      </w:tr>
      <w:tr w:rsidR="004A7F58" w:rsidRPr="00B51FDF" w:rsidTr="00E008A9">
        <w:trPr>
          <w:trHeight w:val="300"/>
          <w:jc w:val="center"/>
        </w:trPr>
        <w:tc>
          <w:tcPr>
            <w:tcW w:w="2699" w:type="dxa"/>
            <w:hideMark/>
          </w:tcPr>
          <w:p w:rsidR="004A7F58" w:rsidRPr="00FB7029" w:rsidRDefault="004A7F58" w:rsidP="00E008A9">
            <w:pPr>
              <w:rPr>
                <w:color w:val="000000"/>
                <w:sz w:val="20"/>
                <w:szCs w:val="20"/>
              </w:rPr>
            </w:pPr>
            <w:r w:rsidRPr="00FB7029">
              <w:rPr>
                <w:color w:val="000000"/>
                <w:sz w:val="20"/>
                <w:szCs w:val="20"/>
              </w:rPr>
              <w:t>Doprava</w:t>
            </w:r>
          </w:p>
        </w:tc>
        <w:tc>
          <w:tcPr>
            <w:tcW w:w="945" w:type="dxa"/>
            <w:shd w:val="clear" w:color="auto" w:fill="F2DBDB" w:themeFill="accent2" w:themeFillTint="33"/>
            <w:vAlign w:val="bottom"/>
            <w:hideMark/>
          </w:tcPr>
          <w:p w:rsidR="004A7F58" w:rsidRPr="00FB7029" w:rsidRDefault="004A7F58" w:rsidP="00E008A9">
            <w:pPr>
              <w:jc w:val="right"/>
              <w:rPr>
                <w:color w:val="000000"/>
                <w:sz w:val="20"/>
                <w:szCs w:val="20"/>
              </w:rPr>
            </w:pPr>
            <w:r w:rsidRPr="00FB7029">
              <w:rPr>
                <w:color w:val="000000"/>
                <w:sz w:val="20"/>
                <w:szCs w:val="20"/>
              </w:rPr>
              <w:t>2 324</w:t>
            </w:r>
          </w:p>
        </w:tc>
        <w:tc>
          <w:tcPr>
            <w:tcW w:w="1535" w:type="dxa"/>
            <w:shd w:val="clear" w:color="auto" w:fill="F2DBDB" w:themeFill="accent2" w:themeFillTint="33"/>
            <w:vAlign w:val="bottom"/>
            <w:hideMark/>
          </w:tcPr>
          <w:p w:rsidR="004A7F58" w:rsidRPr="00FB7029" w:rsidRDefault="004A7F58" w:rsidP="00E008A9">
            <w:pPr>
              <w:jc w:val="right"/>
              <w:rPr>
                <w:color w:val="000000"/>
                <w:sz w:val="20"/>
                <w:szCs w:val="20"/>
              </w:rPr>
            </w:pPr>
            <w:r w:rsidRPr="00FB7029">
              <w:rPr>
                <w:color w:val="000000"/>
                <w:sz w:val="20"/>
                <w:szCs w:val="20"/>
              </w:rPr>
              <w:t>3 608 993,63</w:t>
            </w:r>
          </w:p>
        </w:tc>
        <w:tc>
          <w:tcPr>
            <w:tcW w:w="955" w:type="dxa"/>
            <w:shd w:val="clear" w:color="auto" w:fill="EAF1DD" w:themeFill="accent3" w:themeFillTint="33"/>
            <w:vAlign w:val="bottom"/>
            <w:hideMark/>
          </w:tcPr>
          <w:p w:rsidR="004A7F58" w:rsidRPr="00FB7029" w:rsidRDefault="004A7F58" w:rsidP="00E008A9">
            <w:pPr>
              <w:jc w:val="right"/>
              <w:rPr>
                <w:color w:val="000000"/>
                <w:sz w:val="20"/>
                <w:szCs w:val="20"/>
              </w:rPr>
            </w:pPr>
            <w:r w:rsidRPr="00FB7029">
              <w:rPr>
                <w:color w:val="000000"/>
                <w:sz w:val="20"/>
                <w:szCs w:val="20"/>
              </w:rPr>
              <w:t>198</w:t>
            </w:r>
          </w:p>
        </w:tc>
        <w:tc>
          <w:tcPr>
            <w:tcW w:w="1697" w:type="dxa"/>
            <w:shd w:val="clear" w:color="auto" w:fill="EAF1DD" w:themeFill="accent3" w:themeFillTint="33"/>
            <w:vAlign w:val="bottom"/>
            <w:hideMark/>
          </w:tcPr>
          <w:p w:rsidR="004A7F58" w:rsidRPr="00FB7029" w:rsidRDefault="004A7F58" w:rsidP="00E008A9">
            <w:pPr>
              <w:jc w:val="right"/>
              <w:rPr>
                <w:color w:val="000000"/>
                <w:sz w:val="20"/>
                <w:szCs w:val="20"/>
              </w:rPr>
            </w:pPr>
            <w:r w:rsidRPr="00FB7029">
              <w:rPr>
                <w:color w:val="000000"/>
                <w:sz w:val="20"/>
                <w:szCs w:val="20"/>
              </w:rPr>
              <w:t>29 093 304,62</w:t>
            </w:r>
          </w:p>
        </w:tc>
        <w:tc>
          <w:tcPr>
            <w:tcW w:w="966" w:type="dxa"/>
            <w:shd w:val="clear" w:color="auto" w:fill="EAF1DD" w:themeFill="accent3" w:themeFillTint="33"/>
            <w:vAlign w:val="bottom"/>
          </w:tcPr>
          <w:p w:rsidR="004A7F58" w:rsidRPr="00FB7029" w:rsidRDefault="004A7F58" w:rsidP="00E008A9">
            <w:pPr>
              <w:jc w:val="right"/>
              <w:rPr>
                <w:color w:val="000000"/>
                <w:sz w:val="20"/>
                <w:szCs w:val="20"/>
              </w:rPr>
            </w:pPr>
            <w:r w:rsidRPr="00FB7029">
              <w:rPr>
                <w:color w:val="000000"/>
                <w:sz w:val="20"/>
                <w:szCs w:val="20"/>
              </w:rPr>
              <w:t>2 522</w:t>
            </w:r>
          </w:p>
        </w:tc>
        <w:tc>
          <w:tcPr>
            <w:tcW w:w="1831" w:type="dxa"/>
            <w:shd w:val="clear" w:color="auto" w:fill="EAF1DD" w:themeFill="accent3" w:themeFillTint="33"/>
            <w:vAlign w:val="bottom"/>
          </w:tcPr>
          <w:p w:rsidR="004A7F58" w:rsidRPr="00FB7029" w:rsidRDefault="004A7F58" w:rsidP="00E008A9">
            <w:pPr>
              <w:jc w:val="right"/>
              <w:rPr>
                <w:color w:val="000000"/>
                <w:sz w:val="20"/>
                <w:szCs w:val="20"/>
              </w:rPr>
            </w:pPr>
            <w:r w:rsidRPr="00FB7029">
              <w:rPr>
                <w:color w:val="000000"/>
                <w:sz w:val="20"/>
                <w:szCs w:val="20"/>
              </w:rPr>
              <w:t>32 702 298,25</w:t>
            </w:r>
          </w:p>
        </w:tc>
      </w:tr>
      <w:tr w:rsidR="004A7F58" w:rsidRPr="00B51FDF" w:rsidTr="00E008A9">
        <w:trPr>
          <w:trHeight w:val="300"/>
          <w:jc w:val="center"/>
        </w:trPr>
        <w:tc>
          <w:tcPr>
            <w:tcW w:w="2699" w:type="dxa"/>
            <w:hideMark/>
          </w:tcPr>
          <w:p w:rsidR="004A7F58" w:rsidRPr="00FB7029" w:rsidRDefault="004A7F58" w:rsidP="00E008A9">
            <w:pPr>
              <w:rPr>
                <w:color w:val="000000"/>
                <w:sz w:val="20"/>
                <w:szCs w:val="20"/>
              </w:rPr>
            </w:pPr>
            <w:r w:rsidRPr="00FB7029">
              <w:rPr>
                <w:color w:val="000000"/>
                <w:sz w:val="20"/>
                <w:szCs w:val="20"/>
              </w:rPr>
              <w:t>Nábytok</w:t>
            </w:r>
          </w:p>
        </w:tc>
        <w:tc>
          <w:tcPr>
            <w:tcW w:w="945" w:type="dxa"/>
            <w:shd w:val="clear" w:color="auto" w:fill="F2DBDB" w:themeFill="accent2" w:themeFillTint="33"/>
            <w:vAlign w:val="bottom"/>
            <w:hideMark/>
          </w:tcPr>
          <w:p w:rsidR="004A7F58" w:rsidRPr="00FB7029" w:rsidRDefault="004A7F58" w:rsidP="00E008A9">
            <w:pPr>
              <w:jc w:val="right"/>
              <w:rPr>
                <w:color w:val="000000"/>
                <w:sz w:val="20"/>
                <w:szCs w:val="20"/>
              </w:rPr>
            </w:pPr>
            <w:r w:rsidRPr="00FB7029">
              <w:rPr>
                <w:color w:val="000000"/>
                <w:sz w:val="20"/>
                <w:szCs w:val="20"/>
              </w:rPr>
              <w:t>1 563</w:t>
            </w:r>
          </w:p>
        </w:tc>
        <w:tc>
          <w:tcPr>
            <w:tcW w:w="1535" w:type="dxa"/>
            <w:shd w:val="clear" w:color="auto" w:fill="F2DBDB" w:themeFill="accent2" w:themeFillTint="33"/>
            <w:vAlign w:val="bottom"/>
            <w:hideMark/>
          </w:tcPr>
          <w:p w:rsidR="004A7F58" w:rsidRPr="00FB7029" w:rsidRDefault="004A7F58" w:rsidP="00E008A9">
            <w:pPr>
              <w:jc w:val="right"/>
              <w:rPr>
                <w:color w:val="000000"/>
                <w:sz w:val="20"/>
                <w:szCs w:val="20"/>
              </w:rPr>
            </w:pPr>
            <w:r w:rsidRPr="00FB7029">
              <w:rPr>
                <w:color w:val="000000"/>
                <w:sz w:val="20"/>
                <w:szCs w:val="20"/>
              </w:rPr>
              <w:t>2 279 327,51</w:t>
            </w:r>
          </w:p>
        </w:tc>
        <w:tc>
          <w:tcPr>
            <w:tcW w:w="955" w:type="dxa"/>
            <w:shd w:val="clear" w:color="auto" w:fill="EAF1DD" w:themeFill="accent3" w:themeFillTint="33"/>
            <w:vAlign w:val="bottom"/>
            <w:hideMark/>
          </w:tcPr>
          <w:p w:rsidR="004A7F58" w:rsidRPr="00FB7029" w:rsidRDefault="004A7F58" w:rsidP="00E008A9">
            <w:pPr>
              <w:jc w:val="right"/>
              <w:rPr>
                <w:color w:val="000000"/>
                <w:sz w:val="20"/>
                <w:szCs w:val="20"/>
              </w:rPr>
            </w:pPr>
            <w:r w:rsidRPr="00FB7029">
              <w:rPr>
                <w:color w:val="000000"/>
                <w:sz w:val="20"/>
                <w:szCs w:val="20"/>
              </w:rPr>
              <w:t>85</w:t>
            </w:r>
          </w:p>
        </w:tc>
        <w:tc>
          <w:tcPr>
            <w:tcW w:w="1697" w:type="dxa"/>
            <w:shd w:val="clear" w:color="auto" w:fill="EAF1DD" w:themeFill="accent3" w:themeFillTint="33"/>
            <w:vAlign w:val="bottom"/>
            <w:hideMark/>
          </w:tcPr>
          <w:p w:rsidR="004A7F58" w:rsidRPr="00FB7029" w:rsidRDefault="004A7F58" w:rsidP="00E008A9">
            <w:pPr>
              <w:jc w:val="right"/>
              <w:rPr>
                <w:color w:val="000000"/>
                <w:sz w:val="20"/>
                <w:szCs w:val="20"/>
              </w:rPr>
            </w:pPr>
            <w:r w:rsidRPr="00FB7029">
              <w:rPr>
                <w:color w:val="000000"/>
                <w:sz w:val="20"/>
                <w:szCs w:val="20"/>
              </w:rPr>
              <w:t>190 049,58</w:t>
            </w:r>
          </w:p>
        </w:tc>
        <w:tc>
          <w:tcPr>
            <w:tcW w:w="966" w:type="dxa"/>
            <w:shd w:val="clear" w:color="auto" w:fill="EAF1DD" w:themeFill="accent3" w:themeFillTint="33"/>
            <w:vAlign w:val="bottom"/>
          </w:tcPr>
          <w:p w:rsidR="004A7F58" w:rsidRPr="00FB7029" w:rsidRDefault="004A7F58" w:rsidP="00E008A9">
            <w:pPr>
              <w:jc w:val="right"/>
              <w:rPr>
                <w:color w:val="000000"/>
                <w:sz w:val="20"/>
                <w:szCs w:val="20"/>
              </w:rPr>
            </w:pPr>
            <w:r w:rsidRPr="00FB7029">
              <w:rPr>
                <w:color w:val="000000"/>
                <w:sz w:val="20"/>
                <w:szCs w:val="20"/>
              </w:rPr>
              <w:t>1 648</w:t>
            </w:r>
          </w:p>
        </w:tc>
        <w:tc>
          <w:tcPr>
            <w:tcW w:w="1831" w:type="dxa"/>
            <w:shd w:val="clear" w:color="auto" w:fill="EAF1DD" w:themeFill="accent3" w:themeFillTint="33"/>
            <w:vAlign w:val="bottom"/>
          </w:tcPr>
          <w:p w:rsidR="004A7F58" w:rsidRPr="00FB7029" w:rsidRDefault="004A7F58" w:rsidP="00E008A9">
            <w:pPr>
              <w:jc w:val="right"/>
              <w:rPr>
                <w:color w:val="000000"/>
                <w:sz w:val="20"/>
                <w:szCs w:val="20"/>
              </w:rPr>
            </w:pPr>
            <w:r w:rsidRPr="00FB7029">
              <w:rPr>
                <w:color w:val="000000"/>
                <w:sz w:val="20"/>
                <w:szCs w:val="20"/>
              </w:rPr>
              <w:t>2 469 377,09</w:t>
            </w:r>
          </w:p>
        </w:tc>
      </w:tr>
      <w:tr w:rsidR="004A7F58" w:rsidRPr="00B51FDF" w:rsidTr="00E008A9">
        <w:trPr>
          <w:trHeight w:val="300"/>
          <w:jc w:val="center"/>
        </w:trPr>
        <w:tc>
          <w:tcPr>
            <w:tcW w:w="2699" w:type="dxa"/>
            <w:hideMark/>
          </w:tcPr>
          <w:p w:rsidR="004A7F58" w:rsidRPr="00FB7029" w:rsidRDefault="004A7F58" w:rsidP="00E008A9">
            <w:pPr>
              <w:rPr>
                <w:color w:val="000000"/>
                <w:sz w:val="20"/>
                <w:szCs w:val="20"/>
              </w:rPr>
            </w:pPr>
            <w:r w:rsidRPr="00FB7029">
              <w:rPr>
                <w:color w:val="000000"/>
                <w:sz w:val="20"/>
                <w:szCs w:val="20"/>
              </w:rPr>
              <w:t>Elektrická energia</w:t>
            </w:r>
          </w:p>
        </w:tc>
        <w:tc>
          <w:tcPr>
            <w:tcW w:w="945" w:type="dxa"/>
            <w:shd w:val="clear" w:color="auto" w:fill="F2DBDB" w:themeFill="accent2" w:themeFillTint="33"/>
            <w:vAlign w:val="bottom"/>
            <w:hideMark/>
          </w:tcPr>
          <w:p w:rsidR="004A7F58" w:rsidRPr="00FB7029" w:rsidRDefault="004A7F58" w:rsidP="00E008A9">
            <w:pPr>
              <w:jc w:val="right"/>
              <w:rPr>
                <w:color w:val="000000"/>
                <w:sz w:val="20"/>
                <w:szCs w:val="20"/>
              </w:rPr>
            </w:pPr>
            <w:r w:rsidRPr="00FB7029">
              <w:rPr>
                <w:color w:val="000000"/>
                <w:sz w:val="20"/>
                <w:szCs w:val="20"/>
              </w:rPr>
              <w:t>2 112</w:t>
            </w:r>
          </w:p>
        </w:tc>
        <w:tc>
          <w:tcPr>
            <w:tcW w:w="1535" w:type="dxa"/>
            <w:shd w:val="clear" w:color="auto" w:fill="F2DBDB" w:themeFill="accent2" w:themeFillTint="33"/>
            <w:vAlign w:val="bottom"/>
            <w:hideMark/>
          </w:tcPr>
          <w:p w:rsidR="004A7F58" w:rsidRPr="00FB7029" w:rsidRDefault="004A7F58" w:rsidP="00E008A9">
            <w:pPr>
              <w:jc w:val="right"/>
              <w:rPr>
                <w:color w:val="000000"/>
                <w:sz w:val="20"/>
                <w:szCs w:val="20"/>
              </w:rPr>
            </w:pPr>
            <w:r w:rsidRPr="00FB7029">
              <w:rPr>
                <w:color w:val="000000"/>
                <w:sz w:val="20"/>
                <w:szCs w:val="20"/>
              </w:rPr>
              <w:t>35 523 791,78</w:t>
            </w:r>
          </w:p>
        </w:tc>
        <w:tc>
          <w:tcPr>
            <w:tcW w:w="955" w:type="dxa"/>
            <w:shd w:val="clear" w:color="auto" w:fill="EAF1DD" w:themeFill="accent3" w:themeFillTint="33"/>
            <w:vAlign w:val="bottom"/>
            <w:hideMark/>
          </w:tcPr>
          <w:p w:rsidR="004A7F58" w:rsidRPr="00FB7029" w:rsidRDefault="004A7F58" w:rsidP="00E008A9">
            <w:pPr>
              <w:jc w:val="right"/>
              <w:rPr>
                <w:color w:val="000000"/>
                <w:sz w:val="20"/>
                <w:szCs w:val="20"/>
              </w:rPr>
            </w:pPr>
            <w:r w:rsidRPr="00FB7029">
              <w:rPr>
                <w:color w:val="000000"/>
                <w:sz w:val="20"/>
                <w:szCs w:val="20"/>
              </w:rPr>
              <w:t>1</w:t>
            </w:r>
          </w:p>
        </w:tc>
        <w:tc>
          <w:tcPr>
            <w:tcW w:w="1697" w:type="dxa"/>
            <w:shd w:val="clear" w:color="auto" w:fill="EAF1DD" w:themeFill="accent3" w:themeFillTint="33"/>
            <w:vAlign w:val="bottom"/>
            <w:hideMark/>
          </w:tcPr>
          <w:p w:rsidR="004A7F58" w:rsidRPr="00FB7029" w:rsidRDefault="004A7F58" w:rsidP="00E008A9">
            <w:pPr>
              <w:jc w:val="right"/>
              <w:rPr>
                <w:color w:val="000000"/>
                <w:sz w:val="20"/>
                <w:szCs w:val="20"/>
              </w:rPr>
            </w:pPr>
            <w:r w:rsidRPr="00FB7029">
              <w:rPr>
                <w:color w:val="000000"/>
                <w:sz w:val="20"/>
                <w:szCs w:val="20"/>
              </w:rPr>
              <w:t>14 904,02</w:t>
            </w:r>
          </w:p>
        </w:tc>
        <w:tc>
          <w:tcPr>
            <w:tcW w:w="966" w:type="dxa"/>
            <w:shd w:val="clear" w:color="auto" w:fill="EAF1DD" w:themeFill="accent3" w:themeFillTint="33"/>
            <w:vAlign w:val="bottom"/>
          </w:tcPr>
          <w:p w:rsidR="004A7F58" w:rsidRPr="00FB7029" w:rsidRDefault="004A7F58" w:rsidP="00E008A9">
            <w:pPr>
              <w:jc w:val="right"/>
              <w:rPr>
                <w:color w:val="000000"/>
                <w:sz w:val="20"/>
                <w:szCs w:val="20"/>
              </w:rPr>
            </w:pPr>
            <w:r w:rsidRPr="00FB7029">
              <w:rPr>
                <w:color w:val="000000"/>
                <w:sz w:val="20"/>
                <w:szCs w:val="20"/>
              </w:rPr>
              <w:t>2 113</w:t>
            </w:r>
          </w:p>
        </w:tc>
        <w:tc>
          <w:tcPr>
            <w:tcW w:w="1831" w:type="dxa"/>
            <w:shd w:val="clear" w:color="auto" w:fill="EAF1DD" w:themeFill="accent3" w:themeFillTint="33"/>
            <w:vAlign w:val="bottom"/>
          </w:tcPr>
          <w:p w:rsidR="004A7F58" w:rsidRPr="00FB7029" w:rsidRDefault="004A7F58" w:rsidP="00E008A9">
            <w:pPr>
              <w:jc w:val="right"/>
              <w:rPr>
                <w:color w:val="000000"/>
                <w:sz w:val="20"/>
                <w:szCs w:val="20"/>
              </w:rPr>
            </w:pPr>
            <w:r w:rsidRPr="00FB7029">
              <w:rPr>
                <w:color w:val="000000"/>
                <w:sz w:val="20"/>
                <w:szCs w:val="20"/>
              </w:rPr>
              <w:t>35 538 695,80</w:t>
            </w:r>
          </w:p>
        </w:tc>
      </w:tr>
      <w:tr w:rsidR="004A7F58" w:rsidRPr="00B51FDF" w:rsidTr="00E008A9">
        <w:trPr>
          <w:trHeight w:val="300"/>
          <w:jc w:val="center"/>
        </w:trPr>
        <w:tc>
          <w:tcPr>
            <w:tcW w:w="2699" w:type="dxa"/>
            <w:hideMark/>
          </w:tcPr>
          <w:p w:rsidR="004A7F58" w:rsidRPr="00FB7029" w:rsidRDefault="004A7F58" w:rsidP="00E008A9">
            <w:pPr>
              <w:rPr>
                <w:color w:val="000000"/>
                <w:sz w:val="20"/>
                <w:szCs w:val="20"/>
              </w:rPr>
            </w:pPr>
            <w:r w:rsidRPr="00FB7029">
              <w:rPr>
                <w:color w:val="000000"/>
                <w:sz w:val="20"/>
                <w:szCs w:val="20"/>
              </w:rPr>
              <w:t>Stravovacie služby a zásobovanie potravinami</w:t>
            </w:r>
          </w:p>
        </w:tc>
        <w:tc>
          <w:tcPr>
            <w:tcW w:w="945" w:type="dxa"/>
            <w:shd w:val="clear" w:color="auto" w:fill="F2DBDB" w:themeFill="accent2" w:themeFillTint="33"/>
            <w:vAlign w:val="bottom"/>
            <w:hideMark/>
          </w:tcPr>
          <w:p w:rsidR="004A7F58" w:rsidRPr="00FB7029" w:rsidRDefault="004A7F58" w:rsidP="00E008A9">
            <w:pPr>
              <w:jc w:val="right"/>
              <w:rPr>
                <w:color w:val="000000"/>
                <w:sz w:val="20"/>
                <w:szCs w:val="20"/>
              </w:rPr>
            </w:pPr>
            <w:r w:rsidRPr="00FB7029">
              <w:rPr>
                <w:color w:val="000000"/>
                <w:sz w:val="20"/>
                <w:szCs w:val="20"/>
              </w:rPr>
              <w:t>45 712</w:t>
            </w:r>
          </w:p>
        </w:tc>
        <w:tc>
          <w:tcPr>
            <w:tcW w:w="1535" w:type="dxa"/>
            <w:shd w:val="clear" w:color="auto" w:fill="F2DBDB" w:themeFill="accent2" w:themeFillTint="33"/>
            <w:vAlign w:val="bottom"/>
            <w:hideMark/>
          </w:tcPr>
          <w:p w:rsidR="004A7F58" w:rsidRPr="00FB7029" w:rsidRDefault="004A7F58" w:rsidP="00E008A9">
            <w:pPr>
              <w:jc w:val="right"/>
              <w:rPr>
                <w:color w:val="000000"/>
                <w:sz w:val="20"/>
                <w:szCs w:val="20"/>
              </w:rPr>
            </w:pPr>
            <w:r w:rsidRPr="00FB7029">
              <w:rPr>
                <w:color w:val="000000"/>
                <w:sz w:val="20"/>
                <w:szCs w:val="20"/>
              </w:rPr>
              <w:t>60 981 102,48</w:t>
            </w:r>
          </w:p>
        </w:tc>
        <w:tc>
          <w:tcPr>
            <w:tcW w:w="955" w:type="dxa"/>
            <w:shd w:val="clear" w:color="auto" w:fill="EAF1DD" w:themeFill="accent3" w:themeFillTint="33"/>
            <w:vAlign w:val="bottom"/>
            <w:hideMark/>
          </w:tcPr>
          <w:p w:rsidR="004A7F58" w:rsidRPr="00FB7029" w:rsidRDefault="004A7F58" w:rsidP="00E008A9">
            <w:pPr>
              <w:jc w:val="right"/>
              <w:rPr>
                <w:color w:val="000000"/>
                <w:sz w:val="20"/>
                <w:szCs w:val="20"/>
              </w:rPr>
            </w:pPr>
            <w:r w:rsidRPr="00FB7029">
              <w:rPr>
                <w:color w:val="000000"/>
                <w:sz w:val="20"/>
                <w:szCs w:val="20"/>
              </w:rPr>
              <w:t>1 617</w:t>
            </w:r>
          </w:p>
        </w:tc>
        <w:tc>
          <w:tcPr>
            <w:tcW w:w="1697" w:type="dxa"/>
            <w:shd w:val="clear" w:color="auto" w:fill="EAF1DD" w:themeFill="accent3" w:themeFillTint="33"/>
            <w:vAlign w:val="bottom"/>
            <w:hideMark/>
          </w:tcPr>
          <w:p w:rsidR="004A7F58" w:rsidRPr="00FB7029" w:rsidRDefault="004A7F58" w:rsidP="00E008A9">
            <w:pPr>
              <w:jc w:val="right"/>
              <w:rPr>
                <w:color w:val="000000"/>
                <w:sz w:val="20"/>
                <w:szCs w:val="20"/>
              </w:rPr>
            </w:pPr>
            <w:r w:rsidRPr="00FB7029">
              <w:rPr>
                <w:color w:val="000000"/>
                <w:sz w:val="20"/>
                <w:szCs w:val="20"/>
              </w:rPr>
              <w:t>3 890 876,61</w:t>
            </w:r>
          </w:p>
        </w:tc>
        <w:tc>
          <w:tcPr>
            <w:tcW w:w="966" w:type="dxa"/>
            <w:shd w:val="clear" w:color="auto" w:fill="EAF1DD" w:themeFill="accent3" w:themeFillTint="33"/>
            <w:vAlign w:val="bottom"/>
          </w:tcPr>
          <w:p w:rsidR="004A7F58" w:rsidRPr="00FB7029" w:rsidRDefault="004A7F58" w:rsidP="00E008A9">
            <w:pPr>
              <w:jc w:val="right"/>
              <w:rPr>
                <w:color w:val="000000"/>
                <w:sz w:val="20"/>
                <w:szCs w:val="20"/>
              </w:rPr>
            </w:pPr>
            <w:r w:rsidRPr="00FB7029">
              <w:rPr>
                <w:color w:val="000000"/>
                <w:sz w:val="20"/>
                <w:szCs w:val="20"/>
              </w:rPr>
              <w:t>47 329</w:t>
            </w:r>
          </w:p>
        </w:tc>
        <w:tc>
          <w:tcPr>
            <w:tcW w:w="1831" w:type="dxa"/>
            <w:shd w:val="clear" w:color="auto" w:fill="EAF1DD" w:themeFill="accent3" w:themeFillTint="33"/>
            <w:vAlign w:val="bottom"/>
          </w:tcPr>
          <w:p w:rsidR="004A7F58" w:rsidRPr="00FB7029" w:rsidRDefault="004A7F58" w:rsidP="00E008A9">
            <w:pPr>
              <w:jc w:val="right"/>
              <w:rPr>
                <w:color w:val="000000"/>
                <w:sz w:val="20"/>
                <w:szCs w:val="20"/>
              </w:rPr>
            </w:pPr>
            <w:r w:rsidRPr="00FB7029">
              <w:rPr>
                <w:color w:val="000000"/>
                <w:sz w:val="20"/>
                <w:szCs w:val="20"/>
              </w:rPr>
              <w:t>64 871 979,09</w:t>
            </w:r>
          </w:p>
        </w:tc>
      </w:tr>
      <w:tr w:rsidR="004A7F58" w:rsidRPr="00B51FDF" w:rsidTr="00E008A9">
        <w:trPr>
          <w:trHeight w:val="300"/>
          <w:jc w:val="center"/>
        </w:trPr>
        <w:tc>
          <w:tcPr>
            <w:tcW w:w="2699" w:type="dxa"/>
            <w:hideMark/>
          </w:tcPr>
          <w:p w:rsidR="004A7F58" w:rsidRPr="00FB7029" w:rsidRDefault="004A7F58" w:rsidP="00E008A9">
            <w:pPr>
              <w:rPr>
                <w:color w:val="000000"/>
                <w:sz w:val="20"/>
                <w:szCs w:val="20"/>
              </w:rPr>
            </w:pPr>
            <w:r w:rsidRPr="00FB7029">
              <w:rPr>
                <w:color w:val="000000"/>
                <w:sz w:val="20"/>
                <w:szCs w:val="20"/>
              </w:rPr>
              <w:t>Textílie</w:t>
            </w:r>
          </w:p>
        </w:tc>
        <w:tc>
          <w:tcPr>
            <w:tcW w:w="945" w:type="dxa"/>
            <w:shd w:val="clear" w:color="auto" w:fill="F2DBDB" w:themeFill="accent2" w:themeFillTint="33"/>
            <w:vAlign w:val="bottom"/>
            <w:hideMark/>
          </w:tcPr>
          <w:p w:rsidR="004A7F58" w:rsidRPr="00FB7029" w:rsidRDefault="004A7F58" w:rsidP="00E008A9">
            <w:pPr>
              <w:jc w:val="right"/>
              <w:rPr>
                <w:color w:val="000000"/>
                <w:sz w:val="20"/>
                <w:szCs w:val="20"/>
              </w:rPr>
            </w:pPr>
            <w:r w:rsidRPr="00FB7029">
              <w:rPr>
                <w:color w:val="000000"/>
                <w:sz w:val="20"/>
                <w:szCs w:val="20"/>
              </w:rPr>
              <w:t>2 321</w:t>
            </w:r>
          </w:p>
        </w:tc>
        <w:tc>
          <w:tcPr>
            <w:tcW w:w="1535" w:type="dxa"/>
            <w:shd w:val="clear" w:color="auto" w:fill="F2DBDB" w:themeFill="accent2" w:themeFillTint="33"/>
            <w:vAlign w:val="bottom"/>
            <w:hideMark/>
          </w:tcPr>
          <w:p w:rsidR="004A7F58" w:rsidRPr="00FB7029" w:rsidRDefault="004A7F58" w:rsidP="00E008A9">
            <w:pPr>
              <w:jc w:val="right"/>
              <w:rPr>
                <w:color w:val="000000"/>
                <w:sz w:val="20"/>
                <w:szCs w:val="20"/>
              </w:rPr>
            </w:pPr>
            <w:r w:rsidRPr="00FB7029">
              <w:rPr>
                <w:color w:val="000000"/>
                <w:sz w:val="20"/>
                <w:szCs w:val="20"/>
              </w:rPr>
              <w:t>6 176 411,85</w:t>
            </w:r>
          </w:p>
        </w:tc>
        <w:tc>
          <w:tcPr>
            <w:tcW w:w="955" w:type="dxa"/>
            <w:shd w:val="clear" w:color="auto" w:fill="EAF1DD" w:themeFill="accent3" w:themeFillTint="33"/>
            <w:vAlign w:val="bottom"/>
            <w:hideMark/>
          </w:tcPr>
          <w:p w:rsidR="004A7F58" w:rsidRPr="00FB7029" w:rsidRDefault="004A7F58" w:rsidP="00E008A9">
            <w:pPr>
              <w:jc w:val="right"/>
              <w:rPr>
                <w:color w:val="000000"/>
                <w:sz w:val="20"/>
                <w:szCs w:val="20"/>
              </w:rPr>
            </w:pPr>
            <w:r w:rsidRPr="00FB7029">
              <w:rPr>
                <w:color w:val="000000"/>
                <w:sz w:val="20"/>
                <w:szCs w:val="20"/>
              </w:rPr>
              <w:t>64</w:t>
            </w:r>
          </w:p>
        </w:tc>
        <w:tc>
          <w:tcPr>
            <w:tcW w:w="1697" w:type="dxa"/>
            <w:shd w:val="clear" w:color="auto" w:fill="EAF1DD" w:themeFill="accent3" w:themeFillTint="33"/>
            <w:vAlign w:val="bottom"/>
            <w:hideMark/>
          </w:tcPr>
          <w:p w:rsidR="004A7F58" w:rsidRPr="00FB7029" w:rsidRDefault="004A7F58" w:rsidP="00E008A9">
            <w:pPr>
              <w:jc w:val="right"/>
              <w:rPr>
                <w:color w:val="000000"/>
                <w:sz w:val="20"/>
                <w:szCs w:val="20"/>
              </w:rPr>
            </w:pPr>
            <w:r w:rsidRPr="00FB7029">
              <w:rPr>
                <w:color w:val="000000"/>
                <w:sz w:val="20"/>
                <w:szCs w:val="20"/>
              </w:rPr>
              <w:t>4 120 166,39</w:t>
            </w:r>
          </w:p>
        </w:tc>
        <w:tc>
          <w:tcPr>
            <w:tcW w:w="966" w:type="dxa"/>
            <w:shd w:val="clear" w:color="auto" w:fill="EAF1DD" w:themeFill="accent3" w:themeFillTint="33"/>
            <w:vAlign w:val="bottom"/>
          </w:tcPr>
          <w:p w:rsidR="004A7F58" w:rsidRPr="00FB7029" w:rsidRDefault="004A7F58" w:rsidP="00E008A9">
            <w:pPr>
              <w:jc w:val="right"/>
              <w:rPr>
                <w:color w:val="000000"/>
                <w:sz w:val="20"/>
                <w:szCs w:val="20"/>
              </w:rPr>
            </w:pPr>
            <w:r w:rsidRPr="00FB7029">
              <w:rPr>
                <w:color w:val="000000"/>
                <w:sz w:val="20"/>
                <w:szCs w:val="20"/>
              </w:rPr>
              <w:t>2 385</w:t>
            </w:r>
          </w:p>
        </w:tc>
        <w:tc>
          <w:tcPr>
            <w:tcW w:w="1831" w:type="dxa"/>
            <w:shd w:val="clear" w:color="auto" w:fill="EAF1DD" w:themeFill="accent3" w:themeFillTint="33"/>
            <w:vAlign w:val="bottom"/>
          </w:tcPr>
          <w:p w:rsidR="004A7F58" w:rsidRPr="00FB7029" w:rsidRDefault="004A7F58" w:rsidP="00E008A9">
            <w:pPr>
              <w:jc w:val="right"/>
              <w:rPr>
                <w:color w:val="000000"/>
                <w:sz w:val="20"/>
                <w:szCs w:val="20"/>
              </w:rPr>
            </w:pPr>
            <w:r w:rsidRPr="00FB7029">
              <w:rPr>
                <w:color w:val="000000"/>
                <w:sz w:val="20"/>
                <w:szCs w:val="20"/>
              </w:rPr>
              <w:t>10 296 578,24</w:t>
            </w:r>
          </w:p>
        </w:tc>
      </w:tr>
      <w:tr w:rsidR="004A7F58" w:rsidRPr="00B51FDF" w:rsidTr="00E008A9">
        <w:trPr>
          <w:trHeight w:val="300"/>
          <w:jc w:val="center"/>
        </w:trPr>
        <w:tc>
          <w:tcPr>
            <w:tcW w:w="2699" w:type="dxa"/>
            <w:hideMark/>
          </w:tcPr>
          <w:p w:rsidR="004A7F58" w:rsidRPr="00FB7029" w:rsidRDefault="004A7F58" w:rsidP="00E008A9">
            <w:pPr>
              <w:rPr>
                <w:color w:val="000000"/>
                <w:sz w:val="20"/>
                <w:szCs w:val="20"/>
              </w:rPr>
            </w:pPr>
            <w:r w:rsidRPr="00FB7029">
              <w:rPr>
                <w:color w:val="000000"/>
                <w:sz w:val="20"/>
                <w:szCs w:val="20"/>
              </w:rPr>
              <w:t>Záhradnícke produkty a služby</w:t>
            </w:r>
          </w:p>
        </w:tc>
        <w:tc>
          <w:tcPr>
            <w:tcW w:w="945" w:type="dxa"/>
            <w:shd w:val="clear" w:color="auto" w:fill="F2DBDB" w:themeFill="accent2" w:themeFillTint="33"/>
            <w:vAlign w:val="bottom"/>
            <w:hideMark/>
          </w:tcPr>
          <w:p w:rsidR="004A7F58" w:rsidRPr="00FB7029" w:rsidRDefault="004A7F58" w:rsidP="00E008A9">
            <w:pPr>
              <w:jc w:val="right"/>
              <w:rPr>
                <w:color w:val="000000"/>
                <w:sz w:val="20"/>
                <w:szCs w:val="20"/>
              </w:rPr>
            </w:pPr>
            <w:r w:rsidRPr="00FB7029">
              <w:rPr>
                <w:color w:val="000000"/>
                <w:sz w:val="20"/>
                <w:szCs w:val="20"/>
              </w:rPr>
              <w:t>496</w:t>
            </w:r>
          </w:p>
        </w:tc>
        <w:tc>
          <w:tcPr>
            <w:tcW w:w="1535" w:type="dxa"/>
            <w:shd w:val="clear" w:color="auto" w:fill="F2DBDB" w:themeFill="accent2" w:themeFillTint="33"/>
            <w:vAlign w:val="bottom"/>
            <w:hideMark/>
          </w:tcPr>
          <w:p w:rsidR="004A7F58" w:rsidRPr="00FB7029" w:rsidRDefault="004A7F58" w:rsidP="00E008A9">
            <w:pPr>
              <w:jc w:val="right"/>
              <w:rPr>
                <w:color w:val="000000"/>
                <w:sz w:val="20"/>
                <w:szCs w:val="20"/>
              </w:rPr>
            </w:pPr>
            <w:r w:rsidRPr="00FB7029">
              <w:rPr>
                <w:color w:val="000000"/>
                <w:sz w:val="20"/>
                <w:szCs w:val="20"/>
              </w:rPr>
              <w:t>627 175,21</w:t>
            </w:r>
          </w:p>
        </w:tc>
        <w:tc>
          <w:tcPr>
            <w:tcW w:w="955" w:type="dxa"/>
            <w:shd w:val="clear" w:color="auto" w:fill="EAF1DD" w:themeFill="accent3" w:themeFillTint="33"/>
            <w:vAlign w:val="bottom"/>
            <w:hideMark/>
          </w:tcPr>
          <w:p w:rsidR="004A7F58" w:rsidRPr="00FB7029" w:rsidRDefault="004A7F58" w:rsidP="00E008A9">
            <w:pPr>
              <w:jc w:val="right"/>
              <w:rPr>
                <w:color w:val="000000"/>
                <w:sz w:val="20"/>
                <w:szCs w:val="20"/>
              </w:rPr>
            </w:pPr>
            <w:r w:rsidRPr="00FB7029">
              <w:rPr>
                <w:color w:val="000000"/>
                <w:sz w:val="20"/>
                <w:szCs w:val="20"/>
              </w:rPr>
              <w:t>62</w:t>
            </w:r>
          </w:p>
        </w:tc>
        <w:tc>
          <w:tcPr>
            <w:tcW w:w="1697" w:type="dxa"/>
            <w:shd w:val="clear" w:color="auto" w:fill="EAF1DD" w:themeFill="accent3" w:themeFillTint="33"/>
            <w:vAlign w:val="bottom"/>
            <w:hideMark/>
          </w:tcPr>
          <w:p w:rsidR="004A7F58" w:rsidRPr="00FB7029" w:rsidRDefault="004A7F58" w:rsidP="00E008A9">
            <w:pPr>
              <w:jc w:val="right"/>
              <w:rPr>
                <w:color w:val="000000"/>
                <w:sz w:val="20"/>
                <w:szCs w:val="20"/>
              </w:rPr>
            </w:pPr>
            <w:r w:rsidRPr="00FB7029">
              <w:rPr>
                <w:color w:val="000000"/>
                <w:sz w:val="20"/>
                <w:szCs w:val="20"/>
              </w:rPr>
              <w:t>246 599,83</w:t>
            </w:r>
          </w:p>
        </w:tc>
        <w:tc>
          <w:tcPr>
            <w:tcW w:w="966" w:type="dxa"/>
            <w:shd w:val="clear" w:color="auto" w:fill="EAF1DD" w:themeFill="accent3" w:themeFillTint="33"/>
            <w:vAlign w:val="bottom"/>
          </w:tcPr>
          <w:p w:rsidR="004A7F58" w:rsidRPr="00FB7029" w:rsidRDefault="004A7F58" w:rsidP="00E008A9">
            <w:pPr>
              <w:jc w:val="right"/>
              <w:rPr>
                <w:color w:val="000000"/>
                <w:sz w:val="20"/>
                <w:szCs w:val="20"/>
              </w:rPr>
            </w:pPr>
            <w:r w:rsidRPr="00FB7029">
              <w:rPr>
                <w:color w:val="000000"/>
                <w:sz w:val="20"/>
                <w:szCs w:val="20"/>
              </w:rPr>
              <w:t>558</w:t>
            </w:r>
          </w:p>
        </w:tc>
        <w:tc>
          <w:tcPr>
            <w:tcW w:w="1831" w:type="dxa"/>
            <w:shd w:val="clear" w:color="auto" w:fill="EAF1DD" w:themeFill="accent3" w:themeFillTint="33"/>
            <w:vAlign w:val="bottom"/>
          </w:tcPr>
          <w:p w:rsidR="004A7F58" w:rsidRPr="00FB7029" w:rsidRDefault="004A7F58" w:rsidP="00E008A9">
            <w:pPr>
              <w:jc w:val="right"/>
              <w:rPr>
                <w:color w:val="000000"/>
                <w:sz w:val="20"/>
                <w:szCs w:val="20"/>
              </w:rPr>
            </w:pPr>
            <w:r w:rsidRPr="00FB7029">
              <w:rPr>
                <w:color w:val="000000"/>
                <w:sz w:val="20"/>
                <w:szCs w:val="20"/>
              </w:rPr>
              <w:t>873 775,04</w:t>
            </w:r>
          </w:p>
        </w:tc>
      </w:tr>
      <w:tr w:rsidR="004A7F58" w:rsidRPr="00B51FDF" w:rsidTr="00E008A9">
        <w:trPr>
          <w:trHeight w:val="300"/>
          <w:jc w:val="center"/>
        </w:trPr>
        <w:tc>
          <w:tcPr>
            <w:tcW w:w="2699" w:type="dxa"/>
            <w:tcBorders>
              <w:bottom w:val="double" w:sz="4" w:space="0" w:color="auto"/>
            </w:tcBorders>
            <w:shd w:val="clear" w:color="auto" w:fill="BFBFBF" w:themeFill="background1" w:themeFillShade="BF"/>
            <w:hideMark/>
          </w:tcPr>
          <w:p w:rsidR="004A7F58" w:rsidRPr="00FB7029" w:rsidRDefault="004A7F58" w:rsidP="00E008A9">
            <w:pPr>
              <w:rPr>
                <w:b/>
                <w:bCs/>
                <w:color w:val="000000"/>
                <w:sz w:val="20"/>
                <w:szCs w:val="20"/>
              </w:rPr>
            </w:pPr>
            <w:r w:rsidRPr="00FB7029">
              <w:rPr>
                <w:b/>
                <w:bCs/>
                <w:color w:val="000000"/>
                <w:sz w:val="20"/>
                <w:szCs w:val="20"/>
              </w:rPr>
              <w:t>Spolu</w:t>
            </w:r>
          </w:p>
        </w:tc>
        <w:tc>
          <w:tcPr>
            <w:tcW w:w="945" w:type="dxa"/>
            <w:tcBorders>
              <w:bottom w:val="double" w:sz="4" w:space="0" w:color="auto"/>
            </w:tcBorders>
            <w:shd w:val="clear" w:color="auto" w:fill="BFBFBF" w:themeFill="background1" w:themeFillShade="BF"/>
            <w:noWrap/>
            <w:vAlign w:val="bottom"/>
            <w:hideMark/>
          </w:tcPr>
          <w:p w:rsidR="004A7F58" w:rsidRPr="00FB7029" w:rsidRDefault="004A7F58" w:rsidP="00E008A9">
            <w:pPr>
              <w:jc w:val="right"/>
              <w:rPr>
                <w:b/>
                <w:bCs/>
                <w:color w:val="000000"/>
                <w:sz w:val="20"/>
                <w:szCs w:val="20"/>
              </w:rPr>
            </w:pPr>
            <w:r w:rsidRPr="00FB7029">
              <w:rPr>
                <w:b/>
                <w:bCs/>
                <w:color w:val="000000"/>
                <w:sz w:val="20"/>
                <w:szCs w:val="20"/>
              </w:rPr>
              <w:t>67 219</w:t>
            </w:r>
          </w:p>
        </w:tc>
        <w:tc>
          <w:tcPr>
            <w:tcW w:w="1535" w:type="dxa"/>
            <w:tcBorders>
              <w:bottom w:val="double" w:sz="4" w:space="0" w:color="auto"/>
            </w:tcBorders>
            <w:shd w:val="clear" w:color="auto" w:fill="BFBFBF" w:themeFill="background1" w:themeFillShade="BF"/>
            <w:noWrap/>
            <w:vAlign w:val="bottom"/>
            <w:hideMark/>
          </w:tcPr>
          <w:p w:rsidR="004A7F58" w:rsidRPr="00FB7029" w:rsidRDefault="004A7F58" w:rsidP="00E008A9">
            <w:pPr>
              <w:jc w:val="right"/>
              <w:rPr>
                <w:b/>
                <w:bCs/>
                <w:color w:val="000000"/>
                <w:sz w:val="20"/>
                <w:szCs w:val="20"/>
              </w:rPr>
            </w:pPr>
            <w:r w:rsidRPr="00FB7029">
              <w:rPr>
                <w:b/>
                <w:bCs/>
                <w:color w:val="000000"/>
                <w:sz w:val="20"/>
                <w:szCs w:val="20"/>
              </w:rPr>
              <w:t>255 239 456,89</w:t>
            </w:r>
          </w:p>
        </w:tc>
        <w:tc>
          <w:tcPr>
            <w:tcW w:w="955" w:type="dxa"/>
            <w:tcBorders>
              <w:bottom w:val="double" w:sz="4" w:space="0" w:color="auto"/>
            </w:tcBorders>
            <w:shd w:val="clear" w:color="auto" w:fill="BFBFBF" w:themeFill="background1" w:themeFillShade="BF"/>
            <w:noWrap/>
            <w:vAlign w:val="bottom"/>
            <w:hideMark/>
          </w:tcPr>
          <w:p w:rsidR="004A7F58" w:rsidRPr="00FB7029" w:rsidRDefault="004A7F58" w:rsidP="00E008A9">
            <w:pPr>
              <w:jc w:val="right"/>
              <w:rPr>
                <w:b/>
                <w:bCs/>
                <w:color w:val="000000"/>
                <w:sz w:val="20"/>
                <w:szCs w:val="20"/>
              </w:rPr>
            </w:pPr>
            <w:r w:rsidRPr="00FB7029">
              <w:rPr>
                <w:b/>
                <w:bCs/>
                <w:color w:val="000000"/>
                <w:sz w:val="20"/>
                <w:szCs w:val="20"/>
              </w:rPr>
              <w:t>40 291</w:t>
            </w:r>
          </w:p>
        </w:tc>
        <w:tc>
          <w:tcPr>
            <w:tcW w:w="1697" w:type="dxa"/>
            <w:tcBorders>
              <w:bottom w:val="double" w:sz="4" w:space="0" w:color="auto"/>
            </w:tcBorders>
            <w:shd w:val="clear" w:color="auto" w:fill="BFBFBF" w:themeFill="background1" w:themeFillShade="BF"/>
            <w:noWrap/>
            <w:vAlign w:val="bottom"/>
            <w:hideMark/>
          </w:tcPr>
          <w:p w:rsidR="004A7F58" w:rsidRPr="00FB7029" w:rsidRDefault="004A7F58" w:rsidP="00E008A9">
            <w:pPr>
              <w:jc w:val="right"/>
              <w:rPr>
                <w:b/>
                <w:bCs/>
                <w:color w:val="000000"/>
                <w:sz w:val="20"/>
                <w:szCs w:val="20"/>
              </w:rPr>
            </w:pPr>
            <w:r w:rsidRPr="00FB7029">
              <w:rPr>
                <w:b/>
                <w:bCs/>
                <w:color w:val="000000"/>
                <w:sz w:val="20"/>
                <w:szCs w:val="20"/>
              </w:rPr>
              <w:t>1 704 452 361,58</w:t>
            </w:r>
          </w:p>
        </w:tc>
        <w:tc>
          <w:tcPr>
            <w:tcW w:w="966" w:type="dxa"/>
            <w:tcBorders>
              <w:bottom w:val="double" w:sz="4" w:space="0" w:color="auto"/>
            </w:tcBorders>
            <w:shd w:val="clear" w:color="auto" w:fill="BFBFBF" w:themeFill="background1" w:themeFillShade="BF"/>
            <w:vAlign w:val="bottom"/>
          </w:tcPr>
          <w:p w:rsidR="004A7F58" w:rsidRPr="00FB7029" w:rsidRDefault="004A7F58" w:rsidP="00E008A9">
            <w:pPr>
              <w:jc w:val="right"/>
              <w:rPr>
                <w:b/>
                <w:bCs/>
                <w:color w:val="000000"/>
                <w:sz w:val="20"/>
                <w:szCs w:val="20"/>
              </w:rPr>
            </w:pPr>
            <w:r w:rsidRPr="00FB7029">
              <w:rPr>
                <w:b/>
                <w:bCs/>
                <w:color w:val="000000"/>
                <w:sz w:val="20"/>
                <w:szCs w:val="20"/>
              </w:rPr>
              <w:t>107 510</w:t>
            </w:r>
          </w:p>
        </w:tc>
        <w:tc>
          <w:tcPr>
            <w:tcW w:w="1831" w:type="dxa"/>
            <w:tcBorders>
              <w:bottom w:val="double" w:sz="4" w:space="0" w:color="auto"/>
            </w:tcBorders>
            <w:shd w:val="clear" w:color="auto" w:fill="BFBFBF" w:themeFill="background1" w:themeFillShade="BF"/>
            <w:vAlign w:val="bottom"/>
          </w:tcPr>
          <w:p w:rsidR="004A7F58" w:rsidRPr="00FB7029" w:rsidRDefault="004A7F58" w:rsidP="00E008A9">
            <w:pPr>
              <w:jc w:val="right"/>
              <w:rPr>
                <w:b/>
                <w:bCs/>
                <w:color w:val="000000"/>
                <w:sz w:val="20"/>
                <w:szCs w:val="20"/>
              </w:rPr>
            </w:pPr>
            <w:r w:rsidRPr="00FB7029">
              <w:rPr>
                <w:b/>
                <w:bCs/>
                <w:color w:val="000000"/>
                <w:sz w:val="20"/>
                <w:szCs w:val="20"/>
              </w:rPr>
              <w:t>1 959 691 818,47</w:t>
            </w:r>
          </w:p>
        </w:tc>
      </w:tr>
    </w:tbl>
    <w:p w:rsidR="004A7F58" w:rsidRPr="003642E4" w:rsidRDefault="004A7F58" w:rsidP="004A7F58">
      <w:pPr>
        <w:ind w:firstLine="426"/>
        <w:jc w:val="both"/>
        <w:rPr>
          <w:rFonts w:ascii="Calibri" w:hAnsi="Calibri"/>
          <w:sz w:val="18"/>
          <w:szCs w:val="18"/>
        </w:rPr>
      </w:pPr>
    </w:p>
    <w:p w:rsidR="004A7F58" w:rsidRDefault="004A7F58" w:rsidP="004A7F58">
      <w:pPr>
        <w:jc w:val="center"/>
        <w:rPr>
          <w:rFonts w:ascii="Calibri" w:hAnsi="Calibri" w:cs="Arial"/>
          <w:sz w:val="22"/>
          <w:szCs w:val="22"/>
        </w:rPr>
      </w:pPr>
    </w:p>
    <w:p w:rsidR="00814AA4" w:rsidRDefault="00814AA4" w:rsidP="004A7F58">
      <w:pPr>
        <w:jc w:val="both"/>
      </w:pPr>
    </w:p>
    <w:p w:rsidR="004A7F58" w:rsidRPr="00FB7029" w:rsidRDefault="00FB7029" w:rsidP="004A7F58">
      <w:pPr>
        <w:jc w:val="both"/>
      </w:pPr>
      <w:r w:rsidRPr="00FB7029">
        <w:t>Z</w:t>
      </w:r>
      <w:r w:rsidR="004A7F58" w:rsidRPr="00FB7029">
        <w:t>áverom možno konštatovať, že povedomie verejných obstarávateľov o problematike zeleného verejného obstarávania v Slovenskej republike je stále nízke. Preto je na mieste pokračovať v propagácii tohto dobrovoľného nástroja</w:t>
      </w:r>
      <w:r>
        <w:t xml:space="preserve"> environmentálnej politiky </w:t>
      </w:r>
      <w:r w:rsidR="004A7F58" w:rsidRPr="00FB7029">
        <w:t xml:space="preserve"> a neustále oboznamovať s možnosťami jeho uplatňovania v praxi čo možno najviac verejných organizácií.  Na dosiahnutie strategického cieľa vytýčeného v Národnom akčnom pláne pre </w:t>
      </w:r>
      <w:r>
        <w:t>GPP</w:t>
      </w:r>
      <w:r w:rsidR="004A7F58" w:rsidRPr="00FB7029">
        <w:t xml:space="preserve"> v SR na roky 2011 – 2015 </w:t>
      </w:r>
      <w:r>
        <w:t xml:space="preserve">je potrebné realizovať všetky </w:t>
      </w:r>
      <w:r w:rsidR="004A7F58" w:rsidRPr="00FB7029">
        <w:t xml:space="preserve"> parciáln</w:t>
      </w:r>
      <w:r>
        <w:t>e</w:t>
      </w:r>
      <w:r w:rsidR="004A7F58" w:rsidRPr="00FB7029">
        <w:t xml:space="preserve"> cie</w:t>
      </w:r>
      <w:r>
        <w:t>le.</w:t>
      </w:r>
      <w:r w:rsidR="004A7F58" w:rsidRPr="00FB7029">
        <w:t xml:space="preserve">  Zvyšovanie informovanosti verejných orgánov o problematike </w:t>
      </w:r>
      <w:r>
        <w:t>GPP</w:t>
      </w:r>
      <w:r w:rsidR="004A7F58" w:rsidRPr="00FB7029">
        <w:t xml:space="preserve"> je nevyhnutným predpokladom pre zvýšenie úrovne uplatňovania environmentálnych charakteristík v procese verejného obstarávania. Je potrebné usmerňovať environmentálne správanie </w:t>
      </w:r>
      <w:r>
        <w:t xml:space="preserve">sa </w:t>
      </w:r>
      <w:r w:rsidR="004A7F58" w:rsidRPr="00FB7029">
        <w:t xml:space="preserve">organizácií financovaných z verejných zdrojov, nakoľko ich dopyt predstavuje významný podiel na trhu.  </w:t>
      </w:r>
    </w:p>
    <w:p w:rsidR="004A7F58" w:rsidRPr="00FB7029" w:rsidRDefault="004A7F58" w:rsidP="004A7F58">
      <w:pPr>
        <w:jc w:val="both"/>
      </w:pPr>
    </w:p>
    <w:p w:rsidR="004A7F58" w:rsidRPr="00FB7029" w:rsidRDefault="004A7F58" w:rsidP="004A7F58">
      <w:pPr>
        <w:jc w:val="both"/>
      </w:pPr>
      <w:r w:rsidRPr="00FB7029">
        <w:t>SAŽP organizačne zabezpečuje odborné semináre pre verejných obstarávateľov</w:t>
      </w:r>
      <w:r w:rsidR="00FB7029">
        <w:t xml:space="preserve"> a obstarávateľov</w:t>
      </w:r>
      <w:r w:rsidRPr="00FB7029">
        <w:t>,</w:t>
      </w:r>
      <w:r w:rsidR="00FB7029">
        <w:t xml:space="preserve"> a v spolupráci s Ministerstvom </w:t>
      </w:r>
      <w:r w:rsidR="00E008A9">
        <w:t xml:space="preserve">životného </w:t>
      </w:r>
      <w:r w:rsidR="00FB7029">
        <w:t>prostredia SR</w:t>
      </w:r>
      <w:r w:rsidRPr="00FB7029">
        <w:t xml:space="preserve"> </w:t>
      </w:r>
      <w:r w:rsidR="00E008A9">
        <w:t xml:space="preserve">ich </w:t>
      </w:r>
      <w:proofErr w:type="spellStart"/>
      <w:r w:rsidR="00E008A9">
        <w:t>spoluzabezpečuje</w:t>
      </w:r>
      <w:proofErr w:type="spellEnd"/>
      <w:r w:rsidR="00E008A9">
        <w:t xml:space="preserve"> po </w:t>
      </w:r>
      <w:r w:rsidRPr="00FB7029">
        <w:t xml:space="preserve"> odbornej stránke. P</w:t>
      </w:r>
      <w:r w:rsidR="00E008A9">
        <w:t xml:space="preserve">očas seminárov, organizovaných v jednotlivých krajských mestách, sa lektorky z MŽP SR a SAŽP </w:t>
      </w:r>
      <w:r w:rsidRPr="00FB7029">
        <w:t xml:space="preserve"> s</w:t>
      </w:r>
      <w:r w:rsidR="00E008A9">
        <w:t>n</w:t>
      </w:r>
      <w:r w:rsidRPr="00FB7029">
        <w:t>a</w:t>
      </w:r>
      <w:r w:rsidR="00E008A9">
        <w:t xml:space="preserve">žia účastníkom priblížiť právny a politický rámec GPP v EÚ a SR, Národný akčný plán pre GPP v SR na roky 2011 až 2015, ako aj </w:t>
      </w:r>
      <w:r w:rsidRPr="00FB7029">
        <w:t xml:space="preserve"> praktické uplatňovanie environmentálnych charakteristík vo verejnom obstarávaní/nakupovaní. Pre zjednodušenie vyp</w:t>
      </w:r>
      <w:r w:rsidR="00E008A9">
        <w:t>ĺ</w:t>
      </w:r>
      <w:r w:rsidRPr="00FB7029">
        <w:t>ň</w:t>
      </w:r>
      <w:r w:rsidR="00E008A9">
        <w:t>a</w:t>
      </w:r>
      <w:r w:rsidRPr="00FB7029">
        <w:t xml:space="preserve">nia dotazníka na monitorovanie </w:t>
      </w:r>
      <w:r w:rsidR="00E008A9">
        <w:t>a hodnotenie GPP</w:t>
      </w:r>
      <w:r w:rsidRPr="00FB7029">
        <w:t xml:space="preserve"> v SR, ktorý Ministerstvo životného prostredia SR každoročne požaduje od verejných obstarávateľov a obstarávateľov, zabezpečuje SAŽP, v priebehu seminárov, metodické usmernenie pre jeho vypĺňanie.</w:t>
      </w:r>
    </w:p>
    <w:p w:rsidR="004A7F58" w:rsidRPr="00FB7029" w:rsidRDefault="004A7F58" w:rsidP="004A7F58">
      <w:pPr>
        <w:jc w:val="both"/>
      </w:pPr>
    </w:p>
    <w:p w:rsidR="00C4436A" w:rsidRDefault="00E008A9" w:rsidP="00E008A9">
      <w:pPr>
        <w:jc w:val="both"/>
      </w:pPr>
      <w:r>
        <w:t>Od</w:t>
      </w:r>
      <w:r w:rsidR="004A7F58" w:rsidRPr="00FB7029">
        <w:t xml:space="preserve"> roku 2013 </w:t>
      </w:r>
      <w:r>
        <w:t xml:space="preserve">je uverejnená na webovej stránke </w:t>
      </w:r>
      <w:r w:rsidR="004A7F58" w:rsidRPr="00FB7029">
        <w:t xml:space="preserve"> SAŽP</w:t>
      </w:r>
      <w:r>
        <w:t xml:space="preserve"> (</w:t>
      </w:r>
      <w:hyperlink r:id="rId18" w:history="1">
        <w:r w:rsidRPr="00FB7029">
          <w:rPr>
            <w:rStyle w:val="Hypertextovprepojenie"/>
          </w:rPr>
          <w:t>www.sazp.sk</w:t>
        </w:r>
      </w:hyperlink>
      <w:r>
        <w:t xml:space="preserve">) metodická príručka </w:t>
      </w:r>
      <w:r w:rsidR="004A7F58" w:rsidRPr="00FB7029">
        <w:t>pre</w:t>
      </w:r>
      <w:r>
        <w:t xml:space="preserve"> verejných obstarávateľov, </w:t>
      </w:r>
      <w:r w:rsidR="004A7F58" w:rsidRPr="00FB7029">
        <w:t xml:space="preserve"> zameraná predovšetkým na možnosti uplatňovania environmentálnych charakteristík v praxi verejného obstarávania. </w:t>
      </w:r>
      <w:r>
        <w:t xml:space="preserve">V tejto príručke môže </w:t>
      </w:r>
      <w:r w:rsidR="004A7F58" w:rsidRPr="00FB7029">
        <w:t>verejnosť nájsť</w:t>
      </w:r>
      <w:r>
        <w:t xml:space="preserve"> veľa </w:t>
      </w:r>
      <w:r w:rsidR="004A7F58" w:rsidRPr="00FB7029">
        <w:t>užitočných informácií</w:t>
      </w:r>
      <w:r>
        <w:t xml:space="preserve">, </w:t>
      </w:r>
      <w:r w:rsidR="004A7F58" w:rsidRPr="00FB7029">
        <w:t xml:space="preserve">  súvisiacich s problematikou </w:t>
      </w:r>
      <w:r>
        <w:t>GPP</w:t>
      </w:r>
      <w:r w:rsidR="004A7F58" w:rsidRPr="00FB7029">
        <w:t>, predovšetkým zdroje environmentálnych charakteristík</w:t>
      </w:r>
      <w:r>
        <w:t>,</w:t>
      </w:r>
      <w:r w:rsidR="004A7F58" w:rsidRPr="00FB7029">
        <w:t xml:space="preserve"> použiteľných pre súťažné podklady pri zadávaní zákaziek. Prostredníctvom webovej stránky je tiež zriadený GPP </w:t>
      </w:r>
      <w:proofErr w:type="spellStart"/>
      <w:r w:rsidR="004A7F58" w:rsidRPr="00FB7029">
        <w:t>helpdesk</w:t>
      </w:r>
      <w:proofErr w:type="spellEnd"/>
      <w:r w:rsidR="004A7F58" w:rsidRPr="00FB7029">
        <w:t xml:space="preserve"> pre poskytovanie odborných informácií pri uplatňovaní zeleného verejného obstarávania.</w:t>
      </w:r>
    </w:p>
    <w:p w:rsidR="00A17770" w:rsidRDefault="00A17770" w:rsidP="00E008A9">
      <w:pPr>
        <w:jc w:val="both"/>
      </w:pPr>
    </w:p>
    <w:p w:rsidR="00A17770" w:rsidRDefault="00A17770" w:rsidP="00A17770">
      <w:pPr>
        <w:pStyle w:val="Bezriadkovania"/>
        <w:jc w:val="both"/>
      </w:pPr>
      <w:r>
        <w:rPr>
          <w:rFonts w:ascii="Times New Roman" w:hAnsi="Times New Roman"/>
          <w:sz w:val="24"/>
          <w:szCs w:val="24"/>
        </w:rPr>
        <w:t>V</w:t>
      </w:r>
      <w:r w:rsidRPr="008B579B">
        <w:rPr>
          <w:rFonts w:ascii="Times New Roman" w:hAnsi="Times New Roman"/>
          <w:sz w:val="24"/>
          <w:szCs w:val="24"/>
        </w:rPr>
        <w:t>ýznamnou zmenou,</w:t>
      </w:r>
      <w:r>
        <w:rPr>
          <w:rFonts w:ascii="Times New Roman" w:hAnsi="Times New Roman"/>
          <w:sz w:val="24"/>
          <w:szCs w:val="24"/>
        </w:rPr>
        <w:t xml:space="preserve"> ktorá ovplyvnila monitorovanie a hodnotenie úrovne GPP v SR bolo prijatie zákon</w:t>
      </w:r>
      <w:r w:rsidRPr="001869FC">
        <w:rPr>
          <w:rFonts w:ascii="Times New Roman" w:hAnsi="Times New Roman"/>
          <w:sz w:val="24"/>
          <w:szCs w:val="24"/>
        </w:rPr>
        <w:t xml:space="preserve">a č.  </w:t>
      </w:r>
      <w:r>
        <w:rPr>
          <w:rFonts w:ascii="Times New Roman" w:hAnsi="Times New Roman"/>
          <w:sz w:val="24"/>
          <w:szCs w:val="24"/>
        </w:rPr>
        <w:t>345/2012 Z. z. o niektorých opatreniach v miestnej štátnej správe, v zmysle ktorého s účinnosťou od 1. januára 201</w:t>
      </w:r>
      <w:r w:rsidRPr="001869FC">
        <w:rPr>
          <w:rFonts w:ascii="Times New Roman" w:hAnsi="Times New Roman"/>
          <w:sz w:val="24"/>
          <w:szCs w:val="24"/>
        </w:rPr>
        <w:t>3</w:t>
      </w:r>
      <w:r w:rsidRPr="00954B57">
        <w:rPr>
          <w:rFonts w:ascii="Times New Roman" w:hAnsi="Times New Roman"/>
          <w:color w:val="FF0000"/>
          <w:sz w:val="24"/>
          <w:szCs w:val="24"/>
        </w:rPr>
        <w:t xml:space="preserve"> </w:t>
      </w:r>
      <w:r>
        <w:rPr>
          <w:rFonts w:ascii="Times New Roman" w:hAnsi="Times New Roman"/>
          <w:sz w:val="24"/>
          <w:szCs w:val="24"/>
        </w:rPr>
        <w:t xml:space="preserve">boli zrušené krajské školské, stavebné, pozemkové, lesné a katastrálne úrady, krajské úrady životného prostredia, krajské úrady pre cestnú dopravu a pozemné komunikácie a územné vojenské správy; </w:t>
      </w:r>
      <w:r w:rsidRPr="0003335E">
        <w:rPr>
          <w:rFonts w:ascii="Times New Roman" w:hAnsi="Times New Roman"/>
          <w:sz w:val="24"/>
          <w:szCs w:val="24"/>
        </w:rPr>
        <w:t xml:space="preserve">ako aj zákona č. 180/20132 Z. z. </w:t>
      </w:r>
      <w:r w:rsidRPr="0003335E">
        <w:rPr>
          <w:rFonts w:ascii="Times New Roman" w:hAnsi="Times New Roman"/>
          <w:szCs w:val="24"/>
        </w:rPr>
        <w:t>o organizácii miestnej štátnej správy  a o zmene a doplnení niektorých zákonov, ktorým boli s účinnosťou od 1. októbra 2013 zrušené obvodné pozemkové, lesné úrady, obvodné úrady životného prostredia, obvodné úrady pre cestnú dopravu a pozemné komunikácie a správy katastra. Agenda špecializovanej štátnej správy prešla pod novozriadené okresné  úrady v pôsobnosti Ministerstva vnútra SR.  Zamestnanci</w:t>
      </w:r>
      <w:r>
        <w:rPr>
          <w:rFonts w:ascii="Times New Roman" w:hAnsi="Times New Roman"/>
          <w:sz w:val="24"/>
          <w:szCs w:val="24"/>
        </w:rPr>
        <w:t>, ktorí sa venovali verejnému obstarávaniu a boli  vyškolení v oblasti zeleného verejného obstarávania v uplynulých rokoch, už v mnohých prípadoch nepracujú -  po zrušení špecializovanej štátnej správy -  v oblasti verejného obstarávania, čo sa do istej miery môže prejaviť ako  spomaľujúci prvok v procese uplatňovania environmentálnych charakteristík vo verejnom obstarávaní.</w:t>
      </w:r>
    </w:p>
    <w:p w:rsidR="00814AA4" w:rsidRDefault="00814AA4" w:rsidP="00E008A9">
      <w:pPr>
        <w:jc w:val="both"/>
      </w:pPr>
    </w:p>
    <w:p w:rsidR="00814AA4" w:rsidRPr="00FB7029" w:rsidRDefault="00814AA4" w:rsidP="00E008A9">
      <w:pPr>
        <w:jc w:val="both"/>
      </w:pPr>
      <w:r>
        <w:t>Aj napriek tomu, že výsledky, dosiahnuté za rok 2013 sú v medziročnom porovnaní priaznivé – Indikátor 1 vzrástol o 0,6 percentuálneho bodu (ďalej p.</w:t>
      </w:r>
      <w:r w:rsidR="0003335E">
        <w:t xml:space="preserve"> </w:t>
      </w:r>
      <w:r>
        <w:t>b.) na 5,6% a Indikátor 2 vzrástol medziročne o 33,2 p.</w:t>
      </w:r>
      <w:r w:rsidR="00A17770">
        <w:t xml:space="preserve"> </w:t>
      </w:r>
      <w:r>
        <w:t>b. na 53,8%</w:t>
      </w:r>
      <w:r w:rsidR="00230495">
        <w:t xml:space="preserve">, budeme pokračovať v dobre nastavených činnostiach </w:t>
      </w:r>
      <w:r w:rsidR="00230495">
        <w:lastRenderedPageBreak/>
        <w:t xml:space="preserve">(vzdelávanie verejných obstarávateľov a obstarávateľov, poskytovanie informácií o GPP, </w:t>
      </w:r>
      <w:bookmarkStart w:id="20" w:name="_GoBack"/>
      <w:bookmarkEnd w:id="20"/>
      <w:r w:rsidR="00230495">
        <w:t>spolupráca s EK a inými členskými štátmi v oblasti GPP a ostatné)</w:t>
      </w:r>
      <w:r w:rsidR="00A17770">
        <w:t xml:space="preserve">, </w:t>
      </w:r>
      <w:r w:rsidR="00A17770" w:rsidRPr="0003335E">
        <w:t xml:space="preserve">pričom prehĺbime spoluprácu na regionálnej úrovni (s mestami, samosprávnymi krajmi a ich podriadenými organizáciami), pretože tu pôsobiace subjekty dosiahli v roku 2013 pomerne nízku úroveň podielu GPP na celkovom verejnom obstarávaní (13,9%), čo ich vzďaľuje od vytýčeného cieľa - </w:t>
      </w:r>
      <w:r w:rsidR="00230495">
        <w:t>dosiahnuť v roku 2015 úroveň 65% zelených zákaziek na všetkých zákazkách vo verejnom obstarávaní na úrovni ústredných orgánov štátnej správy a im podriadených organizácií a 50% na úrovni samosprávnych krajov, im podriadených organizácií a miest v SR.</w:t>
      </w:r>
    </w:p>
    <w:sectPr w:rsidR="00814AA4" w:rsidRPr="00FB7029">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7AE" w:rsidRDefault="000217AE" w:rsidP="004A7F58">
      <w:r>
        <w:separator/>
      </w:r>
    </w:p>
  </w:endnote>
  <w:endnote w:type="continuationSeparator" w:id="0">
    <w:p w:rsidR="000217AE" w:rsidRDefault="000217AE" w:rsidP="004A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26259"/>
      <w:docPartObj>
        <w:docPartGallery w:val="Page Numbers (Bottom of Page)"/>
        <w:docPartUnique/>
      </w:docPartObj>
    </w:sdtPr>
    <w:sdtEndPr/>
    <w:sdtContent>
      <w:p w:rsidR="00E008A9" w:rsidRDefault="00E008A9">
        <w:pPr>
          <w:pStyle w:val="Pta"/>
          <w:jc w:val="right"/>
        </w:pPr>
        <w:r>
          <w:fldChar w:fldCharType="begin"/>
        </w:r>
        <w:r>
          <w:instrText>PAGE   \* MERGEFORMAT</w:instrText>
        </w:r>
        <w:r>
          <w:fldChar w:fldCharType="separate"/>
        </w:r>
        <w:r w:rsidR="0003335E">
          <w:rPr>
            <w:noProof/>
          </w:rPr>
          <w:t>15</w:t>
        </w:r>
        <w:r>
          <w:fldChar w:fldCharType="end"/>
        </w:r>
      </w:p>
    </w:sdtContent>
  </w:sdt>
  <w:p w:rsidR="00E008A9" w:rsidRDefault="00E008A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7AE" w:rsidRDefault="000217AE" w:rsidP="004A7F58">
      <w:r>
        <w:separator/>
      </w:r>
    </w:p>
  </w:footnote>
  <w:footnote w:type="continuationSeparator" w:id="0">
    <w:p w:rsidR="000217AE" w:rsidRDefault="000217AE" w:rsidP="004A7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820"/>
    <w:rsid w:val="000217AE"/>
    <w:rsid w:val="0003335E"/>
    <w:rsid w:val="00176192"/>
    <w:rsid w:val="001869FC"/>
    <w:rsid w:val="00230495"/>
    <w:rsid w:val="00286641"/>
    <w:rsid w:val="00471291"/>
    <w:rsid w:val="004A7F58"/>
    <w:rsid w:val="006B3461"/>
    <w:rsid w:val="006F6E68"/>
    <w:rsid w:val="00765B84"/>
    <w:rsid w:val="007873E3"/>
    <w:rsid w:val="007F1820"/>
    <w:rsid w:val="00814AA4"/>
    <w:rsid w:val="00A17770"/>
    <w:rsid w:val="00C4436A"/>
    <w:rsid w:val="00CA1310"/>
    <w:rsid w:val="00D145EA"/>
    <w:rsid w:val="00D66DB5"/>
    <w:rsid w:val="00E008A9"/>
    <w:rsid w:val="00E51D5F"/>
    <w:rsid w:val="00E73327"/>
    <w:rsid w:val="00EA1B79"/>
    <w:rsid w:val="00F219BF"/>
    <w:rsid w:val="00F41D87"/>
    <w:rsid w:val="00FB7029"/>
    <w:rsid w:val="00FF33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A7F58"/>
    <w:pPr>
      <w:spacing w:after="0" w:line="240" w:lineRule="auto"/>
    </w:pPr>
    <w:rPr>
      <w:rFonts w:ascii="Times New Roman" w:eastAsia="Batang" w:hAnsi="Times New Roman" w:cs="Times New Roman"/>
      <w:sz w:val="24"/>
      <w:szCs w:val="24"/>
      <w:lang w:eastAsia="sk-SK"/>
    </w:rPr>
  </w:style>
  <w:style w:type="paragraph" w:styleId="Nadpis1">
    <w:name w:val="heading 1"/>
    <w:basedOn w:val="Normlny"/>
    <w:next w:val="Normlny"/>
    <w:link w:val="Nadpis1Char"/>
    <w:uiPriority w:val="9"/>
    <w:qFormat/>
    <w:rsid w:val="004A7F58"/>
    <w:pPr>
      <w:keepNext/>
      <w:outlineLvl w:val="0"/>
    </w:pPr>
    <w:rPr>
      <w:rFonts w:asciiTheme="minorHAnsi" w:hAnsiTheme="minorHAnsi" w:cs="Arial"/>
      <w:b/>
      <w:bCs/>
      <w:kern w:val="32"/>
      <w:sz w:val="22"/>
      <w:szCs w:val="32"/>
    </w:rPr>
  </w:style>
  <w:style w:type="paragraph" w:styleId="Nadpis2">
    <w:name w:val="heading 2"/>
    <w:basedOn w:val="Normlny"/>
    <w:next w:val="Normlny"/>
    <w:link w:val="Nadpis2Char"/>
    <w:uiPriority w:val="9"/>
    <w:unhideWhenUsed/>
    <w:qFormat/>
    <w:rsid w:val="004A7F58"/>
    <w:pPr>
      <w:keepNext/>
      <w:keepLines/>
      <w:outlineLvl w:val="1"/>
    </w:pPr>
    <w:rPr>
      <w:rFonts w:asciiTheme="minorHAnsi" w:eastAsiaTheme="majorEastAsia" w:hAnsiTheme="minorHAnsi"/>
      <w:b/>
      <w:bCs/>
      <w:sz w:val="22"/>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A7F58"/>
    <w:rPr>
      <w:rFonts w:eastAsia="Batang" w:cs="Arial"/>
      <w:b/>
      <w:bCs/>
      <w:kern w:val="32"/>
      <w:szCs w:val="32"/>
      <w:lang w:eastAsia="sk-SK"/>
    </w:rPr>
  </w:style>
  <w:style w:type="character" w:customStyle="1" w:styleId="Nadpis2Char">
    <w:name w:val="Nadpis 2 Char"/>
    <w:basedOn w:val="Predvolenpsmoodseku"/>
    <w:link w:val="Nadpis2"/>
    <w:uiPriority w:val="9"/>
    <w:rsid w:val="004A7F58"/>
    <w:rPr>
      <w:rFonts w:eastAsiaTheme="majorEastAsia" w:cs="Times New Roman"/>
      <w:b/>
      <w:bCs/>
      <w:szCs w:val="26"/>
      <w:lang w:eastAsia="sk-SK"/>
    </w:rPr>
  </w:style>
  <w:style w:type="character" w:styleId="Hypertextovprepojenie">
    <w:name w:val="Hyperlink"/>
    <w:basedOn w:val="Predvolenpsmoodseku"/>
    <w:uiPriority w:val="99"/>
    <w:rsid w:val="004A7F58"/>
    <w:rPr>
      <w:rFonts w:cs="Times New Roman"/>
      <w:color w:val="0000FF"/>
      <w:u w:val="single"/>
    </w:rPr>
  </w:style>
  <w:style w:type="paragraph" w:styleId="Textbubliny">
    <w:name w:val="Balloon Text"/>
    <w:basedOn w:val="Normlny"/>
    <w:link w:val="TextbublinyChar"/>
    <w:uiPriority w:val="99"/>
    <w:semiHidden/>
    <w:unhideWhenUsed/>
    <w:rsid w:val="004A7F58"/>
    <w:rPr>
      <w:rFonts w:ascii="Tahoma" w:hAnsi="Tahoma" w:cs="Tahoma"/>
      <w:sz w:val="16"/>
      <w:szCs w:val="16"/>
    </w:rPr>
  </w:style>
  <w:style w:type="character" w:customStyle="1" w:styleId="TextbublinyChar">
    <w:name w:val="Text bubliny Char"/>
    <w:basedOn w:val="Predvolenpsmoodseku"/>
    <w:link w:val="Textbubliny"/>
    <w:uiPriority w:val="99"/>
    <w:semiHidden/>
    <w:rsid w:val="004A7F58"/>
    <w:rPr>
      <w:rFonts w:ascii="Tahoma" w:eastAsia="Batang" w:hAnsi="Tahoma" w:cs="Tahoma"/>
      <w:sz w:val="16"/>
      <w:szCs w:val="16"/>
      <w:lang w:eastAsia="sk-SK"/>
    </w:rPr>
  </w:style>
  <w:style w:type="paragraph" w:styleId="Hlavika">
    <w:name w:val="header"/>
    <w:basedOn w:val="Normlny"/>
    <w:link w:val="HlavikaChar"/>
    <w:uiPriority w:val="99"/>
    <w:unhideWhenUsed/>
    <w:rsid w:val="004A7F58"/>
    <w:pPr>
      <w:tabs>
        <w:tab w:val="center" w:pos="4536"/>
        <w:tab w:val="right" w:pos="9072"/>
      </w:tabs>
    </w:pPr>
  </w:style>
  <w:style w:type="character" w:customStyle="1" w:styleId="HlavikaChar">
    <w:name w:val="Hlavička Char"/>
    <w:basedOn w:val="Predvolenpsmoodseku"/>
    <w:link w:val="Hlavika"/>
    <w:uiPriority w:val="99"/>
    <w:rsid w:val="004A7F58"/>
    <w:rPr>
      <w:rFonts w:ascii="Times New Roman" w:eastAsia="Batang" w:hAnsi="Times New Roman" w:cs="Times New Roman"/>
      <w:sz w:val="24"/>
      <w:szCs w:val="24"/>
      <w:lang w:eastAsia="sk-SK"/>
    </w:rPr>
  </w:style>
  <w:style w:type="paragraph" w:styleId="Pta">
    <w:name w:val="footer"/>
    <w:basedOn w:val="Normlny"/>
    <w:link w:val="PtaChar"/>
    <w:uiPriority w:val="99"/>
    <w:unhideWhenUsed/>
    <w:rsid w:val="004A7F58"/>
    <w:pPr>
      <w:tabs>
        <w:tab w:val="center" w:pos="4536"/>
        <w:tab w:val="right" w:pos="9072"/>
      </w:tabs>
    </w:pPr>
  </w:style>
  <w:style w:type="character" w:customStyle="1" w:styleId="PtaChar">
    <w:name w:val="Päta Char"/>
    <w:basedOn w:val="Predvolenpsmoodseku"/>
    <w:link w:val="Pta"/>
    <w:uiPriority w:val="99"/>
    <w:rsid w:val="004A7F58"/>
    <w:rPr>
      <w:rFonts w:ascii="Times New Roman" w:eastAsia="Batang" w:hAnsi="Times New Roman" w:cs="Times New Roman"/>
      <w:sz w:val="24"/>
      <w:szCs w:val="24"/>
      <w:lang w:eastAsia="sk-SK"/>
    </w:rPr>
  </w:style>
  <w:style w:type="paragraph" w:styleId="Bezriadkovania">
    <w:name w:val="No Spacing"/>
    <w:uiPriority w:val="99"/>
    <w:qFormat/>
    <w:rsid w:val="00A1777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A7F58"/>
    <w:pPr>
      <w:spacing w:after="0" w:line="240" w:lineRule="auto"/>
    </w:pPr>
    <w:rPr>
      <w:rFonts w:ascii="Times New Roman" w:eastAsia="Batang" w:hAnsi="Times New Roman" w:cs="Times New Roman"/>
      <w:sz w:val="24"/>
      <w:szCs w:val="24"/>
      <w:lang w:eastAsia="sk-SK"/>
    </w:rPr>
  </w:style>
  <w:style w:type="paragraph" w:styleId="Nadpis1">
    <w:name w:val="heading 1"/>
    <w:basedOn w:val="Normlny"/>
    <w:next w:val="Normlny"/>
    <w:link w:val="Nadpis1Char"/>
    <w:uiPriority w:val="9"/>
    <w:qFormat/>
    <w:rsid w:val="004A7F58"/>
    <w:pPr>
      <w:keepNext/>
      <w:outlineLvl w:val="0"/>
    </w:pPr>
    <w:rPr>
      <w:rFonts w:asciiTheme="minorHAnsi" w:hAnsiTheme="minorHAnsi" w:cs="Arial"/>
      <w:b/>
      <w:bCs/>
      <w:kern w:val="32"/>
      <w:sz w:val="22"/>
      <w:szCs w:val="32"/>
    </w:rPr>
  </w:style>
  <w:style w:type="paragraph" w:styleId="Nadpis2">
    <w:name w:val="heading 2"/>
    <w:basedOn w:val="Normlny"/>
    <w:next w:val="Normlny"/>
    <w:link w:val="Nadpis2Char"/>
    <w:uiPriority w:val="9"/>
    <w:unhideWhenUsed/>
    <w:qFormat/>
    <w:rsid w:val="004A7F58"/>
    <w:pPr>
      <w:keepNext/>
      <w:keepLines/>
      <w:outlineLvl w:val="1"/>
    </w:pPr>
    <w:rPr>
      <w:rFonts w:asciiTheme="minorHAnsi" w:eastAsiaTheme="majorEastAsia" w:hAnsiTheme="minorHAnsi"/>
      <w:b/>
      <w:bCs/>
      <w:sz w:val="22"/>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A7F58"/>
    <w:rPr>
      <w:rFonts w:eastAsia="Batang" w:cs="Arial"/>
      <w:b/>
      <w:bCs/>
      <w:kern w:val="32"/>
      <w:szCs w:val="32"/>
      <w:lang w:eastAsia="sk-SK"/>
    </w:rPr>
  </w:style>
  <w:style w:type="character" w:customStyle="1" w:styleId="Nadpis2Char">
    <w:name w:val="Nadpis 2 Char"/>
    <w:basedOn w:val="Predvolenpsmoodseku"/>
    <w:link w:val="Nadpis2"/>
    <w:uiPriority w:val="9"/>
    <w:rsid w:val="004A7F58"/>
    <w:rPr>
      <w:rFonts w:eastAsiaTheme="majorEastAsia" w:cs="Times New Roman"/>
      <w:b/>
      <w:bCs/>
      <w:szCs w:val="26"/>
      <w:lang w:eastAsia="sk-SK"/>
    </w:rPr>
  </w:style>
  <w:style w:type="character" w:styleId="Hypertextovprepojenie">
    <w:name w:val="Hyperlink"/>
    <w:basedOn w:val="Predvolenpsmoodseku"/>
    <w:uiPriority w:val="99"/>
    <w:rsid w:val="004A7F58"/>
    <w:rPr>
      <w:rFonts w:cs="Times New Roman"/>
      <w:color w:val="0000FF"/>
      <w:u w:val="single"/>
    </w:rPr>
  </w:style>
  <w:style w:type="paragraph" w:styleId="Textbubliny">
    <w:name w:val="Balloon Text"/>
    <w:basedOn w:val="Normlny"/>
    <w:link w:val="TextbublinyChar"/>
    <w:uiPriority w:val="99"/>
    <w:semiHidden/>
    <w:unhideWhenUsed/>
    <w:rsid w:val="004A7F58"/>
    <w:rPr>
      <w:rFonts w:ascii="Tahoma" w:hAnsi="Tahoma" w:cs="Tahoma"/>
      <w:sz w:val="16"/>
      <w:szCs w:val="16"/>
    </w:rPr>
  </w:style>
  <w:style w:type="character" w:customStyle="1" w:styleId="TextbublinyChar">
    <w:name w:val="Text bubliny Char"/>
    <w:basedOn w:val="Predvolenpsmoodseku"/>
    <w:link w:val="Textbubliny"/>
    <w:uiPriority w:val="99"/>
    <w:semiHidden/>
    <w:rsid w:val="004A7F58"/>
    <w:rPr>
      <w:rFonts w:ascii="Tahoma" w:eastAsia="Batang" w:hAnsi="Tahoma" w:cs="Tahoma"/>
      <w:sz w:val="16"/>
      <w:szCs w:val="16"/>
      <w:lang w:eastAsia="sk-SK"/>
    </w:rPr>
  </w:style>
  <w:style w:type="paragraph" w:styleId="Hlavika">
    <w:name w:val="header"/>
    <w:basedOn w:val="Normlny"/>
    <w:link w:val="HlavikaChar"/>
    <w:uiPriority w:val="99"/>
    <w:unhideWhenUsed/>
    <w:rsid w:val="004A7F58"/>
    <w:pPr>
      <w:tabs>
        <w:tab w:val="center" w:pos="4536"/>
        <w:tab w:val="right" w:pos="9072"/>
      </w:tabs>
    </w:pPr>
  </w:style>
  <w:style w:type="character" w:customStyle="1" w:styleId="HlavikaChar">
    <w:name w:val="Hlavička Char"/>
    <w:basedOn w:val="Predvolenpsmoodseku"/>
    <w:link w:val="Hlavika"/>
    <w:uiPriority w:val="99"/>
    <w:rsid w:val="004A7F58"/>
    <w:rPr>
      <w:rFonts w:ascii="Times New Roman" w:eastAsia="Batang" w:hAnsi="Times New Roman" w:cs="Times New Roman"/>
      <w:sz w:val="24"/>
      <w:szCs w:val="24"/>
      <w:lang w:eastAsia="sk-SK"/>
    </w:rPr>
  </w:style>
  <w:style w:type="paragraph" w:styleId="Pta">
    <w:name w:val="footer"/>
    <w:basedOn w:val="Normlny"/>
    <w:link w:val="PtaChar"/>
    <w:uiPriority w:val="99"/>
    <w:unhideWhenUsed/>
    <w:rsid w:val="004A7F58"/>
    <w:pPr>
      <w:tabs>
        <w:tab w:val="center" w:pos="4536"/>
        <w:tab w:val="right" w:pos="9072"/>
      </w:tabs>
    </w:pPr>
  </w:style>
  <w:style w:type="character" w:customStyle="1" w:styleId="PtaChar">
    <w:name w:val="Päta Char"/>
    <w:basedOn w:val="Predvolenpsmoodseku"/>
    <w:link w:val="Pta"/>
    <w:uiPriority w:val="99"/>
    <w:rsid w:val="004A7F58"/>
    <w:rPr>
      <w:rFonts w:ascii="Times New Roman" w:eastAsia="Batang" w:hAnsi="Times New Roman" w:cs="Times New Roman"/>
      <w:sz w:val="24"/>
      <w:szCs w:val="24"/>
      <w:lang w:eastAsia="sk-SK"/>
    </w:rPr>
  </w:style>
  <w:style w:type="paragraph" w:styleId="Bezriadkovania">
    <w:name w:val="No Spacing"/>
    <w:uiPriority w:val="99"/>
    <w:qFormat/>
    <w:rsid w:val="00A1777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yperlink" Target="http://www.sazp.s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microsoft.com/office/2007/relationships/stylesWithEffects" Target="stylesWithEffect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15</Pages>
  <Words>4655</Words>
  <Characters>26540</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Záhoranová Soňa</dc:creator>
  <cp:keywords/>
  <dc:description/>
  <cp:lastModifiedBy>Záhoranová Soňa</cp:lastModifiedBy>
  <cp:revision>9</cp:revision>
  <cp:lastPrinted>2014-05-22T15:03:00Z</cp:lastPrinted>
  <dcterms:created xsi:type="dcterms:W3CDTF">2014-05-22T12:54:00Z</dcterms:created>
  <dcterms:modified xsi:type="dcterms:W3CDTF">2014-05-29T12:31:00Z</dcterms:modified>
</cp:coreProperties>
</file>