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8B" w:rsidRPr="00856FFA" w:rsidRDefault="00112D54" w:rsidP="00112D54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  <w:lang w:val="sk-SK"/>
        </w:rPr>
      </w:pPr>
      <w:r w:rsidRPr="00856FFA">
        <w:rPr>
          <w:rFonts w:ascii="Times New Roman" w:hAnsi="Times New Roman" w:cs="Calibri"/>
          <w:b/>
          <w:caps/>
          <w:sz w:val="20"/>
          <w:szCs w:val="20"/>
          <w:lang w:val="sk-SK"/>
        </w:rPr>
        <w:t>Vyhodnotenie medzirezortného pripomienkového konania</w:t>
      </w:r>
    </w:p>
    <w:p w:rsidR="00A63365" w:rsidRPr="00856FFA" w:rsidRDefault="00A63365" w:rsidP="00112D54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  <w:lang w:val="sk-SK"/>
        </w:rPr>
      </w:pPr>
    </w:p>
    <w:p w:rsidR="00112D54" w:rsidRPr="00856FFA" w:rsidRDefault="00FA67A7" w:rsidP="00112D54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  <w:lang w:val="sk-SK"/>
        </w:rPr>
      </w:pPr>
      <w:r w:rsidRPr="00FA67A7">
        <w:rPr>
          <w:rFonts w:ascii="Times New Roman" w:hAnsi="Times New Roman" w:cs="Calibri"/>
          <w:iCs/>
          <w:sz w:val="20"/>
          <w:szCs w:val="20"/>
          <w:lang w:val="sk-SK"/>
        </w:rPr>
        <w:t>Návrh správy o plnení Národného akčného plánu rodovej rovnosti na roky 2010 - 2013 </w:t>
      </w:r>
    </w:p>
    <w:p w:rsidR="00A63365" w:rsidRPr="00856FFA" w:rsidRDefault="00A63365" w:rsidP="00112D54">
      <w:pPr>
        <w:widowControl/>
        <w:spacing w:after="0" w:line="240" w:lineRule="auto"/>
        <w:jc w:val="center"/>
        <w:rPr>
          <w:rFonts w:ascii="Times New Roman" w:hAnsi="Times New Roman" w:cs="Calibri"/>
          <w:sz w:val="20"/>
          <w:szCs w:val="20"/>
          <w:lang w:val="sk-SK"/>
        </w:rPr>
      </w:pPr>
    </w:p>
    <w:p w:rsidR="00112D54" w:rsidRPr="00856FFA" w:rsidRDefault="00112D54" w:rsidP="00112D54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</w:p>
    <w:tbl>
      <w:tblPr>
        <w:tblW w:w="14322" w:type="dxa"/>
        <w:tblCellMar>
          <w:left w:w="0" w:type="dxa"/>
          <w:right w:w="0" w:type="dxa"/>
        </w:tblCellMar>
        <w:tblLook w:val="0000"/>
      </w:tblPr>
      <w:tblGrid>
        <w:gridCol w:w="6379"/>
        <w:gridCol w:w="7943"/>
      </w:tblGrid>
      <w:tr w:rsidR="000E0D8B" w:rsidRPr="00DD3F6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Spôsob pripomienkového konania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DD3F66" w:rsidRDefault="00A2596C" w:rsidP="00763374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A2596C">
              <w:rPr>
                <w:rFonts w:ascii="Times New Roman" w:hAnsi="Times New Roman" w:cs="Calibri"/>
                <w:sz w:val="20"/>
                <w:szCs w:val="20"/>
                <w:lang w:val="sk-SK"/>
              </w:rPr>
              <w:t>informatívny materiál a z dôvodu dodržania termínu </w:t>
            </w: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15 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0 </w:t>
            </w:r>
          </w:p>
        </w:tc>
      </w:tr>
      <w:tr w:rsidR="00E92A3F" w:rsidRPr="00542B6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92A3F" w:rsidRPr="00856FFA" w:rsidRDefault="00E92A3F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2A3F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vyhodnotených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E92A3F" w:rsidRPr="00542B6A" w:rsidRDefault="00141E5C" w:rsidP="00141E5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141E5C">
              <w:rPr>
                <w:rFonts w:ascii="Times New Roman" w:hAnsi="Times New Roman" w:cs="Calibri"/>
                <w:sz w:val="20"/>
                <w:szCs w:val="20"/>
              </w:rPr>
              <w:t>15 </w:t>
            </w:r>
          </w:p>
        </w:tc>
      </w:tr>
      <w:tr w:rsidR="00E92A3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92A3F" w:rsidRPr="00856FFA" w:rsidRDefault="00E92A3F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E92A3F" w:rsidRDefault="00E92A3F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14 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>0 </w:t>
            </w: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8C0CA8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</w:t>
            </w:r>
            <w:r w:rsidR="008C0CA8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</w:t>
            </w: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čiastočne 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0 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0 </w:t>
            </w:r>
          </w:p>
        </w:tc>
      </w:tr>
      <w:tr w:rsidR="000E0D8B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0E0D8B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Počet neakceptovaných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E0D8B" w:rsidRPr="00856FFA" w:rsidRDefault="00AF58FC" w:rsidP="00AF58FC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1  </w:t>
            </w:r>
            <w:r w:rsidR="000E0D8B" w:rsidRPr="00856FFA">
              <w:rPr>
                <w:rFonts w:ascii="Times New Roman" w:hAnsi="Times New Roman" w:cs="Calibri"/>
                <w:sz w:val="20"/>
                <w:szCs w:val="20"/>
                <w:lang w:val="sk-SK"/>
              </w:rPr>
              <w:t>/</w:t>
            </w:r>
            <w:r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 0 </w:t>
            </w: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Cs/>
                <w:sz w:val="20"/>
                <w:szCs w:val="20"/>
              </w:rPr>
              <w:t>Rozporové konanie (s kým, kedy, s akým výsledkom)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856FFA">
              <w:rPr>
                <w:rFonts w:ascii="Times New Roman" w:hAnsi="Times New Roman" w:cs="Calibri"/>
                <w:bCs/>
                <w:sz w:val="20"/>
                <w:szCs w:val="20"/>
              </w:rPr>
              <w:t>Počet odstránených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  <w:tr w:rsidR="003C45FA" w:rsidRPr="00856F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0E0D8B">
            <w:pPr>
              <w:widowControl/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856FFA">
              <w:rPr>
                <w:rFonts w:ascii="Times New Roman" w:hAnsi="Times New Roman" w:cs="Calibri"/>
                <w:bCs/>
                <w:sz w:val="20"/>
                <w:szCs w:val="20"/>
              </w:rPr>
              <w:t>Počet neodstránených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3C45FA" w:rsidRPr="00856FFA" w:rsidRDefault="003C45FA" w:rsidP="00856FFA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</w:p>
        </w:tc>
      </w:tr>
    </w:tbl>
    <w:p w:rsidR="000E0D8B" w:rsidRPr="00856FFA" w:rsidRDefault="000E0D8B" w:rsidP="00112D54">
      <w:pPr>
        <w:widowControl/>
        <w:spacing w:after="0" w:line="240" w:lineRule="auto"/>
        <w:rPr>
          <w:rFonts w:ascii="Times New Roman" w:hAnsi="Times New Roman" w:cs="Calibri"/>
          <w:b/>
          <w:sz w:val="20"/>
          <w:szCs w:val="20"/>
          <w:lang w:val="sk-SK"/>
        </w:rPr>
      </w:pPr>
    </w:p>
    <w:p w:rsidR="00442145" w:rsidRPr="00856FFA" w:rsidRDefault="00442145" w:rsidP="00112D54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  <w:r w:rsidRPr="00856FFA">
        <w:rPr>
          <w:rFonts w:ascii="Times New Roman" w:hAnsi="Times New Roman" w:cs="Calibri"/>
          <w:sz w:val="20"/>
          <w:szCs w:val="20"/>
          <w:lang w:val="sk-SK"/>
        </w:rPr>
        <w:t>Sumarizácia vznesených pripomienok</w:t>
      </w:r>
      <w:r w:rsidR="006E1AE4">
        <w:rPr>
          <w:rFonts w:ascii="Times New Roman" w:hAnsi="Times New Roman" w:cs="Calibri"/>
          <w:sz w:val="20"/>
          <w:szCs w:val="20"/>
          <w:lang w:val="sk-SK"/>
        </w:rPr>
        <w:t xml:space="preserve"> podľa subjektov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6"/>
        <w:gridCol w:w="8327"/>
        <w:gridCol w:w="1443"/>
        <w:gridCol w:w="1443"/>
        <w:gridCol w:w="1428"/>
        <w:gridCol w:w="1197"/>
      </w:tblGrid>
      <w:tr w:rsidR="00442145" w:rsidRPr="00856FFA">
        <w:tc>
          <w:tcPr>
            <w:tcW w:w="168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Č.</w:t>
            </w:r>
          </w:p>
        </w:tc>
        <w:tc>
          <w:tcPr>
            <w:tcW w:w="2903" w:type="pct"/>
            <w:vAlign w:val="center"/>
          </w:tcPr>
          <w:p w:rsidR="00442145" w:rsidRPr="00856FFA" w:rsidRDefault="00542B6A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S</w:t>
            </w:r>
            <w:r w:rsidR="00442145"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ubjekt</w:t>
            </w:r>
          </w:p>
        </w:tc>
        <w:tc>
          <w:tcPr>
            <w:tcW w:w="505" w:type="pct"/>
            <w:vAlign w:val="center"/>
          </w:tcPr>
          <w:p w:rsidR="00442145" w:rsidRPr="00856FFA" w:rsidRDefault="00442145" w:rsidP="00CA36FC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Pripomienky</w:t>
            </w:r>
            <w:r w:rsidR="00CA36FC"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 xml:space="preserve"> </w:t>
            </w: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do termínu</w:t>
            </w:r>
          </w:p>
        </w:tc>
        <w:tc>
          <w:tcPr>
            <w:tcW w:w="505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Pripomienky po termíne</w:t>
            </w:r>
          </w:p>
        </w:tc>
        <w:tc>
          <w:tcPr>
            <w:tcW w:w="500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Nemali pripomienky</w:t>
            </w:r>
          </w:p>
        </w:tc>
        <w:tc>
          <w:tcPr>
            <w:tcW w:w="419" w:type="pct"/>
            <w:vAlign w:val="center"/>
          </w:tcPr>
          <w:p w:rsidR="00442145" w:rsidRPr="00856FFA" w:rsidRDefault="00442145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Vôbec nezaslali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spravodlivosti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vnútra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3 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financií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4 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kultúry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5 (5o,0z)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5 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hospodárstva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6 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dopravy, výstavby a regionálneho rozvoja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7 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pôdohospodárstva a rozvoja vidieka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1 (1o,0z)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8 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obrany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1 (1o,0z)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9 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zahraničných vecí a európskych záležitostí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10 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práce, sociálnych vecí a rodiny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11 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životného prostredia Slovenskej republiky 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12 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školstva, vedy, výskumu a športu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3 (3o,0z)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13 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Ministerstvo zdravotníctva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14 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Úrad vlády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15 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Protimonopolný úrad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16 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Štatistický úrad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3 (3o,0z)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17 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Úrad geodézie, kartografie a katastra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18 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Úrad jadrového dozoru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19 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Úrad pre normalizáciu, metrológiu a skúšobníctvo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>20 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Úrad pre verejné obstarávanie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21 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Úrad priemyselného vlastníctva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22 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Správa štátnych hmotných rezerv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23 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Národný bezpečnostný úrad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24 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Odbor vládnej agendy Úradu vlády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25 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Odbor zmeny klímy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26 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Asociácia zamestnávateľských zväzov a združení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x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27 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Verejnosť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1 (1o,0z)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442145" w:rsidRPr="00856FFA">
        <w:tc>
          <w:tcPr>
            <w:tcW w:w="168" w:type="pct"/>
            <w:vAlign w:val="center"/>
          </w:tcPr>
          <w:p w:rsidR="00442145" w:rsidRPr="00685203" w:rsidRDefault="00021029" w:rsidP="00021029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28 </w:t>
            </w:r>
            <w:r w:rsidR="00685203" w:rsidRPr="00685203">
              <w:rPr>
                <w:rFonts w:ascii="Times New Roman" w:hAnsi="Times New Roman" w:cs="Calibri"/>
                <w:sz w:val="20"/>
                <w:szCs w:val="20"/>
                <w:lang w:val="sk-SK"/>
              </w:rPr>
              <w:t>.</w:t>
            </w:r>
          </w:p>
        </w:tc>
        <w:tc>
          <w:tcPr>
            <w:tcW w:w="2903" w:type="pct"/>
            <w:vAlign w:val="center"/>
          </w:tcPr>
          <w:p w:rsidR="00442145" w:rsidRPr="00856FFA" w:rsidRDefault="00021029" w:rsidP="00021029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21029">
              <w:rPr>
                <w:rFonts w:ascii="Times New Roman" w:hAnsi="Times New Roman" w:cs="Calibri"/>
                <w:sz w:val="20"/>
                <w:szCs w:val="20"/>
                <w:lang w:val="sk-SK"/>
              </w:rPr>
              <w:t>Konfederácia odborových zväzov Slovenskej republiky </w:t>
            </w:r>
          </w:p>
        </w:tc>
        <w:tc>
          <w:tcPr>
            <w:tcW w:w="505" w:type="pct"/>
            <w:vAlign w:val="center"/>
          </w:tcPr>
          <w:p w:rsidR="00442145" w:rsidRPr="00685203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B0044B">
              <w:rPr>
                <w:rFonts w:ascii="Times New Roman" w:hAnsi="Times New Roman" w:cs="Calibri"/>
                <w:sz w:val="20"/>
                <w:szCs w:val="20"/>
                <w:lang w:val="sk-SK"/>
              </w:rPr>
              <w:t>1 (1o,0z) </w:t>
            </w:r>
          </w:p>
        </w:tc>
        <w:tc>
          <w:tcPr>
            <w:tcW w:w="505" w:type="pct"/>
            <w:vAlign w:val="center"/>
          </w:tcPr>
          <w:p w:rsidR="00442145" w:rsidRPr="00856FFA" w:rsidRDefault="00074151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500" w:type="pct"/>
            <w:vAlign w:val="center"/>
          </w:tcPr>
          <w:p w:rsidR="00442145" w:rsidRPr="00856FFA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  <w:tc>
          <w:tcPr>
            <w:tcW w:w="419" w:type="pct"/>
            <w:vAlign w:val="center"/>
          </w:tcPr>
          <w:p w:rsidR="00442145" w:rsidRPr="00856FFA" w:rsidRDefault="008C29A6" w:rsidP="0007415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sz w:val="20"/>
                <w:szCs w:val="20"/>
                <w:lang w:val="sk-SK"/>
              </w:rPr>
              <w:t> </w:t>
            </w:r>
          </w:p>
        </w:tc>
      </w:tr>
      <w:tr w:rsidR="00EE5C03" w:rsidRPr="00074151">
        <w:tc>
          <w:tcPr>
            <w:tcW w:w="168" w:type="pct"/>
            <w:vAlign w:val="center"/>
          </w:tcPr>
          <w:p w:rsidR="00EE5C03" w:rsidRPr="00856FFA" w:rsidRDefault="00EE5C03" w:rsidP="00442145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2903" w:type="pct"/>
            <w:vAlign w:val="center"/>
          </w:tcPr>
          <w:p w:rsidR="00EE5C03" w:rsidRPr="00856FFA" w:rsidRDefault="00EE5C03" w:rsidP="00CA36F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bCs/>
                <w:sz w:val="20"/>
                <w:szCs w:val="20"/>
                <w:lang w:val="sk-SK"/>
              </w:rPr>
              <w:t>SPOLU</w:t>
            </w:r>
          </w:p>
        </w:tc>
        <w:tc>
          <w:tcPr>
            <w:tcW w:w="505" w:type="pct"/>
            <w:vAlign w:val="center"/>
          </w:tcPr>
          <w:p w:rsidR="00EE5C03" w:rsidRPr="00074151" w:rsidRDefault="00B0044B" w:rsidP="009424B0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15 (15o,0z) </w:t>
            </w:r>
          </w:p>
        </w:tc>
        <w:tc>
          <w:tcPr>
            <w:tcW w:w="505" w:type="pct"/>
            <w:vAlign w:val="center"/>
          </w:tcPr>
          <w:p w:rsidR="00EE5C03" w:rsidRPr="00074151" w:rsidRDefault="00074151" w:rsidP="00763374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074151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0 (0o,0z) </w:t>
            </w:r>
          </w:p>
        </w:tc>
        <w:tc>
          <w:tcPr>
            <w:tcW w:w="500" w:type="pct"/>
            <w:vAlign w:val="center"/>
          </w:tcPr>
          <w:p w:rsidR="00EE5C03" w:rsidRPr="00074151" w:rsidRDefault="0046672B" w:rsidP="0046672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46672B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14 </w:t>
            </w:r>
          </w:p>
        </w:tc>
        <w:tc>
          <w:tcPr>
            <w:tcW w:w="419" w:type="pct"/>
            <w:vAlign w:val="center"/>
          </w:tcPr>
          <w:p w:rsidR="00EE5C03" w:rsidRPr="00074151" w:rsidRDefault="008C29A6" w:rsidP="007211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C29A6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7 </w:t>
            </w:r>
          </w:p>
        </w:tc>
      </w:tr>
    </w:tbl>
    <w:p w:rsidR="00442145" w:rsidRPr="00856FFA" w:rsidRDefault="00442145" w:rsidP="00112D54">
      <w:pPr>
        <w:widowControl/>
        <w:spacing w:after="0" w:line="240" w:lineRule="auto"/>
        <w:rPr>
          <w:rFonts w:ascii="Times New Roman" w:hAnsi="Times New Roman" w:cs="Calibri"/>
          <w:b/>
          <w:sz w:val="20"/>
          <w:szCs w:val="20"/>
          <w:lang w:val="sk-SK"/>
        </w:rPr>
      </w:pPr>
    </w:p>
    <w:p w:rsidR="00194B7B" w:rsidRPr="00856FFA" w:rsidRDefault="00194B7B" w:rsidP="00984FB1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984FB1" w:rsidRPr="00856FFA" w:rsidRDefault="00984FB1" w:rsidP="00984FB1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  <w:r w:rsidRPr="00856FFA">
        <w:rPr>
          <w:b w:val="0"/>
          <w:bCs w:val="0"/>
          <w:color w:val="000000"/>
          <w:sz w:val="20"/>
          <w:szCs w:val="20"/>
        </w:rPr>
        <w:t>Vyhodnotenie vecných pripomienok je uvedené v tabuľkovej časti.</w:t>
      </w:r>
    </w:p>
    <w:p w:rsidR="00984FB1" w:rsidRPr="00856FFA" w:rsidRDefault="00984FB1" w:rsidP="00A6336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/>
      </w:tblPr>
      <w:tblGrid>
        <w:gridCol w:w="1809"/>
        <w:gridCol w:w="3119"/>
      </w:tblGrid>
      <w:tr w:rsidR="00984FB1" w:rsidRPr="00856FFA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Vysvetlivky  k použitým skratkám v tabuľke:</w:t>
            </w:r>
          </w:p>
        </w:tc>
      </w:tr>
      <w:tr w:rsidR="00984FB1" w:rsidRPr="00856FF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A – akceptovaná</w:t>
            </w:r>
          </w:p>
        </w:tc>
      </w:tr>
      <w:tr w:rsidR="00984FB1" w:rsidRPr="00856FF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N – neakceptovaná</w:t>
            </w:r>
          </w:p>
        </w:tc>
      </w:tr>
      <w:tr w:rsidR="00984FB1" w:rsidRPr="00856FF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984FB1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4FB1" w:rsidRPr="00856FFA" w:rsidRDefault="00984FB1" w:rsidP="001A373C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6FFA">
              <w:rPr>
                <w:b w:val="0"/>
                <w:color w:val="000000"/>
                <w:sz w:val="20"/>
                <w:szCs w:val="20"/>
              </w:rPr>
              <w:t>ČA</w:t>
            </w:r>
            <w:r w:rsidR="001A373C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856FFA">
              <w:rPr>
                <w:b w:val="0"/>
                <w:color w:val="000000"/>
                <w:sz w:val="20"/>
                <w:szCs w:val="20"/>
              </w:rPr>
              <w:t>– čiastočne akceptovaná</w:t>
            </w:r>
          </w:p>
        </w:tc>
      </w:tr>
    </w:tbl>
    <w:p w:rsidR="000E0D8B" w:rsidRPr="00856FFA" w:rsidRDefault="000E0D8B">
      <w:pPr>
        <w:widowControl/>
        <w:rPr>
          <w:rFonts w:ascii="Times New Roman" w:hAnsi="Times New Roman" w:cs="Calibri"/>
          <w:sz w:val="20"/>
          <w:szCs w:val="20"/>
          <w:lang w:val="sk-SK"/>
        </w:rPr>
      </w:pPr>
      <w:r w:rsidRPr="00856FFA">
        <w:rPr>
          <w:rFonts w:ascii="Times New Roman" w:hAnsi="Times New Roman" w:cs="Calibri"/>
          <w:sz w:val="20"/>
          <w:szCs w:val="20"/>
          <w:lang w:val="sk-SK"/>
        </w:rPr>
        <w:br w:type="page"/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7"/>
        <w:gridCol w:w="6519"/>
        <w:gridCol w:w="708"/>
        <w:gridCol w:w="708"/>
        <w:gridCol w:w="4679"/>
      </w:tblGrid>
      <w:tr w:rsidR="00E92A3F" w:rsidRPr="00856FFA">
        <w:tc>
          <w:tcPr>
            <w:tcW w:w="495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Subjekt</w:t>
            </w:r>
          </w:p>
        </w:tc>
        <w:tc>
          <w:tcPr>
            <w:tcW w:w="2328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Pripomienka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Typ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Vyh.</w:t>
            </w:r>
          </w:p>
        </w:tc>
        <w:tc>
          <w:tcPr>
            <w:tcW w:w="1671" w:type="pct"/>
            <w:vAlign w:val="center"/>
          </w:tcPr>
          <w:p w:rsidR="00E92A3F" w:rsidRPr="00856FFA" w:rsidRDefault="00E92A3F" w:rsidP="008A0DCB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856FFA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Spôsob vyhodnotenia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MK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plneniu úlohy č. 8 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Navrhujeme doplniť do časti - konkrétne plnenie - nasledovný text: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Ministerstvo kultúry SR má na podporu kultúrnych aktivít prispievajúcich k implementácii rodovej rovnosti vytvorený finančný systémový nástroj - dotačný program Kultúra znevýhodnených skupín obyvateľstva (od roku 2005). Jeho základným cieľom je napomáhať integrácii znevýhodnených skupín obyvateľstva do spoločnosti v oblasti kultúry a tiež podporovať implementáciu rodovej rovnosti prostredníctvom kultúrnych aktivít pre ženy po 45 roku života, ženy - migrantky, rómske ženy, týrané ženy, ženy – osamelé matky a pod. s cieľom predchádzať diskriminácii a všetkým formám násilia.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Ministerstvo kultúry SR plnilo úlohu prostredníctvom organizácie v zriaďovateľskej pôsobnosti - Národného osvetového centra, ktorého základnou náplňou je podporovať neformálno-vzdelávacie a prosociálne aktivity v oblasti kultúry vrátane zvyšovania informovanosti o problematike rodovej rovnosti medzi laickou i odbornou kultúrnou verejnosťou. Národné osvetové centrum zaradilo na svoju webovú stránku zoznam publikácií a e-materiálov venovaných danej téme. Inštitúcia v rámci projektu sociálnej prevencie – realizuje každoročne informačno-vzdelávací bulletin - Sociálna prevencia, kde boli v sledovanom období v rámci sociálnej prevencie zaradené aj témy na podporu implementácie rodovej rovnosti (podrobný odpočet plnenia jednotlivých opatrení vyplývajúcich z Národného akčného plánu rodovej rovnosti za roky 2010 - 2013 Ministerstvo kultúry SR zaslalo Ministerstvu práce sociálnych vecí a rodiny SR listom č.: MK–1016/2014-110/5551 zo dňa 27. marca 2014).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Text doplnený.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MK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plneniu úlohy č. 9 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Navrhujeme doplniť do časti - konkrétne plnenie - nasledovný text: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Ministerstvo kultúry SR poskytlo svojim organizačným útvarom a organizáciám vo svojej zriaďovateľskej pôsobnosti (písomnou formou) informáciu o internetovej stránke MPSVR SR k problematike rodovej rovnosti a možnosti elektronického vzdelávania sa v oblasti rodovej rovnosti (e-learning). Implementácia rodovej rovnosti bola realizovaná tiež na úrovni organizácií v zriaďovateľskej pôsobnosti Ministerstva kultúry SR, najmä akvizíciami a realizáciou periodických a neperiodických publikácií, výstavkami kníh, interaktívnymi podujatiami atď.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Text doplnený.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MK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plneniu úlohy č. 23 – 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Navrhujeme doplniť do časti - konkrétne plnenie - nasledovný text: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Zakomponovanie témy rodovej rovnosti v rámci Ministerstva kultúry SR bolo upravené v Štatúte Ministerstva kultúry Slovenskej republiky, článok 5 – Zásady činnosti a riadenia ministerstva, odsek (6) Ministerstvo uplatňuje pri svojej činnosti zásady rovnakého zaobchádzania, rodovej rovnosti a rovnosti príležitostí. Ministerstvo kultúry SR v súlade so svojim štatútom aj týmto spôsobom prispieva k plneniu úloh rezortu v oblasti rodovej rovnosti.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Organizačným útvarom pre predmetnú problematiku je od roku 2005 odbor kultúry nehmotného kultúrneho dedičstva a kultúry znevýhodnených skupín obyvateľstva, kde je aktuálne jednu zamestnankyňa určená na výkon agendy - kultúra znevýhodnených skupín obyvateľstva vrátane rodovej rovnosti a rovnosti príležitostí (agenda tiež zahŕňa problematiku nediskriminácie, ochrany kultúrnych práv ľudí ohrozených chudobou a sociálnym vylúčením – marginalizovaných rómskych komunít, ľudí bez domova, zraniteľných skupín detí apod.).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Text doplnený.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MK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plneniu úlohy č. 35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Navrhujeme doplniť do časti - konkrétne plnenie - nasledovný text: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Ministerstvo kultúry SR pravidelne sleduje štatistické údaje v rezorte kultúry z hľadiska zisťovania počtu zamestnankýň a zamestnancov a ich odmeňovania podľa jednotlivých platových tried a pracovných pozícií. Od januára 2012 sú v rámci MK SR elektronicky spracovávaná, štatistiky, ktoré rešpektujú rodové členenie v oblasti mzdových rozdielov.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Text doplnený.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MK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Lingvistický výskum a manuál rodovo korektného jazyka (str. 13)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>Odporúčame, aby všetky aktivity súvisiace s „vypracovaním argumentačnej základne a spôsobu zavedenia rodovo korektného jazyka do praxe (vrátane vyčlenenia oblastí aplikácie a legislatívneho ukotvenia)“ a príslušné materiály týkajúce sa rodovo citlivého jazyka, napríklad „manuál rodovo korektného jazyka“ (str. 7 a 13) rešpektovali platné kodifikačné normy slovenského spisovného jazyka a príslušné ustanovenia zákona NR SR č. 270/1995 Z. z. o štátnom jazyku Slovenskej republiky v znení neskorších predpisov, preto je potrebné konzultovať ich s odborníkmi z odboru štátneho jazyka Ministerstva kultúry Slovenskej republiky, ktoré je ústredným orgánom štátnej správy v oblasti starostlivosti o štátny jazyk.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Odporúčanie akceptované.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MPRV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Pri úlohe č. 23 na strane 29 odporúčame doplniť, že na MPRV SR je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>problematika rodovej rovnosti na základe Organizačného poriadku začlenená do pôsobnosti odboru stratégií a koncepcií. 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Doplnené.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MO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vlastný materiál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Na strane 39, v časti venovanej oblasti „Zefektívnenie zostavovania rodovo členených štatistík:“, v poslednom odseku venovanom MO SR odporúčame vypustiť prvú časť vety v znení „Ako naznačuje graf č.1,“. Veta by tak začala slovami: „Podiel žien v štátnej službe...“ Zdôvodnenie: Graf č.1, na ktorý je vo vete odvolávka, nie je súčasťou predloženého materiálu.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Vypustené.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MŠVVaŠ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odsek 4, s. 12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„V oblasti ďalšieho vzdelávania je akreditácia programov... ...Ďalšia úprava v oblasti celoživotného vzdelávania bude predmetom nového zákona o celoživotnom vzdelávaní, ktorý je v Pláne legislatívnych úloh vlády v VI. volebnom období na rok 2014.“ žiadame upraviť nasledovne, pričom žiadame vypustiť poslednú vetu odseku: „V oblasti ďalšieho vzdelávania sú v oblasti rodovej rovnosti predmetom akreditácie, ktorá je upravená zákonom č. 568/2009 Z. z. o celoživotnom vzdelávaní v znení neskorších predpisov, tie vzdelávacie programy, ktorými si osoby pracujúce v uvedenej oblasti rozširujú alebo prehlbujú svoju kvalifikáciu na výkon odbornej činnosti, a teda sú považované za odborné vzdelávanie potrebné pre výkon ich práce.“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Odôvodnenie: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Informácia uvedená v pôvodnom znení odseku na s. 12 je v rozpore s informáciou uvedenou na s. 13, posledný odsek, týkajúcou sa výstupov národného projektu Inštitútu rodovej rovnosti, v rámci ktorého boli vytvorené vzdelávacie programy, ktoré boli akreditované MŠVVaŠ SR.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Uvedená formulácia je nesprávna, pretože podľa zákona o celoživotnom vzdelávaní sa akreditujú nielen vzdelávacie programy, ktoré vedú k získaniu kvalifikácie, ale aj vzdelávacie programy, ktorými si možno rozšíriť alebo prehĺbiť svoju kvalifikáciu na výkon odbornej činnosti.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Na rok 2014 nie je naplánovaná žiadna legislatívna úprava zákona o celoživotnom vzdelávaní. Okrem toho sa žiadna legislatívna úprava uvedenej problematiky netýka, a teda nemá v materiáli opodstatnenie.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Text upravený na základe pripomienky.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MŠVVaŠ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Operačný cieľ 2, v tabuľke bod 7., str. 7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- v stĺpci „Plnenie“ zmeniť textáciu z „čiastočne splnené“ na „splnené“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 stĺpca „Poznámka resp. spôsob plnenia“ doplniť textáciu „Pedagogicko-organizačné pokyny na školský rok 2011/2012, Pedagogicko-organizačné pokyny na školský rok 2012/ 2013, Pedagogicko-organizačné pokyny na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školský rok 2013/2014, Pedagogicko-organizačné pokyny na školský rok 2014/2015 : časť 1.6. Výchovno-vzdelávací proces, konkrétne 1.6.10. Ľudské a detské práva“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Doplnené.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MŠVVaŠ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obsahovej stránke materiálu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Sekcia vedy a techniky predložila vo februári 2014 podklady za svoju oblasť pôsobnosti k plneniu úloh Národného akčného plánu rodovej rovnosti na roky 2010 – 2013. Tieto podklady sa však do materiálu predloženého na MPK nedostali, ale sú v ňom staršie údaje, ktoré sa predkladali pred rokom. Preto navrhujeme drobné úpravy v zmysle opätovne priloženého podkladu, predovšetkým – publikácia „She Figures“ sa nepripravuje, ale je už vydaná, podľa zváženia doplniť niektoré uskutočnené aktivity za rok 2012 z dodaných podkladov a pod.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Podklad za sekciu vedy a techniky do odpočtu NAP rodovej rovnosti na roky 2010 - 2013: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 oblasti vedy a techniky bol na informačné zabezpečenie výskumu a vývoja vybudovaný Centrálny informačný portál pre výskum, vývoj a inovácie (CIP VVI), z ktorého sa odborná i laická verejnosť dozvedá informácie z oblasti výskumu, vývoja a inovácií. (Správcom portálu je Ministerstvo školstva, vedy, výskumu a športu SR – MŠVVaŠ SR. Prevádzkovateľom portálu je Centrum vedecko-technických informácií SR – CVTI SR). V rámci tohto portálu sa venuje veľký priestor aj popularizácii vedy a techniky, nevynímajúc otázky rodovej rovnosti. Nájdeme tu údaje z histórie žien vo vede, informácie o európskych iniciatívach a platformách žien vo vede, informácie o konferenciách, summitoch a materiáloch vydávaných v oblasti rodovej problematiky výskumu a vývoja na Slovensku a v EÚ. Na portáli sú zverejňované rozhovory s úspešnými slovenskými vedkyňami. V r. 2011 bolo 10 otázok položených doc. PhDr. Mariane Szapuovej, PhD. (ktorá sa zaoberá epistemológiou a feministickou filozofiou, na čo sa orientuje aj vo výskume), v roku 2012 významnej mikrobiologičke, vysokoškolskej pedagogičke a bývalej prednostke Mikrobiologického ústavu LF UK v Bratislave prof. MUDr. Daniele Kotulovej, PhD.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Ako podporný nástroj v oblasti popularizácie vedy a techniky na celoslovenskej úrovni a smerom voči zahraničiu je Národné centrum pre popularizáciu vedy a techniky v spoločnosti, ktoré bolo zriadené Ministerstvom školstva, vedy, výskumu a športu SR v rámci CVTI SR. Jeho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úlohou je zabezpečovať činnosti spojené s popularizáciou vedy a techniky v spoločnosti.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 rámci Národného centra pre popularizáciu vedy a techniky v spoločnosti sa pravidelne organizujú vedecké kaviarne „Veda v centre“ - neformálne stretnutia verejnosti s vedeckými osobnosťami pri káve a vedecké cukrárne - stretnutia mládeže s vedeckými osobnosťami. Týmito akciami sa popularizuje svet vedy a výskumu, prezentujú sa aktuálne témy z oblasti vedy a techniky. V roku 2011, 2012 a 2013 boli na tieto podujatia pozvané aj významné ženy - vedkyne z rôznych odborov vedy a techniky.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Vedecká cukráreň: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Dr. Ing. arch. Henrieta Moravčíková s témou „Môže byť architektúra totalitná?“ (16.12.2013)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Ivana Budinská, PhD. s témou "Swarm robotics - Čo sa môžu roboty naučiť od mravcov?“ (19.11.2013)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PhDr. Mária Šimková s témou „Globalizácia – Informatizácia – Anglikanizácia Prežije slovenčina?“ (22.10.2013)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MVDr. Markéta Derdáková, PhD. s témou „Kliešte v meste“ (19.6.2012)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Barbara Sviežená, PhD. s témou „Od stopy k páchteľovi – od Šalamúna po nanočipy“ (27.2.2012)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PhDr. Gabriela Kiliánová, CSc. s témou „Načo sú nám symboly? Čomu sa venuje etnológia?“ (21.12.2011)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Edita Nemcová, PhD. s témou „Teoretické a metodologické zázemie prognózovania vývoja spoločnosti“ (15.2.2011)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Vedecká kaviareň - Bratislava: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PaedDr. Soňa Čeretková, PhD. s témou „Ako (ne) (na) učiť matematiku“ (12. 12.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Ing. Melánia Feszterová, PhD. s témou „Kontaminácia zložiek životného prostredia. Mesto Šaľa – ovzdušie a pôda“ (24. 10.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Mgr. Dana Peškovičová, PhD. s témou „Potrebujeme dnes šľachtiť hospodárske zvieratá? Matematické modely a genetika v službách šľachtenia“ (19. 9.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Anna Dobrucká, PhD. s témou „Historické krajinné štruktúry v rozvoji vidieka“ (20. 6.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prof. RNDr. Katarína Cechlárová, CSc. s témou „Šťastie, zdravie, lži a ... matematika“ (28. 2.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prof. RNDr. Katarína Horáková, DrSc. s témou „Zdravie a vitalita až do vysokého veku“ (25.10.2012)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MA Monika Gullerová, PhD. s témou „Vypínanie génov – dizajn pre ideálnu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bunku“ (19.7.2012)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prof. PhDr. Jela Steinerová, PhD. s témou „Prečo potrebujeme informačnú ekológiu?“ (29.3.2012)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Katarína Bíliková, PhD. s témou „Včelí med ako liek“ (23.2.2012)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Andrea Fedorková, PhD. s témou „Zachránia elektromobily svet?“ (21.7.2011)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Anna Totková, PhD. s témou „Črevné parazity – nevítaní hostia v našom tele“ (30.6.2011)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prof. RNDr. Marta Kollárová, DrSc. s témou „Tajomný svet DNA“ (27.1.2011)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Vedecká kaviareň - Nitra: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PaedDr. Soňa Čeretková, PhD. s témou „Ako (ne) (na) učiť matematiku“ (12. 12.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Ing. Melánia Feszterová, PhD. s témou „Kontaminácia zložiek životného prostredia. Mesto Šaľa – ovzdušie a pôda“ (24. 10.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Mgr. Dana Peškovičová, PhD. s témou „Potrebujeme dnes šľachtiť hospodárske zvieratá? Matematické modely a genetika v službách šľachtenia“ (19. 9.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Anna Dobrucká, PhD. s témou „Historické krajinné štruktúry v rozvoji vidieka“ (20. 6. 2013)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RNDr. Alžbeta Hegedűsová, PhD. s témou „Rastliny v úlohe dekontaminácie zložiek životného prostredia“ (10. 11. 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RNDr. Ľudmila Illášová, PhD., prof. RNDr. Ivan Kraus, DrSc. s témou „Gemológia - jej úloha a poslanie“ (20. 10. 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Zuzana Krumpálová, PhD., prof. UAM Dr hab. Leszek Rychlik „Pôdne živočíchy ako objekt skúmania“ (22. 9. 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Doc. Ing. arch. Roberta Štěpánková, PhD., „Verejné prieSTORY o nás“ (23. 6. 2011)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Prostredníctvom portálu je prezentované, že aj ženy môžu byť pri skĺbení rodinných a pracovných povinností a akceptácii prostredia veľmi úspešné.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 rámci Týždňa vedy a techniky na Slovensku 2013, ktorý je organizovaný MŠVVaŠ SR, v spolupráci s CVTI SR, prebiehalo dňa 14. novembra 2013 udeľovanie cien ministra školstva, vedy, výskumu a športu Slovenskej republiky, ako aj odovzdanie cien partnerov podujatia za významné výsledky dosiahnuté v oblasti vedy a techniky. Udeľovanie cien sa uskutočnilo vo viacerých kategóriách, pričom v kategórii „Osobnosť vedy a techniky do 35 rokov“ boli v tomto roku udelené ceny aj dvom mladým ženám: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- Ing. Kristíne Kukurovej, PhD. za vedecký prínos v oblasti výskumu eliminácie obsahu akrylamidu v potravinách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Zuzane Pribulovej, PhD. za významný prínos k poznaniu mechanizmu párovania nových typov supravodičov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a v kategórii: Celoživotné zásluhy v oblasti vedy a techniky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Márii Fišerovej, PhD. za dlhodobé výskumné a aplikačné aktivity pri zvyšovaní technologickej a ekologickej úrovne výroby buničiny a papiera s dôrazom na kvalitu a vyššie využívanie drevnej suroviny, znižovanie spotreby chemikálií a vody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 roku 2012 boli udelené ceny v kategórii „Osobnosť vedy a techniky do 35 rokov“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Zuzane Horvátovej, PhD. za dosiahnuté výsledky v oblasti hodnotenia pesticídov a ich dopadov na životné prostredie, v rámci národnej úrovne aj pre účely európskeho registračného procesu,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Márii Bihuňovej, PhD. za rozvoj vedy v odbore Krajinná a záhradná architektúra, za dosiahnuté výsledky vo výskume a ich prezentáciu na medzinárodnej úrovni.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Cieľom každoročne organizovaného Týždňa vedy a techniky na Slovensku je zlepšiť vnímanie vedy a techniky v povedomí celej spoločnosti, popularizovať a prezentovať ich, vzbudiť záujem mladých ľudí o štúdium vedeckých a technických disciplín, informovať verejnosť o poznatkoch vedy a techniky a o nutnosti podporovať vedu a techniku, ktoré sú základom hospodárskeho a spoločenského pokroku a pomáhajú riešiť globálne problémy a výzvy.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Sprievodným podujatím Týždňa vedy a techniky 2012 bol seminár pod názvom: Súčasný stav rodovej rovnosti v Európe a na Slovensku, ktorý sa uskutočnil dňa 05.11.2012. Na predmetnom vedeckom kolokviu boli prezentované výsledky zistení o stave rodovej rovnosti v Európe a na Slovensku. Organizátorom podujatia bola Katedra sociológie FF UKF v Nitre / Inštitút pre výskum práce a rodiny pri MPaSVR.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 posledných rokoch bol odštartovaný popularizačný projekt Spektrum vedy, ktorým je cyklus televíznych dokumentov o práci a úspechoch slovenských vedcov, o ich mimoriadnych objavoch. Garantmi týchto projektov sú významní slovenskí vedci, vrátane úspešných žien: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Rok 2011: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Dňa 25.5.2011 bol odvysielaný dokument „Veľká nanoveda“, garantkou ktorého bola RNDr. Eva Majková, DrSc. – podpredsedníčka SAV.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- Garantkou dokumentu “Matematika a informatika ako základ znalostných systémov“ vysielaného dňa 14.9.2011 bola prof. RNDr. Katarína Cechlárová, CSc. z UPJŠ v Košiciach.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Rok 2012: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- 4.12.2012 bol odvysielaný dokument „Umenie vedou“, ktorý prezentovala doc. Katarína Mišíková, PhD.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Odbornými garantami dokumentu „Živí proti živým“, odvysielaného 30.10.2012, boli MVDr. Markéta Derdáková, PhD. a RNDr. Boris Klempa, PhD.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Sekcia vedy a techniky MŠVVaŠ SR sa významnou mierou podieľa na tvorbe európskych štatistík v oblasti rodovej rovnosti. V minulom roku bola vydaná publikácia She Figures 2012 (oficiálna publikácia Európskej komisie), ktorá podáva štatistické dáta a ukazovatele o ženách vo vede v krajinách EÚ i mimo nej. She Figures 2012 je štvrtou publikáciou (nasledujúcou po She Figures 2003, 2006 a 2009) kľúčového súboru indikátorov, ktoré sú dôležité pre správne pochopenie situácie žien vo vede. Poskytuje štatistiku o ženách vo vede od tretieho stupňa vysokoškolského vzdelávania až po trh práce. Predmetné publikácie sú využívané pre rôzne porovnávacie analýzy, štúdie v oblasti rodovej rovnosti, vo vystúpeniach, prezentáciách a prejavoch na konferenciách, workshopoch v rámci celej Európy i mimo nej a slúžia tiež pre tvorcov politík pre prípravu rozhodnutí v oblasti rodovej rovnosti na úrovni národnej, regionálnej a európskej.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29. septembra 2011 sa konala na Univerzite Mateja Bela v Banskej Bystrici konferencia s medzinárodnou účasťou pod názvom „Ženy v slovenskom/európskom akademickom a výskumnom prostredí“. Organizoval ju kolektív výskumných pracovníčok Inštitútu sociálnych a kultúrnych štúdií Fakulty humanitných vied UMB, ktorý participoval v projekte 7. Rámcového programu EÚ pod názvom „Gender Debate in the European Research Area“ (Rodový diskurz v Európskom výskumnom priestore; GENDERA; www.gendera.eu).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Hlavným cieľom projektu bolo sledovať a zlepšiť rodovú rovnosť vo vede a podporiť prostredie umožňujúce integráciu rodovej rovnosti do vedeckých stratégií a politík vo viacerých európskych krajinách. Špecifické ciele projektu sa sústredili na zber a analýzu skúseností z rodových politík a praktík zameraných na zlepšenie rodovej rovnosti v rôznych akademických a vedecko-výskumných inštitúciách; identifikáciu najlepších praktík na posilnenie vedeckých kapacít žien – vedkýň; a na iniciovanie národnej a európskej diskusie o týchto otázkach s predstaviteľmi akademických a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vedeckovýskumných inštitúcií a rozhodovacích orgánov.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Národné centrum pre popularizáciu vedy a techniky v spoločnosti pri Centre vedecko-technických informácií SR pripravilo výstavu Ženy vo vede, jedno zo sprievodných podujatí medzinárodnej súťaže Európskej únie pre mladých vedcov do 20 rokov – EUCYS 2012, ktoré sa konalo v priestoroch Incheby Expo v Bratislave v septembri 2012. Výstava mala za cieľ nielen inšpirovať mladé nadané študentky pri kariérnom rozhodovaní sa pre vedu a techniku, ale malo tiež upozorniť na problematiku rodovej rovnosti. Výstava predstavila významné ženy v histórii slovenskej vedy a profily ôsmich súčasných úspešných slovenských vedkýň.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Dňa 28. 11. 2013 sa v Slovenskom banskom múzeu v Banskej Štiavnici konalo významné podujatie, na ktorom bolo udelené po prvýkrát vyznamenanie ministra školstva, vedy, výskumu a športu Slovenskej republiky za mimoriadny prínos v oblasti vedy a techniky - Cena Samuela Mikovíniho. V rámci podujatia boli odovzdané vyznamenania v troch kategóriách, pričom v dvoch z nich boli udelené ceny aj úspešným ženám: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 kategórii Malá medaila Samuela Mikovíniho udeľovaná za prínosy v oblasti vedy a techniky v zahraničí: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Márii Chrenkovej, CSc. za úspešné získanie a riešenie medzinárodných projektov v 5. a 7. rámcovom programe EÚ, bilaterálnych projektov APVV a za aktívnu prednáškovú a vedeckú činnosť v zahraničí,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prof. Ing. Kristíne Zgodavovej, PhD. za prínosy v oblasti inžinierstva a manažérstva kvality, prezentáciu Slovenska doma a v zahraničí, vedenie projektov, doktorandov, publikovanie a spoluprácu s praxou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a v kategórii Pamätný list ministra školstva, vedy, výskumu a športu SR udeľovaný mladým pracovníkom výskumu a vývoja do 35 rokov: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Zuzane Dankovej, PhD. za publikované výsledky v oblasti štúdia štruktúrnych vlastností kompozitov na báze bentonitu a oxidov železa a ich využitia pre environmentálne účely,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Ing. Vlaste Ondrejka Harbuľákovej, PhD. za mimoriadne výsledky v oblasti štúdia biokorózie stavebných materiálov a výskumnú prácu hodnotenia deteriorizačných procesov betónových vzoriek vplyvom biologických a chemických činiteľov,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- RNDr. Barbare Bačovej, PhD. za významný vedecký prínos v oblasti výskumu zameraného na sledovanie úlohy srdcového konexínu-43 vo vývine a prevencii vzniku malígnych arytmií.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Predložené podklady boli v skrátenej forme použité. </w:t>
            </w: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Na základe pripomienky správa doplnená.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ŠÚ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Operačnému cieľu č. 5 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Odporúčame materiál dopracovať aj na úrovni Trenčianskeho a Košického samosprávneho kraja. Upozorňujeme, že v celom materiáli vo vyhodnotení plnenia plánu podľa operačných cieľov a aktivít chýba zhodnotenie za Trenčiansky a Košický samosprávny kraj. Keďže Národný akčný plán rodovej rovnosti na roky 2010 – 2013 hovorí aj o úlohách úradov samosprávnych krajov, obcí a miest, bolo by vhodné v tejto časti správy túto skutočnosť uviesť komplexne za všetky samosprávne kraje.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Vzhľadom na rozsah materiálu je konkrétne plnenie </w:t>
            </w: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>uvedené iba príkladmo. 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ŠÚ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Operačnému cieľu 7 Identifikovať nerovnosti žien a mužov prostredníctvom posilnenia výskumov a štatistík členených na základe pohlavia, k úlohe č. 33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Odporúčame na str. 36 v piatom odseku slová „www.statistics.sk (starej)“ nahradiť slovami „www.statistics.sk (Rodový aspekt)“. V čase zasielania podkladov do Návrhu správy o plnení Národného akčného plánu rodovej rovnosti na roky 2010 – 2013 menil Štatistický úrad SR dizajn svojho webového sídla. Predmetné dáta a informácie o gender štatistikách boli verejne dostupné len na pôvodnom (starom) portáli. V súčasnosti sú predmetné dáta sprístupnené už aj novom portáli, čím sa slovo „starej“ v zátvorke stáva nadbytočným.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Text upravený.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ŠÚ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K Operačného cieľa č. 7 časť Zefektívnenie zostavovania rodovo členených štatistík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Odporúčame pri hodnotení MO SR vypustiť slová „Ako naznačuje graf č. 1“, nakoľko súčasťou materiálu nie je grafická príloha.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Text vypustený.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t>Verejnosť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Návrh správy o plnení Národného akčného plánu rodovej rovnosti na roky 2010 - 2013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Zásadná pripomienka: v časti o hodnotení rodovo citlivého vzdelávania a výchovy žiadame zapracovať výhrady odbornej verejnosti k rodovo citlivej výchove v duchu tzv. rodovej ideológie a presadzovania feministických rodových teórií, ktoré boli zverejnené na tlačovej besede dňa 2.6.2014 (text vyhlásenia a zoznam signatárov: http://www.scribd.com/doc/227634926/Vyjadrenie-a-v%C3%BDzva-lekarov-psychologov-a-in%C3%BDch-odbornikov-ku-vplyvu-rodovej-ideologie-na-du%C5%A1evne-zdravie-deti).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Zdôvodnenie: Súčasťou hodnotiacej správy je aj rodovo citlivé vzdelávanie a výchova, ktorej konkrétne úlohy č. 5, 7, 8, 9 sú pod operačným cieľom 2, na stranách 7, 10 a 14, a taktiež úloha č. 27 na strane 30. Pri hodnotení týchto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úloh, aj v perspektíve budúcich rokov, je nevyhnutné vziať do úvahy, že rodovo citlivá výchova a vzdelávanie v duchu tzv. rodovej ideológie a presadzovania feministických rodových teórií sú v časti nielen laickej i odbornej verejnosti spochybňované a odmietané a považované za rizikové pre zdravý vývoj dieťaťa. Súvisí to predovšetkým z rozširovaním termínu "rod" a "rodová rovnosť, ktoré už nezahŕňajú len rovnosť príležitostí mužov a žien, ale aj rovnosť rodov ako sociálnych konštruktov, ktoré sa môžu odlišovať od biologického pohlavia, preto si človek môže sám určiť svoju príslušnosť k rodu. Termíny "rod" a "rodový" sa napĺňajú novými obsahmi a konceptami súvisiacimi s LGBTI problematikou a špeciálne s transgender problematikou. Práve takáto rodovo citlivá výchova je podľa vyše sto slovenských odborníkov riziková pre zdravý psycho-sexuálny vývoj dieťaťa a môže mať negatívny vplyv pri formovaní jeho pohlavnej identity. Ďalšou výhradou voči zavádzaniu rodovo citlivej výchovy je jej odborná nepodloženosť: chýbajú odborné a vedecké štúdie (evidence-based) alebo výskumy, ktoré by dokladovali jej vplyv na dieťa z pohľadu psychologického, pedagogického, či sociálneho. Preto ju možno považovať za projekt v experimentálnom štádiu, bez oficiálneho schválenia príslušnými zodpovednými inštitúciami. Navyše celoplošné zavádzanie rodovo citlivej výchovy proti vôli rodičov je aj v rozpore s niekoľkými záväznými medzinárodnými dokumentmi, ktoré potvrdzujú právo rodičov rozhodovať o výchove svojich detí (Všeobecná deklarácia ľudských práv, čl. 26, ods. 3; Dohovor OSN o právach dieťaťa čl.5,18, Európsky dohovor o ľudských právach a základných slobodách, dodatkový protokol,čl. 2).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Fórum života, o.z.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kontakt: marcela.dobesova@gmail.com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N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Správa je odpočtom plnenia za roky 2010 - 2013. Uvedená tlačová konferencia sa konala dňa 02.06.2014. </w:t>
            </w:r>
          </w:p>
        </w:tc>
      </w:tr>
      <w:tr w:rsidR="00E92A3F" w:rsidRPr="00856FFA">
        <w:tc>
          <w:tcPr>
            <w:tcW w:w="495" w:type="pct"/>
          </w:tcPr>
          <w:p w:rsidR="00E92A3F" w:rsidRPr="00701DA6" w:rsidRDefault="00E92A3F" w:rsidP="00DB178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A81B86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KOZ SR </w:t>
            </w:r>
          </w:p>
        </w:tc>
        <w:tc>
          <w:tcPr>
            <w:tcW w:w="2328" w:type="pct"/>
          </w:tcPr>
          <w:p w:rsidR="00E92A3F" w:rsidRPr="00054B9D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</w:pPr>
            <w:r w:rsidRPr="00054B9D">
              <w:rPr>
                <w:rFonts w:ascii="Times New Roman" w:hAnsi="Times New Roman" w:cs="Calibri"/>
                <w:b/>
                <w:iCs/>
                <w:sz w:val="20"/>
                <w:szCs w:val="20"/>
                <w:lang w:val="sk-SK"/>
              </w:rPr>
              <w:t>Stanovisko </w:t>
            </w:r>
          </w:p>
          <w:p w:rsidR="00E92A3F" w:rsidRPr="00856FFA" w:rsidRDefault="00E92A3F" w:rsidP="003877F7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t xml:space="preserve">K predloženému návrh správy o plnení Národného akčného plánu rodovej rovnosti na roky 2010 – 2013má KOZ SR toto stanovisko: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V hodnotenom období prišlo k zmenám v legislatíve, ktoré sa týkali zákazu diskriminácie vo všeobecnom a pracovnom práve a to v Zákonníku práce, Zákone o inšpekcii práce a bola schválená aj novela antidiskriminačného zákona, ktorá rozšírila definíciu nepriamej diskriminácie. Problematika rodovej rovnosti má multidisciplinárny charakter a pri jej realizácii je dôležitá úzka kooperácia štátnych orgánov, sociálnych partnerov, samosprávy, mimovládnych organizácií a všetkých subjektov, ktoré sa flexibilne a aktívne zúčastňujú na postupnom odstraňovaní diskriminácie vo všetkých oblastiach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lastRenderedPageBreak/>
              <w:t xml:space="preserve">života s cieľom garantovať zásadu rovnakého zaobchádzania s mužmi a ženami.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 xml:space="preserve">Obsah Správy o plnení Národného akčného plánu rodovej rovnosti na roky 2010-2013 hodnotíme pozitívne a podporujeme jednotlivé aktivity MPSVaR SR. Princíp uplatňovania rodového hľadiska prispieva tiež k riešeniu problémov nastavenia politík a mechanizmov na zvýšenie zamestnanosti a kvality života. </w:t>
            </w:r>
            <w:r w:rsidRPr="001C1EC9">
              <w:rPr>
                <w:rFonts w:ascii="Times New Roman" w:hAnsi="Times New Roman" w:cs="Calibri"/>
                <w:sz w:val="20"/>
                <w:szCs w:val="20"/>
                <w:lang w:val="sk-SK"/>
              </w:rPr>
              <w:br/>
              <w:t>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lastRenderedPageBreak/>
              <w:t>O </w:t>
            </w:r>
          </w:p>
        </w:tc>
        <w:tc>
          <w:tcPr>
            <w:tcW w:w="253" w:type="pct"/>
            <w:vAlign w:val="center"/>
          </w:tcPr>
          <w:p w:rsidR="00E92A3F" w:rsidRPr="00856FFA" w:rsidRDefault="00E92A3F" w:rsidP="005678B7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</w:pPr>
            <w:r w:rsidRPr="00FB4269">
              <w:rPr>
                <w:rFonts w:ascii="Times New Roman" w:hAnsi="Times New Roman" w:cs="Calibri"/>
                <w:b/>
                <w:sz w:val="20"/>
                <w:szCs w:val="20"/>
                <w:lang w:val="sk-SK"/>
              </w:rPr>
              <w:t>A </w:t>
            </w:r>
          </w:p>
        </w:tc>
        <w:tc>
          <w:tcPr>
            <w:tcW w:w="1671" w:type="pct"/>
          </w:tcPr>
          <w:p w:rsidR="00E92A3F" w:rsidRPr="00856FFA" w:rsidRDefault="00E92A3F" w:rsidP="00701DA6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sk-SK"/>
              </w:rPr>
            </w:pPr>
            <w:r w:rsidRPr="00E942DE">
              <w:rPr>
                <w:rFonts w:ascii="Times New Roman" w:hAnsi="Times New Roman" w:cs="Calibri"/>
                <w:sz w:val="20"/>
                <w:szCs w:val="20"/>
                <w:lang w:val="sk-SK"/>
              </w:rPr>
              <w:t>Akceptované. </w:t>
            </w:r>
          </w:p>
        </w:tc>
      </w:tr>
    </w:tbl>
    <w:p w:rsidR="000E0D8B" w:rsidRPr="00856FFA" w:rsidRDefault="000E0D8B" w:rsidP="002E5BFC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</w:p>
    <w:p w:rsidR="008A0DCB" w:rsidRPr="00856FFA" w:rsidRDefault="008A0DCB" w:rsidP="002E5BFC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  <w:lang w:val="sk-SK"/>
        </w:rPr>
      </w:pPr>
    </w:p>
    <w:sectPr w:rsidR="008A0DCB" w:rsidRPr="00856FFA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35"/>
    <w:rsid w:val="00021029"/>
    <w:rsid w:val="00054B9D"/>
    <w:rsid w:val="00074151"/>
    <w:rsid w:val="000E0D8B"/>
    <w:rsid w:val="00112D54"/>
    <w:rsid w:val="00141E5C"/>
    <w:rsid w:val="00194B7B"/>
    <w:rsid w:val="001A373C"/>
    <w:rsid w:val="001C1EC9"/>
    <w:rsid w:val="002E5BFC"/>
    <w:rsid w:val="003877F7"/>
    <w:rsid w:val="003C45FA"/>
    <w:rsid w:val="00442145"/>
    <w:rsid w:val="0046672B"/>
    <w:rsid w:val="00542B6A"/>
    <w:rsid w:val="005678B7"/>
    <w:rsid w:val="00685203"/>
    <w:rsid w:val="006E1AE4"/>
    <w:rsid w:val="00701DA6"/>
    <w:rsid w:val="007211BF"/>
    <w:rsid w:val="00763374"/>
    <w:rsid w:val="00856FFA"/>
    <w:rsid w:val="008A0DCB"/>
    <w:rsid w:val="008B4935"/>
    <w:rsid w:val="008C0CA8"/>
    <w:rsid w:val="008C29A6"/>
    <w:rsid w:val="009424B0"/>
    <w:rsid w:val="00984FB1"/>
    <w:rsid w:val="00A2596C"/>
    <w:rsid w:val="00A63365"/>
    <w:rsid w:val="00A81B86"/>
    <w:rsid w:val="00AF58FC"/>
    <w:rsid w:val="00B0044B"/>
    <w:rsid w:val="00C35D8B"/>
    <w:rsid w:val="00CA36FC"/>
    <w:rsid w:val="00DB178E"/>
    <w:rsid w:val="00DD3F66"/>
    <w:rsid w:val="00E92A3F"/>
    <w:rsid w:val="00E942DE"/>
    <w:rsid w:val="00EE5C03"/>
    <w:rsid w:val="00FA67A7"/>
    <w:rsid w:val="00FB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5D8B"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12D54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D5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42145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12D54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63365"/>
    <w:rPr>
      <w:rFonts w:ascii="Times New Roman" w:hAnsi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A6336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84FB1"/>
    <w:pPr>
      <w:spacing w:after="120" w:line="480" w:lineRule="auto"/>
      <w:ind w:left="283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63365"/>
    <w:rPr>
      <w:rFonts w:ascii="Times New Roman" w:hAnsi="Times New Roman"/>
      <w:b/>
      <w:bCs/>
      <w:sz w:val="28"/>
      <w:szCs w:val="28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984FB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4329</Words>
  <Characters>24681</Characters>
  <Application>Microsoft Office Word</Application>
  <DocSecurity>0</DocSecurity>
  <Lines>205</Lines>
  <Paragraphs>57</Paragraphs>
  <ScaleCrop>false</ScaleCrop>
  <Company>Abyss Studios, Ltd.</Company>
  <LinksUpToDate>false</LinksUpToDate>
  <CharactersWithSpaces>28953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jackova</cp:lastModifiedBy>
  <cp:revision>2</cp:revision>
  <dcterms:created xsi:type="dcterms:W3CDTF">2014-06-13T06:23:00Z</dcterms:created>
  <dcterms:modified xsi:type="dcterms:W3CDTF">2014-06-13T06:23:00Z</dcterms:modified>
</cp:coreProperties>
</file>