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F8" w:rsidRPr="00380511" w:rsidRDefault="00317BF8" w:rsidP="00317BF8">
      <w:pPr>
        <w:ind w:left="1620" w:hanging="1620"/>
        <w:jc w:val="both"/>
        <w:rPr>
          <w:b/>
          <w:bCs/>
          <w:smallCaps/>
          <w:sz w:val="28"/>
          <w:szCs w:val="28"/>
        </w:rPr>
      </w:pPr>
      <w:r w:rsidRPr="00380511">
        <w:rPr>
          <w:b/>
          <w:bCs/>
          <w:smallCaps/>
          <w:sz w:val="28"/>
          <w:szCs w:val="28"/>
        </w:rPr>
        <w:t xml:space="preserve">Príloha </w:t>
      </w:r>
      <w:r>
        <w:rPr>
          <w:b/>
          <w:bCs/>
          <w:smallCaps/>
          <w:sz w:val="28"/>
          <w:szCs w:val="28"/>
        </w:rPr>
        <w:t>3</w:t>
      </w:r>
      <w:r w:rsidRPr="00380511">
        <w:rPr>
          <w:b/>
          <w:bCs/>
          <w:smallCaps/>
          <w:sz w:val="28"/>
          <w:szCs w:val="28"/>
        </w:rPr>
        <w:t>: Platobný mechanizmus financovania výdavkov z EPZF a súvisiaci informačný tok (Spoločné riadenie)</w:t>
      </w:r>
    </w:p>
    <w:p w:rsidR="00317BF8" w:rsidRPr="00F55BED" w:rsidRDefault="00317BF8" w:rsidP="00317BF8">
      <w:pPr>
        <w:jc w:val="both"/>
        <w:rPr>
          <w:rFonts w:ascii="Book Antiqua" w:hAnsi="Book Antiqua" w:cs="Book Antiqua"/>
          <w:b/>
          <w:bCs/>
          <w:smallCaps/>
        </w:rPr>
      </w:pPr>
    </w:p>
    <w:p w:rsidR="00317BF8" w:rsidRDefault="00317BF8" w:rsidP="00317BF8">
      <w:r>
        <w:rPr>
          <w:noProof/>
        </w:rPr>
      </w:r>
      <w:r w:rsidRPr="00344F1D">
        <w:rPr>
          <w:rFonts w:ascii="Book Antiqua" w:hAnsi="Book Antiqua" w:cs="Book Antiqua"/>
          <w:b/>
          <w:bCs/>
          <w:sz w:val="28"/>
          <w:szCs w:val="28"/>
        </w:rPr>
        <w:pict>
          <v:group id="_x0000_s1026" editas="canvas" style="width:450pt;height:630pt;mso-position-horizontal-relative:char;mso-position-vertical-relative:line" coordorigin="1417,2541" coordsize="9000,12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7;top:2541;width:9000;height:12600" o:preferrelative="f" filled="t" fillcolor="#ff9" stroked="t">
              <v:fill o:detectmouseclick="t"/>
              <v:stroke dashstyle="dash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017;top:2771;width:1521;height:670" fillcolor="#9cf">
              <v:textbox style="mso-next-textbox:#_x0000_s1028">
                <w:txbxContent>
                  <w:p w:rsidR="00317BF8" w:rsidRPr="00C549B8" w:rsidRDefault="00317BF8" w:rsidP="00317BF8">
                    <w:pPr>
                      <w:jc w:val="center"/>
                      <w:rPr>
                        <w:rFonts w:ascii="Book Antiqua" w:hAnsi="Book Antiqua" w:cs="Book Antiqua"/>
                        <w:b/>
                        <w:bCs/>
                      </w:rPr>
                    </w:pPr>
                    <w:r w:rsidRPr="00C549B8">
                      <w:rPr>
                        <w:rFonts w:ascii="Book Antiqua" w:hAnsi="Book Antiqua" w:cs="Book Antiqua"/>
                        <w:b/>
                        <w:bCs/>
                      </w:rPr>
                      <w:t>Európska komisia</w:t>
                    </w:r>
                  </w:p>
                </w:txbxContent>
              </v:textbox>
            </v:shape>
            <v:shape id="_x0000_s1029" type="#_x0000_t202" style="position:absolute;left:4657;top:4521;width:2340;height:1080" fillcolor="#9cf">
              <v:textbox style="mso-next-textbox:#_x0000_s1029" inset=",2.3mm,,2.3mm">
                <w:txbxContent>
                  <w:p w:rsidR="00317BF8" w:rsidRDefault="00317BF8" w:rsidP="00317BF8">
                    <w:pPr>
                      <w:jc w:val="center"/>
                      <w:rPr>
                        <w:rFonts w:ascii="Book Antiqua" w:hAnsi="Book Antiqua" w:cs="Book Antiqua"/>
                        <w:b/>
                        <w:bCs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</w:rPr>
                      <w:t>OFR</w:t>
                    </w:r>
                  </w:p>
                  <w:p w:rsidR="00317BF8" w:rsidRPr="00C549B8" w:rsidRDefault="00317BF8" w:rsidP="00317BF8">
                    <w:pPr>
                      <w:jc w:val="center"/>
                      <w:rPr>
                        <w:rFonts w:ascii="Book Antiqua" w:hAnsi="Book Antiqua" w:cs="Book Antiqua"/>
                        <w:b/>
                        <w:bCs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</w:rPr>
                      <w:t>(mimorozpočtový účet)</w:t>
                    </w:r>
                  </w:p>
                </w:txbxContent>
              </v:textbox>
            </v:shape>
            <v:shape id="_x0000_s1030" type="#_x0000_t202" style="position:absolute;left:4477;top:8121;width:2700;height:1260" fillcolor="#9cf">
              <v:textbox style="mso-next-textbox:#_x0000_s1030">
                <w:txbxContent>
                  <w:p w:rsidR="00317BF8" w:rsidRPr="004148A5" w:rsidRDefault="00317BF8" w:rsidP="00317BF8">
                    <w:pPr>
                      <w:jc w:val="center"/>
                      <w:rPr>
                        <w:rFonts w:ascii="Book Antiqua" w:hAnsi="Book Antiqua" w:cs="Book Antiqua"/>
                        <w:b/>
                        <w:bCs/>
                      </w:rPr>
                    </w:pPr>
                    <w:r w:rsidRPr="004148A5">
                      <w:rPr>
                        <w:rFonts w:ascii="Book Antiqua" w:hAnsi="Book Antiqua" w:cs="Book Antiqua"/>
                        <w:b/>
                        <w:bCs/>
                      </w:rPr>
                      <w:t>PPA</w:t>
                    </w:r>
                  </w:p>
                  <w:p w:rsidR="00317BF8" w:rsidRPr="004148A5" w:rsidRDefault="00317BF8" w:rsidP="00317BF8">
                    <w:pPr>
                      <w:jc w:val="center"/>
                      <w:rPr>
                        <w:rFonts w:ascii="Book Antiqua" w:hAnsi="Book Antiqua" w:cs="Book Antiqua"/>
                        <w:b/>
                        <w:bCs/>
                      </w:rPr>
                    </w:pPr>
                    <w:r w:rsidRPr="004148A5">
                      <w:rPr>
                        <w:rFonts w:ascii="Book Antiqua" w:hAnsi="Book Antiqua" w:cs="Book Antiqua"/>
                        <w:b/>
                        <w:bCs/>
                      </w:rPr>
                      <w:t>(príjmový/výdavkový</w:t>
                    </w:r>
                    <w:r>
                      <w:rPr>
                        <w:rFonts w:ascii="Book Antiqua" w:hAnsi="Book Antiqua" w:cs="Book Antiqua"/>
                        <w:b/>
                        <w:bCs/>
                      </w:rPr>
                      <w:t>/mimorozpočtový</w:t>
                    </w:r>
                    <w:r w:rsidRPr="004148A5">
                      <w:rPr>
                        <w:rFonts w:ascii="Book Antiqua" w:hAnsi="Book Antiqua" w:cs="Book Antiqua"/>
                        <w:b/>
                        <w:bCs/>
                      </w:rPr>
                      <w:t xml:space="preserve"> účet)</w:t>
                    </w:r>
                  </w:p>
                </w:txbxContent>
              </v:textbox>
            </v:shape>
            <v:line id="_x0000_s1031" style="position:absolute" from="5917,3441" to="5918,4521">
              <v:stroke dashstyle="1 1" endarrow="open" endcap="round"/>
            </v:line>
            <v:line id="_x0000_s1032" style="position:absolute" from="5917,5601" to="5918,8121">
              <v:stroke dashstyle="1 1" endarrow="open" endcap="round"/>
            </v:line>
            <v:shape id="_x0000_s1033" type="#_x0000_t202" style="position:absolute;left:5017;top:10641;width:1512;height:720" fillcolor="#9cf">
              <v:textbox style="mso-next-textbox:#_x0000_s1033">
                <w:txbxContent>
                  <w:p w:rsidR="00317BF8" w:rsidRPr="00CF12DE" w:rsidRDefault="00317BF8" w:rsidP="00317BF8">
                    <w:pPr>
                      <w:jc w:val="center"/>
                      <w:rPr>
                        <w:rFonts w:ascii="Book Antiqua" w:hAnsi="Book Antiqua" w:cs="Book Antiqua"/>
                        <w:b/>
                        <w:bCs/>
                      </w:rPr>
                    </w:pPr>
                    <w:r w:rsidRPr="00CF12DE">
                      <w:rPr>
                        <w:rFonts w:ascii="Book Antiqua" w:hAnsi="Book Antiqua" w:cs="Book Antiqua"/>
                        <w:b/>
                        <w:bCs/>
                      </w:rPr>
                      <w:t>Príjemca platby</w:t>
                    </w:r>
                  </w:p>
                </w:txbxContent>
              </v:textbox>
            </v:shape>
            <v:line id="_x0000_s1034" style="position:absolute" from="5917,9381" to="5918,10641">
              <v:stroke dashstyle="1 1" endarrow="open" endcap="round"/>
            </v:line>
            <v:line id="_x0000_s1035" style="position:absolute" from="5737,5601" to="5738,8121">
              <v:stroke endarrow="block"/>
            </v:line>
            <v:line id="_x0000_s1036" style="position:absolute" from="5737,9381" to="5738,10641">
              <v:stroke endarrow="block"/>
            </v:line>
            <v:line id="_x0000_s1037" style="position:absolute" from="5737,3441" to="5738,4521">
              <v:stroke endarrow="block"/>
            </v:line>
            <v:line id="_x0000_s1038" style="position:absolute;flip:x y" from="4117,8661" to="4477,8662">
              <v:stroke dashstyle="dashDot"/>
            </v:line>
            <v:line id="_x0000_s1039" style="position:absolute;flip:y" from="4117,3081" to="4118,8661">
              <v:stroke dashstyle="dashDot"/>
            </v:line>
            <v:line id="_x0000_s1040" style="position:absolute" from="4117,3081" to="5017,3082">
              <v:stroke dashstyle="dashDot" endarrow="block"/>
            </v:line>
            <v:line id="_x0000_s1041" style="position:absolute" from="1957,12081" to="3397,12082">
              <v:stroke dashstyle="dashDot"/>
            </v:line>
            <v:line id="_x0000_s1042" style="position:absolute" from="1957,12801" to="3397,12802"/>
            <v:line id="_x0000_s1043" style="position:absolute" from="1957,13881" to="3397,13882">
              <v:stroke dashstyle="1 1"/>
            </v:line>
            <v:shape id="_x0000_s1044" type="#_x0000_t202" style="position:absolute;left:3649;top:11721;width:6588;height:3420" fillcolor="#ff9" stroked="f">
              <v:textbox style="mso-next-textbox:#_x0000_s1044">
                <w:txbxContent>
                  <w:p w:rsidR="00317BF8" w:rsidRPr="00C44BFE" w:rsidRDefault="00317BF8" w:rsidP="00317BF8">
                    <w:pPr>
                      <w:spacing w:after="160"/>
                      <w:jc w:val="both"/>
                      <w:rPr>
                        <w:rFonts w:ascii="Book Antiqua" w:hAnsi="Book Antiqua" w:cs="Book Antiqua"/>
                        <w:sz w:val="22"/>
                        <w:szCs w:val="22"/>
                      </w:rPr>
                    </w:pPr>
                    <w:r w:rsidRPr="00C44BFE">
                      <w:rPr>
                        <w:rFonts w:ascii="Book Antiqua" w:hAnsi="Book Antiqua" w:cs="Book Antiqua"/>
                        <w:sz w:val="22"/>
                        <w:szCs w:val="22"/>
                      </w:rPr>
                      <w:t>vyhlásenie o výdavkoch, ktoré slúži ako žiadosť o platbu, zasielané PPA najneskôr v 1</w:t>
                    </w:r>
                    <w:r>
                      <w:rPr>
                        <w:rFonts w:ascii="Book Antiqua" w:hAnsi="Book Antiqua" w:cs="Book Antiqua"/>
                        <w:sz w:val="22"/>
                        <w:szCs w:val="22"/>
                      </w:rPr>
                      <w:t>2</w:t>
                    </w:r>
                    <w:r w:rsidRPr="00C44BFE">
                      <w:rPr>
                        <w:rFonts w:ascii="Book Antiqua" w:hAnsi="Book Antiqua" w:cs="Book Antiqua"/>
                        <w:sz w:val="22"/>
                        <w:szCs w:val="22"/>
                      </w:rPr>
                      <w:t>. pracovný deň každého mesiaca</w:t>
                    </w:r>
                  </w:p>
                  <w:p w:rsidR="00317BF8" w:rsidRPr="00C44BFE" w:rsidRDefault="00317BF8" w:rsidP="00317BF8">
                    <w:pPr>
                      <w:spacing w:after="160"/>
                      <w:jc w:val="both"/>
                      <w:rPr>
                        <w:rFonts w:ascii="Book Antiqua" w:hAnsi="Book Antiqua" w:cs="Book Antiqua"/>
                        <w:sz w:val="22"/>
                        <w:szCs w:val="22"/>
                      </w:rPr>
                    </w:pPr>
                    <w:r w:rsidRPr="00C44BFE">
                      <w:rPr>
                        <w:rFonts w:ascii="Book Antiqua" w:hAnsi="Book Antiqua" w:cs="Book Antiqua"/>
                        <w:sz w:val="22"/>
                        <w:szCs w:val="22"/>
                      </w:rPr>
                      <w:t>mesačné platby realizované Komisiou najneskôr 3. pracovný deň druhého mesiaca nasledujúceho po mesiaci, počas ktorého sa výdavky realizovali</w:t>
                    </w:r>
                  </w:p>
                  <w:p w:rsidR="00317BF8" w:rsidRPr="00C44BFE" w:rsidRDefault="00317BF8" w:rsidP="00317BF8">
                    <w:pPr>
                      <w:spacing w:after="160"/>
                      <w:jc w:val="both"/>
                      <w:rPr>
                        <w:rFonts w:ascii="Book Antiqua" w:hAnsi="Book Antiqua" w:cs="Book Antiqua"/>
                        <w:sz w:val="22"/>
                        <w:szCs w:val="22"/>
                      </w:rPr>
                    </w:pPr>
                    <w:r w:rsidRPr="00C44BFE">
                      <w:rPr>
                        <w:rFonts w:ascii="Book Antiqua" w:hAnsi="Book Antiqua" w:cs="Book Antiqua"/>
                        <w:sz w:val="22"/>
                        <w:szCs w:val="22"/>
                      </w:rPr>
                      <w:t>informačný tok, prebiehajúci rovnobežne s finančným tokom (informácie o vyplácaných mesačných platbách smerujúcich z EK pre SR)</w:t>
                    </w:r>
                  </w:p>
                  <w:p w:rsidR="00317BF8" w:rsidRDefault="00317BF8" w:rsidP="00317BF8">
                    <w:pPr>
                      <w:jc w:val="both"/>
                    </w:pPr>
                  </w:p>
                  <w:p w:rsidR="00317BF8" w:rsidRDefault="00317BF8" w:rsidP="00317BF8"/>
                </w:txbxContent>
              </v:textbox>
            </v:shape>
            <v:line id="_x0000_s1045" style="position:absolute" from="7717,4881" to="7717,4881">
              <v:stroke endarrow="block"/>
            </v:line>
            <w10:wrap type="none"/>
            <w10:anchorlock/>
          </v:group>
        </w:pict>
      </w:r>
    </w:p>
    <w:p w:rsidR="006330E5" w:rsidRDefault="006330E5"/>
    <w:sectPr w:rsidR="006330E5" w:rsidSect="001A0697">
      <w:footerReference w:type="default" r:id="rId4"/>
      <w:pgSz w:w="11906" w:h="16838"/>
      <w:pgMar w:top="1417" w:right="1417" w:bottom="1417" w:left="1417" w:header="708" w:footer="708" w:gutter="0"/>
      <w:pgNumType w:fmt="upperRoman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Stencil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97" w:rsidRDefault="00546BE2" w:rsidP="001A0697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17BF8">
      <w:rPr>
        <w:rStyle w:val="slostrany"/>
        <w:noProof/>
      </w:rPr>
      <w:t>I</w:t>
    </w:r>
    <w:r>
      <w:rPr>
        <w:rStyle w:val="slostrany"/>
      </w:rPr>
      <w:fldChar w:fldCharType="end"/>
    </w:r>
  </w:p>
  <w:p w:rsidR="001A0697" w:rsidRDefault="00546BE2">
    <w:pPr>
      <w:pStyle w:val="Pt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7BF8"/>
    <w:rsid w:val="00317BF8"/>
    <w:rsid w:val="00546BE2"/>
    <w:rsid w:val="0063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17B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7B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martin.matula</dc:creator>
  <cp:lastModifiedBy>martin.matula</cp:lastModifiedBy>
  <cp:revision>1</cp:revision>
  <dcterms:created xsi:type="dcterms:W3CDTF">2014-05-23T07:48:00Z</dcterms:created>
  <dcterms:modified xsi:type="dcterms:W3CDTF">2014-05-23T07:48:00Z</dcterms:modified>
</cp:coreProperties>
</file>