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26" w:rsidRPr="00856FFA" w:rsidRDefault="00A14C26" w:rsidP="00A14C26">
      <w:pPr>
        <w:widowControl/>
        <w:spacing w:after="0" w:line="240" w:lineRule="auto"/>
        <w:jc w:val="center"/>
        <w:rPr>
          <w:rFonts w:ascii="Times New Roman" w:hAnsi="Times New Roman" w:cs="Calibri"/>
          <w:b/>
          <w:caps/>
          <w:sz w:val="20"/>
          <w:szCs w:val="20"/>
          <w:lang w:val="sk-SK"/>
        </w:rPr>
      </w:pPr>
      <w:r w:rsidRPr="00856FFA">
        <w:rPr>
          <w:rFonts w:ascii="Times New Roman" w:hAnsi="Times New Roman" w:cs="Calibri"/>
          <w:b/>
          <w:caps/>
          <w:sz w:val="20"/>
          <w:szCs w:val="20"/>
          <w:lang w:val="sk-SK"/>
        </w:rPr>
        <w:t>Vyhodnotenie medzirezortného pripomienkového konania</w:t>
      </w:r>
    </w:p>
    <w:p w:rsidR="00A14C26" w:rsidRPr="00856FFA" w:rsidRDefault="00A14C26" w:rsidP="00A14C26">
      <w:pPr>
        <w:widowControl/>
        <w:spacing w:after="0" w:line="240" w:lineRule="auto"/>
        <w:jc w:val="center"/>
        <w:rPr>
          <w:rFonts w:ascii="Times New Roman" w:hAnsi="Times New Roman" w:cs="Calibri"/>
          <w:iCs/>
          <w:sz w:val="20"/>
          <w:szCs w:val="20"/>
          <w:lang w:val="sk-SK"/>
        </w:rPr>
      </w:pPr>
    </w:p>
    <w:p w:rsidR="00A14C26" w:rsidRPr="00856FFA" w:rsidRDefault="00A14C26" w:rsidP="00A14C26">
      <w:pPr>
        <w:widowControl/>
        <w:spacing w:after="0" w:line="240" w:lineRule="auto"/>
        <w:jc w:val="center"/>
        <w:rPr>
          <w:rFonts w:ascii="Times New Roman" w:hAnsi="Times New Roman" w:cs="Calibri"/>
          <w:iCs/>
          <w:sz w:val="20"/>
          <w:szCs w:val="20"/>
          <w:lang w:val="sk-SK"/>
        </w:rPr>
      </w:pPr>
      <w:r w:rsidRPr="00FA67A7">
        <w:rPr>
          <w:rFonts w:ascii="Times New Roman" w:hAnsi="Times New Roman" w:cs="Calibri"/>
          <w:iCs/>
          <w:sz w:val="20"/>
          <w:szCs w:val="20"/>
          <w:lang w:val="sk-SK"/>
        </w:rPr>
        <w:t>Systém finančného riadenia Európskeho poľnohospodárskeho záručného fondu </w:t>
      </w:r>
    </w:p>
    <w:p w:rsidR="00A14C26" w:rsidRPr="00856FFA" w:rsidRDefault="00A14C26" w:rsidP="00A14C26">
      <w:pPr>
        <w:widowControl/>
        <w:spacing w:after="0" w:line="240" w:lineRule="auto"/>
        <w:jc w:val="center"/>
        <w:rPr>
          <w:rFonts w:ascii="Times New Roman" w:hAnsi="Times New Roman" w:cs="Calibri"/>
          <w:sz w:val="20"/>
          <w:szCs w:val="20"/>
          <w:lang w:val="sk-SK"/>
        </w:rPr>
      </w:pPr>
    </w:p>
    <w:p w:rsidR="00A14C26" w:rsidRPr="00856FFA" w:rsidRDefault="00A14C26" w:rsidP="00A14C26">
      <w:pPr>
        <w:widowControl/>
        <w:spacing w:after="0" w:line="240" w:lineRule="auto"/>
        <w:rPr>
          <w:rFonts w:ascii="Times New Roman" w:hAnsi="Times New Roman" w:cs="Calibri"/>
          <w:sz w:val="20"/>
          <w:szCs w:val="20"/>
          <w:lang w:val="sk-SK"/>
        </w:rPr>
      </w:pPr>
    </w:p>
    <w:tbl>
      <w:tblPr>
        <w:tblW w:w="14322" w:type="dxa"/>
        <w:tblCellMar>
          <w:left w:w="0" w:type="dxa"/>
          <w:right w:w="0" w:type="dxa"/>
        </w:tblCellMar>
        <w:tblLook w:val="0000"/>
      </w:tblPr>
      <w:tblGrid>
        <w:gridCol w:w="6379"/>
        <w:gridCol w:w="7943"/>
      </w:tblGrid>
      <w:tr w:rsidR="00A14C26" w:rsidRPr="00DD3F66"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Spôsob pripomienkového konania</w:t>
            </w:r>
          </w:p>
        </w:tc>
        <w:tc>
          <w:tcPr>
            <w:tcW w:w="7943" w:type="dxa"/>
            <w:tcBorders>
              <w:top w:val="nil"/>
              <w:left w:val="nil"/>
              <w:bottom w:val="nil"/>
              <w:right w:val="nil"/>
            </w:tcBorders>
          </w:tcPr>
          <w:p w:rsidR="00A14C26" w:rsidRPr="00DD3F66" w:rsidRDefault="00A14C26" w:rsidP="00803E4D">
            <w:pPr>
              <w:widowControl/>
              <w:spacing w:after="0" w:line="240" w:lineRule="auto"/>
              <w:rPr>
                <w:rFonts w:ascii="Times New Roman" w:hAnsi="Times New Roman" w:cs="Calibri"/>
                <w:sz w:val="20"/>
                <w:szCs w:val="20"/>
                <w:lang w:val="sk-SK"/>
              </w:rPr>
            </w:pPr>
            <w:r w:rsidRPr="00A2596C">
              <w:rPr>
                <w:rFonts w:ascii="Times New Roman" w:hAnsi="Times New Roman" w:cs="Calibri"/>
                <w:sz w:val="20"/>
                <w:szCs w:val="20"/>
                <w:lang w:val="sk-SK"/>
              </w:rPr>
              <w:t> </w:t>
            </w:r>
          </w:p>
        </w:tc>
      </w:tr>
      <w:tr w:rsidR="00A14C26" w:rsidRPr="00856FF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vznesených pripomienok, z toho zásadných</w:t>
            </w:r>
          </w:p>
        </w:tc>
        <w:tc>
          <w:tcPr>
            <w:tcW w:w="7943"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37  </w:t>
            </w:r>
            <w:r w:rsidRPr="00856FFA">
              <w:rPr>
                <w:rFonts w:ascii="Times New Roman" w:hAnsi="Times New Roman" w:cs="Calibri"/>
                <w:sz w:val="20"/>
                <w:szCs w:val="20"/>
                <w:lang w:val="sk-SK"/>
              </w:rPr>
              <w:t>/</w:t>
            </w:r>
            <w:r>
              <w:rPr>
                <w:rFonts w:ascii="Times New Roman" w:hAnsi="Times New Roman" w:cs="Calibri"/>
                <w:sz w:val="20"/>
                <w:szCs w:val="20"/>
                <w:lang w:val="sk-SK"/>
              </w:rPr>
              <w:t xml:space="preserve"> 1 </w:t>
            </w:r>
          </w:p>
        </w:tc>
      </w:tr>
      <w:tr w:rsidR="00A14C26" w:rsidRPr="00542B6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sidRPr="00E92A3F">
              <w:rPr>
                <w:rFonts w:ascii="Times New Roman" w:hAnsi="Times New Roman" w:cs="Calibri"/>
                <w:sz w:val="20"/>
                <w:szCs w:val="20"/>
                <w:lang w:val="sk-SK"/>
              </w:rPr>
              <w:t>Počet vyhodnotených pripomienok</w:t>
            </w:r>
          </w:p>
        </w:tc>
        <w:tc>
          <w:tcPr>
            <w:tcW w:w="7943" w:type="dxa"/>
            <w:tcBorders>
              <w:top w:val="nil"/>
              <w:left w:val="nil"/>
              <w:bottom w:val="nil"/>
              <w:right w:val="nil"/>
            </w:tcBorders>
          </w:tcPr>
          <w:p w:rsidR="00A14C26" w:rsidRPr="00542B6A" w:rsidRDefault="00A14C26" w:rsidP="00803E4D">
            <w:pPr>
              <w:widowControl/>
              <w:spacing w:after="0" w:line="240" w:lineRule="auto"/>
              <w:rPr>
                <w:rFonts w:ascii="Times New Roman" w:hAnsi="Times New Roman" w:cs="Calibri"/>
                <w:sz w:val="20"/>
                <w:szCs w:val="20"/>
              </w:rPr>
            </w:pPr>
            <w:r w:rsidRPr="00141E5C">
              <w:rPr>
                <w:rFonts w:ascii="Times New Roman" w:hAnsi="Times New Roman" w:cs="Calibri"/>
                <w:sz w:val="20"/>
                <w:szCs w:val="20"/>
              </w:rPr>
              <w:t>37 </w:t>
            </w:r>
          </w:p>
        </w:tc>
      </w:tr>
      <w:tr w:rsidR="00A14C26"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p>
        </w:tc>
        <w:tc>
          <w:tcPr>
            <w:tcW w:w="7943" w:type="dxa"/>
            <w:tcBorders>
              <w:top w:val="nil"/>
              <w:left w:val="nil"/>
              <w:bottom w:val="nil"/>
              <w:right w:val="nil"/>
            </w:tcBorders>
          </w:tcPr>
          <w:p w:rsidR="00A14C26" w:rsidRDefault="00A14C26" w:rsidP="00803E4D">
            <w:pPr>
              <w:widowControl/>
              <w:spacing w:after="0" w:line="240" w:lineRule="auto"/>
              <w:rPr>
                <w:rFonts w:ascii="Times New Roman" w:hAnsi="Times New Roman" w:cs="Calibri"/>
                <w:sz w:val="20"/>
                <w:szCs w:val="20"/>
                <w:lang w:val="sk-SK"/>
              </w:rPr>
            </w:pPr>
          </w:p>
        </w:tc>
      </w:tr>
      <w:tr w:rsidR="00A14C26" w:rsidRPr="00856FF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akceptovaných pripomienok, z toho zásadných</w:t>
            </w:r>
          </w:p>
        </w:tc>
        <w:tc>
          <w:tcPr>
            <w:tcW w:w="7943"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30  </w:t>
            </w:r>
            <w:r w:rsidRPr="00856FFA">
              <w:rPr>
                <w:rFonts w:ascii="Times New Roman" w:hAnsi="Times New Roman" w:cs="Calibri"/>
                <w:sz w:val="20"/>
                <w:szCs w:val="20"/>
                <w:lang w:val="sk-SK"/>
              </w:rPr>
              <w:t xml:space="preserve">/ </w:t>
            </w:r>
            <w:r>
              <w:rPr>
                <w:rFonts w:ascii="Times New Roman" w:hAnsi="Times New Roman" w:cs="Calibri"/>
                <w:sz w:val="20"/>
                <w:szCs w:val="20"/>
                <w:lang w:val="sk-SK"/>
              </w:rPr>
              <w:t>1 </w:t>
            </w:r>
          </w:p>
        </w:tc>
      </w:tr>
      <w:tr w:rsidR="00A14C26" w:rsidRPr="00856FF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w:t>
            </w:r>
            <w:r>
              <w:rPr>
                <w:rFonts w:ascii="Times New Roman" w:hAnsi="Times New Roman" w:cs="Calibri"/>
                <w:sz w:val="20"/>
                <w:szCs w:val="20"/>
                <w:lang w:val="sk-SK"/>
              </w:rPr>
              <w:t xml:space="preserve"> </w:t>
            </w:r>
            <w:r w:rsidRPr="00856FFA">
              <w:rPr>
                <w:rFonts w:ascii="Times New Roman" w:hAnsi="Times New Roman" w:cs="Calibri"/>
                <w:sz w:val="20"/>
                <w:szCs w:val="20"/>
                <w:lang w:val="sk-SK"/>
              </w:rPr>
              <w:t>čiastočne akceptovaných pripomienok, z toho zásadných</w:t>
            </w:r>
          </w:p>
        </w:tc>
        <w:tc>
          <w:tcPr>
            <w:tcW w:w="7943"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2  </w:t>
            </w:r>
            <w:r w:rsidRPr="00856FFA">
              <w:rPr>
                <w:rFonts w:ascii="Times New Roman" w:hAnsi="Times New Roman" w:cs="Calibri"/>
                <w:sz w:val="20"/>
                <w:szCs w:val="20"/>
                <w:lang w:val="sk-SK"/>
              </w:rPr>
              <w:t>/</w:t>
            </w:r>
            <w:r>
              <w:rPr>
                <w:rFonts w:ascii="Times New Roman" w:hAnsi="Times New Roman" w:cs="Calibri"/>
                <w:sz w:val="20"/>
                <w:szCs w:val="20"/>
                <w:lang w:val="sk-SK"/>
              </w:rPr>
              <w:t xml:space="preserve"> 0 </w:t>
            </w:r>
          </w:p>
        </w:tc>
      </w:tr>
      <w:tr w:rsidR="00A14C26" w:rsidRPr="00856FF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neakceptovaných pripomienok, z toho zásadných</w:t>
            </w:r>
          </w:p>
        </w:tc>
        <w:tc>
          <w:tcPr>
            <w:tcW w:w="7943"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5  </w:t>
            </w:r>
            <w:r w:rsidRPr="00856FFA">
              <w:rPr>
                <w:rFonts w:ascii="Times New Roman" w:hAnsi="Times New Roman" w:cs="Calibri"/>
                <w:sz w:val="20"/>
                <w:szCs w:val="20"/>
                <w:lang w:val="sk-SK"/>
              </w:rPr>
              <w:t>/</w:t>
            </w:r>
            <w:r>
              <w:rPr>
                <w:rFonts w:ascii="Times New Roman" w:hAnsi="Times New Roman" w:cs="Calibri"/>
                <w:sz w:val="20"/>
                <w:szCs w:val="20"/>
                <w:lang w:val="sk-SK"/>
              </w:rPr>
              <w:t xml:space="preserve"> 0 </w:t>
            </w:r>
          </w:p>
        </w:tc>
      </w:tr>
      <w:tr w:rsidR="00A14C26" w:rsidRPr="00856FF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bCs/>
                <w:sz w:val="20"/>
                <w:szCs w:val="20"/>
              </w:rPr>
            </w:pPr>
          </w:p>
        </w:tc>
        <w:tc>
          <w:tcPr>
            <w:tcW w:w="7943"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p>
        </w:tc>
      </w:tr>
      <w:tr w:rsidR="00A14C26" w:rsidRPr="00856FF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proofErr w:type="spellStart"/>
            <w:r w:rsidRPr="00856FFA">
              <w:rPr>
                <w:rFonts w:ascii="Times New Roman" w:hAnsi="Times New Roman" w:cs="Calibri"/>
                <w:bCs/>
                <w:sz w:val="20"/>
                <w:szCs w:val="20"/>
              </w:rPr>
              <w:t>Rozporové</w:t>
            </w:r>
            <w:proofErr w:type="spellEnd"/>
            <w:r w:rsidRPr="00856FFA">
              <w:rPr>
                <w:rFonts w:ascii="Times New Roman" w:hAnsi="Times New Roman" w:cs="Calibri"/>
                <w:bCs/>
                <w:sz w:val="20"/>
                <w:szCs w:val="20"/>
              </w:rPr>
              <w:t xml:space="preserve"> </w:t>
            </w:r>
            <w:proofErr w:type="spellStart"/>
            <w:r w:rsidRPr="00856FFA">
              <w:rPr>
                <w:rFonts w:ascii="Times New Roman" w:hAnsi="Times New Roman" w:cs="Calibri"/>
                <w:bCs/>
                <w:sz w:val="20"/>
                <w:szCs w:val="20"/>
              </w:rPr>
              <w:t>konanie</w:t>
            </w:r>
            <w:proofErr w:type="spellEnd"/>
            <w:r w:rsidRPr="00856FFA">
              <w:rPr>
                <w:rFonts w:ascii="Times New Roman" w:hAnsi="Times New Roman" w:cs="Calibri"/>
                <w:bCs/>
                <w:sz w:val="20"/>
                <w:szCs w:val="20"/>
              </w:rPr>
              <w:t xml:space="preserve"> (s </w:t>
            </w:r>
            <w:proofErr w:type="spellStart"/>
            <w:r w:rsidRPr="00856FFA">
              <w:rPr>
                <w:rFonts w:ascii="Times New Roman" w:hAnsi="Times New Roman" w:cs="Calibri"/>
                <w:bCs/>
                <w:sz w:val="20"/>
                <w:szCs w:val="20"/>
              </w:rPr>
              <w:t>kým</w:t>
            </w:r>
            <w:proofErr w:type="spellEnd"/>
            <w:r w:rsidRPr="00856FFA">
              <w:rPr>
                <w:rFonts w:ascii="Times New Roman" w:hAnsi="Times New Roman" w:cs="Calibri"/>
                <w:bCs/>
                <w:sz w:val="20"/>
                <w:szCs w:val="20"/>
              </w:rPr>
              <w:t xml:space="preserve">, </w:t>
            </w:r>
            <w:proofErr w:type="spellStart"/>
            <w:r w:rsidRPr="00856FFA">
              <w:rPr>
                <w:rFonts w:ascii="Times New Roman" w:hAnsi="Times New Roman" w:cs="Calibri"/>
                <w:bCs/>
                <w:sz w:val="20"/>
                <w:szCs w:val="20"/>
              </w:rPr>
              <w:t>kedy</w:t>
            </w:r>
            <w:proofErr w:type="spellEnd"/>
            <w:r w:rsidRPr="00856FFA">
              <w:rPr>
                <w:rFonts w:ascii="Times New Roman" w:hAnsi="Times New Roman" w:cs="Calibri"/>
                <w:bCs/>
                <w:sz w:val="20"/>
                <w:szCs w:val="20"/>
              </w:rPr>
              <w:t>, s </w:t>
            </w:r>
            <w:proofErr w:type="spellStart"/>
            <w:r w:rsidRPr="00856FFA">
              <w:rPr>
                <w:rFonts w:ascii="Times New Roman" w:hAnsi="Times New Roman" w:cs="Calibri"/>
                <w:bCs/>
                <w:sz w:val="20"/>
                <w:szCs w:val="20"/>
              </w:rPr>
              <w:t>akým</w:t>
            </w:r>
            <w:proofErr w:type="spellEnd"/>
            <w:r w:rsidRPr="00856FFA">
              <w:rPr>
                <w:rFonts w:ascii="Times New Roman" w:hAnsi="Times New Roman" w:cs="Calibri"/>
                <w:bCs/>
                <w:sz w:val="20"/>
                <w:szCs w:val="20"/>
              </w:rPr>
              <w:t xml:space="preserve"> </w:t>
            </w:r>
            <w:proofErr w:type="spellStart"/>
            <w:r w:rsidRPr="00856FFA">
              <w:rPr>
                <w:rFonts w:ascii="Times New Roman" w:hAnsi="Times New Roman" w:cs="Calibri"/>
                <w:bCs/>
                <w:sz w:val="20"/>
                <w:szCs w:val="20"/>
              </w:rPr>
              <w:t>výsledkom</w:t>
            </w:r>
            <w:proofErr w:type="spellEnd"/>
            <w:r w:rsidRPr="00856FFA">
              <w:rPr>
                <w:rFonts w:ascii="Times New Roman" w:hAnsi="Times New Roman" w:cs="Calibri"/>
                <w:bCs/>
                <w:sz w:val="20"/>
                <w:szCs w:val="20"/>
              </w:rPr>
              <w:t>)</w:t>
            </w:r>
          </w:p>
        </w:tc>
        <w:tc>
          <w:tcPr>
            <w:tcW w:w="7943"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p>
        </w:tc>
      </w:tr>
      <w:tr w:rsidR="00A14C26" w:rsidRPr="00856FF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bCs/>
                <w:sz w:val="20"/>
                <w:szCs w:val="20"/>
              </w:rPr>
            </w:pPr>
            <w:proofErr w:type="spellStart"/>
            <w:r w:rsidRPr="00856FFA">
              <w:rPr>
                <w:rFonts w:ascii="Times New Roman" w:hAnsi="Times New Roman" w:cs="Calibri"/>
                <w:bCs/>
                <w:sz w:val="20"/>
                <w:szCs w:val="20"/>
              </w:rPr>
              <w:t>Počet</w:t>
            </w:r>
            <w:proofErr w:type="spellEnd"/>
            <w:r w:rsidRPr="00856FFA">
              <w:rPr>
                <w:rFonts w:ascii="Times New Roman" w:hAnsi="Times New Roman" w:cs="Calibri"/>
                <w:bCs/>
                <w:sz w:val="20"/>
                <w:szCs w:val="20"/>
              </w:rPr>
              <w:t xml:space="preserve"> </w:t>
            </w:r>
            <w:proofErr w:type="spellStart"/>
            <w:r w:rsidRPr="00856FFA">
              <w:rPr>
                <w:rFonts w:ascii="Times New Roman" w:hAnsi="Times New Roman" w:cs="Calibri"/>
                <w:bCs/>
                <w:sz w:val="20"/>
                <w:szCs w:val="20"/>
              </w:rPr>
              <w:t>odstránených</w:t>
            </w:r>
            <w:proofErr w:type="spellEnd"/>
            <w:r w:rsidRPr="00856FFA">
              <w:rPr>
                <w:rFonts w:ascii="Times New Roman" w:hAnsi="Times New Roman" w:cs="Calibri"/>
                <w:bCs/>
                <w:sz w:val="20"/>
                <w:szCs w:val="20"/>
              </w:rPr>
              <w:t xml:space="preserve"> </w:t>
            </w:r>
            <w:proofErr w:type="spellStart"/>
            <w:r w:rsidRPr="00856FFA">
              <w:rPr>
                <w:rFonts w:ascii="Times New Roman" w:hAnsi="Times New Roman" w:cs="Calibri"/>
                <w:bCs/>
                <w:sz w:val="20"/>
                <w:szCs w:val="20"/>
              </w:rPr>
              <w:t>pripomienok</w:t>
            </w:r>
            <w:proofErr w:type="spellEnd"/>
          </w:p>
        </w:tc>
        <w:tc>
          <w:tcPr>
            <w:tcW w:w="7943"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p>
        </w:tc>
      </w:tr>
      <w:tr w:rsidR="00A14C26" w:rsidRPr="00856FFA" w:rsidTr="00803E4D">
        <w:tc>
          <w:tcPr>
            <w:tcW w:w="6379"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bCs/>
                <w:sz w:val="20"/>
                <w:szCs w:val="20"/>
              </w:rPr>
            </w:pPr>
            <w:proofErr w:type="spellStart"/>
            <w:r w:rsidRPr="00856FFA">
              <w:rPr>
                <w:rFonts w:ascii="Times New Roman" w:hAnsi="Times New Roman" w:cs="Calibri"/>
                <w:bCs/>
                <w:sz w:val="20"/>
                <w:szCs w:val="20"/>
              </w:rPr>
              <w:t>Počet</w:t>
            </w:r>
            <w:proofErr w:type="spellEnd"/>
            <w:r w:rsidRPr="00856FFA">
              <w:rPr>
                <w:rFonts w:ascii="Times New Roman" w:hAnsi="Times New Roman" w:cs="Calibri"/>
                <w:bCs/>
                <w:sz w:val="20"/>
                <w:szCs w:val="20"/>
              </w:rPr>
              <w:t xml:space="preserve"> </w:t>
            </w:r>
            <w:proofErr w:type="spellStart"/>
            <w:r w:rsidRPr="00856FFA">
              <w:rPr>
                <w:rFonts w:ascii="Times New Roman" w:hAnsi="Times New Roman" w:cs="Calibri"/>
                <w:bCs/>
                <w:sz w:val="20"/>
                <w:szCs w:val="20"/>
              </w:rPr>
              <w:t>neodstránených</w:t>
            </w:r>
            <w:proofErr w:type="spellEnd"/>
            <w:r w:rsidRPr="00856FFA">
              <w:rPr>
                <w:rFonts w:ascii="Times New Roman" w:hAnsi="Times New Roman" w:cs="Calibri"/>
                <w:bCs/>
                <w:sz w:val="20"/>
                <w:szCs w:val="20"/>
              </w:rPr>
              <w:t xml:space="preserve"> </w:t>
            </w:r>
            <w:proofErr w:type="spellStart"/>
            <w:r w:rsidRPr="00856FFA">
              <w:rPr>
                <w:rFonts w:ascii="Times New Roman" w:hAnsi="Times New Roman" w:cs="Calibri"/>
                <w:bCs/>
                <w:sz w:val="20"/>
                <w:szCs w:val="20"/>
              </w:rPr>
              <w:t>pripomienok</w:t>
            </w:r>
            <w:proofErr w:type="spellEnd"/>
          </w:p>
        </w:tc>
        <w:tc>
          <w:tcPr>
            <w:tcW w:w="7943" w:type="dxa"/>
            <w:tcBorders>
              <w:top w:val="nil"/>
              <w:left w:val="nil"/>
              <w:bottom w:val="nil"/>
              <w:right w:val="nil"/>
            </w:tcBorders>
          </w:tcPr>
          <w:p w:rsidR="00A14C26" w:rsidRPr="00856FFA" w:rsidRDefault="00A14C26" w:rsidP="00803E4D">
            <w:pPr>
              <w:widowControl/>
              <w:spacing w:after="0" w:line="240" w:lineRule="auto"/>
              <w:rPr>
                <w:rFonts w:ascii="Times New Roman" w:hAnsi="Times New Roman" w:cs="Calibri"/>
                <w:sz w:val="20"/>
                <w:szCs w:val="20"/>
                <w:lang w:val="sk-SK"/>
              </w:rPr>
            </w:pPr>
          </w:p>
        </w:tc>
      </w:tr>
    </w:tbl>
    <w:p w:rsidR="00A14C26" w:rsidRPr="00856FFA" w:rsidRDefault="00A14C26" w:rsidP="00A14C26">
      <w:pPr>
        <w:widowControl/>
        <w:spacing w:after="0" w:line="240" w:lineRule="auto"/>
        <w:rPr>
          <w:rFonts w:ascii="Times New Roman" w:hAnsi="Times New Roman" w:cs="Calibri"/>
          <w:b/>
          <w:sz w:val="20"/>
          <w:szCs w:val="20"/>
          <w:lang w:val="sk-SK"/>
        </w:rPr>
      </w:pPr>
    </w:p>
    <w:p w:rsidR="00A14C26" w:rsidRPr="00856FFA" w:rsidRDefault="00A14C26" w:rsidP="00A14C26">
      <w:pPr>
        <w:widowControl/>
        <w:spacing w:after="0" w:line="240" w:lineRule="auto"/>
        <w:rPr>
          <w:rFonts w:ascii="Times New Roman" w:hAnsi="Times New Roman" w:cs="Calibri"/>
          <w:sz w:val="20"/>
          <w:szCs w:val="20"/>
          <w:lang w:val="sk-SK"/>
        </w:rPr>
      </w:pPr>
      <w:proofErr w:type="spellStart"/>
      <w:r w:rsidRPr="00856FFA">
        <w:rPr>
          <w:rFonts w:ascii="Times New Roman" w:hAnsi="Times New Roman" w:cs="Calibri"/>
          <w:sz w:val="20"/>
          <w:szCs w:val="20"/>
          <w:lang w:val="sk-SK"/>
        </w:rPr>
        <w:t>Sumarizácia</w:t>
      </w:r>
      <w:proofErr w:type="spellEnd"/>
      <w:r w:rsidRPr="00856FFA">
        <w:rPr>
          <w:rFonts w:ascii="Times New Roman" w:hAnsi="Times New Roman" w:cs="Calibri"/>
          <w:sz w:val="20"/>
          <w:szCs w:val="20"/>
          <w:lang w:val="sk-SK"/>
        </w:rPr>
        <w:t xml:space="preserve"> vznesených pripomienok</w:t>
      </w:r>
      <w:r>
        <w:rPr>
          <w:rFonts w:ascii="Times New Roman" w:hAnsi="Times New Roman" w:cs="Calibri"/>
          <w:sz w:val="20"/>
          <w:szCs w:val="20"/>
          <w:lang w:val="sk-SK"/>
        </w:rPr>
        <w:t xml:space="preserve"> podľa subjektov</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16"/>
        <w:gridCol w:w="8327"/>
        <w:gridCol w:w="1443"/>
        <w:gridCol w:w="1443"/>
        <w:gridCol w:w="1428"/>
        <w:gridCol w:w="1197"/>
      </w:tblGrid>
      <w:tr w:rsidR="00A14C26" w:rsidRPr="00856FFA" w:rsidTr="00803E4D">
        <w:tc>
          <w:tcPr>
            <w:tcW w:w="168"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Č.</w:t>
            </w:r>
          </w:p>
        </w:tc>
        <w:tc>
          <w:tcPr>
            <w:tcW w:w="290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Pr>
                <w:rFonts w:ascii="Times New Roman" w:hAnsi="Times New Roman" w:cs="Calibri"/>
                <w:b/>
                <w:sz w:val="20"/>
                <w:szCs w:val="20"/>
                <w:lang w:val="sk-SK"/>
              </w:rPr>
              <w:t>S</w:t>
            </w:r>
            <w:r w:rsidRPr="00856FFA">
              <w:rPr>
                <w:rFonts w:ascii="Times New Roman" w:hAnsi="Times New Roman" w:cs="Calibri"/>
                <w:b/>
                <w:sz w:val="20"/>
                <w:szCs w:val="20"/>
                <w:lang w:val="sk-SK"/>
              </w:rPr>
              <w:t>ubjekt</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Pripomienky do termínu</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Pripomienky po termíne</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Nemali pripomienky</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Vôbec nezaslali</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spravodlivosti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vnútra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3 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financií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13 (12o,1z)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4 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kultúry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5 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hospodárstva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6 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dopravy, výstavby a regionálneho rozvoja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7 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pôdohospodárstva a rozvoja vidieka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8 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obrany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9 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zahraničných vecí a európskych záležitostí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10 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práce, sociálnych vecí a rodiny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2 (2o,0z)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11 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životného prostredia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12 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školstva, vedy, výskumu a športu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13 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zdravotníctva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14 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Hospodárska a sociálna rada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15 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Odbor vládnej agendy Úradu vlády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16 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Odbor zmeny klímy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17 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Národný bezpečnostný úrad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18 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Podpredseda vlády SR pre investície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856FFA" w:rsidTr="00803E4D">
        <w:tc>
          <w:tcPr>
            <w:tcW w:w="168"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19 </w:t>
            </w:r>
            <w:r w:rsidRPr="00685203">
              <w:rPr>
                <w:rFonts w:ascii="Times New Roman" w:hAnsi="Times New Roman" w:cs="Calibri"/>
                <w:sz w:val="20"/>
                <w:szCs w:val="20"/>
                <w:lang w:val="sk-SK"/>
              </w:rPr>
              <w:t>.</w:t>
            </w:r>
          </w:p>
        </w:tc>
        <w:tc>
          <w:tcPr>
            <w:tcW w:w="2903" w:type="pct"/>
            <w:vAlign w:val="center"/>
          </w:tcPr>
          <w:p w:rsidR="00A14C26" w:rsidRPr="00856FFA" w:rsidRDefault="00A14C26" w:rsidP="00803E4D">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Úrad vlády Slovenskej republiky </w:t>
            </w:r>
          </w:p>
        </w:tc>
        <w:tc>
          <w:tcPr>
            <w:tcW w:w="505" w:type="pct"/>
            <w:vAlign w:val="center"/>
          </w:tcPr>
          <w:p w:rsidR="00A14C26" w:rsidRPr="00685203" w:rsidRDefault="00A14C26" w:rsidP="00803E4D">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22 (22o,0z) </w:t>
            </w:r>
          </w:p>
        </w:tc>
        <w:tc>
          <w:tcPr>
            <w:tcW w:w="505"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A14C26" w:rsidRPr="00856FFA" w:rsidRDefault="00A14C26" w:rsidP="00803E4D">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A14C26" w:rsidRPr="00074151" w:rsidTr="00803E4D">
        <w:tc>
          <w:tcPr>
            <w:tcW w:w="168"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p>
        </w:tc>
        <w:tc>
          <w:tcPr>
            <w:tcW w:w="2903" w:type="pct"/>
            <w:vAlign w:val="center"/>
          </w:tcPr>
          <w:p w:rsidR="00A14C26" w:rsidRPr="00856FFA" w:rsidRDefault="00A14C26" w:rsidP="00803E4D">
            <w:pPr>
              <w:widowControl/>
              <w:spacing w:after="0" w:line="240" w:lineRule="auto"/>
              <w:rPr>
                <w:rFonts w:ascii="Times New Roman" w:hAnsi="Times New Roman" w:cs="Calibri"/>
                <w:b/>
                <w:bCs/>
                <w:sz w:val="20"/>
                <w:szCs w:val="20"/>
                <w:lang w:val="sk-SK"/>
              </w:rPr>
            </w:pPr>
            <w:r w:rsidRPr="00856FFA">
              <w:rPr>
                <w:rFonts w:ascii="Times New Roman" w:hAnsi="Times New Roman" w:cs="Calibri"/>
                <w:b/>
                <w:bCs/>
                <w:sz w:val="20"/>
                <w:szCs w:val="20"/>
                <w:lang w:val="sk-SK"/>
              </w:rPr>
              <w:t>SPOLU</w:t>
            </w:r>
          </w:p>
        </w:tc>
        <w:tc>
          <w:tcPr>
            <w:tcW w:w="505" w:type="pct"/>
            <w:vAlign w:val="center"/>
          </w:tcPr>
          <w:p w:rsidR="00A14C26" w:rsidRPr="00074151" w:rsidRDefault="00A14C26" w:rsidP="00803E4D">
            <w:pPr>
              <w:widowControl/>
              <w:spacing w:after="0" w:line="240" w:lineRule="auto"/>
              <w:jc w:val="center"/>
              <w:rPr>
                <w:rFonts w:ascii="Times New Roman" w:hAnsi="Times New Roman" w:cs="Calibri"/>
                <w:b/>
                <w:sz w:val="20"/>
                <w:szCs w:val="20"/>
                <w:lang w:val="sk-SK"/>
              </w:rPr>
            </w:pPr>
            <w:r w:rsidRPr="00074151">
              <w:rPr>
                <w:rFonts w:ascii="Times New Roman" w:hAnsi="Times New Roman" w:cs="Calibri"/>
                <w:b/>
                <w:sz w:val="20"/>
                <w:szCs w:val="20"/>
                <w:lang w:val="sk-SK"/>
              </w:rPr>
              <w:t>37 (36o,1z) </w:t>
            </w:r>
          </w:p>
        </w:tc>
        <w:tc>
          <w:tcPr>
            <w:tcW w:w="505" w:type="pct"/>
            <w:vAlign w:val="center"/>
          </w:tcPr>
          <w:p w:rsidR="00A14C26" w:rsidRPr="00074151" w:rsidRDefault="00A14C26" w:rsidP="00803E4D">
            <w:pPr>
              <w:widowControl/>
              <w:spacing w:after="0" w:line="240" w:lineRule="auto"/>
              <w:jc w:val="center"/>
              <w:rPr>
                <w:rFonts w:ascii="Times New Roman" w:hAnsi="Times New Roman" w:cs="Calibri"/>
                <w:b/>
                <w:sz w:val="20"/>
                <w:szCs w:val="20"/>
                <w:lang w:val="sk-SK"/>
              </w:rPr>
            </w:pPr>
            <w:r w:rsidRPr="00074151">
              <w:rPr>
                <w:rFonts w:ascii="Times New Roman" w:hAnsi="Times New Roman" w:cs="Calibri"/>
                <w:b/>
                <w:sz w:val="20"/>
                <w:szCs w:val="20"/>
                <w:lang w:val="sk-SK"/>
              </w:rPr>
              <w:t>0 (0o,0z) </w:t>
            </w:r>
          </w:p>
        </w:tc>
        <w:tc>
          <w:tcPr>
            <w:tcW w:w="500" w:type="pct"/>
            <w:vAlign w:val="center"/>
          </w:tcPr>
          <w:p w:rsidR="00A14C26" w:rsidRPr="00074151" w:rsidRDefault="00A14C26" w:rsidP="00803E4D">
            <w:pPr>
              <w:widowControl/>
              <w:spacing w:after="0" w:line="240" w:lineRule="auto"/>
              <w:jc w:val="center"/>
              <w:rPr>
                <w:rFonts w:ascii="Times New Roman" w:hAnsi="Times New Roman" w:cs="Calibri"/>
                <w:b/>
                <w:sz w:val="20"/>
                <w:szCs w:val="20"/>
                <w:lang w:val="sk-SK"/>
              </w:rPr>
            </w:pPr>
            <w:r w:rsidRPr="0046672B">
              <w:rPr>
                <w:rFonts w:ascii="Times New Roman" w:hAnsi="Times New Roman" w:cs="Calibri"/>
                <w:b/>
                <w:sz w:val="20"/>
                <w:szCs w:val="20"/>
                <w:lang w:val="sk-SK"/>
              </w:rPr>
              <w:t>11 </w:t>
            </w:r>
          </w:p>
        </w:tc>
        <w:tc>
          <w:tcPr>
            <w:tcW w:w="419" w:type="pct"/>
            <w:vAlign w:val="center"/>
          </w:tcPr>
          <w:p w:rsidR="00A14C26" w:rsidRPr="00074151" w:rsidRDefault="00A14C26" w:rsidP="00803E4D">
            <w:pPr>
              <w:widowControl/>
              <w:spacing w:after="0" w:line="240" w:lineRule="auto"/>
              <w:jc w:val="center"/>
              <w:rPr>
                <w:rFonts w:ascii="Times New Roman" w:hAnsi="Times New Roman" w:cs="Calibri"/>
                <w:b/>
                <w:sz w:val="20"/>
                <w:szCs w:val="20"/>
                <w:lang w:val="sk-SK"/>
              </w:rPr>
            </w:pPr>
            <w:r w:rsidRPr="008C29A6">
              <w:rPr>
                <w:rFonts w:ascii="Times New Roman" w:hAnsi="Times New Roman" w:cs="Calibri"/>
                <w:b/>
                <w:sz w:val="20"/>
                <w:szCs w:val="20"/>
                <w:lang w:val="sk-SK"/>
              </w:rPr>
              <w:t>5 </w:t>
            </w:r>
          </w:p>
        </w:tc>
      </w:tr>
    </w:tbl>
    <w:p w:rsidR="00A14C26" w:rsidRPr="00856FFA" w:rsidRDefault="00A14C26" w:rsidP="00A14C26">
      <w:pPr>
        <w:widowControl/>
        <w:spacing w:after="0" w:line="240" w:lineRule="auto"/>
        <w:rPr>
          <w:rFonts w:ascii="Times New Roman" w:hAnsi="Times New Roman" w:cs="Calibri"/>
          <w:b/>
          <w:sz w:val="20"/>
          <w:szCs w:val="20"/>
          <w:lang w:val="sk-SK"/>
        </w:rPr>
      </w:pPr>
    </w:p>
    <w:p w:rsidR="00A14C26" w:rsidRPr="00856FFA" w:rsidRDefault="00A14C26" w:rsidP="00A14C26">
      <w:pPr>
        <w:pStyle w:val="Zkladntext"/>
        <w:widowControl/>
        <w:jc w:val="both"/>
        <w:rPr>
          <w:b w:val="0"/>
          <w:bCs w:val="0"/>
          <w:color w:val="000000"/>
          <w:sz w:val="20"/>
          <w:szCs w:val="20"/>
        </w:rPr>
      </w:pPr>
    </w:p>
    <w:p w:rsidR="00A14C26" w:rsidRPr="00856FFA" w:rsidRDefault="00A14C26" w:rsidP="00A14C26">
      <w:pPr>
        <w:pStyle w:val="Zkladntext"/>
        <w:widowControl/>
        <w:jc w:val="both"/>
        <w:rPr>
          <w:b w:val="0"/>
          <w:bCs w:val="0"/>
          <w:color w:val="000000"/>
          <w:sz w:val="20"/>
          <w:szCs w:val="20"/>
        </w:rPr>
      </w:pPr>
      <w:r w:rsidRPr="00856FFA">
        <w:rPr>
          <w:b w:val="0"/>
          <w:bCs w:val="0"/>
          <w:color w:val="000000"/>
          <w:sz w:val="20"/>
          <w:szCs w:val="20"/>
        </w:rPr>
        <w:t>Vyhodnotenie vecných pripomienok je uvedené v tabuľkovej časti.</w:t>
      </w:r>
    </w:p>
    <w:p w:rsidR="00A14C26" w:rsidRPr="00856FFA" w:rsidRDefault="00A14C26" w:rsidP="00A14C26">
      <w:pPr>
        <w:pStyle w:val="Zkladntext"/>
        <w:widowControl/>
        <w:jc w:val="both"/>
        <w:rPr>
          <w:b w:val="0"/>
          <w:bCs w:val="0"/>
          <w:color w:val="000000"/>
          <w:sz w:val="20"/>
          <w:szCs w:val="20"/>
        </w:rPr>
      </w:pPr>
    </w:p>
    <w:tbl>
      <w:tblPr>
        <w:tblW w:w="0" w:type="auto"/>
        <w:tblLook w:val="0000"/>
      </w:tblPr>
      <w:tblGrid>
        <w:gridCol w:w="1809"/>
        <w:gridCol w:w="3119"/>
      </w:tblGrid>
      <w:tr w:rsidR="00A14C26" w:rsidRPr="00856FFA" w:rsidTr="00803E4D">
        <w:tc>
          <w:tcPr>
            <w:tcW w:w="4928" w:type="dxa"/>
            <w:gridSpan w:val="2"/>
            <w:tcBorders>
              <w:top w:val="nil"/>
              <w:left w:val="nil"/>
              <w:bottom w:val="nil"/>
              <w:right w:val="nil"/>
            </w:tcBorders>
          </w:tcPr>
          <w:p w:rsidR="00A14C26" w:rsidRPr="00856FFA" w:rsidRDefault="00A14C26" w:rsidP="00803E4D">
            <w:pPr>
              <w:pStyle w:val="Zkladntext"/>
              <w:widowControl/>
              <w:jc w:val="both"/>
              <w:rPr>
                <w:b w:val="0"/>
                <w:color w:val="000000"/>
                <w:sz w:val="20"/>
                <w:szCs w:val="20"/>
              </w:rPr>
            </w:pPr>
            <w:r w:rsidRPr="00856FFA">
              <w:rPr>
                <w:b w:val="0"/>
                <w:color w:val="000000"/>
                <w:sz w:val="20"/>
                <w:szCs w:val="20"/>
              </w:rPr>
              <w:t>Vysvetlivky  k použitým skratkám v tabuľke:</w:t>
            </w:r>
          </w:p>
        </w:tc>
      </w:tr>
      <w:tr w:rsidR="00A14C26" w:rsidRPr="00856FFA" w:rsidTr="00803E4D">
        <w:tc>
          <w:tcPr>
            <w:tcW w:w="1809" w:type="dxa"/>
            <w:tcBorders>
              <w:top w:val="nil"/>
              <w:left w:val="nil"/>
              <w:bottom w:val="nil"/>
              <w:right w:val="nil"/>
            </w:tcBorders>
          </w:tcPr>
          <w:p w:rsidR="00A14C26" w:rsidRPr="00856FFA" w:rsidRDefault="00A14C26" w:rsidP="00803E4D">
            <w:pPr>
              <w:pStyle w:val="Zkladntext"/>
              <w:widowControl/>
              <w:jc w:val="both"/>
              <w:rPr>
                <w:b w:val="0"/>
                <w:color w:val="000000"/>
                <w:sz w:val="20"/>
                <w:szCs w:val="20"/>
              </w:rPr>
            </w:pPr>
            <w:r w:rsidRPr="00856FFA">
              <w:rPr>
                <w:b w:val="0"/>
                <w:color w:val="000000"/>
                <w:sz w:val="20"/>
                <w:szCs w:val="20"/>
              </w:rPr>
              <w:t>O – obyčajná</w:t>
            </w:r>
          </w:p>
        </w:tc>
        <w:tc>
          <w:tcPr>
            <w:tcW w:w="3119" w:type="dxa"/>
            <w:tcBorders>
              <w:top w:val="nil"/>
              <w:left w:val="nil"/>
              <w:bottom w:val="nil"/>
              <w:right w:val="nil"/>
            </w:tcBorders>
          </w:tcPr>
          <w:p w:rsidR="00A14C26" w:rsidRPr="00856FFA" w:rsidRDefault="00A14C26" w:rsidP="00803E4D">
            <w:pPr>
              <w:pStyle w:val="Zkladntext"/>
              <w:widowControl/>
              <w:jc w:val="both"/>
              <w:rPr>
                <w:b w:val="0"/>
                <w:color w:val="000000"/>
                <w:sz w:val="20"/>
                <w:szCs w:val="20"/>
              </w:rPr>
            </w:pPr>
            <w:r w:rsidRPr="00856FFA">
              <w:rPr>
                <w:b w:val="0"/>
                <w:color w:val="000000"/>
                <w:sz w:val="20"/>
                <w:szCs w:val="20"/>
              </w:rPr>
              <w:t>A – akceptovaná</w:t>
            </w:r>
          </w:p>
        </w:tc>
      </w:tr>
      <w:tr w:rsidR="00A14C26" w:rsidRPr="00856FFA" w:rsidTr="00803E4D">
        <w:tc>
          <w:tcPr>
            <w:tcW w:w="1809" w:type="dxa"/>
            <w:tcBorders>
              <w:top w:val="nil"/>
              <w:left w:val="nil"/>
              <w:bottom w:val="nil"/>
              <w:right w:val="nil"/>
            </w:tcBorders>
          </w:tcPr>
          <w:p w:rsidR="00A14C26" w:rsidRPr="00856FFA" w:rsidRDefault="00A14C26" w:rsidP="00803E4D">
            <w:pPr>
              <w:pStyle w:val="Zkladntext"/>
              <w:widowControl/>
              <w:jc w:val="both"/>
              <w:rPr>
                <w:b w:val="0"/>
                <w:color w:val="000000"/>
                <w:sz w:val="20"/>
                <w:szCs w:val="20"/>
              </w:rPr>
            </w:pPr>
            <w:r w:rsidRPr="00856FFA">
              <w:rPr>
                <w:b w:val="0"/>
                <w:color w:val="000000"/>
                <w:sz w:val="20"/>
                <w:szCs w:val="20"/>
              </w:rPr>
              <w:t>Z – zásadná</w:t>
            </w:r>
          </w:p>
        </w:tc>
        <w:tc>
          <w:tcPr>
            <w:tcW w:w="3119" w:type="dxa"/>
            <w:tcBorders>
              <w:top w:val="nil"/>
              <w:left w:val="nil"/>
              <w:bottom w:val="nil"/>
              <w:right w:val="nil"/>
            </w:tcBorders>
          </w:tcPr>
          <w:p w:rsidR="00A14C26" w:rsidRPr="00856FFA" w:rsidRDefault="00A14C26" w:rsidP="00803E4D">
            <w:pPr>
              <w:pStyle w:val="Zkladntext"/>
              <w:widowControl/>
              <w:jc w:val="both"/>
              <w:rPr>
                <w:b w:val="0"/>
                <w:color w:val="000000"/>
                <w:sz w:val="20"/>
                <w:szCs w:val="20"/>
              </w:rPr>
            </w:pPr>
            <w:r w:rsidRPr="00856FFA">
              <w:rPr>
                <w:b w:val="0"/>
                <w:color w:val="000000"/>
                <w:sz w:val="20"/>
                <w:szCs w:val="20"/>
              </w:rPr>
              <w:t>N – neakceptovaná</w:t>
            </w:r>
          </w:p>
        </w:tc>
      </w:tr>
      <w:tr w:rsidR="00A14C26" w:rsidRPr="00856FFA" w:rsidTr="00803E4D">
        <w:tc>
          <w:tcPr>
            <w:tcW w:w="1809" w:type="dxa"/>
            <w:tcBorders>
              <w:top w:val="nil"/>
              <w:left w:val="nil"/>
              <w:bottom w:val="nil"/>
              <w:right w:val="nil"/>
            </w:tcBorders>
          </w:tcPr>
          <w:p w:rsidR="00A14C26" w:rsidRPr="00856FFA" w:rsidRDefault="00A14C26" w:rsidP="00803E4D">
            <w:pPr>
              <w:pStyle w:val="Zkladntext"/>
              <w:widowControl/>
              <w:jc w:val="both"/>
              <w:rPr>
                <w:b w:val="0"/>
                <w:color w:val="000000"/>
                <w:sz w:val="20"/>
                <w:szCs w:val="20"/>
              </w:rPr>
            </w:pPr>
          </w:p>
        </w:tc>
        <w:tc>
          <w:tcPr>
            <w:tcW w:w="3119" w:type="dxa"/>
            <w:tcBorders>
              <w:top w:val="nil"/>
              <w:left w:val="nil"/>
              <w:bottom w:val="nil"/>
              <w:right w:val="nil"/>
            </w:tcBorders>
          </w:tcPr>
          <w:p w:rsidR="00A14C26" w:rsidRPr="00856FFA" w:rsidRDefault="00A14C26" w:rsidP="00803E4D">
            <w:pPr>
              <w:pStyle w:val="Zkladntext"/>
              <w:widowControl/>
              <w:jc w:val="both"/>
              <w:rPr>
                <w:b w:val="0"/>
                <w:color w:val="000000"/>
                <w:sz w:val="20"/>
                <w:szCs w:val="20"/>
              </w:rPr>
            </w:pPr>
            <w:r w:rsidRPr="00856FFA">
              <w:rPr>
                <w:b w:val="0"/>
                <w:color w:val="000000"/>
                <w:sz w:val="20"/>
                <w:szCs w:val="20"/>
              </w:rPr>
              <w:t>ČA</w:t>
            </w:r>
            <w:r>
              <w:rPr>
                <w:b w:val="0"/>
                <w:color w:val="000000"/>
                <w:sz w:val="20"/>
                <w:szCs w:val="20"/>
              </w:rPr>
              <w:t xml:space="preserve"> </w:t>
            </w:r>
            <w:r w:rsidRPr="00856FFA">
              <w:rPr>
                <w:b w:val="0"/>
                <w:color w:val="000000"/>
                <w:sz w:val="20"/>
                <w:szCs w:val="20"/>
              </w:rPr>
              <w:t>– čiastočne akceptovaná</w:t>
            </w:r>
          </w:p>
        </w:tc>
      </w:tr>
    </w:tbl>
    <w:p w:rsidR="00A14C26" w:rsidRPr="00856FFA" w:rsidRDefault="00A14C26" w:rsidP="00A14C26">
      <w:pPr>
        <w:widowControl/>
        <w:rPr>
          <w:rFonts w:ascii="Times New Roman" w:hAnsi="Times New Roman" w:cs="Calibri"/>
          <w:sz w:val="20"/>
          <w:szCs w:val="20"/>
          <w:lang w:val="sk-SK"/>
        </w:rPr>
      </w:pPr>
      <w:r w:rsidRPr="00856FFA">
        <w:rPr>
          <w:rFonts w:ascii="Times New Roman" w:hAnsi="Times New Roman" w:cs="Calibri"/>
          <w:sz w:val="20"/>
          <w:szCs w:val="20"/>
          <w:lang w:val="sk-SK"/>
        </w:rPr>
        <w:br w:type="page"/>
      </w: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7"/>
        <w:gridCol w:w="6519"/>
        <w:gridCol w:w="708"/>
        <w:gridCol w:w="708"/>
        <w:gridCol w:w="4679"/>
      </w:tblGrid>
      <w:tr w:rsidR="00A14C26" w:rsidRPr="00856FFA" w:rsidTr="00803E4D">
        <w:tc>
          <w:tcPr>
            <w:tcW w:w="495"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lastRenderedPageBreak/>
              <w:t>Subjekt</w:t>
            </w:r>
          </w:p>
        </w:tc>
        <w:tc>
          <w:tcPr>
            <w:tcW w:w="2328"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Pripomienka</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Typ</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proofErr w:type="spellStart"/>
            <w:r w:rsidRPr="00856FFA">
              <w:rPr>
                <w:rFonts w:ascii="Times New Roman" w:hAnsi="Times New Roman" w:cs="Calibri"/>
                <w:b/>
                <w:sz w:val="20"/>
                <w:szCs w:val="20"/>
                <w:lang w:val="sk-SK"/>
              </w:rPr>
              <w:t>Vyh</w:t>
            </w:r>
            <w:proofErr w:type="spellEnd"/>
            <w:r w:rsidRPr="00856FFA">
              <w:rPr>
                <w:rFonts w:ascii="Times New Roman" w:hAnsi="Times New Roman" w:cs="Calibri"/>
                <w:b/>
                <w:sz w:val="20"/>
                <w:szCs w:val="20"/>
                <w:lang w:val="sk-SK"/>
              </w:rPr>
              <w:t>.</w:t>
            </w:r>
          </w:p>
        </w:tc>
        <w:tc>
          <w:tcPr>
            <w:tcW w:w="1671"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Spôsob vyhodnotenia</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5, kapitola „Výklad pojmov“, pojem „nezrovnalosť“ - odporúčam úpravu pojmu, tak aby bol v súlade s kapitolou „7. Nezrovnalosti“. Zároveň odporúčam, aby sa zjednotil aj výklad tohto pojmu s návrhom „Systému finančného riadenia Európskeho poľnohospodárskeho fondu pre rozvoj vidieka“.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6, kapitola „Výklad pojmov“, pojem „Orgán vykonávajúci kontrolu, finančnú kontrolu a audit“ - z dôvodu, že Ministerstvo financií SR vykonáva vo vzťahu k Ministerstvu pôdohospodárstva a rozvoja vidieka SR vládny auditu podľa zákona č. 502/2001 Z. z. a nie následnú finančnú kontrolu, žiadam odstrániť slová „následnej finančnej kontroly“ a nahradiť slovami „vládneho auditu“ a odstrániť slová „zákona č. 618/2004 Z. z.“ a nahradiť „neskorších predpisov“ - zásadná pripomienka.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Z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16, kapitola „2.4 Rezerva na krízu v poľnohospodárskom sektore“, prvý odsek - z textu vyplýva, že rezerva na krízu sa zriadi tak, že „na začiatku každého roka sa na priame platby uplatní určité zníženie prostredníctvom mechanizmu finančnej disciplíny“. Žiadam o úpravu tejto časti takým spôsobom, aby bolo zrejmé, ako sa má rezerva na krízu tvoriť, ako sa má následne nepoužitá rezerva na krízu vyplatiť v súlade s príslušnou legislatívou, v zmysle ktorej bude táto rezerva vyplatená (príslušné nariadenie EÚ), pričom by mal byť vyjadrený aj finančný vzťah/dopad, ktorý sa bude dotýkať priamo Slovenskej republiky.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16, kapitola „2.4 Rezerva na krízu v poľnohospodárskom sektore“, druhý odsek, druhá veta - vetu žiadam upraviť z „Rezerva sa začlení do okruhu 2 viacročného finančného rámca stanoveného...“ na „Rezerva sa začlení do okruhu viacročného finančného rámca stanoveného...“.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je v súlade s článkom 25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v platnom znení. Krízová rezerva sa začlení do okruhu 2 viacročného finančného rámca, ktorého názov je "Udržateľný rast: prírodné zdroje".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20, kapitola „2.6. „Orgán finančného riadenia“, bod o) – text na konci vety žiadam doplniť nasledovne „...a jeho zaslanie na MF SR elektronicky na e-mailovú adresu odhady@mfsr.sk mesačne k 6. kalendárnemu dňu mesiaca.“.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doplnený. V súlade s dohodou medzi MF SR a MPRV SR sa odhady zasielajú k 8. kalendárnemu dňu mesiaca.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lastRenderedPageBreak/>
              <w:t>Str. 29, kapitola „4.3 Systém účtov pre výdavky financované z EPZF na základe spoločného riadenia“, časť „1. Osobitný mimorozpočtový účet MPRV SR“, štvrtá odrážka - v texte sa uvádza, že osobitný mimorozpočtový účet je úročený, avšak v texte nie je uvedené rozpočtové určenie získaných úrokov. Z uvedeného dôvodu žiadam predmetný bod doplniť o rozpočtové určenie získaných úrokov.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29, kapitola „4.3 Systém účtov pre výdavky financované z EPZF na základe spoločného riadenia“, časť „2. Účty PJ“, prvá odrážka - do textu v prvej odrážke žiadam doplniť, že ide o rozpočtový výdavkový účet, obdobne ako je to v štvrtej odrážke v prípade rozpočtového príjmového účtu.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58, kapitola „5.4. „Schvaľovanie účtovnej závierky“, posledný odsek, prvá veta - žiadam upraviť vetu z „Dokumenty uvedené v bodoch 1, 2 a 4 sa zasielajú v jednej kópii spoločne s elektronickou kópiou vo formáte...“ na „Dokumenty uvedené v bodoch 1, 2 a 3 sa zasielajú v jednej kópii spoločne s elektronickou kópiou vo formáte...“.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60, kapitola „6.2 Zníženie alebo dočasné pozastavenie mesačných platieb“, druhý a tretí odsek – odporúčam doplniť slovné spojenie: „Zníženie alebo pozastavenie mesačných platieb“.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Str. 63, kapitola „8.2 Nezrovnalosti“, druhá odrážka zdola - keďže slovenský právny poriadok v súvislosti s implementáciou EPZF neupravuje možnosť platobnej agentúry nepokračovať vo vymáhaní v prípade, ak vymáhaná suma za jednotlivú platbu za režim pomoci alebo podporné opatrenia bez úrokov nepresiahne 100 EUR, odporúčam doplniť odkaz na príslušné nariadenie EÚ.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materiáli sa uvádza, že predmetný systém finančného riadenia je vypracovaný o. i. v súlade so zákonom č. 231/1999 Z. z. o štátnej pomoci v znení neskorších predpisov. V tejto súvislosti odporúčam do znenia materiálu doplniť informáciu o tom, že v prípade, ak by išlo o poskytnutie štátnej pomoci, budú dodržané pravidlá v oblasti štátnej pomoci.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Upozorňujem, že materiál obsahuje návrh uznesenia vlády SR a bude predložený na rokovanie vlády SR. Z uvedeného dôvodu musí materiál v súlade so Smernicou na prípravu a predkladanie materiálov na rokovanie vlády SR (Čl. 9) obsahovať doložku vybraných vplyvov.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vlastnému materiálu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celom materiáli odporúčam opraviť číslovanie jednotlivých kapitol a častí, </w:t>
            </w:r>
            <w:r w:rsidRPr="001C1EC9">
              <w:rPr>
                <w:rFonts w:ascii="Times New Roman" w:hAnsi="Times New Roman" w:cs="Calibri"/>
                <w:sz w:val="20"/>
                <w:szCs w:val="20"/>
                <w:lang w:val="sk-SK"/>
              </w:rPr>
              <w:lastRenderedPageBreak/>
              <w:t>keďže od kapitoly číslo 3 sa číslovanie nezhoduje s textom. Zároveň odporúčam kontrolu predmetného dokumentu zo štylistického a gramatického hľadiska (napr. str. 55 kapitola „5. Účtovné postupy vzťahujúce sa na platby z EPZF“ posledný odsek; str. 61, podkapitola „6.4 Rozhodnutie o vylúčení financovania, tretí odsek,...).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MPSVR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Doložka vplyvov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Predložený materiál neobsahuje doložku vybraných vplyvov, ktorá podľa Smernice na prípravu a predkladanie materiálov na rokovanie vlády musí byť súčasťou materiálu. Týmto ju žiadame doplniť.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MPSVR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Predkladacia správa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rámci predkladacej správy žiadame záverečnú vetu „Predkladaný materiál nemá finančný, ekonomický, environmentálny vplyv ani vplyv na zamestnanosť.“ nahradiť znením „Predkladaný materiál nemá finančný, ekonomický, environmentálny, sociálny vplyv ani vplyv na informatizáciu spoločnosti“. Odôvodnenie: - úprava a doplnenie vzhľadom na názvy jednotlivých častí doložky vybraných vplyvov.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 celom texte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celom texte slovo „definovanej“ vo všetkých tvaroch v spojení s nariadením ES alebo so zákonom SR nahradiť slovom „ustanovenej“; legislatíva ustanovuje, nedefinuje, napr. v časti Výklad pojmov, Účtovný doklad.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 xml:space="preserve">V </w:t>
            </w:r>
            <w:proofErr w:type="spellStart"/>
            <w:r w:rsidRPr="00054B9D">
              <w:rPr>
                <w:rFonts w:ascii="Times New Roman" w:hAnsi="Times New Roman" w:cs="Calibri"/>
                <w:b/>
                <w:iCs/>
                <w:sz w:val="20"/>
                <w:szCs w:val="20"/>
                <w:lang w:val="sk-SK"/>
              </w:rPr>
              <w:t>celoom</w:t>
            </w:r>
            <w:proofErr w:type="spellEnd"/>
            <w:r w:rsidRPr="00054B9D">
              <w:rPr>
                <w:rFonts w:ascii="Times New Roman" w:hAnsi="Times New Roman" w:cs="Calibri"/>
                <w:b/>
                <w:iCs/>
                <w:sz w:val="20"/>
                <w:szCs w:val="20"/>
                <w:lang w:val="sk-SK"/>
              </w:rPr>
              <w:t xml:space="preserve"> texte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celom texte zosúladiť pojem „EK“ a „Komisia“ . Odôvodnenie: zosúladenie pojmov v rámci predloženého materiálu, nakoľko skratka EK bola v rámci materiálu zavedená.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 celom texte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celom texte zosúladiť pojem „Spoločná poľnohospodárska politika a „spoločná poľnohospodárska politika“ . </w:t>
            </w:r>
            <w:r w:rsidRPr="001C1EC9">
              <w:rPr>
                <w:rFonts w:ascii="Times New Roman" w:hAnsi="Times New Roman" w:cs="Calibri"/>
                <w:sz w:val="20"/>
                <w:szCs w:val="20"/>
                <w:lang w:val="sk-SK"/>
              </w:rPr>
              <w:br/>
              <w:t xml:space="preserve">Odôvodnenie: zosúladenie pojmov v rámci predloženého materiálu. </w:t>
            </w:r>
            <w:r w:rsidRPr="001C1EC9">
              <w:rPr>
                <w:rFonts w:ascii="Times New Roman" w:hAnsi="Times New Roman" w:cs="Calibri"/>
                <w:sz w:val="20"/>
                <w:szCs w:val="20"/>
                <w:lang w:val="sk-SK"/>
              </w:rPr>
              <w:br/>
              <w:t>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Ide o oficiálne názvy nariadení publikovaných v Úradnom vestníku EÚ.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5, VÝKLAD POJMOV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Navrhujeme upraviť definíciu: "Európsky úrad pre boj proti podvodom (</w:t>
            </w:r>
            <w:proofErr w:type="spellStart"/>
            <w:r w:rsidRPr="001C1EC9">
              <w:rPr>
                <w:rFonts w:ascii="Times New Roman" w:hAnsi="Times New Roman" w:cs="Calibri"/>
                <w:sz w:val="20"/>
                <w:szCs w:val="20"/>
                <w:lang w:val="sk-SK"/>
              </w:rPr>
              <w:t>European</w:t>
            </w:r>
            <w:proofErr w:type="spellEnd"/>
            <w:r w:rsidRPr="001C1EC9">
              <w:rPr>
                <w:rFonts w:ascii="Times New Roman" w:hAnsi="Times New Roman" w:cs="Calibri"/>
                <w:sz w:val="20"/>
                <w:szCs w:val="20"/>
                <w:lang w:val="sk-SK"/>
              </w:rPr>
              <w:t xml:space="preserve"> </w:t>
            </w:r>
            <w:proofErr w:type="spellStart"/>
            <w:r w:rsidRPr="001C1EC9">
              <w:rPr>
                <w:rFonts w:ascii="Times New Roman" w:hAnsi="Times New Roman" w:cs="Calibri"/>
                <w:sz w:val="20"/>
                <w:szCs w:val="20"/>
                <w:lang w:val="sk-SK"/>
              </w:rPr>
              <w:t>Anti-Fraud</w:t>
            </w:r>
            <w:proofErr w:type="spellEnd"/>
            <w:r w:rsidRPr="001C1EC9">
              <w:rPr>
                <w:rFonts w:ascii="Times New Roman" w:hAnsi="Times New Roman" w:cs="Calibri"/>
                <w:sz w:val="20"/>
                <w:szCs w:val="20"/>
                <w:lang w:val="sk-SK"/>
              </w:rPr>
              <w:t xml:space="preserve"> Office, ďalej len „OLAF“) - inštitúcia Európskej komisie (ďalej len „EK“), ktorej hlavným poslaním je ochrana finančných záujmov Európskej únie (ďalej len „EÚ“), boj proti podvodom, korupcii a akýmkoľvek iným nezákonným nesprávnym aktivitám vrátane zneužitia úradnej moci v rámci inštitúcií EÚ."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Str.6, VÝKLAD POJMOV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časti Výklad pojmov, Orgán vykonávajúci kontrolu, finančnú kontrolu a audit text „Ministerstvo financií SR v rámci vykonávania následnej finančnej kontroly v zmysle zákona č. 502/2001 Z. z. o finančnej kontrole a vnútornom </w:t>
            </w:r>
            <w:r w:rsidRPr="001C1EC9">
              <w:rPr>
                <w:rFonts w:ascii="Times New Roman" w:hAnsi="Times New Roman" w:cs="Calibri"/>
                <w:sz w:val="20"/>
                <w:szCs w:val="20"/>
                <w:lang w:val="sk-SK"/>
              </w:rPr>
              <w:lastRenderedPageBreak/>
              <w:t>audite a o zmene a doplnení niektorých zákonov v znení zákona č. 618/2004 Z. z. a pod.“ navrhujeme nahradiť nasledujúcim textom „Ministerstvo financií SR v rámci vykonávania vládneho auditu v zmysle zákona č. 502/2001 Z. z. o finančnej kontrole.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Str.19, časť 2.5 PRÍSLUŠNÝ ORGÁN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2.5 Príslušný orgán, písm. c), posledná odrážka, upraviť text nasledovne: „odobratie akreditácie platobnej agentúre“. Odôvodnenie: gramatická úprava.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Str.22, časť 2.7 AKREDITOVANÁ PLATOBNÁ AGENTÚRA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2.7 Akreditovaná platobná agentúra, písm. t) v texte „alebo zadržaných prostriedkov čakajúcich na vymoženie a výkaz neoprávnene“ navrhujeme slovo „čakajúcich“ nahradiť slovom „pripravených“.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23, časť 2.8 CERTIFIKAČNÝ ORGÁN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2.8 Certifikačný orgán navrhujeme v bode 8) v odrážke „sú finančné záujmy EÚ, týkajúce sa vyplatených záloh ...“ slovo „vyplatených“ nahradiť slovom „poskytnutých“.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Str.24, časť 2.9 VÝBOR PRE POĽNOHOSPODÁRSKE FONDY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2.9 Výbor pre poľnohospodárske fondy, v prvom odseku, prvej vete (str. 24) „Výbor pre poľnohospodársky fondy (ďalej len „výbor“) je poradný výbor EK zložený zo zástupcov členských štátov, zriadený ako súčasť mechanizmu, na základe ktorého členské štáty kontrolujú vykonávanie vykonávacích právomocí EK“ navrhujeme slová „poľnohospodársky fondy“ nahradiť slovami „poľnohospodárske fondy“ a slová „členské štáty kontrolujú vykonávanie vykonávacích právomocí EK“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24, časť 2.10 KOORDINAČNÝ ÚTVAR BOJA PROTI PODVODOM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upraviť text nasledovne: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"Funkciu koordinačného útvaru pre boj proti podvodom v Slovenskej republike, tzv. </w:t>
            </w:r>
            <w:proofErr w:type="spellStart"/>
            <w:r w:rsidRPr="001C1EC9">
              <w:rPr>
                <w:rFonts w:ascii="Times New Roman" w:hAnsi="Times New Roman" w:cs="Calibri"/>
                <w:sz w:val="20"/>
                <w:szCs w:val="20"/>
                <w:lang w:val="sk-SK"/>
              </w:rPr>
              <w:t>AFCOS-u</w:t>
            </w:r>
            <w:proofErr w:type="spellEnd"/>
            <w:r w:rsidRPr="001C1EC9">
              <w:rPr>
                <w:rFonts w:ascii="Times New Roman" w:hAnsi="Times New Roman" w:cs="Calibri"/>
                <w:sz w:val="20"/>
                <w:szCs w:val="20"/>
                <w:lang w:val="sk-SK"/>
              </w:rPr>
              <w:t xml:space="preserve"> (</w:t>
            </w:r>
            <w:proofErr w:type="spellStart"/>
            <w:r w:rsidRPr="001C1EC9">
              <w:rPr>
                <w:rFonts w:ascii="Times New Roman" w:hAnsi="Times New Roman" w:cs="Calibri"/>
                <w:sz w:val="20"/>
                <w:szCs w:val="20"/>
                <w:lang w:val="sk-SK"/>
              </w:rPr>
              <w:t>Antifraud</w:t>
            </w:r>
            <w:proofErr w:type="spellEnd"/>
            <w:r w:rsidRPr="001C1EC9">
              <w:rPr>
                <w:rFonts w:ascii="Times New Roman" w:hAnsi="Times New Roman" w:cs="Calibri"/>
                <w:sz w:val="20"/>
                <w:szCs w:val="20"/>
                <w:lang w:val="sk-SK"/>
              </w:rPr>
              <w:t xml:space="preserve"> </w:t>
            </w:r>
            <w:proofErr w:type="spellStart"/>
            <w:r w:rsidRPr="001C1EC9">
              <w:rPr>
                <w:rFonts w:ascii="Times New Roman" w:hAnsi="Times New Roman" w:cs="Calibri"/>
                <w:sz w:val="20"/>
                <w:szCs w:val="20"/>
                <w:lang w:val="sk-SK"/>
              </w:rPr>
              <w:t>Coordination</w:t>
            </w:r>
            <w:proofErr w:type="spellEnd"/>
            <w:r w:rsidRPr="001C1EC9">
              <w:rPr>
                <w:rFonts w:ascii="Times New Roman" w:hAnsi="Times New Roman" w:cs="Calibri"/>
                <w:sz w:val="20"/>
                <w:szCs w:val="20"/>
                <w:lang w:val="sk-SK"/>
              </w:rPr>
              <w:t xml:space="preserve"> </w:t>
            </w:r>
            <w:proofErr w:type="spellStart"/>
            <w:r w:rsidRPr="001C1EC9">
              <w:rPr>
                <w:rFonts w:ascii="Times New Roman" w:hAnsi="Times New Roman" w:cs="Calibri"/>
                <w:sz w:val="20"/>
                <w:szCs w:val="20"/>
                <w:lang w:val="sk-SK"/>
              </w:rPr>
              <w:t>Service</w:t>
            </w:r>
            <w:proofErr w:type="spellEnd"/>
            <w:r w:rsidRPr="001C1EC9">
              <w:rPr>
                <w:rFonts w:ascii="Times New Roman" w:hAnsi="Times New Roman" w:cs="Calibri"/>
                <w:sz w:val="20"/>
                <w:szCs w:val="20"/>
                <w:lang w:val="sk-SK"/>
              </w:rPr>
              <w:t xml:space="preserve">) vykonáva orgán zabezpečujúci ochranu finančných záujmov, ktorým je organizačný útvar sekcie kontroly a boja proti korupcii Úradu vlády SR.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Tento orgán je zodpovedný najmä za: </w:t>
            </w:r>
            <w:r w:rsidRPr="001C1EC9">
              <w:rPr>
                <w:rFonts w:ascii="Times New Roman" w:hAnsi="Times New Roman" w:cs="Calibri"/>
                <w:sz w:val="20"/>
                <w:szCs w:val="20"/>
                <w:lang w:val="sk-SK"/>
              </w:rPr>
              <w:br/>
              <w:t xml:space="preserve">a) koordináciu a usmerňovanie činnosti subjektov verejnej správy v oblasti ochrany finančných záujmov EÚ; </w:t>
            </w:r>
            <w:r w:rsidRPr="001C1EC9">
              <w:rPr>
                <w:rFonts w:ascii="Times New Roman" w:hAnsi="Times New Roman" w:cs="Calibri"/>
                <w:sz w:val="20"/>
                <w:szCs w:val="20"/>
                <w:lang w:val="sk-SK"/>
              </w:rPr>
              <w:br/>
              <w:t xml:space="preserve">b) zber a pravidelné oznamovanie nezrovnalostí Európskej komisii prostredníctvom informačného systému IMS v zmysle príslušných nariadení EÚ; </w:t>
            </w:r>
            <w:r w:rsidRPr="001C1EC9">
              <w:rPr>
                <w:rFonts w:ascii="Times New Roman" w:hAnsi="Times New Roman" w:cs="Calibri"/>
                <w:sz w:val="20"/>
                <w:szCs w:val="20"/>
                <w:lang w:val="sk-SK"/>
              </w:rPr>
              <w:br/>
              <w:t xml:space="preserve">c) poskytovanie písomnej informácie PPA, CO a ostatným relevantným </w:t>
            </w:r>
            <w:r w:rsidRPr="001C1EC9">
              <w:rPr>
                <w:rFonts w:ascii="Times New Roman" w:hAnsi="Times New Roman" w:cs="Calibri"/>
                <w:sz w:val="20"/>
                <w:szCs w:val="20"/>
                <w:lang w:val="sk-SK"/>
              </w:rPr>
              <w:lastRenderedPageBreak/>
              <w:t xml:space="preserve">inštitúciám vrátane orgánu auditu o nezrovnalostiach, ktoré boli predmetom pravidelného štvrťročného hlásenia </w:t>
            </w:r>
            <w:proofErr w:type="spellStart"/>
            <w:r w:rsidRPr="001C1EC9">
              <w:rPr>
                <w:rFonts w:ascii="Times New Roman" w:hAnsi="Times New Roman" w:cs="Calibri"/>
                <w:sz w:val="20"/>
                <w:szCs w:val="20"/>
                <w:lang w:val="sk-SK"/>
              </w:rPr>
              <w:t>OLAF-u</w:t>
            </w:r>
            <w:proofErr w:type="spellEnd"/>
            <w:r w:rsidRPr="001C1EC9">
              <w:rPr>
                <w:rFonts w:ascii="Times New Roman" w:hAnsi="Times New Roman" w:cs="Calibri"/>
                <w:sz w:val="20"/>
                <w:szCs w:val="20"/>
                <w:lang w:val="sk-SK"/>
              </w:rPr>
              <w:t xml:space="preserve">. </w:t>
            </w:r>
            <w:r w:rsidRPr="001C1EC9">
              <w:rPr>
                <w:rFonts w:ascii="Times New Roman" w:hAnsi="Times New Roman" w:cs="Calibri"/>
                <w:sz w:val="20"/>
                <w:szCs w:val="20"/>
                <w:lang w:val="sk-SK"/>
              </w:rPr>
              <w:br/>
              <w:t>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Str.25, časť 2.10 KOORDINAČNÝ ÚTVAR BOJA PROTI PODVODOM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2.10 Koordinačný útvar boja proti podvodom, písm. c) slová „na základe podkladov od certifikačného orgánu“ navrhujeme nahradiť slovami „na základe podkladov poskytnutých certifikačným orgánom.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Str.26, časť 3.1 ROZPOČTOVÉ OBDOBIE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3.1 Rozpočtové obdobie, v druhom odseku druhej vete (str. 26) „Toto rozpočtové obdobie sa používa pri pravidelných hláseniach o realizovaných výdavkoch“ slovo „používa“ navrhujeme nahradiť slovom „uplatňuje“.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Str.29, časť 4.3 SYSTÉM ÚČTOV PRE VÝDAVKY FINANCOVANÉ Z EPZF NA ZÁKLADE SPOLOČNÉHO RIADENIA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4.3 Systém účtov pre výdavky financované........, bod 2), štvrtá odrážka, nahradiť slovo „MP SR“ slovom „MPRV SR“ Odôvodnenie: oprava textu v zmysle platnej legislatívy SR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Str.30, časť 4.3 SYSTÉM ÚČTOV PRE VÝDAVKY FINANCOVANÉ Z EPZF NA ZÁKLADE SPOLOČNÉHO RIADENIA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4.3 Systém účtov pre výdavky financované........, bod 4) Účet prijímateľa, doplniť informáciu, či tento účet je alebo nie je úročený. Odôvodnenie: doplnenie podstatnej informácie pre prijímateľa v rámci žiadosti o platbu.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xml:space="preserve">V prípade prijímateľa ide o nepodstatnú informáciu, vzhľadom na to, že v prípade platieb poskytovaných z EPZF ide o refundáciu vynaložených prostriedkov alebo o výplatu </w:t>
            </w:r>
            <w:proofErr w:type="spellStart"/>
            <w:r w:rsidRPr="00E942DE">
              <w:rPr>
                <w:rFonts w:ascii="Times New Roman" w:hAnsi="Times New Roman" w:cs="Calibri"/>
                <w:sz w:val="20"/>
                <w:szCs w:val="20"/>
                <w:lang w:val="sk-SK"/>
              </w:rPr>
              <w:t>nárokovateľných</w:t>
            </w:r>
            <w:proofErr w:type="spellEnd"/>
            <w:r w:rsidRPr="00E942DE">
              <w:rPr>
                <w:rFonts w:ascii="Times New Roman" w:hAnsi="Times New Roman" w:cs="Calibri"/>
                <w:sz w:val="20"/>
                <w:szCs w:val="20"/>
                <w:lang w:val="sk-SK"/>
              </w:rPr>
              <w:t xml:space="preserve"> platieb (t. j. ak o ne poľnohospodár požiada a splní podmienky pre ich priznanie, platby musia byť poskytnuté) slúžiacich na podporu príjmu poľnohospodárov.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Str.29, časť 4.3 SYSTÉM ÚČTOV PRE VÝDAVKY FINANCOVANÉ Z EPZF NA ZÁKLADE SPOLOČNÉHO RIADENIA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4.3 Systém účtov pre výdavky financované z EPZF na základe spoločného riadenia, bode 2. Účty PA, v 6. odrážke v texte „osobitný mimorozpočtový účet, ktorý slúži na príjem vrátených prostriedkov EPZF v dôsledku vymožených nedbanlivostí alebo nezrovnalostí“ slová „vymožených nedbanlivostí“ navrhujeme nahradiť slovami „vymožených prostriedkov v dôsledku nedbanlivosti“.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59, časť 6.2 ZNÍŽENIE ALEBO DOČASNÉ POZASTAVENIE MESAČNÝCH PLATIEB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časti 6.2 Zníženie alebo dočasné pozastavenie mesačných platieb, v bode 1) text uvádzacej vety „vyhlásenia o výdavkoch alebo informácie týkajúce sa akreditovanej PA, CO alebo ročných účtovných závierok umožňujú EK určiť, že:“ v kontexte s textom písm. a), b)c) navrhujeme preformulovať do racionálnej formy, napr. „na základe vyhlásení o výdavkoch alebo informácií týkajúcich sa akreditovanej PA, CO alebo ročných účtovných závierok bolo </w:t>
            </w:r>
            <w:r w:rsidRPr="001C1EC9">
              <w:rPr>
                <w:rFonts w:ascii="Times New Roman" w:hAnsi="Times New Roman" w:cs="Calibri"/>
                <w:sz w:val="20"/>
                <w:szCs w:val="20"/>
                <w:lang w:val="sk-SK"/>
              </w:rPr>
              <w:lastRenderedPageBreak/>
              <w:t>zistené nasledovné“ ; rovnakú úpravu navrhujeme vykonať aj v bode 2).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upravený v bode 2).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65, časť 8.TRANSPARENTNOSŤ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časti 8. Transparentnosť, písm. a), bode </w:t>
            </w:r>
            <w:proofErr w:type="spellStart"/>
            <w:r w:rsidRPr="001C1EC9">
              <w:rPr>
                <w:rFonts w:ascii="Times New Roman" w:hAnsi="Times New Roman" w:cs="Calibri"/>
                <w:sz w:val="20"/>
                <w:szCs w:val="20"/>
                <w:lang w:val="sk-SK"/>
              </w:rPr>
              <w:t>ii</w:t>
            </w:r>
            <w:proofErr w:type="spellEnd"/>
            <w:r w:rsidRPr="001C1EC9">
              <w:rPr>
                <w:rFonts w:ascii="Times New Roman" w:hAnsi="Times New Roman" w:cs="Calibri"/>
                <w:sz w:val="20"/>
                <w:szCs w:val="20"/>
                <w:lang w:val="sk-SK"/>
              </w:rPr>
              <w:t>) zo spojenia „autonómnou právnou subjektivitou“ navrhujeme vypustiť slovo „autonómnou“.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62, časť 8.1 HLÁSENIE NEZROVNALOSTÍ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Vo vete „V prípade akýchkoľvek neoprávnených platieb v dôsledku nezrovnalosti alebo nedbanlivosti PA požiada prijímateľa...“ vypustiť slová „alebo nedbanlivosti“.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Ide o nadbytočné slová, nakoľko nedbanlivosť je forma zavinenia, ktorá postačuje na vznik nezrovnalosti. </w:t>
            </w:r>
            <w:r w:rsidRPr="001C1EC9">
              <w:rPr>
                <w:rFonts w:ascii="Times New Roman" w:hAnsi="Times New Roman" w:cs="Calibri"/>
                <w:sz w:val="20"/>
                <w:szCs w:val="20"/>
                <w:lang w:val="sk-SK"/>
              </w:rPr>
              <w:br/>
              <w:t>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je v súlade s nariadením Európskeho parlamentu a Rady (EÚ) č. 1306/2013 zo 17. decembra 2013 o financovaní, riadení a monitorovaní spoločnej poľnohospodárskej politiky a ktorým sa zrušujú nariadenia Rady (EHS) č. 352/78, (ES) č. 165/94, (ES) č. 2799/98, (ES) č. 814/2000, (ES) č. 1290/2005 a (ES) č. 485/2008 v platnom znení.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62, časť 8.1 HLÁSENIE NEZROVNALOSTÍ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predposledný odsek upraviť nasledovne: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"Na základe zhromaždených údajov o zistených nezrovnalostiach PA spracuje podklady o zistených nezrovnalostiach do štvrťročného hlásenia o nezrovnalostiach, nezrovnalosti podliehajúce povinnosti hlásenia na OLAF zaeviduje do IMS a štvrťročne, resp. do 6 týždňov od skončenia štvrťroku zasiela na odbor Centrálny kontaktný útvar pre OLAF spolu s aktualizovaným Centrálnym registrom nezrovnalostí SPP. </w:t>
            </w:r>
            <w:r w:rsidRPr="001C1EC9">
              <w:rPr>
                <w:rFonts w:ascii="Times New Roman" w:hAnsi="Times New Roman" w:cs="Calibri"/>
                <w:sz w:val="20"/>
                <w:szCs w:val="20"/>
                <w:lang w:val="sk-SK"/>
              </w:rPr>
              <w:br/>
              <w:t>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63, časť 8.2 VYMÁHANIE NEZROVNALOSTÍ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druhej vete vypustiť slová „alebo nedbanlivosti“.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Ide o nadbytočné slová, nakoľko nedbanlivosť je forma zavinenia, ktorá postačuje na vznik nezrovnalosti. </w:t>
            </w:r>
            <w:r w:rsidRPr="001C1EC9">
              <w:rPr>
                <w:rFonts w:ascii="Times New Roman" w:hAnsi="Times New Roman" w:cs="Calibri"/>
                <w:sz w:val="20"/>
                <w:szCs w:val="20"/>
                <w:lang w:val="sk-SK"/>
              </w:rPr>
              <w:br/>
              <w:t>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Text je v súlade s nariadením Európskeho parlamentu a Rady (EÚ) č. 1306/2013 zo 17. decembra 2013 o financovaní, riadení a monitorovaní spoločnej poľnohospodárskej politiky a ktorým sa zrušujú nariadenia Rady (EHS) č. 352/78, (ES) č. 165/94, (ES) č. 2799/98, (ES) č. 814/2000, (ES) č. 1290/2005 a (ES) č. 485/2008 v platnom znení.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Str. 63, časť 8.1 HLÁSENIE NEZROVNALOSTÍ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posledný odsek upraviť nasledovne: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"V prípade, že suma nezrovnalosti prevyšuje 10 000 EUR, odbor Centrálny kontaktný útvar pre OLAF informuje o zistených nezrovnalostiach OLAF EK v súlade s nariadeniami EÚ v nasledujúcom štvrťročnom hlásení o nezrovnalostiach. Informácie o nezrovnalostiach nepresahujúcich čiastku 10 000 EUR predkladá odbor Centrálny kontaktný útvar pre OLAF na OLAF EK výlučne na jeho žiadosť." </w:t>
            </w:r>
            <w:r w:rsidRPr="001C1EC9">
              <w:rPr>
                <w:rFonts w:ascii="Times New Roman" w:hAnsi="Times New Roman" w:cs="Calibri"/>
                <w:sz w:val="20"/>
                <w:szCs w:val="20"/>
                <w:lang w:val="sk-SK"/>
              </w:rPr>
              <w:br/>
              <w:t>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A14C26" w:rsidRPr="00856FFA" w:rsidTr="00803E4D">
        <w:tc>
          <w:tcPr>
            <w:tcW w:w="495" w:type="pct"/>
          </w:tcPr>
          <w:p w:rsidR="00A14C26" w:rsidRPr="00701DA6" w:rsidRDefault="00A14C26" w:rsidP="00803E4D">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ÚV SR </w:t>
            </w:r>
          </w:p>
        </w:tc>
        <w:tc>
          <w:tcPr>
            <w:tcW w:w="2328" w:type="pct"/>
          </w:tcPr>
          <w:p w:rsidR="00A14C26" w:rsidRPr="00054B9D" w:rsidRDefault="00A14C26" w:rsidP="00803E4D">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prílohy </w:t>
            </w:r>
          </w:p>
          <w:p w:rsidR="00A14C26" w:rsidRPr="00856FFA" w:rsidRDefault="00A14C26" w:rsidP="00803E4D">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Žiadame opraviť názov "Európsky úrad boja proti podvodom" na názov " Európsky úrad pre boj proti podvodom".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A14C26" w:rsidRPr="00856FFA" w:rsidRDefault="00A14C26" w:rsidP="00803E4D">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A14C26" w:rsidRPr="00856FFA" w:rsidRDefault="00A14C26" w:rsidP="00803E4D">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bl>
    <w:p w:rsidR="00A14C26" w:rsidRPr="00856FFA" w:rsidRDefault="00A14C26" w:rsidP="00A14C26">
      <w:pPr>
        <w:widowControl/>
        <w:spacing w:after="0" w:line="240" w:lineRule="auto"/>
        <w:rPr>
          <w:rFonts w:ascii="Times New Roman" w:hAnsi="Times New Roman" w:cs="Calibri"/>
          <w:sz w:val="20"/>
          <w:szCs w:val="20"/>
          <w:lang w:val="sk-SK"/>
        </w:rPr>
      </w:pPr>
    </w:p>
    <w:p w:rsidR="00A14C26" w:rsidRPr="00856FFA" w:rsidRDefault="00A14C26" w:rsidP="00A14C26">
      <w:pPr>
        <w:widowControl/>
        <w:spacing w:after="0" w:line="240" w:lineRule="auto"/>
        <w:rPr>
          <w:rFonts w:ascii="Times New Roman" w:hAnsi="Times New Roman" w:cs="Calibri"/>
          <w:sz w:val="20"/>
          <w:szCs w:val="20"/>
          <w:lang w:val="sk-SK"/>
        </w:rPr>
      </w:pPr>
    </w:p>
    <w:p w:rsidR="006E2F2B" w:rsidRPr="00A14C26" w:rsidRDefault="006E2F2B" w:rsidP="00A14C26"/>
    <w:sectPr w:rsidR="006E2F2B" w:rsidRPr="00A14C26">
      <w:pgSz w:w="15840" w:h="12240" w:orient="landscape"/>
      <w:pgMar w:top="1418"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59B5"/>
    <w:rsid w:val="006E2F2B"/>
    <w:rsid w:val="00A14C26"/>
    <w:rsid w:val="00C807B5"/>
    <w:rsid w:val="00E459B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459B5"/>
    <w:pPr>
      <w:widowControl w:val="0"/>
      <w:adjustRightInd w:val="0"/>
    </w:pPr>
    <w:rPr>
      <w:rFonts w:ascii="Calibri" w:eastAsia="Times New Roman" w:hAnsi="Calibri" w:cs="Times New Roman"/>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E459B5"/>
    <w:rPr>
      <w:rFonts w:ascii="Times New Roman" w:hAnsi="Times New Roman"/>
      <w:color w:val="808080"/>
    </w:rPr>
  </w:style>
  <w:style w:type="paragraph" w:styleId="Textbubliny">
    <w:name w:val="Balloon Text"/>
    <w:basedOn w:val="Normlny"/>
    <w:link w:val="TextbublinyChar"/>
    <w:uiPriority w:val="99"/>
    <w:semiHidden/>
    <w:unhideWhenUsed/>
    <w:rsid w:val="00E459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59B5"/>
    <w:rPr>
      <w:rFonts w:ascii="Tahoma" w:eastAsia="Times New Roman" w:hAnsi="Tahoma" w:cs="Tahoma"/>
      <w:sz w:val="16"/>
      <w:szCs w:val="16"/>
      <w:lang w:val="en-US"/>
    </w:rPr>
  </w:style>
  <w:style w:type="table" w:styleId="Mriekatabuky">
    <w:name w:val="Table Grid"/>
    <w:basedOn w:val="Normlnatabuka"/>
    <w:uiPriority w:val="59"/>
    <w:rsid w:val="00E459B5"/>
    <w:pPr>
      <w:widowControl w:val="0"/>
      <w:autoSpaceDE w:val="0"/>
      <w:autoSpaceDN w:val="0"/>
      <w:adjustRightInd w:val="0"/>
      <w:spacing w:after="0" w:line="240" w:lineRule="auto"/>
    </w:pPr>
    <w:rPr>
      <w:rFonts w:ascii="Calibri" w:eastAsia="Times New Roman" w:hAnsi="Calibri" w:cs="Times New Roman"/>
      <w:sz w:val="24"/>
      <w:szCs w:val="24"/>
      <w:lang w:eastAsia="sk-SK"/>
    </w:rPr>
    <w:tblPr>
      <w:tblInd w:w="0" w:type="dxa"/>
      <w:tblCellMar>
        <w:top w:w="0" w:type="dxa"/>
        <w:left w:w="0" w:type="dxa"/>
        <w:bottom w:w="0" w:type="dxa"/>
        <w:right w:w="0" w:type="dxa"/>
      </w:tblCellMar>
    </w:tblPr>
  </w:style>
  <w:style w:type="character" w:styleId="Siln">
    <w:name w:val="Strong"/>
    <w:basedOn w:val="Predvolenpsmoodseku"/>
    <w:uiPriority w:val="22"/>
    <w:qFormat/>
    <w:rsid w:val="00E459B5"/>
    <w:rPr>
      <w:rFonts w:ascii="Times New Roman" w:hAnsi="Times New Roman"/>
      <w:b/>
      <w:bCs/>
    </w:rPr>
  </w:style>
  <w:style w:type="paragraph" w:styleId="Zkladntext">
    <w:name w:val="Body Text"/>
    <w:basedOn w:val="Normlny"/>
    <w:link w:val="ZkladntextChar"/>
    <w:uiPriority w:val="99"/>
    <w:semiHidden/>
    <w:rsid w:val="00E459B5"/>
    <w:pPr>
      <w:spacing w:after="0" w:line="240" w:lineRule="auto"/>
      <w:jc w:val="center"/>
    </w:pPr>
    <w:rPr>
      <w:rFonts w:ascii="Times New Roman" w:hAnsi="Times New Roman"/>
      <w:b/>
      <w:bCs/>
      <w:sz w:val="28"/>
      <w:szCs w:val="28"/>
      <w:lang w:val="sk-SK" w:eastAsia="sk-SK"/>
    </w:rPr>
  </w:style>
  <w:style w:type="character" w:customStyle="1" w:styleId="ZkladntextChar">
    <w:name w:val="Základný text Char"/>
    <w:basedOn w:val="Predvolenpsmoodseku"/>
    <w:link w:val="Zkladntext"/>
    <w:uiPriority w:val="99"/>
    <w:semiHidden/>
    <w:rsid w:val="00E459B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E459B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459B5"/>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martin.matula</dc:creator>
  <cp:lastModifiedBy>martin.matula</cp:lastModifiedBy>
  <cp:revision>2</cp:revision>
  <dcterms:created xsi:type="dcterms:W3CDTF">2014-06-10T11:42:00Z</dcterms:created>
  <dcterms:modified xsi:type="dcterms:W3CDTF">2014-06-10T13:09:00Z</dcterms:modified>
</cp:coreProperties>
</file>