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60" w:rsidRDefault="00B16260" w:rsidP="00B16260">
      <w:pPr>
        <w:ind w:right="-108"/>
        <w:jc w:val="center"/>
        <w:outlineLvl w:val="0"/>
        <w:rPr>
          <w:b/>
          <w:bCs/>
          <w:sz w:val="28"/>
          <w:szCs w:val="28"/>
        </w:rPr>
      </w:pPr>
      <w:r>
        <w:rPr>
          <w:b/>
          <w:bCs/>
          <w:sz w:val="28"/>
          <w:szCs w:val="28"/>
        </w:rPr>
        <w:t>Doložka vybraných vplyvov</w:t>
      </w:r>
    </w:p>
    <w:p w:rsidR="00B16260" w:rsidRDefault="00B16260" w:rsidP="00B16260">
      <w:pPr>
        <w:ind w:right="-108"/>
        <w:jc w:val="center"/>
        <w:rPr>
          <w:b/>
          <w:bCs/>
          <w:sz w:val="28"/>
          <w:szCs w:val="28"/>
        </w:rPr>
      </w:pPr>
    </w:p>
    <w:p w:rsidR="00B16260" w:rsidRDefault="00B16260" w:rsidP="00B16260">
      <w:pPr>
        <w:rPr>
          <w:b/>
          <w:bCs/>
        </w:rPr>
      </w:pPr>
    </w:p>
    <w:p w:rsidR="00B16260" w:rsidRDefault="00B16260" w:rsidP="00B16260">
      <w:pPr>
        <w:rPr>
          <w:b/>
          <w:bCs/>
        </w:rPr>
      </w:pPr>
    </w:p>
    <w:p w:rsidR="00B16260" w:rsidRDefault="00B16260" w:rsidP="00B16260">
      <w:pPr>
        <w:jc w:val="both"/>
      </w:pPr>
      <w:r>
        <w:rPr>
          <w:b/>
          <w:bCs/>
        </w:rPr>
        <w:t>A.1. Názov materiálu:</w:t>
      </w:r>
      <w:r>
        <w:t xml:space="preserve"> Program spolupráce INTERREG EUROPE 2014-2020 - návrh. </w:t>
      </w:r>
    </w:p>
    <w:p w:rsidR="00B16260" w:rsidRDefault="00B16260" w:rsidP="00B16260">
      <w:pPr>
        <w:jc w:val="both"/>
        <w:rPr>
          <w:rFonts w:cs="Arial"/>
        </w:rPr>
      </w:pPr>
    </w:p>
    <w:p w:rsidR="00B16260" w:rsidRDefault="00B16260" w:rsidP="00B16260">
      <w:pPr>
        <w:outlineLvl w:val="0"/>
        <w:rPr>
          <w:bCs/>
        </w:rPr>
      </w:pPr>
      <w:r>
        <w:rPr>
          <w:b/>
          <w:bCs/>
        </w:rPr>
        <w:t>Termín začatia a </w:t>
      </w:r>
      <w:r w:rsidRPr="00C45B8A">
        <w:rPr>
          <w:b/>
          <w:bCs/>
        </w:rPr>
        <w:t xml:space="preserve">ukončenia </w:t>
      </w:r>
      <w:r w:rsidRPr="00271E4D">
        <w:rPr>
          <w:b/>
          <w:bCs/>
        </w:rPr>
        <w:t xml:space="preserve">PPK: 10. 6. 2014 – 16. 6. 2014 </w:t>
      </w:r>
    </w:p>
    <w:p w:rsidR="00B16260" w:rsidRDefault="00B16260" w:rsidP="00B16260">
      <w:pPr>
        <w:rPr>
          <w:b/>
          <w:bCs/>
        </w:rPr>
      </w:pPr>
    </w:p>
    <w:p w:rsidR="00B16260" w:rsidRDefault="00B16260" w:rsidP="00B16260">
      <w:pPr>
        <w:rPr>
          <w:b/>
          <w:bCs/>
        </w:rPr>
      </w:pPr>
    </w:p>
    <w:p w:rsidR="00B16260" w:rsidRDefault="00B16260" w:rsidP="00B16260">
      <w:pPr>
        <w:rPr>
          <w:b/>
          <w:bCs/>
        </w:rPr>
      </w:pPr>
      <w:r>
        <w:rPr>
          <w:b/>
          <w:bCs/>
        </w:rPr>
        <w:t>A.2. Vplyvy:</w:t>
      </w:r>
    </w:p>
    <w:p w:rsidR="00B16260" w:rsidRDefault="00B16260" w:rsidP="00B16260"/>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26"/>
        <w:gridCol w:w="1242"/>
        <w:gridCol w:w="1260"/>
        <w:gridCol w:w="1336"/>
      </w:tblGrid>
      <w:tr w:rsidR="00B16260" w:rsidTr="00473817">
        <w:tc>
          <w:tcPr>
            <w:tcW w:w="3726" w:type="dxa"/>
            <w:tcBorders>
              <w:top w:val="single" w:sz="4" w:space="0" w:color="auto"/>
              <w:left w:val="single" w:sz="4" w:space="0" w:color="auto"/>
              <w:bottom w:val="single" w:sz="4" w:space="0" w:color="auto"/>
              <w:right w:val="single" w:sz="4" w:space="0" w:color="auto"/>
            </w:tcBorders>
          </w:tcPr>
          <w:p w:rsidR="00B16260" w:rsidRDefault="00B16260" w:rsidP="00473817"/>
        </w:tc>
        <w:tc>
          <w:tcPr>
            <w:tcW w:w="1242" w:type="dxa"/>
            <w:tcBorders>
              <w:top w:val="single" w:sz="4" w:space="0" w:color="auto"/>
              <w:left w:val="single" w:sz="4" w:space="0" w:color="auto"/>
              <w:bottom w:val="single" w:sz="4" w:space="0" w:color="auto"/>
              <w:right w:val="single" w:sz="4" w:space="0" w:color="auto"/>
            </w:tcBorders>
            <w:vAlign w:val="center"/>
            <w:hideMark/>
          </w:tcPr>
          <w:p w:rsidR="00B16260" w:rsidRDefault="00B16260" w:rsidP="00473817">
            <w:pPr>
              <w:jc w:val="center"/>
            </w:pPr>
            <w:r>
              <w:t>Pozitívne</w:t>
            </w:r>
            <w:r>
              <w:rPr>
                <w:vertAlign w:val="superscript"/>
              </w:rPr>
              <w:t>*</w:t>
            </w:r>
            <w: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B16260" w:rsidRDefault="00B16260" w:rsidP="00473817">
            <w:pPr>
              <w:jc w:val="center"/>
            </w:pPr>
            <w:r>
              <w:t>Žiadne</w:t>
            </w:r>
            <w:r>
              <w:rPr>
                <w:vertAlign w:val="superscript"/>
              </w:rPr>
              <w:t>*</w:t>
            </w:r>
          </w:p>
        </w:tc>
        <w:tc>
          <w:tcPr>
            <w:tcW w:w="1336" w:type="dxa"/>
            <w:tcBorders>
              <w:top w:val="single" w:sz="4" w:space="0" w:color="auto"/>
              <w:left w:val="single" w:sz="4" w:space="0" w:color="auto"/>
              <w:bottom w:val="single" w:sz="4" w:space="0" w:color="auto"/>
              <w:right w:val="single" w:sz="4" w:space="0" w:color="auto"/>
            </w:tcBorders>
            <w:vAlign w:val="center"/>
            <w:hideMark/>
          </w:tcPr>
          <w:p w:rsidR="00B16260" w:rsidRDefault="00B16260" w:rsidP="00473817">
            <w:pPr>
              <w:jc w:val="center"/>
            </w:pPr>
            <w:r>
              <w:t>Negatívne</w:t>
            </w:r>
            <w:r>
              <w:rPr>
                <w:vertAlign w:val="superscript"/>
              </w:rPr>
              <w:t>*</w:t>
            </w:r>
          </w:p>
        </w:tc>
      </w:tr>
      <w:tr w:rsidR="00B16260" w:rsidTr="00473817">
        <w:tc>
          <w:tcPr>
            <w:tcW w:w="3726" w:type="dxa"/>
            <w:tcBorders>
              <w:top w:val="single" w:sz="4" w:space="0" w:color="auto"/>
              <w:left w:val="single" w:sz="4" w:space="0" w:color="auto"/>
              <w:bottom w:val="single" w:sz="4" w:space="0" w:color="auto"/>
              <w:right w:val="single" w:sz="4" w:space="0" w:color="auto"/>
            </w:tcBorders>
          </w:tcPr>
          <w:p w:rsidR="00B16260" w:rsidRDefault="00B16260" w:rsidP="00473817">
            <w:pPr>
              <w:rPr>
                <w:bCs/>
                <w:sz w:val="22"/>
                <w:szCs w:val="22"/>
              </w:rPr>
            </w:pPr>
            <w:r>
              <w:rPr>
                <w:bCs/>
                <w:sz w:val="22"/>
                <w:szCs w:val="22"/>
              </w:rPr>
              <w:t>1. Vplyvy na rozpočet verejnej správy</w:t>
            </w:r>
          </w:p>
          <w:p w:rsidR="00B16260" w:rsidRDefault="00B16260" w:rsidP="00473817">
            <w:pPr>
              <w:rPr>
                <w:i/>
                <w:sz w:val="22"/>
                <w:szCs w:val="22"/>
              </w:rPr>
            </w:pPr>
          </w:p>
        </w:tc>
        <w:tc>
          <w:tcPr>
            <w:tcW w:w="1242"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p>
        </w:tc>
        <w:tc>
          <w:tcPr>
            <w:tcW w:w="1260"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c>
          <w:tcPr>
            <w:tcW w:w="1336"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r>
              <w:t>x</w:t>
            </w:r>
          </w:p>
        </w:tc>
      </w:tr>
      <w:tr w:rsidR="00B16260" w:rsidTr="00473817">
        <w:tc>
          <w:tcPr>
            <w:tcW w:w="3726" w:type="dxa"/>
            <w:tcBorders>
              <w:top w:val="single" w:sz="4" w:space="0" w:color="auto"/>
              <w:left w:val="single" w:sz="4" w:space="0" w:color="auto"/>
              <w:bottom w:val="single" w:sz="4" w:space="0" w:color="auto"/>
              <w:right w:val="single" w:sz="4" w:space="0" w:color="auto"/>
            </w:tcBorders>
            <w:hideMark/>
          </w:tcPr>
          <w:p w:rsidR="00B16260" w:rsidRDefault="00B16260" w:rsidP="00473817">
            <w:pPr>
              <w:rPr>
                <w:sz w:val="22"/>
                <w:szCs w:val="22"/>
              </w:rPr>
            </w:pPr>
            <w:r>
              <w:rPr>
                <w:bCs/>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c>
          <w:tcPr>
            <w:tcW w:w="1260"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r>
              <w:t>x</w:t>
            </w:r>
          </w:p>
        </w:tc>
        <w:tc>
          <w:tcPr>
            <w:tcW w:w="1336"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r>
      <w:tr w:rsidR="00B16260" w:rsidTr="00473817">
        <w:tc>
          <w:tcPr>
            <w:tcW w:w="3726" w:type="dxa"/>
            <w:tcBorders>
              <w:top w:val="single" w:sz="4" w:space="0" w:color="auto"/>
              <w:left w:val="single" w:sz="4" w:space="0" w:color="auto"/>
              <w:bottom w:val="single" w:sz="4" w:space="0" w:color="auto"/>
              <w:right w:val="single" w:sz="4" w:space="0" w:color="auto"/>
            </w:tcBorders>
            <w:hideMark/>
          </w:tcPr>
          <w:p w:rsidR="00B16260" w:rsidRDefault="00B16260" w:rsidP="00473817">
            <w:pPr>
              <w:rPr>
                <w:bCs/>
                <w:sz w:val="22"/>
                <w:szCs w:val="22"/>
              </w:rPr>
            </w:pPr>
            <w:r>
              <w:rPr>
                <w:bCs/>
                <w:sz w:val="22"/>
                <w:szCs w:val="22"/>
              </w:rPr>
              <w:t xml:space="preserve">3. Sociálne vplyvy </w:t>
            </w:r>
          </w:p>
          <w:p w:rsidR="00B16260" w:rsidRDefault="00B16260" w:rsidP="00473817">
            <w:pPr>
              <w:rPr>
                <w:bCs/>
                <w:sz w:val="22"/>
                <w:szCs w:val="22"/>
              </w:rPr>
            </w:pPr>
            <w:r>
              <w:rPr>
                <w:bCs/>
                <w:sz w:val="22"/>
                <w:szCs w:val="22"/>
              </w:rPr>
              <w:t>- vplyvy na hospodárenie obyvateľstva,</w:t>
            </w:r>
          </w:p>
          <w:p w:rsidR="00B16260" w:rsidRDefault="00B16260" w:rsidP="00473817">
            <w:pPr>
              <w:rPr>
                <w:bCs/>
                <w:sz w:val="22"/>
                <w:szCs w:val="22"/>
              </w:rPr>
            </w:pPr>
            <w:r>
              <w:rPr>
                <w:bCs/>
                <w:sz w:val="22"/>
                <w:szCs w:val="22"/>
              </w:rPr>
              <w:t>- sociálnu exklúziu,</w:t>
            </w:r>
          </w:p>
          <w:p w:rsidR="00B16260" w:rsidRDefault="00B16260" w:rsidP="00473817">
            <w:pPr>
              <w:rPr>
                <w:sz w:val="22"/>
                <w:szCs w:val="22"/>
              </w:rPr>
            </w:pPr>
            <w:r>
              <w:rPr>
                <w:bCs/>
                <w:sz w:val="22"/>
                <w:szCs w:val="22"/>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c>
          <w:tcPr>
            <w:tcW w:w="1260"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r>
              <w:t>x</w:t>
            </w:r>
          </w:p>
        </w:tc>
        <w:tc>
          <w:tcPr>
            <w:tcW w:w="1336"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r>
      <w:tr w:rsidR="00B16260" w:rsidTr="00473817">
        <w:tc>
          <w:tcPr>
            <w:tcW w:w="3726" w:type="dxa"/>
            <w:tcBorders>
              <w:top w:val="single" w:sz="4" w:space="0" w:color="auto"/>
              <w:left w:val="single" w:sz="4" w:space="0" w:color="auto"/>
              <w:bottom w:val="single" w:sz="4" w:space="0" w:color="auto"/>
              <w:right w:val="single" w:sz="4" w:space="0" w:color="auto"/>
            </w:tcBorders>
            <w:hideMark/>
          </w:tcPr>
          <w:p w:rsidR="00B16260" w:rsidRDefault="00B16260" w:rsidP="00473817">
            <w:pPr>
              <w:rPr>
                <w:sz w:val="22"/>
                <w:szCs w:val="22"/>
              </w:rPr>
            </w:pPr>
            <w:r>
              <w:rPr>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c>
          <w:tcPr>
            <w:tcW w:w="1260"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r>
              <w:t>x</w:t>
            </w:r>
          </w:p>
        </w:tc>
        <w:tc>
          <w:tcPr>
            <w:tcW w:w="1336"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r>
      <w:tr w:rsidR="00B16260" w:rsidTr="00473817">
        <w:tc>
          <w:tcPr>
            <w:tcW w:w="3726" w:type="dxa"/>
            <w:tcBorders>
              <w:top w:val="single" w:sz="4" w:space="0" w:color="auto"/>
              <w:left w:val="single" w:sz="4" w:space="0" w:color="auto"/>
              <w:bottom w:val="single" w:sz="4" w:space="0" w:color="auto"/>
              <w:right w:val="single" w:sz="4" w:space="0" w:color="auto"/>
            </w:tcBorders>
            <w:hideMark/>
          </w:tcPr>
          <w:p w:rsidR="00B16260" w:rsidRDefault="00B16260" w:rsidP="00473817">
            <w:pPr>
              <w:rPr>
                <w:bCs/>
                <w:sz w:val="22"/>
                <w:szCs w:val="22"/>
                <w:lang w:val="pt-BR"/>
              </w:rPr>
            </w:pPr>
            <w:r>
              <w:rPr>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cPr>
          <w:p w:rsidR="00B16260" w:rsidRDefault="00CD67F3" w:rsidP="00473817">
            <w:pPr>
              <w:jc w:val="center"/>
            </w:pPr>
            <w:r>
              <w:t>x</w:t>
            </w:r>
          </w:p>
        </w:tc>
        <w:tc>
          <w:tcPr>
            <w:tcW w:w="1260" w:type="dxa"/>
            <w:tcBorders>
              <w:top w:val="single" w:sz="4" w:space="0" w:color="auto"/>
              <w:left w:val="single" w:sz="4" w:space="0" w:color="auto"/>
              <w:bottom w:val="single" w:sz="4" w:space="0" w:color="auto"/>
              <w:right w:val="single" w:sz="4" w:space="0" w:color="auto"/>
            </w:tcBorders>
            <w:hideMark/>
          </w:tcPr>
          <w:p w:rsidR="00B16260" w:rsidRDefault="00B16260" w:rsidP="00473817">
            <w:pPr>
              <w:jc w:val="center"/>
            </w:pPr>
          </w:p>
        </w:tc>
        <w:tc>
          <w:tcPr>
            <w:tcW w:w="1336" w:type="dxa"/>
            <w:tcBorders>
              <w:top w:val="single" w:sz="4" w:space="0" w:color="auto"/>
              <w:left w:val="single" w:sz="4" w:space="0" w:color="auto"/>
              <w:bottom w:val="single" w:sz="4" w:space="0" w:color="auto"/>
              <w:right w:val="single" w:sz="4" w:space="0" w:color="auto"/>
            </w:tcBorders>
          </w:tcPr>
          <w:p w:rsidR="00B16260" w:rsidRDefault="00B16260" w:rsidP="00473817">
            <w:pPr>
              <w:jc w:val="center"/>
            </w:pPr>
          </w:p>
        </w:tc>
      </w:tr>
    </w:tbl>
    <w:p w:rsidR="00B16260" w:rsidRDefault="00B16260" w:rsidP="00B16260">
      <w:pPr>
        <w:jc w:val="both"/>
        <w:rPr>
          <w:bCs/>
          <w:szCs w:val="20"/>
          <w:u w:val="single"/>
        </w:rPr>
      </w:pPr>
      <w:r>
        <w:rPr>
          <w:b/>
          <w:sz w:val="16"/>
          <w:szCs w:val="16"/>
        </w:rPr>
        <w:t>*</w:t>
      </w:r>
      <w:r>
        <w:rPr>
          <w:bCs/>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B16260" w:rsidRDefault="00B16260" w:rsidP="00B16260">
      <w:pPr>
        <w:jc w:val="both"/>
        <w:rPr>
          <w:bCs/>
          <w:sz w:val="16"/>
          <w:szCs w:val="16"/>
        </w:rPr>
      </w:pPr>
    </w:p>
    <w:p w:rsidR="00B16260" w:rsidRDefault="00B16260" w:rsidP="00B16260">
      <w:pPr>
        <w:jc w:val="both"/>
        <w:rPr>
          <w:b/>
          <w:bCs/>
          <w:szCs w:val="20"/>
        </w:rPr>
      </w:pPr>
    </w:p>
    <w:p w:rsidR="00B16260" w:rsidRDefault="00B16260" w:rsidP="00B16260">
      <w:pPr>
        <w:jc w:val="both"/>
        <w:rPr>
          <w:b/>
          <w:bCs/>
          <w:szCs w:val="20"/>
        </w:rPr>
      </w:pPr>
      <w:r>
        <w:rPr>
          <w:b/>
          <w:bCs/>
          <w:szCs w:val="20"/>
        </w:rPr>
        <w:t>A.3. Poznámky</w:t>
      </w:r>
    </w:p>
    <w:p w:rsidR="00B16260" w:rsidRDefault="00B16260" w:rsidP="00B16260">
      <w:pPr>
        <w:ind w:firstLine="708"/>
        <w:jc w:val="both"/>
      </w:pPr>
      <w:r w:rsidRPr="000D34EE">
        <w:t xml:space="preserve">Schválenie predkladaného návrhu </w:t>
      </w:r>
      <w:r>
        <w:t>p</w:t>
      </w:r>
      <w:r w:rsidRPr="000D34EE">
        <w:t>rogramu</w:t>
      </w:r>
      <w:r>
        <w:t xml:space="preserve"> spolupráce</w:t>
      </w:r>
      <w:r w:rsidRPr="000D34EE">
        <w:t xml:space="preserve"> INTERREG EUROPE </w:t>
      </w:r>
      <w:r>
        <w:t xml:space="preserve">2014 – 2020 </w:t>
      </w:r>
      <w:r w:rsidRPr="009D4CD4">
        <w:rPr>
          <w:b/>
        </w:rPr>
        <w:t>predpokladá negatívny vplyv</w:t>
      </w:r>
      <w:r>
        <w:rPr>
          <w:b/>
          <w:color w:val="FF0000"/>
        </w:rPr>
        <w:t xml:space="preserve"> </w:t>
      </w:r>
      <w:r w:rsidRPr="00135185">
        <w:rPr>
          <w:b/>
        </w:rPr>
        <w:t>na štátny rozpočet</w:t>
      </w:r>
      <w:r>
        <w:rPr>
          <w:b/>
        </w:rPr>
        <w:t xml:space="preserve"> SR počas programového obdobia 2014 – 2020</w:t>
      </w:r>
      <w:r>
        <w:t>.</w:t>
      </w:r>
      <w:r w:rsidRPr="000D34EE">
        <w:t xml:space="preserve"> </w:t>
      </w:r>
      <w:r>
        <w:t>F</w:t>
      </w:r>
      <w:r w:rsidRPr="005A2CFA">
        <w:t xml:space="preserve">inančné prostriedky budú použité na úhradu povinného národného príspevku na Technickú </w:t>
      </w:r>
      <w:r>
        <w:t xml:space="preserve">pomoc, ktorý v celkovej výške predstavuje pre SR </w:t>
      </w:r>
      <w:r w:rsidRPr="004833E2">
        <w:rPr>
          <w:b/>
        </w:rPr>
        <w:t>81</w:t>
      </w:r>
      <w:r>
        <w:rPr>
          <w:b/>
        </w:rPr>
        <w:t> </w:t>
      </w:r>
      <w:r w:rsidRPr="004833E2">
        <w:rPr>
          <w:b/>
        </w:rPr>
        <w:t>471</w:t>
      </w:r>
      <w:r>
        <w:rPr>
          <w:b/>
        </w:rPr>
        <w:t>,-</w:t>
      </w:r>
      <w:r w:rsidRPr="004833E2">
        <w:rPr>
          <w:b/>
        </w:rPr>
        <w:t xml:space="preserve"> EUR</w:t>
      </w:r>
      <w:r>
        <w:t xml:space="preserve"> na celé programové obdobie.</w:t>
      </w:r>
    </w:p>
    <w:p w:rsidR="006F1362" w:rsidRDefault="006F1362" w:rsidP="00B16260">
      <w:pPr>
        <w:ind w:firstLine="708"/>
        <w:jc w:val="both"/>
      </w:pPr>
    </w:p>
    <w:p w:rsidR="006F1362" w:rsidRDefault="00B16260" w:rsidP="006F1362">
      <w:pPr>
        <w:ind w:firstLine="708"/>
        <w:jc w:val="both"/>
      </w:pPr>
      <w:r>
        <w:t xml:space="preserve"> </w:t>
      </w:r>
      <w:r w:rsidR="006F1362" w:rsidRPr="00CB7D91">
        <w:rPr>
          <w:bCs/>
        </w:rPr>
        <w:t>Výpočet povinného národného príspevku pre prioritnú os Technická pomoc bol stanovený podľa počtu obyvateľov krajiny vychádzajúc z údajov z roku 2012. Následne bola výška povinného národného príspevku (81 471,- EUR) odsúhlasená/schválená na zasadnutí nadnárodného Programovacieho výboru</w:t>
      </w:r>
      <w:r w:rsidR="006F1362" w:rsidRPr="00CB7D91">
        <w:t xml:space="preserve">. </w:t>
      </w:r>
      <w:r w:rsidR="006F1362" w:rsidRPr="009255AF">
        <w:t xml:space="preserve">Zároveň povinný národný príspevok zahŕňa aj sumu vyčlenenú na financovanie aktivít Národného kontaktného bodu vo </w:t>
      </w:r>
      <w:r w:rsidR="006F1362" w:rsidRPr="002C4BC7">
        <w:t>výške 6 398,- EUR,</w:t>
      </w:r>
      <w:r w:rsidR="006F1362" w:rsidRPr="009255AF">
        <w:t xml:space="preserve"> ktorú Národný kontaktný bod bude môcť získať späť z prioritnej osi Technická pomoc po </w:t>
      </w:r>
      <w:r w:rsidR="006F1362">
        <w:t>z</w:t>
      </w:r>
      <w:r w:rsidR="006F1362" w:rsidRPr="009255AF">
        <w:t>realiz</w:t>
      </w:r>
      <w:r w:rsidR="006F1362">
        <w:t>ovaní</w:t>
      </w:r>
      <w:r w:rsidR="006F1362" w:rsidRPr="009255AF">
        <w:t xml:space="preserve"> naplánovaných aktivít formou refundácie prostredníctvom zjednodušeného vykazovania výdavkov.</w:t>
      </w:r>
    </w:p>
    <w:p w:rsidR="00B16260" w:rsidRPr="00161968" w:rsidRDefault="00B16260" w:rsidP="00B16260">
      <w:pPr>
        <w:jc w:val="both"/>
        <w:rPr>
          <w:strike/>
        </w:rPr>
      </w:pPr>
    </w:p>
    <w:p w:rsidR="00B16260" w:rsidRDefault="00B16260" w:rsidP="00B16260">
      <w:pPr>
        <w:pStyle w:val="Zkladntext"/>
        <w:ind w:firstLine="708"/>
        <w:jc w:val="both"/>
        <w:rPr>
          <w:noProof w:val="0"/>
        </w:rPr>
      </w:pPr>
      <w:r w:rsidRPr="009B56BE">
        <w:rPr>
          <w:noProof w:val="0"/>
        </w:rPr>
        <w:t>V dôsledku charakteru programu</w:t>
      </w:r>
      <w:r>
        <w:rPr>
          <w:noProof w:val="0"/>
        </w:rPr>
        <w:t xml:space="preserve"> spolupráce</w:t>
      </w:r>
      <w:r w:rsidRPr="009B56BE">
        <w:rPr>
          <w:noProof w:val="0"/>
        </w:rPr>
        <w:t xml:space="preserve"> INTERREG EUROPE</w:t>
      </w:r>
      <w:r>
        <w:rPr>
          <w:noProof w:val="0"/>
        </w:rPr>
        <w:t xml:space="preserve"> 2014 – 2020 </w:t>
      </w:r>
      <w:r w:rsidRPr="009B56BE">
        <w:rPr>
          <w:noProof w:val="0"/>
        </w:rPr>
        <w:t xml:space="preserve"> bude možné prostredníctvom programu realizovať </w:t>
      </w:r>
      <w:r w:rsidRPr="00041A1C">
        <w:rPr>
          <w:b/>
          <w:noProof w:val="0"/>
        </w:rPr>
        <w:t>len veľmi nepriame vplyvy</w:t>
      </w:r>
      <w:r w:rsidRPr="009B56BE">
        <w:rPr>
          <w:noProof w:val="0"/>
        </w:rPr>
        <w:t xml:space="preserve"> </w:t>
      </w:r>
      <w:r w:rsidRPr="0073047A">
        <w:rPr>
          <w:b/>
          <w:noProof w:val="0"/>
        </w:rPr>
        <w:t>na podnikateľské prostredie, sociálne vplyvy, alebo vplyvy na informatizáciu spoločnosti</w:t>
      </w:r>
      <w:r w:rsidRPr="009B56BE">
        <w:rPr>
          <w:noProof w:val="0"/>
        </w:rPr>
        <w:t>, tzn. prostredníct</w:t>
      </w:r>
      <w:r>
        <w:rPr>
          <w:noProof w:val="0"/>
        </w:rPr>
        <w:t>v</w:t>
      </w:r>
      <w:r w:rsidRPr="009B56BE">
        <w:rPr>
          <w:noProof w:val="0"/>
        </w:rPr>
        <w:t>om zlepšenia implementácie iných operačných programov a programov Európskej územnej s</w:t>
      </w:r>
      <w:r>
        <w:rPr>
          <w:noProof w:val="0"/>
        </w:rPr>
        <w:t>p</w:t>
      </w:r>
      <w:r w:rsidRPr="009B56BE">
        <w:rPr>
          <w:noProof w:val="0"/>
        </w:rPr>
        <w:t xml:space="preserve">olupráce, ktoré budú mať priamy vplyv na dané </w:t>
      </w:r>
      <w:r w:rsidRPr="00E12606">
        <w:rPr>
          <w:noProof w:val="0"/>
        </w:rPr>
        <w:t xml:space="preserve">prostredie. </w:t>
      </w:r>
    </w:p>
    <w:p w:rsidR="00B16260" w:rsidRDefault="00B16260" w:rsidP="00B16260">
      <w:pPr>
        <w:pStyle w:val="Zkladntext"/>
        <w:ind w:firstLine="708"/>
        <w:jc w:val="both"/>
        <w:rPr>
          <w:noProof w:val="0"/>
        </w:rPr>
      </w:pPr>
      <w:r w:rsidRPr="00135185">
        <w:rPr>
          <w:b/>
          <w:noProof w:val="0"/>
        </w:rPr>
        <w:lastRenderedPageBreak/>
        <w:t>Environmentálny vplyv programu je rovnako len nepriamy</w:t>
      </w:r>
      <w:r w:rsidRPr="009B56BE">
        <w:rPr>
          <w:noProof w:val="0"/>
        </w:rPr>
        <w:t xml:space="preserve">. </w:t>
      </w:r>
      <w:r w:rsidRPr="0005324F">
        <w:t xml:space="preserve">V súlade so Stanoviskom </w:t>
      </w:r>
      <w:r>
        <w:br/>
      </w:r>
      <w:r w:rsidRPr="0005324F">
        <w:t>č. 4047/2014/3.4/jm Ministerstva životného prostredia SR</w:t>
      </w:r>
      <w:r>
        <w:t xml:space="preserve"> (ďalej len „MŽP SR“)</w:t>
      </w:r>
      <w:r w:rsidRPr="0005324F">
        <w:t xml:space="preserve"> </w:t>
      </w:r>
      <w:r w:rsidRPr="00D52527">
        <w:rPr>
          <w:b/>
        </w:rPr>
        <w:t>nemá</w:t>
      </w:r>
      <w:r w:rsidRPr="0005324F">
        <w:t xml:space="preserve"> uvedený návrh programu</w:t>
      </w:r>
      <w:r>
        <w:rPr>
          <w:b/>
          <w:bCs/>
        </w:rPr>
        <w:t xml:space="preserve"> </w:t>
      </w:r>
      <w:r w:rsidRPr="00D52527">
        <w:rPr>
          <w:b/>
        </w:rPr>
        <w:t xml:space="preserve">negatívny </w:t>
      </w:r>
      <w:r w:rsidRPr="0065055B">
        <w:rPr>
          <w:b/>
        </w:rPr>
        <w:t>vplyv</w:t>
      </w:r>
      <w:r w:rsidRPr="00D52527">
        <w:rPr>
          <w:b/>
        </w:rPr>
        <w:t xml:space="preserve"> na životné prostredie</w:t>
      </w:r>
      <w:r>
        <w:t xml:space="preserve"> a vo všeobecnosti strategický prístup </w:t>
      </w:r>
      <w:r w:rsidRPr="00682B80">
        <w:rPr>
          <w:b/>
        </w:rPr>
        <w:t>vykazuje potenciál pre priaznivé vplyvy</w:t>
      </w:r>
      <w:r>
        <w:t>. MŽP SR odporučilo</w:t>
      </w:r>
      <w:r w:rsidRPr="0082798C">
        <w:t xml:space="preserve"> </w:t>
      </w:r>
      <w:r>
        <w:t>strategický dokument s nadnárodným dosahom</w:t>
      </w:r>
      <w:r w:rsidRPr="00501527">
        <w:rPr>
          <w:color w:val="FF0000"/>
        </w:rPr>
        <w:t xml:space="preserve"> </w:t>
      </w:r>
      <w:r w:rsidRPr="00501527">
        <w:rPr>
          <w:b/>
        </w:rPr>
        <w:t>prijať</w:t>
      </w:r>
      <w:r>
        <w:t>.</w:t>
      </w:r>
      <w:r>
        <w:rPr>
          <w:noProof w:val="0"/>
        </w:rPr>
        <w:t xml:space="preserve"> </w:t>
      </w:r>
    </w:p>
    <w:p w:rsidR="00B16260" w:rsidRPr="0073011D" w:rsidRDefault="00B16260" w:rsidP="00B16260">
      <w:pPr>
        <w:pStyle w:val="Zkladntext"/>
        <w:ind w:firstLine="708"/>
        <w:jc w:val="both"/>
        <w:rPr>
          <w:szCs w:val="20"/>
        </w:rPr>
      </w:pPr>
      <w:r w:rsidRPr="00E12606">
        <w:rPr>
          <w:noProof w:val="0"/>
        </w:rPr>
        <w:t>Z tohto dôvodu je možné konštatovať, že program</w:t>
      </w:r>
      <w:r>
        <w:rPr>
          <w:noProof w:val="0"/>
        </w:rPr>
        <w:t xml:space="preserve"> spolupráce </w:t>
      </w:r>
      <w:r w:rsidRPr="009B56BE">
        <w:rPr>
          <w:noProof w:val="0"/>
        </w:rPr>
        <w:t>INTERREG EUROPE</w:t>
      </w:r>
      <w:r>
        <w:rPr>
          <w:noProof w:val="0"/>
        </w:rPr>
        <w:t xml:space="preserve"> 2014 – 2020 </w:t>
      </w:r>
      <w:r w:rsidRPr="00E12606">
        <w:rPr>
          <w:noProof w:val="0"/>
        </w:rPr>
        <w:t>nemá žiadny vplyv na oblasť podnikateľského, sociálneho</w:t>
      </w:r>
      <w:r>
        <w:rPr>
          <w:noProof w:val="0"/>
        </w:rPr>
        <w:t xml:space="preserve">, životného </w:t>
      </w:r>
      <w:r w:rsidRPr="00E12606">
        <w:rPr>
          <w:noProof w:val="0"/>
        </w:rPr>
        <w:t>prostredia</w:t>
      </w:r>
      <w:r>
        <w:rPr>
          <w:noProof w:val="0"/>
        </w:rPr>
        <w:t xml:space="preserve"> </w:t>
      </w:r>
      <w:r w:rsidRPr="00E12606">
        <w:rPr>
          <w:noProof w:val="0"/>
        </w:rPr>
        <w:t xml:space="preserve">a informatizácie spoločnosti. Dokonca ani stanovené </w:t>
      </w:r>
      <w:r>
        <w:rPr>
          <w:noProof w:val="0"/>
        </w:rPr>
        <w:t>merateľné ukazovatele</w:t>
      </w:r>
      <w:r w:rsidRPr="00E12606">
        <w:rPr>
          <w:noProof w:val="0"/>
        </w:rPr>
        <w:t xml:space="preserve"> programu</w:t>
      </w:r>
      <w:r>
        <w:rPr>
          <w:noProof w:val="0"/>
        </w:rPr>
        <w:t xml:space="preserve"> spolupráce </w:t>
      </w:r>
      <w:r w:rsidRPr="009B56BE">
        <w:rPr>
          <w:noProof w:val="0"/>
        </w:rPr>
        <w:t>INTERREG EUROPE</w:t>
      </w:r>
      <w:r>
        <w:rPr>
          <w:noProof w:val="0"/>
        </w:rPr>
        <w:t xml:space="preserve"> 2014 – 2020 </w:t>
      </w:r>
      <w:r w:rsidRPr="00E12606">
        <w:rPr>
          <w:noProof w:val="0"/>
        </w:rPr>
        <w:t xml:space="preserve"> nenaznačujú priamy </w:t>
      </w:r>
      <w:r w:rsidRPr="000C113E">
        <w:rPr>
          <w:noProof w:val="0"/>
        </w:rPr>
        <w:t>vplyv na jednotlivé</w:t>
      </w:r>
      <w:r w:rsidRPr="00E12606">
        <w:rPr>
          <w:noProof w:val="0"/>
        </w:rPr>
        <w:t xml:space="preserve"> prostredia.</w:t>
      </w:r>
      <w:r>
        <w:rPr>
          <w:noProof w:val="0"/>
        </w:rPr>
        <w:t xml:space="preserve"> </w:t>
      </w:r>
    </w:p>
    <w:p w:rsidR="00B16260" w:rsidRDefault="00B16260" w:rsidP="00B16260">
      <w:pPr>
        <w:jc w:val="both"/>
        <w:rPr>
          <w:b/>
          <w:szCs w:val="20"/>
        </w:rPr>
      </w:pPr>
    </w:p>
    <w:p w:rsidR="00B16260" w:rsidRDefault="00B16260" w:rsidP="00B16260">
      <w:pPr>
        <w:jc w:val="both"/>
        <w:rPr>
          <w:b/>
          <w:szCs w:val="20"/>
        </w:rPr>
      </w:pPr>
      <w:r>
        <w:rPr>
          <w:b/>
          <w:szCs w:val="20"/>
        </w:rPr>
        <w:t>A.4. Alternatívne riešenia</w:t>
      </w:r>
    </w:p>
    <w:p w:rsidR="00B16260" w:rsidRPr="005D1253" w:rsidRDefault="00B16260" w:rsidP="00B16260">
      <w:pPr>
        <w:ind w:firstLine="708"/>
        <w:jc w:val="both"/>
      </w:pPr>
      <w:r>
        <w:t>Program spolupráce</w:t>
      </w:r>
      <w:r w:rsidRPr="005D1253">
        <w:t xml:space="preserve"> INTERREG EUROPE</w:t>
      </w:r>
      <w:r>
        <w:t xml:space="preserve"> 2014 - 2020 bol</w:t>
      </w:r>
      <w:r w:rsidRPr="005D1253">
        <w:t xml:space="preserve"> ako strategický dokument s nadnárodným dosahom</w:t>
      </w:r>
      <w:r>
        <w:t xml:space="preserve"> </w:t>
      </w:r>
      <w:r w:rsidRPr="005D1253">
        <w:t xml:space="preserve">vypracovaný v jednom variantnom riešení, </w:t>
      </w:r>
      <w:r>
        <w:t>alternatívne riešenia vypracované neboli.</w:t>
      </w:r>
    </w:p>
    <w:p w:rsidR="00B16260" w:rsidRDefault="00B16260" w:rsidP="00B16260">
      <w:pPr>
        <w:jc w:val="both"/>
        <w:rPr>
          <w:b/>
          <w:szCs w:val="20"/>
        </w:rPr>
      </w:pPr>
    </w:p>
    <w:p w:rsidR="00B16260" w:rsidRDefault="00B16260" w:rsidP="00B16260">
      <w:pPr>
        <w:jc w:val="both"/>
      </w:pPr>
      <w:r>
        <w:rPr>
          <w:b/>
          <w:szCs w:val="20"/>
        </w:rPr>
        <w:t>A.5. Stanovisko gestorov</w:t>
      </w:r>
    </w:p>
    <w:p w:rsidR="00B16260" w:rsidRDefault="00B16260" w:rsidP="00B16260">
      <w:pPr>
        <w:jc w:val="both"/>
      </w:pPr>
    </w:p>
    <w:p w:rsidR="009C645C" w:rsidRDefault="009C645C" w:rsidP="009C645C">
      <w:pPr>
        <w:jc w:val="both"/>
      </w:pPr>
      <w:r>
        <w:t>Ministerstvo životného prostredia SR (odbor environmentálneho posudzovania ako gestor posudzovania návrhu za oblasť vplyvov na životné prostredie) upozornilo na vypracovanie doložky vplyvov na životné prostredie v zmysle</w:t>
      </w:r>
      <w:r w:rsidRPr="000C20E3">
        <w:rPr>
          <w:color w:val="1F497D"/>
        </w:rPr>
        <w:t xml:space="preserve"> </w:t>
      </w:r>
      <w:r w:rsidRPr="000C20E3">
        <w:t>§ 17 ods. 14 a prílohy č. 7 zákona č. 24/2006 Z. z. o posudzovaní vplyvov na životné prostredie.</w:t>
      </w:r>
    </w:p>
    <w:p w:rsidR="009C645C" w:rsidRDefault="009C645C" w:rsidP="009C645C">
      <w:pPr>
        <w:jc w:val="both"/>
      </w:pPr>
    </w:p>
    <w:p w:rsidR="009C645C" w:rsidRPr="0068613C" w:rsidRDefault="009C645C" w:rsidP="009C645C">
      <w:pPr>
        <w:jc w:val="both"/>
        <w:rPr>
          <w:i/>
        </w:rPr>
      </w:pPr>
      <w:r w:rsidRPr="0068613C">
        <w:rPr>
          <w:i/>
        </w:rPr>
        <w:t>Požadovaná doložka bola predkladateľom vypracovaná a opätovné zaslaná gestorovi na jej posúdenie, ktorý odsúhlasil predloženú doložku bez pripomienok.</w:t>
      </w:r>
    </w:p>
    <w:p w:rsidR="009C645C" w:rsidRDefault="009C645C" w:rsidP="009C645C">
      <w:pPr>
        <w:jc w:val="both"/>
      </w:pPr>
    </w:p>
    <w:p w:rsidR="009C645C" w:rsidRDefault="009C645C" w:rsidP="009C645C">
      <w:pPr>
        <w:jc w:val="both"/>
      </w:pPr>
      <w:r>
        <w:t xml:space="preserve">Ministerstvo práce, sociálnych vecí a rodiny SR (analytické centrum ako gestor posudzovania návrhu za oblasť </w:t>
      </w:r>
      <w:r w:rsidRPr="005F1D05">
        <w:t>vplyv</w:t>
      </w:r>
      <w:r>
        <w:t>ov</w:t>
      </w:r>
      <w:r w:rsidRPr="005F1D05">
        <w:t xml:space="preserve"> na hospodárenie obyvateľstva, sociálnu exklúziu, rovnosť príležitostí a rodovú rovnosť</w:t>
      </w:r>
      <w:r>
        <w:t xml:space="preserve"> </w:t>
      </w:r>
      <w:r w:rsidRPr="005F1D05">
        <w:t>a na zamestnanosť)</w:t>
      </w:r>
      <w:r>
        <w:t xml:space="preserve"> súhlasilo s doložkou vybraných vplyvov </w:t>
      </w:r>
      <w:r>
        <w:rPr>
          <w:bCs/>
        </w:rPr>
        <w:t>predloženého návrhu materiálu bez pripomienok</w:t>
      </w:r>
      <w:r>
        <w:t>.</w:t>
      </w:r>
    </w:p>
    <w:p w:rsidR="009C645C" w:rsidRDefault="009C645C" w:rsidP="009C645C">
      <w:pPr>
        <w:jc w:val="both"/>
      </w:pPr>
    </w:p>
    <w:p w:rsidR="009C645C" w:rsidRPr="00444216" w:rsidRDefault="009C645C" w:rsidP="009C645C">
      <w:pPr>
        <w:jc w:val="both"/>
        <w:rPr>
          <w:b/>
          <w:bCs/>
        </w:rPr>
      </w:pPr>
      <w:r>
        <w:t xml:space="preserve">Ministerstvo hospodárstva SR (odbor hospodárskych analýz ako gestor posudzovania návrhu za oblasť vplyvov na podnikateľské prostredie) </w:t>
      </w:r>
      <w:r w:rsidRPr="005536F9">
        <w:rPr>
          <w:bCs/>
        </w:rPr>
        <w:t>neuplatnilo pripomienky</w:t>
      </w:r>
      <w:r>
        <w:rPr>
          <w:bCs/>
        </w:rPr>
        <w:t xml:space="preserve"> k predloženému návrhu</w:t>
      </w:r>
      <w:r w:rsidRPr="005536F9">
        <w:rPr>
          <w:bCs/>
        </w:rPr>
        <w:t xml:space="preserve"> </w:t>
      </w:r>
      <w:r w:rsidRPr="005536F9">
        <w:t>a</w:t>
      </w:r>
      <w:r>
        <w:t xml:space="preserve"> súhlasilo s doložkou vybraných vplyvov.</w:t>
      </w:r>
    </w:p>
    <w:p w:rsidR="009C645C" w:rsidRDefault="009C645C" w:rsidP="009C645C">
      <w:pPr>
        <w:ind w:left="720"/>
        <w:jc w:val="both"/>
        <w:rPr>
          <w:b/>
          <w:bCs/>
        </w:rPr>
      </w:pPr>
    </w:p>
    <w:p w:rsidR="009C645C" w:rsidRPr="00444216" w:rsidRDefault="009C645C" w:rsidP="009C645C">
      <w:pPr>
        <w:jc w:val="both"/>
        <w:rPr>
          <w:b/>
          <w:bCs/>
        </w:rPr>
      </w:pPr>
      <w:r w:rsidRPr="00444216">
        <w:rPr>
          <w:color w:val="000000"/>
        </w:rPr>
        <w:t>Ministerstvo financií SR (</w:t>
      </w:r>
      <w:r>
        <w:rPr>
          <w:color w:val="000000"/>
        </w:rPr>
        <w:t>o</w:t>
      </w:r>
      <w:r w:rsidRPr="00444216">
        <w:rPr>
          <w:sz w:val="22"/>
          <w:szCs w:val="22"/>
        </w:rPr>
        <w:t>dbor legislatívy, štandardov a bezpečnosti informačných systémov</w:t>
      </w:r>
      <w:r>
        <w:t xml:space="preserve"> ako gestor posudzovania </w:t>
      </w:r>
      <w:r>
        <w:rPr>
          <w:color w:val="000000"/>
        </w:rPr>
        <w:t xml:space="preserve">návrhu za </w:t>
      </w:r>
      <w:r>
        <w:t>oblasť vplyvu na informatizáciu spoločnosti) požiadalo o dopracovanie analýzy vplyvov na informatizáciu spoločnosti</w:t>
      </w:r>
      <w:r w:rsidRPr="0068613C">
        <w:rPr>
          <w:i/>
        </w:rPr>
        <w:t>, ktorá bola predkladateľom dodatočne vypracovaná a zaslaná gestorovi na opätovné posúdenie</w:t>
      </w:r>
      <w:r>
        <w:t>. K predmetnej analýze gestor zaslal stanovisko bez pripomienok.</w:t>
      </w:r>
    </w:p>
    <w:p w:rsidR="009C645C" w:rsidRPr="00444216" w:rsidRDefault="009C645C" w:rsidP="009C645C">
      <w:pPr>
        <w:ind w:left="360"/>
        <w:jc w:val="both"/>
        <w:rPr>
          <w:b/>
          <w:bCs/>
        </w:rPr>
      </w:pPr>
    </w:p>
    <w:p w:rsidR="009C645C" w:rsidRDefault="009C645C" w:rsidP="009C645C">
      <w:pPr>
        <w:jc w:val="both"/>
        <w:rPr>
          <w:noProof w:val="0"/>
          <w:color w:val="000000"/>
        </w:rPr>
      </w:pPr>
      <w:r>
        <w:rPr>
          <w:noProof w:val="0"/>
          <w:color w:val="000000"/>
        </w:rPr>
        <w:t>Ministerstvo financií SR (sekcia rozpočtovej politiky ako gestor posudzovania návrhu za oblasť vplyvov na rozpočet verejnej správy a zamestnanosť vo verejnej správe)</w:t>
      </w:r>
      <w:r w:rsidR="00EA14B1">
        <w:rPr>
          <w:noProof w:val="0"/>
          <w:color w:val="000000"/>
        </w:rPr>
        <w:t xml:space="preserve"> zaslalo nasledovné pripomienky:</w:t>
      </w:r>
    </w:p>
    <w:p w:rsidR="00B07498" w:rsidRDefault="00B07498" w:rsidP="009C645C">
      <w:pPr>
        <w:jc w:val="both"/>
        <w:rPr>
          <w:noProof w:val="0"/>
          <w:color w:val="000000"/>
        </w:rPr>
      </w:pPr>
    </w:p>
    <w:p w:rsidR="00B07498" w:rsidRDefault="00B07498" w:rsidP="00B07498">
      <w:pPr>
        <w:jc w:val="both"/>
        <w:rPr>
          <w:noProof w:val="0"/>
          <w:color w:val="000000"/>
        </w:rPr>
      </w:pPr>
      <w:r w:rsidRPr="00B07498">
        <w:rPr>
          <w:noProof w:val="0"/>
          <w:color w:val="000000"/>
        </w:rPr>
        <w:t>Z doložky vybraných vplyvov vyplýva negatívny vplyv na rozpočet verejnej správy, a to vo výške 23 278 eur (2015) a 11 639 eur (2016 a 2017). V rámci návrhu východísk rozpočtu na roky 2015 - 2017 sa pre MH SR plánovali na tento projekt výdavky (zdroj 1AJ2 Európska územná spolupráca) vo výške 32 000 eur (2015) a 16 000 eur (2016 a 2017).</w:t>
      </w:r>
    </w:p>
    <w:p w:rsidR="00B07498" w:rsidRDefault="00B07498" w:rsidP="00B07498">
      <w:pPr>
        <w:jc w:val="both"/>
        <w:rPr>
          <w:noProof w:val="0"/>
          <w:color w:val="000000"/>
        </w:rPr>
      </w:pPr>
    </w:p>
    <w:p w:rsidR="008664B4" w:rsidRPr="008664B4" w:rsidRDefault="00FA745A" w:rsidP="008664B4">
      <w:pPr>
        <w:jc w:val="both"/>
        <w:rPr>
          <w:bCs/>
          <w:noProof w:val="0"/>
        </w:rPr>
      </w:pPr>
      <w:r w:rsidRPr="004D60D6">
        <w:rPr>
          <w:i/>
          <w:noProof w:val="0"/>
          <w:color w:val="000000"/>
        </w:rPr>
        <w:t>Vstupy pre vypracovanie návrhu východísk rozpočtu</w:t>
      </w:r>
      <w:r w:rsidR="008D0F32">
        <w:rPr>
          <w:i/>
          <w:noProof w:val="0"/>
          <w:color w:val="000000"/>
        </w:rPr>
        <w:t xml:space="preserve"> verejnej správy na roky 2015 - 2017</w:t>
      </w:r>
      <w:r w:rsidRPr="004D60D6">
        <w:rPr>
          <w:i/>
          <w:noProof w:val="0"/>
          <w:color w:val="000000"/>
        </w:rPr>
        <w:t xml:space="preserve"> zaslané v súlade s požiadavkou MF SR vo februári 2014 vychádzali z údajov, ktoré malo MH SR </w:t>
      </w:r>
      <w:r w:rsidR="008D0F32">
        <w:rPr>
          <w:i/>
          <w:noProof w:val="0"/>
          <w:color w:val="000000"/>
        </w:rPr>
        <w:lastRenderedPageBreak/>
        <w:t>k dispozícii</w:t>
      </w:r>
      <w:r w:rsidRPr="004D60D6">
        <w:rPr>
          <w:i/>
          <w:noProof w:val="0"/>
          <w:color w:val="000000"/>
        </w:rPr>
        <w:t xml:space="preserve"> v danej </w:t>
      </w:r>
      <w:r w:rsidR="00AE0026" w:rsidRPr="004D60D6">
        <w:rPr>
          <w:i/>
          <w:noProof w:val="0"/>
          <w:color w:val="000000"/>
        </w:rPr>
        <w:t>fáze prípravy nového programu</w:t>
      </w:r>
      <w:r w:rsidR="004D60D6">
        <w:rPr>
          <w:i/>
          <w:noProof w:val="0"/>
          <w:color w:val="000000"/>
        </w:rPr>
        <w:t xml:space="preserve"> spolupráce</w:t>
      </w:r>
      <w:r w:rsidR="00AE0026" w:rsidRPr="004D60D6">
        <w:rPr>
          <w:i/>
          <w:noProof w:val="0"/>
          <w:color w:val="000000"/>
        </w:rPr>
        <w:t>. V rámci negociácií na nadnárodnej úrovni došlo k úprave národných príspevkov jednotlivých štátov</w:t>
      </w:r>
      <w:r w:rsidR="004D60D6" w:rsidRPr="004D60D6">
        <w:rPr>
          <w:i/>
          <w:noProof w:val="0"/>
          <w:color w:val="000000"/>
        </w:rPr>
        <w:t>, pričom v</w:t>
      </w:r>
      <w:r w:rsidR="004D60D6" w:rsidRPr="004D60D6">
        <w:rPr>
          <w:bCs/>
          <w:i/>
          <w:noProof w:val="0"/>
        </w:rPr>
        <w:t>ýpočet povinného národného príspevku bol stanovený podľa počtu obyvateľov krajiny vychádzajúc z údajov z roku 2012. Následne bola výška povinného národného príspevku odsúhlasená/schválená na zasadnutí nadnárodného Programovacieho výboru</w:t>
      </w:r>
      <w:r w:rsidR="0006331B">
        <w:rPr>
          <w:bCs/>
          <w:i/>
          <w:noProof w:val="0"/>
        </w:rPr>
        <w:t xml:space="preserve"> dňa 07. 05. 2014</w:t>
      </w:r>
      <w:r w:rsidR="004B24FE">
        <w:rPr>
          <w:i/>
          <w:noProof w:val="0"/>
        </w:rPr>
        <w:t xml:space="preserve">. </w:t>
      </w:r>
      <w:r w:rsidR="00A62CCA">
        <w:rPr>
          <w:i/>
          <w:noProof w:val="0"/>
        </w:rPr>
        <w:t xml:space="preserve">Výška národného príspevku SR je uvedená v prílohe č. 2 k materiálu.  </w:t>
      </w:r>
      <w:r w:rsidR="004B24FE">
        <w:rPr>
          <w:i/>
          <w:noProof w:val="0"/>
        </w:rPr>
        <w:t xml:space="preserve">Vzhľadom na prebiehajúcu aktualizáciu návrhu východísk rozpočtu verejnej správy na roky 2015 – 2017 </w:t>
      </w:r>
      <w:r w:rsidR="00EA4554">
        <w:rPr>
          <w:i/>
          <w:noProof w:val="0"/>
        </w:rPr>
        <w:t xml:space="preserve">v súvislosti s prípravou rozpočtu verejnej správy na roky 2015 – 2017 MH SR poskytne aktuálne údaje týkajúce sa </w:t>
      </w:r>
      <w:r w:rsidR="0080524B">
        <w:rPr>
          <w:i/>
          <w:noProof w:val="0"/>
        </w:rPr>
        <w:t>národného príspevku</w:t>
      </w:r>
      <w:r w:rsidR="00EA4554">
        <w:rPr>
          <w:i/>
          <w:noProof w:val="0"/>
        </w:rPr>
        <w:t xml:space="preserve"> </w:t>
      </w:r>
      <w:r w:rsidR="008664B4">
        <w:rPr>
          <w:i/>
          <w:noProof w:val="0"/>
        </w:rPr>
        <w:t xml:space="preserve">vo výške uvedenej v tabuľke č. </w:t>
      </w:r>
      <w:r w:rsidR="008664B4" w:rsidRPr="008664B4">
        <w:rPr>
          <w:i/>
          <w:noProof w:val="0"/>
        </w:rPr>
        <w:t>1 v</w:t>
      </w:r>
      <w:r w:rsidR="00287ECF">
        <w:rPr>
          <w:i/>
          <w:noProof w:val="0"/>
        </w:rPr>
        <w:t xml:space="preserve"> analýze </w:t>
      </w:r>
      <w:r w:rsidR="008664B4" w:rsidRPr="008664B4">
        <w:rPr>
          <w:i/>
          <w:noProof w:val="0"/>
        </w:rPr>
        <w:t>doložk</w:t>
      </w:r>
      <w:r w:rsidR="00287ECF">
        <w:rPr>
          <w:i/>
          <w:noProof w:val="0"/>
        </w:rPr>
        <w:t>y</w:t>
      </w:r>
      <w:r w:rsidR="008664B4" w:rsidRPr="008664B4">
        <w:rPr>
          <w:i/>
          <w:noProof w:val="0"/>
        </w:rPr>
        <w:t xml:space="preserve"> v</w:t>
      </w:r>
      <w:r w:rsidR="008664B4" w:rsidRPr="008664B4">
        <w:rPr>
          <w:bCs/>
          <w:i/>
          <w:noProof w:val="0"/>
        </w:rPr>
        <w:t>plyv</w:t>
      </w:r>
      <w:r w:rsidR="008664B4" w:rsidRPr="008664B4">
        <w:rPr>
          <w:bCs/>
          <w:i/>
          <w:noProof w:val="0"/>
        </w:rPr>
        <w:t>ov</w:t>
      </w:r>
      <w:r w:rsidR="008664B4" w:rsidRPr="008664B4">
        <w:rPr>
          <w:bCs/>
          <w:i/>
          <w:noProof w:val="0"/>
        </w:rPr>
        <w:t xml:space="preserve"> na rozpočet verejnej správy</w:t>
      </w:r>
      <w:r w:rsidR="00287ECF">
        <w:rPr>
          <w:bCs/>
          <w:i/>
          <w:noProof w:val="0"/>
        </w:rPr>
        <w:t xml:space="preserve">. </w:t>
      </w:r>
    </w:p>
    <w:p w:rsidR="004D60D6" w:rsidRPr="004D60D6" w:rsidRDefault="004D60D6" w:rsidP="004D60D6">
      <w:pPr>
        <w:jc w:val="both"/>
        <w:rPr>
          <w:i/>
          <w:noProof w:val="0"/>
          <w:color w:val="000000"/>
        </w:rPr>
      </w:pPr>
    </w:p>
    <w:p w:rsidR="00B07498" w:rsidRPr="00B07498" w:rsidRDefault="00B07498" w:rsidP="00B07498">
      <w:pPr>
        <w:jc w:val="both"/>
        <w:rPr>
          <w:noProof w:val="0"/>
          <w:color w:val="000000"/>
        </w:rPr>
      </w:pPr>
      <w:r w:rsidRPr="00B07498">
        <w:rPr>
          <w:noProof w:val="0"/>
          <w:color w:val="000000"/>
        </w:rPr>
        <w:t>Kapitola MH SR nemá v návrhu rozpočtu na rok 2015 – 2017 v programovej štruktúre vytvorený osobitný prvok na INTERREG EUROPE 2014 - 2020, výdavky na spolufinancovanie v rámci 3. programového obdobia sú rozpočtované na zdroji 1AJ2 v celkovej sume 118 676 eur (2015) a 58 339 eur (2016 a 2017), a to na prvkoch k 2. programovému obdobiu 07K 0B 01 Technická asistencia  INTERREG IVC a 07K 0C 01 Technická asistencia INTERACT II. Z uvedeného vyplýva, že tieto údaje nie sú v súlade s výdavkami, ktoré sú kvantifikované v predloženom materiáli. Žiadame to zosúladiť a dopracovať aj všetky relevantné tabuľky analýzy vplyvov na rozpočet verejnej správy v zmysle aktualizovanej Jednotnej metodiky na posudzovanie vybraných vplyvov.</w:t>
      </w:r>
    </w:p>
    <w:p w:rsidR="00B07498" w:rsidRDefault="00B07498" w:rsidP="00B07498">
      <w:pPr>
        <w:jc w:val="both"/>
        <w:rPr>
          <w:noProof w:val="0"/>
          <w:color w:val="000000"/>
        </w:rPr>
      </w:pPr>
    </w:p>
    <w:p w:rsidR="00B07498" w:rsidRPr="00872731" w:rsidRDefault="00377DF2" w:rsidP="00377DF2">
      <w:pPr>
        <w:jc w:val="both"/>
        <w:rPr>
          <w:i/>
          <w:noProof w:val="0"/>
        </w:rPr>
      </w:pPr>
      <w:r w:rsidRPr="00872731">
        <w:rPr>
          <w:i/>
          <w:noProof w:val="0"/>
        </w:rPr>
        <w:t>U</w:t>
      </w:r>
      <w:r w:rsidRPr="00872731">
        <w:rPr>
          <w:i/>
          <w:noProof w:val="0"/>
        </w:rPr>
        <w:t>veden</w:t>
      </w:r>
      <w:r w:rsidRPr="00872731">
        <w:rPr>
          <w:i/>
          <w:noProof w:val="0"/>
        </w:rPr>
        <w:t>é</w:t>
      </w:r>
      <w:r w:rsidRPr="00872731">
        <w:rPr>
          <w:i/>
          <w:noProof w:val="0"/>
        </w:rPr>
        <w:t xml:space="preserve"> finan</w:t>
      </w:r>
      <w:r w:rsidRPr="00872731">
        <w:rPr>
          <w:i/>
          <w:noProof w:val="0"/>
        </w:rPr>
        <w:t>čné</w:t>
      </w:r>
      <w:r w:rsidRPr="00872731">
        <w:rPr>
          <w:i/>
          <w:noProof w:val="0"/>
        </w:rPr>
        <w:t xml:space="preserve"> prostriedky </w:t>
      </w:r>
      <w:r w:rsidRPr="00872731">
        <w:rPr>
          <w:i/>
          <w:noProof w:val="0"/>
        </w:rPr>
        <w:t xml:space="preserve">pre program </w:t>
      </w:r>
      <w:r w:rsidR="00B81345" w:rsidRPr="00872731">
        <w:rPr>
          <w:i/>
          <w:noProof w:val="0"/>
        </w:rPr>
        <w:t xml:space="preserve">spolupráce </w:t>
      </w:r>
      <w:r w:rsidRPr="00872731">
        <w:rPr>
          <w:i/>
          <w:noProof w:val="0"/>
        </w:rPr>
        <w:t xml:space="preserve">INTERREG EUROPE 2014 - 2020 </w:t>
      </w:r>
      <w:r w:rsidR="00872731" w:rsidRPr="00872731">
        <w:rPr>
          <w:i/>
          <w:noProof w:val="0"/>
        </w:rPr>
        <w:t xml:space="preserve">má </w:t>
      </w:r>
      <w:r w:rsidR="008D0F32">
        <w:rPr>
          <w:i/>
          <w:noProof w:val="0"/>
        </w:rPr>
        <w:t>MH </w:t>
      </w:r>
      <w:r w:rsidR="00872731" w:rsidRPr="00872731">
        <w:rPr>
          <w:i/>
          <w:noProof w:val="0"/>
        </w:rPr>
        <w:t xml:space="preserve">SR </w:t>
      </w:r>
      <w:proofErr w:type="spellStart"/>
      <w:r w:rsidRPr="00872731">
        <w:rPr>
          <w:i/>
          <w:noProof w:val="0"/>
        </w:rPr>
        <w:t>narozpo</w:t>
      </w:r>
      <w:r w:rsidRPr="00872731">
        <w:rPr>
          <w:i/>
          <w:noProof w:val="0"/>
        </w:rPr>
        <w:t>č</w:t>
      </w:r>
      <w:r w:rsidRPr="00872731">
        <w:rPr>
          <w:i/>
          <w:noProof w:val="0"/>
        </w:rPr>
        <w:t>tovan</w:t>
      </w:r>
      <w:r w:rsidRPr="00872731">
        <w:rPr>
          <w:i/>
          <w:noProof w:val="0"/>
        </w:rPr>
        <w:t>é</w:t>
      </w:r>
      <w:proofErr w:type="spellEnd"/>
      <w:r w:rsidRPr="00872731">
        <w:rPr>
          <w:i/>
          <w:noProof w:val="0"/>
        </w:rPr>
        <w:t xml:space="preserve"> na prvk</w:t>
      </w:r>
      <w:r w:rsidRPr="00872731">
        <w:rPr>
          <w:i/>
          <w:noProof w:val="0"/>
        </w:rPr>
        <w:t>u</w:t>
      </w:r>
      <w:r w:rsidRPr="00872731">
        <w:rPr>
          <w:i/>
          <w:noProof w:val="0"/>
        </w:rPr>
        <w:t xml:space="preserve"> k 2. programovému obdobiu 07K 0B 01 Technická asistencia  INTERREG IVC</w:t>
      </w:r>
      <w:r w:rsidRPr="00872731">
        <w:rPr>
          <w:i/>
          <w:noProof w:val="0"/>
        </w:rPr>
        <w:t>, keďže</w:t>
      </w:r>
      <w:r w:rsidRPr="00872731">
        <w:rPr>
          <w:i/>
          <w:noProof w:val="0"/>
        </w:rPr>
        <w:t xml:space="preserve"> nov</w:t>
      </w:r>
      <w:r w:rsidRPr="00872731">
        <w:rPr>
          <w:i/>
          <w:noProof w:val="0"/>
        </w:rPr>
        <w:t xml:space="preserve">á štruktúra bude vytvorená </w:t>
      </w:r>
      <w:r w:rsidRPr="00872731">
        <w:rPr>
          <w:i/>
          <w:noProof w:val="0"/>
        </w:rPr>
        <w:t>a</w:t>
      </w:r>
      <w:r w:rsidRPr="00872731">
        <w:rPr>
          <w:i/>
          <w:noProof w:val="0"/>
        </w:rPr>
        <w:t>ž</w:t>
      </w:r>
      <w:r w:rsidRPr="00872731">
        <w:rPr>
          <w:i/>
          <w:noProof w:val="0"/>
        </w:rPr>
        <w:t xml:space="preserve"> </w:t>
      </w:r>
      <w:r w:rsidRPr="00872731">
        <w:rPr>
          <w:i/>
          <w:noProof w:val="0"/>
        </w:rPr>
        <w:t xml:space="preserve">po schválení programu spolupráce INTERREG EUROPE </w:t>
      </w:r>
      <w:r w:rsidR="00B81345" w:rsidRPr="00872731">
        <w:rPr>
          <w:i/>
          <w:noProof w:val="0"/>
        </w:rPr>
        <w:t>2014 – 2020 vládou SR. Následne budú finančné</w:t>
      </w:r>
      <w:r w:rsidR="00B81345" w:rsidRPr="00872731">
        <w:rPr>
          <w:i/>
          <w:noProof w:val="0"/>
        </w:rPr>
        <w:t xml:space="preserve"> prostriedky</w:t>
      </w:r>
      <w:r w:rsidR="00B81345" w:rsidRPr="00872731">
        <w:rPr>
          <w:i/>
          <w:noProof w:val="0"/>
        </w:rPr>
        <w:t xml:space="preserve"> v zodpovedajúcej výške </w:t>
      </w:r>
      <w:r w:rsidR="00B81345" w:rsidRPr="00872731">
        <w:rPr>
          <w:i/>
          <w:noProof w:val="0"/>
        </w:rPr>
        <w:t>presunut</w:t>
      </w:r>
      <w:r w:rsidR="00B81345" w:rsidRPr="00872731">
        <w:rPr>
          <w:i/>
          <w:noProof w:val="0"/>
        </w:rPr>
        <w:t>é</w:t>
      </w:r>
      <w:r w:rsidR="00B81345" w:rsidRPr="00872731">
        <w:rPr>
          <w:i/>
          <w:noProof w:val="0"/>
        </w:rPr>
        <w:t xml:space="preserve"> </w:t>
      </w:r>
      <w:r w:rsidR="00B81345" w:rsidRPr="00872731">
        <w:rPr>
          <w:i/>
          <w:noProof w:val="0"/>
        </w:rPr>
        <w:t xml:space="preserve">do novej štruktúry </w:t>
      </w:r>
      <w:r w:rsidR="00B81345" w:rsidRPr="00872731">
        <w:rPr>
          <w:i/>
          <w:noProof w:val="0"/>
        </w:rPr>
        <w:t>a star</w:t>
      </w:r>
      <w:r w:rsidR="00B81345" w:rsidRPr="00872731">
        <w:rPr>
          <w:i/>
          <w:noProof w:val="0"/>
        </w:rPr>
        <w:t>á</w:t>
      </w:r>
      <w:r w:rsidR="00B81345" w:rsidRPr="00872731">
        <w:rPr>
          <w:i/>
          <w:noProof w:val="0"/>
        </w:rPr>
        <w:t xml:space="preserve"> </w:t>
      </w:r>
      <w:r w:rsidR="00B81345" w:rsidRPr="00872731">
        <w:rPr>
          <w:i/>
          <w:noProof w:val="0"/>
        </w:rPr>
        <w:t>š</w:t>
      </w:r>
      <w:r w:rsidR="00B81345" w:rsidRPr="00872731">
        <w:rPr>
          <w:i/>
          <w:noProof w:val="0"/>
        </w:rPr>
        <w:t>trukt</w:t>
      </w:r>
      <w:r w:rsidR="00B81345" w:rsidRPr="00872731">
        <w:rPr>
          <w:i/>
          <w:noProof w:val="0"/>
        </w:rPr>
        <w:t>ú</w:t>
      </w:r>
      <w:r w:rsidR="00B81345" w:rsidRPr="00872731">
        <w:rPr>
          <w:i/>
          <w:noProof w:val="0"/>
        </w:rPr>
        <w:t>ra bude ukon</w:t>
      </w:r>
      <w:r w:rsidR="00B81345" w:rsidRPr="00872731">
        <w:rPr>
          <w:i/>
          <w:noProof w:val="0"/>
        </w:rPr>
        <w:t>č</w:t>
      </w:r>
      <w:r w:rsidR="00B81345" w:rsidRPr="00872731">
        <w:rPr>
          <w:i/>
          <w:noProof w:val="0"/>
        </w:rPr>
        <w:t>en</w:t>
      </w:r>
      <w:r w:rsidR="00B81345" w:rsidRPr="00872731">
        <w:rPr>
          <w:i/>
          <w:noProof w:val="0"/>
        </w:rPr>
        <w:t xml:space="preserve">á. </w:t>
      </w:r>
      <w:r w:rsidR="00872731">
        <w:rPr>
          <w:i/>
          <w:noProof w:val="0"/>
        </w:rPr>
        <w:t xml:space="preserve">V súvislosti s rozdielnymi údajmi týkajúcimi sa výšky národného príspevku pozri vysvetlenie vyššie. </w:t>
      </w:r>
      <w:r w:rsidR="0085154D">
        <w:rPr>
          <w:i/>
          <w:noProof w:val="0"/>
        </w:rPr>
        <w:t xml:space="preserve">V nadväznosti na požiadavku dopracovať </w:t>
      </w:r>
      <w:r w:rsidR="00872731">
        <w:rPr>
          <w:i/>
          <w:noProof w:val="0"/>
        </w:rPr>
        <w:t>relevantn</w:t>
      </w:r>
      <w:r w:rsidR="0085154D">
        <w:rPr>
          <w:i/>
          <w:noProof w:val="0"/>
        </w:rPr>
        <w:t>é</w:t>
      </w:r>
      <w:r w:rsidR="00872731">
        <w:rPr>
          <w:i/>
          <w:noProof w:val="0"/>
        </w:rPr>
        <w:t xml:space="preserve"> tab</w:t>
      </w:r>
      <w:r w:rsidR="0085154D">
        <w:rPr>
          <w:i/>
          <w:noProof w:val="0"/>
        </w:rPr>
        <w:t>uľky</w:t>
      </w:r>
      <w:r w:rsidR="00872731">
        <w:rPr>
          <w:i/>
          <w:noProof w:val="0"/>
        </w:rPr>
        <w:t xml:space="preserve"> analýzy vplyvov </w:t>
      </w:r>
      <w:r w:rsidR="00872731" w:rsidRPr="00872731">
        <w:rPr>
          <w:i/>
          <w:noProof w:val="0"/>
        </w:rPr>
        <w:t xml:space="preserve">na </w:t>
      </w:r>
      <w:r w:rsidR="00872731" w:rsidRPr="00872731">
        <w:rPr>
          <w:i/>
          <w:noProof w:val="0"/>
          <w:color w:val="000000"/>
        </w:rPr>
        <w:t>rozpočet verejnej správy</w:t>
      </w:r>
      <w:r w:rsidR="00B81345" w:rsidRPr="00872731">
        <w:rPr>
          <w:i/>
          <w:noProof w:val="0"/>
        </w:rPr>
        <w:t xml:space="preserve"> </w:t>
      </w:r>
      <w:r w:rsidR="00872731">
        <w:rPr>
          <w:i/>
          <w:noProof w:val="0"/>
        </w:rPr>
        <w:t>bol</w:t>
      </w:r>
      <w:r w:rsidR="001713FD">
        <w:rPr>
          <w:i/>
          <w:noProof w:val="0"/>
        </w:rPr>
        <w:t xml:space="preserve">a </w:t>
      </w:r>
      <w:r w:rsidR="0085154D">
        <w:rPr>
          <w:i/>
          <w:noProof w:val="0"/>
        </w:rPr>
        <w:t xml:space="preserve">do predmetnej analýzy </w:t>
      </w:r>
      <w:r w:rsidR="001713FD">
        <w:rPr>
          <w:i/>
          <w:noProof w:val="0"/>
        </w:rPr>
        <w:t>doplnená</w:t>
      </w:r>
      <w:r w:rsidR="00872731">
        <w:rPr>
          <w:i/>
          <w:noProof w:val="0"/>
        </w:rPr>
        <w:t xml:space="preserve"> tabuľk</w:t>
      </w:r>
      <w:r w:rsidR="001713FD">
        <w:rPr>
          <w:i/>
          <w:noProof w:val="0"/>
        </w:rPr>
        <w:t>a</w:t>
      </w:r>
      <w:r w:rsidR="00872731">
        <w:rPr>
          <w:i/>
          <w:noProof w:val="0"/>
        </w:rPr>
        <w:t xml:space="preserve"> č. 5</w:t>
      </w:r>
      <w:r w:rsidR="001713FD">
        <w:rPr>
          <w:i/>
          <w:noProof w:val="0"/>
        </w:rPr>
        <w:t>.</w:t>
      </w:r>
    </w:p>
    <w:p w:rsidR="00B07498" w:rsidRDefault="00B07498" w:rsidP="00B07498">
      <w:pPr>
        <w:jc w:val="both"/>
        <w:rPr>
          <w:noProof w:val="0"/>
          <w:color w:val="000000"/>
        </w:rPr>
      </w:pPr>
    </w:p>
    <w:p w:rsidR="00B07498" w:rsidRPr="00B07498" w:rsidRDefault="00B07498" w:rsidP="00B07498">
      <w:pPr>
        <w:jc w:val="both"/>
        <w:rPr>
          <w:noProof w:val="0"/>
          <w:color w:val="000000"/>
        </w:rPr>
      </w:pPr>
      <w:r w:rsidRPr="00B07498">
        <w:rPr>
          <w:noProof w:val="0"/>
          <w:color w:val="000000"/>
        </w:rPr>
        <w:t>Text uvedený v „Návrhu na riešenie úbytku príjmov alebo zvýšených výdavkov podľa §33 ods. 1 zákona č. 523/200 Z. z. o rozpočtových pravidlách verejnej správy“ odporúčame uviesť v doložke vybraných do časti A. 3 Poznámky.</w:t>
      </w:r>
    </w:p>
    <w:p w:rsidR="00EA14B1" w:rsidRDefault="00EA14B1" w:rsidP="009C645C">
      <w:pPr>
        <w:jc w:val="both"/>
        <w:rPr>
          <w:noProof w:val="0"/>
          <w:color w:val="000000"/>
        </w:rPr>
      </w:pPr>
    </w:p>
    <w:p w:rsidR="00B07498" w:rsidRPr="00FA745A" w:rsidRDefault="00B07498" w:rsidP="009C645C">
      <w:pPr>
        <w:jc w:val="both"/>
        <w:rPr>
          <w:i/>
          <w:noProof w:val="0"/>
          <w:color w:val="000000"/>
        </w:rPr>
      </w:pPr>
      <w:r w:rsidRPr="00FA745A">
        <w:rPr>
          <w:i/>
          <w:noProof w:val="0"/>
          <w:color w:val="000000"/>
        </w:rPr>
        <w:t>Uvedená pripomienk</w:t>
      </w:r>
      <w:r w:rsidR="0080524B">
        <w:rPr>
          <w:i/>
          <w:noProof w:val="0"/>
          <w:color w:val="000000"/>
        </w:rPr>
        <w:t>a</w:t>
      </w:r>
      <w:r w:rsidRPr="00FA745A">
        <w:rPr>
          <w:i/>
          <w:noProof w:val="0"/>
          <w:color w:val="000000"/>
        </w:rPr>
        <w:t xml:space="preserve"> bola akceptovaná a text bol do požadov</w:t>
      </w:r>
      <w:r w:rsidR="0085154D">
        <w:rPr>
          <w:i/>
          <w:noProof w:val="0"/>
          <w:color w:val="000000"/>
        </w:rPr>
        <w:t>a</w:t>
      </w:r>
      <w:r w:rsidRPr="00FA745A">
        <w:rPr>
          <w:i/>
          <w:noProof w:val="0"/>
          <w:color w:val="000000"/>
        </w:rPr>
        <w:t>nej časti zapracovaný.</w:t>
      </w:r>
    </w:p>
    <w:p w:rsidR="001B6D19" w:rsidRPr="001B6D19" w:rsidRDefault="001B6D19" w:rsidP="001B6D19">
      <w:pPr>
        <w:jc w:val="both"/>
        <w:rPr>
          <w:b/>
          <w:bCs/>
          <w:noProof w:val="0"/>
        </w:rPr>
      </w:pPr>
    </w:p>
    <w:p w:rsidR="002634BC" w:rsidRPr="00983522" w:rsidRDefault="00983522" w:rsidP="001B6D19">
      <w:pPr>
        <w:jc w:val="both"/>
        <w:rPr>
          <w:bCs/>
          <w:i/>
          <w:noProof w:val="0"/>
        </w:rPr>
      </w:pPr>
      <w:r w:rsidRPr="00983522">
        <w:rPr>
          <w:bCs/>
          <w:i/>
          <w:noProof w:val="0"/>
        </w:rPr>
        <w:t xml:space="preserve">Predmetné vyjadrenia </w:t>
      </w:r>
      <w:r w:rsidR="000D4516">
        <w:rPr>
          <w:bCs/>
          <w:i/>
          <w:noProof w:val="0"/>
        </w:rPr>
        <w:t xml:space="preserve">predkladateľa </w:t>
      </w:r>
      <w:r w:rsidRPr="00983522">
        <w:rPr>
          <w:bCs/>
          <w:i/>
          <w:noProof w:val="0"/>
        </w:rPr>
        <w:t>boli zaslané gestorovi</w:t>
      </w:r>
      <w:r w:rsidR="000D4516">
        <w:rPr>
          <w:bCs/>
          <w:i/>
          <w:noProof w:val="0"/>
        </w:rPr>
        <w:t xml:space="preserve"> dňa 13. 06. 2014</w:t>
      </w:r>
      <w:r w:rsidRPr="00983522">
        <w:rPr>
          <w:bCs/>
          <w:i/>
          <w:noProof w:val="0"/>
        </w:rPr>
        <w:t>.</w:t>
      </w:r>
    </w:p>
    <w:p w:rsidR="00B16260" w:rsidRPr="002634BC" w:rsidRDefault="002634BC" w:rsidP="002634BC">
      <w:pPr>
        <w:ind w:left="720"/>
        <w:jc w:val="both"/>
        <w:rPr>
          <w:b/>
          <w:bCs/>
          <w:noProof w:val="0"/>
        </w:rPr>
      </w:pPr>
      <w:r w:rsidRPr="005536F9">
        <w:rPr>
          <w:b/>
          <w:bCs/>
          <w:noProof w:val="0"/>
        </w:rPr>
        <w:br w:type="page"/>
      </w:r>
    </w:p>
    <w:p w:rsidR="00B16260" w:rsidRDefault="00B16260" w:rsidP="00B16260">
      <w:pPr>
        <w:rPr>
          <w:b/>
          <w:bCs/>
        </w:rPr>
      </w:pPr>
    </w:p>
    <w:p w:rsidR="00B16260" w:rsidRPr="006F6A99" w:rsidRDefault="00B16260" w:rsidP="00B16260">
      <w:pPr>
        <w:jc w:val="center"/>
        <w:rPr>
          <w:b/>
          <w:bCs/>
          <w:sz w:val="28"/>
          <w:szCs w:val="28"/>
        </w:rPr>
      </w:pPr>
      <w:r w:rsidRPr="006F6A99">
        <w:rPr>
          <w:b/>
          <w:bCs/>
          <w:sz w:val="28"/>
          <w:szCs w:val="28"/>
        </w:rPr>
        <w:t>Vplyvy na rozpočet verejnej správy,</w:t>
      </w:r>
    </w:p>
    <w:p w:rsidR="00B16260" w:rsidRPr="006F6A99" w:rsidRDefault="00B16260" w:rsidP="00B16260">
      <w:pPr>
        <w:jc w:val="center"/>
        <w:rPr>
          <w:b/>
          <w:bCs/>
          <w:sz w:val="28"/>
          <w:szCs w:val="28"/>
        </w:rPr>
      </w:pPr>
      <w:r w:rsidRPr="006F6A99">
        <w:rPr>
          <w:b/>
          <w:bCs/>
          <w:sz w:val="28"/>
          <w:szCs w:val="28"/>
        </w:rPr>
        <w:t>na zamestnanosť vo verejnej správe a financovanie návrhu</w:t>
      </w:r>
    </w:p>
    <w:p w:rsidR="00B16260" w:rsidRPr="006F6A99" w:rsidRDefault="00B16260" w:rsidP="00B16260"/>
    <w:p w:rsidR="00B16260" w:rsidRDefault="00B16260" w:rsidP="00B16260">
      <w:pPr>
        <w:rPr>
          <w:b/>
        </w:rPr>
      </w:pPr>
      <w:r w:rsidRPr="00E81C4E">
        <w:rPr>
          <w:b/>
        </w:rPr>
        <w:t>2.1. Zhrnutie vplyvov na rozpočet verejnej správy v návrhu</w:t>
      </w:r>
    </w:p>
    <w:p w:rsidR="00B16260" w:rsidRDefault="00B16260" w:rsidP="00B16260">
      <w:pPr>
        <w:rPr>
          <w:b/>
        </w:rPr>
      </w:pPr>
    </w:p>
    <w:p w:rsidR="00B16260" w:rsidRDefault="00B16260" w:rsidP="00B16260">
      <w:pPr>
        <w:pStyle w:val="Normlnywebov"/>
        <w:spacing w:before="0" w:beforeAutospacing="0" w:after="0" w:afterAutospacing="0"/>
        <w:jc w:val="both"/>
      </w:pPr>
      <w:r>
        <w:rPr>
          <w:b/>
          <w:bCs/>
        </w:rPr>
        <w:t xml:space="preserve">Odhad </w:t>
      </w:r>
      <w:r w:rsidRPr="000D12B4">
        <w:rPr>
          <w:b/>
          <w:bCs/>
        </w:rPr>
        <w:t>vplyvov n</w:t>
      </w:r>
      <w:r>
        <w:rPr>
          <w:b/>
          <w:bCs/>
        </w:rPr>
        <w:t>a verejné financie</w:t>
      </w:r>
    </w:p>
    <w:p w:rsidR="00B16260" w:rsidRDefault="00B16260" w:rsidP="00B16260">
      <w:pPr>
        <w:pStyle w:val="Normlnywebov"/>
        <w:spacing w:before="0" w:beforeAutospacing="0" w:after="0" w:afterAutospacing="0"/>
        <w:jc w:val="both"/>
      </w:pPr>
      <w:r>
        <w:t> </w:t>
      </w:r>
    </w:p>
    <w:p w:rsidR="00B16260" w:rsidRDefault="00B16260" w:rsidP="00B16260">
      <w:pPr>
        <w:ind w:firstLine="360"/>
        <w:jc w:val="both"/>
      </w:pPr>
      <w:r w:rsidRPr="005A2CFA">
        <w:t xml:space="preserve">Schválenie predkladaného návrhu programu </w:t>
      </w:r>
      <w:r>
        <w:t xml:space="preserve">spolupráce </w:t>
      </w:r>
      <w:r w:rsidRPr="005A2CFA">
        <w:t>INTERREG EUROPE</w:t>
      </w:r>
      <w:r>
        <w:t xml:space="preserve"> 2014 – 2020</w:t>
      </w:r>
      <w:r w:rsidRPr="005A2CFA">
        <w:t xml:space="preserve"> </w:t>
      </w:r>
      <w:r w:rsidRPr="005A2CFA">
        <w:rPr>
          <w:b/>
        </w:rPr>
        <w:t xml:space="preserve">predpokladá </w:t>
      </w:r>
      <w:r w:rsidRPr="000D12B4">
        <w:rPr>
          <w:b/>
        </w:rPr>
        <w:t>negatívny vplyv</w:t>
      </w:r>
      <w:r w:rsidRPr="005A2CFA">
        <w:rPr>
          <w:b/>
        </w:rPr>
        <w:t xml:space="preserve"> na štátny rozpočet</w:t>
      </w:r>
      <w:r>
        <w:rPr>
          <w:b/>
        </w:rPr>
        <w:t xml:space="preserve"> SR v programovom období 2014 – 2020</w:t>
      </w:r>
      <w:r>
        <w:t>. F</w:t>
      </w:r>
      <w:r w:rsidRPr="005A2CFA">
        <w:t xml:space="preserve">inančné prostriedky budú použité na úhradu povinného národného príspevku na Technickú </w:t>
      </w:r>
      <w:r>
        <w:t xml:space="preserve">pomoc, ktorý v celkovej výške predstavuje pre Slovenskú republiku (ďalej len „SR“) </w:t>
      </w:r>
      <w:r w:rsidRPr="004833E2">
        <w:rPr>
          <w:b/>
        </w:rPr>
        <w:t>81</w:t>
      </w:r>
      <w:r>
        <w:rPr>
          <w:b/>
        </w:rPr>
        <w:t> </w:t>
      </w:r>
      <w:r w:rsidRPr="004833E2">
        <w:rPr>
          <w:b/>
        </w:rPr>
        <w:t>471</w:t>
      </w:r>
      <w:r>
        <w:rPr>
          <w:b/>
        </w:rPr>
        <w:t>,-</w:t>
      </w:r>
      <w:r w:rsidRPr="004833E2">
        <w:rPr>
          <w:b/>
        </w:rPr>
        <w:t xml:space="preserve"> EUR</w:t>
      </w:r>
      <w:r>
        <w:t xml:space="preserve"> na celé programové obdobie. Povinný národný príspevok sa bude uhrádzať v 7 ročných splátkach. </w:t>
      </w:r>
    </w:p>
    <w:p w:rsidR="00B16260" w:rsidRDefault="00B16260" w:rsidP="00B16260">
      <w:pPr>
        <w:jc w:val="both"/>
      </w:pPr>
    </w:p>
    <w:p w:rsidR="00B16260" w:rsidRDefault="00B16260" w:rsidP="00B16260">
      <w:pPr>
        <w:ind w:firstLine="360"/>
        <w:jc w:val="both"/>
      </w:pPr>
      <w:r>
        <w:t>Z prioritnej osi „Technická</w:t>
      </w:r>
      <w:r w:rsidRPr="00A84ED9">
        <w:t xml:space="preserve"> pomoc</w:t>
      </w:r>
      <w:r>
        <w:t>“ sa</w:t>
      </w:r>
      <w:r w:rsidRPr="00A84ED9">
        <w:t xml:space="preserve"> bude financovať spoločný sekretariát programu ako aj určité činnosti vykonávané Riadiacim orgánom</w:t>
      </w:r>
      <w:r>
        <w:t>.</w:t>
      </w:r>
      <w:r w:rsidRPr="00A84ED9">
        <w:t xml:space="preserve"> Zaistenie pracovníkov a vybavenia pre spoločný sekretariát je základnou súčasťou výdavkov z rozpočtu Technickej pomoci. </w:t>
      </w:r>
      <w:r>
        <w:t xml:space="preserve">Ďalšou prioritou financovania </w:t>
      </w:r>
      <w:r w:rsidRPr="00A84ED9">
        <w:t xml:space="preserve"> </w:t>
      </w:r>
      <w:r>
        <w:t>bude</w:t>
      </w:r>
      <w:r w:rsidRPr="00A84ED9">
        <w:t xml:space="preserve"> podpora veľkého rozsahu aktivít a nástrojov, ktoré poslúžia na dosiahnutie </w:t>
      </w:r>
      <w:r>
        <w:t>špecifického cieľa tejto prioritnej osi</w:t>
      </w:r>
      <w:r w:rsidRPr="00A84ED9">
        <w:t xml:space="preserve">. Patria medzi ne nasledujúce typy činností: </w:t>
      </w:r>
    </w:p>
    <w:p w:rsidR="00B16260" w:rsidRDefault="00B16260" w:rsidP="00B16260">
      <w:pPr>
        <w:numPr>
          <w:ilvl w:val="0"/>
          <w:numId w:val="2"/>
        </w:numPr>
        <w:jc w:val="both"/>
      </w:pPr>
      <w:r>
        <w:t>g</w:t>
      </w:r>
      <w:r w:rsidRPr="00A84ED9">
        <w:t xml:space="preserve">enerovanie a výber projektov </w:t>
      </w:r>
    </w:p>
    <w:p w:rsidR="00B16260" w:rsidRDefault="00B16260" w:rsidP="00B16260">
      <w:pPr>
        <w:numPr>
          <w:ilvl w:val="0"/>
          <w:numId w:val="2"/>
        </w:numPr>
        <w:jc w:val="both"/>
      </w:pPr>
      <w:r>
        <w:t>p</w:t>
      </w:r>
      <w:r w:rsidRPr="00A84ED9">
        <w:t xml:space="preserve">odpora pre aktérov zapojených do projektov medziregionálnej spolupráce </w:t>
      </w:r>
    </w:p>
    <w:p w:rsidR="00B16260" w:rsidRDefault="00B16260" w:rsidP="00B16260">
      <w:pPr>
        <w:numPr>
          <w:ilvl w:val="0"/>
          <w:numId w:val="2"/>
        </w:numPr>
        <w:jc w:val="both"/>
      </w:pPr>
      <w:r>
        <w:t>r</w:t>
      </w:r>
      <w:r w:rsidRPr="00A84ED9">
        <w:t xml:space="preserve">ozvíjanie a podpora platforiem </w:t>
      </w:r>
      <w:r>
        <w:t xml:space="preserve">zameraných na vzdelávanie sa v oblasti tvorby </w:t>
      </w:r>
      <w:r w:rsidRPr="00A84ED9">
        <w:t xml:space="preserve">politík </w:t>
      </w:r>
    </w:p>
    <w:p w:rsidR="00B16260" w:rsidRDefault="00B16260" w:rsidP="00B16260">
      <w:pPr>
        <w:numPr>
          <w:ilvl w:val="0"/>
          <w:numId w:val="2"/>
        </w:numPr>
        <w:jc w:val="both"/>
      </w:pPr>
      <w:r>
        <w:t>m</w:t>
      </w:r>
      <w:r w:rsidRPr="00A84ED9">
        <w:t>onitor</w:t>
      </w:r>
      <w:r>
        <w:t>ovanie</w:t>
      </w:r>
      <w:r w:rsidRPr="00A84ED9">
        <w:t xml:space="preserve">, kontrola a vypracovávanie správ </w:t>
      </w:r>
    </w:p>
    <w:p w:rsidR="00B16260" w:rsidRDefault="00B16260" w:rsidP="00B16260">
      <w:pPr>
        <w:numPr>
          <w:ilvl w:val="0"/>
          <w:numId w:val="2"/>
        </w:numPr>
        <w:jc w:val="both"/>
      </w:pPr>
      <w:r>
        <w:t>k</w:t>
      </w:r>
      <w:r w:rsidRPr="00A84ED9">
        <w:t xml:space="preserve">omunikácia, </w:t>
      </w:r>
      <w:r>
        <w:t>šírenie</w:t>
      </w:r>
      <w:r w:rsidRPr="00A84ED9">
        <w:t xml:space="preserve"> informácií a kapitalizácia </w:t>
      </w:r>
    </w:p>
    <w:p w:rsidR="00B16260" w:rsidRPr="00A84ED9" w:rsidRDefault="00B16260" w:rsidP="00B16260">
      <w:pPr>
        <w:numPr>
          <w:ilvl w:val="0"/>
          <w:numId w:val="2"/>
        </w:numPr>
        <w:jc w:val="both"/>
      </w:pPr>
      <w:r>
        <w:t>m</w:t>
      </w:r>
      <w:r w:rsidRPr="00A84ED9">
        <w:t>anažment a riadenie programu</w:t>
      </w:r>
      <w:r>
        <w:t>.</w:t>
      </w:r>
      <w:r w:rsidRPr="00A84ED9">
        <w:t xml:space="preserve"> </w:t>
      </w:r>
    </w:p>
    <w:p w:rsidR="00B16260" w:rsidRPr="00A84ED9" w:rsidRDefault="00B16260" w:rsidP="00B16260">
      <w:pPr>
        <w:jc w:val="both"/>
      </w:pPr>
    </w:p>
    <w:p w:rsidR="00B16260" w:rsidRPr="00F10488" w:rsidRDefault="00B16260" w:rsidP="00B16260">
      <w:pPr>
        <w:ind w:firstLine="360"/>
        <w:jc w:val="both"/>
      </w:pPr>
      <w:r w:rsidRPr="00F10488">
        <w:t>Hlavným výsledkom prioritnej osi Technická pomoc bude efektívn</w:t>
      </w:r>
      <w:r>
        <w:t>e</w:t>
      </w:r>
      <w:r w:rsidRPr="00F10488">
        <w:t xml:space="preserve"> a účinn</w:t>
      </w:r>
      <w:r>
        <w:t>é</w:t>
      </w:r>
      <w:r w:rsidRPr="00F10488">
        <w:t xml:space="preserve"> </w:t>
      </w:r>
      <w:r>
        <w:t xml:space="preserve">riadenie a </w:t>
      </w:r>
      <w:r w:rsidRPr="00F10488">
        <w:t>realizácia programu</w:t>
      </w:r>
      <w:r>
        <w:t xml:space="preserve"> spolupráce</w:t>
      </w:r>
      <w:r w:rsidRPr="00F10488">
        <w:t xml:space="preserve"> INTERREG EUROPE</w:t>
      </w:r>
      <w:r>
        <w:t xml:space="preserve"> 2014 – 2020 </w:t>
      </w:r>
      <w:r w:rsidRPr="00F10488">
        <w:t>v priebehu</w:t>
      </w:r>
      <w:r>
        <w:t xml:space="preserve"> rokov 2014 – 2023, čo </w:t>
      </w:r>
      <w:r w:rsidRPr="00F10488">
        <w:t xml:space="preserve">si vyžaduje </w:t>
      </w:r>
      <w:r>
        <w:t>vytvorenie</w:t>
      </w:r>
      <w:r w:rsidRPr="00F10488">
        <w:t xml:space="preserve"> podporných štruktúr a vypracovanie nástrojov a aktivít na úrovni programu</w:t>
      </w:r>
      <w:r>
        <w:t xml:space="preserve">. </w:t>
      </w:r>
      <w:r w:rsidRPr="00F10488">
        <w:t>Kvôli dosiahnutiu tohto výsledku je nevyhnutné poskytnúť adekvátnu podporu a príležitosti aktérom zapojeným do financovaných projektov medziregionálnej spolupráce a</w:t>
      </w:r>
      <w:r>
        <w:t> </w:t>
      </w:r>
      <w:r w:rsidRPr="00F10488">
        <w:t>platforiem</w:t>
      </w:r>
      <w:r>
        <w:t xml:space="preserve"> zameraných na vzdelávanie sa v oblasti tvorby</w:t>
      </w:r>
      <w:r w:rsidRPr="00F10488">
        <w:t xml:space="preserve"> politík, čo im umožní realizovať ich naplánované aktivity efektívnym spôsobom. Taktiež si to vyžaduje systém monitorovania a kontroly, ktorý zaisťuje adekvátny prehľad o pravidelnosti a kvalite podporovaných krokov s čo najmenším možným administratívnym </w:t>
      </w:r>
      <w:r>
        <w:t>zaťažením pre prijímateľov a orgány</w:t>
      </w:r>
      <w:r w:rsidRPr="00F10488">
        <w:t xml:space="preserve"> programu. To prispieva k zaisteniu relevantných výstupov a výsledkov podporovaných opatrení a</w:t>
      </w:r>
      <w:r>
        <w:t xml:space="preserve"> k </w:t>
      </w:r>
      <w:r w:rsidRPr="00F10488">
        <w:t>správne</w:t>
      </w:r>
      <w:r>
        <w:t>mu</w:t>
      </w:r>
      <w:r w:rsidRPr="00F10488">
        <w:t xml:space="preserve"> využívani</w:t>
      </w:r>
      <w:r>
        <w:t>u</w:t>
      </w:r>
      <w:r w:rsidRPr="00F10488">
        <w:t xml:space="preserve"> </w:t>
      </w:r>
      <w:r>
        <w:t>finančných</w:t>
      </w:r>
      <w:r w:rsidRPr="00F10488">
        <w:t xml:space="preserve"> zdrojov </w:t>
      </w:r>
      <w:r>
        <w:t>S</w:t>
      </w:r>
      <w:r w:rsidRPr="00F10488">
        <w:t xml:space="preserve">poločenstva, ktoré </w:t>
      </w:r>
      <w:r>
        <w:t>sa</w:t>
      </w:r>
      <w:r w:rsidRPr="00F10488">
        <w:t xml:space="preserve"> rozdeľ</w:t>
      </w:r>
      <w:r>
        <w:t>ujú</w:t>
      </w:r>
      <w:r w:rsidRPr="00F10488">
        <w:t xml:space="preserve"> prostredníctvom programu. Kľúčom k dosiahnutiu tohto výsledku bude aj vytvorenie vhodných kanálov a aktivít pre komunikáciu, poskytovanie informácií a kapitalizáciu výsledkov projektov medziregionálnej spolupráce a platforiem </w:t>
      </w:r>
      <w:r>
        <w:t>zameraných na vzdelávanie sa v oblasti tvorby</w:t>
      </w:r>
      <w:r w:rsidRPr="00F10488">
        <w:t xml:space="preserve"> politík. </w:t>
      </w:r>
    </w:p>
    <w:p w:rsidR="00B16260" w:rsidRPr="006F6A99" w:rsidRDefault="00B16260" w:rsidP="00B16260">
      <w:pPr>
        <w:rPr>
          <w:b/>
        </w:rPr>
      </w:pPr>
    </w:p>
    <w:p w:rsidR="00B16260" w:rsidRPr="006F6A99" w:rsidRDefault="00B16260" w:rsidP="00B16260">
      <w:pPr>
        <w:jc w:val="right"/>
        <w:rPr>
          <w:sz w:val="20"/>
          <w:szCs w:val="20"/>
        </w:rPr>
      </w:pPr>
      <w:r w:rsidRPr="006F6A99">
        <w:rPr>
          <w:sz w:val="20"/>
          <w:szCs w:val="20"/>
        </w:rPr>
        <w:t xml:space="preserve">Tabuľka č. 1 </w:t>
      </w:r>
    </w:p>
    <w:tbl>
      <w:tblPr>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16260" w:rsidRPr="006F6A99" w:rsidTr="00473817">
        <w:trPr>
          <w:cantSplit/>
          <w:trHeight w:val="194"/>
          <w:jc w:val="center"/>
        </w:trPr>
        <w:tc>
          <w:tcPr>
            <w:tcW w:w="4661" w:type="dxa"/>
            <w:vMerge w:val="restart"/>
            <w:shd w:val="clear" w:color="auto" w:fill="000000"/>
            <w:vAlign w:val="center"/>
          </w:tcPr>
          <w:p w:rsidR="00B16260" w:rsidRPr="006F6A99" w:rsidRDefault="00B16260" w:rsidP="00473817">
            <w:pPr>
              <w:jc w:val="center"/>
              <w:rPr>
                <w:b/>
                <w:bCs/>
                <w:color w:val="FFFFFF"/>
              </w:rPr>
            </w:pPr>
            <w:bookmarkStart w:id="0" w:name="OLE_LINK1"/>
            <w:r w:rsidRPr="006F6A99">
              <w:rPr>
                <w:b/>
                <w:bCs/>
                <w:color w:val="FFFFFF"/>
              </w:rPr>
              <w:t xml:space="preserve">Vplyvy na </w:t>
            </w:r>
            <w:r w:rsidRPr="006F6A99">
              <w:rPr>
                <w:b/>
                <w:bCs/>
              </w:rPr>
              <w:t>rozpočet verejnej správy</w:t>
            </w:r>
          </w:p>
        </w:tc>
        <w:tc>
          <w:tcPr>
            <w:tcW w:w="5068" w:type="dxa"/>
            <w:gridSpan w:val="4"/>
            <w:shd w:val="clear" w:color="auto" w:fill="000000"/>
            <w:vAlign w:val="center"/>
          </w:tcPr>
          <w:p w:rsidR="00B16260" w:rsidRPr="006F6A99" w:rsidRDefault="00B16260" w:rsidP="00473817">
            <w:pPr>
              <w:jc w:val="center"/>
              <w:rPr>
                <w:b/>
                <w:bCs/>
                <w:color w:val="FFFFFF"/>
              </w:rPr>
            </w:pPr>
            <w:r w:rsidRPr="006F6A99">
              <w:rPr>
                <w:b/>
                <w:bCs/>
                <w:color w:val="FFFFFF"/>
              </w:rPr>
              <w:t xml:space="preserve">Vplyv na rozpočet verejnej správy </w:t>
            </w:r>
            <w:r w:rsidRPr="006F6A99">
              <w:rPr>
                <w:b/>
                <w:bCs/>
              </w:rPr>
              <w:t>(v eurách)</w:t>
            </w:r>
          </w:p>
        </w:tc>
      </w:tr>
      <w:tr w:rsidR="00B16260" w:rsidRPr="006F6A99" w:rsidTr="00473817">
        <w:trPr>
          <w:cantSplit/>
          <w:trHeight w:val="70"/>
          <w:jc w:val="center"/>
        </w:trPr>
        <w:tc>
          <w:tcPr>
            <w:tcW w:w="4661" w:type="dxa"/>
            <w:vMerge/>
            <w:vAlign w:val="center"/>
          </w:tcPr>
          <w:p w:rsidR="00B16260" w:rsidRPr="006F6A99" w:rsidRDefault="00B16260" w:rsidP="00473817">
            <w:pPr>
              <w:jc w:val="center"/>
              <w:rPr>
                <w:b/>
                <w:bCs/>
                <w:color w:val="FFFFFF"/>
              </w:rPr>
            </w:pPr>
          </w:p>
        </w:tc>
        <w:tc>
          <w:tcPr>
            <w:tcW w:w="1267" w:type="dxa"/>
            <w:shd w:val="clear" w:color="auto" w:fill="000000"/>
            <w:vAlign w:val="center"/>
          </w:tcPr>
          <w:p w:rsidR="00B16260" w:rsidRPr="006F6A99" w:rsidRDefault="00B16260" w:rsidP="00473817">
            <w:pPr>
              <w:jc w:val="center"/>
              <w:rPr>
                <w:b/>
                <w:bCs/>
                <w:color w:val="FFFFFF"/>
              </w:rPr>
            </w:pPr>
            <w:r>
              <w:rPr>
                <w:b/>
                <w:bCs/>
                <w:color w:val="FFFFFF"/>
              </w:rPr>
              <w:t>2014</w:t>
            </w:r>
          </w:p>
        </w:tc>
        <w:tc>
          <w:tcPr>
            <w:tcW w:w="1267" w:type="dxa"/>
            <w:shd w:val="clear" w:color="auto" w:fill="000000"/>
            <w:vAlign w:val="center"/>
          </w:tcPr>
          <w:p w:rsidR="00B16260" w:rsidRPr="006F6A99" w:rsidRDefault="00B16260" w:rsidP="00473817">
            <w:pPr>
              <w:jc w:val="center"/>
              <w:rPr>
                <w:b/>
                <w:bCs/>
                <w:color w:val="FFFFFF"/>
              </w:rPr>
            </w:pPr>
            <w:r>
              <w:rPr>
                <w:b/>
                <w:bCs/>
                <w:color w:val="FFFFFF"/>
              </w:rPr>
              <w:t>2015</w:t>
            </w:r>
          </w:p>
        </w:tc>
        <w:tc>
          <w:tcPr>
            <w:tcW w:w="1267" w:type="dxa"/>
            <w:shd w:val="clear" w:color="auto" w:fill="000000"/>
            <w:vAlign w:val="center"/>
          </w:tcPr>
          <w:p w:rsidR="00B16260" w:rsidRPr="006F6A99" w:rsidRDefault="00B16260" w:rsidP="00473817">
            <w:pPr>
              <w:jc w:val="center"/>
              <w:rPr>
                <w:b/>
                <w:bCs/>
                <w:color w:val="FFFFFF"/>
              </w:rPr>
            </w:pPr>
            <w:r>
              <w:rPr>
                <w:b/>
                <w:bCs/>
                <w:color w:val="FFFFFF"/>
              </w:rPr>
              <w:t>2016</w:t>
            </w:r>
          </w:p>
        </w:tc>
        <w:tc>
          <w:tcPr>
            <w:tcW w:w="1267" w:type="dxa"/>
            <w:shd w:val="clear" w:color="auto" w:fill="000000"/>
            <w:vAlign w:val="center"/>
          </w:tcPr>
          <w:p w:rsidR="00B16260" w:rsidRPr="006F6A99" w:rsidRDefault="00B16260" w:rsidP="00473817">
            <w:pPr>
              <w:jc w:val="center"/>
              <w:rPr>
                <w:b/>
                <w:bCs/>
                <w:color w:val="FFFFFF"/>
              </w:rPr>
            </w:pPr>
            <w:r>
              <w:rPr>
                <w:b/>
                <w:bCs/>
                <w:color w:val="FFFFFF"/>
              </w:rPr>
              <w:t>2017</w:t>
            </w:r>
          </w:p>
        </w:tc>
      </w:tr>
      <w:tr w:rsidR="00B16260" w:rsidRPr="006F6A99" w:rsidTr="00473817">
        <w:trPr>
          <w:trHeight w:val="70"/>
          <w:jc w:val="center"/>
        </w:trPr>
        <w:tc>
          <w:tcPr>
            <w:tcW w:w="4661" w:type="dxa"/>
            <w:shd w:val="clear" w:color="auto" w:fill="C0C0C0"/>
            <w:noWrap/>
            <w:vAlign w:val="center"/>
          </w:tcPr>
          <w:p w:rsidR="00B16260" w:rsidRPr="006F6A99" w:rsidRDefault="00B16260" w:rsidP="00473817">
            <w:r w:rsidRPr="006F6A99">
              <w:rPr>
                <w:b/>
                <w:bCs/>
              </w:rPr>
              <w:t>Príjmy verejnej správy celkom</w:t>
            </w:r>
          </w:p>
        </w:tc>
        <w:tc>
          <w:tcPr>
            <w:tcW w:w="1267" w:type="dxa"/>
            <w:shd w:val="clear" w:color="auto" w:fill="C0C0C0"/>
            <w:vAlign w:val="center"/>
          </w:tcPr>
          <w:p w:rsidR="00B16260" w:rsidRPr="006F6A99" w:rsidRDefault="00B16260" w:rsidP="00473817">
            <w:pPr>
              <w:jc w:val="right"/>
              <w:rPr>
                <w:b/>
                <w:bCs/>
              </w:rPr>
            </w:pPr>
            <w:r w:rsidRPr="006F6A99">
              <w:rPr>
                <w:b/>
                <w:bCs/>
              </w:rPr>
              <w:t>0</w:t>
            </w:r>
          </w:p>
        </w:tc>
        <w:tc>
          <w:tcPr>
            <w:tcW w:w="1267" w:type="dxa"/>
            <w:shd w:val="clear" w:color="auto" w:fill="C0C0C0"/>
            <w:vAlign w:val="center"/>
          </w:tcPr>
          <w:p w:rsidR="00B16260" w:rsidRPr="006F6A99" w:rsidRDefault="00B16260" w:rsidP="00473817">
            <w:pPr>
              <w:jc w:val="right"/>
              <w:rPr>
                <w:b/>
                <w:bCs/>
              </w:rPr>
            </w:pPr>
            <w:r w:rsidRPr="006F6A99">
              <w:rPr>
                <w:b/>
                <w:bCs/>
              </w:rPr>
              <w:t>0</w:t>
            </w:r>
          </w:p>
        </w:tc>
        <w:tc>
          <w:tcPr>
            <w:tcW w:w="1267" w:type="dxa"/>
            <w:shd w:val="clear" w:color="auto" w:fill="C0C0C0"/>
            <w:vAlign w:val="center"/>
          </w:tcPr>
          <w:p w:rsidR="00B16260" w:rsidRPr="006F6A99" w:rsidRDefault="00B16260" w:rsidP="00473817">
            <w:pPr>
              <w:jc w:val="right"/>
              <w:rPr>
                <w:b/>
                <w:bCs/>
              </w:rPr>
            </w:pPr>
            <w:r w:rsidRPr="006F6A99">
              <w:rPr>
                <w:b/>
                <w:bCs/>
              </w:rPr>
              <w:t>0</w:t>
            </w:r>
          </w:p>
        </w:tc>
        <w:tc>
          <w:tcPr>
            <w:tcW w:w="1267" w:type="dxa"/>
            <w:shd w:val="clear" w:color="auto" w:fill="C0C0C0"/>
            <w:vAlign w:val="center"/>
          </w:tcPr>
          <w:p w:rsidR="00B16260" w:rsidRPr="006F6A99" w:rsidRDefault="00B16260" w:rsidP="00473817">
            <w:pPr>
              <w:jc w:val="right"/>
              <w:rPr>
                <w:b/>
                <w:bCs/>
              </w:rPr>
            </w:pPr>
            <w:r w:rsidRPr="006F6A99">
              <w:rPr>
                <w:b/>
                <w:bCs/>
              </w:rPr>
              <w:t>0</w:t>
            </w:r>
          </w:p>
        </w:tc>
      </w:tr>
      <w:tr w:rsidR="00B16260" w:rsidRPr="006F6A99" w:rsidTr="00473817">
        <w:trPr>
          <w:trHeight w:val="132"/>
          <w:jc w:val="center"/>
        </w:trPr>
        <w:tc>
          <w:tcPr>
            <w:tcW w:w="4661" w:type="dxa"/>
            <w:noWrap/>
            <w:vAlign w:val="center"/>
          </w:tcPr>
          <w:p w:rsidR="00B16260" w:rsidRPr="006F6A99" w:rsidRDefault="00B16260" w:rsidP="00473817">
            <w:r w:rsidRPr="006F6A99">
              <w:t>v tom: za každý subjekt verejnej správy zvlášť</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r>
      <w:tr w:rsidR="00B16260" w:rsidRPr="006F6A99" w:rsidTr="00473817">
        <w:trPr>
          <w:trHeight w:val="70"/>
          <w:jc w:val="center"/>
        </w:trPr>
        <w:tc>
          <w:tcPr>
            <w:tcW w:w="4661" w:type="dxa"/>
            <w:noWrap/>
            <w:vAlign w:val="center"/>
          </w:tcPr>
          <w:p w:rsidR="00B16260" w:rsidRPr="006964CB" w:rsidRDefault="00B16260" w:rsidP="00473817">
            <w:pPr>
              <w:rPr>
                <w:b/>
                <w:bCs/>
                <w:i/>
                <w:iCs/>
              </w:rPr>
            </w:pPr>
            <w:r w:rsidRPr="006964CB">
              <w:rPr>
                <w:b/>
                <w:bCs/>
                <w:i/>
                <w:iCs/>
              </w:rPr>
              <w:t xml:space="preserve">z toho:  </w:t>
            </w: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r>
      <w:tr w:rsidR="00B16260" w:rsidRPr="006F6A99" w:rsidTr="00473817">
        <w:trPr>
          <w:trHeight w:val="125"/>
          <w:jc w:val="center"/>
        </w:trPr>
        <w:tc>
          <w:tcPr>
            <w:tcW w:w="4661" w:type="dxa"/>
            <w:noWrap/>
            <w:vAlign w:val="center"/>
          </w:tcPr>
          <w:p w:rsidR="00B16260" w:rsidRPr="006964CB" w:rsidRDefault="00B16260" w:rsidP="00473817">
            <w:pPr>
              <w:rPr>
                <w:b/>
                <w:bCs/>
                <w:i/>
                <w:iCs/>
              </w:rPr>
            </w:pPr>
            <w:r w:rsidRPr="006964CB">
              <w:rPr>
                <w:b/>
                <w:bCs/>
                <w:i/>
                <w:iCs/>
              </w:rPr>
              <w:t>- vplyv na ŠR</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r>
      <w:tr w:rsidR="00B16260" w:rsidRPr="006F6A99" w:rsidTr="00473817">
        <w:trPr>
          <w:trHeight w:val="125"/>
          <w:jc w:val="center"/>
        </w:trPr>
        <w:tc>
          <w:tcPr>
            <w:tcW w:w="4661" w:type="dxa"/>
            <w:noWrap/>
            <w:vAlign w:val="center"/>
          </w:tcPr>
          <w:p w:rsidR="00B16260" w:rsidRPr="006964CB" w:rsidRDefault="00B16260" w:rsidP="00473817">
            <w:pPr>
              <w:rPr>
                <w:b/>
                <w:bCs/>
                <w:i/>
                <w:iCs/>
              </w:rPr>
            </w:pPr>
            <w:r w:rsidRPr="006964CB">
              <w:rPr>
                <w:b/>
                <w:bCs/>
                <w:i/>
                <w:iCs/>
              </w:rPr>
              <w:t>- vplyv na územnú samosprávu</w:t>
            </w:r>
          </w:p>
        </w:tc>
        <w:tc>
          <w:tcPr>
            <w:tcW w:w="1267" w:type="dxa"/>
            <w:noWrap/>
            <w:vAlign w:val="center"/>
          </w:tcPr>
          <w:p w:rsidR="00B16260" w:rsidRPr="006F6A99" w:rsidRDefault="00B16260" w:rsidP="00473817">
            <w:pPr>
              <w:jc w:val="right"/>
              <w:rPr>
                <w:b/>
                <w:bCs/>
                <w:i/>
                <w:iCs/>
              </w:rPr>
            </w:pPr>
            <w:r>
              <w:rPr>
                <w:b/>
                <w:bCs/>
                <w:i/>
                <w:iCs/>
              </w:rPr>
              <w:t>0</w:t>
            </w:r>
          </w:p>
        </w:tc>
        <w:tc>
          <w:tcPr>
            <w:tcW w:w="1267" w:type="dxa"/>
            <w:noWrap/>
            <w:vAlign w:val="center"/>
          </w:tcPr>
          <w:p w:rsidR="00B16260" w:rsidRPr="006F6A99" w:rsidRDefault="00B16260" w:rsidP="00473817">
            <w:pPr>
              <w:jc w:val="right"/>
              <w:rPr>
                <w:b/>
                <w:bCs/>
                <w:i/>
                <w:iCs/>
              </w:rPr>
            </w:pPr>
            <w:r>
              <w:rPr>
                <w:b/>
                <w:bCs/>
                <w:i/>
                <w:iCs/>
              </w:rPr>
              <w:t>0</w:t>
            </w:r>
          </w:p>
        </w:tc>
        <w:tc>
          <w:tcPr>
            <w:tcW w:w="1267" w:type="dxa"/>
            <w:noWrap/>
            <w:vAlign w:val="center"/>
          </w:tcPr>
          <w:p w:rsidR="00B16260" w:rsidRPr="006F6A99" w:rsidRDefault="00B16260" w:rsidP="00473817">
            <w:pPr>
              <w:jc w:val="right"/>
              <w:rPr>
                <w:b/>
                <w:bCs/>
                <w:i/>
                <w:iCs/>
              </w:rPr>
            </w:pPr>
            <w:r>
              <w:rPr>
                <w:b/>
                <w:bCs/>
                <w:i/>
                <w:iCs/>
              </w:rPr>
              <w:t>0</w:t>
            </w:r>
          </w:p>
        </w:tc>
        <w:tc>
          <w:tcPr>
            <w:tcW w:w="1267" w:type="dxa"/>
            <w:noWrap/>
            <w:vAlign w:val="center"/>
          </w:tcPr>
          <w:p w:rsidR="00B16260" w:rsidRPr="006F6A99" w:rsidRDefault="00B16260" w:rsidP="00473817">
            <w:pPr>
              <w:jc w:val="right"/>
              <w:rPr>
                <w:b/>
                <w:bCs/>
                <w:i/>
                <w:iCs/>
              </w:rPr>
            </w:pPr>
            <w:r>
              <w:rPr>
                <w:b/>
                <w:bCs/>
                <w:i/>
                <w:iCs/>
              </w:rPr>
              <w:t>0</w:t>
            </w:r>
          </w:p>
        </w:tc>
      </w:tr>
      <w:tr w:rsidR="00B16260" w:rsidRPr="006F6A99" w:rsidTr="00473817">
        <w:trPr>
          <w:trHeight w:val="125"/>
          <w:jc w:val="center"/>
        </w:trPr>
        <w:tc>
          <w:tcPr>
            <w:tcW w:w="4661" w:type="dxa"/>
            <w:shd w:val="clear" w:color="auto" w:fill="C0C0C0"/>
            <w:noWrap/>
            <w:vAlign w:val="center"/>
          </w:tcPr>
          <w:p w:rsidR="00B16260" w:rsidRPr="006964CB" w:rsidRDefault="00B16260" w:rsidP="00473817">
            <w:pPr>
              <w:rPr>
                <w:b/>
                <w:bCs/>
              </w:rPr>
            </w:pPr>
            <w:r w:rsidRPr="006964CB">
              <w:rPr>
                <w:b/>
                <w:bCs/>
              </w:rPr>
              <w:t>Výdavky verejnej správy celkom</w:t>
            </w:r>
          </w:p>
        </w:tc>
        <w:tc>
          <w:tcPr>
            <w:tcW w:w="1267" w:type="dxa"/>
            <w:shd w:val="clear" w:color="auto" w:fill="C0C0C0"/>
            <w:noWrap/>
            <w:vAlign w:val="center"/>
          </w:tcPr>
          <w:p w:rsidR="00B16260" w:rsidRPr="00713F01" w:rsidRDefault="00B16260" w:rsidP="00473817">
            <w:pPr>
              <w:jc w:val="right"/>
              <w:rPr>
                <w:b/>
                <w:bCs/>
              </w:rPr>
            </w:pPr>
            <w:r w:rsidRPr="00271E4D">
              <w:rPr>
                <w:b/>
                <w:bCs/>
                <w:iCs/>
              </w:rPr>
              <w:t>0</w:t>
            </w:r>
          </w:p>
        </w:tc>
        <w:tc>
          <w:tcPr>
            <w:tcW w:w="1267" w:type="dxa"/>
            <w:shd w:val="clear" w:color="auto" w:fill="C0C0C0"/>
            <w:noWrap/>
            <w:vAlign w:val="center"/>
          </w:tcPr>
          <w:p w:rsidR="00B16260" w:rsidRPr="00713F01" w:rsidRDefault="00B16260" w:rsidP="00473817">
            <w:pPr>
              <w:jc w:val="right"/>
              <w:rPr>
                <w:b/>
                <w:bCs/>
              </w:rPr>
            </w:pPr>
            <w:r w:rsidRPr="00271E4D">
              <w:rPr>
                <w:b/>
                <w:bCs/>
                <w:iCs/>
              </w:rPr>
              <w:t xml:space="preserve">23 278* </w:t>
            </w:r>
          </w:p>
        </w:tc>
        <w:tc>
          <w:tcPr>
            <w:tcW w:w="1267" w:type="dxa"/>
            <w:shd w:val="clear" w:color="auto" w:fill="C0C0C0"/>
            <w:noWrap/>
            <w:vAlign w:val="center"/>
          </w:tcPr>
          <w:p w:rsidR="00B16260" w:rsidRPr="00713F01" w:rsidRDefault="00B16260" w:rsidP="00473817">
            <w:pPr>
              <w:jc w:val="right"/>
              <w:rPr>
                <w:b/>
                <w:bCs/>
              </w:rPr>
            </w:pPr>
            <w:r w:rsidRPr="00271E4D">
              <w:rPr>
                <w:b/>
                <w:bCs/>
                <w:iCs/>
              </w:rPr>
              <w:t>11 639</w:t>
            </w:r>
          </w:p>
        </w:tc>
        <w:tc>
          <w:tcPr>
            <w:tcW w:w="1267" w:type="dxa"/>
            <w:shd w:val="clear" w:color="auto" w:fill="C0C0C0"/>
            <w:noWrap/>
            <w:vAlign w:val="center"/>
          </w:tcPr>
          <w:p w:rsidR="00B16260" w:rsidRPr="00713F01" w:rsidRDefault="00B16260" w:rsidP="00473817">
            <w:pPr>
              <w:jc w:val="right"/>
              <w:rPr>
                <w:b/>
                <w:bCs/>
              </w:rPr>
            </w:pPr>
            <w:r w:rsidRPr="00271E4D">
              <w:rPr>
                <w:b/>
                <w:bCs/>
                <w:iCs/>
              </w:rPr>
              <w:t>11 639</w:t>
            </w:r>
            <w:r w:rsidRPr="00713F01">
              <w:rPr>
                <w:b/>
                <w:bCs/>
              </w:rPr>
              <w:t xml:space="preserve">   </w:t>
            </w:r>
          </w:p>
        </w:tc>
      </w:tr>
      <w:tr w:rsidR="00B16260" w:rsidRPr="006F6A99" w:rsidTr="00473817">
        <w:trPr>
          <w:trHeight w:val="70"/>
          <w:jc w:val="center"/>
        </w:trPr>
        <w:tc>
          <w:tcPr>
            <w:tcW w:w="4661" w:type="dxa"/>
            <w:noWrap/>
            <w:vAlign w:val="center"/>
          </w:tcPr>
          <w:p w:rsidR="00B16260" w:rsidRPr="006964CB" w:rsidRDefault="00B16260" w:rsidP="00473817">
            <w:r w:rsidRPr="006964CB">
              <w:t>v tom: za každý subjekt verejnej správy / program zvlášť</w:t>
            </w:r>
          </w:p>
        </w:tc>
        <w:tc>
          <w:tcPr>
            <w:tcW w:w="1267" w:type="dxa"/>
            <w:noWrap/>
            <w:vAlign w:val="center"/>
          </w:tcPr>
          <w:p w:rsidR="00B16260" w:rsidRPr="00713F01" w:rsidRDefault="00B16260" w:rsidP="00473817">
            <w:pPr>
              <w:jc w:val="right"/>
            </w:pPr>
            <w:r w:rsidRPr="00271E4D">
              <w:rPr>
                <w:bCs/>
                <w:iCs/>
              </w:rPr>
              <w:t>0</w:t>
            </w:r>
          </w:p>
        </w:tc>
        <w:tc>
          <w:tcPr>
            <w:tcW w:w="1267" w:type="dxa"/>
            <w:noWrap/>
            <w:vAlign w:val="center"/>
          </w:tcPr>
          <w:p w:rsidR="00B16260" w:rsidRPr="00713F01" w:rsidRDefault="00B16260" w:rsidP="00473817">
            <w:pPr>
              <w:jc w:val="right"/>
            </w:pPr>
            <w:r w:rsidRPr="00271E4D">
              <w:rPr>
                <w:bCs/>
                <w:iCs/>
              </w:rPr>
              <w:t>23 278</w:t>
            </w:r>
          </w:p>
        </w:tc>
        <w:tc>
          <w:tcPr>
            <w:tcW w:w="1267" w:type="dxa"/>
            <w:noWrap/>
            <w:vAlign w:val="center"/>
          </w:tcPr>
          <w:p w:rsidR="00B16260" w:rsidRPr="00713F01" w:rsidRDefault="00B16260" w:rsidP="00473817">
            <w:pPr>
              <w:jc w:val="right"/>
            </w:pPr>
            <w:r w:rsidRPr="00271E4D">
              <w:rPr>
                <w:bCs/>
                <w:iCs/>
              </w:rPr>
              <w:t>11 639</w:t>
            </w:r>
          </w:p>
        </w:tc>
        <w:tc>
          <w:tcPr>
            <w:tcW w:w="1267" w:type="dxa"/>
            <w:noWrap/>
            <w:vAlign w:val="center"/>
          </w:tcPr>
          <w:p w:rsidR="00B16260" w:rsidRPr="00713F01" w:rsidRDefault="00B16260" w:rsidP="00473817">
            <w:pPr>
              <w:jc w:val="right"/>
            </w:pPr>
            <w:r w:rsidRPr="00271E4D">
              <w:rPr>
                <w:bCs/>
                <w:iCs/>
              </w:rPr>
              <w:t>11 639</w:t>
            </w:r>
          </w:p>
        </w:tc>
      </w:tr>
      <w:tr w:rsidR="00B16260" w:rsidRPr="006F6A99" w:rsidTr="00473817">
        <w:trPr>
          <w:trHeight w:val="70"/>
          <w:jc w:val="center"/>
        </w:trPr>
        <w:tc>
          <w:tcPr>
            <w:tcW w:w="4661" w:type="dxa"/>
            <w:noWrap/>
            <w:vAlign w:val="center"/>
          </w:tcPr>
          <w:p w:rsidR="00B16260" w:rsidRPr="006964CB" w:rsidRDefault="00B16260" w:rsidP="00473817">
            <w:pPr>
              <w:rPr>
                <w:b/>
                <w:bCs/>
                <w:i/>
                <w:iCs/>
              </w:rPr>
            </w:pPr>
            <w:r w:rsidRPr="006964CB">
              <w:rPr>
                <w:b/>
                <w:bCs/>
                <w:i/>
                <w:iCs/>
              </w:rPr>
              <w:lastRenderedPageBreak/>
              <w:t xml:space="preserve">z toho: </w:t>
            </w: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c>
          <w:tcPr>
            <w:tcW w:w="1267" w:type="dxa"/>
            <w:noWrap/>
            <w:vAlign w:val="center"/>
          </w:tcPr>
          <w:p w:rsidR="00B16260" w:rsidRPr="006F6A99" w:rsidRDefault="00B16260" w:rsidP="00473817">
            <w:pPr>
              <w:jc w:val="right"/>
              <w:rPr>
                <w:b/>
                <w:bCs/>
                <w:i/>
                <w:iCs/>
              </w:rPr>
            </w:pPr>
          </w:p>
        </w:tc>
      </w:tr>
      <w:tr w:rsidR="00B16260" w:rsidRPr="006F6A99" w:rsidTr="00473817">
        <w:trPr>
          <w:trHeight w:val="70"/>
          <w:jc w:val="center"/>
        </w:trPr>
        <w:tc>
          <w:tcPr>
            <w:tcW w:w="4661" w:type="dxa"/>
            <w:noWrap/>
            <w:vAlign w:val="center"/>
          </w:tcPr>
          <w:p w:rsidR="00B16260" w:rsidRPr="006964CB" w:rsidRDefault="00B16260" w:rsidP="00473817">
            <w:pPr>
              <w:rPr>
                <w:b/>
                <w:bCs/>
                <w:i/>
                <w:iCs/>
              </w:rPr>
            </w:pPr>
            <w:r w:rsidRPr="006964CB">
              <w:rPr>
                <w:b/>
                <w:bCs/>
                <w:i/>
                <w:iCs/>
              </w:rPr>
              <w:t>- vplyv na ŠR</w:t>
            </w:r>
          </w:p>
        </w:tc>
        <w:tc>
          <w:tcPr>
            <w:tcW w:w="1267" w:type="dxa"/>
            <w:noWrap/>
            <w:vAlign w:val="center"/>
          </w:tcPr>
          <w:p w:rsidR="00B16260" w:rsidRPr="006F6A99" w:rsidRDefault="00B16260" w:rsidP="00473817">
            <w:pPr>
              <w:jc w:val="right"/>
              <w:rPr>
                <w:b/>
                <w:bCs/>
                <w:i/>
                <w:iCs/>
              </w:rPr>
            </w:pPr>
            <w:r>
              <w:rPr>
                <w:b/>
                <w:bCs/>
                <w:i/>
                <w:iCs/>
              </w:rPr>
              <w:t>0</w:t>
            </w:r>
          </w:p>
        </w:tc>
        <w:tc>
          <w:tcPr>
            <w:tcW w:w="1267" w:type="dxa"/>
            <w:noWrap/>
            <w:vAlign w:val="center"/>
          </w:tcPr>
          <w:p w:rsidR="00B16260" w:rsidRPr="006F6A99" w:rsidRDefault="00B16260" w:rsidP="00473817">
            <w:pPr>
              <w:jc w:val="right"/>
              <w:rPr>
                <w:b/>
                <w:bCs/>
                <w:i/>
                <w:iCs/>
              </w:rPr>
            </w:pPr>
            <w:r>
              <w:rPr>
                <w:b/>
                <w:bCs/>
                <w:i/>
                <w:iCs/>
              </w:rPr>
              <w:t>23 278</w:t>
            </w:r>
          </w:p>
        </w:tc>
        <w:tc>
          <w:tcPr>
            <w:tcW w:w="1267" w:type="dxa"/>
            <w:noWrap/>
            <w:vAlign w:val="center"/>
          </w:tcPr>
          <w:p w:rsidR="00B16260" w:rsidRPr="006F6A99" w:rsidRDefault="00B16260" w:rsidP="00473817">
            <w:pPr>
              <w:jc w:val="right"/>
              <w:rPr>
                <w:b/>
                <w:bCs/>
                <w:i/>
                <w:iCs/>
              </w:rPr>
            </w:pPr>
            <w:r>
              <w:rPr>
                <w:b/>
                <w:bCs/>
                <w:i/>
                <w:iCs/>
              </w:rPr>
              <w:t>11 639</w:t>
            </w:r>
          </w:p>
        </w:tc>
        <w:tc>
          <w:tcPr>
            <w:tcW w:w="1267" w:type="dxa"/>
            <w:noWrap/>
            <w:vAlign w:val="center"/>
          </w:tcPr>
          <w:p w:rsidR="00B16260" w:rsidRPr="006F6A99" w:rsidRDefault="00B16260" w:rsidP="00473817">
            <w:pPr>
              <w:jc w:val="right"/>
              <w:rPr>
                <w:b/>
                <w:bCs/>
                <w:i/>
                <w:iCs/>
              </w:rPr>
            </w:pPr>
            <w:r>
              <w:rPr>
                <w:b/>
                <w:bCs/>
                <w:i/>
                <w:iCs/>
              </w:rPr>
              <w:t>11 639</w:t>
            </w:r>
          </w:p>
        </w:tc>
      </w:tr>
      <w:tr w:rsidR="00B16260" w:rsidRPr="006F6A99" w:rsidTr="00473817">
        <w:trPr>
          <w:trHeight w:val="125"/>
          <w:jc w:val="center"/>
        </w:trPr>
        <w:tc>
          <w:tcPr>
            <w:tcW w:w="4661" w:type="dxa"/>
            <w:noWrap/>
            <w:vAlign w:val="center"/>
          </w:tcPr>
          <w:p w:rsidR="00B16260" w:rsidRPr="006964CB" w:rsidRDefault="00B16260" w:rsidP="00473817">
            <w:pPr>
              <w:rPr>
                <w:b/>
                <w:bCs/>
                <w:i/>
                <w:iCs/>
              </w:rPr>
            </w:pPr>
            <w:r w:rsidRPr="006964CB">
              <w:rPr>
                <w:b/>
                <w:bCs/>
                <w:i/>
                <w:iCs/>
              </w:rPr>
              <w:t>- vplyv na územnú samosprávu</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c>
          <w:tcPr>
            <w:tcW w:w="1267" w:type="dxa"/>
            <w:noWrap/>
            <w:vAlign w:val="center"/>
          </w:tcPr>
          <w:p w:rsidR="00B16260" w:rsidRPr="006F6A99" w:rsidRDefault="00B16260" w:rsidP="00473817">
            <w:pPr>
              <w:jc w:val="right"/>
              <w:rPr>
                <w:b/>
                <w:bCs/>
                <w:i/>
                <w:iCs/>
              </w:rPr>
            </w:pPr>
            <w:r w:rsidRPr="006F6A99">
              <w:rPr>
                <w:b/>
                <w:bCs/>
                <w:i/>
                <w:iCs/>
              </w:rPr>
              <w:t>0</w:t>
            </w:r>
          </w:p>
        </w:tc>
      </w:tr>
      <w:tr w:rsidR="00B16260" w:rsidRPr="006F6A99" w:rsidTr="00473817">
        <w:trPr>
          <w:trHeight w:val="70"/>
          <w:jc w:val="center"/>
        </w:trPr>
        <w:tc>
          <w:tcPr>
            <w:tcW w:w="4661" w:type="dxa"/>
            <w:shd w:val="clear" w:color="auto" w:fill="C0C0C0"/>
            <w:noWrap/>
            <w:vAlign w:val="center"/>
          </w:tcPr>
          <w:p w:rsidR="00B16260" w:rsidRPr="006964CB" w:rsidRDefault="00B16260" w:rsidP="00473817">
            <w:pPr>
              <w:rPr>
                <w:b/>
                <w:bCs/>
              </w:rPr>
            </w:pPr>
            <w:r w:rsidRPr="006964CB">
              <w:rPr>
                <w:b/>
                <w:bCs/>
              </w:rPr>
              <w:t xml:space="preserve">Celková zamestnanosť </w:t>
            </w:r>
          </w:p>
        </w:tc>
        <w:tc>
          <w:tcPr>
            <w:tcW w:w="1267" w:type="dxa"/>
            <w:shd w:val="clear" w:color="auto" w:fill="C0C0C0"/>
            <w:noWrap/>
            <w:vAlign w:val="center"/>
          </w:tcPr>
          <w:p w:rsidR="00B16260" w:rsidRPr="006F6A99" w:rsidRDefault="00B16260" w:rsidP="00473817">
            <w:pPr>
              <w:jc w:val="right"/>
              <w:rPr>
                <w:b/>
                <w:bCs/>
              </w:rPr>
            </w:pPr>
            <w:r w:rsidRPr="006F6A99">
              <w:rPr>
                <w:b/>
                <w:bCs/>
              </w:rPr>
              <w:t>0</w:t>
            </w:r>
          </w:p>
        </w:tc>
        <w:tc>
          <w:tcPr>
            <w:tcW w:w="1267" w:type="dxa"/>
            <w:shd w:val="clear" w:color="auto" w:fill="C0C0C0"/>
            <w:noWrap/>
            <w:vAlign w:val="center"/>
          </w:tcPr>
          <w:p w:rsidR="00B16260" w:rsidRPr="006F6A99" w:rsidRDefault="00B16260" w:rsidP="00473817">
            <w:pPr>
              <w:jc w:val="right"/>
              <w:rPr>
                <w:b/>
                <w:bCs/>
              </w:rPr>
            </w:pPr>
            <w:r w:rsidRPr="006F6A99">
              <w:rPr>
                <w:b/>
                <w:bCs/>
              </w:rPr>
              <w:t>0</w:t>
            </w:r>
          </w:p>
        </w:tc>
        <w:tc>
          <w:tcPr>
            <w:tcW w:w="1267" w:type="dxa"/>
            <w:shd w:val="clear" w:color="auto" w:fill="C0C0C0"/>
            <w:noWrap/>
            <w:vAlign w:val="center"/>
          </w:tcPr>
          <w:p w:rsidR="00B16260" w:rsidRPr="006F6A99" w:rsidRDefault="00B16260" w:rsidP="00473817">
            <w:pPr>
              <w:jc w:val="right"/>
              <w:rPr>
                <w:b/>
                <w:bCs/>
              </w:rPr>
            </w:pPr>
            <w:r w:rsidRPr="006F6A99">
              <w:rPr>
                <w:b/>
                <w:bCs/>
              </w:rPr>
              <w:t>0</w:t>
            </w:r>
          </w:p>
        </w:tc>
        <w:tc>
          <w:tcPr>
            <w:tcW w:w="1267" w:type="dxa"/>
            <w:shd w:val="clear" w:color="auto" w:fill="C0C0C0"/>
            <w:noWrap/>
            <w:vAlign w:val="center"/>
          </w:tcPr>
          <w:p w:rsidR="00B16260" w:rsidRPr="006F6A99" w:rsidRDefault="00B16260" w:rsidP="00473817">
            <w:pPr>
              <w:jc w:val="right"/>
              <w:rPr>
                <w:b/>
                <w:bCs/>
              </w:rPr>
            </w:pPr>
            <w:r w:rsidRPr="006F6A99">
              <w:rPr>
                <w:b/>
                <w:bCs/>
              </w:rPr>
              <w:t>0</w:t>
            </w:r>
          </w:p>
        </w:tc>
      </w:tr>
      <w:tr w:rsidR="00B16260" w:rsidRPr="006F6A99" w:rsidTr="00473817">
        <w:trPr>
          <w:trHeight w:val="70"/>
          <w:jc w:val="center"/>
        </w:trPr>
        <w:tc>
          <w:tcPr>
            <w:tcW w:w="4661" w:type="dxa"/>
            <w:noWrap/>
            <w:vAlign w:val="center"/>
          </w:tcPr>
          <w:p w:rsidR="00B16260" w:rsidRPr="006964CB" w:rsidRDefault="00B16260" w:rsidP="00473817">
            <w:r w:rsidRPr="006964CB">
              <w:rPr>
                <w:b/>
                <w:i/>
              </w:rPr>
              <w:t>- z toho vplyv na ŠR</w:t>
            </w:r>
            <w:r w:rsidRPr="006964CB">
              <w:t xml:space="preserve"> </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c>
          <w:tcPr>
            <w:tcW w:w="1267" w:type="dxa"/>
            <w:noWrap/>
            <w:vAlign w:val="center"/>
          </w:tcPr>
          <w:p w:rsidR="00B16260" w:rsidRPr="006F6A99" w:rsidRDefault="00B16260" w:rsidP="00473817">
            <w:pPr>
              <w:jc w:val="right"/>
            </w:pPr>
            <w:r w:rsidRPr="006F6A99">
              <w:t>0</w:t>
            </w:r>
          </w:p>
        </w:tc>
      </w:tr>
      <w:tr w:rsidR="00B16260" w:rsidRPr="006F6A99" w:rsidTr="00473817">
        <w:trPr>
          <w:trHeight w:val="70"/>
          <w:jc w:val="center"/>
        </w:trPr>
        <w:tc>
          <w:tcPr>
            <w:tcW w:w="4661" w:type="dxa"/>
            <w:shd w:val="clear" w:color="auto" w:fill="C0C0C0"/>
            <w:noWrap/>
            <w:vAlign w:val="center"/>
          </w:tcPr>
          <w:p w:rsidR="00B16260" w:rsidRPr="006964CB" w:rsidRDefault="00B16260" w:rsidP="00473817">
            <w:pPr>
              <w:rPr>
                <w:b/>
                <w:bCs/>
              </w:rPr>
            </w:pPr>
            <w:r w:rsidRPr="006964CB">
              <w:rPr>
                <w:b/>
                <w:bCs/>
              </w:rPr>
              <w:t>Financovanie zabezpečené v rozpočte</w:t>
            </w:r>
          </w:p>
        </w:tc>
        <w:tc>
          <w:tcPr>
            <w:tcW w:w="1267" w:type="dxa"/>
            <w:shd w:val="clear" w:color="auto" w:fill="C0C0C0"/>
            <w:noWrap/>
            <w:vAlign w:val="center"/>
          </w:tcPr>
          <w:p w:rsidR="00B16260" w:rsidRPr="00713F01" w:rsidRDefault="00B16260" w:rsidP="00473817">
            <w:pPr>
              <w:jc w:val="right"/>
              <w:rPr>
                <w:b/>
                <w:bCs/>
              </w:rPr>
            </w:pPr>
            <w:r w:rsidRPr="00271E4D">
              <w:rPr>
                <w:b/>
                <w:bCs/>
                <w:iCs/>
              </w:rPr>
              <w:t>0</w:t>
            </w:r>
          </w:p>
        </w:tc>
        <w:tc>
          <w:tcPr>
            <w:tcW w:w="1267" w:type="dxa"/>
            <w:shd w:val="clear" w:color="auto" w:fill="C0C0C0"/>
            <w:noWrap/>
            <w:vAlign w:val="center"/>
          </w:tcPr>
          <w:p w:rsidR="00B16260" w:rsidRPr="00713F01" w:rsidRDefault="00B16260" w:rsidP="00473817">
            <w:pPr>
              <w:jc w:val="right"/>
              <w:rPr>
                <w:b/>
                <w:bCs/>
              </w:rPr>
            </w:pPr>
            <w:r w:rsidRPr="00271E4D">
              <w:rPr>
                <w:b/>
                <w:bCs/>
                <w:iCs/>
              </w:rPr>
              <w:t>23 278</w:t>
            </w:r>
          </w:p>
        </w:tc>
        <w:tc>
          <w:tcPr>
            <w:tcW w:w="1267" w:type="dxa"/>
            <w:shd w:val="clear" w:color="auto" w:fill="C0C0C0"/>
            <w:noWrap/>
            <w:vAlign w:val="center"/>
          </w:tcPr>
          <w:p w:rsidR="00B16260" w:rsidRPr="00713F01" w:rsidRDefault="00B16260" w:rsidP="00473817">
            <w:pPr>
              <w:jc w:val="right"/>
              <w:rPr>
                <w:b/>
                <w:bCs/>
              </w:rPr>
            </w:pPr>
            <w:r w:rsidRPr="00271E4D">
              <w:rPr>
                <w:b/>
                <w:bCs/>
                <w:iCs/>
              </w:rPr>
              <w:t>11 639</w:t>
            </w:r>
          </w:p>
        </w:tc>
        <w:tc>
          <w:tcPr>
            <w:tcW w:w="1267" w:type="dxa"/>
            <w:shd w:val="clear" w:color="auto" w:fill="C0C0C0"/>
            <w:noWrap/>
            <w:vAlign w:val="center"/>
          </w:tcPr>
          <w:p w:rsidR="00B16260" w:rsidRPr="00713F01" w:rsidRDefault="00B16260" w:rsidP="00473817">
            <w:pPr>
              <w:jc w:val="right"/>
              <w:rPr>
                <w:b/>
                <w:bCs/>
              </w:rPr>
            </w:pPr>
            <w:r w:rsidRPr="00271E4D">
              <w:rPr>
                <w:b/>
                <w:bCs/>
                <w:iCs/>
              </w:rPr>
              <w:t>11 639</w:t>
            </w:r>
          </w:p>
        </w:tc>
      </w:tr>
      <w:tr w:rsidR="00B16260" w:rsidRPr="006F6A99" w:rsidTr="00473817">
        <w:trPr>
          <w:trHeight w:val="70"/>
          <w:jc w:val="center"/>
        </w:trPr>
        <w:tc>
          <w:tcPr>
            <w:tcW w:w="4661" w:type="dxa"/>
            <w:noWrap/>
            <w:vAlign w:val="center"/>
          </w:tcPr>
          <w:p w:rsidR="00B16260" w:rsidRPr="006964CB" w:rsidRDefault="00B16260" w:rsidP="00473817">
            <w:r w:rsidRPr="006964CB">
              <w:t>v tom: za každý subjekt verejnej správy / program zvlášť</w:t>
            </w:r>
          </w:p>
        </w:tc>
        <w:tc>
          <w:tcPr>
            <w:tcW w:w="1267" w:type="dxa"/>
            <w:noWrap/>
            <w:vAlign w:val="center"/>
          </w:tcPr>
          <w:p w:rsidR="00B16260" w:rsidRPr="006F6A99" w:rsidRDefault="00B16260" w:rsidP="00473817">
            <w:pPr>
              <w:jc w:val="right"/>
            </w:pPr>
            <w:r>
              <w:t>0</w:t>
            </w:r>
          </w:p>
        </w:tc>
        <w:tc>
          <w:tcPr>
            <w:tcW w:w="1267" w:type="dxa"/>
            <w:noWrap/>
            <w:vAlign w:val="center"/>
          </w:tcPr>
          <w:p w:rsidR="00B16260" w:rsidRPr="006F6A99" w:rsidRDefault="00B16260" w:rsidP="00473817">
            <w:pPr>
              <w:jc w:val="right"/>
            </w:pPr>
            <w:r>
              <w:t>23 278</w:t>
            </w:r>
          </w:p>
        </w:tc>
        <w:tc>
          <w:tcPr>
            <w:tcW w:w="1267" w:type="dxa"/>
            <w:noWrap/>
            <w:vAlign w:val="center"/>
          </w:tcPr>
          <w:p w:rsidR="00B16260" w:rsidRPr="006F6A99" w:rsidRDefault="00B16260" w:rsidP="00473817">
            <w:pPr>
              <w:jc w:val="right"/>
            </w:pPr>
            <w:r>
              <w:t>11 639</w:t>
            </w:r>
          </w:p>
        </w:tc>
        <w:tc>
          <w:tcPr>
            <w:tcW w:w="1267" w:type="dxa"/>
            <w:noWrap/>
            <w:vAlign w:val="center"/>
          </w:tcPr>
          <w:p w:rsidR="00B16260" w:rsidRPr="006F6A99" w:rsidRDefault="00B16260" w:rsidP="00473817">
            <w:pPr>
              <w:jc w:val="right"/>
            </w:pPr>
            <w:r>
              <w:t>11 639</w:t>
            </w:r>
          </w:p>
        </w:tc>
      </w:tr>
    </w:tbl>
    <w:bookmarkEnd w:id="0"/>
    <w:p w:rsidR="00B16260" w:rsidRPr="00BB6834" w:rsidRDefault="00B16260" w:rsidP="00B16260">
      <w:pPr>
        <w:rPr>
          <w:sz w:val="20"/>
          <w:szCs w:val="20"/>
        </w:rPr>
      </w:pPr>
      <w:r w:rsidRPr="00BB6834">
        <w:rPr>
          <w:sz w:val="20"/>
          <w:szCs w:val="20"/>
        </w:rPr>
        <w:t xml:space="preserve">* splátka za rok 2014 </w:t>
      </w:r>
      <w:r>
        <w:rPr>
          <w:sz w:val="20"/>
          <w:szCs w:val="20"/>
        </w:rPr>
        <w:t xml:space="preserve">sa uhradí spolu so splátkou za rok 2015 až v roku </w:t>
      </w:r>
      <w:r w:rsidRPr="00BB6834">
        <w:rPr>
          <w:sz w:val="20"/>
          <w:szCs w:val="20"/>
        </w:rPr>
        <w:t>2015</w:t>
      </w:r>
      <w:r>
        <w:rPr>
          <w:sz w:val="20"/>
          <w:szCs w:val="20"/>
        </w:rPr>
        <w:t>. V ostatných rokoch sa bude uhrádzať jednotná splátka vo výške 11 639,- EUR.</w:t>
      </w:r>
    </w:p>
    <w:p w:rsidR="00B16260" w:rsidRDefault="00B16260" w:rsidP="00B16260"/>
    <w:p w:rsidR="00B16260" w:rsidRPr="006F6A99" w:rsidRDefault="00B16260" w:rsidP="00B16260"/>
    <w:p w:rsidR="00B16260" w:rsidRPr="006F6A99" w:rsidRDefault="00B16260" w:rsidP="00B16260">
      <w:pPr>
        <w:rPr>
          <w:b/>
          <w:bCs/>
        </w:rPr>
      </w:pPr>
      <w:r w:rsidRPr="006F6A99">
        <w:rPr>
          <w:b/>
          <w:bCs/>
        </w:rPr>
        <w:t>2.2. Financovanie návrhu</w:t>
      </w:r>
    </w:p>
    <w:p w:rsidR="00B16260" w:rsidRPr="006F6A99" w:rsidRDefault="00B16260" w:rsidP="00B16260">
      <w:pPr>
        <w:jc w:val="center"/>
        <w:rPr>
          <w:sz w:val="20"/>
          <w:szCs w:val="20"/>
        </w:rPr>
      </w:pPr>
      <w:r>
        <w:rPr>
          <w:sz w:val="20"/>
          <w:szCs w:val="20"/>
        </w:rPr>
        <w:t xml:space="preserve">                                                                                                                                                     </w:t>
      </w:r>
      <w:r w:rsidRPr="006F6A99">
        <w:rPr>
          <w:sz w:val="20"/>
          <w:szCs w:val="20"/>
        </w:rPr>
        <w:t>Tabuľka č. 2</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4"/>
        <w:gridCol w:w="1264"/>
        <w:gridCol w:w="1264"/>
        <w:gridCol w:w="1264"/>
        <w:gridCol w:w="1264"/>
      </w:tblGrid>
      <w:tr w:rsidR="00B16260" w:rsidRPr="006F6A99" w:rsidTr="00473817">
        <w:trPr>
          <w:cantSplit/>
          <w:trHeight w:val="70"/>
        </w:trPr>
        <w:tc>
          <w:tcPr>
            <w:tcW w:w="4304" w:type="dxa"/>
            <w:vMerge w:val="restart"/>
            <w:shd w:val="clear" w:color="auto" w:fill="000000"/>
            <w:vAlign w:val="center"/>
          </w:tcPr>
          <w:p w:rsidR="00B16260" w:rsidRPr="006F6A99" w:rsidRDefault="00B16260" w:rsidP="00473817">
            <w:pPr>
              <w:jc w:val="center"/>
              <w:rPr>
                <w:b/>
                <w:bCs/>
                <w:color w:val="FFFFFF"/>
              </w:rPr>
            </w:pPr>
            <w:r w:rsidRPr="006F6A99">
              <w:rPr>
                <w:b/>
                <w:bCs/>
                <w:color w:val="FFFFFF"/>
              </w:rPr>
              <w:t>Financovanie</w:t>
            </w:r>
          </w:p>
        </w:tc>
        <w:tc>
          <w:tcPr>
            <w:tcW w:w="5056" w:type="dxa"/>
            <w:gridSpan w:val="4"/>
            <w:shd w:val="clear" w:color="auto" w:fill="000000"/>
            <w:vAlign w:val="center"/>
          </w:tcPr>
          <w:p w:rsidR="00B16260" w:rsidRPr="006F6A99" w:rsidRDefault="00B16260" w:rsidP="00473817">
            <w:pPr>
              <w:jc w:val="center"/>
              <w:rPr>
                <w:b/>
                <w:bCs/>
                <w:color w:val="FFFFFF"/>
              </w:rPr>
            </w:pPr>
            <w:r w:rsidRPr="006F6A99">
              <w:rPr>
                <w:b/>
                <w:bCs/>
                <w:color w:val="FFFFFF"/>
              </w:rPr>
              <w:t xml:space="preserve">Vplyv na rozpočet verejnej správy </w:t>
            </w:r>
            <w:r w:rsidRPr="006F6A99">
              <w:rPr>
                <w:b/>
                <w:bCs/>
              </w:rPr>
              <w:t>(v eurách)</w:t>
            </w:r>
          </w:p>
        </w:tc>
      </w:tr>
      <w:tr w:rsidR="00B16260" w:rsidRPr="006F6A99" w:rsidTr="00473817">
        <w:trPr>
          <w:cantSplit/>
          <w:trHeight w:val="70"/>
        </w:trPr>
        <w:tc>
          <w:tcPr>
            <w:tcW w:w="4304" w:type="dxa"/>
            <w:vMerge/>
          </w:tcPr>
          <w:p w:rsidR="00B16260" w:rsidRPr="006F6A99" w:rsidRDefault="00B16260" w:rsidP="00473817">
            <w:pPr>
              <w:jc w:val="center"/>
              <w:rPr>
                <w:b/>
                <w:bCs/>
                <w:color w:val="FFFFFF"/>
              </w:rPr>
            </w:pPr>
          </w:p>
        </w:tc>
        <w:tc>
          <w:tcPr>
            <w:tcW w:w="1264" w:type="dxa"/>
            <w:shd w:val="clear" w:color="auto" w:fill="000000"/>
            <w:vAlign w:val="center"/>
          </w:tcPr>
          <w:p w:rsidR="00B16260" w:rsidRPr="006F6A99" w:rsidRDefault="00B16260" w:rsidP="00473817">
            <w:pPr>
              <w:jc w:val="center"/>
              <w:rPr>
                <w:b/>
                <w:bCs/>
                <w:color w:val="FFFFFF"/>
              </w:rPr>
            </w:pPr>
            <w:r>
              <w:rPr>
                <w:b/>
                <w:bCs/>
                <w:color w:val="FFFFFF"/>
              </w:rPr>
              <w:t>2014</w:t>
            </w:r>
          </w:p>
        </w:tc>
        <w:tc>
          <w:tcPr>
            <w:tcW w:w="1264" w:type="dxa"/>
            <w:shd w:val="clear" w:color="auto" w:fill="000000"/>
            <w:vAlign w:val="center"/>
          </w:tcPr>
          <w:p w:rsidR="00B16260" w:rsidRPr="006F6A99" w:rsidRDefault="00B16260" w:rsidP="00473817">
            <w:pPr>
              <w:jc w:val="center"/>
              <w:rPr>
                <w:b/>
                <w:bCs/>
                <w:color w:val="FFFFFF"/>
              </w:rPr>
            </w:pPr>
            <w:r>
              <w:rPr>
                <w:b/>
                <w:bCs/>
                <w:color w:val="FFFFFF"/>
              </w:rPr>
              <w:t>2015</w:t>
            </w:r>
          </w:p>
        </w:tc>
        <w:tc>
          <w:tcPr>
            <w:tcW w:w="1264" w:type="dxa"/>
            <w:shd w:val="clear" w:color="auto" w:fill="000000"/>
            <w:vAlign w:val="center"/>
          </w:tcPr>
          <w:p w:rsidR="00B16260" w:rsidRPr="006F6A99" w:rsidRDefault="00B16260" w:rsidP="00473817">
            <w:pPr>
              <w:jc w:val="center"/>
              <w:rPr>
                <w:b/>
                <w:bCs/>
                <w:color w:val="FFFFFF"/>
              </w:rPr>
            </w:pPr>
            <w:r>
              <w:rPr>
                <w:b/>
                <w:bCs/>
                <w:color w:val="FFFFFF"/>
              </w:rPr>
              <w:t>2016</w:t>
            </w:r>
          </w:p>
        </w:tc>
        <w:tc>
          <w:tcPr>
            <w:tcW w:w="1264" w:type="dxa"/>
            <w:shd w:val="clear" w:color="auto" w:fill="000000"/>
            <w:vAlign w:val="center"/>
          </w:tcPr>
          <w:p w:rsidR="00B16260" w:rsidRPr="006F6A99" w:rsidRDefault="00B16260" w:rsidP="00473817">
            <w:pPr>
              <w:jc w:val="center"/>
              <w:rPr>
                <w:b/>
                <w:bCs/>
                <w:color w:val="FFFFFF"/>
              </w:rPr>
            </w:pPr>
            <w:r>
              <w:rPr>
                <w:b/>
                <w:bCs/>
                <w:color w:val="FFFFFF"/>
              </w:rPr>
              <w:t>2017</w:t>
            </w:r>
          </w:p>
        </w:tc>
      </w:tr>
      <w:tr w:rsidR="00B16260" w:rsidRPr="006F6A99" w:rsidTr="00473817">
        <w:trPr>
          <w:trHeight w:val="70"/>
        </w:trPr>
        <w:tc>
          <w:tcPr>
            <w:tcW w:w="4304" w:type="dxa"/>
            <w:vAlign w:val="center"/>
          </w:tcPr>
          <w:p w:rsidR="00B16260" w:rsidRPr="006F6A99" w:rsidRDefault="00B16260" w:rsidP="00473817">
            <w:pPr>
              <w:rPr>
                <w:b/>
                <w:bCs/>
              </w:rPr>
            </w:pPr>
            <w:r w:rsidRPr="006F6A99">
              <w:rPr>
                <w:b/>
                <w:bCs/>
              </w:rPr>
              <w:t>Celkový vplyv na rozpočet verejnej správy ( - príjmy, + výdavky)</w:t>
            </w:r>
          </w:p>
        </w:tc>
        <w:tc>
          <w:tcPr>
            <w:tcW w:w="1264" w:type="dxa"/>
            <w:noWrap/>
            <w:vAlign w:val="center"/>
          </w:tcPr>
          <w:p w:rsidR="00B16260" w:rsidRPr="00713F01" w:rsidRDefault="00B16260" w:rsidP="00473817">
            <w:pPr>
              <w:jc w:val="right"/>
              <w:rPr>
                <w:b/>
                <w:bCs/>
              </w:rPr>
            </w:pPr>
            <w:r w:rsidRPr="00271E4D">
              <w:rPr>
                <w:b/>
                <w:bCs/>
                <w:iCs/>
              </w:rPr>
              <w:t>0</w:t>
            </w:r>
          </w:p>
        </w:tc>
        <w:tc>
          <w:tcPr>
            <w:tcW w:w="1264" w:type="dxa"/>
            <w:noWrap/>
            <w:vAlign w:val="center"/>
          </w:tcPr>
          <w:p w:rsidR="00B16260" w:rsidRPr="00713F01" w:rsidRDefault="00B16260" w:rsidP="00473817">
            <w:pPr>
              <w:jc w:val="right"/>
              <w:rPr>
                <w:b/>
                <w:bCs/>
              </w:rPr>
            </w:pPr>
            <w:r w:rsidRPr="00271E4D">
              <w:rPr>
                <w:b/>
                <w:bCs/>
                <w:iCs/>
              </w:rPr>
              <w:t>23 278</w:t>
            </w:r>
          </w:p>
        </w:tc>
        <w:tc>
          <w:tcPr>
            <w:tcW w:w="1264" w:type="dxa"/>
            <w:noWrap/>
            <w:vAlign w:val="center"/>
          </w:tcPr>
          <w:p w:rsidR="00B16260" w:rsidRPr="00713F01" w:rsidRDefault="00B16260" w:rsidP="00473817">
            <w:pPr>
              <w:jc w:val="right"/>
              <w:rPr>
                <w:b/>
                <w:bCs/>
              </w:rPr>
            </w:pPr>
            <w:r w:rsidRPr="00271E4D">
              <w:rPr>
                <w:b/>
                <w:bCs/>
                <w:iCs/>
              </w:rPr>
              <w:t>11 639</w:t>
            </w:r>
          </w:p>
        </w:tc>
        <w:tc>
          <w:tcPr>
            <w:tcW w:w="1264" w:type="dxa"/>
            <w:noWrap/>
            <w:vAlign w:val="center"/>
          </w:tcPr>
          <w:p w:rsidR="00B16260" w:rsidRPr="00713F01" w:rsidRDefault="00B16260" w:rsidP="00473817">
            <w:pPr>
              <w:jc w:val="right"/>
              <w:rPr>
                <w:b/>
                <w:bCs/>
              </w:rPr>
            </w:pPr>
            <w:r w:rsidRPr="00271E4D">
              <w:rPr>
                <w:b/>
                <w:bCs/>
                <w:iCs/>
              </w:rPr>
              <w:t>11 639</w:t>
            </w:r>
          </w:p>
        </w:tc>
      </w:tr>
      <w:tr w:rsidR="00B16260" w:rsidRPr="006F6A99" w:rsidTr="00473817">
        <w:trPr>
          <w:trHeight w:val="70"/>
        </w:trPr>
        <w:tc>
          <w:tcPr>
            <w:tcW w:w="4304" w:type="dxa"/>
            <w:vAlign w:val="center"/>
          </w:tcPr>
          <w:p w:rsidR="00B16260" w:rsidRPr="006F6A99" w:rsidRDefault="00B16260" w:rsidP="00473817">
            <w:r w:rsidRPr="006F6A99">
              <w:t xml:space="preserve">  z toho vplyv na ŠR</w:t>
            </w:r>
          </w:p>
        </w:tc>
        <w:tc>
          <w:tcPr>
            <w:tcW w:w="1264" w:type="dxa"/>
            <w:noWrap/>
            <w:vAlign w:val="center"/>
          </w:tcPr>
          <w:p w:rsidR="00B16260" w:rsidRPr="00BF4BCD" w:rsidRDefault="00B16260" w:rsidP="00473817">
            <w:pPr>
              <w:jc w:val="right"/>
            </w:pPr>
            <w:r>
              <w:rPr>
                <w:bCs/>
                <w:iCs/>
              </w:rPr>
              <w:t>0</w:t>
            </w:r>
          </w:p>
        </w:tc>
        <w:tc>
          <w:tcPr>
            <w:tcW w:w="1264" w:type="dxa"/>
            <w:noWrap/>
            <w:vAlign w:val="center"/>
          </w:tcPr>
          <w:p w:rsidR="00B16260" w:rsidRPr="00BF4BCD" w:rsidRDefault="00B16260" w:rsidP="00473817">
            <w:pPr>
              <w:jc w:val="right"/>
            </w:pPr>
            <w:r>
              <w:rPr>
                <w:bCs/>
                <w:iCs/>
              </w:rPr>
              <w:t>23 278</w:t>
            </w:r>
          </w:p>
        </w:tc>
        <w:tc>
          <w:tcPr>
            <w:tcW w:w="1264" w:type="dxa"/>
            <w:noWrap/>
            <w:vAlign w:val="center"/>
          </w:tcPr>
          <w:p w:rsidR="00B16260" w:rsidRPr="00BF4BCD" w:rsidRDefault="00B16260" w:rsidP="00473817">
            <w:pPr>
              <w:jc w:val="right"/>
            </w:pPr>
            <w:r w:rsidRPr="00BF4BCD">
              <w:rPr>
                <w:bCs/>
                <w:iCs/>
              </w:rPr>
              <w:t>11 63</w:t>
            </w:r>
            <w:r>
              <w:rPr>
                <w:bCs/>
                <w:iCs/>
              </w:rPr>
              <w:t>9</w:t>
            </w:r>
          </w:p>
        </w:tc>
        <w:tc>
          <w:tcPr>
            <w:tcW w:w="1264" w:type="dxa"/>
            <w:noWrap/>
            <w:vAlign w:val="center"/>
          </w:tcPr>
          <w:p w:rsidR="00B16260" w:rsidRPr="00BF4BCD" w:rsidRDefault="00B16260" w:rsidP="00473817">
            <w:pPr>
              <w:jc w:val="right"/>
            </w:pPr>
            <w:r w:rsidRPr="00BF4BCD">
              <w:rPr>
                <w:bCs/>
                <w:iCs/>
              </w:rPr>
              <w:t>11 63</w:t>
            </w:r>
            <w:r>
              <w:rPr>
                <w:bCs/>
                <w:iCs/>
              </w:rPr>
              <w:t>9</w:t>
            </w:r>
          </w:p>
        </w:tc>
      </w:tr>
      <w:tr w:rsidR="00B16260" w:rsidRPr="006F6A99" w:rsidTr="00473817">
        <w:trPr>
          <w:trHeight w:val="151"/>
        </w:trPr>
        <w:tc>
          <w:tcPr>
            <w:tcW w:w="4304" w:type="dxa"/>
            <w:vAlign w:val="center"/>
          </w:tcPr>
          <w:p w:rsidR="00B16260" w:rsidRPr="006F6A99" w:rsidRDefault="00B16260" w:rsidP="00473817">
            <w:r w:rsidRPr="006F6A99">
              <w:t xml:space="preserve">  financovanie zabezpečené v rozpočte</w:t>
            </w:r>
          </w:p>
        </w:tc>
        <w:tc>
          <w:tcPr>
            <w:tcW w:w="1264" w:type="dxa"/>
            <w:noWrap/>
            <w:vAlign w:val="center"/>
          </w:tcPr>
          <w:p w:rsidR="00B16260" w:rsidRPr="00BF4BCD" w:rsidRDefault="00B16260" w:rsidP="00473817">
            <w:pPr>
              <w:jc w:val="right"/>
            </w:pPr>
            <w:r>
              <w:rPr>
                <w:bCs/>
                <w:iCs/>
              </w:rPr>
              <w:t>0</w:t>
            </w:r>
          </w:p>
        </w:tc>
        <w:tc>
          <w:tcPr>
            <w:tcW w:w="1264" w:type="dxa"/>
            <w:noWrap/>
            <w:vAlign w:val="center"/>
          </w:tcPr>
          <w:p w:rsidR="00B16260" w:rsidRPr="00BF4BCD" w:rsidRDefault="00B16260" w:rsidP="00473817">
            <w:pPr>
              <w:jc w:val="right"/>
            </w:pPr>
            <w:r>
              <w:rPr>
                <w:bCs/>
                <w:iCs/>
              </w:rPr>
              <w:t>23 278</w:t>
            </w:r>
          </w:p>
        </w:tc>
        <w:tc>
          <w:tcPr>
            <w:tcW w:w="1264" w:type="dxa"/>
            <w:noWrap/>
            <w:vAlign w:val="center"/>
          </w:tcPr>
          <w:p w:rsidR="00B16260" w:rsidRPr="00BF4BCD" w:rsidRDefault="00B16260" w:rsidP="00473817">
            <w:pPr>
              <w:jc w:val="right"/>
            </w:pPr>
            <w:r w:rsidRPr="00BF4BCD">
              <w:rPr>
                <w:bCs/>
                <w:iCs/>
              </w:rPr>
              <w:t>11 63</w:t>
            </w:r>
            <w:r>
              <w:rPr>
                <w:bCs/>
                <w:iCs/>
              </w:rPr>
              <w:t>9</w:t>
            </w:r>
          </w:p>
        </w:tc>
        <w:tc>
          <w:tcPr>
            <w:tcW w:w="1264" w:type="dxa"/>
            <w:noWrap/>
            <w:vAlign w:val="center"/>
          </w:tcPr>
          <w:p w:rsidR="00B16260" w:rsidRPr="00BF4BCD" w:rsidRDefault="00B16260" w:rsidP="00473817">
            <w:pPr>
              <w:jc w:val="right"/>
            </w:pPr>
            <w:r w:rsidRPr="00BF4BCD">
              <w:rPr>
                <w:bCs/>
                <w:iCs/>
              </w:rPr>
              <w:t>11 63</w:t>
            </w:r>
            <w:r>
              <w:rPr>
                <w:bCs/>
                <w:iCs/>
              </w:rPr>
              <w:t>9</w:t>
            </w:r>
          </w:p>
        </w:tc>
      </w:tr>
      <w:tr w:rsidR="00B16260" w:rsidRPr="006F6A99" w:rsidTr="00473817">
        <w:trPr>
          <w:trHeight w:val="135"/>
        </w:trPr>
        <w:tc>
          <w:tcPr>
            <w:tcW w:w="4304" w:type="dxa"/>
            <w:vAlign w:val="center"/>
          </w:tcPr>
          <w:p w:rsidR="00B16260" w:rsidRPr="006F6A99" w:rsidRDefault="00B16260" w:rsidP="00473817">
            <w:pPr>
              <w:rPr>
                <w:highlight w:val="yellow"/>
              </w:rPr>
            </w:pPr>
            <w:r w:rsidRPr="006F6A99">
              <w:t xml:space="preserve">  ostatné zdroje financovania</w:t>
            </w:r>
          </w:p>
        </w:tc>
        <w:tc>
          <w:tcPr>
            <w:tcW w:w="1264" w:type="dxa"/>
            <w:noWrap/>
            <w:vAlign w:val="center"/>
          </w:tcPr>
          <w:p w:rsidR="00B16260" w:rsidRPr="006F6A99" w:rsidRDefault="00B16260" w:rsidP="00473817">
            <w:pPr>
              <w:jc w:val="right"/>
            </w:pPr>
            <w:r w:rsidRPr="006F6A99">
              <w:t>0</w:t>
            </w:r>
          </w:p>
        </w:tc>
        <w:tc>
          <w:tcPr>
            <w:tcW w:w="1264" w:type="dxa"/>
            <w:noWrap/>
            <w:vAlign w:val="center"/>
          </w:tcPr>
          <w:p w:rsidR="00B16260" w:rsidRPr="006F6A99" w:rsidRDefault="00B16260" w:rsidP="00473817">
            <w:pPr>
              <w:jc w:val="right"/>
            </w:pPr>
            <w:r w:rsidRPr="006F6A99">
              <w:t>0</w:t>
            </w:r>
          </w:p>
        </w:tc>
        <w:tc>
          <w:tcPr>
            <w:tcW w:w="1264" w:type="dxa"/>
            <w:noWrap/>
            <w:vAlign w:val="center"/>
          </w:tcPr>
          <w:p w:rsidR="00B16260" w:rsidRPr="006F6A99" w:rsidRDefault="00B16260" w:rsidP="00473817">
            <w:pPr>
              <w:jc w:val="right"/>
            </w:pPr>
            <w:r w:rsidRPr="006F6A99">
              <w:t>0</w:t>
            </w:r>
          </w:p>
        </w:tc>
        <w:tc>
          <w:tcPr>
            <w:tcW w:w="1264" w:type="dxa"/>
            <w:noWrap/>
            <w:vAlign w:val="center"/>
          </w:tcPr>
          <w:p w:rsidR="00B16260" w:rsidRPr="006F6A99" w:rsidRDefault="00B16260" w:rsidP="00473817">
            <w:pPr>
              <w:jc w:val="right"/>
            </w:pPr>
            <w:r w:rsidRPr="006F6A99">
              <w:t>0</w:t>
            </w:r>
          </w:p>
        </w:tc>
      </w:tr>
      <w:tr w:rsidR="00B16260" w:rsidRPr="006F6A99" w:rsidTr="00473817">
        <w:trPr>
          <w:trHeight w:val="70"/>
        </w:trPr>
        <w:tc>
          <w:tcPr>
            <w:tcW w:w="4304" w:type="dxa"/>
            <w:vAlign w:val="center"/>
          </w:tcPr>
          <w:p w:rsidR="00B16260" w:rsidRPr="006F6A99" w:rsidRDefault="00B16260" w:rsidP="00473817">
            <w:pPr>
              <w:rPr>
                <w:b/>
                <w:bCs/>
              </w:rPr>
            </w:pPr>
            <w:r w:rsidRPr="006F6A99">
              <w:rPr>
                <w:b/>
                <w:bCs/>
              </w:rPr>
              <w:t>Rozpočtovo nekrytý vplyv / úspora</w:t>
            </w:r>
          </w:p>
        </w:tc>
        <w:tc>
          <w:tcPr>
            <w:tcW w:w="1264" w:type="dxa"/>
            <w:noWrap/>
            <w:vAlign w:val="center"/>
          </w:tcPr>
          <w:p w:rsidR="00B16260" w:rsidRPr="006F6A99" w:rsidRDefault="00B16260" w:rsidP="00473817">
            <w:pPr>
              <w:jc w:val="right"/>
              <w:rPr>
                <w:b/>
                <w:bCs/>
              </w:rPr>
            </w:pPr>
            <w:r w:rsidRPr="006F6A99">
              <w:rPr>
                <w:b/>
                <w:bCs/>
              </w:rPr>
              <w:t>0</w:t>
            </w:r>
          </w:p>
        </w:tc>
        <w:tc>
          <w:tcPr>
            <w:tcW w:w="1264" w:type="dxa"/>
            <w:noWrap/>
            <w:vAlign w:val="center"/>
          </w:tcPr>
          <w:p w:rsidR="00B16260" w:rsidRPr="006F6A99" w:rsidRDefault="00B16260" w:rsidP="00473817">
            <w:pPr>
              <w:jc w:val="right"/>
              <w:rPr>
                <w:b/>
                <w:bCs/>
              </w:rPr>
            </w:pPr>
            <w:r w:rsidRPr="006F6A99">
              <w:rPr>
                <w:b/>
                <w:bCs/>
              </w:rPr>
              <w:t>0</w:t>
            </w:r>
          </w:p>
        </w:tc>
        <w:tc>
          <w:tcPr>
            <w:tcW w:w="1264" w:type="dxa"/>
            <w:noWrap/>
            <w:vAlign w:val="center"/>
          </w:tcPr>
          <w:p w:rsidR="00B16260" w:rsidRPr="006F6A99" w:rsidRDefault="00B16260" w:rsidP="00473817">
            <w:pPr>
              <w:jc w:val="right"/>
              <w:rPr>
                <w:b/>
                <w:bCs/>
              </w:rPr>
            </w:pPr>
            <w:r w:rsidRPr="006F6A99">
              <w:rPr>
                <w:b/>
                <w:bCs/>
              </w:rPr>
              <w:t>0</w:t>
            </w:r>
          </w:p>
        </w:tc>
        <w:tc>
          <w:tcPr>
            <w:tcW w:w="1264" w:type="dxa"/>
            <w:noWrap/>
            <w:vAlign w:val="center"/>
          </w:tcPr>
          <w:p w:rsidR="00B16260" w:rsidRPr="006F6A99" w:rsidRDefault="00B16260" w:rsidP="00473817">
            <w:pPr>
              <w:jc w:val="right"/>
              <w:rPr>
                <w:b/>
                <w:bCs/>
              </w:rPr>
            </w:pPr>
            <w:r w:rsidRPr="006F6A99">
              <w:rPr>
                <w:b/>
                <w:bCs/>
              </w:rPr>
              <w:t>0</w:t>
            </w:r>
          </w:p>
        </w:tc>
      </w:tr>
    </w:tbl>
    <w:p w:rsidR="00B16260" w:rsidRPr="006F6A99" w:rsidRDefault="00B16260" w:rsidP="00B16260">
      <w:pPr>
        <w:rPr>
          <w:b/>
          <w:bCs/>
        </w:rPr>
      </w:pPr>
    </w:p>
    <w:p w:rsidR="00B16260" w:rsidRPr="006F6A99" w:rsidRDefault="00B16260" w:rsidP="00B16260">
      <w:pPr>
        <w:rPr>
          <w:b/>
          <w:bCs/>
        </w:rPr>
      </w:pPr>
      <w:r w:rsidRPr="006F6A99">
        <w:rPr>
          <w:b/>
          <w:bCs/>
        </w:rPr>
        <w:t>Návrh na riešenie úbytku príjmov alebo zvýšených výdavkov podľa § 33 ods. 1 zákona č. 523/2004 Z. z. o rozpočtových pravidlách verejnej správy:</w:t>
      </w:r>
    </w:p>
    <w:p w:rsidR="00B16260" w:rsidRPr="00CB7D91" w:rsidRDefault="00B16260" w:rsidP="00B16260">
      <w:pPr>
        <w:pBdr>
          <w:top w:val="single" w:sz="4" w:space="1" w:color="auto"/>
          <w:left w:val="single" w:sz="4" w:space="4" w:color="auto"/>
          <w:bottom w:val="single" w:sz="4" w:space="1" w:color="auto"/>
          <w:right w:val="single" w:sz="4" w:space="4" w:color="auto"/>
        </w:pBdr>
        <w:jc w:val="both"/>
        <w:rPr>
          <w:bCs/>
        </w:rPr>
      </w:pPr>
      <w:r w:rsidRPr="00CB7D91">
        <w:rPr>
          <w:bCs/>
        </w:rPr>
        <w:t>Výpočet povinného národného príspevku pre prioritnú os Technická pomoc bol stanovený podľa počtu obyvateľov krajiny vychádzajúc z údajov z roku 2012. Následne bola výška povinného národného príspevku (81 471,- EUR) odsúhlasená/schválená na zasadnutí nadnárodného Programovacieho výboru</w:t>
      </w:r>
      <w:r w:rsidRPr="00CB7D91">
        <w:t xml:space="preserve">. </w:t>
      </w:r>
      <w:r w:rsidRPr="009255AF">
        <w:t xml:space="preserve">Zároveň povinný národný príspevok zahŕňa aj sumu vyčlenenú na financovanie aktivít Národného kontaktného bodu vo </w:t>
      </w:r>
      <w:r w:rsidRPr="002C4BC7">
        <w:t>výške 6 398,- EUR,</w:t>
      </w:r>
      <w:r w:rsidRPr="009255AF">
        <w:t xml:space="preserve"> ktorú Národný kontaktný bod bude môcť získať späť z prioritnej osi Technická pomoc po </w:t>
      </w:r>
      <w:r>
        <w:t>z</w:t>
      </w:r>
      <w:r w:rsidRPr="009255AF">
        <w:t>realiz</w:t>
      </w:r>
      <w:r>
        <w:t>ovaní</w:t>
      </w:r>
      <w:r w:rsidRPr="009255AF">
        <w:t xml:space="preserve"> naplánovaných aktivít formou refundácie prostredníctvom zjednodušeného vykazovania výdavkov.</w:t>
      </w:r>
    </w:p>
    <w:p w:rsidR="00B16260" w:rsidRDefault="00B16260" w:rsidP="00B16260">
      <w:pPr>
        <w:rPr>
          <w:b/>
          <w:bCs/>
        </w:rPr>
      </w:pPr>
    </w:p>
    <w:p w:rsidR="004B24FE" w:rsidRDefault="004B24FE" w:rsidP="004B24FE">
      <w:pPr>
        <w:rPr>
          <w:b/>
          <w:bCs/>
        </w:rPr>
      </w:pPr>
      <w:r>
        <w:rPr>
          <w:b/>
          <w:bCs/>
        </w:rPr>
        <w:br/>
      </w:r>
    </w:p>
    <w:p w:rsidR="004B24FE" w:rsidRDefault="004B24FE">
      <w:pPr>
        <w:spacing w:after="200" w:line="276" w:lineRule="auto"/>
        <w:rPr>
          <w:b/>
          <w:bCs/>
        </w:rPr>
      </w:pPr>
      <w:r>
        <w:rPr>
          <w:b/>
          <w:bCs/>
        </w:rPr>
        <w:br w:type="page"/>
      </w:r>
    </w:p>
    <w:p w:rsidR="004B24FE" w:rsidRDefault="004B24FE" w:rsidP="004B24FE">
      <w:pPr>
        <w:rPr>
          <w:b/>
          <w:bCs/>
        </w:rPr>
        <w:sectPr w:rsidR="004B24FE" w:rsidSect="004B24FE">
          <w:pgSz w:w="11906" w:h="16838"/>
          <w:pgMar w:top="851" w:right="1134" w:bottom="1418" w:left="1134" w:header="709" w:footer="709" w:gutter="0"/>
          <w:cols w:space="708"/>
          <w:docGrid w:linePitch="326"/>
        </w:sectPr>
      </w:pPr>
    </w:p>
    <w:p w:rsidR="004B24FE" w:rsidRDefault="004B24FE" w:rsidP="004B24FE">
      <w:pPr>
        <w:rPr>
          <w:b/>
          <w:bCs/>
        </w:rPr>
      </w:pPr>
    </w:p>
    <w:p w:rsidR="004B24FE" w:rsidRPr="00FD61F2" w:rsidRDefault="004B24FE" w:rsidP="004B24FE">
      <w:pPr>
        <w:jc w:val="right"/>
        <w:rPr>
          <w:sz w:val="20"/>
          <w:szCs w:val="20"/>
        </w:rPr>
      </w:pPr>
      <w:r w:rsidRPr="00FD61F2">
        <w:rPr>
          <w:sz w:val="20"/>
          <w:szCs w:val="20"/>
        </w:rPr>
        <w:t>Tabuľka č. 5</w:t>
      </w:r>
    </w:p>
    <w:tbl>
      <w:tblPr>
        <w:tblpPr w:leftFromText="141" w:rightFromText="141"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402"/>
        <w:gridCol w:w="1678"/>
        <w:gridCol w:w="2220"/>
      </w:tblGrid>
      <w:tr w:rsidR="004B24FE" w:rsidTr="00B0324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vAlign w:val="center"/>
            <w:hideMark/>
          </w:tcPr>
          <w:p w:rsidR="004B24FE" w:rsidRDefault="004B24FE" w:rsidP="00B03249">
            <w:pPr>
              <w:jc w:val="center"/>
              <w:rPr>
                <w:b/>
                <w:bCs/>
                <w:color w:val="FFFFFF"/>
                <w:sz w:val="20"/>
                <w:szCs w:val="20"/>
              </w:rPr>
            </w:pPr>
            <w:r>
              <w:rPr>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hideMark/>
          </w:tcPr>
          <w:p w:rsidR="004B24FE" w:rsidRDefault="004B24FE" w:rsidP="00B03249">
            <w:pPr>
              <w:jc w:val="center"/>
              <w:rPr>
                <w:b/>
                <w:bCs/>
                <w:color w:val="FFFFFF"/>
                <w:sz w:val="20"/>
                <w:szCs w:val="20"/>
              </w:rPr>
            </w:pPr>
            <w:r>
              <w:rPr>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vAlign w:val="center"/>
            <w:hideMark/>
          </w:tcPr>
          <w:p w:rsidR="004B24FE" w:rsidRDefault="004B24FE" w:rsidP="00B03249">
            <w:pPr>
              <w:jc w:val="center"/>
              <w:rPr>
                <w:b/>
                <w:bCs/>
                <w:color w:val="FFFFFF"/>
              </w:rPr>
            </w:pPr>
            <w:r>
              <w:rPr>
                <w:b/>
                <w:bCs/>
                <w:color w:val="FFFFFF"/>
              </w:rPr>
              <w:t>poznámka</w:t>
            </w:r>
          </w:p>
        </w:tc>
      </w:tr>
      <w:tr w:rsidR="004B24FE" w:rsidTr="00B03249">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4FE" w:rsidRDefault="004B24FE" w:rsidP="00B03249">
            <w:pPr>
              <w:rPr>
                <w:b/>
                <w:bCs/>
                <w:color w:val="FFFFFF"/>
                <w:sz w:val="20"/>
                <w:szCs w:val="20"/>
              </w:rPr>
            </w:pPr>
          </w:p>
        </w:tc>
        <w:tc>
          <w:tcPr>
            <w:tcW w:w="1540" w:type="dxa"/>
            <w:tcBorders>
              <w:top w:val="nil"/>
              <w:left w:val="nil"/>
              <w:bottom w:val="single" w:sz="4" w:space="0" w:color="auto"/>
              <w:right w:val="single" w:sz="4" w:space="0" w:color="auto"/>
            </w:tcBorders>
            <w:shd w:val="clear" w:color="auto" w:fill="000000"/>
            <w:hideMark/>
          </w:tcPr>
          <w:p w:rsidR="004B24FE" w:rsidRDefault="004B24FE" w:rsidP="00B03249">
            <w:pPr>
              <w:jc w:val="center"/>
              <w:rPr>
                <w:b/>
                <w:bCs/>
                <w:color w:val="FFFFFF"/>
                <w:sz w:val="20"/>
                <w:szCs w:val="20"/>
              </w:rPr>
            </w:pPr>
            <w:r>
              <w:rPr>
                <w:b/>
                <w:bCs/>
                <w:color w:val="FFFFFF"/>
                <w:sz w:val="20"/>
                <w:szCs w:val="20"/>
              </w:rPr>
              <w:t>2014</w:t>
            </w:r>
          </w:p>
        </w:tc>
        <w:tc>
          <w:tcPr>
            <w:tcW w:w="1540" w:type="dxa"/>
            <w:tcBorders>
              <w:top w:val="nil"/>
              <w:left w:val="nil"/>
              <w:bottom w:val="single" w:sz="4" w:space="0" w:color="auto"/>
              <w:right w:val="single" w:sz="4" w:space="0" w:color="auto"/>
            </w:tcBorders>
            <w:shd w:val="clear" w:color="auto" w:fill="000000"/>
            <w:hideMark/>
          </w:tcPr>
          <w:p w:rsidR="004B24FE" w:rsidRDefault="004B24FE" w:rsidP="00B03249">
            <w:pPr>
              <w:jc w:val="center"/>
              <w:rPr>
                <w:b/>
                <w:bCs/>
                <w:color w:val="FFFFFF"/>
                <w:sz w:val="20"/>
                <w:szCs w:val="20"/>
              </w:rPr>
            </w:pPr>
            <w:r>
              <w:rPr>
                <w:b/>
                <w:bCs/>
                <w:color w:val="FFFFFF"/>
                <w:sz w:val="20"/>
                <w:szCs w:val="20"/>
              </w:rPr>
              <w:t>2015</w:t>
            </w:r>
          </w:p>
        </w:tc>
        <w:tc>
          <w:tcPr>
            <w:tcW w:w="1402" w:type="dxa"/>
            <w:tcBorders>
              <w:top w:val="nil"/>
              <w:left w:val="nil"/>
              <w:bottom w:val="single" w:sz="4" w:space="0" w:color="auto"/>
              <w:right w:val="single" w:sz="4" w:space="0" w:color="auto"/>
            </w:tcBorders>
            <w:shd w:val="clear" w:color="auto" w:fill="000000"/>
            <w:hideMark/>
          </w:tcPr>
          <w:p w:rsidR="004B24FE" w:rsidRDefault="004B24FE" w:rsidP="00B03249">
            <w:pPr>
              <w:jc w:val="center"/>
              <w:rPr>
                <w:b/>
                <w:bCs/>
                <w:color w:val="FFFFFF"/>
                <w:sz w:val="20"/>
                <w:szCs w:val="20"/>
              </w:rPr>
            </w:pPr>
            <w:r>
              <w:rPr>
                <w:b/>
                <w:bCs/>
                <w:color w:val="FFFFFF"/>
                <w:sz w:val="20"/>
                <w:szCs w:val="20"/>
              </w:rPr>
              <w:t>2016</w:t>
            </w:r>
          </w:p>
        </w:tc>
        <w:tc>
          <w:tcPr>
            <w:tcW w:w="1678" w:type="dxa"/>
            <w:tcBorders>
              <w:top w:val="nil"/>
              <w:left w:val="nil"/>
              <w:bottom w:val="single" w:sz="4" w:space="0" w:color="auto"/>
              <w:right w:val="single" w:sz="4" w:space="0" w:color="auto"/>
            </w:tcBorders>
            <w:shd w:val="clear" w:color="auto" w:fill="000000"/>
            <w:hideMark/>
          </w:tcPr>
          <w:p w:rsidR="004B24FE" w:rsidRPr="000063AB" w:rsidRDefault="004B24FE" w:rsidP="00B03249">
            <w:pPr>
              <w:jc w:val="center"/>
              <w:rPr>
                <w:b/>
                <w:bCs/>
                <w:color w:val="FFFFFF"/>
                <w:sz w:val="20"/>
                <w:szCs w:val="20"/>
              </w:rPr>
            </w:pPr>
            <w:r w:rsidRPr="000063AB">
              <w:rPr>
                <w:b/>
                <w:bCs/>
                <w:color w:val="FFFFFF"/>
                <w:sz w:val="20"/>
                <w:szCs w:val="20"/>
              </w:rPr>
              <w:t>2017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4FE" w:rsidRDefault="004B24FE" w:rsidP="00B03249">
            <w:pPr>
              <w:rPr>
                <w:b/>
                <w:bCs/>
                <w:color w:val="FFFFFF"/>
              </w:rPr>
            </w:pP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b/>
                <w:bCs/>
                <w:sz w:val="20"/>
                <w:szCs w:val="20"/>
              </w:rPr>
            </w:pPr>
            <w:r>
              <w:rPr>
                <w:b/>
                <w:bCs/>
                <w:sz w:val="20"/>
                <w:szCs w:val="20"/>
              </w:rPr>
              <w:t>Bežné výdavky (600)</w:t>
            </w:r>
          </w:p>
        </w:tc>
        <w:tc>
          <w:tcPr>
            <w:tcW w:w="1540" w:type="dxa"/>
            <w:tcBorders>
              <w:top w:val="nil"/>
              <w:left w:val="nil"/>
              <w:bottom w:val="single" w:sz="4" w:space="0" w:color="auto"/>
              <w:right w:val="single" w:sz="4" w:space="0" w:color="auto"/>
            </w:tcBorders>
            <w:vAlign w:val="center"/>
          </w:tcPr>
          <w:p w:rsidR="004B24FE" w:rsidRPr="000037B1" w:rsidRDefault="004B24FE" w:rsidP="00B03249">
            <w:pPr>
              <w:jc w:val="right"/>
              <w:rPr>
                <w:b/>
              </w:rPr>
            </w:pPr>
            <w:r>
              <w:rPr>
                <w:b/>
                <w:bCs/>
                <w:iCs/>
              </w:rPr>
              <w:t>0</w:t>
            </w:r>
          </w:p>
        </w:tc>
        <w:tc>
          <w:tcPr>
            <w:tcW w:w="1540" w:type="dxa"/>
            <w:tcBorders>
              <w:top w:val="nil"/>
              <w:left w:val="nil"/>
              <w:bottom w:val="single" w:sz="4" w:space="0" w:color="auto"/>
              <w:right w:val="single" w:sz="4" w:space="0" w:color="auto"/>
            </w:tcBorders>
            <w:vAlign w:val="center"/>
          </w:tcPr>
          <w:p w:rsidR="004B24FE" w:rsidRPr="000037B1" w:rsidRDefault="004B24FE" w:rsidP="00B03249">
            <w:pPr>
              <w:jc w:val="right"/>
              <w:rPr>
                <w:b/>
              </w:rPr>
            </w:pPr>
            <w:r w:rsidRPr="000037B1">
              <w:rPr>
                <w:b/>
                <w:bCs/>
                <w:iCs/>
              </w:rPr>
              <w:t>23 278</w:t>
            </w:r>
          </w:p>
        </w:tc>
        <w:tc>
          <w:tcPr>
            <w:tcW w:w="1402" w:type="dxa"/>
            <w:tcBorders>
              <w:top w:val="nil"/>
              <w:left w:val="nil"/>
              <w:bottom w:val="single" w:sz="4" w:space="0" w:color="auto"/>
              <w:right w:val="single" w:sz="4" w:space="0" w:color="auto"/>
            </w:tcBorders>
            <w:vAlign w:val="center"/>
          </w:tcPr>
          <w:p w:rsidR="004B24FE" w:rsidRPr="000037B1" w:rsidRDefault="004B24FE" w:rsidP="00B03249">
            <w:pPr>
              <w:jc w:val="right"/>
              <w:rPr>
                <w:b/>
              </w:rPr>
            </w:pPr>
            <w:r w:rsidRPr="000037B1">
              <w:rPr>
                <w:b/>
                <w:bCs/>
                <w:iCs/>
              </w:rPr>
              <w:t>11 639</w:t>
            </w:r>
          </w:p>
        </w:tc>
        <w:tc>
          <w:tcPr>
            <w:tcW w:w="1678" w:type="dxa"/>
            <w:tcBorders>
              <w:top w:val="nil"/>
              <w:left w:val="nil"/>
              <w:bottom w:val="single" w:sz="4" w:space="0" w:color="auto"/>
              <w:right w:val="single" w:sz="4" w:space="0" w:color="auto"/>
            </w:tcBorders>
            <w:vAlign w:val="center"/>
          </w:tcPr>
          <w:p w:rsidR="004B24FE" w:rsidRPr="000037B1" w:rsidRDefault="004B24FE" w:rsidP="00B03249">
            <w:pPr>
              <w:jc w:val="right"/>
              <w:rPr>
                <w:b/>
              </w:rPr>
            </w:pPr>
            <w:r w:rsidRPr="000037B1">
              <w:rPr>
                <w:b/>
                <w:bCs/>
                <w:iCs/>
              </w:rPr>
              <w:t>11 639</w:t>
            </w: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rPr>
            </w:pPr>
            <w:r>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vertAlign w:val="superscript"/>
              </w:rPr>
            </w:pPr>
            <w:r>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vertAlign w:val="superscript"/>
              </w:rPr>
            </w:pPr>
            <w:r>
              <w:rPr>
                <w:sz w:val="20"/>
                <w:szCs w:val="20"/>
              </w:rPr>
              <w:t xml:space="preserve">  Tovary a služby (630)</w:t>
            </w:r>
            <w:r>
              <w:rPr>
                <w:sz w:val="20"/>
                <w:szCs w:val="20"/>
                <w:vertAlign w:val="superscript"/>
              </w:rPr>
              <w:t>2</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rPr>
            </w:pPr>
            <w:r>
              <w:rPr>
                <w:sz w:val="20"/>
                <w:szCs w:val="20"/>
              </w:rPr>
              <w:t xml:space="preserve">  Bežné transfery (640)</w:t>
            </w:r>
            <w:r>
              <w:rPr>
                <w:sz w:val="20"/>
                <w:szCs w:val="20"/>
                <w:vertAlign w:val="superscript"/>
              </w:rPr>
              <w:t>2</w:t>
            </w:r>
          </w:p>
        </w:tc>
        <w:tc>
          <w:tcPr>
            <w:tcW w:w="1540" w:type="dxa"/>
            <w:tcBorders>
              <w:top w:val="nil"/>
              <w:left w:val="nil"/>
              <w:bottom w:val="single" w:sz="4" w:space="0" w:color="auto"/>
              <w:right w:val="single" w:sz="4" w:space="0" w:color="auto"/>
            </w:tcBorders>
            <w:vAlign w:val="center"/>
          </w:tcPr>
          <w:p w:rsidR="004B24FE" w:rsidRPr="00713F01" w:rsidRDefault="004B24FE" w:rsidP="00B03249">
            <w:pPr>
              <w:jc w:val="right"/>
            </w:pPr>
            <w:r>
              <w:rPr>
                <w:bCs/>
                <w:iCs/>
              </w:rPr>
              <w:t>0</w:t>
            </w:r>
          </w:p>
        </w:tc>
        <w:tc>
          <w:tcPr>
            <w:tcW w:w="1540" w:type="dxa"/>
            <w:tcBorders>
              <w:top w:val="nil"/>
              <w:left w:val="nil"/>
              <w:bottom w:val="single" w:sz="4" w:space="0" w:color="auto"/>
              <w:right w:val="single" w:sz="4" w:space="0" w:color="auto"/>
            </w:tcBorders>
            <w:vAlign w:val="center"/>
          </w:tcPr>
          <w:p w:rsidR="004B24FE" w:rsidRPr="00713F01" w:rsidRDefault="004B24FE" w:rsidP="00B03249">
            <w:pPr>
              <w:jc w:val="right"/>
            </w:pPr>
            <w:r w:rsidRPr="00271E4D">
              <w:rPr>
                <w:bCs/>
                <w:iCs/>
              </w:rPr>
              <w:t>23 278</w:t>
            </w:r>
          </w:p>
        </w:tc>
        <w:tc>
          <w:tcPr>
            <w:tcW w:w="1402" w:type="dxa"/>
            <w:tcBorders>
              <w:top w:val="nil"/>
              <w:left w:val="nil"/>
              <w:bottom w:val="single" w:sz="4" w:space="0" w:color="auto"/>
              <w:right w:val="single" w:sz="4" w:space="0" w:color="auto"/>
            </w:tcBorders>
            <w:vAlign w:val="center"/>
          </w:tcPr>
          <w:p w:rsidR="004B24FE" w:rsidRPr="00713F01" w:rsidRDefault="004B24FE" w:rsidP="00B03249">
            <w:pPr>
              <w:jc w:val="right"/>
            </w:pPr>
            <w:r w:rsidRPr="00271E4D">
              <w:rPr>
                <w:bCs/>
                <w:iCs/>
              </w:rPr>
              <w:t>11 639</w:t>
            </w:r>
          </w:p>
        </w:tc>
        <w:tc>
          <w:tcPr>
            <w:tcW w:w="1678" w:type="dxa"/>
            <w:tcBorders>
              <w:top w:val="nil"/>
              <w:left w:val="nil"/>
              <w:bottom w:val="single" w:sz="4" w:space="0" w:color="auto"/>
              <w:right w:val="single" w:sz="4" w:space="0" w:color="auto"/>
            </w:tcBorders>
            <w:vAlign w:val="center"/>
          </w:tcPr>
          <w:p w:rsidR="004B24FE" w:rsidRPr="00713F01" w:rsidRDefault="004B24FE" w:rsidP="00B03249">
            <w:pPr>
              <w:jc w:val="right"/>
            </w:pPr>
            <w:r w:rsidRPr="00271E4D">
              <w:rPr>
                <w:bCs/>
                <w:iCs/>
              </w:rPr>
              <w:t>11 639</w:t>
            </w:r>
          </w:p>
        </w:tc>
        <w:tc>
          <w:tcPr>
            <w:tcW w:w="2220" w:type="dxa"/>
            <w:tcBorders>
              <w:top w:val="nil"/>
              <w:left w:val="nil"/>
              <w:bottom w:val="single" w:sz="4" w:space="0" w:color="auto"/>
              <w:right w:val="single" w:sz="4" w:space="0" w:color="auto"/>
            </w:tcBorders>
            <w:noWrap/>
            <w:vAlign w:val="bottom"/>
            <w:hideMark/>
          </w:tcPr>
          <w:p w:rsidR="004B24FE" w:rsidRDefault="004B24FE" w:rsidP="00B03249">
            <w:r>
              <w:t> podpoložka 649003</w:t>
            </w:r>
          </w:p>
        </w:tc>
      </w:tr>
      <w:tr w:rsidR="004B24FE" w:rsidTr="00B03249">
        <w:trPr>
          <w:trHeight w:val="255"/>
        </w:trPr>
        <w:tc>
          <w:tcPr>
            <w:tcW w:w="7070" w:type="dxa"/>
            <w:tcBorders>
              <w:top w:val="nil"/>
              <w:left w:val="single" w:sz="4" w:space="0" w:color="auto"/>
              <w:bottom w:val="single" w:sz="4" w:space="0" w:color="auto"/>
              <w:right w:val="single" w:sz="4" w:space="0" w:color="auto"/>
            </w:tcBorders>
            <w:vAlign w:val="center"/>
            <w:hideMark/>
          </w:tcPr>
          <w:p w:rsidR="004B24FE" w:rsidRDefault="004B24FE" w:rsidP="00B03249">
            <w:pPr>
              <w:rPr>
                <w:sz w:val="20"/>
                <w:szCs w:val="20"/>
              </w:rPr>
            </w:pPr>
            <w:r>
              <w:rPr>
                <w:sz w:val="20"/>
                <w:szCs w:val="20"/>
              </w:rPr>
              <w:t xml:space="preserve">  Splácanie úrokov a ostatné platby súvisiace s úvermi, pôžičkami a NFV (650)</w:t>
            </w:r>
            <w:r>
              <w:rPr>
                <w:sz w:val="20"/>
                <w:szCs w:val="20"/>
                <w:vertAlign w:val="superscript"/>
              </w:rPr>
              <w:t>2</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tcPr>
          <w:p w:rsidR="004B24FE" w:rsidRDefault="004B24FE" w:rsidP="00B03249"/>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b/>
                <w:bCs/>
                <w:sz w:val="20"/>
                <w:szCs w:val="20"/>
              </w:rPr>
            </w:pPr>
            <w:r>
              <w:rPr>
                <w:b/>
                <w:bCs/>
                <w:sz w:val="20"/>
                <w:szCs w:val="20"/>
              </w:rPr>
              <w:t>Kapitálové výdavky (700)</w:t>
            </w:r>
          </w:p>
        </w:tc>
        <w:tc>
          <w:tcPr>
            <w:tcW w:w="1540" w:type="dxa"/>
            <w:tcBorders>
              <w:top w:val="nil"/>
              <w:left w:val="nil"/>
              <w:bottom w:val="single" w:sz="4" w:space="0" w:color="auto"/>
              <w:right w:val="single" w:sz="4" w:space="0" w:color="auto"/>
            </w:tcBorders>
          </w:tcPr>
          <w:p w:rsidR="004B24FE" w:rsidRDefault="004B24FE" w:rsidP="00B03249">
            <w:pPr>
              <w:jc w:val="center"/>
              <w:rPr>
                <w:b/>
                <w:bCs/>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b/>
                <w:bCs/>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b/>
                <w:bCs/>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rPr>
                <w:b/>
                <w:bCs/>
              </w:rP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rPr>
            </w:pPr>
            <w:r>
              <w:rPr>
                <w:sz w:val="20"/>
                <w:szCs w:val="20"/>
              </w:rPr>
              <w:t xml:space="preserve">  Obstarávanie kapitálových aktív (710)</w:t>
            </w:r>
            <w:r>
              <w:rPr>
                <w:sz w:val="20"/>
                <w:szCs w:val="20"/>
                <w:vertAlign w:val="superscript"/>
              </w:rPr>
              <w:t>2</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sz w:val="20"/>
                <w:szCs w:val="20"/>
              </w:rPr>
            </w:pPr>
            <w:r>
              <w:rPr>
                <w:sz w:val="20"/>
                <w:szCs w:val="20"/>
              </w:rPr>
              <w:t xml:space="preserve">  Kapitálové transfery (720)</w:t>
            </w:r>
            <w:r>
              <w:rPr>
                <w:sz w:val="20"/>
                <w:szCs w:val="20"/>
                <w:vertAlign w:val="superscript"/>
              </w:rPr>
              <w:t>2</w:t>
            </w: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540"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402" w:type="dxa"/>
            <w:tcBorders>
              <w:top w:val="nil"/>
              <w:left w:val="nil"/>
              <w:bottom w:val="single" w:sz="4" w:space="0" w:color="auto"/>
              <w:right w:val="single" w:sz="4" w:space="0" w:color="auto"/>
            </w:tcBorders>
          </w:tcPr>
          <w:p w:rsidR="004B24FE" w:rsidRDefault="004B24FE" w:rsidP="00B03249">
            <w:pPr>
              <w:jc w:val="center"/>
              <w:rPr>
                <w:sz w:val="20"/>
                <w:szCs w:val="20"/>
              </w:rPr>
            </w:pPr>
          </w:p>
        </w:tc>
        <w:tc>
          <w:tcPr>
            <w:tcW w:w="1678" w:type="dxa"/>
            <w:tcBorders>
              <w:top w:val="nil"/>
              <w:left w:val="nil"/>
              <w:bottom w:val="single" w:sz="4" w:space="0" w:color="auto"/>
              <w:right w:val="single" w:sz="4" w:space="0" w:color="auto"/>
            </w:tcBorders>
          </w:tcPr>
          <w:p w:rsidR="004B24FE" w:rsidRDefault="004B24FE" w:rsidP="00B03249">
            <w:pPr>
              <w:jc w:val="center"/>
            </w:pP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b/>
                <w:bCs/>
                <w:sz w:val="20"/>
                <w:szCs w:val="20"/>
              </w:rPr>
            </w:pPr>
            <w:r>
              <w:rPr>
                <w:b/>
                <w:bCs/>
                <w:sz w:val="20"/>
                <w:szCs w:val="20"/>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shd w:val="clear" w:color="auto" w:fill="FFFFFF"/>
            <w:hideMark/>
          </w:tcPr>
          <w:p w:rsidR="004B24FE" w:rsidRDefault="004B24FE" w:rsidP="00B03249">
            <w:pPr>
              <w:jc w:val="center"/>
              <w:rPr>
                <w:b/>
                <w:bCs/>
                <w:sz w:val="20"/>
                <w:szCs w:val="20"/>
              </w:rPr>
            </w:pPr>
            <w:r>
              <w:rPr>
                <w:b/>
                <w:bCs/>
                <w:sz w:val="20"/>
                <w:szCs w:val="20"/>
              </w:rPr>
              <w:t> </w:t>
            </w:r>
          </w:p>
        </w:tc>
        <w:tc>
          <w:tcPr>
            <w:tcW w:w="1540" w:type="dxa"/>
            <w:tcBorders>
              <w:top w:val="single" w:sz="4" w:space="0" w:color="auto"/>
              <w:left w:val="nil"/>
              <w:bottom w:val="single" w:sz="4" w:space="0" w:color="auto"/>
              <w:right w:val="single" w:sz="4" w:space="0" w:color="auto"/>
            </w:tcBorders>
            <w:shd w:val="clear" w:color="auto" w:fill="FFFFFF"/>
            <w:hideMark/>
          </w:tcPr>
          <w:p w:rsidR="004B24FE" w:rsidRDefault="004B24FE" w:rsidP="00B03249">
            <w:pPr>
              <w:jc w:val="center"/>
              <w:rPr>
                <w:b/>
                <w:bCs/>
                <w:sz w:val="20"/>
                <w:szCs w:val="20"/>
              </w:rPr>
            </w:pPr>
            <w:r>
              <w:rPr>
                <w:b/>
                <w:bCs/>
                <w:sz w:val="20"/>
                <w:szCs w:val="20"/>
              </w:rPr>
              <w:t> </w:t>
            </w:r>
          </w:p>
        </w:tc>
        <w:tc>
          <w:tcPr>
            <w:tcW w:w="1402" w:type="dxa"/>
            <w:tcBorders>
              <w:top w:val="single" w:sz="4" w:space="0" w:color="auto"/>
              <w:left w:val="nil"/>
              <w:bottom w:val="single" w:sz="4" w:space="0" w:color="auto"/>
              <w:right w:val="single" w:sz="4" w:space="0" w:color="auto"/>
            </w:tcBorders>
            <w:shd w:val="clear" w:color="auto" w:fill="FFFFFF"/>
            <w:hideMark/>
          </w:tcPr>
          <w:p w:rsidR="004B24FE" w:rsidRDefault="004B24FE" w:rsidP="00B03249">
            <w:pPr>
              <w:jc w:val="center"/>
              <w:rPr>
                <w:b/>
                <w:bCs/>
                <w:sz w:val="20"/>
                <w:szCs w:val="20"/>
              </w:rPr>
            </w:pPr>
            <w:r>
              <w:rPr>
                <w:b/>
                <w:bCs/>
                <w:sz w:val="20"/>
                <w:szCs w:val="20"/>
              </w:rPr>
              <w:t> </w:t>
            </w:r>
          </w:p>
        </w:tc>
        <w:tc>
          <w:tcPr>
            <w:tcW w:w="1678" w:type="dxa"/>
            <w:tcBorders>
              <w:top w:val="single" w:sz="4" w:space="0" w:color="auto"/>
              <w:left w:val="nil"/>
              <w:bottom w:val="single" w:sz="4" w:space="0" w:color="auto"/>
              <w:right w:val="single" w:sz="4" w:space="0" w:color="auto"/>
            </w:tcBorders>
            <w:shd w:val="clear" w:color="auto" w:fill="FFFFFF"/>
            <w:hideMark/>
          </w:tcPr>
          <w:p w:rsidR="004B24FE" w:rsidRDefault="004B24FE" w:rsidP="00B03249">
            <w:pPr>
              <w:jc w:val="center"/>
              <w:rPr>
                <w:b/>
                <w:bCs/>
              </w:rPr>
            </w:pPr>
            <w:r>
              <w:rPr>
                <w:b/>
                <w:bCs/>
              </w:rPr>
              <w:t> </w:t>
            </w:r>
          </w:p>
        </w:tc>
        <w:tc>
          <w:tcPr>
            <w:tcW w:w="2220" w:type="dxa"/>
            <w:tcBorders>
              <w:top w:val="nil"/>
              <w:left w:val="nil"/>
              <w:bottom w:val="single" w:sz="4" w:space="0" w:color="auto"/>
              <w:right w:val="single" w:sz="4" w:space="0" w:color="auto"/>
            </w:tcBorders>
            <w:noWrap/>
            <w:vAlign w:val="bottom"/>
            <w:hideMark/>
          </w:tcPr>
          <w:p w:rsidR="004B24FE" w:rsidRDefault="004B24FE" w:rsidP="00B03249">
            <w:r>
              <w:t> </w:t>
            </w:r>
          </w:p>
        </w:tc>
      </w:tr>
      <w:tr w:rsidR="004B24FE" w:rsidTr="00B03249">
        <w:trPr>
          <w:trHeight w:val="255"/>
        </w:trPr>
        <w:tc>
          <w:tcPr>
            <w:tcW w:w="7070" w:type="dxa"/>
            <w:tcBorders>
              <w:top w:val="nil"/>
              <w:left w:val="single" w:sz="4" w:space="0" w:color="auto"/>
              <w:bottom w:val="nil"/>
              <w:right w:val="single" w:sz="4" w:space="0" w:color="auto"/>
            </w:tcBorders>
            <w:shd w:val="clear" w:color="auto" w:fill="000000"/>
            <w:hideMark/>
          </w:tcPr>
          <w:p w:rsidR="004B24FE" w:rsidRDefault="004B24FE" w:rsidP="00B03249">
            <w:pPr>
              <w:rPr>
                <w:b/>
                <w:bCs/>
                <w:color w:val="FFFFFF"/>
                <w:sz w:val="20"/>
                <w:szCs w:val="20"/>
              </w:rPr>
            </w:pPr>
            <w:r>
              <w:rPr>
                <w:b/>
                <w:bCs/>
                <w:color w:val="FFFFFF"/>
                <w:sz w:val="20"/>
                <w:szCs w:val="20"/>
              </w:rPr>
              <w:t>Dopad na výdavky verejnej správy celkom</w:t>
            </w:r>
          </w:p>
        </w:tc>
        <w:tc>
          <w:tcPr>
            <w:tcW w:w="1540" w:type="dxa"/>
            <w:tcBorders>
              <w:top w:val="nil"/>
              <w:left w:val="nil"/>
              <w:bottom w:val="nil"/>
              <w:right w:val="single" w:sz="4" w:space="0" w:color="auto"/>
            </w:tcBorders>
            <w:shd w:val="clear" w:color="auto" w:fill="000000"/>
          </w:tcPr>
          <w:p w:rsidR="004B24FE" w:rsidRDefault="004B24FE" w:rsidP="00B03249">
            <w:pPr>
              <w:jc w:val="center"/>
              <w:rPr>
                <w:b/>
                <w:bCs/>
                <w:color w:val="FFFFFF"/>
                <w:sz w:val="20"/>
                <w:szCs w:val="20"/>
              </w:rPr>
            </w:pPr>
          </w:p>
        </w:tc>
        <w:tc>
          <w:tcPr>
            <w:tcW w:w="1540" w:type="dxa"/>
            <w:tcBorders>
              <w:top w:val="nil"/>
              <w:left w:val="nil"/>
              <w:bottom w:val="nil"/>
              <w:right w:val="single" w:sz="4" w:space="0" w:color="auto"/>
            </w:tcBorders>
            <w:shd w:val="clear" w:color="auto" w:fill="000000"/>
          </w:tcPr>
          <w:p w:rsidR="004B24FE" w:rsidRDefault="004B24FE" w:rsidP="00B03249">
            <w:pPr>
              <w:jc w:val="center"/>
              <w:rPr>
                <w:b/>
                <w:bCs/>
                <w:color w:val="FFFFFF"/>
                <w:sz w:val="20"/>
                <w:szCs w:val="20"/>
              </w:rPr>
            </w:pPr>
          </w:p>
        </w:tc>
        <w:tc>
          <w:tcPr>
            <w:tcW w:w="1402" w:type="dxa"/>
            <w:tcBorders>
              <w:top w:val="nil"/>
              <w:left w:val="nil"/>
              <w:bottom w:val="nil"/>
              <w:right w:val="single" w:sz="4" w:space="0" w:color="auto"/>
            </w:tcBorders>
            <w:shd w:val="clear" w:color="auto" w:fill="000000"/>
          </w:tcPr>
          <w:p w:rsidR="004B24FE" w:rsidRDefault="004B24FE" w:rsidP="00B03249">
            <w:pPr>
              <w:jc w:val="center"/>
              <w:rPr>
                <w:b/>
                <w:bCs/>
                <w:color w:val="FFFFFF"/>
                <w:sz w:val="20"/>
                <w:szCs w:val="20"/>
              </w:rPr>
            </w:pPr>
          </w:p>
        </w:tc>
        <w:tc>
          <w:tcPr>
            <w:tcW w:w="1678" w:type="dxa"/>
            <w:tcBorders>
              <w:top w:val="nil"/>
              <w:left w:val="nil"/>
              <w:bottom w:val="nil"/>
              <w:right w:val="single" w:sz="4" w:space="0" w:color="auto"/>
            </w:tcBorders>
            <w:shd w:val="clear" w:color="auto" w:fill="000000"/>
          </w:tcPr>
          <w:p w:rsidR="004B24FE" w:rsidRDefault="004B24FE" w:rsidP="00B03249">
            <w:pPr>
              <w:jc w:val="center"/>
              <w:rPr>
                <w:b/>
                <w:bCs/>
                <w:color w:val="FFFFFF"/>
              </w:rPr>
            </w:pPr>
          </w:p>
        </w:tc>
        <w:tc>
          <w:tcPr>
            <w:tcW w:w="2220" w:type="dxa"/>
            <w:tcBorders>
              <w:top w:val="nil"/>
              <w:left w:val="nil"/>
              <w:bottom w:val="nil"/>
              <w:right w:val="single" w:sz="4" w:space="0" w:color="auto"/>
            </w:tcBorders>
            <w:shd w:val="clear" w:color="auto" w:fill="000000"/>
            <w:noWrap/>
            <w:vAlign w:val="bottom"/>
            <w:hideMark/>
          </w:tcPr>
          <w:p w:rsidR="004B24FE" w:rsidRDefault="004B24FE" w:rsidP="00B03249">
            <w:pPr>
              <w:rPr>
                <w:color w:val="FFFFFF"/>
              </w:rPr>
            </w:pPr>
            <w:r>
              <w:rPr>
                <w:color w:val="FFFFFF"/>
              </w:rPr>
              <w:t> </w:t>
            </w:r>
          </w:p>
        </w:tc>
      </w:tr>
      <w:tr w:rsidR="004B24FE" w:rsidTr="00B03249">
        <w:trPr>
          <w:trHeight w:val="255"/>
        </w:trPr>
        <w:tc>
          <w:tcPr>
            <w:tcW w:w="7070" w:type="dxa"/>
            <w:tcBorders>
              <w:top w:val="nil"/>
              <w:left w:val="single" w:sz="4" w:space="0" w:color="auto"/>
              <w:bottom w:val="single" w:sz="4" w:space="0" w:color="auto"/>
              <w:right w:val="single" w:sz="4" w:space="0" w:color="auto"/>
            </w:tcBorders>
            <w:hideMark/>
          </w:tcPr>
          <w:p w:rsidR="004B24FE" w:rsidRDefault="004B24FE" w:rsidP="00B03249">
            <w:pPr>
              <w:rPr>
                <w:b/>
                <w:bCs/>
                <w:sz w:val="20"/>
                <w:szCs w:val="20"/>
              </w:rPr>
            </w:pPr>
            <w:r>
              <w:rPr>
                <w:b/>
                <w:bCs/>
                <w:sz w:val="20"/>
                <w:szCs w:val="20"/>
              </w:rPr>
              <w:t xml:space="preserve">  z toho výdavky na ŠR</w:t>
            </w:r>
          </w:p>
        </w:tc>
        <w:tc>
          <w:tcPr>
            <w:tcW w:w="1540" w:type="dxa"/>
            <w:tcBorders>
              <w:top w:val="nil"/>
              <w:left w:val="nil"/>
              <w:bottom w:val="single" w:sz="4" w:space="0" w:color="auto"/>
              <w:right w:val="single" w:sz="4" w:space="0" w:color="auto"/>
            </w:tcBorders>
            <w:vAlign w:val="center"/>
          </w:tcPr>
          <w:p w:rsidR="004B24FE" w:rsidRPr="000063AB" w:rsidRDefault="004B24FE" w:rsidP="00B03249">
            <w:pPr>
              <w:jc w:val="right"/>
              <w:rPr>
                <w:b/>
              </w:rPr>
            </w:pPr>
            <w:r w:rsidRPr="000063AB">
              <w:rPr>
                <w:b/>
                <w:bCs/>
                <w:iCs/>
              </w:rPr>
              <w:t>0</w:t>
            </w:r>
          </w:p>
        </w:tc>
        <w:tc>
          <w:tcPr>
            <w:tcW w:w="1540" w:type="dxa"/>
            <w:tcBorders>
              <w:top w:val="nil"/>
              <w:left w:val="nil"/>
              <w:bottom w:val="single" w:sz="4" w:space="0" w:color="auto"/>
              <w:right w:val="single" w:sz="4" w:space="0" w:color="auto"/>
            </w:tcBorders>
            <w:vAlign w:val="center"/>
          </w:tcPr>
          <w:p w:rsidR="004B24FE" w:rsidRPr="000063AB" w:rsidRDefault="004B24FE" w:rsidP="00B03249">
            <w:pPr>
              <w:jc w:val="right"/>
              <w:rPr>
                <w:b/>
              </w:rPr>
            </w:pPr>
            <w:r w:rsidRPr="000063AB">
              <w:rPr>
                <w:b/>
                <w:bCs/>
                <w:iCs/>
              </w:rPr>
              <w:t>23 278</w:t>
            </w:r>
          </w:p>
        </w:tc>
        <w:tc>
          <w:tcPr>
            <w:tcW w:w="1402" w:type="dxa"/>
            <w:tcBorders>
              <w:top w:val="nil"/>
              <w:left w:val="nil"/>
              <w:bottom w:val="single" w:sz="4" w:space="0" w:color="auto"/>
              <w:right w:val="single" w:sz="4" w:space="0" w:color="auto"/>
            </w:tcBorders>
            <w:vAlign w:val="center"/>
          </w:tcPr>
          <w:p w:rsidR="004B24FE" w:rsidRPr="000063AB" w:rsidRDefault="004B24FE" w:rsidP="00B03249">
            <w:pPr>
              <w:jc w:val="right"/>
              <w:rPr>
                <w:b/>
              </w:rPr>
            </w:pPr>
            <w:r w:rsidRPr="000063AB">
              <w:rPr>
                <w:b/>
                <w:bCs/>
                <w:iCs/>
              </w:rPr>
              <w:t>11 639</w:t>
            </w:r>
          </w:p>
        </w:tc>
        <w:tc>
          <w:tcPr>
            <w:tcW w:w="1678" w:type="dxa"/>
            <w:tcBorders>
              <w:top w:val="nil"/>
              <w:left w:val="nil"/>
              <w:bottom w:val="single" w:sz="4" w:space="0" w:color="auto"/>
              <w:right w:val="single" w:sz="4" w:space="0" w:color="auto"/>
            </w:tcBorders>
          </w:tcPr>
          <w:p w:rsidR="004B24FE" w:rsidRPr="000063AB" w:rsidRDefault="004B24FE" w:rsidP="00B03249">
            <w:pPr>
              <w:jc w:val="center"/>
              <w:rPr>
                <w:b/>
              </w:rPr>
            </w:pPr>
            <w:r w:rsidRPr="000063AB">
              <w:rPr>
                <w:b/>
                <w:bCs/>
                <w:iCs/>
              </w:rPr>
              <w:t>11 639</w:t>
            </w:r>
          </w:p>
        </w:tc>
        <w:tc>
          <w:tcPr>
            <w:tcW w:w="2220" w:type="dxa"/>
            <w:tcBorders>
              <w:top w:val="nil"/>
              <w:left w:val="nil"/>
              <w:bottom w:val="single" w:sz="4" w:space="0" w:color="auto"/>
              <w:right w:val="single" w:sz="4" w:space="0" w:color="auto"/>
            </w:tcBorders>
            <w:noWrap/>
            <w:vAlign w:val="bottom"/>
          </w:tcPr>
          <w:p w:rsidR="004B24FE" w:rsidRDefault="004B24FE" w:rsidP="00B03249"/>
        </w:tc>
      </w:tr>
      <w:tr w:rsidR="004B24FE" w:rsidTr="00B03249">
        <w:trPr>
          <w:trHeight w:val="255"/>
        </w:trPr>
        <w:tc>
          <w:tcPr>
            <w:tcW w:w="7070" w:type="dxa"/>
            <w:tcBorders>
              <w:top w:val="single" w:sz="4" w:space="0" w:color="auto"/>
              <w:left w:val="single" w:sz="4" w:space="0" w:color="auto"/>
              <w:bottom w:val="single" w:sz="4" w:space="0" w:color="auto"/>
              <w:right w:val="single" w:sz="4" w:space="0" w:color="auto"/>
            </w:tcBorders>
            <w:hideMark/>
          </w:tcPr>
          <w:p w:rsidR="004B24FE" w:rsidRDefault="004B24FE" w:rsidP="00B03249">
            <w:pPr>
              <w:rPr>
                <w:b/>
                <w:bCs/>
                <w:sz w:val="20"/>
                <w:szCs w:val="20"/>
              </w:rPr>
            </w:pPr>
            <w:r>
              <w:rPr>
                <w:bCs/>
                <w:sz w:val="20"/>
                <w:szCs w:val="20"/>
              </w:rPr>
              <w:t xml:space="preserve">        Bežné výdavky</w:t>
            </w:r>
            <w:r>
              <w:rPr>
                <w:b/>
                <w:bCs/>
                <w:sz w:val="20"/>
                <w:szCs w:val="20"/>
              </w:rPr>
              <w:t xml:space="preserve"> </w:t>
            </w:r>
            <w:r>
              <w:rPr>
                <w:bCs/>
                <w:sz w:val="20"/>
                <w:szCs w:val="20"/>
              </w:rPr>
              <w:t>(600)</w:t>
            </w:r>
            <w:r>
              <w:rPr>
                <w:b/>
                <w:bCs/>
                <w:sz w:val="20"/>
                <w:szCs w:val="20"/>
              </w:rPr>
              <w:t xml:space="preserve"> </w:t>
            </w:r>
          </w:p>
        </w:tc>
        <w:tc>
          <w:tcPr>
            <w:tcW w:w="1540" w:type="dxa"/>
            <w:tcBorders>
              <w:top w:val="single" w:sz="4" w:space="0" w:color="auto"/>
              <w:left w:val="nil"/>
              <w:bottom w:val="single" w:sz="4" w:space="0" w:color="auto"/>
              <w:right w:val="single" w:sz="4" w:space="0" w:color="auto"/>
            </w:tcBorders>
            <w:vAlign w:val="center"/>
          </w:tcPr>
          <w:p w:rsidR="004B24FE" w:rsidRPr="00713F01" w:rsidRDefault="004B24FE" w:rsidP="00B03249">
            <w:pPr>
              <w:jc w:val="right"/>
            </w:pPr>
            <w:r>
              <w:rPr>
                <w:bCs/>
                <w:iCs/>
              </w:rPr>
              <w:t>0</w:t>
            </w:r>
          </w:p>
        </w:tc>
        <w:tc>
          <w:tcPr>
            <w:tcW w:w="1540" w:type="dxa"/>
            <w:tcBorders>
              <w:top w:val="single" w:sz="4" w:space="0" w:color="auto"/>
              <w:left w:val="nil"/>
              <w:bottom w:val="single" w:sz="4" w:space="0" w:color="auto"/>
              <w:right w:val="single" w:sz="4" w:space="0" w:color="auto"/>
            </w:tcBorders>
            <w:vAlign w:val="center"/>
          </w:tcPr>
          <w:p w:rsidR="004B24FE" w:rsidRPr="00713F01" w:rsidRDefault="004B24FE" w:rsidP="00B03249">
            <w:pPr>
              <w:jc w:val="right"/>
            </w:pPr>
            <w:r w:rsidRPr="00271E4D">
              <w:rPr>
                <w:bCs/>
                <w:iCs/>
              </w:rPr>
              <w:t>23 278</w:t>
            </w:r>
          </w:p>
        </w:tc>
        <w:tc>
          <w:tcPr>
            <w:tcW w:w="1402" w:type="dxa"/>
            <w:tcBorders>
              <w:top w:val="single" w:sz="4" w:space="0" w:color="auto"/>
              <w:left w:val="nil"/>
              <w:bottom w:val="single" w:sz="4" w:space="0" w:color="auto"/>
              <w:right w:val="single" w:sz="4" w:space="0" w:color="auto"/>
            </w:tcBorders>
            <w:vAlign w:val="center"/>
          </w:tcPr>
          <w:p w:rsidR="004B24FE" w:rsidRPr="00713F01" w:rsidRDefault="004B24FE" w:rsidP="00B03249">
            <w:pPr>
              <w:jc w:val="right"/>
            </w:pPr>
            <w:r w:rsidRPr="00271E4D">
              <w:rPr>
                <w:bCs/>
                <w:iCs/>
              </w:rPr>
              <w:t>11 639</w:t>
            </w:r>
          </w:p>
        </w:tc>
        <w:tc>
          <w:tcPr>
            <w:tcW w:w="1678" w:type="dxa"/>
            <w:tcBorders>
              <w:top w:val="single" w:sz="4" w:space="0" w:color="auto"/>
              <w:left w:val="nil"/>
              <w:bottom w:val="single" w:sz="4" w:space="0" w:color="auto"/>
              <w:right w:val="single" w:sz="4" w:space="0" w:color="auto"/>
            </w:tcBorders>
          </w:tcPr>
          <w:p w:rsidR="004B24FE" w:rsidRDefault="004B24FE" w:rsidP="00B03249">
            <w:pPr>
              <w:jc w:val="center"/>
            </w:pPr>
            <w:r w:rsidRPr="00271E4D">
              <w:rPr>
                <w:bCs/>
                <w:iCs/>
              </w:rPr>
              <w:t>11 639</w:t>
            </w:r>
          </w:p>
        </w:tc>
        <w:tc>
          <w:tcPr>
            <w:tcW w:w="2220" w:type="dxa"/>
            <w:tcBorders>
              <w:top w:val="single" w:sz="4" w:space="0" w:color="auto"/>
              <w:left w:val="nil"/>
              <w:bottom w:val="single" w:sz="4" w:space="0" w:color="auto"/>
              <w:right w:val="single" w:sz="4" w:space="0" w:color="auto"/>
            </w:tcBorders>
            <w:noWrap/>
            <w:vAlign w:val="bottom"/>
          </w:tcPr>
          <w:p w:rsidR="004B24FE" w:rsidRDefault="004B24FE" w:rsidP="00B03249"/>
        </w:tc>
      </w:tr>
      <w:tr w:rsidR="004B24FE" w:rsidTr="00B03249">
        <w:trPr>
          <w:trHeight w:val="255"/>
        </w:trPr>
        <w:tc>
          <w:tcPr>
            <w:tcW w:w="7070" w:type="dxa"/>
            <w:tcBorders>
              <w:top w:val="single" w:sz="4" w:space="0" w:color="auto"/>
              <w:left w:val="single" w:sz="4" w:space="0" w:color="auto"/>
              <w:bottom w:val="single" w:sz="4" w:space="0" w:color="auto"/>
              <w:right w:val="single" w:sz="4" w:space="0" w:color="auto"/>
            </w:tcBorders>
            <w:hideMark/>
          </w:tcPr>
          <w:p w:rsidR="004B24FE" w:rsidRDefault="004B24FE" w:rsidP="00B03249">
            <w:pPr>
              <w:rPr>
                <w:b/>
                <w:bCs/>
                <w:sz w:val="20"/>
                <w:szCs w:val="20"/>
              </w:rPr>
            </w:pPr>
            <w:r>
              <w:rPr>
                <w:b/>
                <w:bCs/>
                <w:sz w:val="20"/>
                <w:szCs w:val="20"/>
              </w:rPr>
              <w:t xml:space="preserve">               </w:t>
            </w:r>
            <w:r>
              <w:rPr>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402"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678" w:type="dxa"/>
            <w:tcBorders>
              <w:top w:val="single" w:sz="4" w:space="0" w:color="auto"/>
              <w:left w:val="nil"/>
              <w:bottom w:val="single" w:sz="4" w:space="0" w:color="auto"/>
              <w:right w:val="single" w:sz="4" w:space="0" w:color="auto"/>
            </w:tcBorders>
          </w:tcPr>
          <w:p w:rsidR="004B24FE" w:rsidRDefault="004B24FE" w:rsidP="00B03249">
            <w:pPr>
              <w:jc w:val="center"/>
              <w:rPr>
                <w:b/>
                <w:bCs/>
              </w:rPr>
            </w:pPr>
          </w:p>
        </w:tc>
        <w:tc>
          <w:tcPr>
            <w:tcW w:w="2220" w:type="dxa"/>
            <w:tcBorders>
              <w:top w:val="single" w:sz="4" w:space="0" w:color="auto"/>
              <w:left w:val="nil"/>
              <w:bottom w:val="single" w:sz="4" w:space="0" w:color="auto"/>
              <w:right w:val="single" w:sz="4" w:space="0" w:color="auto"/>
            </w:tcBorders>
            <w:noWrap/>
            <w:vAlign w:val="bottom"/>
          </w:tcPr>
          <w:p w:rsidR="004B24FE" w:rsidRDefault="004B24FE" w:rsidP="00B03249"/>
        </w:tc>
      </w:tr>
      <w:tr w:rsidR="004B24FE" w:rsidTr="00B03249">
        <w:trPr>
          <w:trHeight w:val="255"/>
        </w:trPr>
        <w:tc>
          <w:tcPr>
            <w:tcW w:w="7070" w:type="dxa"/>
            <w:tcBorders>
              <w:top w:val="single" w:sz="4" w:space="0" w:color="auto"/>
              <w:left w:val="single" w:sz="4" w:space="0" w:color="auto"/>
              <w:bottom w:val="single" w:sz="4" w:space="0" w:color="auto"/>
              <w:right w:val="single" w:sz="4" w:space="0" w:color="auto"/>
            </w:tcBorders>
            <w:hideMark/>
          </w:tcPr>
          <w:p w:rsidR="004B24FE" w:rsidRDefault="004B24FE" w:rsidP="00B03249">
            <w:pPr>
              <w:rPr>
                <w:b/>
                <w:bCs/>
                <w:sz w:val="20"/>
                <w:szCs w:val="20"/>
              </w:rPr>
            </w:pPr>
            <w:r>
              <w:rPr>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402"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678" w:type="dxa"/>
            <w:tcBorders>
              <w:top w:val="single" w:sz="4" w:space="0" w:color="auto"/>
              <w:left w:val="nil"/>
              <w:bottom w:val="single" w:sz="4" w:space="0" w:color="auto"/>
              <w:right w:val="single" w:sz="4" w:space="0" w:color="auto"/>
            </w:tcBorders>
          </w:tcPr>
          <w:p w:rsidR="004B24FE" w:rsidRDefault="004B24FE" w:rsidP="00B03249">
            <w:pPr>
              <w:jc w:val="center"/>
              <w:rPr>
                <w:b/>
                <w:bCs/>
              </w:rPr>
            </w:pPr>
          </w:p>
        </w:tc>
        <w:tc>
          <w:tcPr>
            <w:tcW w:w="2220" w:type="dxa"/>
            <w:tcBorders>
              <w:top w:val="single" w:sz="4" w:space="0" w:color="auto"/>
              <w:left w:val="nil"/>
              <w:bottom w:val="single" w:sz="4" w:space="0" w:color="auto"/>
              <w:right w:val="single" w:sz="4" w:space="0" w:color="auto"/>
            </w:tcBorders>
            <w:noWrap/>
            <w:vAlign w:val="bottom"/>
          </w:tcPr>
          <w:p w:rsidR="004B24FE" w:rsidRDefault="004B24FE" w:rsidP="00B03249"/>
        </w:tc>
      </w:tr>
      <w:tr w:rsidR="004B24FE" w:rsidTr="00B03249">
        <w:trPr>
          <w:trHeight w:val="255"/>
        </w:trPr>
        <w:tc>
          <w:tcPr>
            <w:tcW w:w="7070" w:type="dxa"/>
            <w:tcBorders>
              <w:top w:val="single" w:sz="4" w:space="0" w:color="auto"/>
              <w:left w:val="single" w:sz="4" w:space="0" w:color="auto"/>
              <w:bottom w:val="single" w:sz="4" w:space="0" w:color="auto"/>
              <w:right w:val="single" w:sz="4" w:space="0" w:color="auto"/>
            </w:tcBorders>
            <w:hideMark/>
          </w:tcPr>
          <w:p w:rsidR="004B24FE" w:rsidRDefault="004B24FE" w:rsidP="00B03249">
            <w:pPr>
              <w:rPr>
                <w:bCs/>
                <w:sz w:val="20"/>
                <w:szCs w:val="20"/>
              </w:rPr>
            </w:pPr>
            <w:r>
              <w:rPr>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540"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402" w:type="dxa"/>
            <w:tcBorders>
              <w:top w:val="single" w:sz="4" w:space="0" w:color="auto"/>
              <w:left w:val="nil"/>
              <w:bottom w:val="single" w:sz="4" w:space="0" w:color="auto"/>
              <w:right w:val="single" w:sz="4" w:space="0" w:color="auto"/>
            </w:tcBorders>
          </w:tcPr>
          <w:p w:rsidR="004B24FE" w:rsidRDefault="004B24FE" w:rsidP="00B03249">
            <w:pPr>
              <w:jc w:val="center"/>
              <w:rPr>
                <w:b/>
                <w:bCs/>
                <w:sz w:val="20"/>
                <w:szCs w:val="20"/>
              </w:rPr>
            </w:pPr>
          </w:p>
        </w:tc>
        <w:tc>
          <w:tcPr>
            <w:tcW w:w="1678" w:type="dxa"/>
            <w:tcBorders>
              <w:top w:val="single" w:sz="4" w:space="0" w:color="auto"/>
              <w:left w:val="nil"/>
              <w:bottom w:val="single" w:sz="4" w:space="0" w:color="auto"/>
              <w:right w:val="single" w:sz="4" w:space="0" w:color="auto"/>
            </w:tcBorders>
          </w:tcPr>
          <w:p w:rsidR="004B24FE" w:rsidRDefault="004B24FE" w:rsidP="00B03249">
            <w:pPr>
              <w:jc w:val="center"/>
              <w:rPr>
                <w:b/>
                <w:bCs/>
              </w:rPr>
            </w:pPr>
          </w:p>
        </w:tc>
        <w:tc>
          <w:tcPr>
            <w:tcW w:w="2220" w:type="dxa"/>
            <w:tcBorders>
              <w:top w:val="single" w:sz="4" w:space="0" w:color="auto"/>
              <w:left w:val="nil"/>
              <w:bottom w:val="single" w:sz="4" w:space="0" w:color="auto"/>
              <w:right w:val="single" w:sz="4" w:space="0" w:color="auto"/>
            </w:tcBorders>
            <w:noWrap/>
            <w:vAlign w:val="bottom"/>
          </w:tcPr>
          <w:p w:rsidR="004B24FE" w:rsidRDefault="004B24FE" w:rsidP="00B03249"/>
        </w:tc>
      </w:tr>
    </w:tbl>
    <w:p w:rsidR="004B24FE" w:rsidRPr="00FA400C" w:rsidRDefault="004B24FE" w:rsidP="004B24FE">
      <w:pPr>
        <w:rPr>
          <w:b/>
          <w:bCs/>
        </w:rPr>
      </w:pPr>
    </w:p>
    <w:p w:rsidR="004B24FE" w:rsidRDefault="004B24FE" w:rsidP="004B24FE">
      <w:pPr>
        <w:rPr>
          <w:b/>
          <w:bCs/>
        </w:rPr>
      </w:pPr>
      <w:r>
        <w:rPr>
          <w:b/>
          <w:bCs/>
        </w:rPr>
        <w:br/>
      </w:r>
    </w:p>
    <w:p w:rsidR="004B24FE" w:rsidRDefault="004B24FE">
      <w:pPr>
        <w:spacing w:after="200" w:line="276" w:lineRule="auto"/>
        <w:rPr>
          <w:b/>
          <w:bCs/>
        </w:rPr>
      </w:pPr>
      <w:r>
        <w:rPr>
          <w:b/>
          <w:bCs/>
        </w:rPr>
        <w:br w:type="page"/>
      </w:r>
    </w:p>
    <w:p w:rsidR="004B24FE" w:rsidRDefault="004B24FE" w:rsidP="004B24FE">
      <w:pPr>
        <w:rPr>
          <w:b/>
          <w:bCs/>
        </w:rPr>
        <w:sectPr w:rsidR="004B24FE" w:rsidSect="004B24FE">
          <w:pgSz w:w="16838" w:h="11906" w:orient="landscape"/>
          <w:pgMar w:top="1134" w:right="851" w:bottom="1134" w:left="1418" w:header="709" w:footer="709" w:gutter="0"/>
          <w:cols w:space="708"/>
          <w:docGrid w:linePitch="326"/>
        </w:sectPr>
      </w:pPr>
    </w:p>
    <w:p w:rsidR="00B16260" w:rsidRPr="00FA400C" w:rsidRDefault="00B16260" w:rsidP="00B16260">
      <w:pPr>
        <w:rPr>
          <w:b/>
          <w:bCs/>
        </w:rPr>
      </w:pPr>
    </w:p>
    <w:p w:rsidR="00B16260" w:rsidRPr="00EB7087" w:rsidRDefault="00B16260" w:rsidP="00B16260">
      <w:pPr>
        <w:rPr>
          <w:b/>
          <w:bCs/>
        </w:rPr>
      </w:pPr>
      <w:r w:rsidRPr="00EB7087">
        <w:rPr>
          <w:b/>
          <w:bCs/>
        </w:rPr>
        <w:t>2.3. Popis a charakteristika návrhu</w:t>
      </w:r>
    </w:p>
    <w:p w:rsidR="00B16260" w:rsidRPr="00EB7087" w:rsidRDefault="00B16260" w:rsidP="00B16260"/>
    <w:p w:rsidR="00B16260" w:rsidRPr="00EB7087" w:rsidRDefault="00B16260" w:rsidP="00B16260">
      <w:pPr>
        <w:jc w:val="both"/>
        <w:rPr>
          <w:b/>
          <w:bCs/>
        </w:rPr>
      </w:pPr>
      <w:r w:rsidRPr="00EB7087">
        <w:rPr>
          <w:b/>
          <w:bCs/>
        </w:rPr>
        <w:t>2.3.1. Popis návrhu:</w:t>
      </w:r>
    </w:p>
    <w:p w:rsidR="00B16260" w:rsidRDefault="00B16260" w:rsidP="00B16260">
      <w:pPr>
        <w:jc w:val="both"/>
      </w:pPr>
    </w:p>
    <w:p w:rsidR="00B16260" w:rsidRPr="00FA6E93" w:rsidRDefault="00B16260" w:rsidP="00B16260">
      <w:pPr>
        <w:ind w:firstLine="360"/>
        <w:jc w:val="both"/>
        <w:rPr>
          <w:color w:val="000000"/>
        </w:rPr>
      </w:pPr>
      <w:r>
        <w:rPr>
          <w:color w:val="000000"/>
        </w:rPr>
        <w:t>Predkladaný p</w:t>
      </w:r>
      <w:r w:rsidRPr="00FA6E93">
        <w:rPr>
          <w:color w:val="000000"/>
        </w:rPr>
        <w:t xml:space="preserve">rogram spolupráce je programovým dokumentom nadnárodného charakteru, na základe ktorého bude poskytovaná pomoc z EFRR v programovom období 2014 </w:t>
      </w:r>
      <w:r>
        <w:rPr>
          <w:color w:val="000000"/>
        </w:rPr>
        <w:t>–</w:t>
      </w:r>
      <w:r w:rsidRPr="00FA6E93">
        <w:rPr>
          <w:color w:val="000000"/>
        </w:rPr>
        <w:t xml:space="preserve"> 2020 v rámci štyroch zvolených tematických cieľov:   </w:t>
      </w:r>
    </w:p>
    <w:p w:rsidR="00B16260" w:rsidRPr="00FA6E93" w:rsidRDefault="00B16260" w:rsidP="00B16260">
      <w:pPr>
        <w:numPr>
          <w:ilvl w:val="0"/>
          <w:numId w:val="1"/>
        </w:numPr>
        <w:jc w:val="both"/>
        <w:rPr>
          <w:color w:val="000000"/>
          <w:sz w:val="14"/>
          <w:szCs w:val="14"/>
        </w:rPr>
      </w:pPr>
      <w:r w:rsidRPr="00FA6E93">
        <w:rPr>
          <w:color w:val="000000"/>
        </w:rPr>
        <w:t>posilnenie výskumu, technologického rozvoja a inovácií (tematický cieľ 1);</w:t>
      </w:r>
    </w:p>
    <w:p w:rsidR="00B16260" w:rsidRPr="00FA6E93" w:rsidRDefault="00B16260" w:rsidP="00B16260">
      <w:pPr>
        <w:numPr>
          <w:ilvl w:val="0"/>
          <w:numId w:val="1"/>
        </w:numPr>
        <w:jc w:val="both"/>
        <w:rPr>
          <w:color w:val="000000"/>
        </w:rPr>
      </w:pPr>
      <w:r w:rsidRPr="00FA6E93">
        <w:rPr>
          <w:color w:val="000000"/>
        </w:rPr>
        <w:t xml:space="preserve">zvýšenie konkurencieschopnosti malých a stredných podnikov (tematický cieľ 3); </w:t>
      </w:r>
    </w:p>
    <w:p w:rsidR="00B16260" w:rsidRPr="00FA6E93" w:rsidRDefault="00B16260" w:rsidP="00B16260">
      <w:pPr>
        <w:numPr>
          <w:ilvl w:val="0"/>
          <w:numId w:val="1"/>
        </w:numPr>
        <w:jc w:val="both"/>
        <w:rPr>
          <w:color w:val="000000"/>
        </w:rPr>
      </w:pPr>
      <w:r w:rsidRPr="00FA6E93">
        <w:rPr>
          <w:color w:val="000000"/>
        </w:rPr>
        <w:t>podpora prechodu na nízkouhlíkové hospodárstvo vo všetkých sektoroch (tematický cieľ 4);</w:t>
      </w:r>
    </w:p>
    <w:p w:rsidR="00B16260" w:rsidRPr="00FA6E93" w:rsidRDefault="00B16260" w:rsidP="00B16260">
      <w:pPr>
        <w:numPr>
          <w:ilvl w:val="0"/>
          <w:numId w:val="1"/>
        </w:numPr>
        <w:jc w:val="both"/>
        <w:rPr>
          <w:color w:val="000000"/>
        </w:rPr>
      </w:pPr>
      <w:r w:rsidRPr="00FA6E93">
        <w:rPr>
          <w:color w:val="000000"/>
        </w:rPr>
        <w:t xml:space="preserve">zachovanie a ochrana životného prostredia a podpora efektívneho využívania zdrojov </w:t>
      </w:r>
      <w:r w:rsidRPr="00FA6E93">
        <w:t>(tematický cieľ 6).</w:t>
      </w:r>
    </w:p>
    <w:p w:rsidR="00B16260" w:rsidRPr="00CA5D95" w:rsidRDefault="00B16260" w:rsidP="00B16260">
      <w:pPr>
        <w:ind w:left="720"/>
        <w:jc w:val="both"/>
        <w:rPr>
          <w:color w:val="000000"/>
        </w:rPr>
      </w:pPr>
    </w:p>
    <w:p w:rsidR="00B16260" w:rsidRPr="00CA5D95" w:rsidRDefault="00B16260" w:rsidP="00B16260">
      <w:pPr>
        <w:pStyle w:val="Zkladntext"/>
        <w:ind w:firstLine="360"/>
        <w:jc w:val="both"/>
      </w:pPr>
      <w:r w:rsidRPr="00CA5D95">
        <w:t xml:space="preserve">Uvedené tematické ciele sa budú napĺňať prostredníctvom šiestich zvolených špecifických cieľov v rámci štyroch prioritných osí programu </w:t>
      </w:r>
      <w:r>
        <w:t xml:space="preserve">spolupráce </w:t>
      </w:r>
      <w:r w:rsidRPr="00CA5D95">
        <w:t>INTERREG EUROPE</w:t>
      </w:r>
      <w:r>
        <w:t xml:space="preserve"> 2014 – 2020</w:t>
      </w:r>
      <w:r w:rsidRPr="00CA5D95">
        <w:t>, ktorými sú:</w:t>
      </w:r>
    </w:p>
    <w:p w:rsidR="00B16260" w:rsidRPr="009355A3" w:rsidRDefault="00B16260" w:rsidP="00B16260">
      <w:pPr>
        <w:numPr>
          <w:ilvl w:val="0"/>
          <w:numId w:val="1"/>
        </w:numPr>
        <w:jc w:val="both"/>
        <w:rPr>
          <w:color w:val="000000"/>
        </w:rPr>
      </w:pPr>
      <w:r w:rsidRPr="009355A3">
        <w:rPr>
          <w:color w:val="000000"/>
        </w:rPr>
        <w:t>Prioritná</w:t>
      </w:r>
      <w:r w:rsidRPr="009355A3">
        <w:rPr>
          <w:color w:val="000000"/>
          <w:szCs w:val="22"/>
        </w:rPr>
        <w:t xml:space="preserve"> os 1: </w:t>
      </w:r>
      <w:r w:rsidRPr="009355A3">
        <w:t>Výskum, technologický vývoj a inovácie</w:t>
      </w:r>
      <w:r w:rsidRPr="009355A3">
        <w:rPr>
          <w:color w:val="000000"/>
          <w:szCs w:val="22"/>
        </w:rPr>
        <w:t>;</w:t>
      </w:r>
    </w:p>
    <w:p w:rsidR="00B16260" w:rsidRPr="009355A3" w:rsidRDefault="00B16260" w:rsidP="00B16260">
      <w:pPr>
        <w:numPr>
          <w:ilvl w:val="0"/>
          <w:numId w:val="1"/>
        </w:numPr>
        <w:jc w:val="both"/>
        <w:rPr>
          <w:color w:val="000000"/>
        </w:rPr>
      </w:pPr>
      <w:r w:rsidRPr="009355A3">
        <w:rPr>
          <w:color w:val="000000"/>
        </w:rPr>
        <w:t xml:space="preserve">Prioritná os 2: </w:t>
      </w:r>
      <w:r w:rsidRPr="009355A3">
        <w:t>Konkurencieschopnosť malých a stredných podnikov</w:t>
      </w:r>
      <w:r w:rsidRPr="009355A3">
        <w:rPr>
          <w:color w:val="000000"/>
        </w:rPr>
        <w:t>;</w:t>
      </w:r>
    </w:p>
    <w:p w:rsidR="00B16260" w:rsidRPr="009355A3" w:rsidRDefault="00B16260" w:rsidP="00B16260">
      <w:pPr>
        <w:numPr>
          <w:ilvl w:val="0"/>
          <w:numId w:val="1"/>
        </w:numPr>
        <w:jc w:val="both"/>
        <w:rPr>
          <w:color w:val="000000"/>
        </w:rPr>
      </w:pPr>
      <w:r w:rsidRPr="009355A3">
        <w:rPr>
          <w:color w:val="000000"/>
        </w:rPr>
        <w:t xml:space="preserve">Prioritná os 3: </w:t>
      </w:r>
      <w:r w:rsidRPr="009355A3">
        <w:t>Nízkouhlíkové hospodárstvo</w:t>
      </w:r>
      <w:r w:rsidRPr="009355A3">
        <w:rPr>
          <w:color w:val="000000"/>
        </w:rPr>
        <w:t>;</w:t>
      </w:r>
    </w:p>
    <w:p w:rsidR="00B16260" w:rsidRPr="009355A3" w:rsidRDefault="00B16260" w:rsidP="00B16260">
      <w:pPr>
        <w:numPr>
          <w:ilvl w:val="0"/>
          <w:numId w:val="1"/>
        </w:numPr>
        <w:jc w:val="both"/>
        <w:rPr>
          <w:color w:val="000000"/>
        </w:rPr>
      </w:pPr>
      <w:r w:rsidRPr="009355A3">
        <w:rPr>
          <w:color w:val="000000"/>
        </w:rPr>
        <w:t xml:space="preserve">Prioritná os 4: </w:t>
      </w:r>
      <w:r w:rsidRPr="009355A3">
        <w:t>Životné prostredie a efektívne využívanie zdrojov</w:t>
      </w:r>
      <w:r w:rsidRPr="009355A3">
        <w:rPr>
          <w:color w:val="000000"/>
        </w:rPr>
        <w:t>.</w:t>
      </w:r>
    </w:p>
    <w:p w:rsidR="00B16260" w:rsidRPr="00CA5D95" w:rsidRDefault="00B16260" w:rsidP="00B16260">
      <w:pPr>
        <w:pStyle w:val="Zkladntext"/>
        <w:jc w:val="both"/>
      </w:pPr>
      <w:r w:rsidRPr="00CA5D95">
        <w:t>Piata prioritná os Technická pomoc bola vytvorená s cieľom zabezpečiť podporu riadenia a implementácie programu</w:t>
      </w:r>
      <w:r>
        <w:t xml:space="preserve"> spolupráce</w:t>
      </w:r>
      <w:r w:rsidRPr="00CA5D95">
        <w:t xml:space="preserve"> INTERREG EUROPE</w:t>
      </w:r>
      <w:r>
        <w:t xml:space="preserve"> 2014 – 2020</w:t>
      </w:r>
      <w:r w:rsidRPr="00CA5D95">
        <w:t>.</w:t>
      </w:r>
    </w:p>
    <w:p w:rsidR="00B16260" w:rsidRPr="00CA5D95" w:rsidRDefault="00B16260" w:rsidP="00B16260">
      <w:pPr>
        <w:pStyle w:val="Zkladntext"/>
        <w:ind w:firstLine="426"/>
        <w:jc w:val="both"/>
      </w:pPr>
      <w:r w:rsidRPr="00CA5D95">
        <w:t xml:space="preserve">Cieľom programu </w:t>
      </w:r>
      <w:r>
        <w:t xml:space="preserve">spolupráce </w:t>
      </w:r>
      <w:r w:rsidRPr="00CA5D95">
        <w:t>INTERREG EUROPE</w:t>
      </w:r>
      <w:r>
        <w:t xml:space="preserve"> 2014 – 2020</w:t>
      </w:r>
      <w:r w:rsidRPr="00CA5D95">
        <w:t xml:space="preserve"> je prostredníctvom výmeny skúseností a osvedčených postupov medzi regiónmi a vzdelávania sa v oblasti tvorby politík a stratégií, zlepšiť implementáciu regionálnych rozvojových politík a programov, predovšetkým programov spadajúcich pod cieľ Investovanie do rastu a zamestnanosti a Európska územná spolupráca. Pre financovanie z</w:t>
      </w:r>
      <w:r>
        <w:t> </w:t>
      </w:r>
      <w:r w:rsidRPr="00CA5D95">
        <w:t>programu</w:t>
      </w:r>
      <w:r>
        <w:t xml:space="preserve"> spolupráce</w:t>
      </w:r>
      <w:r w:rsidRPr="00CA5D95">
        <w:t xml:space="preserve"> INTERREG EUROPE</w:t>
      </w:r>
      <w:r>
        <w:t xml:space="preserve"> 2014 – 2020</w:t>
      </w:r>
      <w:r w:rsidRPr="00CA5D95">
        <w:t xml:space="preserve"> budú oprávnené verejné orgány (národné, regionálne, miestne), iné inštitúcie spravované verejným právom (napr. univerzity, regionálne rozvojové agentúry, organizácie podporujúce podnikanie a pod.) a súkromný neziskový sektor z 28 členských štátov EÚ, Nórskeho kráľovstva a Švajčiarskej konfederácie.</w:t>
      </w:r>
    </w:p>
    <w:p w:rsidR="00B16260" w:rsidRPr="00AD3276" w:rsidRDefault="00B16260" w:rsidP="00B16260">
      <w:pPr>
        <w:pStyle w:val="Zkladntext"/>
        <w:ind w:firstLine="426"/>
        <w:jc w:val="both"/>
      </w:pPr>
      <w:r w:rsidRPr="00CA5D95">
        <w:t xml:space="preserve">Synergia s hlavnými programami bude dosiahnutá prostredníctvom dvoch typov opatrení, a to </w:t>
      </w:r>
      <w:r w:rsidRPr="00CA5D95">
        <w:rPr>
          <w:i/>
        </w:rPr>
        <w:t>platforiem zameraných na vzdelávanie sa v oblasti tvorby politík/stratégií</w:t>
      </w:r>
      <w:r w:rsidRPr="00CA5D95">
        <w:t xml:space="preserve"> (Policy Learning Platforms), ktoré zabezpečia kapitalizáciu získaných poznatkov v jednotlivých tematických oblastiach a podporia ich prenos do hlavných programov, ako aj prostredníctvom </w:t>
      </w:r>
      <w:r w:rsidRPr="00CA5D95">
        <w:rPr>
          <w:i/>
        </w:rPr>
        <w:t>projektov medziregionálnej spolupráce</w:t>
      </w:r>
      <w:r w:rsidRPr="00CA5D95">
        <w:t xml:space="preserve"> (Interregional Cooperation Projects), ktorých povinným výstupom budú akčné plány popisujúce proces prenosu získaných poznatkov do národného/regionálneho programu každého zapojeného regiónu a ktorých implementácia sa bude monitorovať na úrovni programu</w:t>
      </w:r>
      <w:r>
        <w:t xml:space="preserve"> spolupráce</w:t>
      </w:r>
      <w:r w:rsidRPr="00CA5D95">
        <w:t>.</w:t>
      </w:r>
    </w:p>
    <w:p w:rsidR="00B16260" w:rsidRPr="00712AE8" w:rsidRDefault="00B16260" w:rsidP="00B16260">
      <w:pPr>
        <w:pStyle w:val="Zkladntext"/>
        <w:ind w:firstLine="426"/>
        <w:jc w:val="both"/>
      </w:pPr>
      <w:r w:rsidRPr="002A46C9">
        <w:t xml:space="preserve">Riadiacim orgánom programu </w:t>
      </w:r>
      <w:r>
        <w:t xml:space="preserve">je </w:t>
      </w:r>
      <w:r w:rsidRPr="002A46C9">
        <w:t>Région Nord-Pas de Calais Conseil régional, Lille, Francúzsko</w:t>
      </w:r>
      <w:r>
        <w:t>, v právnej zodpovednosti ktorého bude zriadený s</w:t>
      </w:r>
      <w:r w:rsidRPr="002A46C9">
        <w:t>poločn</w:t>
      </w:r>
      <w:r>
        <w:t>ý</w:t>
      </w:r>
      <w:r w:rsidRPr="002A46C9">
        <w:t xml:space="preserve"> sekretariát</w:t>
      </w:r>
      <w:r>
        <w:t>. Riadiaci orgán programu bude zodpovedný za riadenie programu spolupráce a svoje úlohy bude vykonávať v súlade s čl. 125 n</w:t>
      </w:r>
      <w:r w:rsidRPr="00813566">
        <w:t>ariadenia (EÚ)</w:t>
      </w:r>
      <w:r>
        <w:t xml:space="preserve"> č.</w:t>
      </w:r>
      <w:r w:rsidRPr="00813566">
        <w:t xml:space="preserve"> 1303/2013 [</w:t>
      </w:r>
      <w:r>
        <w:t>všeobecné nariadenie</w:t>
      </w:r>
      <w:r w:rsidRPr="00813566">
        <w:t>] a</w:t>
      </w:r>
      <w:r>
        <w:t> </w:t>
      </w:r>
      <w:r w:rsidRPr="00813566">
        <w:t>čl</w:t>
      </w:r>
      <w:r>
        <w:t>.</w:t>
      </w:r>
      <w:r w:rsidRPr="00813566">
        <w:t xml:space="preserve"> 23 </w:t>
      </w:r>
      <w:r>
        <w:t>n</w:t>
      </w:r>
      <w:r w:rsidRPr="00813566">
        <w:t>ariadenia (EÚ)</w:t>
      </w:r>
      <w:r>
        <w:t xml:space="preserve"> č.</w:t>
      </w:r>
      <w:r w:rsidRPr="00813566">
        <w:t xml:space="preserve"> 1299/2013 [</w:t>
      </w:r>
      <w:r>
        <w:t xml:space="preserve">nariadenie o </w:t>
      </w:r>
      <w:r w:rsidRPr="00813566">
        <w:t>E</w:t>
      </w:r>
      <w:r>
        <w:t>Ú</w:t>
      </w:r>
      <w:r w:rsidRPr="00813566">
        <w:t>S]</w:t>
      </w:r>
      <w:r>
        <w:t xml:space="preserve">. Pri plnení jeho povinností a súvisiacich  úloh mu pomáha spoločný sekretariát. </w:t>
      </w:r>
      <w:r w:rsidRPr="00813566">
        <w:t>Na základe čl</w:t>
      </w:r>
      <w:r>
        <w:t>.</w:t>
      </w:r>
      <w:r w:rsidRPr="00813566">
        <w:t xml:space="preserve"> 123 ods. 3 </w:t>
      </w:r>
      <w:r>
        <w:t>všeobecného n</w:t>
      </w:r>
      <w:r w:rsidRPr="00813566">
        <w:t xml:space="preserve">ariadenia  bude </w:t>
      </w:r>
      <w:r>
        <w:t>súčasne</w:t>
      </w:r>
      <w:r w:rsidRPr="00813566">
        <w:t xml:space="preserve"> riadiaci orgán plniť</w:t>
      </w:r>
      <w:r>
        <w:t xml:space="preserve"> aj </w:t>
      </w:r>
      <w:r w:rsidRPr="00813566">
        <w:t xml:space="preserve">funkcie </w:t>
      </w:r>
      <w:r w:rsidRPr="008B3207">
        <w:t>certifikačného orgánu</w:t>
      </w:r>
      <w:r w:rsidRPr="00813566">
        <w:t xml:space="preserve"> v súlade s</w:t>
      </w:r>
      <w:r>
        <w:t> </w:t>
      </w:r>
      <w:r w:rsidRPr="00813566">
        <w:t>čl</w:t>
      </w:r>
      <w:r>
        <w:t xml:space="preserve">. </w:t>
      </w:r>
      <w:r w:rsidRPr="00813566">
        <w:t xml:space="preserve">126 </w:t>
      </w:r>
      <w:r>
        <w:t>všeobecného n</w:t>
      </w:r>
      <w:r w:rsidRPr="00813566">
        <w:t>ariadenia EÚ.</w:t>
      </w:r>
      <w:r>
        <w:t xml:space="preserve"> Na národnej úrovni bude za riadenie a implementáciu programu </w:t>
      </w:r>
      <w:r>
        <w:lastRenderedPageBreak/>
        <w:t>spolupráce INTERREG EUROPE 2014 – 2020 zodpovedné Ministerstvo hospodárstva SR (ďalej len „MH SR“) v súlade s uznesením vlády č. 604/2013.</w:t>
      </w:r>
    </w:p>
    <w:p w:rsidR="00B16260" w:rsidRPr="002A46C9" w:rsidRDefault="00B16260" w:rsidP="00B16260">
      <w:pPr>
        <w:pStyle w:val="Zkladntext"/>
        <w:ind w:firstLine="426"/>
        <w:jc w:val="both"/>
      </w:pPr>
      <w:r>
        <w:t xml:space="preserve">Programová oblasť pokrýva územie všetkých 28 členských štátov EÚ, </w:t>
      </w:r>
      <w:r>
        <w:rPr>
          <w:noProof w:val="0"/>
        </w:rPr>
        <w:t>Nórskeho kráľovstva a Švajčiarskej konfederácie</w:t>
      </w:r>
      <w:r>
        <w:t xml:space="preserve">, tzn. že program bude poskytovať svoje služby na </w:t>
      </w:r>
      <w:r w:rsidRPr="001652EF">
        <w:t>európskej</w:t>
      </w:r>
      <w:r w:rsidRPr="000B411E">
        <w:t xml:space="preserve"> úrovni</w:t>
      </w:r>
      <w:r>
        <w:t xml:space="preserve">. </w:t>
      </w:r>
    </w:p>
    <w:p w:rsidR="00B16260" w:rsidRDefault="00B16260" w:rsidP="00B16260">
      <w:pPr>
        <w:rPr>
          <w:b/>
          <w:bCs/>
        </w:rPr>
      </w:pPr>
    </w:p>
    <w:p w:rsidR="00B16260" w:rsidRPr="00A41A0A" w:rsidRDefault="00B16260" w:rsidP="00B16260">
      <w:pPr>
        <w:rPr>
          <w:b/>
          <w:bCs/>
        </w:rPr>
      </w:pPr>
      <w:r w:rsidRPr="00A41A0A">
        <w:rPr>
          <w:b/>
          <w:bCs/>
        </w:rPr>
        <w:t>2.3.2. Charakteristika návrhu podľa bodu  2.3.2. Metodiky :</w:t>
      </w:r>
    </w:p>
    <w:p w:rsidR="00B16260" w:rsidRPr="00A41A0A" w:rsidRDefault="00B16260" w:rsidP="00B16260"/>
    <w:p w:rsidR="00B16260" w:rsidRPr="00A41A0A" w:rsidRDefault="00B16260" w:rsidP="00B16260">
      <w:pPr>
        <w:pStyle w:val="Zkladntext"/>
        <w:rPr>
          <w:b/>
        </w:rPr>
      </w:pPr>
      <w:r w:rsidRPr="00A41A0A">
        <w:rPr>
          <w:bdr w:val="single" w:sz="4" w:space="0" w:color="auto"/>
        </w:rPr>
        <w:t xml:space="preserve">     </w:t>
      </w:r>
      <w:r w:rsidRPr="00A41A0A">
        <w:t xml:space="preserve">  </w:t>
      </w:r>
      <w:r w:rsidRPr="00A41A0A">
        <w:rPr>
          <w:b/>
        </w:rPr>
        <w:t>zmena sadzby</w:t>
      </w:r>
    </w:p>
    <w:p w:rsidR="00B16260" w:rsidRPr="00A41A0A" w:rsidRDefault="00B16260" w:rsidP="00B16260">
      <w:pPr>
        <w:pStyle w:val="Zkladntext"/>
        <w:rPr>
          <w:b/>
        </w:rPr>
      </w:pPr>
      <w:r w:rsidRPr="00A41A0A">
        <w:rPr>
          <w:b/>
          <w:bdr w:val="single" w:sz="4" w:space="0" w:color="auto"/>
        </w:rPr>
        <w:t xml:space="preserve">     </w:t>
      </w:r>
      <w:r w:rsidRPr="00A41A0A">
        <w:rPr>
          <w:b/>
        </w:rPr>
        <w:t xml:space="preserve">  zmena v nároku</w:t>
      </w:r>
    </w:p>
    <w:p w:rsidR="00B16260" w:rsidRPr="00A41A0A" w:rsidRDefault="00B16260" w:rsidP="00B16260">
      <w:pPr>
        <w:pStyle w:val="Zkladntext"/>
        <w:rPr>
          <w:b/>
        </w:rPr>
      </w:pPr>
      <w:r w:rsidRPr="00A41A0A">
        <w:rPr>
          <w:b/>
          <w:bdr w:val="single" w:sz="4" w:space="0" w:color="auto"/>
        </w:rPr>
        <w:t xml:space="preserve">     </w:t>
      </w:r>
      <w:r w:rsidRPr="00A41A0A">
        <w:rPr>
          <w:b/>
        </w:rPr>
        <w:t xml:space="preserve">  nová služba alebo nariadenie (alebo ich zrušenie)</w:t>
      </w:r>
    </w:p>
    <w:p w:rsidR="00B16260" w:rsidRPr="00A41A0A" w:rsidRDefault="00B16260" w:rsidP="00B16260">
      <w:pPr>
        <w:pStyle w:val="Zkladntext"/>
        <w:rPr>
          <w:b/>
        </w:rPr>
      </w:pPr>
      <w:r w:rsidRPr="00A41A0A">
        <w:rPr>
          <w:b/>
          <w:bdr w:val="single" w:sz="4" w:space="0" w:color="auto"/>
        </w:rPr>
        <w:t xml:space="preserve">     </w:t>
      </w:r>
      <w:r w:rsidRPr="00A41A0A">
        <w:rPr>
          <w:b/>
        </w:rPr>
        <w:t xml:space="preserve">  kombinovaný návrh</w:t>
      </w:r>
    </w:p>
    <w:p w:rsidR="00B16260" w:rsidRPr="00A41A0A" w:rsidRDefault="00B16260" w:rsidP="00B16260">
      <w:pPr>
        <w:pStyle w:val="Zkladntext"/>
        <w:rPr>
          <w:b/>
        </w:rPr>
      </w:pPr>
      <w:r>
        <w:rPr>
          <w:b/>
          <w:bdr w:val="single" w:sz="4" w:space="0" w:color="auto"/>
        </w:rPr>
        <w:t xml:space="preserve"> </w:t>
      </w:r>
      <w:r w:rsidRPr="00A41A0A">
        <w:rPr>
          <w:b/>
          <w:bdr w:val="single" w:sz="4" w:space="0" w:color="auto"/>
        </w:rPr>
        <w:t xml:space="preserve"> </w:t>
      </w:r>
      <w:r w:rsidRPr="00A41A0A">
        <w:rPr>
          <w:b/>
          <w:strike/>
          <w:bdr w:val="single" w:sz="4" w:space="0" w:color="auto"/>
          <w:vertAlign w:val="subscript"/>
        </w:rPr>
        <w:t>x</w:t>
      </w:r>
      <w:r w:rsidRPr="00A41A0A">
        <w:rPr>
          <w:b/>
          <w:bdr w:val="single" w:sz="4" w:space="0" w:color="auto"/>
        </w:rPr>
        <w:t xml:space="preserve">  </w:t>
      </w:r>
      <w:r w:rsidRPr="00A41A0A">
        <w:rPr>
          <w:b/>
        </w:rPr>
        <w:t xml:space="preserve">  iné </w:t>
      </w:r>
    </w:p>
    <w:p w:rsidR="00B16260" w:rsidRDefault="00B16260" w:rsidP="00B16260">
      <w:pPr>
        <w:rPr>
          <w:b/>
          <w:bCs/>
        </w:rPr>
      </w:pPr>
    </w:p>
    <w:p w:rsidR="00B16260" w:rsidRDefault="00B16260" w:rsidP="00B16260">
      <w:r>
        <w:rPr>
          <w:b/>
          <w:bCs/>
        </w:rPr>
        <w:t>2.3.3. Predpoklady vývoja objemu aktivít:</w:t>
      </w:r>
    </w:p>
    <w:p w:rsidR="00B16260" w:rsidRDefault="00B16260" w:rsidP="00B16260"/>
    <w:p w:rsidR="00B16260" w:rsidRPr="00E41401" w:rsidRDefault="00B16260" w:rsidP="00B16260">
      <w:pPr>
        <w:numPr>
          <w:ilvl w:val="0"/>
          <w:numId w:val="1"/>
        </w:numPr>
        <w:jc w:val="both"/>
      </w:pPr>
      <w:r w:rsidRPr="00E41401">
        <w:t>nerelevantné</w:t>
      </w:r>
    </w:p>
    <w:p w:rsidR="00B16260" w:rsidRPr="00E41401" w:rsidRDefault="00B16260" w:rsidP="00B16260"/>
    <w:p w:rsidR="00B16260" w:rsidRDefault="00B16260" w:rsidP="00B16260">
      <w:pPr>
        <w:rPr>
          <w:b/>
          <w:bCs/>
        </w:rPr>
      </w:pPr>
    </w:p>
    <w:p w:rsidR="00B16260" w:rsidRPr="00E41401" w:rsidRDefault="00B16260" w:rsidP="00B16260">
      <w:pPr>
        <w:rPr>
          <w:b/>
          <w:bCs/>
        </w:rPr>
      </w:pPr>
      <w:r w:rsidRPr="00E41401">
        <w:rPr>
          <w:b/>
          <w:bCs/>
        </w:rPr>
        <w:t>2.3.4. Výpočty vplyvov na verejné financie</w:t>
      </w:r>
    </w:p>
    <w:p w:rsidR="00B16260" w:rsidRPr="00E41401" w:rsidRDefault="00B16260" w:rsidP="00B16260">
      <w:pPr>
        <w:pStyle w:val="Normlnywebov"/>
        <w:spacing w:before="0" w:beforeAutospacing="0" w:after="0" w:afterAutospacing="0"/>
        <w:jc w:val="both"/>
        <w:rPr>
          <w:highlight w:val="yellow"/>
        </w:rPr>
      </w:pPr>
    </w:p>
    <w:p w:rsidR="00B16260" w:rsidRPr="00712AE8" w:rsidRDefault="00B16260" w:rsidP="00B16260">
      <w:pPr>
        <w:pStyle w:val="Zkladntext"/>
        <w:ind w:firstLine="426"/>
        <w:jc w:val="both"/>
      </w:pPr>
      <w:r w:rsidRPr="008D0E3E">
        <w:rPr>
          <w:bCs/>
        </w:rPr>
        <w:t>Výpočet povinného národného príspevku pre prioritnú os Technická pomoc bol stanovený podľa počtu obyvateľov krajiny vychádzajúc z údajov z roku 2012. Následne bola výška povinného národného príspevku (81 471,- EUR) odsúhlasená/schválená na zasadnutí nadnárodného Programovacieho výboru</w:t>
      </w:r>
      <w:r>
        <w:rPr>
          <w:bCs/>
        </w:rPr>
        <w:t>.</w:t>
      </w:r>
      <w:r w:rsidRPr="008D0E3E">
        <w:rPr>
          <w:bCs/>
        </w:rPr>
        <w:t xml:space="preserve"> </w:t>
      </w:r>
      <w:r w:rsidRPr="008D0E3E">
        <w:t xml:space="preserve">Zároveň povinný národný príspevok zahŕňa aj sumu vyčlenenú na financovanie aktivít Národného kontaktného bodu vo výške </w:t>
      </w:r>
      <w:r w:rsidRPr="00271E4D">
        <w:t>6 398,-</w:t>
      </w:r>
      <w:r w:rsidRPr="002C4BC7">
        <w:t xml:space="preserve"> EUR</w:t>
      </w:r>
      <w:r w:rsidRPr="008D0E3E">
        <w:t>, ktor</w:t>
      </w:r>
      <w:r>
        <w:t>ú</w:t>
      </w:r>
      <w:r w:rsidRPr="008D0E3E">
        <w:t xml:space="preserve"> </w:t>
      </w:r>
      <w:r>
        <w:t>Národný kontaktný bod bude môcť získať späť z prioritnej osi Technická pomoc po zrealizovaní naplánovaných aktivít formou refundácie prostredníctvom zjednodušeného vykazovania výdavkov</w:t>
      </w:r>
      <w:r w:rsidRPr="008D0E3E">
        <w:t xml:space="preserve">. </w:t>
      </w:r>
    </w:p>
    <w:p w:rsidR="00B16260" w:rsidRDefault="00B16260" w:rsidP="00B16260">
      <w:pPr>
        <w:pStyle w:val="Zkladntext"/>
        <w:ind w:firstLine="426"/>
        <w:jc w:val="both"/>
        <w:rPr>
          <w:bCs/>
        </w:rPr>
      </w:pPr>
      <w:r w:rsidRPr="00712AE8">
        <w:t>Vzhľadom</w:t>
      </w:r>
      <w:r w:rsidRPr="008D0E3E">
        <w:rPr>
          <w:bCs/>
        </w:rPr>
        <w:t xml:space="preserve"> na charakter národného príspevku na Technickú pomoc sú tabuľky č. 4 až č. 6 nerelevantné, keďže sa nepredpokladajú žiadne príjmy, výdavky bežného, príp. kapitálového </w:t>
      </w:r>
      <w:r>
        <w:rPr>
          <w:bCs/>
        </w:rPr>
        <w:t xml:space="preserve">charakteru. </w:t>
      </w:r>
      <w:r w:rsidRPr="008D0E3E">
        <w:rPr>
          <w:bCs/>
        </w:rPr>
        <w:t xml:space="preserve">Zároveň sa nepredpokladá ani žiadny </w:t>
      </w:r>
      <w:r w:rsidRPr="0003156E">
        <w:rPr>
          <w:bCs/>
        </w:rPr>
        <w:t>vplyv na</w:t>
      </w:r>
      <w:r w:rsidRPr="008D0E3E">
        <w:rPr>
          <w:bCs/>
        </w:rPr>
        <w:t xml:space="preserve"> zamestnanosť. </w:t>
      </w:r>
    </w:p>
    <w:p w:rsidR="00AF32BB" w:rsidRDefault="00AF32BB" w:rsidP="00B16260">
      <w:pPr>
        <w:pStyle w:val="Zkladntext"/>
        <w:ind w:firstLine="426"/>
        <w:jc w:val="both"/>
        <w:rPr>
          <w:bCs/>
        </w:rPr>
      </w:pPr>
    </w:p>
    <w:p w:rsidR="00AF32BB" w:rsidRPr="00AF32BB" w:rsidRDefault="00AF32BB" w:rsidP="00AF32BB">
      <w:pPr>
        <w:pStyle w:val="Zkladntext"/>
        <w:jc w:val="center"/>
        <w:rPr>
          <w:b/>
          <w:bCs/>
          <w:sz w:val="28"/>
          <w:szCs w:val="28"/>
        </w:rPr>
      </w:pPr>
      <w:r w:rsidRPr="00AF32BB">
        <w:rPr>
          <w:b/>
          <w:bCs/>
          <w:sz w:val="28"/>
          <w:szCs w:val="28"/>
        </w:rPr>
        <w:t>Vplyvy na informatizáciu spoločnosti</w:t>
      </w:r>
    </w:p>
    <w:p w:rsidR="00AF32BB" w:rsidRDefault="00AF32BB" w:rsidP="00AF32BB">
      <w:pPr>
        <w:pStyle w:val="Zkladntext"/>
        <w:jc w:val="both"/>
        <w:rPr>
          <w:bCs/>
          <w:sz w:val="28"/>
          <w:szCs w:val="28"/>
        </w:rPr>
      </w:pP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5235"/>
        <w:gridCol w:w="3780"/>
      </w:tblGrid>
      <w:tr w:rsidR="00AF32BB" w:rsidTr="00473817">
        <w:trPr>
          <w:trHeight w:val="20"/>
        </w:trPr>
        <w:tc>
          <w:tcPr>
            <w:tcW w:w="5235" w:type="dxa"/>
            <w:shd w:val="clear" w:color="auto" w:fill="000000"/>
          </w:tcPr>
          <w:p w:rsidR="00AF32BB" w:rsidRDefault="00AF32BB" w:rsidP="00473817">
            <w:pPr>
              <w:jc w:val="both"/>
              <w:rPr>
                <w:b/>
                <w:sz w:val="22"/>
                <w:szCs w:val="22"/>
              </w:rPr>
            </w:pPr>
            <w:r>
              <w:rPr>
                <w:b/>
                <w:sz w:val="22"/>
                <w:szCs w:val="22"/>
              </w:rPr>
              <w:t>Budovanie základných pilierov informatizácie</w:t>
            </w:r>
          </w:p>
        </w:tc>
        <w:tc>
          <w:tcPr>
            <w:tcW w:w="3780" w:type="dxa"/>
            <w:shd w:val="clear" w:color="auto" w:fill="000000"/>
          </w:tcPr>
          <w:p w:rsidR="00AF32BB" w:rsidRDefault="00AF32BB" w:rsidP="00473817">
            <w:pPr>
              <w:rPr>
                <w:b/>
                <w:i/>
                <w:iCs/>
                <w:sz w:val="22"/>
                <w:szCs w:val="22"/>
              </w:rPr>
            </w:pPr>
          </w:p>
        </w:tc>
      </w:tr>
      <w:tr w:rsidR="00AF32BB" w:rsidTr="00473817">
        <w:trPr>
          <w:trHeight w:val="20"/>
        </w:trPr>
        <w:tc>
          <w:tcPr>
            <w:tcW w:w="5235" w:type="dxa"/>
            <w:shd w:val="clear" w:color="auto" w:fill="C0C0C0"/>
          </w:tcPr>
          <w:p w:rsidR="00AF32BB" w:rsidRDefault="00AF32BB" w:rsidP="00473817">
            <w:pPr>
              <w:jc w:val="both"/>
              <w:rPr>
                <w:b/>
                <w:sz w:val="22"/>
                <w:szCs w:val="22"/>
              </w:rPr>
            </w:pPr>
            <w:r>
              <w:rPr>
                <w:b/>
                <w:sz w:val="22"/>
                <w:szCs w:val="22"/>
              </w:rPr>
              <w:t>Obsah</w:t>
            </w:r>
          </w:p>
        </w:tc>
        <w:tc>
          <w:tcPr>
            <w:tcW w:w="3780" w:type="dxa"/>
            <w:shd w:val="clear" w:color="auto" w:fill="C0C0C0"/>
          </w:tcPr>
          <w:p w:rsidR="00AF32BB" w:rsidRDefault="00AF32BB" w:rsidP="00473817">
            <w:pPr>
              <w:rPr>
                <w:i/>
                <w:iCs/>
                <w:sz w:val="22"/>
                <w:szCs w:val="22"/>
              </w:rPr>
            </w:pPr>
          </w:p>
        </w:tc>
      </w:tr>
      <w:tr w:rsidR="00AF32BB" w:rsidTr="00473817">
        <w:trPr>
          <w:trHeight w:val="20"/>
        </w:trPr>
        <w:tc>
          <w:tcPr>
            <w:tcW w:w="5235" w:type="dxa"/>
          </w:tcPr>
          <w:p w:rsidR="00AF32BB" w:rsidRDefault="00AF32BB" w:rsidP="00473817">
            <w:pPr>
              <w:jc w:val="both"/>
              <w:rPr>
                <w:sz w:val="22"/>
                <w:szCs w:val="22"/>
              </w:rPr>
            </w:pPr>
            <w:r>
              <w:rPr>
                <w:b/>
                <w:sz w:val="22"/>
                <w:szCs w:val="22"/>
              </w:rPr>
              <w:t>6.1.</w:t>
            </w:r>
            <w:r>
              <w:rPr>
                <w:sz w:val="22"/>
                <w:szCs w:val="22"/>
              </w:rPr>
              <w:t xml:space="preserve"> Rozširujú alebo inovujú  sa existujúce alebo vytvárajú sa či zavádzajú  sa nové elektronické služby?</w:t>
            </w:r>
          </w:p>
          <w:p w:rsidR="00AF32BB" w:rsidRDefault="00AF32BB" w:rsidP="00473817">
            <w:pPr>
              <w:jc w:val="both"/>
              <w:rPr>
                <w:sz w:val="20"/>
                <w:szCs w:val="20"/>
              </w:rPr>
            </w:pPr>
            <w:r>
              <w:rPr>
                <w:i/>
                <w:iCs/>
                <w:sz w:val="20"/>
                <w:szCs w:val="20"/>
              </w:rPr>
              <w:t>(Popíšte ich funkciu a úroveň poskytovania.)</w:t>
            </w:r>
          </w:p>
        </w:tc>
        <w:tc>
          <w:tcPr>
            <w:tcW w:w="3780" w:type="dxa"/>
          </w:tcPr>
          <w:p w:rsidR="00AF32BB" w:rsidRDefault="00FF49C9" w:rsidP="00FF49C9">
            <w:pPr>
              <w:jc w:val="both"/>
              <w:rPr>
                <w:i/>
                <w:iCs/>
                <w:sz w:val="22"/>
                <w:szCs w:val="22"/>
              </w:rPr>
            </w:pPr>
            <w:r>
              <w:rPr>
                <w:i/>
                <w:iCs/>
                <w:sz w:val="22"/>
                <w:szCs w:val="22"/>
              </w:rPr>
              <w:t>á</w:t>
            </w:r>
            <w:r w:rsidR="00AF32BB">
              <w:rPr>
                <w:i/>
                <w:iCs/>
                <w:sz w:val="22"/>
                <w:szCs w:val="22"/>
              </w:rPr>
              <w:t>no, zverejňovaním zoznamu projektov a dokumentov týkajúcich sa procesu predkladania žiadostí na webovej stránke programu sa zavádzajú nové elektronické služby s úrovňou I (informatívna úroveň).</w:t>
            </w:r>
          </w:p>
        </w:tc>
      </w:tr>
      <w:tr w:rsidR="00AF32BB" w:rsidTr="00473817">
        <w:trPr>
          <w:trHeight w:val="20"/>
        </w:trPr>
        <w:tc>
          <w:tcPr>
            <w:tcW w:w="5235" w:type="dxa"/>
          </w:tcPr>
          <w:p w:rsidR="00AF32BB" w:rsidRDefault="00AF32BB" w:rsidP="00473817">
            <w:pPr>
              <w:jc w:val="both"/>
              <w:rPr>
                <w:sz w:val="22"/>
                <w:szCs w:val="22"/>
              </w:rPr>
            </w:pPr>
            <w:r>
              <w:rPr>
                <w:b/>
                <w:sz w:val="22"/>
                <w:szCs w:val="22"/>
              </w:rPr>
              <w:t>6.2.</w:t>
            </w:r>
            <w:r>
              <w:rPr>
                <w:sz w:val="22"/>
                <w:szCs w:val="22"/>
              </w:rPr>
              <w:t xml:space="preserve"> Vytvárajú sa podmienky pre sémantickú </w:t>
            </w:r>
            <w:r>
              <w:rPr>
                <w:sz w:val="22"/>
                <w:szCs w:val="22"/>
              </w:rPr>
              <w:lastRenderedPageBreak/>
              <w:t>interoperabilitu?</w:t>
            </w:r>
          </w:p>
          <w:p w:rsidR="00AF32BB" w:rsidRDefault="00AF32BB" w:rsidP="00473817">
            <w:pPr>
              <w:jc w:val="both"/>
              <w:rPr>
                <w:sz w:val="20"/>
                <w:szCs w:val="20"/>
              </w:rPr>
            </w:pPr>
            <w:r>
              <w:rPr>
                <w:i/>
                <w:iCs/>
                <w:sz w:val="20"/>
                <w:szCs w:val="20"/>
              </w:rPr>
              <w:t>(Popíšte spôsob jej zabezpečenia.)</w:t>
            </w:r>
          </w:p>
        </w:tc>
        <w:tc>
          <w:tcPr>
            <w:tcW w:w="3780" w:type="dxa"/>
          </w:tcPr>
          <w:p w:rsidR="00AF32BB" w:rsidRDefault="00AF32BB" w:rsidP="00473817">
            <w:pPr>
              <w:jc w:val="center"/>
              <w:rPr>
                <w:i/>
                <w:iCs/>
                <w:sz w:val="22"/>
                <w:szCs w:val="22"/>
              </w:rPr>
            </w:pPr>
            <w:r>
              <w:rPr>
                <w:i/>
                <w:iCs/>
                <w:sz w:val="22"/>
                <w:szCs w:val="22"/>
              </w:rPr>
              <w:lastRenderedPageBreak/>
              <w:t>nie</w:t>
            </w:r>
          </w:p>
        </w:tc>
      </w:tr>
      <w:tr w:rsidR="00AF32BB" w:rsidTr="00473817">
        <w:trPr>
          <w:trHeight w:val="20"/>
        </w:trPr>
        <w:tc>
          <w:tcPr>
            <w:tcW w:w="5235" w:type="dxa"/>
            <w:shd w:val="clear" w:color="auto" w:fill="C0C0C0"/>
          </w:tcPr>
          <w:p w:rsidR="00AF32BB" w:rsidRDefault="00AF32BB" w:rsidP="00473817">
            <w:pPr>
              <w:jc w:val="both"/>
              <w:rPr>
                <w:b/>
                <w:color w:val="FFFFFF"/>
                <w:sz w:val="22"/>
                <w:szCs w:val="22"/>
              </w:rPr>
            </w:pPr>
            <w:r>
              <w:rPr>
                <w:b/>
                <w:sz w:val="22"/>
                <w:szCs w:val="22"/>
              </w:rPr>
              <w:lastRenderedPageBreak/>
              <w:t>Ľudia</w:t>
            </w:r>
          </w:p>
        </w:tc>
        <w:tc>
          <w:tcPr>
            <w:tcW w:w="3780" w:type="dxa"/>
            <w:shd w:val="clear" w:color="auto" w:fill="C0C0C0"/>
            <w:vAlign w:val="center"/>
          </w:tcPr>
          <w:p w:rsidR="00AF32BB" w:rsidRDefault="00AF32BB" w:rsidP="00473817">
            <w:pPr>
              <w:rPr>
                <w:b/>
                <w:i/>
                <w:iCs/>
                <w:sz w:val="22"/>
                <w:szCs w:val="22"/>
              </w:rPr>
            </w:pPr>
          </w:p>
        </w:tc>
      </w:tr>
      <w:tr w:rsidR="00AF32BB" w:rsidTr="00473817">
        <w:trPr>
          <w:trHeight w:val="20"/>
        </w:trPr>
        <w:tc>
          <w:tcPr>
            <w:tcW w:w="5235" w:type="dxa"/>
          </w:tcPr>
          <w:p w:rsidR="00AF32BB" w:rsidRDefault="00AF32BB" w:rsidP="00473817">
            <w:pPr>
              <w:jc w:val="both"/>
              <w:rPr>
                <w:sz w:val="22"/>
                <w:szCs w:val="22"/>
              </w:rPr>
            </w:pPr>
            <w:r>
              <w:rPr>
                <w:b/>
                <w:sz w:val="22"/>
                <w:szCs w:val="22"/>
              </w:rPr>
              <w:t>6.3.</w:t>
            </w:r>
            <w:r>
              <w:rPr>
                <w:sz w:val="22"/>
                <w:szCs w:val="22"/>
              </w:rPr>
              <w:t xml:space="preserve"> Zabezpečuje sa vzdelávanie v oblasti počítačovej gramotnosti a rozširovanie vedomostí o IKT?</w:t>
            </w:r>
          </w:p>
          <w:p w:rsidR="00AF32BB" w:rsidRDefault="00AF32BB" w:rsidP="00473817">
            <w:pPr>
              <w:jc w:val="both"/>
              <w:rPr>
                <w:sz w:val="20"/>
                <w:szCs w:val="20"/>
              </w:rPr>
            </w:pPr>
            <w:r>
              <w:rPr>
                <w:i/>
                <w:iCs/>
                <w:sz w:val="20"/>
                <w:szCs w:val="20"/>
              </w:rPr>
              <w:t>(Uveďte spôsob, napr. projekty, školenia.)</w:t>
            </w:r>
          </w:p>
        </w:tc>
        <w:tc>
          <w:tcPr>
            <w:tcW w:w="3780" w:type="dxa"/>
            <w:vAlign w:val="center"/>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6.4.</w:t>
            </w:r>
            <w:r>
              <w:rPr>
                <w:sz w:val="22"/>
                <w:szCs w:val="22"/>
              </w:rPr>
              <w:t xml:space="preserve"> Zabezpečuje sa rozvoj elektronického vzdelávania?</w:t>
            </w:r>
          </w:p>
          <w:p w:rsidR="00AF32BB" w:rsidRDefault="00AF32BB" w:rsidP="00473817">
            <w:pPr>
              <w:jc w:val="both"/>
              <w:rPr>
                <w:color w:val="FFFFFF"/>
                <w:sz w:val="20"/>
                <w:szCs w:val="20"/>
              </w:rPr>
            </w:pPr>
            <w:r>
              <w:rPr>
                <w:i/>
                <w:iCs/>
                <w:sz w:val="20"/>
                <w:szCs w:val="20"/>
              </w:rPr>
              <w:t>(Uveďte typ a spôsob zabezpečenia vzdelávacích aktivít.)</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6.5.</w:t>
            </w:r>
            <w:r>
              <w:rPr>
                <w:sz w:val="22"/>
                <w:szCs w:val="22"/>
              </w:rPr>
              <w:t xml:space="preserve"> Zabezpečuje sa podporná a propagačná aktivita zameraná na zvyšovanie povedomia o informatizácii a IKT?</w:t>
            </w:r>
          </w:p>
          <w:p w:rsidR="00AF32BB" w:rsidRDefault="00AF32BB" w:rsidP="00473817">
            <w:pPr>
              <w:jc w:val="both"/>
              <w:rPr>
                <w:color w:val="FFFFFF"/>
                <w:sz w:val="20"/>
                <w:szCs w:val="20"/>
              </w:rPr>
            </w:pPr>
            <w:r>
              <w:rPr>
                <w:i/>
                <w:iCs/>
                <w:sz w:val="20"/>
                <w:szCs w:val="20"/>
              </w:rPr>
              <w:t>(Uveďte typ a spôsob zabezpečenia propagačných aktivít.)</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6.6.</w:t>
            </w:r>
            <w:r>
              <w:rPr>
                <w:sz w:val="22"/>
                <w:szCs w:val="22"/>
              </w:rPr>
              <w:t xml:space="preserve"> Zabezpečuje/zohľadňuje/zlepšuje sa prístup znevýhodnených osôb k službám informačnej spoločnosti?</w:t>
            </w:r>
          </w:p>
          <w:p w:rsidR="00AF32BB" w:rsidRDefault="00AF32BB" w:rsidP="00473817">
            <w:pPr>
              <w:jc w:val="both"/>
              <w:rPr>
                <w:sz w:val="20"/>
                <w:szCs w:val="20"/>
              </w:rPr>
            </w:pPr>
            <w:r>
              <w:rPr>
                <w:i/>
                <w:iCs/>
                <w:sz w:val="20"/>
                <w:szCs w:val="20"/>
              </w:rPr>
              <w:t>(Uveďte spôsob sprístupnenia digitálneho prostredia.)</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shd w:val="clear" w:color="auto" w:fill="C0C0C0"/>
          </w:tcPr>
          <w:p w:rsidR="00AF32BB" w:rsidRDefault="00AF32BB" w:rsidP="00473817">
            <w:pPr>
              <w:jc w:val="both"/>
              <w:rPr>
                <w:b/>
                <w:sz w:val="22"/>
                <w:szCs w:val="22"/>
              </w:rPr>
            </w:pPr>
            <w:r>
              <w:rPr>
                <w:b/>
                <w:sz w:val="22"/>
                <w:szCs w:val="22"/>
              </w:rPr>
              <w:t>Infraštruktúra</w:t>
            </w:r>
          </w:p>
        </w:tc>
        <w:tc>
          <w:tcPr>
            <w:tcW w:w="3780" w:type="dxa"/>
            <w:shd w:val="clear" w:color="auto" w:fill="C0C0C0"/>
          </w:tcPr>
          <w:p w:rsidR="00AF32BB" w:rsidRDefault="00AF32BB" w:rsidP="00473817">
            <w:pPr>
              <w:jc w:val="center"/>
              <w:rPr>
                <w:b/>
                <w:i/>
                <w:iCs/>
                <w:sz w:val="22"/>
                <w:szCs w:val="22"/>
              </w:rPr>
            </w:pPr>
          </w:p>
        </w:tc>
      </w:tr>
      <w:tr w:rsidR="00AF32BB" w:rsidTr="00473817">
        <w:trPr>
          <w:trHeight w:val="20"/>
        </w:trPr>
        <w:tc>
          <w:tcPr>
            <w:tcW w:w="5235" w:type="dxa"/>
          </w:tcPr>
          <w:p w:rsidR="00AF32BB" w:rsidRDefault="00AF32BB" w:rsidP="00473817">
            <w:pPr>
              <w:jc w:val="both"/>
              <w:rPr>
                <w:sz w:val="22"/>
                <w:szCs w:val="22"/>
              </w:rPr>
            </w:pPr>
            <w:r>
              <w:rPr>
                <w:b/>
                <w:sz w:val="22"/>
                <w:szCs w:val="22"/>
              </w:rPr>
              <w:t>6.7.</w:t>
            </w:r>
            <w:r>
              <w:rPr>
                <w:sz w:val="22"/>
                <w:szCs w:val="22"/>
              </w:rPr>
              <w:t xml:space="preserve"> Rozširuje, inovuje, vytvára alebo zavádza sa nový informačný systém?</w:t>
            </w:r>
          </w:p>
          <w:p w:rsidR="00AF32BB" w:rsidRDefault="00AF32BB" w:rsidP="00473817">
            <w:pPr>
              <w:jc w:val="both"/>
              <w:rPr>
                <w:sz w:val="20"/>
                <w:szCs w:val="20"/>
              </w:rPr>
            </w:pPr>
            <w:r>
              <w:rPr>
                <w:i/>
                <w:iCs/>
                <w:sz w:val="20"/>
                <w:szCs w:val="20"/>
              </w:rPr>
              <w:t>(Uveďte jeho funkciu.)</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6.8.</w:t>
            </w:r>
            <w:r>
              <w:rPr>
                <w:sz w:val="22"/>
                <w:szCs w:val="22"/>
              </w:rPr>
              <w:t xml:space="preserve"> Rozširuje sa prístupnosť k internetu?</w:t>
            </w:r>
          </w:p>
          <w:p w:rsidR="00AF32BB" w:rsidRDefault="00AF32BB" w:rsidP="00473817">
            <w:pPr>
              <w:jc w:val="both"/>
              <w:rPr>
                <w:sz w:val="20"/>
                <w:szCs w:val="20"/>
              </w:rPr>
            </w:pPr>
            <w:r>
              <w:rPr>
                <w:i/>
                <w:iCs/>
                <w:sz w:val="20"/>
                <w:szCs w:val="20"/>
              </w:rPr>
              <w:t>(Uveďte spôsob rozširovania prístupnosti.)</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rPr>
                <w:sz w:val="22"/>
                <w:szCs w:val="22"/>
              </w:rPr>
            </w:pPr>
            <w:r>
              <w:rPr>
                <w:b/>
                <w:sz w:val="22"/>
                <w:szCs w:val="22"/>
              </w:rPr>
              <w:t>6.9.</w:t>
            </w:r>
            <w:r>
              <w:rPr>
                <w:sz w:val="22"/>
                <w:szCs w:val="22"/>
              </w:rPr>
              <w:t xml:space="preserve"> Rozširuje sa prístupnosť k elektronickým službám?</w:t>
            </w:r>
          </w:p>
          <w:p w:rsidR="00AF32BB" w:rsidRDefault="00AF32BB" w:rsidP="00473817">
            <w:pPr>
              <w:rPr>
                <w:sz w:val="20"/>
                <w:szCs w:val="20"/>
              </w:rPr>
            </w:pPr>
            <w:r>
              <w:rPr>
                <w:i/>
                <w:iCs/>
                <w:sz w:val="20"/>
                <w:szCs w:val="20"/>
              </w:rPr>
              <w:t>(Uveďte spôsob rozširovania prístupnosti.)</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6.10.</w:t>
            </w:r>
            <w:r>
              <w:rPr>
                <w:sz w:val="22"/>
                <w:szCs w:val="22"/>
              </w:rPr>
              <w:t xml:space="preserve"> Zabezpečuje sa technická interoperabilita?</w:t>
            </w:r>
          </w:p>
          <w:p w:rsidR="00AF32BB" w:rsidRDefault="00AF32BB" w:rsidP="00473817">
            <w:pPr>
              <w:jc w:val="both"/>
              <w:rPr>
                <w:sz w:val="20"/>
                <w:szCs w:val="20"/>
              </w:rPr>
            </w:pPr>
            <w:r>
              <w:rPr>
                <w:i/>
                <w:iCs/>
                <w:sz w:val="20"/>
                <w:szCs w:val="20"/>
              </w:rPr>
              <w:t>(Uveďte spôsob jej zabezpečenia.)</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6.11.</w:t>
            </w:r>
            <w:r>
              <w:rPr>
                <w:sz w:val="22"/>
                <w:szCs w:val="22"/>
              </w:rPr>
              <w:t xml:space="preserve"> Zvyšuje sa bezpečnosť IT?</w:t>
            </w:r>
          </w:p>
          <w:p w:rsidR="00AF32BB" w:rsidRDefault="00AF32BB" w:rsidP="00473817">
            <w:pPr>
              <w:jc w:val="both"/>
              <w:rPr>
                <w:sz w:val="20"/>
                <w:szCs w:val="20"/>
              </w:rPr>
            </w:pPr>
            <w:r>
              <w:rPr>
                <w:sz w:val="20"/>
                <w:szCs w:val="20"/>
              </w:rPr>
              <w:t>(</w:t>
            </w:r>
            <w:r>
              <w:rPr>
                <w:i/>
                <w:iCs/>
                <w:sz w:val="20"/>
                <w:szCs w:val="20"/>
              </w:rPr>
              <w:t>Uveďte spôsob zvýšenia bezpečnosti a ochrany IT.)</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tcPr>
          <w:p w:rsidR="00AF32BB" w:rsidRDefault="00AF32BB" w:rsidP="00473817">
            <w:pPr>
              <w:jc w:val="both"/>
              <w:rPr>
                <w:sz w:val="22"/>
                <w:szCs w:val="22"/>
              </w:rPr>
            </w:pPr>
            <w:r>
              <w:rPr>
                <w:b/>
                <w:sz w:val="22"/>
                <w:szCs w:val="22"/>
              </w:rPr>
              <w:t>6.12.</w:t>
            </w:r>
            <w:r>
              <w:rPr>
                <w:sz w:val="22"/>
                <w:szCs w:val="22"/>
              </w:rPr>
              <w:t xml:space="preserve"> Rozširuje sa technická infraštruktúra?</w:t>
            </w:r>
          </w:p>
          <w:p w:rsidR="00AF32BB" w:rsidRDefault="00AF32BB" w:rsidP="00473817">
            <w:pPr>
              <w:jc w:val="both"/>
              <w:rPr>
                <w:sz w:val="20"/>
                <w:szCs w:val="20"/>
              </w:rPr>
            </w:pPr>
            <w:r>
              <w:rPr>
                <w:sz w:val="20"/>
                <w:szCs w:val="20"/>
              </w:rPr>
              <w:t>(</w:t>
            </w:r>
            <w:r>
              <w:rPr>
                <w:i/>
                <w:iCs/>
                <w:sz w:val="20"/>
                <w:szCs w:val="20"/>
              </w:rPr>
              <w:t>Uveďte stručný popis zavádzanej infraštruktúry.)</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shd w:val="clear" w:color="auto" w:fill="000000"/>
          </w:tcPr>
          <w:p w:rsidR="00AF32BB" w:rsidRDefault="00AF32BB" w:rsidP="00473817">
            <w:pPr>
              <w:rPr>
                <w:b/>
                <w:sz w:val="22"/>
                <w:szCs w:val="22"/>
              </w:rPr>
            </w:pPr>
            <w:r>
              <w:rPr>
                <w:b/>
                <w:sz w:val="22"/>
                <w:szCs w:val="22"/>
              </w:rPr>
              <w:t>Riadenie procesu informatizácie</w:t>
            </w:r>
          </w:p>
        </w:tc>
        <w:tc>
          <w:tcPr>
            <w:tcW w:w="3780" w:type="dxa"/>
            <w:shd w:val="clear" w:color="auto" w:fill="000000"/>
          </w:tcPr>
          <w:p w:rsidR="00AF32BB" w:rsidRDefault="00AF32BB" w:rsidP="00473817">
            <w:pPr>
              <w:jc w:val="center"/>
              <w:rPr>
                <w:b/>
                <w:sz w:val="22"/>
                <w:szCs w:val="22"/>
              </w:rPr>
            </w:pPr>
          </w:p>
        </w:tc>
      </w:tr>
      <w:tr w:rsidR="00AF32BB" w:rsidTr="00473817">
        <w:trPr>
          <w:trHeight w:val="20"/>
        </w:trPr>
        <w:tc>
          <w:tcPr>
            <w:tcW w:w="5235" w:type="dxa"/>
          </w:tcPr>
          <w:p w:rsidR="00AF32BB" w:rsidRDefault="00AF32BB" w:rsidP="00473817">
            <w:pPr>
              <w:jc w:val="both"/>
              <w:rPr>
                <w:sz w:val="22"/>
                <w:szCs w:val="22"/>
              </w:rPr>
            </w:pPr>
            <w:r>
              <w:rPr>
                <w:b/>
                <w:sz w:val="22"/>
                <w:szCs w:val="22"/>
              </w:rPr>
              <w:t>6.13.</w:t>
            </w:r>
            <w:r>
              <w:rPr>
                <w:sz w:val="22"/>
                <w:szCs w:val="22"/>
              </w:rPr>
              <w:t xml:space="preserve"> Predpokladajú sa zmeny v riadení procesu informatizácie?</w:t>
            </w:r>
          </w:p>
          <w:p w:rsidR="00AF32BB" w:rsidRDefault="00AF32BB" w:rsidP="00473817">
            <w:pPr>
              <w:jc w:val="both"/>
              <w:rPr>
                <w:sz w:val="20"/>
                <w:szCs w:val="20"/>
              </w:rPr>
            </w:pPr>
            <w:r>
              <w:rPr>
                <w:i/>
                <w:iCs/>
                <w:sz w:val="20"/>
                <w:szCs w:val="20"/>
              </w:rPr>
              <w:t>(Uveďte popis zmien.)</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shd w:val="clear" w:color="auto" w:fill="000000"/>
          </w:tcPr>
          <w:p w:rsidR="00AF32BB" w:rsidRDefault="00AF32BB" w:rsidP="00473817">
            <w:pPr>
              <w:jc w:val="both"/>
              <w:rPr>
                <w:b/>
                <w:sz w:val="22"/>
                <w:szCs w:val="22"/>
              </w:rPr>
            </w:pPr>
            <w:r>
              <w:rPr>
                <w:b/>
                <w:sz w:val="22"/>
                <w:szCs w:val="22"/>
              </w:rPr>
              <w:t>Financovanie procesu informatizácie</w:t>
            </w:r>
          </w:p>
        </w:tc>
        <w:tc>
          <w:tcPr>
            <w:tcW w:w="3780" w:type="dxa"/>
            <w:shd w:val="clear" w:color="auto" w:fill="000000"/>
          </w:tcPr>
          <w:p w:rsidR="00AF32BB" w:rsidRDefault="00AF32BB" w:rsidP="00473817">
            <w:pPr>
              <w:jc w:val="center"/>
              <w:rPr>
                <w:b/>
                <w:i/>
                <w:iCs/>
                <w:sz w:val="22"/>
                <w:szCs w:val="22"/>
              </w:rPr>
            </w:pPr>
          </w:p>
        </w:tc>
      </w:tr>
      <w:tr w:rsidR="00AF32BB" w:rsidTr="00473817">
        <w:trPr>
          <w:trHeight w:val="20"/>
        </w:trPr>
        <w:tc>
          <w:tcPr>
            <w:tcW w:w="5235" w:type="dxa"/>
          </w:tcPr>
          <w:p w:rsidR="00AF32BB" w:rsidRDefault="00AF32BB" w:rsidP="00473817">
            <w:pPr>
              <w:rPr>
                <w:sz w:val="22"/>
                <w:szCs w:val="22"/>
              </w:rPr>
            </w:pPr>
            <w:r>
              <w:rPr>
                <w:b/>
                <w:sz w:val="22"/>
                <w:szCs w:val="22"/>
              </w:rPr>
              <w:t>6.14.</w:t>
            </w:r>
            <w:r>
              <w:rPr>
                <w:sz w:val="22"/>
                <w:szCs w:val="22"/>
              </w:rPr>
              <w:t xml:space="preserve"> Vyžaduje si proces informatizácie  finančné investície?</w:t>
            </w:r>
          </w:p>
          <w:p w:rsidR="00AF32BB" w:rsidRDefault="00AF32BB" w:rsidP="00473817">
            <w:pPr>
              <w:rPr>
                <w:sz w:val="20"/>
                <w:szCs w:val="20"/>
              </w:rPr>
            </w:pPr>
            <w:r>
              <w:rPr>
                <w:i/>
                <w:iCs/>
                <w:sz w:val="20"/>
                <w:szCs w:val="20"/>
              </w:rPr>
              <w:t>(Popíšte príslušnú úroveň financovania.)</w:t>
            </w:r>
          </w:p>
        </w:tc>
        <w:tc>
          <w:tcPr>
            <w:tcW w:w="3780" w:type="dxa"/>
          </w:tcPr>
          <w:p w:rsidR="00AF32BB" w:rsidRDefault="00AF32BB" w:rsidP="00473817">
            <w:pPr>
              <w:jc w:val="center"/>
              <w:rPr>
                <w:i/>
                <w:iCs/>
                <w:sz w:val="22"/>
                <w:szCs w:val="22"/>
              </w:rPr>
            </w:pPr>
            <w:r>
              <w:rPr>
                <w:i/>
                <w:iCs/>
                <w:sz w:val="22"/>
                <w:szCs w:val="22"/>
              </w:rPr>
              <w:t>nie</w:t>
            </w:r>
          </w:p>
        </w:tc>
      </w:tr>
      <w:tr w:rsidR="00AF32BB" w:rsidTr="00473817">
        <w:trPr>
          <w:trHeight w:val="20"/>
        </w:trPr>
        <w:tc>
          <w:tcPr>
            <w:tcW w:w="5235" w:type="dxa"/>
            <w:shd w:val="clear" w:color="auto" w:fill="000000"/>
          </w:tcPr>
          <w:p w:rsidR="00AF32BB" w:rsidRDefault="00AF32BB" w:rsidP="00473817">
            <w:pPr>
              <w:jc w:val="both"/>
              <w:rPr>
                <w:b/>
                <w:sz w:val="22"/>
                <w:szCs w:val="22"/>
              </w:rPr>
            </w:pPr>
            <w:r>
              <w:rPr>
                <w:b/>
                <w:sz w:val="22"/>
                <w:szCs w:val="22"/>
              </w:rPr>
              <w:t>Legislatívne prostredie procesu informatizácie</w:t>
            </w:r>
          </w:p>
        </w:tc>
        <w:tc>
          <w:tcPr>
            <w:tcW w:w="3780" w:type="dxa"/>
            <w:shd w:val="clear" w:color="auto" w:fill="000000"/>
          </w:tcPr>
          <w:p w:rsidR="00AF32BB" w:rsidRDefault="00AF32BB" w:rsidP="00473817">
            <w:pPr>
              <w:jc w:val="center"/>
              <w:rPr>
                <w:b/>
                <w:i/>
                <w:iCs/>
                <w:sz w:val="22"/>
                <w:szCs w:val="22"/>
              </w:rPr>
            </w:pPr>
          </w:p>
        </w:tc>
      </w:tr>
      <w:tr w:rsidR="00AF32BB" w:rsidTr="00473817">
        <w:trPr>
          <w:trHeight w:val="20"/>
        </w:trPr>
        <w:tc>
          <w:tcPr>
            <w:tcW w:w="5235" w:type="dxa"/>
          </w:tcPr>
          <w:p w:rsidR="00AF32BB" w:rsidRDefault="00AF32BB" w:rsidP="00473817">
            <w:pPr>
              <w:rPr>
                <w:sz w:val="22"/>
                <w:szCs w:val="22"/>
              </w:rPr>
            </w:pPr>
            <w:r>
              <w:rPr>
                <w:b/>
                <w:sz w:val="22"/>
                <w:szCs w:val="22"/>
              </w:rPr>
              <w:t>6.15.</w:t>
            </w:r>
            <w:r>
              <w:rPr>
                <w:sz w:val="22"/>
                <w:szCs w:val="22"/>
              </w:rPr>
              <w:t xml:space="preserve"> Predpokladá nelegislatívny materiál potrebu úpravy legislatívneho prostredia  procesu informatizácie?</w:t>
            </w:r>
          </w:p>
          <w:p w:rsidR="00AF32BB" w:rsidRDefault="00AF32BB" w:rsidP="00473817">
            <w:pPr>
              <w:rPr>
                <w:sz w:val="20"/>
                <w:szCs w:val="20"/>
              </w:rPr>
            </w:pPr>
            <w:r>
              <w:rPr>
                <w:i/>
                <w:iCs/>
                <w:sz w:val="20"/>
                <w:szCs w:val="20"/>
              </w:rPr>
              <w:t>(Stručne popíšte navrhované legislatívne zmeny.)</w:t>
            </w:r>
          </w:p>
        </w:tc>
        <w:tc>
          <w:tcPr>
            <w:tcW w:w="3780" w:type="dxa"/>
          </w:tcPr>
          <w:p w:rsidR="00AF32BB" w:rsidRDefault="00AF32BB" w:rsidP="00473817">
            <w:pPr>
              <w:jc w:val="center"/>
              <w:rPr>
                <w:i/>
                <w:iCs/>
                <w:sz w:val="22"/>
                <w:szCs w:val="22"/>
              </w:rPr>
            </w:pPr>
            <w:r>
              <w:rPr>
                <w:i/>
                <w:iCs/>
                <w:sz w:val="22"/>
                <w:szCs w:val="22"/>
              </w:rPr>
              <w:t>nie</w:t>
            </w:r>
          </w:p>
        </w:tc>
      </w:tr>
    </w:tbl>
    <w:p w:rsidR="00AF32BB" w:rsidRDefault="00AF32BB" w:rsidP="00AF32BB">
      <w:pPr>
        <w:jc w:val="both"/>
        <w:rPr>
          <w:color w:val="000000"/>
        </w:rPr>
      </w:pPr>
    </w:p>
    <w:p w:rsidR="00B16260" w:rsidRDefault="0049352E" w:rsidP="00B16260">
      <w:pPr>
        <w:jc w:val="both"/>
        <w:rPr>
          <w:color w:val="000000"/>
        </w:rPr>
      </w:pPr>
      <w:r>
        <w:rPr>
          <w:color w:val="000000"/>
        </w:rPr>
        <w:br/>
      </w:r>
    </w:p>
    <w:p w:rsidR="0049352E" w:rsidRDefault="0049352E" w:rsidP="00B16260">
      <w:pPr>
        <w:jc w:val="both"/>
        <w:rPr>
          <w:color w:val="000000"/>
        </w:rPr>
      </w:pPr>
    </w:p>
    <w:p w:rsidR="0049352E" w:rsidRDefault="0049352E" w:rsidP="00B16260">
      <w:pPr>
        <w:jc w:val="both"/>
        <w:rPr>
          <w:color w:val="000000"/>
        </w:rPr>
      </w:pPr>
    </w:p>
    <w:p w:rsidR="0049352E" w:rsidRDefault="0049352E" w:rsidP="00B16260">
      <w:pPr>
        <w:jc w:val="both"/>
        <w:rPr>
          <w:color w:val="000000"/>
        </w:rPr>
      </w:pPr>
    </w:p>
    <w:p w:rsidR="0049352E" w:rsidRDefault="0049352E" w:rsidP="00B16260">
      <w:pPr>
        <w:jc w:val="both"/>
        <w:rPr>
          <w:color w:val="000000"/>
        </w:rPr>
      </w:pPr>
    </w:p>
    <w:p w:rsidR="0049352E" w:rsidRPr="00AD7D62" w:rsidRDefault="0049352E" w:rsidP="00B16260">
      <w:pPr>
        <w:jc w:val="both"/>
        <w:rPr>
          <w:color w:val="000000"/>
        </w:rPr>
      </w:pPr>
      <w:bookmarkStart w:id="1" w:name="_GoBack"/>
      <w:bookmarkEnd w:id="1"/>
    </w:p>
    <w:p w:rsidR="00B16260" w:rsidRPr="00AD7D62" w:rsidRDefault="00B16260" w:rsidP="00B16260">
      <w:pPr>
        <w:jc w:val="center"/>
        <w:rPr>
          <w:color w:val="000000"/>
        </w:rPr>
      </w:pPr>
      <w:r w:rsidRPr="00AD7D62">
        <w:rPr>
          <w:b/>
          <w:bCs/>
          <w:color w:val="404040"/>
        </w:rPr>
        <w:lastRenderedPageBreak/>
        <w:t>DOLOŽKA VPLYVOV STRATEGICKÉHO DOKUMENTU</w:t>
      </w:r>
      <w:r w:rsidRPr="00AD7D62">
        <w:rPr>
          <w:b/>
          <w:bCs/>
          <w:color w:val="404040"/>
        </w:rPr>
        <w:br/>
        <w:t>S CELOŠTÁTNYM DOSAHOM NA ŽIVOTNÉ PROSTREDIE</w:t>
      </w:r>
    </w:p>
    <w:p w:rsidR="00B16260" w:rsidRDefault="00B16260" w:rsidP="00B16260">
      <w:pPr>
        <w:jc w:val="both"/>
        <w:rPr>
          <w:b/>
          <w:color w:val="000000"/>
        </w:rPr>
      </w:pPr>
      <w:r w:rsidRPr="00AD7D62">
        <w:rPr>
          <w:color w:val="000000"/>
        </w:rPr>
        <w:br/>
      </w:r>
      <w:r w:rsidRPr="00AD7D62">
        <w:rPr>
          <w:color w:val="000000"/>
        </w:rPr>
        <w:br/>
      </w:r>
      <w:r w:rsidRPr="00AD7D62">
        <w:rPr>
          <w:b/>
          <w:color w:val="000000"/>
        </w:rPr>
        <w:t>I. Základné údaje o strategickom dokumente</w:t>
      </w:r>
    </w:p>
    <w:p w:rsidR="00B16260" w:rsidRPr="00AD7D62" w:rsidRDefault="00B16260" w:rsidP="00B16260">
      <w:pPr>
        <w:jc w:val="both"/>
        <w:rPr>
          <w:b/>
          <w:color w:val="000000"/>
        </w:rPr>
      </w:pPr>
    </w:p>
    <w:p w:rsidR="00B16260" w:rsidRPr="004411C2" w:rsidRDefault="00B16260" w:rsidP="00B16260">
      <w:pPr>
        <w:ind w:firstLine="426"/>
        <w:jc w:val="both"/>
      </w:pPr>
      <w:r w:rsidRPr="004411C2">
        <w:t>Program spolupráce INTERREG EUROPE na programové obdobie 2014 – 2020 (ďalej len „</w:t>
      </w:r>
      <w:r>
        <w:t>program</w:t>
      </w:r>
      <w:r w:rsidRPr="004411C2">
        <w:t xml:space="preserve">“), financovaný z </w:t>
      </w:r>
      <w:hyperlink r:id="rId6" w:history="1">
        <w:r w:rsidRPr="004411C2">
          <w:t>Európskeho fondu regionálneho rozvoja</w:t>
        </w:r>
      </w:hyperlink>
      <w:r w:rsidRPr="004411C2">
        <w:t xml:space="preserve"> (EFRR), je navrhnutý tak, aby podporoval vzdelávanie v oblasti politík medzi verejnými orgánmi s cieľom zlepšiť efektívnosť politík a programov regionálneho rozvoja. Umožňuje verejným orgánom v celej Európe vymieňať si skúsenosti a názory na spôsob fungovania verejných politík, a tým nájsť riešenia na zlepšenie svojich stratégií pre svojich vlastných občanov.</w:t>
      </w:r>
    </w:p>
    <w:p w:rsidR="00B16260" w:rsidRPr="004411C2" w:rsidRDefault="00B16260" w:rsidP="00B16260">
      <w:pPr>
        <w:ind w:firstLine="426"/>
        <w:jc w:val="both"/>
      </w:pPr>
      <w:r w:rsidRPr="004411C2">
        <w:t xml:space="preserve">Ako nástroj na implementáciu kohéznej politiky EÚ prispieva INTERREG EUROPE k dosiahnutiu celkového cieľa kohéznej politiky, menovite k redukcii disparít jestvujúcich medzi členskými krajinami EÚ a regiónmi čo sa týka ich sociálneho a hospodárskeho rozvoja a ochrany životného prostredia, berúc do úvahy špecifické teritoriálne a sociálne podmienky a potenciál. Samotná kohézna politika podporuje ciele stratégie </w:t>
      </w:r>
      <w:r>
        <w:t>Európa</w:t>
      </w:r>
      <w:r w:rsidRPr="004411C2">
        <w:t xml:space="preserve"> 2020 (COM (2010) 2020). </w:t>
      </w:r>
    </w:p>
    <w:p w:rsidR="00B16260" w:rsidRPr="004411C2" w:rsidRDefault="00B16260" w:rsidP="00B16260">
      <w:pPr>
        <w:ind w:firstLine="426"/>
        <w:jc w:val="both"/>
      </w:pPr>
      <w:r w:rsidRPr="004411C2">
        <w:t>Oblasť, ktorej sa týka INTERREG EUROPE pokrýva celé územie Európskej únie (E</w:t>
      </w:r>
      <w:r>
        <w:t>Ú</w:t>
      </w:r>
      <w:r w:rsidRPr="004411C2">
        <w:t>-28) plus partnerské krajiny Nórsk</w:t>
      </w:r>
      <w:r>
        <w:t>e kráľovstvo</w:t>
      </w:r>
      <w:r w:rsidRPr="004411C2">
        <w:t xml:space="preserve"> a</w:t>
      </w:r>
      <w:r>
        <w:t> </w:t>
      </w:r>
      <w:r w:rsidRPr="004411C2">
        <w:t>Švajčiarsk</w:t>
      </w:r>
      <w:r>
        <w:t>a konfederácia</w:t>
      </w:r>
      <w:r w:rsidRPr="004411C2">
        <w:t>.</w:t>
      </w:r>
    </w:p>
    <w:p w:rsidR="00B16260" w:rsidRDefault="00B16260" w:rsidP="00B16260">
      <w:pPr>
        <w:ind w:firstLine="426"/>
        <w:jc w:val="both"/>
      </w:pPr>
      <w:r w:rsidRPr="004411C2">
        <w:t xml:space="preserve">Formálny časový rámec </w:t>
      </w:r>
      <w:r>
        <w:t>p</w:t>
      </w:r>
      <w:r w:rsidRPr="004411C2">
        <w:t>rogramu zahŕňa roky 2014 až 2020. Po pridaní ďalších dvoch rokov kvôli finalizácii financovaných programov bude v rámci vyhodnotenia brané do úvahy obdobie od roku 2014 do roku 2022.</w:t>
      </w:r>
      <w:r>
        <w:t xml:space="preserve"> </w:t>
      </w:r>
    </w:p>
    <w:p w:rsidR="00B16260" w:rsidRDefault="00B16260" w:rsidP="00B16260">
      <w:pPr>
        <w:jc w:val="both"/>
        <w:rPr>
          <w:b/>
          <w:color w:val="000000"/>
        </w:rPr>
      </w:pPr>
    </w:p>
    <w:p w:rsidR="00B16260" w:rsidRDefault="00B16260" w:rsidP="00B16260">
      <w:pPr>
        <w:jc w:val="both"/>
        <w:rPr>
          <w:b/>
          <w:color w:val="000000"/>
        </w:rPr>
      </w:pPr>
      <w:r w:rsidRPr="00AD7D62">
        <w:rPr>
          <w:b/>
          <w:color w:val="000000"/>
        </w:rPr>
        <w:t>1.</w:t>
      </w:r>
      <w:r>
        <w:rPr>
          <w:b/>
          <w:color w:val="000000"/>
        </w:rPr>
        <w:t xml:space="preserve"> Hlavné ciele. </w:t>
      </w:r>
      <w:r w:rsidRPr="00AD7D62">
        <w:rPr>
          <w:b/>
          <w:color w:val="000000"/>
        </w:rPr>
        <w:t xml:space="preserve"> </w:t>
      </w:r>
    </w:p>
    <w:p w:rsidR="00B16260" w:rsidRDefault="00B16260" w:rsidP="00B16260">
      <w:pPr>
        <w:jc w:val="both"/>
        <w:rPr>
          <w:b/>
          <w:color w:val="000000"/>
        </w:rPr>
      </w:pPr>
    </w:p>
    <w:p w:rsidR="00B16260" w:rsidRDefault="00B16260" w:rsidP="00B16260">
      <w:pPr>
        <w:ind w:firstLine="426"/>
        <w:jc w:val="both"/>
      </w:pPr>
      <w:r w:rsidRPr="00AD7D62">
        <w:t xml:space="preserve">Program pokrýva 4 prioritné osi (PO), ktoré sú založené na </w:t>
      </w:r>
      <w:r>
        <w:t>t</w:t>
      </w:r>
      <w:r w:rsidRPr="00AD7D62">
        <w:t>ematických cieľoch uvedených v </w:t>
      </w:r>
      <w:r>
        <w:t>č</w:t>
      </w:r>
      <w:r w:rsidRPr="00AD7D62">
        <w:t>lánku 9 Nariadenia o spoločných ustanoveniach (Common Provisions Regulation – CPR). V rámci PO bolo vybraných 6 investičných priorít (IP tak, ako sú opísané v </w:t>
      </w:r>
      <w:r>
        <w:t>č</w:t>
      </w:r>
      <w:r w:rsidRPr="00AD7D62">
        <w:t xml:space="preserve">lánku </w:t>
      </w:r>
      <w:r>
        <w:t>5</w:t>
      </w:r>
      <w:r w:rsidRPr="00AD7D62">
        <w:t xml:space="preserve"> Nariadenia EFRR, ktoré sa ďalej sústreďujú na 6 špecifických cieľov (ŠC), t.j. jeden špecifický cieľ pre každú vybranú investičnú prioritu:</w:t>
      </w:r>
    </w:p>
    <w:p w:rsidR="00B16260" w:rsidRPr="004411C2" w:rsidRDefault="00B16260" w:rsidP="00B16260">
      <w:pPr>
        <w:jc w:val="both"/>
        <w:rPr>
          <w:b/>
          <w:color w:val="000000"/>
        </w:rPr>
      </w:pPr>
    </w:p>
    <w:p w:rsidR="00B16260" w:rsidRPr="00AD7D62" w:rsidRDefault="00B16260" w:rsidP="00B16260">
      <w:pPr>
        <w:jc w:val="both"/>
        <w:rPr>
          <w:b/>
          <w:lang w:eastAsia="de-AT"/>
        </w:rPr>
      </w:pPr>
      <w:r w:rsidRPr="00AD7D62">
        <w:rPr>
          <w:b/>
        </w:rPr>
        <w:t xml:space="preserve">Prioritná os 1: </w:t>
      </w:r>
    </w:p>
    <w:p w:rsidR="00B16260" w:rsidRPr="00AD7D62" w:rsidRDefault="00B16260" w:rsidP="00B16260">
      <w:pPr>
        <w:tabs>
          <w:tab w:val="left" w:pos="284"/>
        </w:tabs>
        <w:jc w:val="both"/>
        <w:rPr>
          <w:b/>
        </w:rPr>
      </w:pPr>
      <w:r w:rsidRPr="00AD7D62">
        <w:rPr>
          <w:b/>
        </w:rPr>
        <w:t>Výskum, technologický vývoj a inovácie (RTD&amp;I)</w:t>
      </w:r>
    </w:p>
    <w:p w:rsidR="00B16260" w:rsidRPr="00AD7D62" w:rsidRDefault="00B16260" w:rsidP="00B16260">
      <w:pPr>
        <w:jc w:val="both"/>
        <w:rPr>
          <w:rFonts w:eastAsia="Calibri"/>
        </w:rPr>
      </w:pPr>
      <w:r w:rsidRPr="00AD7D62">
        <w:rPr>
          <w:rFonts w:eastAsia="Calibri"/>
        </w:rPr>
        <w:t xml:space="preserve">Investičná priorita 1(a): </w:t>
      </w:r>
    </w:p>
    <w:p w:rsidR="00B16260" w:rsidRPr="00AD7D62" w:rsidRDefault="00B16260" w:rsidP="00B16260">
      <w:pPr>
        <w:jc w:val="both"/>
        <w:rPr>
          <w:rFonts w:eastAsia="Calibri"/>
        </w:rPr>
      </w:pPr>
      <w:r w:rsidRPr="00AD7D62">
        <w:rPr>
          <w:rFonts w:eastAsia="Calibri"/>
        </w:rPr>
        <w:t>Rozšírenie výskumnej a inovačnej infraštruktúry a kapacít na rozvoj excelentnosti v oblasti výskumu a inovácií a podpory kompetenčných centier, najmä takýchto centier európskeho záujmu;</w:t>
      </w:r>
    </w:p>
    <w:p w:rsidR="00B16260" w:rsidRPr="00AD7D62" w:rsidRDefault="00B16260" w:rsidP="00B16260">
      <w:pPr>
        <w:jc w:val="both"/>
        <w:rPr>
          <w:i/>
          <w:lang w:eastAsia="de-AT"/>
        </w:rPr>
      </w:pPr>
      <w:r w:rsidRPr="00AD7D62">
        <w:rPr>
          <w:i/>
        </w:rPr>
        <w:t xml:space="preserve">Špecifický cieľ 1.1: </w:t>
      </w:r>
    </w:p>
    <w:p w:rsidR="00B16260" w:rsidRDefault="00B16260" w:rsidP="00B16260">
      <w:pPr>
        <w:tabs>
          <w:tab w:val="left" w:pos="284"/>
        </w:tabs>
        <w:jc w:val="both"/>
        <w:rPr>
          <w:i/>
        </w:rPr>
      </w:pPr>
      <w:r w:rsidRPr="00AD7D62">
        <w:rPr>
          <w:i/>
        </w:rPr>
        <w:t>Zlepšiť implementáciu politík a programov regionálneho rozvoja, najmä programov zameraných na investovanie do rastu a zamestnanosti a, pokiaľ je to relevantné, programov EÚS v oblasti výskumnej a inovačnej infraštruktúry a kapacít.</w:t>
      </w:r>
    </w:p>
    <w:p w:rsidR="00B16260" w:rsidRPr="00AD7D62" w:rsidRDefault="00B16260" w:rsidP="00B16260">
      <w:pPr>
        <w:tabs>
          <w:tab w:val="left" w:pos="284"/>
        </w:tabs>
        <w:jc w:val="both"/>
        <w:rPr>
          <w:i/>
        </w:rPr>
      </w:pPr>
    </w:p>
    <w:p w:rsidR="00B16260" w:rsidRPr="00AD7D62" w:rsidRDefault="00B16260" w:rsidP="00B16260">
      <w:pPr>
        <w:jc w:val="both"/>
        <w:rPr>
          <w:lang w:eastAsia="de-AT"/>
        </w:rPr>
      </w:pPr>
      <w:r w:rsidRPr="00AD7D62">
        <w:t xml:space="preserve">Investičná priorita 1(b): </w:t>
      </w:r>
    </w:p>
    <w:p w:rsidR="00B16260" w:rsidRDefault="00B16260" w:rsidP="00B16260">
      <w:pPr>
        <w:jc w:val="both"/>
        <w:rPr>
          <w:rFonts w:eastAsia="Calibri"/>
        </w:rPr>
      </w:pPr>
      <w:r w:rsidRPr="00AD7D62">
        <w:rPr>
          <w:rFonts w:eastAsia="Calibri"/>
        </w:rPr>
        <w:t xml:space="preserve">Podpora investovania podnikov do výskumu a inovácií a vytvárania prepojení a synergií medzi podnikmi, centrami výskumu a vývoja a vysokoškolským vzdelávacím prostredím, najmä podpory investovania do vývoja produktov a služieb, prenosu technológií, sociálnej inovácie, ekologických inovácií, aplikácií verejných služieb, stimulácie dopytu, vytvárania sietí, zoskupení a otvorenej inovácie prostredníctvom inteligentnej špecializácie  za  podpory technologického a aplikovaného výskumu, pilotných projektov, opatrení skorého overovania </w:t>
      </w:r>
      <w:r w:rsidRPr="00AD7D62">
        <w:rPr>
          <w:rFonts w:eastAsia="Calibri"/>
        </w:rPr>
        <w:lastRenderedPageBreak/>
        <w:t>výrobkov, rozšírených výrobných kapacít a prvej výroby, najmä v základných podporných technológiách a šírenia technológií na všeobecný účel.</w:t>
      </w:r>
    </w:p>
    <w:p w:rsidR="00B16260" w:rsidRPr="00AD7D62" w:rsidRDefault="00B16260" w:rsidP="00B16260">
      <w:pPr>
        <w:jc w:val="both"/>
        <w:rPr>
          <w:rFonts w:eastAsia="Calibri"/>
        </w:rPr>
      </w:pPr>
    </w:p>
    <w:p w:rsidR="00B16260" w:rsidRPr="00AD7D62" w:rsidRDefault="00B16260" w:rsidP="00B16260">
      <w:pPr>
        <w:jc w:val="both"/>
        <w:rPr>
          <w:i/>
          <w:lang w:eastAsia="de-AT"/>
        </w:rPr>
      </w:pPr>
      <w:r w:rsidRPr="00AD7D62">
        <w:rPr>
          <w:i/>
        </w:rPr>
        <w:t xml:space="preserve">Špecifický cieľ 1.2: </w:t>
      </w:r>
    </w:p>
    <w:p w:rsidR="00B16260" w:rsidRDefault="00B16260" w:rsidP="00B16260">
      <w:pPr>
        <w:tabs>
          <w:tab w:val="left" w:pos="284"/>
        </w:tabs>
        <w:jc w:val="both"/>
        <w:rPr>
          <w:i/>
        </w:rPr>
      </w:pPr>
      <w:r w:rsidRPr="00AD7D62">
        <w:rPr>
          <w:i/>
        </w:rPr>
        <w:t>Zlepšiť implementáciu politík a programov regionálneho rozvoja, najmä programov zameraných na investovanie do rastu a zamestnanosti a, pokiaľ je to relevantné, programov EÚS, ktoré podporujú zavádzanie inovácií aktérmi regionálnych inovačných reťazcov v oblastiach "inteligentnej špecializácie" a inovačnej príležitosti.</w:t>
      </w:r>
    </w:p>
    <w:p w:rsidR="00B16260" w:rsidRPr="00AD7D62" w:rsidRDefault="00B16260" w:rsidP="00B16260">
      <w:pPr>
        <w:tabs>
          <w:tab w:val="left" w:pos="284"/>
        </w:tabs>
        <w:jc w:val="both"/>
        <w:rPr>
          <w:i/>
        </w:rPr>
      </w:pPr>
    </w:p>
    <w:p w:rsidR="00B16260" w:rsidRPr="00AD7D62" w:rsidRDefault="00B16260" w:rsidP="00B16260">
      <w:pPr>
        <w:jc w:val="both"/>
        <w:rPr>
          <w:b/>
          <w:lang w:eastAsia="de-AT"/>
        </w:rPr>
      </w:pPr>
      <w:r w:rsidRPr="00AD7D62">
        <w:rPr>
          <w:b/>
        </w:rPr>
        <w:t xml:space="preserve">Prioritná os 2: </w:t>
      </w:r>
    </w:p>
    <w:p w:rsidR="00B16260" w:rsidRPr="00AD7D62" w:rsidRDefault="00B16260" w:rsidP="00B16260">
      <w:pPr>
        <w:tabs>
          <w:tab w:val="left" w:pos="284"/>
        </w:tabs>
        <w:jc w:val="both"/>
        <w:rPr>
          <w:b/>
        </w:rPr>
      </w:pPr>
      <w:r w:rsidRPr="00AD7D62">
        <w:rPr>
          <w:b/>
        </w:rPr>
        <w:t>Konkurencieschopnosť malých a stredných podnikov</w:t>
      </w:r>
    </w:p>
    <w:p w:rsidR="00B16260" w:rsidRPr="00AD7D62" w:rsidRDefault="00B16260" w:rsidP="00B16260">
      <w:pPr>
        <w:jc w:val="both"/>
        <w:rPr>
          <w:lang w:eastAsia="de-AT"/>
        </w:rPr>
      </w:pPr>
      <w:r w:rsidRPr="00AD7D62">
        <w:t xml:space="preserve">Investičná priorita 3 (d): </w:t>
      </w:r>
    </w:p>
    <w:p w:rsidR="00B16260" w:rsidRDefault="00B16260" w:rsidP="00B16260">
      <w:pPr>
        <w:jc w:val="both"/>
        <w:rPr>
          <w:rFonts w:eastAsia="Calibri"/>
        </w:rPr>
      </w:pPr>
      <w:r w:rsidRPr="00AD7D62">
        <w:rPr>
          <w:rFonts w:eastAsia="Calibri"/>
        </w:rPr>
        <w:t>Podpora kapacít MSP pre rast na regionálnych, celoštátnych a medzinárodných trhoch a zapojenia sa do procesov inovácií.</w:t>
      </w:r>
    </w:p>
    <w:p w:rsidR="00B16260" w:rsidRPr="00AD7D62" w:rsidRDefault="00B16260" w:rsidP="00B16260">
      <w:pPr>
        <w:jc w:val="both"/>
        <w:rPr>
          <w:rFonts w:eastAsia="Calibri"/>
        </w:rPr>
      </w:pPr>
    </w:p>
    <w:p w:rsidR="00B16260" w:rsidRPr="00AD7D62" w:rsidRDefault="00B16260" w:rsidP="00B16260">
      <w:pPr>
        <w:jc w:val="both"/>
        <w:rPr>
          <w:i/>
        </w:rPr>
      </w:pPr>
      <w:r w:rsidRPr="00AD7D62">
        <w:rPr>
          <w:i/>
        </w:rPr>
        <w:t xml:space="preserve">Špecifický cieľ 2.1: </w:t>
      </w:r>
    </w:p>
    <w:p w:rsidR="00B16260" w:rsidRDefault="00B16260" w:rsidP="00B16260">
      <w:pPr>
        <w:jc w:val="both"/>
        <w:rPr>
          <w:i/>
        </w:rPr>
      </w:pPr>
      <w:r w:rsidRPr="00AD7D62">
        <w:rPr>
          <w:i/>
        </w:rPr>
        <w:t>Zlepšiť implementáciu politík a programov regionálneho rozvoja, najmä programov zameraných na investovanie do rastu a zamestnanosti a, pokiaľ je to relevantné, programov EÚS podporovaním malých a stredných podnikov vo všetkých fázach ich životného cyklu s cieľov rozvíjať a dosahovať rast a zapájať sa do inovácií.</w:t>
      </w:r>
    </w:p>
    <w:p w:rsidR="00B16260" w:rsidRPr="00AD7D62" w:rsidRDefault="00B16260" w:rsidP="00B16260">
      <w:pPr>
        <w:jc w:val="both"/>
        <w:rPr>
          <w:i/>
        </w:rPr>
      </w:pPr>
    </w:p>
    <w:p w:rsidR="00B16260" w:rsidRPr="00AD7D62" w:rsidRDefault="00B16260" w:rsidP="00B16260">
      <w:pPr>
        <w:jc w:val="both"/>
        <w:rPr>
          <w:b/>
          <w:lang w:eastAsia="de-AT"/>
        </w:rPr>
      </w:pPr>
      <w:r w:rsidRPr="00AD7D62">
        <w:rPr>
          <w:b/>
        </w:rPr>
        <w:t xml:space="preserve">Prioritná os 3: </w:t>
      </w:r>
    </w:p>
    <w:p w:rsidR="00B16260" w:rsidRPr="00AD7D62" w:rsidRDefault="00B16260" w:rsidP="00B16260">
      <w:pPr>
        <w:tabs>
          <w:tab w:val="left" w:pos="284"/>
        </w:tabs>
        <w:jc w:val="both"/>
        <w:rPr>
          <w:b/>
        </w:rPr>
      </w:pPr>
      <w:r w:rsidRPr="00AD7D62">
        <w:rPr>
          <w:b/>
        </w:rPr>
        <w:t>Nízkouhlíkové hospodárstvo</w:t>
      </w:r>
    </w:p>
    <w:p w:rsidR="00B16260" w:rsidRPr="00AD7D62" w:rsidRDefault="00B16260" w:rsidP="00B16260">
      <w:pPr>
        <w:jc w:val="both"/>
        <w:rPr>
          <w:lang w:eastAsia="de-AT"/>
        </w:rPr>
      </w:pPr>
      <w:r w:rsidRPr="00AD7D62">
        <w:t xml:space="preserve">Investičná priorita 4 (e): </w:t>
      </w:r>
    </w:p>
    <w:p w:rsidR="00B16260" w:rsidRDefault="00B16260" w:rsidP="00B16260">
      <w:pPr>
        <w:jc w:val="both"/>
      </w:pPr>
      <w:r w:rsidRPr="00AD7D62">
        <w:t>Podpora nízkouhlíkových stratégií pre všetky typy území, najmä pre mestské oblasti, vrátane podpory udržateľnej multimodálnej mestskej mobility a adaptačných opatrení, ktorých cieľom je zmiernenie zmeny klímy.</w:t>
      </w:r>
    </w:p>
    <w:p w:rsidR="00B16260" w:rsidRPr="00AD7D62" w:rsidRDefault="00B16260" w:rsidP="00B16260">
      <w:pPr>
        <w:jc w:val="both"/>
      </w:pPr>
    </w:p>
    <w:p w:rsidR="00B16260" w:rsidRPr="00AD7D62" w:rsidRDefault="00B16260" w:rsidP="00B16260">
      <w:pPr>
        <w:jc w:val="both"/>
        <w:rPr>
          <w:i/>
          <w:lang w:eastAsia="de-AT"/>
        </w:rPr>
      </w:pPr>
      <w:r w:rsidRPr="00AD7D62">
        <w:rPr>
          <w:i/>
        </w:rPr>
        <w:t xml:space="preserve">Špecifický cieľ 3.1: </w:t>
      </w:r>
    </w:p>
    <w:p w:rsidR="00B16260" w:rsidRDefault="00B16260" w:rsidP="00B16260">
      <w:pPr>
        <w:jc w:val="both"/>
        <w:rPr>
          <w:i/>
        </w:rPr>
      </w:pPr>
      <w:r w:rsidRPr="00AD7D62">
        <w:rPr>
          <w:i/>
        </w:rPr>
        <w:t>Zlepšiť implementáciu politík a programov regionálneho rozvoja, najmä programov zameraných na investovanie do rastu a zamestnanosti a, pokiaľ je to relevantné, programov EÚS riešením prechodu na nízkouhlíkové hospodárstvo.</w:t>
      </w:r>
    </w:p>
    <w:p w:rsidR="00B16260" w:rsidRPr="00AD7D62" w:rsidRDefault="00B16260" w:rsidP="00B16260">
      <w:pPr>
        <w:jc w:val="both"/>
        <w:rPr>
          <w:i/>
        </w:rPr>
      </w:pPr>
    </w:p>
    <w:p w:rsidR="00B16260" w:rsidRPr="00AD7D62" w:rsidRDefault="00B16260" w:rsidP="00B16260">
      <w:pPr>
        <w:jc w:val="both"/>
        <w:rPr>
          <w:b/>
          <w:lang w:eastAsia="de-AT"/>
        </w:rPr>
      </w:pPr>
      <w:r w:rsidRPr="00AD7D62">
        <w:rPr>
          <w:b/>
        </w:rPr>
        <w:t xml:space="preserve">Prioritná os 4: </w:t>
      </w:r>
    </w:p>
    <w:p w:rsidR="00B16260" w:rsidRPr="00AD7D62" w:rsidRDefault="00B16260" w:rsidP="00B16260">
      <w:pPr>
        <w:tabs>
          <w:tab w:val="left" w:pos="284"/>
        </w:tabs>
        <w:jc w:val="both"/>
        <w:rPr>
          <w:b/>
        </w:rPr>
      </w:pPr>
      <w:r w:rsidRPr="00AD7D62">
        <w:rPr>
          <w:b/>
        </w:rPr>
        <w:t>Životné prostredie a efektívne využívanie zdrojov</w:t>
      </w:r>
    </w:p>
    <w:p w:rsidR="00B16260" w:rsidRPr="004F082B" w:rsidRDefault="00B16260" w:rsidP="00B16260">
      <w:pPr>
        <w:jc w:val="both"/>
        <w:rPr>
          <w:lang w:eastAsia="de-AT"/>
        </w:rPr>
      </w:pPr>
      <w:r w:rsidRPr="00AD7D62">
        <w:t xml:space="preserve">Investičná priorita 6 (c): </w:t>
      </w:r>
    </w:p>
    <w:p w:rsidR="00B16260" w:rsidRDefault="00B16260" w:rsidP="00B16260">
      <w:pPr>
        <w:jc w:val="both"/>
      </w:pPr>
      <w:r w:rsidRPr="00AD7D62">
        <w:t>Zachovanie, ochrana, podpora a rozvoj prírodného a kultúrneho dedičstva.</w:t>
      </w:r>
    </w:p>
    <w:p w:rsidR="00B16260" w:rsidRDefault="00B16260" w:rsidP="00B16260">
      <w:pPr>
        <w:jc w:val="both"/>
      </w:pPr>
    </w:p>
    <w:p w:rsidR="00B16260" w:rsidRDefault="00B16260" w:rsidP="00B16260">
      <w:pPr>
        <w:jc w:val="both"/>
      </w:pPr>
    </w:p>
    <w:p w:rsidR="00B16260" w:rsidRPr="00AD7D62" w:rsidRDefault="00B16260" w:rsidP="00B16260">
      <w:pPr>
        <w:jc w:val="both"/>
      </w:pPr>
    </w:p>
    <w:p w:rsidR="00B16260" w:rsidRPr="00AD7D62" w:rsidRDefault="00B16260" w:rsidP="00B16260">
      <w:pPr>
        <w:jc w:val="both"/>
        <w:rPr>
          <w:i/>
          <w:lang w:eastAsia="de-AT"/>
        </w:rPr>
      </w:pPr>
      <w:r w:rsidRPr="00AD7D62">
        <w:rPr>
          <w:i/>
        </w:rPr>
        <w:t xml:space="preserve">Špecifický cieľ 4.1: </w:t>
      </w:r>
    </w:p>
    <w:p w:rsidR="00B16260" w:rsidRDefault="00B16260" w:rsidP="00B16260">
      <w:pPr>
        <w:jc w:val="both"/>
        <w:rPr>
          <w:i/>
        </w:rPr>
      </w:pPr>
      <w:r w:rsidRPr="00AD7D62">
        <w:rPr>
          <w:i/>
        </w:rPr>
        <w:t>Zlepšiť implementáciu politík a programov regionálneho rozvoja, najmä programov zameraných na investovanie do rastu a zamestnanosti a, pokiaľ je to relevantné, programov EÚS v oblasti ochrany a rozvoja prírodného a kultúrneho dedičstva.</w:t>
      </w:r>
    </w:p>
    <w:p w:rsidR="00B16260" w:rsidRPr="00AD7D62" w:rsidRDefault="00B16260" w:rsidP="00B16260">
      <w:pPr>
        <w:jc w:val="both"/>
        <w:rPr>
          <w:i/>
        </w:rPr>
      </w:pPr>
    </w:p>
    <w:p w:rsidR="00B16260" w:rsidRPr="00AD7D62" w:rsidRDefault="00B16260" w:rsidP="00B16260">
      <w:pPr>
        <w:jc w:val="both"/>
        <w:rPr>
          <w:lang w:eastAsia="de-AT"/>
        </w:rPr>
      </w:pPr>
      <w:r w:rsidRPr="00AD7D62">
        <w:t xml:space="preserve">Investičná priorita 6 (g): </w:t>
      </w:r>
    </w:p>
    <w:p w:rsidR="00B16260" w:rsidRDefault="00B16260" w:rsidP="00B16260">
      <w:pPr>
        <w:jc w:val="both"/>
      </w:pPr>
      <w:r w:rsidRPr="00AD7D62">
        <w:t>Podpora prechodu priemyslu na hospodárstvo efektívne využívajúce zdroje, podpora zeleného rastu, ekologických inovácií a riadenia environmentálneho správania vo verejnom a súkromnom sektore.</w:t>
      </w:r>
    </w:p>
    <w:p w:rsidR="00B16260" w:rsidRPr="00AD7D62" w:rsidRDefault="00B16260" w:rsidP="00B16260">
      <w:pPr>
        <w:jc w:val="both"/>
      </w:pPr>
    </w:p>
    <w:p w:rsidR="00B16260" w:rsidRPr="00AD7D62" w:rsidRDefault="00B16260" w:rsidP="00B16260">
      <w:pPr>
        <w:jc w:val="both"/>
        <w:rPr>
          <w:i/>
          <w:lang w:eastAsia="de-AT"/>
        </w:rPr>
      </w:pPr>
      <w:r w:rsidRPr="00AD7D62">
        <w:rPr>
          <w:i/>
        </w:rPr>
        <w:lastRenderedPageBreak/>
        <w:t xml:space="preserve">Špecifický cieľ 4.2: </w:t>
      </w:r>
    </w:p>
    <w:p w:rsidR="00B16260" w:rsidRDefault="00B16260" w:rsidP="00B16260">
      <w:pPr>
        <w:jc w:val="both"/>
        <w:rPr>
          <w:i/>
        </w:rPr>
      </w:pPr>
      <w:r w:rsidRPr="00AD7D62">
        <w:rPr>
          <w:i/>
        </w:rPr>
        <w:t>Zlepšiť implementáciu politík a programov regionálneho rozvoja, najmä programov zameraných na investovanie do rastu a zamestnanosti a, pokiaľ je to relevantné, programov EÚS zameraných na zvyšovanie efektívnosti využívania zdrojov, zelený rast a eko-inovácie a manažment environmentálnej výkonnosti</w:t>
      </w:r>
    </w:p>
    <w:p w:rsidR="00B16260" w:rsidRPr="00AD7D62" w:rsidRDefault="00B16260" w:rsidP="00B16260">
      <w:pPr>
        <w:jc w:val="both"/>
        <w:rPr>
          <w:i/>
        </w:rPr>
      </w:pPr>
    </w:p>
    <w:p w:rsidR="00B16260" w:rsidRDefault="00B16260" w:rsidP="00B16260">
      <w:pPr>
        <w:ind w:firstLine="426"/>
        <w:jc w:val="both"/>
      </w:pPr>
      <w:r w:rsidRPr="00AD7D62">
        <w:t xml:space="preserve">Jednotlivé špecifické ciele tvoria “koridory“ pre očakávané výsledky a typ opatrení, ktoré majú byť podporované. Plánované intervencie sú zamerané na uľahčenie „neustáleho vzdelávania v oblasti politík a kapitalizácie osvedčených postupov v oblasti regionálnych politík“ a na podporovanie „medziregionálnej spolupráce medzi regionálnymi aktérmi zameranej na vzdelávanie v oblasti politík a prenos osvedčených postupov“. Obe cesty sa sústreďujú na zlepšovanie implementácie a monitorovania regionálnych programov v oblasti Investovania do rastu a zamestnanosti a EÚS, pokiaľ je to relevantné. </w:t>
      </w:r>
    </w:p>
    <w:p w:rsidR="00B16260" w:rsidRDefault="00B16260" w:rsidP="00B16260">
      <w:pPr>
        <w:jc w:val="both"/>
      </w:pPr>
    </w:p>
    <w:p w:rsidR="00B16260" w:rsidRPr="004749AF" w:rsidRDefault="00B16260" w:rsidP="00B16260">
      <w:pPr>
        <w:jc w:val="both"/>
        <w:rPr>
          <w:color w:val="000000"/>
        </w:rPr>
      </w:pPr>
      <w:r w:rsidRPr="004749AF">
        <w:rPr>
          <w:color w:val="000000"/>
        </w:rPr>
        <w:t>INTERREG EUROPE bude financovať dve opatrenia:</w:t>
      </w:r>
    </w:p>
    <w:p w:rsidR="00B16260" w:rsidRPr="004749AF" w:rsidRDefault="00B16260" w:rsidP="00B16260">
      <w:pPr>
        <w:jc w:val="both"/>
        <w:rPr>
          <w:color w:val="000000"/>
        </w:rPr>
      </w:pPr>
      <w:r>
        <w:rPr>
          <w:color w:val="000000"/>
        </w:rPr>
        <w:t xml:space="preserve">a) </w:t>
      </w:r>
      <w:r w:rsidRPr="004749AF">
        <w:rPr>
          <w:b/>
          <w:color w:val="000000"/>
        </w:rPr>
        <w:t xml:space="preserve">projekty </w:t>
      </w:r>
      <w:r>
        <w:rPr>
          <w:b/>
          <w:color w:val="000000"/>
        </w:rPr>
        <w:t xml:space="preserve">medziregionálnej </w:t>
      </w:r>
      <w:r w:rsidRPr="004749AF">
        <w:rPr>
          <w:b/>
          <w:color w:val="000000"/>
        </w:rPr>
        <w:t>spolupráce</w:t>
      </w:r>
      <w:r w:rsidRPr="004749AF">
        <w:rPr>
          <w:color w:val="000000"/>
        </w:rPr>
        <w:t>: ide o partnerstvá verejných organizácií pochádzajúcich z rozličných európskych krajín, ktoré spolupracujú 3 až 5 rokov, aby si vymieňali svoje skúsenosti s konkrétnou politickou problematikou. Každý región zapojený do projektu spolupráce vypracuje akčný plán, ktorý špecifikuje, čo sa v regióne urobí, aby sa zabezpečilo, že sa získané poznatky zo spolupráce uvedú do praxe. Projekty musia tiež monitorovať, čo sa stane s akčným plánom, aby videli</w:t>
      </w:r>
      <w:r>
        <w:rPr>
          <w:color w:val="000000"/>
        </w:rPr>
        <w:t>, ako dobre spolupráca funguje.</w:t>
      </w:r>
    </w:p>
    <w:p w:rsidR="00B16260" w:rsidRDefault="00B16260" w:rsidP="00B16260">
      <w:pPr>
        <w:jc w:val="both"/>
        <w:rPr>
          <w:color w:val="000000"/>
        </w:rPr>
      </w:pPr>
      <w:r>
        <w:rPr>
          <w:color w:val="000000"/>
        </w:rPr>
        <w:t xml:space="preserve">b) </w:t>
      </w:r>
      <w:r w:rsidRPr="004749AF">
        <w:rPr>
          <w:b/>
          <w:color w:val="000000"/>
        </w:rPr>
        <w:t>platformy vzdelávajúce v oblasti politík</w:t>
      </w:r>
      <w:r w:rsidRPr="004749AF">
        <w:rPr>
          <w:color w:val="000000"/>
        </w:rPr>
        <w:t>: ide o priestor pre kontinuálne učenie, kde akákoľvek organizácia zaoberajúca sa politikami regionálneho rozvoja v Európe môže nájsť riešenie, ako zlepšiť spôsob, ktorým riadi a implementuje svoje verejné politiky v rámci</w:t>
      </w:r>
      <w:r>
        <w:rPr>
          <w:color w:val="000000"/>
        </w:rPr>
        <w:t xml:space="preserve"> štyroch vyššie uvedených tém. </w:t>
      </w:r>
    </w:p>
    <w:p w:rsidR="00B16260" w:rsidRPr="004749AF" w:rsidRDefault="00B16260" w:rsidP="00B16260">
      <w:pPr>
        <w:jc w:val="both"/>
        <w:rPr>
          <w:color w:val="000000"/>
        </w:rPr>
      </w:pPr>
    </w:p>
    <w:p w:rsidR="00B16260" w:rsidRPr="00AD7D62" w:rsidRDefault="00B16260" w:rsidP="00B16260">
      <w:pPr>
        <w:jc w:val="both"/>
        <w:rPr>
          <w:b/>
          <w:color w:val="000000"/>
        </w:rPr>
      </w:pPr>
      <w:r w:rsidRPr="00AD7D62">
        <w:rPr>
          <w:b/>
          <w:color w:val="000000"/>
        </w:rPr>
        <w:t>2. Vzťah k iným strategickým dokumentom.</w:t>
      </w:r>
    </w:p>
    <w:p w:rsidR="00B16260" w:rsidRDefault="00B16260" w:rsidP="00B16260">
      <w:pPr>
        <w:ind w:firstLine="426"/>
        <w:jc w:val="both"/>
        <w:rPr>
          <w:color w:val="000000"/>
        </w:rPr>
      </w:pPr>
      <w:r w:rsidRPr="00AD7D62">
        <w:rPr>
          <w:color w:val="000000"/>
        </w:rPr>
        <w:t xml:space="preserve">Program je priamo prepojený s veľkým počtom dokumentov o politikách EÚ, ktoré sú vypracované kvôli podpore cieľov </w:t>
      </w:r>
      <w:r>
        <w:rPr>
          <w:color w:val="000000"/>
        </w:rPr>
        <w:t xml:space="preserve">stratégie </w:t>
      </w:r>
      <w:r w:rsidRPr="00AD7D62">
        <w:rPr>
          <w:color w:val="000000"/>
        </w:rPr>
        <w:t>Eur</w:t>
      </w:r>
      <w:r>
        <w:rPr>
          <w:color w:val="000000"/>
        </w:rPr>
        <w:t>ópa</w:t>
      </w:r>
      <w:r w:rsidRPr="00AD7D62">
        <w:rPr>
          <w:color w:val="000000"/>
        </w:rPr>
        <w:t xml:space="preserve"> 2020; je tiež prepojený s niekoľkými smernicami a stratégiami EÚ. Okrem politík a programov EÚ súvisí INTERREG EUROPE s regionálnymi politikami a programami, ktorých vypracovanie a implementácia budú predmetom podpory. Môžeme konštatovať, že program vytvára istý druh medziregionálneho mechanizmu zameraného na uľahčenie a zvýšenie účinnosti prínosov pre  napĺňanie cieľov a politík EÚ prostredníctvom zlepšovania operačných kapacít v regiónoch. Takto sú kompetencie programu, čo sa týka týchto prínosov, viac nepriame než priame.</w:t>
      </w:r>
    </w:p>
    <w:p w:rsidR="00B16260" w:rsidRDefault="00B16260" w:rsidP="00B16260">
      <w:pPr>
        <w:ind w:firstLine="284"/>
        <w:jc w:val="both"/>
        <w:rPr>
          <w:color w:val="000000"/>
        </w:rPr>
      </w:pPr>
    </w:p>
    <w:p w:rsidR="00B16260" w:rsidRDefault="00B16260" w:rsidP="00B16260">
      <w:pPr>
        <w:jc w:val="both"/>
        <w:rPr>
          <w:b/>
          <w:color w:val="000000"/>
        </w:rPr>
      </w:pPr>
      <w:r w:rsidRPr="00AD7D62">
        <w:rPr>
          <w:b/>
          <w:color w:val="000000"/>
        </w:rPr>
        <w:t>II. Opis priebehu prípravy a</w:t>
      </w:r>
      <w:r>
        <w:rPr>
          <w:b/>
          <w:color w:val="000000"/>
        </w:rPr>
        <w:t> </w:t>
      </w:r>
      <w:r w:rsidRPr="00AD7D62">
        <w:rPr>
          <w:b/>
          <w:color w:val="000000"/>
        </w:rPr>
        <w:t>posudzovania</w:t>
      </w:r>
    </w:p>
    <w:p w:rsidR="00B16260" w:rsidRPr="003455C4" w:rsidRDefault="00B16260" w:rsidP="00B16260">
      <w:pPr>
        <w:jc w:val="both"/>
        <w:rPr>
          <w:color w:val="000000"/>
        </w:rPr>
      </w:pPr>
    </w:p>
    <w:p w:rsidR="00B16260" w:rsidRDefault="00B16260" w:rsidP="00B16260">
      <w:pPr>
        <w:ind w:firstLine="426"/>
        <w:jc w:val="both"/>
        <w:rPr>
          <w:color w:val="000000"/>
        </w:rPr>
      </w:pPr>
      <w:r w:rsidRPr="003B7FA5">
        <w:rPr>
          <w:color w:val="000000"/>
        </w:rPr>
        <w:t>Proces posudzovania vplyvov INTERREG EUROPE ako strategického dokumentu s nadnárodným dosahom zabezpečoval Ministerstvo hospodárstva Slovenskej republiky, Sekcia podporných programov ako národný orgán INTERREG EUROPE v spolupráci s Ministerstvom životného prostredia Slovenskej republiky (ďalej len „MŽP SR“). Proces posudzovania vplyvov strategických dokumentov na životné prostredie bol vykonaný podľa zákona č. 24/2006 Z. z. o posudzovaní vplyvov na životné prostredie a o zmene a doplnení niektorých zákonov v znení neskorších predpisov (ďalej len „zákon o posudzovaní vplyvov“), Smernice 2001/42/ES Európskeho parlamentu a Rady z 27. júna 2001 o posudzovaní účinkov určitých plánov a programov na životné prostredie (ďalej len „Smernica SEA“) a Protokolu o strategickom environmentálnom hodnotení k Dohovoru o hodnotení vplyvu na životné prostredie presahujúceho hranice (ďalej len „SEA Protokol“).</w:t>
      </w:r>
    </w:p>
    <w:p w:rsidR="00B16260" w:rsidRPr="003B7FA5" w:rsidRDefault="00B16260" w:rsidP="00B16260">
      <w:pPr>
        <w:ind w:firstLine="426"/>
        <w:jc w:val="both"/>
        <w:rPr>
          <w:color w:val="000000"/>
        </w:rPr>
      </w:pPr>
    </w:p>
    <w:p w:rsidR="00B16260" w:rsidRPr="00A92925" w:rsidRDefault="00B16260" w:rsidP="00B16260">
      <w:pPr>
        <w:rPr>
          <w:b/>
          <w:color w:val="000000"/>
        </w:rPr>
      </w:pPr>
      <w:r w:rsidRPr="00A92925">
        <w:rPr>
          <w:b/>
          <w:color w:val="000000"/>
        </w:rPr>
        <w:lastRenderedPageBreak/>
        <w:t>1. Vecný a časový harmonogram prípravy a posudzovania.</w:t>
      </w:r>
    </w:p>
    <w:p w:rsidR="00B16260" w:rsidRDefault="00B16260" w:rsidP="00B16260">
      <w:pPr>
        <w:ind w:firstLine="426"/>
        <w:jc w:val="both"/>
      </w:pPr>
      <w:r w:rsidRPr="002F3E9D">
        <w:t xml:space="preserve">Oblasť, ktorej sa týka </w:t>
      </w:r>
      <w:r>
        <w:t xml:space="preserve">program </w:t>
      </w:r>
      <w:r w:rsidRPr="002F3E9D">
        <w:t>INTERREG EUROPE</w:t>
      </w:r>
      <w:r>
        <w:t>,</w:t>
      </w:r>
      <w:r w:rsidRPr="002F3E9D">
        <w:t xml:space="preserve"> pokrýva celé územie Európskej únie (E</w:t>
      </w:r>
      <w:r>
        <w:t>Ú</w:t>
      </w:r>
      <w:r w:rsidRPr="002F3E9D">
        <w:t xml:space="preserve">-28) plus partnerské krajiny Nórsko a Švajčiarsko. Hodnotenie je však obmedzené bezprostredne na oblasť Európskej únie. Počas obdobia 2014 - 2020 bude INTERREG EUROPE spolufinancovaný z Európskeho fondu regionálneho rozvoja (EFRR) s rozpočtom vo výške 359 miliónov €. Formálny časový rámec Programu zahŕňa roky 2014 až 2020. Po pridaní ďalších dvoch rokov kvôli finalizácii financovaných programov bude v rámci vyhodnotenia brané do úvahy obdobie od roku 2014 do roku 2022. </w:t>
      </w:r>
    </w:p>
    <w:p w:rsidR="00B16260" w:rsidRPr="002F3E9D" w:rsidRDefault="00B16260" w:rsidP="00B16260">
      <w:pPr>
        <w:ind w:firstLine="426"/>
        <w:jc w:val="both"/>
      </w:pPr>
    </w:p>
    <w:p w:rsidR="00B16260" w:rsidRPr="002F3E9D" w:rsidRDefault="00B16260" w:rsidP="00B16260">
      <w:pPr>
        <w:widowControl w:val="0"/>
        <w:autoSpaceDE w:val="0"/>
        <w:autoSpaceDN w:val="0"/>
        <w:adjustRightInd w:val="0"/>
        <w:ind w:firstLine="426"/>
        <w:jc w:val="both"/>
        <w:rPr>
          <w:iCs/>
        </w:rPr>
      </w:pPr>
      <w:r w:rsidRPr="002F3E9D">
        <w:rPr>
          <w:iCs/>
        </w:rPr>
        <w:t xml:space="preserve">Uznesením vlády Slovenskej republiky č. 604 zo 16. októbra 2013 bolo </w:t>
      </w:r>
      <w:r w:rsidRPr="002F3E9D">
        <w:rPr>
          <w:bCs/>
        </w:rPr>
        <w:t>Ministerstvo hospodárstva Slovenskej republiky, Sekcia podporných programov</w:t>
      </w:r>
      <w:r w:rsidRPr="002F3E9D">
        <w:rPr>
          <w:iCs/>
        </w:rPr>
        <w:t xml:space="preserve"> určený za národný orgán zodpovedný za prípravu a implementáciu </w:t>
      </w:r>
      <w:r>
        <w:rPr>
          <w:iCs/>
        </w:rPr>
        <w:t xml:space="preserve">programu </w:t>
      </w:r>
      <w:r w:rsidRPr="002F3E9D">
        <w:t xml:space="preserve">INTERREG EUROPE. </w:t>
      </w:r>
    </w:p>
    <w:p w:rsidR="00B16260" w:rsidRPr="00B61B04" w:rsidRDefault="00B16260" w:rsidP="00B16260">
      <w:pPr>
        <w:widowControl w:val="0"/>
        <w:autoSpaceDE w:val="0"/>
        <w:autoSpaceDN w:val="0"/>
        <w:adjustRightInd w:val="0"/>
        <w:spacing w:before="60"/>
        <w:jc w:val="both"/>
        <w:rPr>
          <w:iCs/>
        </w:rPr>
      </w:pPr>
      <w:r w:rsidRPr="00B61B04">
        <w:rPr>
          <w:iCs/>
        </w:rPr>
        <w:t>Proces posudzovania vplyvov INTERREG EUROPE bol uskutočnený v nasledovných krokoch:</w:t>
      </w:r>
    </w:p>
    <w:p w:rsidR="00B16260" w:rsidRPr="00B61B04" w:rsidRDefault="00B16260" w:rsidP="00B16260">
      <w:pPr>
        <w:pStyle w:val="Odsekzoznamu"/>
        <w:numPr>
          <w:ilvl w:val="0"/>
          <w:numId w:val="3"/>
        </w:numPr>
        <w:ind w:left="567" w:hanging="283"/>
        <w:contextualSpacing w:val="0"/>
        <w:jc w:val="both"/>
        <w:rPr>
          <w:iCs/>
        </w:rPr>
      </w:pPr>
      <w:r w:rsidRPr="00B61B04">
        <w:rPr>
          <w:iCs/>
        </w:rPr>
        <w:t>Spoločný technický sekretariát so sídlom v Lille vo Francúzsku v mene riadiaceho orgánu pre INTERREG EUROPE zaslal prostredníctvom e-mailu dňa 05. 11. 2013 kontaktným bodom v tomto prípade národnému orgánu, ktoré informovalo orgán kompetentný pre hodnotenie vplyvov na životné prostredie presahujúcich štátne hranice, kde túto funkciu plní MŽP SR, návrh rozsahu hodnotenia (draft scoping report) na pripomienkovanie;</w:t>
      </w:r>
    </w:p>
    <w:p w:rsidR="00B16260" w:rsidRPr="00B61B04" w:rsidRDefault="00B16260" w:rsidP="00B16260">
      <w:pPr>
        <w:pStyle w:val="Odsekzoznamu"/>
        <w:numPr>
          <w:ilvl w:val="0"/>
          <w:numId w:val="3"/>
        </w:numPr>
        <w:ind w:left="567" w:hanging="283"/>
        <w:contextualSpacing w:val="0"/>
        <w:jc w:val="both"/>
        <w:rPr>
          <w:iCs/>
        </w:rPr>
      </w:pPr>
      <w:r w:rsidRPr="00B61B04">
        <w:rPr>
          <w:iCs/>
        </w:rPr>
        <w:t>MŽP SR zaslalo prostredníctvom e-mailu stanovisko k rozsahu hodnotenia strategického dokumentu národnému orgánu dňa 19. 11. 2013;</w:t>
      </w:r>
    </w:p>
    <w:p w:rsidR="00B16260" w:rsidRPr="00B61B04" w:rsidRDefault="00B16260" w:rsidP="00B16260">
      <w:pPr>
        <w:pStyle w:val="Odsekzoznamu"/>
        <w:numPr>
          <w:ilvl w:val="0"/>
          <w:numId w:val="3"/>
        </w:numPr>
        <w:ind w:left="567" w:hanging="283"/>
        <w:contextualSpacing w:val="0"/>
        <w:jc w:val="both"/>
        <w:rPr>
          <w:iCs/>
        </w:rPr>
      </w:pPr>
      <w:r w:rsidRPr="00B61B04">
        <w:rPr>
          <w:iCs/>
        </w:rPr>
        <w:t xml:space="preserve">Národný orgán informoval MŽP SR dňa 14. 01. 2014 prostredníctvom e-mailu a dňa 17.01.2014 listom o vypracovanom návrhu INTERREG EUROPE, jeho zhrnutí a návrhu správy o hodnotení vplyvov na životné prostredie (draft environmental report) vrátane jej netechnického zhrnutia. Zároveň informoval MŽP SR, že sú vyššie uvedené dokumenty dostupné v anglickom jazyku na webovom sídle riadiaceho orgánu </w:t>
      </w:r>
      <w:hyperlink r:id="rId7" w:history="1">
        <w:r w:rsidRPr="00B61B04">
          <w:rPr>
            <w:iCs/>
          </w:rPr>
          <w:t>http://www.interreg4c.eu/</w:t>
        </w:r>
      </w:hyperlink>
      <w:r w:rsidRPr="00B61B04">
        <w:rPr>
          <w:iCs/>
        </w:rPr>
        <w:t xml:space="preserve">. </w:t>
      </w:r>
    </w:p>
    <w:p w:rsidR="00B16260" w:rsidRPr="00B61B04" w:rsidRDefault="00B16260" w:rsidP="00B16260">
      <w:pPr>
        <w:pStyle w:val="Odsekzoznamu"/>
        <w:numPr>
          <w:ilvl w:val="0"/>
          <w:numId w:val="3"/>
        </w:numPr>
        <w:ind w:left="567" w:hanging="283"/>
        <w:contextualSpacing w:val="0"/>
        <w:jc w:val="both"/>
        <w:rPr>
          <w:iCs/>
        </w:rPr>
      </w:pPr>
      <w:r w:rsidRPr="00B61B04">
        <w:rPr>
          <w:iCs/>
        </w:rPr>
        <w:t xml:space="preserve">V súvislosti s vyššie uvedeným národný orgán informoval ďalej o začatí celoeurópskych verejných konzultácii, ktoré začali 10.01.2014 a končia 21.03.2014. Za účelom zozbierania pripomienok bol pripravený on-line dotazník a jeho vyplnenie je možné len on-line, prostredníctvom nasledovnej webovej stránky: </w:t>
      </w:r>
      <w:hyperlink r:id="rId8" w:history="1">
        <w:r w:rsidRPr="00B61B04">
          <w:rPr>
            <w:rStyle w:val="Hypertextovprepojenie"/>
            <w:iCs/>
          </w:rPr>
          <w:t>http://www.interreg4c.eu/interreg-europe/public-consultation/</w:t>
        </w:r>
      </w:hyperlink>
      <w:r w:rsidRPr="00B61B04">
        <w:rPr>
          <w:iCs/>
        </w:rPr>
        <w:t>.</w:t>
      </w:r>
    </w:p>
    <w:p w:rsidR="00B16260" w:rsidRPr="00B61B04" w:rsidRDefault="00B16260" w:rsidP="00B16260">
      <w:pPr>
        <w:pStyle w:val="Odsekzoznamu"/>
        <w:numPr>
          <w:ilvl w:val="0"/>
          <w:numId w:val="3"/>
        </w:numPr>
        <w:ind w:left="567" w:hanging="283"/>
        <w:contextualSpacing w:val="0"/>
        <w:jc w:val="both"/>
        <w:rPr>
          <w:iCs/>
        </w:rPr>
      </w:pPr>
      <w:r w:rsidRPr="00B61B04">
        <w:t xml:space="preserve">MŽP SR začalo pripomienkovanie správy o hodnotení strategického dokumentu na národnej úrovni dňa 15.01.2014, podľa § 17 zákona posudzovaní vplyvov bolo možné zasielať pripomienky v lehote </w:t>
      </w:r>
      <w:r w:rsidRPr="00B61B04">
        <w:rPr>
          <w:bCs/>
        </w:rPr>
        <w:t xml:space="preserve">najneskôr do 21 dní </w:t>
      </w:r>
      <w:r w:rsidRPr="00B61B04">
        <w:t xml:space="preserve">(tzn. do </w:t>
      </w:r>
      <w:r w:rsidRPr="00B61B04">
        <w:rPr>
          <w:bCs/>
        </w:rPr>
        <w:t>04. 02. 2014</w:t>
      </w:r>
      <w:r w:rsidRPr="00B61B04">
        <w:t>)</w:t>
      </w:r>
      <w:r w:rsidRPr="00B61B04">
        <w:rPr>
          <w:bCs/>
        </w:rPr>
        <w:t xml:space="preserve"> </w:t>
      </w:r>
      <w:r w:rsidRPr="00B61B04">
        <w:t>od zverejnenia</w:t>
      </w:r>
      <w:r w:rsidRPr="00B61B04">
        <w:rPr>
          <w:bCs/>
        </w:rPr>
        <w:t xml:space="preserve"> na adresu MŽP SR</w:t>
      </w:r>
      <w:r w:rsidRPr="00B61B04">
        <w:t xml:space="preserve">. Všetky relevantné dokumenty v anglickom jazyku ako aj netechnické zhrnutie správy o hodnotení a zhrnutie programu INTERREG EUROPE v slovenskom jazyku boli zverejnené dňa 14.01.2014 na webovom sídle MŽP SR </w:t>
      </w:r>
      <w:hyperlink r:id="rId9" w:history="1">
        <w:r w:rsidRPr="00B61B04">
          <w:rPr>
            <w:rStyle w:val="Hypertextovprepojenie"/>
          </w:rPr>
          <w:t>www.enviroportal.sk</w:t>
        </w:r>
      </w:hyperlink>
      <w:r w:rsidRPr="00B61B04">
        <w:t xml:space="preserve"> .</w:t>
      </w:r>
    </w:p>
    <w:p w:rsidR="00B16260" w:rsidRPr="00B61B04" w:rsidRDefault="00B16260" w:rsidP="00B16260">
      <w:pPr>
        <w:pStyle w:val="Odsekzoznamu"/>
        <w:numPr>
          <w:ilvl w:val="0"/>
          <w:numId w:val="3"/>
        </w:numPr>
        <w:ind w:left="567" w:hanging="283"/>
        <w:contextualSpacing w:val="0"/>
        <w:jc w:val="both"/>
      </w:pPr>
      <w:r w:rsidRPr="00B61B04">
        <w:t xml:space="preserve">Národný orgán informoval aj o možnosti osobného stretnutia s národným orgánom k návrhu strategických dokumentov na vyžiadanie </w:t>
      </w:r>
    </w:p>
    <w:p w:rsidR="00B16260" w:rsidRPr="00C33C01" w:rsidRDefault="00B16260" w:rsidP="00B16260">
      <w:pPr>
        <w:pStyle w:val="Odsekzoznamu"/>
        <w:numPr>
          <w:ilvl w:val="0"/>
          <w:numId w:val="3"/>
        </w:numPr>
        <w:ind w:left="568" w:hanging="284"/>
        <w:contextualSpacing w:val="0"/>
        <w:jc w:val="both"/>
      </w:pPr>
      <w:r w:rsidRPr="00B61B04">
        <w:t>MŽP SR vypracovalo na základe celkového uskutočneného procesu posudzovania vplyvov toto stanovisko č. 4047/2014-3.4/jm, zo dňa 28. 02. 2014.</w:t>
      </w:r>
    </w:p>
    <w:p w:rsidR="00B16260" w:rsidRDefault="00B16260" w:rsidP="00B16260">
      <w:pPr>
        <w:ind w:left="284" w:hanging="284"/>
        <w:rPr>
          <w:b/>
          <w:color w:val="000000"/>
        </w:rPr>
      </w:pPr>
    </w:p>
    <w:p w:rsidR="00B16260" w:rsidRDefault="00B16260" w:rsidP="00B16260">
      <w:pPr>
        <w:ind w:left="284" w:hanging="284"/>
        <w:rPr>
          <w:b/>
          <w:color w:val="000000"/>
        </w:rPr>
      </w:pPr>
      <w:r w:rsidRPr="002F3E9D">
        <w:rPr>
          <w:b/>
          <w:color w:val="000000"/>
        </w:rPr>
        <w:t xml:space="preserve">2. </w:t>
      </w:r>
      <w:r>
        <w:rPr>
          <w:b/>
          <w:color w:val="000000"/>
        </w:rPr>
        <w:t xml:space="preserve">Stanoviská predložené k správe o hodnotení strategického dokumentu na vládnej úrovni a ich vyhodnotenie (akceptované, neakceptované). </w:t>
      </w:r>
    </w:p>
    <w:p w:rsidR="00B16260" w:rsidRPr="00777564" w:rsidRDefault="00B16260" w:rsidP="00B16260">
      <w:pPr>
        <w:ind w:firstLine="426"/>
        <w:jc w:val="both"/>
        <w:rPr>
          <w:color w:val="000000"/>
        </w:rPr>
      </w:pPr>
      <w:r w:rsidRPr="00777564">
        <w:t>V lehote stanovenej MŽP SR (do 04. 02. 2014) bolo doručených 10 stanovísk z toho štyri stanoviská boli s pripomienkami ostatné boli bez pripomienok. Verejnosť sa do stanoveného termínu pre pripomienkovanie správy o hodnotení nevyjadrila.</w:t>
      </w:r>
    </w:p>
    <w:p w:rsidR="00B16260" w:rsidRPr="00777564" w:rsidRDefault="00B16260" w:rsidP="00B16260">
      <w:pPr>
        <w:pStyle w:val="s1"/>
        <w:rPr>
          <w:noProof w:val="0"/>
          <w:sz w:val="22"/>
          <w:szCs w:val="22"/>
          <w:lang w:val="sk-SK"/>
        </w:rPr>
      </w:pPr>
      <w:r w:rsidRPr="00777564">
        <w:rPr>
          <w:noProof w:val="0"/>
          <w:sz w:val="22"/>
          <w:szCs w:val="22"/>
          <w:lang w:val="sk-SK"/>
        </w:rPr>
        <w:lastRenderedPageBreak/>
        <w:t>Doručené stanoviská:</w:t>
      </w:r>
    </w:p>
    <w:p w:rsidR="00B16260" w:rsidRPr="00777564" w:rsidRDefault="00B16260" w:rsidP="00B16260">
      <w:pPr>
        <w:pStyle w:val="s1"/>
        <w:rPr>
          <w:i/>
          <w:noProof w:val="0"/>
          <w:sz w:val="22"/>
          <w:szCs w:val="22"/>
          <w:lang w:val="sk-SK"/>
        </w:rPr>
      </w:pPr>
      <w:r w:rsidRPr="00777564">
        <w:rPr>
          <w:b/>
          <w:i/>
          <w:noProof w:val="0"/>
          <w:sz w:val="22"/>
          <w:szCs w:val="22"/>
          <w:lang w:val="sk-SK"/>
        </w:rPr>
        <w:t>Ministerstvo životného prostredia SR, Sekcia vôd</w:t>
      </w:r>
      <w:r w:rsidRPr="00777564">
        <w:rPr>
          <w:i/>
          <w:noProof w:val="0"/>
          <w:sz w:val="22"/>
          <w:szCs w:val="22"/>
          <w:lang w:val="sk-SK"/>
        </w:rPr>
        <w:t xml:space="preserve"> (email zo dňa 20.01.2014)</w:t>
      </w:r>
    </w:p>
    <w:p w:rsidR="00B16260" w:rsidRDefault="00B16260" w:rsidP="00B16260">
      <w:pPr>
        <w:pStyle w:val="s1"/>
        <w:rPr>
          <w:noProof w:val="0"/>
          <w:sz w:val="22"/>
          <w:szCs w:val="22"/>
          <w:lang w:val="sk-SK"/>
        </w:rPr>
      </w:pPr>
    </w:p>
    <w:p w:rsidR="00B16260" w:rsidRDefault="00B16260" w:rsidP="00B16260">
      <w:pPr>
        <w:pStyle w:val="s1"/>
        <w:rPr>
          <w:noProof w:val="0"/>
          <w:sz w:val="22"/>
          <w:szCs w:val="22"/>
          <w:lang w:val="sk-SK"/>
        </w:rPr>
      </w:pPr>
      <w:r w:rsidRPr="00777564">
        <w:rPr>
          <w:noProof w:val="0"/>
          <w:sz w:val="22"/>
          <w:szCs w:val="22"/>
          <w:lang w:val="sk-SK"/>
        </w:rPr>
        <w:t>Bez pripomienok</w:t>
      </w:r>
    </w:p>
    <w:p w:rsidR="00B16260" w:rsidRPr="00777564" w:rsidRDefault="00B16260" w:rsidP="00B16260">
      <w:pPr>
        <w:pStyle w:val="s1"/>
        <w:rPr>
          <w:noProof w:val="0"/>
          <w:sz w:val="22"/>
          <w:szCs w:val="22"/>
          <w:lang w:val="sk-SK"/>
        </w:rPr>
      </w:pPr>
    </w:p>
    <w:p w:rsidR="00B16260" w:rsidRPr="00777564" w:rsidRDefault="00B16260" w:rsidP="00B16260">
      <w:pPr>
        <w:pStyle w:val="s1"/>
        <w:rPr>
          <w:i/>
          <w:noProof w:val="0"/>
          <w:sz w:val="22"/>
          <w:szCs w:val="22"/>
          <w:lang w:val="sk-SK"/>
        </w:rPr>
      </w:pPr>
      <w:r w:rsidRPr="00777564">
        <w:rPr>
          <w:b/>
          <w:i/>
          <w:noProof w:val="0"/>
          <w:sz w:val="22"/>
          <w:szCs w:val="22"/>
          <w:lang w:val="sk-SK"/>
        </w:rPr>
        <w:t>Ministerstvo životného prostredia SR, Odbor zmeny klímy</w:t>
      </w:r>
      <w:r w:rsidRPr="00777564">
        <w:rPr>
          <w:i/>
          <w:noProof w:val="0"/>
          <w:sz w:val="22"/>
          <w:szCs w:val="22"/>
          <w:lang w:val="sk-SK"/>
        </w:rPr>
        <w:t xml:space="preserve"> (email zo dňa 04.02.2014)</w:t>
      </w:r>
    </w:p>
    <w:p w:rsidR="00B16260" w:rsidRDefault="00B16260" w:rsidP="00B16260">
      <w:pPr>
        <w:pStyle w:val="s1"/>
        <w:rPr>
          <w:noProof w:val="0"/>
          <w:sz w:val="22"/>
          <w:szCs w:val="22"/>
          <w:lang w:val="sk-SK"/>
        </w:rPr>
      </w:pPr>
    </w:p>
    <w:p w:rsidR="00B16260" w:rsidRPr="00777564" w:rsidRDefault="00B16260" w:rsidP="00B16260">
      <w:pPr>
        <w:pStyle w:val="s1"/>
        <w:rPr>
          <w:noProof w:val="0"/>
          <w:sz w:val="22"/>
          <w:szCs w:val="22"/>
          <w:lang w:val="sk-SK"/>
        </w:rPr>
      </w:pPr>
      <w:r w:rsidRPr="00777564">
        <w:rPr>
          <w:noProof w:val="0"/>
          <w:sz w:val="22"/>
          <w:szCs w:val="22"/>
          <w:lang w:val="sk-SK"/>
        </w:rPr>
        <w:t>Má k predloženému dokumentu nasledovnú pripomienku:</w:t>
      </w:r>
    </w:p>
    <w:p w:rsidR="00B16260" w:rsidRDefault="00B16260" w:rsidP="00B16260">
      <w:pPr>
        <w:jc w:val="both"/>
      </w:pPr>
      <w:r w:rsidRPr="00777564">
        <w:t>„Vo všetkých materiáloch slovne spojenie “mitigation relevant adaptation measures“/"zmiernenie relevantných adaptačných opatrení" nám nedáva zmysel. Existujú zvlášť mitigačne a adaptačné opatrenia. Z tohto dôvodu navrhujeme preskúmať, či je daná časť textu v poriadku, pripadne či nemá byť správne uvedené “mitigation or relevant adaptation measures“/"zmiernenie alebo relevantne adaptačné opatrenia".“</w:t>
      </w:r>
    </w:p>
    <w:p w:rsidR="00B16260" w:rsidRDefault="00B16260" w:rsidP="00B16260">
      <w:pPr>
        <w:jc w:val="both"/>
      </w:pPr>
    </w:p>
    <w:p w:rsidR="00B16260" w:rsidRDefault="00B16260" w:rsidP="00B16260">
      <w:pPr>
        <w:jc w:val="both"/>
      </w:pPr>
      <w:r w:rsidRPr="005B494C">
        <w:t xml:space="preserve">Vyhodnotenie: </w:t>
      </w:r>
      <w:r w:rsidRPr="006413C5">
        <w:t>neakceptované,</w:t>
      </w:r>
      <w:r>
        <w:t xml:space="preserve"> keďže slovné spojenie používané v Správe o SEA je zadefinované v danej podobe v nariadení (EÚ) č. 1301/2013. </w:t>
      </w:r>
    </w:p>
    <w:p w:rsidR="00B16260" w:rsidRDefault="00B16260" w:rsidP="00B16260">
      <w:pPr>
        <w:jc w:val="both"/>
      </w:pPr>
    </w:p>
    <w:p w:rsidR="00B16260" w:rsidRDefault="00B16260" w:rsidP="00B16260">
      <w:pPr>
        <w:jc w:val="both"/>
        <w:rPr>
          <w:i/>
        </w:rPr>
      </w:pPr>
      <w:r w:rsidRPr="00777564">
        <w:rPr>
          <w:b/>
          <w:i/>
        </w:rPr>
        <w:t>Ministerstvo životného prostredia SR, Sekcia environmentálnych programov a projektov</w:t>
      </w:r>
      <w:r>
        <w:rPr>
          <w:i/>
        </w:rPr>
        <w:t xml:space="preserve"> (email zo dňa 05.02.2014)</w:t>
      </w:r>
    </w:p>
    <w:p w:rsidR="00B16260" w:rsidRDefault="00B16260" w:rsidP="00B16260">
      <w:pPr>
        <w:jc w:val="both"/>
      </w:pPr>
      <w:r w:rsidRPr="00777564">
        <w:t>Z formálneho hľadiska upozorňujú na potrebu zosúladenia tematických cieľov a investičných priorít s konečným textom slovenského znenia všeobecného nariadenia č. 1303/2013 zo dňa 17.12. 2013.</w:t>
      </w:r>
    </w:p>
    <w:p w:rsidR="00B16260" w:rsidRDefault="00B16260" w:rsidP="00B16260">
      <w:pPr>
        <w:jc w:val="both"/>
      </w:pPr>
    </w:p>
    <w:p w:rsidR="00B16260" w:rsidRDefault="00B16260" w:rsidP="00B16260">
      <w:pPr>
        <w:jc w:val="both"/>
      </w:pPr>
      <w:r w:rsidRPr="00D5330C">
        <w:t>Vyhodnotenie:</w:t>
      </w:r>
      <w:r>
        <w:t xml:space="preserve"> akceptované, preklad dokumentu do slovenského jazyka bol upravený.</w:t>
      </w:r>
    </w:p>
    <w:p w:rsidR="00B16260" w:rsidRPr="00777564" w:rsidRDefault="00B16260" w:rsidP="00B16260">
      <w:pPr>
        <w:jc w:val="both"/>
        <w:rPr>
          <w:i/>
        </w:rPr>
      </w:pPr>
    </w:p>
    <w:p w:rsidR="00B16260" w:rsidRDefault="00B16260" w:rsidP="00B16260">
      <w:pPr>
        <w:jc w:val="both"/>
        <w:rPr>
          <w:i/>
        </w:rPr>
      </w:pPr>
      <w:r w:rsidRPr="00777564">
        <w:rPr>
          <w:b/>
          <w:i/>
        </w:rPr>
        <w:t>Ministerstvo životného prostredia SR, Sekcia implementácie environmentálnej politiky EÚ</w:t>
      </w:r>
      <w:r w:rsidRPr="00777564">
        <w:rPr>
          <w:i/>
        </w:rPr>
        <w:t xml:space="preserve"> (email zo dňa 31.01.2014)</w:t>
      </w:r>
    </w:p>
    <w:p w:rsidR="00B16260" w:rsidRPr="00777564" w:rsidRDefault="00B16260" w:rsidP="00B16260">
      <w:pPr>
        <w:jc w:val="both"/>
        <w:rPr>
          <w:i/>
        </w:rPr>
      </w:pPr>
    </w:p>
    <w:p w:rsidR="00B16260" w:rsidRDefault="00B16260" w:rsidP="00B16260">
      <w:pPr>
        <w:jc w:val="both"/>
      </w:pPr>
      <w:r w:rsidRPr="00777564">
        <w:t>Bez pripomienok</w:t>
      </w:r>
    </w:p>
    <w:p w:rsidR="00B16260" w:rsidRPr="00777564" w:rsidRDefault="00B16260" w:rsidP="00B16260">
      <w:pPr>
        <w:jc w:val="both"/>
      </w:pPr>
    </w:p>
    <w:p w:rsidR="00B16260" w:rsidRPr="00777564" w:rsidRDefault="00B16260" w:rsidP="00B16260">
      <w:pPr>
        <w:pStyle w:val="s1"/>
        <w:rPr>
          <w:i/>
          <w:noProof w:val="0"/>
          <w:sz w:val="22"/>
          <w:szCs w:val="22"/>
          <w:lang w:val="sk-SK"/>
        </w:rPr>
      </w:pPr>
      <w:r w:rsidRPr="00777564">
        <w:rPr>
          <w:b/>
          <w:i/>
          <w:noProof w:val="0"/>
          <w:sz w:val="22"/>
          <w:szCs w:val="22"/>
          <w:lang w:val="sk-SK"/>
        </w:rPr>
        <w:t>Ministerstvo financií SR, Sekcia európskych fondov</w:t>
      </w:r>
      <w:r w:rsidRPr="00777564">
        <w:rPr>
          <w:i/>
          <w:noProof w:val="0"/>
          <w:sz w:val="22"/>
          <w:szCs w:val="22"/>
          <w:lang w:val="sk-SK"/>
        </w:rPr>
        <w:t xml:space="preserve"> (email zo dňa 03.02.2014)</w:t>
      </w:r>
    </w:p>
    <w:p w:rsidR="00B16260" w:rsidRDefault="00B16260" w:rsidP="00B16260">
      <w:pPr>
        <w:pStyle w:val="s1"/>
        <w:rPr>
          <w:noProof w:val="0"/>
          <w:sz w:val="22"/>
          <w:szCs w:val="22"/>
          <w:lang w:val="sk-SK"/>
        </w:rPr>
      </w:pPr>
    </w:p>
    <w:p w:rsidR="00B16260" w:rsidRDefault="00B16260" w:rsidP="00B16260">
      <w:pPr>
        <w:pStyle w:val="s1"/>
        <w:rPr>
          <w:noProof w:val="0"/>
          <w:sz w:val="22"/>
          <w:szCs w:val="22"/>
          <w:lang w:val="sk-SK"/>
        </w:rPr>
      </w:pPr>
      <w:r w:rsidRPr="00777564">
        <w:rPr>
          <w:noProof w:val="0"/>
          <w:sz w:val="22"/>
          <w:szCs w:val="22"/>
          <w:lang w:val="sk-SK"/>
        </w:rPr>
        <w:t>Bez pripomienok</w:t>
      </w:r>
    </w:p>
    <w:p w:rsidR="00B16260" w:rsidRDefault="00B16260" w:rsidP="00B16260">
      <w:pPr>
        <w:pStyle w:val="s1"/>
        <w:rPr>
          <w:noProof w:val="0"/>
          <w:sz w:val="22"/>
          <w:szCs w:val="22"/>
          <w:lang w:val="sk-SK"/>
        </w:rPr>
      </w:pPr>
    </w:p>
    <w:p w:rsidR="00B16260" w:rsidRPr="00777564" w:rsidRDefault="00B16260" w:rsidP="00B16260">
      <w:pPr>
        <w:pStyle w:val="s1"/>
        <w:rPr>
          <w:i/>
          <w:noProof w:val="0"/>
          <w:sz w:val="22"/>
          <w:szCs w:val="22"/>
          <w:lang w:val="sk-SK"/>
        </w:rPr>
      </w:pPr>
      <w:r w:rsidRPr="00777564">
        <w:rPr>
          <w:b/>
          <w:i/>
          <w:noProof w:val="0"/>
          <w:sz w:val="22"/>
          <w:szCs w:val="22"/>
          <w:lang w:val="sk-SK"/>
        </w:rPr>
        <w:t>Ministerstvo financií SR, Orgán auditu</w:t>
      </w:r>
      <w:r w:rsidRPr="00777564">
        <w:rPr>
          <w:i/>
          <w:noProof w:val="0"/>
          <w:sz w:val="22"/>
          <w:szCs w:val="22"/>
          <w:lang w:val="sk-SK"/>
        </w:rPr>
        <w:t xml:space="preserve"> (email zo dňa 04.02.2014)</w:t>
      </w:r>
    </w:p>
    <w:p w:rsidR="00B16260" w:rsidRDefault="00B16260" w:rsidP="00B16260">
      <w:pPr>
        <w:pStyle w:val="s1"/>
        <w:rPr>
          <w:noProof w:val="0"/>
          <w:sz w:val="22"/>
          <w:szCs w:val="22"/>
          <w:lang w:val="sk-SK"/>
        </w:rPr>
      </w:pPr>
    </w:p>
    <w:p w:rsidR="00B16260" w:rsidRPr="00777564" w:rsidRDefault="00B16260" w:rsidP="00B16260">
      <w:pPr>
        <w:pStyle w:val="s1"/>
        <w:rPr>
          <w:noProof w:val="0"/>
          <w:sz w:val="22"/>
          <w:szCs w:val="22"/>
          <w:lang w:val="sk-SK"/>
        </w:rPr>
      </w:pPr>
      <w:r w:rsidRPr="00777564">
        <w:rPr>
          <w:noProof w:val="0"/>
          <w:sz w:val="22"/>
          <w:szCs w:val="22"/>
          <w:lang w:val="sk-SK"/>
        </w:rPr>
        <w:t>Majú k dokumentu nasledovnú pripomienku:</w:t>
      </w:r>
    </w:p>
    <w:p w:rsidR="00B16260" w:rsidRDefault="00B16260" w:rsidP="00B16260">
      <w:pPr>
        <w:pStyle w:val="s1"/>
        <w:rPr>
          <w:noProof w:val="0"/>
          <w:sz w:val="22"/>
          <w:szCs w:val="22"/>
          <w:lang w:val="sk-SK"/>
        </w:rPr>
      </w:pPr>
      <w:r w:rsidRPr="00777564">
        <w:rPr>
          <w:noProof w:val="0"/>
          <w:sz w:val="22"/>
          <w:szCs w:val="22"/>
          <w:lang w:val="sk-SK"/>
        </w:rPr>
        <w:t xml:space="preserve">Vzhľadom na informácie uvedené v kapitole 5.1.3 ako aj v texte na strane 58, by sa radi informovali, kto bude zodpovedný za výkon auditov (externá audítorská firma alebo členský štát) a ktorý orgán bude znášať náklady na audit (členský štát alebo audítorsky orgán vo Francúzsku)? </w:t>
      </w:r>
    </w:p>
    <w:p w:rsidR="00B16260" w:rsidRDefault="00B16260" w:rsidP="00B16260">
      <w:pPr>
        <w:pStyle w:val="Default"/>
        <w:jc w:val="both"/>
        <w:rPr>
          <w:rFonts w:ascii="Times New Roman" w:hAnsi="Times New Roman" w:cs="Times New Roman"/>
          <w:color w:val="auto"/>
          <w:sz w:val="22"/>
          <w:szCs w:val="22"/>
          <w:lang w:eastAsia="cs-CZ"/>
        </w:rPr>
      </w:pPr>
    </w:p>
    <w:p w:rsidR="00B16260" w:rsidRPr="00C33C01" w:rsidRDefault="00B16260" w:rsidP="00B16260">
      <w:pPr>
        <w:pStyle w:val="Default"/>
        <w:jc w:val="both"/>
        <w:rPr>
          <w:rFonts w:ascii="Times New Roman" w:hAnsi="Times New Roman" w:cs="Times New Roman"/>
          <w:color w:val="auto"/>
          <w:sz w:val="22"/>
          <w:szCs w:val="22"/>
          <w:lang w:val="sk-SK" w:eastAsia="cs-CZ"/>
        </w:rPr>
      </w:pPr>
      <w:r w:rsidRPr="00C33C01">
        <w:rPr>
          <w:rFonts w:ascii="Times New Roman" w:hAnsi="Times New Roman" w:cs="Times New Roman"/>
          <w:color w:val="auto"/>
          <w:sz w:val="22"/>
          <w:szCs w:val="22"/>
          <w:lang w:val="sk-SK" w:eastAsia="cs-CZ"/>
        </w:rPr>
        <w:t>Vyhodnotenie:</w:t>
      </w:r>
      <w:r w:rsidRPr="00C33C01">
        <w:rPr>
          <w:sz w:val="32"/>
          <w:szCs w:val="32"/>
          <w:lang w:val="sk-SK"/>
        </w:rPr>
        <w:t xml:space="preserve"> </w:t>
      </w:r>
      <w:r w:rsidRPr="00C33C01">
        <w:rPr>
          <w:rFonts w:ascii="Times New Roman" w:hAnsi="Times New Roman" w:cs="Times New Roman"/>
          <w:color w:val="auto"/>
          <w:sz w:val="22"/>
          <w:szCs w:val="22"/>
          <w:lang w:val="sk-SK" w:eastAsia="cs-CZ"/>
        </w:rPr>
        <w:t xml:space="preserve">detailný popis postupov auditu bude neskôr opísaný v opise systému riadenia a kontroly. </w:t>
      </w:r>
    </w:p>
    <w:p w:rsidR="00B16260" w:rsidRDefault="00B16260" w:rsidP="00B16260">
      <w:pPr>
        <w:pStyle w:val="s1"/>
        <w:rPr>
          <w:noProof w:val="0"/>
          <w:sz w:val="22"/>
          <w:szCs w:val="22"/>
          <w:lang w:val="sk-SK"/>
        </w:rPr>
      </w:pPr>
    </w:p>
    <w:p w:rsidR="00B16260" w:rsidRPr="00777564" w:rsidRDefault="00B16260" w:rsidP="00B16260">
      <w:pPr>
        <w:pStyle w:val="s1"/>
        <w:rPr>
          <w:i/>
          <w:noProof w:val="0"/>
          <w:sz w:val="22"/>
          <w:szCs w:val="22"/>
          <w:lang w:val="sk-SK"/>
        </w:rPr>
      </w:pPr>
      <w:r w:rsidRPr="00777564">
        <w:rPr>
          <w:b/>
          <w:i/>
          <w:noProof w:val="0"/>
          <w:sz w:val="22"/>
          <w:szCs w:val="22"/>
          <w:lang w:val="sk-SK"/>
        </w:rPr>
        <w:t>Úrad vlády, Odbor prierezových priorít</w:t>
      </w:r>
      <w:r w:rsidRPr="00777564">
        <w:rPr>
          <w:i/>
          <w:noProof w:val="0"/>
          <w:sz w:val="22"/>
          <w:szCs w:val="22"/>
          <w:lang w:val="sk-SK"/>
        </w:rPr>
        <w:t xml:space="preserve"> (email zo dňa 30.01.2014)</w:t>
      </w:r>
    </w:p>
    <w:p w:rsidR="00B16260" w:rsidRDefault="00B16260" w:rsidP="00B16260">
      <w:pPr>
        <w:pStyle w:val="s1"/>
        <w:rPr>
          <w:noProof w:val="0"/>
          <w:sz w:val="22"/>
          <w:szCs w:val="22"/>
          <w:lang w:val="sk-SK"/>
        </w:rPr>
      </w:pPr>
    </w:p>
    <w:p w:rsidR="00B16260" w:rsidRDefault="00B16260" w:rsidP="00B16260">
      <w:pPr>
        <w:pStyle w:val="s1"/>
        <w:rPr>
          <w:noProof w:val="0"/>
          <w:sz w:val="22"/>
          <w:szCs w:val="22"/>
          <w:lang w:val="sk-SK"/>
        </w:rPr>
      </w:pPr>
      <w:r w:rsidRPr="00777564">
        <w:rPr>
          <w:noProof w:val="0"/>
          <w:sz w:val="22"/>
          <w:szCs w:val="22"/>
          <w:lang w:val="sk-SK"/>
        </w:rPr>
        <w:t>Bez pripomienok</w:t>
      </w:r>
    </w:p>
    <w:p w:rsidR="00B16260" w:rsidRDefault="00B16260" w:rsidP="00B16260">
      <w:pPr>
        <w:pStyle w:val="s1"/>
        <w:rPr>
          <w:noProof w:val="0"/>
          <w:sz w:val="22"/>
          <w:szCs w:val="22"/>
          <w:lang w:val="sk-SK"/>
        </w:rPr>
      </w:pPr>
    </w:p>
    <w:p w:rsidR="00B16260" w:rsidRDefault="00B16260" w:rsidP="00B16260">
      <w:pPr>
        <w:pStyle w:val="s1"/>
        <w:rPr>
          <w:noProof w:val="0"/>
          <w:sz w:val="22"/>
          <w:szCs w:val="22"/>
          <w:lang w:val="sk-SK"/>
        </w:rPr>
      </w:pPr>
    </w:p>
    <w:p w:rsidR="00B16260" w:rsidRPr="00777564" w:rsidRDefault="00B16260" w:rsidP="00B16260">
      <w:pPr>
        <w:pStyle w:val="s1"/>
        <w:rPr>
          <w:i/>
          <w:noProof w:val="0"/>
          <w:sz w:val="22"/>
          <w:szCs w:val="22"/>
          <w:lang w:val="sk-SK"/>
        </w:rPr>
      </w:pPr>
      <w:r w:rsidRPr="00777564">
        <w:rPr>
          <w:b/>
          <w:i/>
          <w:noProof w:val="0"/>
          <w:sz w:val="22"/>
          <w:szCs w:val="22"/>
          <w:lang w:val="sk-SK"/>
        </w:rPr>
        <w:t>Úrad vlády, Sekcia centrálny koordinačný orgán</w:t>
      </w:r>
      <w:r w:rsidRPr="00777564">
        <w:rPr>
          <w:i/>
          <w:noProof w:val="0"/>
          <w:sz w:val="22"/>
          <w:szCs w:val="22"/>
          <w:lang w:val="sk-SK"/>
        </w:rPr>
        <w:t xml:space="preserve"> (list zo dňa 05.02.2014)</w:t>
      </w:r>
    </w:p>
    <w:p w:rsidR="00B16260" w:rsidRDefault="00B16260" w:rsidP="00B16260">
      <w:pPr>
        <w:pStyle w:val="s1"/>
        <w:rPr>
          <w:noProof w:val="0"/>
          <w:sz w:val="22"/>
          <w:szCs w:val="22"/>
          <w:lang w:val="sk-SK"/>
        </w:rPr>
      </w:pPr>
    </w:p>
    <w:p w:rsidR="00B16260" w:rsidRPr="00777564" w:rsidRDefault="00B16260" w:rsidP="00B16260">
      <w:pPr>
        <w:pStyle w:val="s1"/>
        <w:rPr>
          <w:noProof w:val="0"/>
          <w:sz w:val="22"/>
          <w:szCs w:val="22"/>
          <w:lang w:val="sk-SK"/>
        </w:rPr>
      </w:pPr>
      <w:r w:rsidRPr="00777564">
        <w:rPr>
          <w:noProof w:val="0"/>
          <w:sz w:val="22"/>
          <w:szCs w:val="22"/>
          <w:lang w:val="sk-SK"/>
        </w:rPr>
        <w:t>K správe o hodnotení majú nasledovné pripomienky:</w:t>
      </w:r>
    </w:p>
    <w:p w:rsidR="00B16260" w:rsidRPr="00A86FF4" w:rsidRDefault="00B16260" w:rsidP="00B16260">
      <w:pPr>
        <w:pStyle w:val="s1"/>
        <w:numPr>
          <w:ilvl w:val="0"/>
          <w:numId w:val="4"/>
        </w:numPr>
        <w:rPr>
          <w:noProof w:val="0"/>
          <w:sz w:val="22"/>
          <w:szCs w:val="22"/>
          <w:lang w:val="sk-SK"/>
        </w:rPr>
      </w:pPr>
      <w:r w:rsidRPr="00777564">
        <w:rPr>
          <w:noProof w:val="0"/>
          <w:sz w:val="22"/>
          <w:szCs w:val="22"/>
          <w:lang w:val="sk-SK"/>
        </w:rPr>
        <w:lastRenderedPageBreak/>
        <w:t>Vzhľadom na skutočnosť, že všetky nariadenia EÚ pre Európske štrukturálne  a investičné fondy, okrem Európskeho námorného a rybárskeho fondu, vstúpili do platnosti dňa 20.12.2013, navrhujú zosúladiť predmetný dokument s týmito nariadeniami EÚ. Na základe uvedeného odporúčajú napríklad z textu vypustiť zmienku o „návrhoch“ nariadení EÚ a zosúladiť text s jazykovým prekladom jednotlivých tematických cieľov</w:t>
      </w:r>
      <w:r>
        <w:rPr>
          <w:noProof w:val="0"/>
          <w:sz w:val="22"/>
          <w:szCs w:val="22"/>
          <w:lang w:val="sk-SK"/>
        </w:rPr>
        <w:t>.</w:t>
      </w:r>
    </w:p>
    <w:p w:rsidR="00B16260" w:rsidRPr="00777564" w:rsidRDefault="00B16260" w:rsidP="00B16260">
      <w:pPr>
        <w:pStyle w:val="s1"/>
        <w:numPr>
          <w:ilvl w:val="0"/>
          <w:numId w:val="4"/>
        </w:numPr>
        <w:rPr>
          <w:noProof w:val="0"/>
          <w:sz w:val="22"/>
          <w:szCs w:val="22"/>
          <w:lang w:val="sk-SK"/>
        </w:rPr>
      </w:pPr>
      <w:r w:rsidRPr="00777564">
        <w:rPr>
          <w:noProof w:val="0"/>
          <w:sz w:val="22"/>
          <w:szCs w:val="22"/>
          <w:lang w:val="sk-SK"/>
        </w:rPr>
        <w:t>V celom texte dokumentu navrhujú nahradiť anglickú skratku pre Európsku územnú spoluprácu „ETC“ skratkou „EÚS“.</w:t>
      </w:r>
    </w:p>
    <w:p w:rsidR="00B16260" w:rsidRPr="00777564" w:rsidRDefault="00B16260" w:rsidP="00B16260">
      <w:pPr>
        <w:pStyle w:val="s1"/>
        <w:numPr>
          <w:ilvl w:val="0"/>
          <w:numId w:val="4"/>
        </w:numPr>
        <w:rPr>
          <w:noProof w:val="0"/>
          <w:sz w:val="22"/>
          <w:szCs w:val="22"/>
          <w:lang w:val="sk-SK"/>
        </w:rPr>
      </w:pPr>
      <w:r w:rsidRPr="00777564">
        <w:rPr>
          <w:noProof w:val="0"/>
          <w:sz w:val="22"/>
          <w:szCs w:val="22"/>
          <w:lang w:val="sk-SK"/>
        </w:rPr>
        <w:t>V celom texte dokumentu navrhujú nahradiť anglickú skratku pre Európsky fond regionálneho rozvoja „ERFD“ skratkou „EFRR“.</w:t>
      </w:r>
    </w:p>
    <w:p w:rsidR="00B16260" w:rsidRDefault="00B16260" w:rsidP="00B16260">
      <w:pPr>
        <w:pStyle w:val="s1"/>
        <w:numPr>
          <w:ilvl w:val="0"/>
          <w:numId w:val="4"/>
        </w:numPr>
        <w:rPr>
          <w:noProof w:val="0"/>
          <w:sz w:val="22"/>
          <w:szCs w:val="22"/>
          <w:lang w:val="sk-SK"/>
        </w:rPr>
      </w:pPr>
      <w:r w:rsidRPr="00777564">
        <w:rPr>
          <w:noProof w:val="0"/>
          <w:sz w:val="22"/>
          <w:szCs w:val="22"/>
          <w:lang w:val="sk-SK"/>
        </w:rPr>
        <w:t>V celom texte dokumentu navrhujú primerane nahradiť pojem „Europe 2000“ slovným spojením „ciele stratégie Európa 2020“.</w:t>
      </w:r>
    </w:p>
    <w:p w:rsidR="00B16260" w:rsidRDefault="00B16260" w:rsidP="00B16260">
      <w:pPr>
        <w:jc w:val="both"/>
      </w:pPr>
    </w:p>
    <w:p w:rsidR="00B16260" w:rsidRDefault="00B16260" w:rsidP="00B16260">
      <w:pPr>
        <w:jc w:val="both"/>
      </w:pPr>
      <w:r w:rsidRPr="00A86FF4">
        <w:t>Vyhodnotenie: akceptované, preklad dokumentu do slovenského jazyka bol upravený</w:t>
      </w:r>
      <w:r>
        <w:t>.</w:t>
      </w:r>
    </w:p>
    <w:p w:rsidR="00B16260" w:rsidRPr="00A86FF4" w:rsidRDefault="00B16260" w:rsidP="00B16260">
      <w:pPr>
        <w:jc w:val="both"/>
        <w:rPr>
          <w:i/>
        </w:rPr>
      </w:pPr>
    </w:p>
    <w:p w:rsidR="00B16260" w:rsidRDefault="00B16260" w:rsidP="00B16260">
      <w:pPr>
        <w:pStyle w:val="s1"/>
        <w:rPr>
          <w:i/>
          <w:noProof w:val="0"/>
          <w:sz w:val="22"/>
          <w:szCs w:val="22"/>
          <w:lang w:val="sk-SK"/>
        </w:rPr>
      </w:pPr>
      <w:r w:rsidRPr="00777564">
        <w:rPr>
          <w:b/>
          <w:i/>
          <w:noProof w:val="0"/>
          <w:sz w:val="22"/>
          <w:szCs w:val="22"/>
          <w:lang w:val="sk-SK"/>
        </w:rPr>
        <w:t>Ministerstvo dopravy, výstavby a regionálneho rozvoja SR, Odbor územného plánovania</w:t>
      </w:r>
      <w:r w:rsidRPr="00777564">
        <w:rPr>
          <w:i/>
          <w:noProof w:val="0"/>
          <w:sz w:val="22"/>
          <w:szCs w:val="22"/>
          <w:lang w:val="sk-SK"/>
        </w:rPr>
        <w:t xml:space="preserve"> (list zo dňa 03.02.2014)</w:t>
      </w:r>
    </w:p>
    <w:p w:rsidR="00B16260" w:rsidRDefault="00B16260" w:rsidP="00B16260">
      <w:pPr>
        <w:pStyle w:val="s1"/>
        <w:rPr>
          <w:i/>
          <w:noProof w:val="0"/>
          <w:sz w:val="22"/>
          <w:szCs w:val="22"/>
          <w:lang w:val="sk-SK"/>
        </w:rPr>
      </w:pPr>
    </w:p>
    <w:p w:rsidR="00B16260" w:rsidRDefault="00B16260" w:rsidP="00B16260">
      <w:pPr>
        <w:pStyle w:val="s1"/>
        <w:rPr>
          <w:noProof w:val="0"/>
          <w:sz w:val="22"/>
          <w:szCs w:val="22"/>
          <w:lang w:val="sk-SK"/>
        </w:rPr>
      </w:pPr>
      <w:r w:rsidRPr="00777564">
        <w:rPr>
          <w:noProof w:val="0"/>
          <w:sz w:val="22"/>
          <w:szCs w:val="22"/>
          <w:lang w:val="sk-SK"/>
        </w:rPr>
        <w:t>Bez pripomienok</w:t>
      </w:r>
    </w:p>
    <w:p w:rsidR="00B16260" w:rsidRDefault="00B16260" w:rsidP="00B16260">
      <w:pPr>
        <w:pStyle w:val="s1"/>
        <w:rPr>
          <w:noProof w:val="0"/>
          <w:sz w:val="22"/>
          <w:szCs w:val="22"/>
          <w:lang w:val="sk-SK"/>
        </w:rPr>
      </w:pPr>
    </w:p>
    <w:p w:rsidR="00B16260" w:rsidRPr="00777564" w:rsidRDefault="00B16260" w:rsidP="00B16260">
      <w:pPr>
        <w:pStyle w:val="s1"/>
        <w:rPr>
          <w:i/>
          <w:noProof w:val="0"/>
          <w:sz w:val="22"/>
          <w:szCs w:val="22"/>
          <w:lang w:val="sk-SK"/>
        </w:rPr>
      </w:pPr>
      <w:r w:rsidRPr="00777564">
        <w:rPr>
          <w:b/>
          <w:i/>
          <w:noProof w:val="0"/>
          <w:sz w:val="22"/>
          <w:szCs w:val="22"/>
          <w:lang w:val="sk-SK"/>
        </w:rPr>
        <w:t>Úrad košického samosprávneho kraja</w:t>
      </w:r>
      <w:r w:rsidRPr="00777564">
        <w:rPr>
          <w:i/>
          <w:noProof w:val="0"/>
          <w:sz w:val="22"/>
          <w:szCs w:val="22"/>
          <w:lang w:val="sk-SK"/>
        </w:rPr>
        <w:t xml:space="preserve"> (list zo dňa 03.02.2014)</w:t>
      </w:r>
    </w:p>
    <w:p w:rsidR="00B16260" w:rsidRDefault="00B16260" w:rsidP="00B16260"/>
    <w:p w:rsidR="00B16260" w:rsidRDefault="00B16260" w:rsidP="00B16260">
      <w:pPr>
        <w:jc w:val="both"/>
      </w:pPr>
      <w:r w:rsidRPr="00777564">
        <w:t>Žiadajú rešpektovanie nadradenej územnoplánovacej dokumentácie , t.j. „ Zmien a doplnkov ÚPN VÚC Košického kraja a programu hospodárskeho a sociálneho rozvoja Košického kraja.</w:t>
      </w:r>
    </w:p>
    <w:p w:rsidR="00B16260" w:rsidRDefault="00B16260" w:rsidP="00B16260">
      <w:pPr>
        <w:jc w:val="both"/>
      </w:pPr>
    </w:p>
    <w:p w:rsidR="00B16260" w:rsidRDefault="00B16260" w:rsidP="00B16260">
      <w:pPr>
        <w:jc w:val="both"/>
      </w:pPr>
      <w:r>
        <w:t>Vyhodnotenie: neakceptované vzhľadom na nadnárodný charakter programu.</w:t>
      </w:r>
    </w:p>
    <w:p w:rsidR="00B16260" w:rsidRPr="006C7254" w:rsidRDefault="00B16260" w:rsidP="00B16260">
      <w:pPr>
        <w:jc w:val="both"/>
        <w:rPr>
          <w:color w:val="000000"/>
        </w:rPr>
      </w:pPr>
    </w:p>
    <w:p w:rsidR="00B16260" w:rsidRPr="006C7254" w:rsidRDefault="00B16260" w:rsidP="00B16260">
      <w:pPr>
        <w:pStyle w:val="Zkladntext"/>
        <w:jc w:val="both"/>
        <w:rPr>
          <w:bCs/>
          <w:iCs/>
          <w:noProof w:val="0"/>
          <w:color w:val="000000"/>
        </w:rPr>
      </w:pPr>
      <w:r w:rsidRPr="006C7254">
        <w:rPr>
          <w:b/>
          <w:color w:val="000000"/>
        </w:rPr>
        <w:t xml:space="preserve">3. Informácia o verejnom prerokovaní a jeho závery.  </w:t>
      </w:r>
    </w:p>
    <w:p w:rsidR="00B16260" w:rsidRPr="006C7254" w:rsidRDefault="00B16260" w:rsidP="00B16260">
      <w:pPr>
        <w:pStyle w:val="Zkladntext"/>
        <w:ind w:firstLine="567"/>
        <w:jc w:val="both"/>
        <w:rPr>
          <w:noProof w:val="0"/>
          <w:color w:val="FF0000"/>
        </w:rPr>
      </w:pPr>
      <w:r w:rsidRPr="006C7254">
        <w:rPr>
          <w:bCs/>
          <w:iCs/>
          <w:noProof w:val="0"/>
          <w:color w:val="000000"/>
        </w:rPr>
        <w:t xml:space="preserve">Verejné konzultácie k </w:t>
      </w:r>
      <w:r w:rsidRPr="006C7254">
        <w:rPr>
          <w:noProof w:val="0"/>
        </w:rPr>
        <w:t>návrhu programového dokumentu na území SR, v rámci ktorých sa mohli relevantné inštitúcie ako aj široká verejnosť vyjadriť k danému strategickému dokumentu, boli zahájené súčasne s celoeurópskymi a prebiehali v období od 10. januára 2014 do 21. marca 2014. Súčasne s konečným návrhom programu spolupráce prebiehali konzultácie aj ku správe o Strategickom environmentálnom hodnotení (ďalej len „SEA“). Uvedené dokumenty boli zverejnené na oficiálnej webovej stránke programu (</w:t>
      </w:r>
      <w:hyperlink r:id="rId10" w:history="1">
        <w:r w:rsidRPr="006C7254">
          <w:rPr>
            <w:rStyle w:val="Hypertextovprepojenie"/>
            <w:noProof w:val="0"/>
          </w:rPr>
          <w:t>www.interreg4c.eu</w:t>
        </w:r>
      </w:hyperlink>
      <w:r w:rsidRPr="006C7254">
        <w:rPr>
          <w:noProof w:val="0"/>
        </w:rPr>
        <w:t>) ako aj na webových stránkach Ministerstva hospodárstva SR (</w:t>
      </w:r>
      <w:hyperlink r:id="rId11" w:history="1">
        <w:r w:rsidRPr="006C7254">
          <w:rPr>
            <w:rStyle w:val="Hypertextovprepojenie"/>
            <w:noProof w:val="0"/>
          </w:rPr>
          <w:t>www.mhsr.sk</w:t>
        </w:r>
      </w:hyperlink>
      <w:r w:rsidRPr="006C7254">
        <w:rPr>
          <w:noProof w:val="0"/>
        </w:rPr>
        <w:t>) a Ministerstva životného prostredia SR (</w:t>
      </w:r>
      <w:hyperlink r:id="rId12" w:history="1">
        <w:r w:rsidRPr="006C7254">
          <w:rPr>
            <w:rStyle w:val="Hypertextovprepojenie"/>
            <w:noProof w:val="0"/>
          </w:rPr>
          <w:t>www.enviroportal.sk</w:t>
        </w:r>
      </w:hyperlink>
      <w:r w:rsidRPr="006C7254">
        <w:rPr>
          <w:noProof w:val="0"/>
        </w:rPr>
        <w:t xml:space="preserve">). V rámci verejných konzultácií boli pripomienky vznesené relevantnými subjektmi postúpené riadiacemu orgánu, ktorý zhodnotil prijaté pripomienky vo finálnom návrhu programu spolupráce ako aj finálnom návrhu správy SEA. Uvedené konečné návrhy strategických dokumentov boli </w:t>
      </w:r>
      <w:r w:rsidRPr="006C7254">
        <w:rPr>
          <w:noProof w:val="0"/>
          <w:color w:val="000000"/>
        </w:rPr>
        <w:t>relevantným</w:t>
      </w:r>
      <w:r w:rsidRPr="006C7254">
        <w:rPr>
          <w:noProof w:val="0"/>
        </w:rPr>
        <w:t xml:space="preserve"> subjektom zaslané na finálne vyjadrenie. </w:t>
      </w:r>
      <w:r w:rsidRPr="006C7254">
        <w:rPr>
          <w:noProof w:val="0"/>
          <w:color w:val="000000"/>
        </w:rPr>
        <w:t xml:space="preserve">Žiadne zásadné pripomienky však neboli </w:t>
      </w:r>
      <w:r w:rsidRPr="006C7254">
        <w:rPr>
          <w:noProof w:val="0"/>
        </w:rPr>
        <w:t xml:space="preserve">vznesené. </w:t>
      </w:r>
    </w:p>
    <w:p w:rsidR="00B16260" w:rsidRDefault="00B16260" w:rsidP="00B16260">
      <w:pPr>
        <w:rPr>
          <w:b/>
          <w:bCs/>
        </w:rPr>
      </w:pPr>
      <w:r w:rsidRPr="009B1B56">
        <w:rPr>
          <w:b/>
          <w:bCs/>
        </w:rPr>
        <w:t>III. Zhrnutie hodnotenia vplyvov strategického dokumentu na vládnej úrovni</w:t>
      </w:r>
    </w:p>
    <w:p w:rsidR="00B16260" w:rsidRPr="007613E3" w:rsidRDefault="00B16260" w:rsidP="00B16260">
      <w:pPr>
        <w:rPr>
          <w:rFonts w:ascii="Arial" w:hAnsi="Arial" w:cs="Arial"/>
        </w:rPr>
      </w:pPr>
      <w:r w:rsidRPr="009B1B56">
        <w:br/>
      </w:r>
      <w:r w:rsidRPr="00CC1F98">
        <w:t xml:space="preserve">Zhodnotenie možných vplyvov na životné prostredie je rozdelené do dvoch hlavných častí: </w:t>
      </w:r>
    </w:p>
    <w:p w:rsidR="00B16260" w:rsidRPr="00CC1F98" w:rsidRDefault="00B16260" w:rsidP="00B16260">
      <w:pPr>
        <w:ind w:firstLine="284"/>
        <w:jc w:val="both"/>
      </w:pPr>
      <w:r w:rsidRPr="00CC1F98">
        <w:t>1) strategický prístup a </w:t>
      </w:r>
    </w:p>
    <w:p w:rsidR="00B16260" w:rsidRPr="00CC1F98" w:rsidRDefault="00B16260" w:rsidP="00B16260">
      <w:pPr>
        <w:ind w:firstLine="284"/>
        <w:jc w:val="both"/>
      </w:pPr>
      <w:r w:rsidRPr="00CC1F98">
        <w:t xml:space="preserve">2) očakávané výsledky jednotlivých špecifických cieľov. </w:t>
      </w:r>
    </w:p>
    <w:p w:rsidR="00B16260" w:rsidRPr="00CC1F98" w:rsidRDefault="00B16260" w:rsidP="00B16260">
      <w:pPr>
        <w:jc w:val="both"/>
      </w:pPr>
      <w:r w:rsidRPr="00CC1F98">
        <w:t xml:space="preserve">S výnimkou nulovej alternatívy, t.j. neimplementovanie INTERREG EUROPE, nie je definovaná ani hodnotená žiadna iná alternatíva. </w:t>
      </w:r>
    </w:p>
    <w:p w:rsidR="00B16260" w:rsidRPr="00CC1F98" w:rsidRDefault="00B16260" w:rsidP="00B16260">
      <w:pPr>
        <w:ind w:firstLine="567"/>
        <w:jc w:val="both"/>
      </w:pPr>
      <w:r w:rsidRPr="00CC1F98">
        <w:t xml:space="preserve">Zhodnotenie strategického prístupu sa týka operatívnych cieľov, prioritných osí a špecifických cieľov, vzájomných prepojení prioritných osí, zvažovania „udržateľného rozvoja“ ako horizontálneho princípu a indikátorov a potrieb implementácie, ktoré sú požadované v rámci strategického prístupu. </w:t>
      </w:r>
    </w:p>
    <w:p w:rsidR="00B16260" w:rsidRDefault="00B16260" w:rsidP="00B16260">
      <w:pPr>
        <w:ind w:firstLine="567"/>
        <w:jc w:val="both"/>
      </w:pPr>
      <w:r w:rsidRPr="00CC1F98">
        <w:lastRenderedPageBreak/>
        <w:t xml:space="preserve">Zhodnotenie poukazuje na to, že v dôsledku charakteru INTERREG EUROPE je možné prostredníctvom programu realizovať len veľmi nepriame vplyvy a prínosy v reťazci dopadov. Intervencia programu na priame environmentálne vplyvy projektov je pomerne vzdialená. Vo všeobecnosti však strategický prístup ponúka potenciál pre priaznivé vplyvy. Odkazuje predovšetkým na dve prioritné osi s jasným zameraním na environmentálne otázky (prioritná os (ďalej len “PO“ 3 - nízkouhlíková ekonomika a PO 4 - životné prostredie a efektívne využívanie zdrojov). Pri riešení tejto témy je zvažovaných niekoľko environmentálnych problémov, ktoré sú priamo alebo nepriamo prepojené s týmito hlavnými otázkami. Vyčlenenie 50 % dostupných finančných prostriedkov (bez finančných prostriedkov na Technickú pomoc) znamená, že na tieto dve PO bola vyčlenená podstatná časť celkového objemu finančných prostriedkov. PO 1 (Výskum, rozvoj technológií a inovácie (RTD&amp;I)) a PO 2 (konkurencieschopnosť malých a stredných podnikov) vykazujú menej zjavný potenciál. Avšak napriek tomu, prepojením ich implementácie s environmentálnymi otázkami mohlo dôjsť k posilneniu pravdepodobných priamych vplyvov. </w:t>
      </w:r>
    </w:p>
    <w:p w:rsidR="00B16260" w:rsidRPr="00CC1F98" w:rsidRDefault="00B16260" w:rsidP="00B16260">
      <w:pPr>
        <w:ind w:firstLine="567"/>
        <w:jc w:val="both"/>
        <w:rPr>
          <w:lang w:eastAsia="de-AT"/>
        </w:rPr>
      </w:pPr>
      <w:r w:rsidRPr="00CC1F98">
        <w:t xml:space="preserve">V INTERREG EUROPE nie je uvedená žiadna priama orientácia podporovaných opatrení podľa PO 1 a 2 na ochranu životného prostredia alebo udržateľného rozvoja, ani v ňom nie je vyžadovaná ako explicitný hlavný princíp pri výbere činností. </w:t>
      </w:r>
    </w:p>
    <w:p w:rsidR="00B16260" w:rsidRPr="00CC1F98" w:rsidRDefault="00B16260" w:rsidP="00B16260">
      <w:pPr>
        <w:jc w:val="both"/>
      </w:pPr>
      <w:r w:rsidRPr="00CC1F98">
        <w:t xml:space="preserve">Vzájomné zvažovanie riešení v RTD&amp;I, podpora SME, nízkouhlíkovej ekonomiky a ochrana prírodného a kultúrneho dedičstva pomáhajú zvyšovať pozitívne prínosy v rámci ochrany životného prostredia a efektívneho využívania zdrojov. Potenciál pre posilňovanie pozitívnych dopadov na ochranu životného prostredia a efektívne využívanie zdrojov prostredníctvom využívania týchto vzájomných vnútorných vzťahov nie je v INTERREG EUROPE využívaný systematicky. </w:t>
      </w:r>
    </w:p>
    <w:p w:rsidR="00B16260" w:rsidRPr="00CC1F98" w:rsidRDefault="00B16260" w:rsidP="00B16260">
      <w:pPr>
        <w:ind w:firstLine="567"/>
        <w:jc w:val="both"/>
      </w:pPr>
      <w:r w:rsidRPr="00CC1F98">
        <w:t xml:space="preserve">Niektoré z definovaných výstupných indikátorov nesú so sebou negatívny potenciál, pretože ich dosahovanie môže viesť k zvýšenej miere cestovania po celej Európe. Formulácia kritických indikátorov by mala byť revidované kvôli posilneniu snáh o využívanie režimov výmeny a komunikácie s potenciálne menšími dopadmi na ovzdušie, klímu a využívanie zdrojov. </w:t>
      </w:r>
    </w:p>
    <w:p w:rsidR="00B16260" w:rsidRPr="00CC1F98" w:rsidRDefault="00B16260" w:rsidP="00B16260">
      <w:pPr>
        <w:ind w:firstLine="567"/>
        <w:jc w:val="both"/>
      </w:pPr>
      <w:r w:rsidRPr="00CC1F98">
        <w:t>„Udržateľný rozvoj“ je v </w:t>
      </w:r>
      <w:r>
        <w:t>p</w:t>
      </w:r>
      <w:r w:rsidRPr="00CC1F98">
        <w:t>rograme zahrnutý ako horizontálny princíp. Bolo sformulované zvažovanie rôznych prioritných osí v rámci implementácie. V súlade s vymedzeniami Nariadenia o spoločných ustanoveniach (CPR) je i v </w:t>
      </w:r>
      <w:r>
        <w:t>p</w:t>
      </w:r>
      <w:r w:rsidRPr="00CC1F98">
        <w:t xml:space="preserve">rograme zahrnutý udržateľný rozvoj ako horizontálny princíp. Toto však vedie k povinnosti zvažovať environmentálne otázky aj v rámci realizácie PO 1 a 2. Toto zvažovanie by však malo byť v súvislosti s PO 1 a2 vyžadované prísnejšie. </w:t>
      </w:r>
    </w:p>
    <w:p w:rsidR="00B16260" w:rsidRPr="00CC1F98" w:rsidRDefault="00B16260" w:rsidP="00B16260">
      <w:pPr>
        <w:ind w:firstLine="567"/>
        <w:jc w:val="both"/>
      </w:pPr>
      <w:r w:rsidRPr="00CC1F98">
        <w:t xml:space="preserve">Charakter a manažment tohto celoeurópskeho programu si vyžaduje značný rozsah cestovania regionálnych partnerov, zástupcov členských štátov a manažmentu programu. Emisie skleníkových plynov, znečisťovanie ovzdušia a hluk sú najvýznamnejšími problémami spojenými s cestovaním. Finálnym účelom programu je podporovať medziregionálnu výmenu a zaisťovať rozvoj kapacít v rámci aktivít medziregionálnej spolupráce. Preto nie je možné uvažovať o reálnych alternatívach princípov. Namiesto toho sa odporúča sústrediť sa viac na iné prostriedky komunikácie a typy spolupráce a minimalizovať počet stretnutí, návštev a podujatí s cieľom zmierniť environmentálne dopady. </w:t>
      </w:r>
    </w:p>
    <w:p w:rsidR="00B16260" w:rsidRPr="00CC1F98" w:rsidRDefault="00B16260" w:rsidP="00B16260">
      <w:pPr>
        <w:ind w:firstLine="567"/>
        <w:jc w:val="both"/>
        <w:rPr>
          <w:lang w:eastAsia="de-AT"/>
        </w:rPr>
      </w:pPr>
      <w:r w:rsidRPr="00CC1F98">
        <w:t xml:space="preserve">Zhodnotenie očakávaných výsledkov každého špecifického cieľa vytvára dvojitý obrázok. </w:t>
      </w:r>
    </w:p>
    <w:p w:rsidR="00B16260" w:rsidRPr="00CC1F98" w:rsidRDefault="00B16260" w:rsidP="00B16260">
      <w:pPr>
        <w:ind w:firstLine="567"/>
        <w:jc w:val="both"/>
      </w:pPr>
      <w:r w:rsidRPr="00CC1F98">
        <w:t xml:space="preserve">Dopady na životné prostredie ako aj prínosy očakávaných výsledkov ŠC 1.1, ŠC 1.2 a ŠC 2.1 pre environmentálne ciele EÚ sú veľmi obmedzené. Zámerom týchto výsledkov je zlepšiť rámcové podmienky a procesy výmeny. Obidve tieto oblasti môžu však mať v dlhodobom horizonte environmentálne dopady. V prvom rade však nie je možné uviesť priame alebo dokonca nepriame prepojenia. Pozitívne nepriame dopady je možné očakávať </w:t>
      </w:r>
      <w:r w:rsidRPr="00CC1F98">
        <w:lastRenderedPageBreak/>
        <w:t xml:space="preserve">vtedy, ak budú podporované opatrenia prepojené s potrebami problematiky ochrany životného prostredia. Na tieto pozitívne dopady však nie je možné nahliadať ako na zaručené. </w:t>
      </w:r>
    </w:p>
    <w:p w:rsidR="00B16260" w:rsidRPr="00CC1F98" w:rsidRDefault="00B16260" w:rsidP="00B16260">
      <w:pPr>
        <w:ind w:firstLine="567"/>
        <w:jc w:val="both"/>
      </w:pPr>
      <w:r w:rsidRPr="00CC1F98">
        <w:t xml:space="preserve">Situácia týkajúca sa ŠC 3.1, ŠC 4.1 a ŠC 4.2 je odlišná. V prípade všetkých očakávaných výsledkov týchto ŠC je možné konštatovať pozitívne nepriame vplyvy. Hoci aj v prípade týchto špecifických cieľov sa väčšina aktivít, ktoré majú byť podporované vzťahuje na zlepšenie programovania a výmenu skúseností a postupov, úspešná realizácia navrhovaných výsledkov môže v konečnom dôsledku generovať pozitívne vplyvy na problematiku životného prostredia súvisiacu s jednotlivými oblasťami záujmu (nízkouhlíková ekonomika, ochrana a rozvíjanie prírodného a kultúrneho dedičstva, ako aj efektívne využívanie zdrojov, zelený rast a eko-inovácie a environmentálny manažment). </w:t>
      </w:r>
    </w:p>
    <w:p w:rsidR="00B16260" w:rsidRPr="00CC1F98" w:rsidRDefault="00B16260" w:rsidP="00B16260">
      <w:pPr>
        <w:ind w:firstLine="567"/>
        <w:jc w:val="both"/>
      </w:pPr>
      <w:r w:rsidRPr="00CC1F98">
        <w:t>Čo sa týka očakávaného výsledku 2 ŠC 3.1, je potrebné venovať pozornosť tej skutočnosti, že výroba energie z určitých obnoviteľných zdrojov môže mať negatívne dopady na iné environmentálne problémy. V posledných rokoch môžeme konštatovať, že v rastúcej miere dochádza ku konfliktom medzi cieľmi ochrany ovzdušia a ochrany prírodného majetku a cieľmi biodiverzity. Podporovanie výroby energie z obnoviteľných zdrojov musí brať do úvahy tieto konflikty a nájsť prijateľnú rovnováhu medzi záujmami, ktoré sú v protiklade. Hoci dopady IN</w:t>
      </w:r>
      <w:r>
        <w:t>T</w:t>
      </w:r>
      <w:r w:rsidRPr="00CC1F98">
        <w:t xml:space="preserve">ERREG EUROPE sú vo veľkej miere nepriame a problémy sa vyskytnú v skutočnosti až v pomerne vzdialenej budúcnosti v reťazci dopadov, zdá sa, že je nevyhnutné zaradiť tieto možné vplyvy do agendy už v prvotnej fáze reťazca dopadov. </w:t>
      </w:r>
    </w:p>
    <w:p w:rsidR="00B16260" w:rsidRPr="00CC1F98" w:rsidRDefault="00B16260" w:rsidP="00B16260">
      <w:pPr>
        <w:ind w:firstLine="567"/>
        <w:jc w:val="both"/>
      </w:pPr>
      <w:r w:rsidRPr="00CC1F98">
        <w:t xml:space="preserve">V dôsledku veľkého rozsahu potenciálnych (nepriamych) prínosov pre environmentálne ciele EÚ a potenciálnych vplyvov na environmentálne otázky je </w:t>
      </w:r>
      <w:r w:rsidRPr="00CC1F98">
        <w:rPr>
          <w:u w:val="single"/>
        </w:rPr>
        <w:t>nepriamy kumulatívny dopad</w:t>
      </w:r>
      <w:r w:rsidRPr="00CC1F98">
        <w:t xml:space="preserve"> programu dôležitý. Úspešná implementácia INTERREG EUROPE zavádza mechanizmy a buduje kapacity s pozitívnymi vplyvmi na účinnejšiu realizáciu ochrany životného prostredia v budúcnosti prostredníctvom zlepšených regionálnych politík a programov. </w:t>
      </w:r>
    </w:p>
    <w:p w:rsidR="00B16260" w:rsidRPr="00CC1F98" w:rsidRDefault="00B16260" w:rsidP="00B16260">
      <w:pPr>
        <w:ind w:firstLine="567"/>
        <w:jc w:val="both"/>
      </w:pPr>
      <w:r w:rsidRPr="00CC1F98">
        <w:t xml:space="preserve">Presadzovaním nízkouhlíkovej ekonomiky a efektívnosti ochrany životného prostredia a využívania zdrojov rieši program dve oblasti, ktoré môžu vygenerovať veľký počet potenciálnych nepriamych synergických vplyvov. Znižovanie emisií skleníkových plynov a znižovanie spotreby prírodných zdrojov v rámci výroby energie a podporovanie (priemyselnej) produkcie prispieva aj k ochrane ďalších prvkov životného prostredia ako sú vzduch, voda, pôda, biodiverzita a krajina. Menej znečistené ovzdušie, najmä v mestských oblastiach, lepšia kvalita vody a krajiny majú pozitívny vplyv na ľudské zdravie a kvalitu života. </w:t>
      </w:r>
    </w:p>
    <w:p w:rsidR="00B16260" w:rsidRPr="00CC1F98" w:rsidRDefault="00B16260" w:rsidP="00B16260">
      <w:pPr>
        <w:ind w:firstLine="567"/>
        <w:jc w:val="both"/>
      </w:pPr>
      <w:r w:rsidRPr="00CC1F98">
        <w:t xml:space="preserve">Ak berieme do úvahy potenciálne vplyvy programu ako celku na životné prostredie a jeho prínos pre environmentálne ciele EÚ a celkovú environmentálnu politiku EÚ, rozlišujeme dve časti </w:t>
      </w:r>
      <w:r>
        <w:t>p</w:t>
      </w:r>
      <w:r w:rsidRPr="00CC1F98">
        <w:t xml:space="preserve">rogramu: PO 1 a 2 vykazujú nízke, veľmi nepriame vplyvy a prínosy, PO 3 a 4 môžu tiež priniesť nepriame vplyvy a prínosy, avšak v dôsledku ich explicitného zamerania na environmentálne problémy môžu byť tieto efektívnejšie. Riziko negatívnych vplyvov a dopadov je veľmi limitované. Do úvahy je potrebné brať len potenciálne negatívne dopady spojené s podporovaním špecifických obnoviteľných zdrojov energie, t.j. v prípade podporovania veterných elektrární, vodných elektrární alebo elektrární využívajúcich biomasu. </w:t>
      </w:r>
    </w:p>
    <w:p w:rsidR="00B16260" w:rsidRPr="003A53A0" w:rsidRDefault="00B16260" w:rsidP="00B16260">
      <w:pPr>
        <w:ind w:firstLine="567"/>
        <w:jc w:val="both"/>
      </w:pPr>
      <w:r w:rsidRPr="00CC1F98">
        <w:t>Charakter a typ plánovaných intervencií sú však ešte dôležitejšie pre účinnosť a prínos programu ako celku než jednotlivých PO. Zlepšenie rámcových podmienok a mechanizmov kvôli efektívnejšej implementácii regionálnych programov, spoznávanie politík a výmena medziregionálnych skúseností zvyšuje rozsah (pozitívnych) dopadov. Vedomosti a kapacity vo všeobecnosti otvárajú príležitosti pre účinné zvažovanie a integráciu environmentálnych otázok d</w:t>
      </w:r>
      <w:r>
        <w:t xml:space="preserve">o </w:t>
      </w:r>
      <w:r w:rsidRPr="003A53A0">
        <w:t>programovania a implementácie regionálnych programov.</w:t>
      </w:r>
    </w:p>
    <w:p w:rsidR="00B16260" w:rsidRPr="003A53A0" w:rsidRDefault="00B16260" w:rsidP="00B16260">
      <w:pPr>
        <w:pStyle w:val="Zkladntext"/>
        <w:spacing w:before="120"/>
        <w:ind w:firstLine="567"/>
        <w:jc w:val="both"/>
      </w:pPr>
      <w:r w:rsidRPr="003A53A0">
        <w:t xml:space="preserve">V súvislosti so špecifickými cieľmi prioritných osí 1 a 2 sa vo väčšej miere významné vplyvy na územia sústavy chránených území NATURA 2000 neočakávajú. Dá sa však očakávať, že budovanie zručností a kompetencií v oblasti využívania prírodných zdrojov v </w:t>
      </w:r>
      <w:r w:rsidRPr="003A53A0">
        <w:lastRenderedPageBreak/>
        <w:t>rámci prioritných osí 3 a 4, najmä v súvislosti so špecifickým cieľom 4.1, ako aj nízko uhlíkových riešení môže byť vplyvy na územie Natura 2000 pozitívne.</w:t>
      </w:r>
    </w:p>
    <w:p w:rsidR="00B16260" w:rsidRDefault="00B16260" w:rsidP="00B16260">
      <w:pPr>
        <w:jc w:val="both"/>
      </w:pPr>
      <w:r w:rsidRPr="00AD7D62">
        <w:rPr>
          <w:color w:val="000000"/>
        </w:rPr>
        <w:br/>
      </w:r>
      <w:r w:rsidRPr="000313FE">
        <w:t xml:space="preserve">Nepredpokladá sa žiadny </w:t>
      </w:r>
      <w:r>
        <w:t>priamy</w:t>
      </w:r>
      <w:r w:rsidRPr="000313FE">
        <w:t xml:space="preserve"> vplyv presahujúci štátne hranice.</w:t>
      </w:r>
    </w:p>
    <w:p w:rsidR="00B16260" w:rsidRPr="004B0895" w:rsidRDefault="00B16260" w:rsidP="00B16260">
      <w:pPr>
        <w:jc w:val="both"/>
        <w:rPr>
          <w:b/>
          <w:color w:val="000000"/>
        </w:rPr>
      </w:pPr>
    </w:p>
    <w:p w:rsidR="00B16260" w:rsidRDefault="00B16260" w:rsidP="00B16260">
      <w:pPr>
        <w:widowControl w:val="0"/>
        <w:autoSpaceDE w:val="0"/>
        <w:autoSpaceDN w:val="0"/>
        <w:adjustRightInd w:val="0"/>
        <w:ind w:left="284" w:hanging="284"/>
        <w:jc w:val="both"/>
        <w:rPr>
          <w:b/>
          <w:bCs/>
        </w:rPr>
      </w:pPr>
      <w:r w:rsidRPr="009479CB">
        <w:rPr>
          <w:b/>
          <w:bCs/>
        </w:rPr>
        <w:t>IV. Závery</w:t>
      </w:r>
    </w:p>
    <w:p w:rsidR="00B16260" w:rsidRPr="009479CB" w:rsidRDefault="00B16260" w:rsidP="00B16260">
      <w:pPr>
        <w:widowControl w:val="0"/>
        <w:autoSpaceDE w:val="0"/>
        <w:autoSpaceDN w:val="0"/>
        <w:adjustRightInd w:val="0"/>
        <w:ind w:left="284" w:hanging="284"/>
        <w:jc w:val="both"/>
        <w:rPr>
          <w:b/>
          <w:bCs/>
        </w:rPr>
      </w:pPr>
    </w:p>
    <w:p w:rsidR="00B16260" w:rsidRPr="009479CB" w:rsidRDefault="00B16260" w:rsidP="00B16260">
      <w:pPr>
        <w:widowControl w:val="0"/>
        <w:autoSpaceDE w:val="0"/>
        <w:autoSpaceDN w:val="0"/>
        <w:adjustRightInd w:val="0"/>
        <w:ind w:left="284" w:hanging="284"/>
        <w:jc w:val="both"/>
      </w:pPr>
      <w:r>
        <w:rPr>
          <w:b/>
          <w:bCs/>
        </w:rPr>
        <w:t xml:space="preserve">1. </w:t>
      </w:r>
      <w:r w:rsidRPr="009479CB">
        <w:rPr>
          <w:b/>
          <w:bCs/>
        </w:rPr>
        <w:t>Výsledok procesu posudzovania (odporúčanie, neodporúčanie)</w:t>
      </w:r>
      <w:r w:rsidRPr="009479CB">
        <w:t xml:space="preserve"> </w:t>
      </w:r>
    </w:p>
    <w:p w:rsidR="00B16260" w:rsidRPr="004D40F3" w:rsidRDefault="00B16260" w:rsidP="00B16260">
      <w:pPr>
        <w:pStyle w:val="Zkladntext2"/>
        <w:ind w:firstLine="567"/>
        <w:jc w:val="both"/>
        <w:rPr>
          <w:b/>
          <w:szCs w:val="24"/>
        </w:rPr>
      </w:pPr>
      <w:r w:rsidRPr="004D40F3">
        <w:rPr>
          <w:szCs w:val="24"/>
        </w:rPr>
        <w:t xml:space="preserve">Na základe celkového výsledku procesu posudzovania vplyvov strategického dokumentu s nadnárodným dosahom na životné prostredie podľa zákona o posudzovaní vplyvov, Smernice SEA a SEA Protokolu, pri ktorom sa zvážil stav využitia územia a únosnosť prírodného prostredia, význam očakávaných vplyvov strategického dokumentu na životné prostredie, chránené územia a zdravie obyvateľstva z hľadiska ich pravdepodobnosti, rozsahu a trvania, so zameraním najmä na súlad s ostatnými strategickými dokumentmi na medzinárodnej, regionálnej a národnej úrovni, po zohľadnení predložených stanovísk a za súčasného stavu poznania  </w:t>
      </w:r>
      <w:r w:rsidRPr="004D40F3">
        <w:rPr>
          <w:b/>
          <w:bCs/>
          <w:szCs w:val="24"/>
        </w:rPr>
        <w:t xml:space="preserve">s a   o d p o r ú č a  </w:t>
      </w:r>
      <w:r w:rsidRPr="004D40F3">
        <w:rPr>
          <w:szCs w:val="24"/>
        </w:rPr>
        <w:t xml:space="preserve">prijať strategický dokument s nadnárodným dosahom </w:t>
      </w:r>
      <w:r w:rsidRPr="004D40F3">
        <w:rPr>
          <w:b/>
          <w:bCs/>
          <w:szCs w:val="24"/>
        </w:rPr>
        <w:t>„</w:t>
      </w:r>
      <w:r w:rsidRPr="004D40F3">
        <w:rPr>
          <w:b/>
          <w:szCs w:val="24"/>
        </w:rPr>
        <w:t>Program spolupráce INTERREG EUROPE 2014 – 2020“.</w:t>
      </w:r>
    </w:p>
    <w:p w:rsidR="00B16260" w:rsidRPr="009479CB" w:rsidRDefault="00B16260" w:rsidP="00B16260">
      <w:pPr>
        <w:pStyle w:val="Zkladntext2"/>
        <w:jc w:val="both"/>
        <w:rPr>
          <w:sz w:val="22"/>
          <w:szCs w:val="22"/>
        </w:rPr>
      </w:pPr>
    </w:p>
    <w:p w:rsidR="001202BE" w:rsidRDefault="001202BE" w:rsidP="00B16260">
      <w:pPr>
        <w:widowControl w:val="0"/>
        <w:autoSpaceDE w:val="0"/>
        <w:autoSpaceDN w:val="0"/>
        <w:adjustRightInd w:val="0"/>
        <w:ind w:left="284" w:hanging="284"/>
        <w:jc w:val="both"/>
        <w:rPr>
          <w:b/>
          <w:bCs/>
        </w:rPr>
      </w:pPr>
    </w:p>
    <w:p w:rsidR="001202BE" w:rsidRDefault="001202BE" w:rsidP="00B16260">
      <w:pPr>
        <w:widowControl w:val="0"/>
        <w:autoSpaceDE w:val="0"/>
        <w:autoSpaceDN w:val="0"/>
        <w:adjustRightInd w:val="0"/>
        <w:ind w:left="284" w:hanging="284"/>
        <w:jc w:val="both"/>
        <w:rPr>
          <w:b/>
          <w:bCs/>
        </w:rPr>
      </w:pPr>
    </w:p>
    <w:p w:rsidR="001202BE" w:rsidRDefault="001202BE" w:rsidP="00B16260">
      <w:pPr>
        <w:widowControl w:val="0"/>
        <w:autoSpaceDE w:val="0"/>
        <w:autoSpaceDN w:val="0"/>
        <w:adjustRightInd w:val="0"/>
        <w:ind w:left="284" w:hanging="284"/>
        <w:jc w:val="both"/>
        <w:rPr>
          <w:b/>
          <w:bCs/>
        </w:rPr>
      </w:pPr>
    </w:p>
    <w:p w:rsidR="00B16260" w:rsidRPr="009479CB" w:rsidRDefault="00B16260" w:rsidP="00B16260">
      <w:pPr>
        <w:widowControl w:val="0"/>
        <w:autoSpaceDE w:val="0"/>
        <w:autoSpaceDN w:val="0"/>
        <w:adjustRightInd w:val="0"/>
        <w:ind w:left="284" w:hanging="284"/>
        <w:jc w:val="both"/>
      </w:pPr>
      <w:r w:rsidRPr="009479CB">
        <w:rPr>
          <w:b/>
          <w:bCs/>
        </w:rPr>
        <w:t>2. Odporúčaný variant</w:t>
      </w:r>
    </w:p>
    <w:p w:rsidR="00B16260" w:rsidRDefault="00B16260" w:rsidP="00B16260">
      <w:pPr>
        <w:ind w:firstLine="567"/>
        <w:jc w:val="both"/>
      </w:pPr>
      <w:r w:rsidRPr="009479CB">
        <w:t>Nakoľko bol INTERREG EUROPE ako strategický dokument s nadnárodným dosahom  vypracovaný v jednom variantnom riešení, odporúča sa prijať vo variante, ktorý bol posudzovaný z hľadiska vplyvov na životné prostredie.</w:t>
      </w:r>
    </w:p>
    <w:p w:rsidR="00B16260" w:rsidRPr="009479CB" w:rsidRDefault="00B16260" w:rsidP="00B16260">
      <w:pPr>
        <w:ind w:firstLine="567"/>
        <w:jc w:val="both"/>
      </w:pPr>
    </w:p>
    <w:p w:rsidR="00B16260" w:rsidRPr="002C2EBA" w:rsidRDefault="00B16260" w:rsidP="00B16260">
      <w:pPr>
        <w:jc w:val="both"/>
        <w:rPr>
          <w:b/>
        </w:rPr>
      </w:pPr>
      <w:r w:rsidRPr="002C2EBA">
        <w:rPr>
          <w:b/>
        </w:rPr>
        <w:t>3.</w:t>
      </w:r>
      <w:r>
        <w:rPr>
          <w:b/>
        </w:rPr>
        <w:t xml:space="preserve"> </w:t>
      </w:r>
      <w:r w:rsidRPr="002C2EBA">
        <w:rPr>
          <w:b/>
        </w:rPr>
        <w:t>Odporúčania na prepracovanie, dopracovanie, úpravu návrhu strategického dokumentu</w:t>
      </w:r>
    </w:p>
    <w:p w:rsidR="00B16260" w:rsidRPr="002C2EBA" w:rsidRDefault="00B16260" w:rsidP="00B16260">
      <w:pPr>
        <w:ind w:firstLine="567"/>
        <w:jc w:val="both"/>
      </w:pPr>
      <w:r w:rsidRPr="002C2EBA">
        <w:t xml:space="preserve">Na základe celkového výsledku procesu posudzovania vplyvov INTERREG EUROPE ako strategického dokumentu s nadnárodným dosahom na životné prostredie, určeného rozsahu hodnotenia, samotného návrhu INTERREG EUROPE ako strategického dokumentu s nadnárodným dosahom, správy o hodnotení vplyvov strategického dokumentu s nadnárodným dosahom na životné prostredie, doručených stanovísk, výsledku verejného prerokovania a konzultácií vyplýva, že nie je potrebné závažné prepracovanie, dopracovanie alebo úprava návrhu INTERREG EUROPE ako strategického dokumentu s nadnárodným dosahom. </w:t>
      </w:r>
    </w:p>
    <w:p w:rsidR="00B16260" w:rsidRPr="002C2EBA" w:rsidRDefault="00B16260" w:rsidP="00B16260">
      <w:pPr>
        <w:ind w:firstLine="567"/>
        <w:jc w:val="both"/>
      </w:pPr>
      <w:r>
        <w:t>Do programu</w:t>
      </w:r>
      <w:r w:rsidRPr="002C2EBA">
        <w:t xml:space="preserve"> INTEREG EUROPE </w:t>
      </w:r>
      <w:r>
        <w:t xml:space="preserve">boli </w:t>
      </w:r>
      <w:r w:rsidRPr="002C2EBA">
        <w:t>zaradené nasledovné odporúčania priamo vyplývajúce z environmentálneho posudzovania a opatrení uvedených v správe o hodnotení:</w:t>
      </w:r>
    </w:p>
    <w:p w:rsidR="00B16260" w:rsidRPr="003455C4" w:rsidRDefault="00B16260" w:rsidP="00B16260">
      <w:pPr>
        <w:ind w:firstLine="567"/>
        <w:jc w:val="both"/>
      </w:pPr>
      <w:r w:rsidRPr="002C2EBA">
        <w:t xml:space="preserve">Väčšina odporúčaní týkajúcich sa zvyšovania potenciálu pozitívnych vplyvov sa zameriava na implementačné štruktúry </w:t>
      </w:r>
      <w:r>
        <w:t>p</w:t>
      </w:r>
      <w:r w:rsidRPr="002C2EBA">
        <w:t xml:space="preserve">rogramu. Striktnejšie zvažovanie horizontálneho princípu „udržateľného rozvoja“ a vzájomné prepájanie </w:t>
      </w:r>
      <w:r>
        <w:t>p</w:t>
      </w:r>
      <w:r w:rsidRPr="002C2EBA">
        <w:t xml:space="preserve">rioritných osí by mohli podporiť vytváranie pozitívnych vplyvov </w:t>
      </w:r>
      <w:r>
        <w:t>p</w:t>
      </w:r>
      <w:r w:rsidRPr="002C2EBA">
        <w:t>rioritných osí, ktoré sa zaoberajú RTD&amp;I a konkurencieschopnosťou SME. V oboch prípadoch môže zreteľná orientácia na eko-inovácie, zelené obstarávanie a ekonomiku s cyklickým tokom zvýšiť ich prínosy pre environmentálne ciele EÚ a environmentálnu politiku EÚ</w:t>
      </w:r>
      <w:r>
        <w:t>.</w:t>
      </w:r>
    </w:p>
    <w:p w:rsidR="00B16260" w:rsidRPr="003455C4" w:rsidRDefault="00B16260" w:rsidP="00B16260">
      <w:pPr>
        <w:ind w:firstLine="567"/>
        <w:jc w:val="both"/>
      </w:pPr>
      <w:r w:rsidRPr="003455C4">
        <w:t xml:space="preserve">Stanovisko bolo vypracované podľa zákona o posudzovaní vplyvov, Smernice SEA a SEA Protokolu na základe celkového výsledku procesu posudzovania vplyvov INTERREG EUROPE ako strategického dokumentu s nadnárodným dosahom na životné prostredie,  určeného rozsahu hodnotenia, samotného návrhu programu INTERREG EUROPE ako strategického dokumentu s nadnárodným dosahom, správy o hodnotení vplyvov strategického </w:t>
      </w:r>
      <w:r w:rsidRPr="003455C4">
        <w:lastRenderedPageBreak/>
        <w:t>dokumentu s nadnárodným dosahom na životné prostredie, doručených stanovísk a konzultácii na národnej úrovni.</w:t>
      </w:r>
    </w:p>
    <w:p w:rsidR="00B16260" w:rsidRPr="003455C4" w:rsidRDefault="00B16260" w:rsidP="00B16260">
      <w:pPr>
        <w:ind w:firstLine="567"/>
        <w:jc w:val="both"/>
      </w:pPr>
      <w:r w:rsidRPr="003455C4">
        <w:t xml:space="preserve">Pri hodnotení podkladov a vypracovaní stanoviska sa primerane postupovalo podľa ustanovení zákona o posudzovaní vplyvov, Smernice SEA a SEA Protokolu. </w:t>
      </w:r>
    </w:p>
    <w:p w:rsidR="00B16260" w:rsidRPr="003455C4" w:rsidRDefault="00B16260" w:rsidP="00B16260">
      <w:pPr>
        <w:ind w:firstLine="567"/>
        <w:jc w:val="both"/>
      </w:pPr>
      <w:r w:rsidRPr="003455C4">
        <w:t xml:space="preserve">Pri odporúčaní prijať INTERREG EUROPE ako strategický dokument s nadnárodným dosahom sa brali do úvahy identifikované environmentálne, sociálne a hospodárske vplyvy na medzinárodnej, národnej, regionálnej a lokálnej úrovni, ako aj vplyvy na všetky zložky a faktory životného prostredia a zdravie obyvateľstva. </w:t>
      </w:r>
    </w:p>
    <w:p w:rsidR="00B16260" w:rsidRPr="003455C4" w:rsidRDefault="00B16260" w:rsidP="00B16260">
      <w:pPr>
        <w:ind w:firstLine="567"/>
        <w:jc w:val="both"/>
      </w:pPr>
      <w:r w:rsidRPr="003455C4">
        <w:t>Z výsledku posudzovania vplyvov na životné prostredie vyplynulo, že INTERREG EUROPE vo variante, ktorý bol posudzovaný, je prijateľný z hľadiska celkových (negatívnych i pozitívnych) vplyvov na životné prostredie.</w:t>
      </w:r>
    </w:p>
    <w:p w:rsidR="00B16260" w:rsidRPr="003455C4" w:rsidRDefault="00B16260" w:rsidP="00B16260">
      <w:pPr>
        <w:ind w:firstLine="567"/>
        <w:jc w:val="both"/>
      </w:pPr>
      <w:r w:rsidRPr="003455C4">
        <w:t>V správe o hodnotení boli špecifikované, popísané a hodnotené všetky potenciálne významné vplyvy programu INTERREG EUROPE na životné prostredie a zdravie obyvateľstva. Správa o hodnotení preukázala potenciál pozitívnych vplyvov programu na životné prostredie a rozvoj ľudských zdrojov, ako aj eliminovateľnosť resp. minimalizovateľnosť potenciálnych negatívnych environmentálnych vplyvov implementácie programu za predpokladu realizácie preventívnych opatrení a zabezpečenia monitoringu environmentálnej optimálnosti a jeho implementácie v polohe jednotlivých projektov.</w:t>
      </w:r>
    </w:p>
    <w:p w:rsidR="00B16260" w:rsidRPr="003455C4" w:rsidRDefault="00B16260" w:rsidP="00B16260">
      <w:pPr>
        <w:widowControl w:val="0"/>
        <w:autoSpaceDE w:val="0"/>
        <w:autoSpaceDN w:val="0"/>
        <w:adjustRightInd w:val="0"/>
        <w:ind w:firstLine="426"/>
        <w:jc w:val="both"/>
      </w:pPr>
      <w:r w:rsidRPr="003455C4">
        <w:t xml:space="preserve">V zmysle Čl. 10 Smernice SEA je potrebné monitorovať možné významné vplyvy na životné prostredie identifikované existujúcim environmentálnym hodnotením pri implementácii INTERREG EUROPE pre možnosť identifikácie neočakávaných škodlivých vplyvov na životné prostredie v skorom štádiu, aby tak vznikla možnosť prijať náležité nápravné opatrenia. Monitorovacie opatrenia </w:t>
      </w:r>
      <w:r>
        <w:t>budú</w:t>
      </w:r>
      <w:r w:rsidRPr="003455C4">
        <w:t xml:space="preserve"> tvoriť súčasť INTERREG EUROPE. Monitorovanie environmentálnych vplyvov </w:t>
      </w:r>
      <w:r>
        <w:t>bude</w:t>
      </w:r>
      <w:r w:rsidRPr="003455C4">
        <w:t xml:space="preserve"> zapracované do monitorovacieho rámca na programovej úrovni</w:t>
      </w:r>
      <w:r>
        <w:t>, čím</w:t>
      </w:r>
      <w:r w:rsidRPr="003455C4">
        <w:t xml:space="preserve"> umožn</w:t>
      </w:r>
      <w:r>
        <w:t>í</w:t>
      </w:r>
      <w:r w:rsidRPr="003455C4">
        <w:t xml:space="preserve"> orgánom programu uplatniť nápravné opatrenia v prípade, že hodnotenie preukáže nečakané</w:t>
      </w:r>
      <w:r w:rsidRPr="00FE5641">
        <w:rPr>
          <w:rFonts w:ascii="Arial" w:hAnsi="Arial" w:cs="Arial"/>
        </w:rPr>
        <w:t xml:space="preserve"> </w:t>
      </w:r>
      <w:r w:rsidRPr="003455C4">
        <w:t xml:space="preserve">nepriaznivé vplyvy na životné prostredie. </w:t>
      </w:r>
    </w:p>
    <w:p w:rsidR="002628E8" w:rsidRDefault="00B16260" w:rsidP="00B16260">
      <w:pPr>
        <w:ind w:firstLine="426"/>
        <w:jc w:val="both"/>
      </w:pPr>
      <w:r w:rsidRPr="003455C4">
        <w:rPr>
          <w:lang w:eastAsia="de-DE"/>
        </w:rPr>
        <w:t xml:space="preserve">Vysoká úroveň nepriameho charakteru potenciálnych environmentálnych vplyvov programu INTERREG EUROPE neumožňuje identifikáciu opatrení zameraných na monitorovanie možných dopadov na životné prostredie prostredníctvom projektov financovaných z tohto programu. Preto sa musí monitoring zameriavať na to, aby INTERREG EUROPE nepodporoval žiadne nepriaznivé dopady na environmentálnu politiku a ciele EÚ a to dokonca aj v tých prípadoch, kedy k priamym dopadom dôjde až dlhodobom časovom horizonte. </w:t>
      </w:r>
      <w:r>
        <w:rPr>
          <w:lang w:eastAsia="de-DE"/>
        </w:rPr>
        <w:t>Pri príprave programového manuálu sa budú zvažovať jasné environmentálne kritériá pre výber projektov.</w:t>
      </w:r>
      <w:r w:rsidRPr="003455C4">
        <w:rPr>
          <w:lang w:eastAsia="de-DE"/>
        </w:rPr>
        <w:t xml:space="preserve"> </w:t>
      </w:r>
      <w:r>
        <w:rPr>
          <w:lang w:eastAsia="de-DE"/>
        </w:rPr>
        <w:t>V rámci programu sa bude realizovať p</w:t>
      </w:r>
      <w:r w:rsidRPr="003455C4">
        <w:rPr>
          <w:lang w:eastAsia="de-DE"/>
        </w:rPr>
        <w:t>ravidelné hodnotenie očakávaných a iniciovaných vplyvov v dôsledku projektov podporovaných INTERREG EUROPE kvôli prevencii inkompatibility orientácie implementácie</w:t>
      </w:r>
      <w:r>
        <w:rPr>
          <w:lang w:eastAsia="de-DE"/>
        </w:rPr>
        <w:t xml:space="preserve"> </w:t>
      </w:r>
      <w:r w:rsidRPr="003455C4">
        <w:rPr>
          <w:lang w:eastAsia="de-DE"/>
        </w:rPr>
        <w:t>prog</w:t>
      </w:r>
      <w:r>
        <w:rPr>
          <w:lang w:eastAsia="de-DE"/>
        </w:rPr>
        <w:t xml:space="preserve">ramu s environmentálnymi cieľmi a celkovou environmentálnou politikou EÚ.  </w:t>
      </w:r>
    </w:p>
    <w:sectPr w:rsidR="00262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7F15"/>
    <w:multiLevelType w:val="hybridMultilevel"/>
    <w:tmpl w:val="557E4D64"/>
    <w:lvl w:ilvl="0" w:tplc="D9A6407C">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0F760BA"/>
    <w:multiLevelType w:val="hybridMultilevel"/>
    <w:tmpl w:val="C82CE5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73A03F8"/>
    <w:multiLevelType w:val="hybridMultilevel"/>
    <w:tmpl w:val="B68ED650"/>
    <w:lvl w:ilvl="0" w:tplc="78582730">
      <w:start w:val="5"/>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nsid w:val="688630CF"/>
    <w:multiLevelType w:val="hybridMultilevel"/>
    <w:tmpl w:val="13AC12D0"/>
    <w:lvl w:ilvl="0" w:tplc="55B8F164">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24"/>
    <w:rsid w:val="00000A98"/>
    <w:rsid w:val="0006331B"/>
    <w:rsid w:val="000D4516"/>
    <w:rsid w:val="000E4B2B"/>
    <w:rsid w:val="001202BE"/>
    <w:rsid w:val="001713FD"/>
    <w:rsid w:val="001B6D19"/>
    <w:rsid w:val="002628E8"/>
    <w:rsid w:val="002634BC"/>
    <w:rsid w:val="00287ECF"/>
    <w:rsid w:val="00337B72"/>
    <w:rsid w:val="00377DF2"/>
    <w:rsid w:val="00473817"/>
    <w:rsid w:val="0049352E"/>
    <w:rsid w:val="004B24FE"/>
    <w:rsid w:val="004D60D6"/>
    <w:rsid w:val="005A1522"/>
    <w:rsid w:val="0068613C"/>
    <w:rsid w:val="006F1362"/>
    <w:rsid w:val="007F0F26"/>
    <w:rsid w:val="0080524B"/>
    <w:rsid w:val="0085154D"/>
    <w:rsid w:val="008664B4"/>
    <w:rsid w:val="00872731"/>
    <w:rsid w:val="008C31DE"/>
    <w:rsid w:val="008D0F32"/>
    <w:rsid w:val="00983522"/>
    <w:rsid w:val="009C645C"/>
    <w:rsid w:val="00A62CCA"/>
    <w:rsid w:val="00AE0026"/>
    <w:rsid w:val="00AF32BB"/>
    <w:rsid w:val="00B07498"/>
    <w:rsid w:val="00B16260"/>
    <w:rsid w:val="00B81345"/>
    <w:rsid w:val="00CD67F3"/>
    <w:rsid w:val="00E459E2"/>
    <w:rsid w:val="00EA14B1"/>
    <w:rsid w:val="00EA4554"/>
    <w:rsid w:val="00FA1424"/>
    <w:rsid w:val="00FA745A"/>
    <w:rsid w:val="00FF49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6260"/>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B16260"/>
    <w:rPr>
      <w:noProof w:val="0"/>
      <w:szCs w:val="20"/>
    </w:rPr>
  </w:style>
  <w:style w:type="character" w:customStyle="1" w:styleId="Zkladntext2Char">
    <w:name w:val="Základný text 2 Char"/>
    <w:basedOn w:val="Predvolenpsmoodseku"/>
    <w:link w:val="Zkladntext2"/>
    <w:rsid w:val="00B16260"/>
    <w:rPr>
      <w:rFonts w:ascii="Times New Roman" w:eastAsia="Times New Roman" w:hAnsi="Times New Roman" w:cs="Times New Roman"/>
      <w:sz w:val="24"/>
      <w:szCs w:val="20"/>
      <w:lang w:eastAsia="sk-SK"/>
    </w:rPr>
  </w:style>
  <w:style w:type="paragraph" w:styleId="Zkladntext">
    <w:name w:val="Body Text"/>
    <w:aliases w:val="Standard paragraph,b,b Char,Základní text1 Char,b Char Char Char Char,Základní text1 Char Char Char,b Char Char Char,Základný text1"/>
    <w:basedOn w:val="Normlny"/>
    <w:link w:val="ZkladntextChar"/>
    <w:rsid w:val="00B16260"/>
    <w:pPr>
      <w:spacing w:after="120"/>
    </w:pPr>
  </w:style>
  <w:style w:type="character" w:customStyle="1" w:styleId="ZkladntextChar">
    <w:name w:val="Základný text Char"/>
    <w:aliases w:val="Standard paragraph Char,b Char1,b Char Char,Základní text1 Char Char,b Char Char Char Char Char,Základní text1 Char Char Char Char,b Char Char Char Char1,Základný text1 Char"/>
    <w:basedOn w:val="Predvolenpsmoodseku"/>
    <w:link w:val="Zkladntext"/>
    <w:rsid w:val="00B16260"/>
    <w:rPr>
      <w:rFonts w:ascii="Times New Roman" w:eastAsia="Times New Roman" w:hAnsi="Times New Roman" w:cs="Times New Roman"/>
      <w:noProof/>
      <w:sz w:val="24"/>
      <w:szCs w:val="24"/>
      <w:lang w:eastAsia="sk-SK"/>
    </w:rPr>
  </w:style>
  <w:style w:type="character" w:styleId="Hypertextovprepojenie">
    <w:name w:val="Hyperlink"/>
    <w:rsid w:val="00B16260"/>
    <w:rPr>
      <w:color w:val="0000FF"/>
      <w:u w:val="single"/>
    </w:rPr>
  </w:style>
  <w:style w:type="paragraph" w:customStyle="1" w:styleId="Default">
    <w:name w:val="Default"/>
    <w:rsid w:val="00B16260"/>
    <w:pPr>
      <w:autoSpaceDE w:val="0"/>
      <w:autoSpaceDN w:val="0"/>
      <w:adjustRightInd w:val="0"/>
      <w:spacing w:after="0" w:line="240" w:lineRule="auto"/>
    </w:pPr>
    <w:rPr>
      <w:rFonts w:ascii="Arial" w:eastAsia="Times New Roman" w:hAnsi="Arial" w:cs="Arial"/>
      <w:snapToGrid w:val="0"/>
      <w:color w:val="000000"/>
      <w:sz w:val="24"/>
      <w:szCs w:val="24"/>
      <w:lang w:val="en-US"/>
    </w:rPr>
  </w:style>
  <w:style w:type="paragraph" w:styleId="Normlnywebov">
    <w:name w:val="Normal (Web)"/>
    <w:basedOn w:val="Normlny"/>
    <w:uiPriority w:val="99"/>
    <w:rsid w:val="00B16260"/>
    <w:pPr>
      <w:spacing w:before="100" w:beforeAutospacing="1" w:after="100" w:afterAutospacing="1"/>
    </w:pPr>
    <w:rPr>
      <w:noProof w:val="0"/>
    </w:rPr>
  </w:style>
  <w:style w:type="paragraph" w:styleId="Odsekzoznamu">
    <w:name w:val="List Paragraph"/>
    <w:basedOn w:val="Normlny"/>
    <w:uiPriority w:val="34"/>
    <w:qFormat/>
    <w:rsid w:val="00B16260"/>
    <w:pPr>
      <w:ind w:left="720"/>
      <w:contextualSpacing/>
    </w:pPr>
    <w:rPr>
      <w:noProof w:val="0"/>
    </w:rPr>
  </w:style>
  <w:style w:type="paragraph" w:customStyle="1" w:styleId="s1">
    <w:name w:val="s1"/>
    <w:rsid w:val="00B16260"/>
    <w:pPr>
      <w:spacing w:after="0" w:line="240" w:lineRule="auto"/>
      <w:jc w:val="both"/>
    </w:pPr>
    <w:rPr>
      <w:rFonts w:ascii="Times New Roman" w:eastAsia="Times New Roman" w:hAnsi="Times New Roman" w:cs="Times New Roman"/>
      <w:noProof/>
      <w:sz w:val="24"/>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6260"/>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B16260"/>
    <w:rPr>
      <w:noProof w:val="0"/>
      <w:szCs w:val="20"/>
    </w:rPr>
  </w:style>
  <w:style w:type="character" w:customStyle="1" w:styleId="Zkladntext2Char">
    <w:name w:val="Základný text 2 Char"/>
    <w:basedOn w:val="Predvolenpsmoodseku"/>
    <w:link w:val="Zkladntext2"/>
    <w:rsid w:val="00B16260"/>
    <w:rPr>
      <w:rFonts w:ascii="Times New Roman" w:eastAsia="Times New Roman" w:hAnsi="Times New Roman" w:cs="Times New Roman"/>
      <w:sz w:val="24"/>
      <w:szCs w:val="20"/>
      <w:lang w:eastAsia="sk-SK"/>
    </w:rPr>
  </w:style>
  <w:style w:type="paragraph" w:styleId="Zkladntext">
    <w:name w:val="Body Text"/>
    <w:aliases w:val="Standard paragraph,b,b Char,Základní text1 Char,b Char Char Char Char,Základní text1 Char Char Char,b Char Char Char,Základný text1"/>
    <w:basedOn w:val="Normlny"/>
    <w:link w:val="ZkladntextChar"/>
    <w:rsid w:val="00B16260"/>
    <w:pPr>
      <w:spacing w:after="120"/>
    </w:pPr>
  </w:style>
  <w:style w:type="character" w:customStyle="1" w:styleId="ZkladntextChar">
    <w:name w:val="Základný text Char"/>
    <w:aliases w:val="Standard paragraph Char,b Char1,b Char Char,Základní text1 Char Char,b Char Char Char Char Char,Základní text1 Char Char Char Char,b Char Char Char Char1,Základný text1 Char"/>
    <w:basedOn w:val="Predvolenpsmoodseku"/>
    <w:link w:val="Zkladntext"/>
    <w:rsid w:val="00B16260"/>
    <w:rPr>
      <w:rFonts w:ascii="Times New Roman" w:eastAsia="Times New Roman" w:hAnsi="Times New Roman" w:cs="Times New Roman"/>
      <w:noProof/>
      <w:sz w:val="24"/>
      <w:szCs w:val="24"/>
      <w:lang w:eastAsia="sk-SK"/>
    </w:rPr>
  </w:style>
  <w:style w:type="character" w:styleId="Hypertextovprepojenie">
    <w:name w:val="Hyperlink"/>
    <w:rsid w:val="00B16260"/>
    <w:rPr>
      <w:color w:val="0000FF"/>
      <w:u w:val="single"/>
    </w:rPr>
  </w:style>
  <w:style w:type="paragraph" w:customStyle="1" w:styleId="Default">
    <w:name w:val="Default"/>
    <w:rsid w:val="00B16260"/>
    <w:pPr>
      <w:autoSpaceDE w:val="0"/>
      <w:autoSpaceDN w:val="0"/>
      <w:adjustRightInd w:val="0"/>
      <w:spacing w:after="0" w:line="240" w:lineRule="auto"/>
    </w:pPr>
    <w:rPr>
      <w:rFonts w:ascii="Arial" w:eastAsia="Times New Roman" w:hAnsi="Arial" w:cs="Arial"/>
      <w:snapToGrid w:val="0"/>
      <w:color w:val="000000"/>
      <w:sz w:val="24"/>
      <w:szCs w:val="24"/>
      <w:lang w:val="en-US"/>
    </w:rPr>
  </w:style>
  <w:style w:type="paragraph" w:styleId="Normlnywebov">
    <w:name w:val="Normal (Web)"/>
    <w:basedOn w:val="Normlny"/>
    <w:uiPriority w:val="99"/>
    <w:rsid w:val="00B16260"/>
    <w:pPr>
      <w:spacing w:before="100" w:beforeAutospacing="1" w:after="100" w:afterAutospacing="1"/>
    </w:pPr>
    <w:rPr>
      <w:noProof w:val="0"/>
    </w:rPr>
  </w:style>
  <w:style w:type="paragraph" w:styleId="Odsekzoznamu">
    <w:name w:val="List Paragraph"/>
    <w:basedOn w:val="Normlny"/>
    <w:uiPriority w:val="34"/>
    <w:qFormat/>
    <w:rsid w:val="00B16260"/>
    <w:pPr>
      <w:ind w:left="720"/>
      <w:contextualSpacing/>
    </w:pPr>
    <w:rPr>
      <w:noProof w:val="0"/>
    </w:rPr>
  </w:style>
  <w:style w:type="paragraph" w:customStyle="1" w:styleId="s1">
    <w:name w:val="s1"/>
    <w:rsid w:val="00B16260"/>
    <w:pPr>
      <w:spacing w:after="0" w:line="240" w:lineRule="auto"/>
      <w:jc w:val="both"/>
    </w:pPr>
    <w:rPr>
      <w:rFonts w:ascii="Times New Roman" w:eastAsia="Times New Roman" w:hAnsi="Times New Roman" w:cs="Times New Roman"/>
      <w:noProof/>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4c.eu/interreg-europe/public-consult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rreg4c.eu/" TargetMode="External"/><Relationship Id="rId12" Type="http://schemas.openxmlformats.org/officeDocument/2006/relationships/hyperlink" Target="http://www.enviroporta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regional_policy/sources/docoffic/official/regulation/pdf/2014/proposals/summaries/erdf/erdf_summary_en.pdf" TargetMode="External"/><Relationship Id="rId11" Type="http://schemas.openxmlformats.org/officeDocument/2006/relationships/hyperlink" Target="http://www.mhsr.sk" TargetMode="External"/><Relationship Id="rId5" Type="http://schemas.openxmlformats.org/officeDocument/2006/relationships/webSettings" Target="webSettings.xml"/><Relationship Id="rId10" Type="http://schemas.openxmlformats.org/officeDocument/2006/relationships/hyperlink" Target="http://www.interreg4c.eu" TargetMode="External"/><Relationship Id="rId4" Type="http://schemas.openxmlformats.org/officeDocument/2006/relationships/settings" Target="settings.xml"/><Relationship Id="rId9" Type="http://schemas.openxmlformats.org/officeDocument/2006/relationships/hyperlink" Target="http://www.enviroportal.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19</Pages>
  <Words>7811</Words>
  <Characters>44527</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Galova Katarina</dc:creator>
  <cp:keywords/>
  <dc:description/>
  <cp:lastModifiedBy>Galova Katarina</cp:lastModifiedBy>
  <cp:revision>37</cp:revision>
  <dcterms:created xsi:type="dcterms:W3CDTF">2014-06-11T12:50:00Z</dcterms:created>
  <dcterms:modified xsi:type="dcterms:W3CDTF">2014-06-13T13:21:00Z</dcterms:modified>
</cp:coreProperties>
</file>